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Pr="00D63217" w:rsidRDefault="002F4591" w:rsidP="002C1082">
      <w:pPr>
        <w:pStyle w:val="CoverTitle"/>
        <w:spacing w:before="1440"/>
        <w:jc w:val="center"/>
      </w:pPr>
      <w:bookmarkStart w:id="0" w:name="_Toc168724484"/>
      <w:r w:rsidRPr="00D63217">
        <w:rPr>
          <w:noProof/>
        </w:rPr>
        <w:drawing>
          <wp:inline distT="0" distB="0" distL="0" distR="0" wp14:anchorId="404176CA" wp14:editId="179D48A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Pr="00D63217" w:rsidRDefault="00193533" w:rsidP="00C9656F">
      <w:pPr>
        <w:pStyle w:val="CoverTitle"/>
        <w:spacing w:before="6000"/>
        <w:jc w:val="center"/>
      </w:pPr>
      <w:r w:rsidRPr="00D6321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2CBBC654" w14:textId="43A1B2B1" w:rsidR="0066529F" w:rsidRDefault="00DF10C5" w:rsidP="002F4591">
      <w:pPr>
        <w:pStyle w:val="CoverTitle"/>
        <w:spacing w:before="2640"/>
        <w:jc w:val="center"/>
      </w:pPr>
      <w:r w:rsidRPr="00D63217">
        <w:t>Paraquat</w:t>
      </w:r>
    </w:p>
    <w:p w14:paraId="026F9E23" w14:textId="174AD435" w:rsidR="00193533" w:rsidRPr="00D63217" w:rsidRDefault="00857DE6" w:rsidP="0066529F">
      <w:pPr>
        <w:pStyle w:val="CoverSubtitle"/>
        <w:jc w:val="center"/>
      </w:pPr>
      <w:r>
        <w:t xml:space="preserve">Final </w:t>
      </w:r>
      <w:r w:rsidR="00DF10C5" w:rsidRPr="00D63217">
        <w:t>Review Technical Report</w:t>
      </w:r>
    </w:p>
    <w:p w14:paraId="4E4C9BC9" w14:textId="5FEE62CA" w:rsidR="00193533" w:rsidRPr="00D63217" w:rsidRDefault="00D8589B" w:rsidP="008B550C">
      <w:pPr>
        <w:pStyle w:val="Coverdate"/>
        <w:sectPr w:rsidR="00193533" w:rsidRPr="00D63217" w:rsidSect="003023C5">
          <w:pgSz w:w="11906" w:h="16838" w:code="9"/>
          <w:pgMar w:top="2127" w:right="1134" w:bottom="1134" w:left="1134" w:header="1701" w:footer="450" w:gutter="0"/>
          <w:pgNumType w:fmt="lowerRoman"/>
          <w:cols w:space="708"/>
          <w:docGrid w:linePitch="360"/>
        </w:sectPr>
      </w:pPr>
      <w:r>
        <w:t>June</w:t>
      </w:r>
      <w:r w:rsidR="00CC2670">
        <w:t xml:space="preserve"> 2026</w:t>
      </w:r>
    </w:p>
    <w:p w14:paraId="0965EA11" w14:textId="38490B62" w:rsidR="005F3CF0" w:rsidRPr="005F3CF0" w:rsidRDefault="005F3CF0" w:rsidP="005F3CF0">
      <w:pPr>
        <w:spacing w:before="100" w:after="100" w:line="240" w:lineRule="atLeast"/>
        <w:rPr>
          <w:rFonts w:ascii="Arial" w:eastAsia="Times New Roman" w:hAnsi="Arial" w:cs="Times New Roman"/>
          <w:color w:val="1A1B1A" w:themeColor="text1" w:themeShade="80"/>
          <w:kern w:val="0"/>
          <w:sz w:val="16"/>
          <w:lang w:eastAsia="en-AU"/>
          <w14:ligatures w14:val="none"/>
        </w:rPr>
      </w:pPr>
      <w:bookmarkStart w:id="1" w:name="_Hlk170306453"/>
      <w:bookmarkEnd w:id="0"/>
      <w:r w:rsidRPr="005F3CF0">
        <w:rPr>
          <w:rFonts w:ascii="Arial" w:eastAsia="Times New Roman" w:hAnsi="Arial" w:cs="Times New Roman"/>
          <w:color w:val="1A1B1A" w:themeColor="text1" w:themeShade="80"/>
          <w:kern w:val="0"/>
          <w:sz w:val="16"/>
          <w:lang w:eastAsia="en-AU"/>
          <w14:ligatures w14:val="none"/>
        </w:rPr>
        <w:lastRenderedPageBreak/>
        <w:t xml:space="preserve">© Australian Pesticides and Veterinary Medicines Authority </w:t>
      </w:r>
      <w:r w:rsidRPr="005F3CF0">
        <w:rPr>
          <w:rFonts w:ascii="Arial" w:eastAsia="Times New Roman" w:hAnsi="Arial" w:cs="Arial"/>
          <w:kern w:val="0"/>
          <w:sz w:val="16"/>
          <w:szCs w:val="16"/>
          <w:lang w:eastAsia="en-AU"/>
          <w14:ligatures w14:val="none"/>
        </w:rPr>
        <w:t>2026</w:t>
      </w:r>
    </w:p>
    <w:p w14:paraId="33025AA1" w14:textId="77777777" w:rsidR="005F3CF0" w:rsidRPr="005F3CF0" w:rsidRDefault="005F3CF0" w:rsidP="005F3CF0">
      <w:pPr>
        <w:spacing w:before="100" w:after="100" w:line="240" w:lineRule="atLeast"/>
        <w:rPr>
          <w:rFonts w:ascii="Arial" w:eastAsia="Times New Roman" w:hAnsi="Arial" w:cs="Times New Roman"/>
          <w:b/>
          <w:bCs/>
          <w:color w:val="1A1B1A" w:themeColor="text1" w:themeShade="80"/>
          <w:kern w:val="0"/>
          <w:sz w:val="16"/>
          <w:lang w:eastAsia="en-AU"/>
          <w14:ligatures w14:val="none"/>
        </w:rPr>
      </w:pPr>
      <w:r w:rsidRPr="005F3CF0">
        <w:rPr>
          <w:rFonts w:ascii="Arial" w:eastAsia="Times New Roman" w:hAnsi="Arial" w:cs="Times New Roman"/>
          <w:b/>
          <w:bCs/>
          <w:color w:val="1A1B1A" w:themeColor="text1" w:themeShade="80"/>
          <w:kern w:val="0"/>
          <w:sz w:val="16"/>
          <w:lang w:eastAsia="en-AU"/>
          <w14:ligatures w14:val="none"/>
        </w:rPr>
        <w:t>Ownership of intellectual property rights in this publication</w:t>
      </w:r>
    </w:p>
    <w:p w14:paraId="7C5BAAE6" w14:textId="77777777" w:rsidR="005F3CF0" w:rsidRPr="005F3CF0" w:rsidRDefault="005F3CF0" w:rsidP="005F3CF0">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5F3CF0">
        <w:rPr>
          <w:rFonts w:ascii="Arial" w:eastAsia="Times New Roman" w:hAnsi="Arial" w:cs="Times New Roman"/>
          <w:color w:val="1A1B1A" w:themeColor="text1" w:themeShade="80"/>
          <w:kern w:val="0"/>
          <w:sz w:val="16"/>
          <w:lang w:eastAsia="en-AU"/>
          <w14:ligatures w14:val="none"/>
        </w:rPr>
        <w:t>Unless otherwise noted, copyright (and any other intellectual property rights, if any) in this publication is owned by the Australian Pesticides and Veterinary Medicines Authority (APVMA).</w:t>
      </w:r>
    </w:p>
    <w:p w14:paraId="63B846A5" w14:textId="77777777" w:rsidR="005F3CF0" w:rsidRPr="005F3CF0" w:rsidRDefault="005F3CF0" w:rsidP="005F3CF0">
      <w:pPr>
        <w:spacing w:before="100" w:after="100" w:line="240" w:lineRule="atLeast"/>
        <w:rPr>
          <w:rFonts w:ascii="Arial" w:eastAsia="Times New Roman" w:hAnsi="Arial" w:cs="Times New Roman"/>
          <w:b/>
          <w:bCs/>
          <w:color w:val="1A1B1A" w:themeColor="text1" w:themeShade="80"/>
          <w:kern w:val="0"/>
          <w:sz w:val="16"/>
          <w:lang w:eastAsia="en-AU"/>
          <w14:ligatures w14:val="none"/>
        </w:rPr>
      </w:pPr>
      <w:r w:rsidRPr="005F3CF0">
        <w:rPr>
          <w:rFonts w:ascii="Arial" w:eastAsia="Times New Roman" w:hAnsi="Arial" w:cs="Times New Roman"/>
          <w:b/>
          <w:bCs/>
          <w:color w:val="1A1B1A" w:themeColor="text1" w:themeShade="80"/>
          <w:kern w:val="0"/>
          <w:sz w:val="16"/>
          <w:lang w:eastAsia="en-AU"/>
          <w14:ligatures w14:val="none"/>
        </w:rPr>
        <w:t>Creative Commons licence</w:t>
      </w:r>
    </w:p>
    <w:p w14:paraId="2F7B02FB" w14:textId="77777777" w:rsidR="005F3CF0" w:rsidRPr="005F3CF0" w:rsidRDefault="005F3CF0" w:rsidP="005F3CF0">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5F3CF0">
        <w:rPr>
          <w:rFonts w:ascii="Arial" w:eastAsia="Times New Roman" w:hAnsi="Arial" w:cs="Times New Roman"/>
          <w:color w:val="1A1B1A" w:themeColor="text1" w:themeShade="80"/>
          <w:kern w:val="0"/>
          <w:sz w:val="16"/>
          <w:lang w:eastAsia="en-AU"/>
          <w14:ligatures w14:val="none"/>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1D2E2543" w14:textId="77777777" w:rsidR="005F3CF0" w:rsidRPr="005F3CF0" w:rsidRDefault="005F3CF0" w:rsidP="005F3CF0">
      <w:pPr>
        <w:autoSpaceDE w:val="0"/>
        <w:autoSpaceDN w:val="0"/>
        <w:adjustRightInd w:val="0"/>
        <w:spacing w:before="100" w:after="240" w:line="240" w:lineRule="atLeast"/>
        <w:ind w:left="-284" w:right="-329" w:firstLine="284"/>
        <w:rPr>
          <w:rFonts w:ascii="Arial" w:eastAsia="Times New Roman" w:hAnsi="Arial" w:cs="Arial"/>
          <w:color w:val="1A1B1A" w:themeColor="text1" w:themeShade="80"/>
          <w:kern w:val="0"/>
          <w:sz w:val="16"/>
          <w:szCs w:val="16"/>
          <w:lang w:eastAsia="en-AU"/>
          <w14:ligatures w14:val="none"/>
        </w:rPr>
      </w:pPr>
      <w:r w:rsidRPr="005F3CF0">
        <w:rPr>
          <w:rFonts w:ascii="Times New Roman" w:eastAsia="Times New Roman" w:hAnsi="Times New Roman" w:cs="Times New Roman"/>
          <w:noProof/>
          <w:color w:val="1A1B1A" w:themeColor="text1" w:themeShade="80"/>
          <w:kern w:val="0"/>
          <w:sz w:val="16"/>
          <w:szCs w:val="16"/>
          <w:lang w:eastAsia="en-AU"/>
          <w14:ligatures w14:val="none"/>
        </w:rPr>
        <w:drawing>
          <wp:inline distT="0" distB="0" distL="0" distR="0" wp14:anchorId="0EED2181" wp14:editId="3A2B0B1C">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F3CF0">
        <w:rPr>
          <w:rFonts w:ascii="Times New Roman" w:eastAsia="Times New Roman" w:hAnsi="Times New Roman" w:cs="Times New Roman"/>
          <w:noProof/>
          <w:color w:val="1A1B1A" w:themeColor="text1" w:themeShade="80"/>
          <w:kern w:val="0"/>
          <w:sz w:val="16"/>
          <w:szCs w:val="16"/>
          <w:lang w:eastAsia="en-AU"/>
          <w14:ligatures w14:val="none"/>
        </w:rPr>
        <w:drawing>
          <wp:inline distT="0" distB="0" distL="0" distR="0" wp14:anchorId="20560252" wp14:editId="1EA3D2C4">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0E583929" w14:textId="77777777" w:rsidR="005F3CF0" w:rsidRPr="005F3CF0" w:rsidRDefault="005F3CF0" w:rsidP="005F3CF0">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5F3CF0">
        <w:rPr>
          <w:rFonts w:ascii="Arial" w:eastAsia="Times New Roman" w:hAnsi="Arial" w:cs="Arial"/>
          <w:color w:val="1A1B1A" w:themeColor="text1" w:themeShade="80"/>
          <w:kern w:val="0"/>
          <w:sz w:val="16"/>
          <w:szCs w:val="16"/>
          <w:lang w:eastAsia="en-AU"/>
          <w14:ligatures w14:val="none"/>
        </w:rPr>
        <w:t xml:space="preserve">A </w:t>
      </w:r>
      <w:hyperlink r:id="rId13" w:history="1">
        <w:r w:rsidRPr="005F3CF0">
          <w:rPr>
            <w:rFonts w:ascii="Arial" w:eastAsia="Times New Roman" w:hAnsi="Arial" w:cs="Arial"/>
            <w:color w:val="0000FF"/>
            <w:kern w:val="0"/>
            <w:sz w:val="16"/>
            <w:szCs w:val="16"/>
            <w:u w:val="single"/>
            <w:lang w:eastAsia="en-AU"/>
            <w14:ligatures w14:val="none"/>
          </w:rPr>
          <w:t>summary of the licence terms</w:t>
        </w:r>
      </w:hyperlink>
      <w:r w:rsidRPr="005F3CF0">
        <w:rPr>
          <w:rFonts w:ascii="Arial" w:eastAsia="Times New Roman" w:hAnsi="Arial" w:cs="Arial"/>
          <w:color w:val="1A1B1A" w:themeColor="text1" w:themeShade="80"/>
          <w:kern w:val="0"/>
          <w:sz w:val="16"/>
          <w:szCs w:val="16"/>
          <w:lang w:eastAsia="en-AU"/>
          <w14:ligatures w14:val="none"/>
        </w:rPr>
        <w:t xml:space="preserve"> and </w:t>
      </w:r>
      <w:hyperlink r:id="rId14" w:history="1">
        <w:r w:rsidRPr="005F3CF0">
          <w:rPr>
            <w:rFonts w:ascii="Arial" w:eastAsia="Times New Roman" w:hAnsi="Arial" w:cs="Arial"/>
            <w:color w:val="0000FF"/>
            <w:kern w:val="0"/>
            <w:sz w:val="16"/>
            <w:szCs w:val="16"/>
            <w:u w:val="single"/>
            <w:lang w:eastAsia="en-AU"/>
            <w14:ligatures w14:val="none"/>
          </w:rPr>
          <w:t>full licence terms</w:t>
        </w:r>
      </w:hyperlink>
      <w:r w:rsidRPr="005F3CF0">
        <w:rPr>
          <w:rFonts w:ascii="Arial" w:eastAsia="Times New Roman" w:hAnsi="Arial" w:cs="Arial"/>
          <w:color w:val="1A1B1A" w:themeColor="text1" w:themeShade="80"/>
          <w:kern w:val="0"/>
          <w:sz w:val="16"/>
          <w:szCs w:val="16"/>
          <w:lang w:eastAsia="en-AU"/>
          <w14:ligatures w14:val="none"/>
        </w:rPr>
        <w:t xml:space="preserve"> are available from Creative Commons. </w:t>
      </w:r>
    </w:p>
    <w:p w14:paraId="699587C0" w14:textId="77777777" w:rsidR="005F3CF0" w:rsidRPr="005F3CF0" w:rsidRDefault="005F3CF0" w:rsidP="005F3CF0">
      <w:pPr>
        <w:spacing w:before="100" w:after="100" w:line="240" w:lineRule="atLeast"/>
        <w:rPr>
          <w:rFonts w:ascii="Arial" w:eastAsia="Times New Roman" w:hAnsi="Arial" w:cs="Arial"/>
          <w:i/>
          <w:iCs/>
          <w:color w:val="1A1B1A" w:themeColor="text1" w:themeShade="80"/>
          <w:kern w:val="0"/>
          <w:sz w:val="16"/>
          <w:szCs w:val="16"/>
          <w:lang w:eastAsia="en-AU"/>
          <w14:ligatures w14:val="none"/>
        </w:rPr>
      </w:pPr>
      <w:r w:rsidRPr="005F3CF0">
        <w:rPr>
          <w:rFonts w:ascii="Arial" w:eastAsia="Times New Roman" w:hAnsi="Arial" w:cs="Arial"/>
          <w:color w:val="1A1B1A" w:themeColor="text1" w:themeShade="80"/>
          <w:kern w:val="0"/>
          <w:sz w:val="16"/>
          <w:szCs w:val="16"/>
          <w:lang w:eastAsia="en-AU"/>
          <w14:ligatures w14:val="none"/>
        </w:rPr>
        <w:t>The APVMA’s preference is that you attribute this publication (and any approved material sourced from it) using the following wording:</w:t>
      </w:r>
    </w:p>
    <w:p w14:paraId="2885B0E2" w14:textId="77777777" w:rsidR="005F3CF0" w:rsidRPr="005F3CF0" w:rsidRDefault="005F3CF0" w:rsidP="005F3CF0">
      <w:pPr>
        <w:spacing w:before="100" w:after="100" w:line="240" w:lineRule="atLeast"/>
        <w:rPr>
          <w:rFonts w:ascii="Arial" w:eastAsia="Times New Roman" w:hAnsi="Arial" w:cs="Arial"/>
          <w:i/>
          <w:iCs/>
          <w:color w:val="1A1B1A" w:themeColor="text1" w:themeShade="80"/>
          <w:kern w:val="0"/>
          <w:sz w:val="16"/>
          <w:szCs w:val="16"/>
          <w:lang w:eastAsia="en-AU"/>
          <w14:ligatures w14:val="none"/>
        </w:rPr>
      </w:pPr>
      <w:r w:rsidRPr="005F3CF0">
        <w:rPr>
          <w:rFonts w:ascii="Arial" w:eastAsia="Times New Roman" w:hAnsi="Arial" w:cs="Arial"/>
          <w:i/>
          <w:iCs/>
          <w:color w:val="1A1B1A" w:themeColor="text1" w:themeShade="80"/>
          <w:kern w:val="0"/>
          <w:sz w:val="16"/>
          <w:szCs w:val="16"/>
          <w:lang w:eastAsia="en-AU"/>
          <w14:ligatures w14:val="none"/>
        </w:rPr>
        <w:t xml:space="preserve">Source: Licensed from the Australian Pesticides and Veterinary Medicines Authority (APVMA) under a Creative Commons Attribution 4.0 Australia Licence. The APVMA does not necessarily endorse the content of this publication. </w:t>
      </w:r>
    </w:p>
    <w:p w14:paraId="2BDFA9AA" w14:textId="77777777" w:rsidR="005F3CF0" w:rsidRPr="005F3CF0" w:rsidRDefault="005F3CF0" w:rsidP="005F3CF0">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5F3CF0">
        <w:rPr>
          <w:rFonts w:ascii="Arial" w:eastAsia="Times New Roman" w:hAnsi="Arial" w:cs="Arial"/>
          <w:color w:val="1A1B1A" w:themeColor="text1" w:themeShade="80"/>
          <w:kern w:val="0"/>
          <w:sz w:val="16"/>
          <w:szCs w:val="16"/>
          <w:lang w:eastAsia="en-AU"/>
          <w14:ligatures w14:val="none"/>
        </w:rPr>
        <w:t>In referencing this document the Australian Pesticides and Veterinary Medicines Authority should be cited as the author, publisher and copyright owner.</w:t>
      </w:r>
    </w:p>
    <w:p w14:paraId="08364214" w14:textId="77777777" w:rsidR="005F3CF0" w:rsidRPr="005F3CF0" w:rsidRDefault="005F3CF0" w:rsidP="005F3CF0">
      <w:pPr>
        <w:spacing w:before="100" w:after="100" w:line="240" w:lineRule="atLeast"/>
        <w:rPr>
          <w:rFonts w:ascii="Arial" w:eastAsia="Times New Roman" w:hAnsi="Arial" w:cs="Arial"/>
          <w:bCs/>
          <w:color w:val="1A1B1A" w:themeColor="text1" w:themeShade="80"/>
          <w:kern w:val="0"/>
          <w:sz w:val="16"/>
          <w:szCs w:val="16"/>
          <w:lang w:eastAsia="en-AU"/>
          <w14:ligatures w14:val="none"/>
        </w:rPr>
      </w:pPr>
      <w:r w:rsidRPr="005F3CF0">
        <w:rPr>
          <w:rFonts w:ascii="Arial" w:eastAsia="Times New Roman" w:hAnsi="Arial" w:cs="Arial"/>
          <w:bCs/>
          <w:color w:val="1A1B1A" w:themeColor="text1" w:themeShade="80"/>
          <w:kern w:val="0"/>
          <w:sz w:val="16"/>
          <w:szCs w:val="16"/>
          <w:lang w:eastAsia="en-AU"/>
          <w14:ligatures w14:val="none"/>
        </w:rPr>
        <w:t>Cover image: iStockphoto (istockphoto.com)</w:t>
      </w:r>
    </w:p>
    <w:p w14:paraId="2491B031" w14:textId="77777777" w:rsidR="005F3CF0" w:rsidRPr="005F3CF0" w:rsidRDefault="005F3CF0" w:rsidP="005F3CF0">
      <w:pPr>
        <w:spacing w:before="100" w:after="100" w:line="240" w:lineRule="atLeast"/>
        <w:rPr>
          <w:rFonts w:ascii="Arial" w:eastAsia="Times New Roman" w:hAnsi="Arial" w:cs="Arial"/>
          <w:bCs/>
          <w:color w:val="1A1B1A" w:themeColor="text1" w:themeShade="80"/>
          <w:kern w:val="0"/>
          <w:sz w:val="16"/>
          <w:szCs w:val="16"/>
          <w:lang w:eastAsia="en-AU"/>
          <w14:ligatures w14:val="none"/>
        </w:rPr>
      </w:pPr>
      <w:r w:rsidRPr="005F3CF0">
        <w:rPr>
          <w:rFonts w:ascii="Arial" w:eastAsia="Times New Roman" w:hAnsi="Arial" w:cs="Arial"/>
          <w:bCs/>
          <w:color w:val="1A1B1A" w:themeColor="text1" w:themeShade="80"/>
          <w:kern w:val="0"/>
          <w:sz w:val="16"/>
          <w:szCs w:val="16"/>
          <w:lang w:eastAsia="en-AU"/>
          <w14:ligatures w14:val="none"/>
        </w:rPr>
        <w:t xml:space="preserve">iStockphoto images are not covered by this Creative Commons licence. </w:t>
      </w:r>
    </w:p>
    <w:p w14:paraId="042100C0" w14:textId="77777777" w:rsidR="005F3CF0" w:rsidRPr="005F3CF0" w:rsidRDefault="005F3CF0" w:rsidP="005F3CF0">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5F3CF0">
        <w:rPr>
          <w:rFonts w:ascii="Arial" w:eastAsia="Times New Roman" w:hAnsi="Arial" w:cs="Arial"/>
          <w:b/>
          <w:bCs/>
          <w:color w:val="1A1B1A" w:themeColor="text1" w:themeShade="80"/>
          <w:kern w:val="0"/>
          <w:sz w:val="16"/>
          <w:szCs w:val="16"/>
          <w:lang w:eastAsia="en-AU"/>
          <w14:ligatures w14:val="none"/>
        </w:rPr>
        <w:t>Use of the Coat of Arms</w:t>
      </w:r>
    </w:p>
    <w:p w14:paraId="01267B07" w14:textId="77777777" w:rsidR="005F3CF0" w:rsidRPr="005F3CF0" w:rsidRDefault="005F3CF0" w:rsidP="005F3CF0">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5F3CF0">
        <w:rPr>
          <w:rFonts w:ascii="Arial" w:eastAsia="Times New Roman" w:hAnsi="Arial" w:cs="Arial"/>
          <w:color w:val="1A1B1A" w:themeColor="text1" w:themeShade="80"/>
          <w:kern w:val="0"/>
          <w:sz w:val="16"/>
          <w:szCs w:val="16"/>
          <w:lang w:eastAsia="en-AU"/>
          <w14:ligatures w14:val="none"/>
        </w:rPr>
        <w:t xml:space="preserve">The terms under which the Coat of Arms can be used are set out on the </w:t>
      </w:r>
      <w:hyperlink r:id="rId15" w:history="1">
        <w:r w:rsidRPr="005F3CF0">
          <w:rPr>
            <w:rFonts w:ascii="Arial" w:eastAsia="Times New Roman" w:hAnsi="Arial" w:cs="Arial"/>
            <w:color w:val="0000FF"/>
            <w:kern w:val="0"/>
            <w:sz w:val="16"/>
            <w:szCs w:val="16"/>
            <w:u w:val="single"/>
            <w:lang w:eastAsia="en-AU"/>
            <w14:ligatures w14:val="none"/>
          </w:rPr>
          <w:t>Department of the Prime Minister and Cabinet website</w:t>
        </w:r>
      </w:hyperlink>
      <w:r w:rsidRPr="005F3CF0">
        <w:rPr>
          <w:rFonts w:ascii="Arial" w:eastAsia="Times New Roman" w:hAnsi="Arial" w:cs="Arial"/>
          <w:color w:val="1A1B1A" w:themeColor="text1" w:themeShade="80"/>
          <w:kern w:val="0"/>
          <w:sz w:val="16"/>
          <w:szCs w:val="16"/>
          <w:lang w:eastAsia="en-AU"/>
          <w14:ligatures w14:val="none"/>
        </w:rPr>
        <w:t>.</w:t>
      </w:r>
    </w:p>
    <w:p w14:paraId="0F697ACB" w14:textId="77777777" w:rsidR="005F3CF0" w:rsidRPr="005F3CF0" w:rsidRDefault="005F3CF0" w:rsidP="005F3CF0">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5F3CF0">
        <w:rPr>
          <w:rFonts w:ascii="Arial" w:eastAsia="Times New Roman" w:hAnsi="Arial" w:cs="Arial"/>
          <w:b/>
          <w:bCs/>
          <w:color w:val="1A1B1A" w:themeColor="text1" w:themeShade="80"/>
          <w:kern w:val="0"/>
          <w:sz w:val="16"/>
          <w:szCs w:val="16"/>
          <w:lang w:eastAsia="en-AU"/>
          <w14:ligatures w14:val="none"/>
        </w:rPr>
        <w:t>Disclaimer</w:t>
      </w:r>
    </w:p>
    <w:p w14:paraId="5C987A10" w14:textId="77777777" w:rsidR="005F3CF0" w:rsidRPr="005F3CF0" w:rsidRDefault="005F3CF0" w:rsidP="005F3CF0">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5F3CF0">
        <w:rPr>
          <w:rFonts w:ascii="Arial" w:eastAsia="Times New Roman" w:hAnsi="Arial" w:cs="Times New Roman"/>
          <w:color w:val="1A1B1A" w:themeColor="text1" w:themeShade="80"/>
          <w:kern w:val="0"/>
          <w:sz w:val="16"/>
          <w:lang w:eastAsia="en-AU"/>
          <w14:ligatures w14:val="none"/>
        </w:rPr>
        <w:t xml:space="preserve">The material in or linking from this report may contain the views or recommendations of third parties. Third party material does not necessarily reflect the views of the APVMA, or indicate a commitment to a particular course of action. </w:t>
      </w:r>
      <w:r w:rsidRPr="005F3CF0">
        <w:rPr>
          <w:rFonts w:ascii="Arial" w:eastAsia="Times New Roman" w:hAnsi="Arial" w:cs="Times New Roman"/>
          <w:bCs/>
          <w:color w:val="1A1B1A" w:themeColor="text1" w:themeShade="80"/>
          <w:kern w:val="0"/>
          <w:sz w:val="16"/>
          <w:lang w:eastAsia="en-AU"/>
          <w14:ligatures w14:val="none"/>
        </w:rPr>
        <w:t>There may be links in this document that will transfer you to external websites. The APVMA does not have responsibility for these websites, nor does linking to or from this document constitute any form of endorsement.</w:t>
      </w:r>
      <w:r w:rsidRPr="005F3CF0">
        <w:rPr>
          <w:rFonts w:ascii="Arial" w:eastAsia="Times New Roman" w:hAnsi="Arial" w:cs="Times New Roman"/>
          <w:color w:val="1A1B1A" w:themeColor="text1" w:themeShade="80"/>
          <w:kern w:val="0"/>
          <w:sz w:val="16"/>
          <w:lang w:eastAsia="en-AU"/>
          <w14:ligatures w14:val="none"/>
        </w:rPr>
        <w:t xml:space="preserve"> </w:t>
      </w:r>
      <w:r w:rsidRPr="005F3CF0">
        <w:rPr>
          <w:rFonts w:ascii="Arial" w:eastAsia="Times New Roman" w:hAnsi="Arial" w:cs="Times New Roman"/>
          <w:bCs/>
          <w:color w:val="1A1B1A" w:themeColor="text1" w:themeShade="80"/>
          <w:kern w:val="0"/>
          <w:sz w:val="16"/>
          <w:lang w:eastAsia="en-AU"/>
          <w14:ligatures w14:val="none"/>
        </w:rPr>
        <w:t>The APVMA is not responsible for any errors, omissions or matters of interpretation in any third-party information contained within this document.</w:t>
      </w:r>
    </w:p>
    <w:p w14:paraId="608F9A1E" w14:textId="77777777" w:rsidR="005F3CF0" w:rsidRPr="005F3CF0" w:rsidRDefault="005F3CF0" w:rsidP="005F3CF0">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5F3CF0">
        <w:rPr>
          <w:rFonts w:ascii="Arial" w:eastAsia="Times New Roman" w:hAnsi="Arial" w:cs="Arial"/>
          <w:b/>
          <w:bCs/>
          <w:color w:val="1A1B1A" w:themeColor="text1" w:themeShade="80"/>
          <w:kern w:val="0"/>
          <w:sz w:val="16"/>
          <w:szCs w:val="16"/>
          <w:lang w:eastAsia="en-AU"/>
          <w14:ligatures w14:val="none"/>
        </w:rPr>
        <w:t>Comments and enquiries regarding copyright:</w:t>
      </w:r>
    </w:p>
    <w:p w14:paraId="001856BB" w14:textId="77777777" w:rsidR="005F3CF0" w:rsidRPr="005F3CF0" w:rsidRDefault="005F3CF0" w:rsidP="005F3CF0">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5F3CF0">
        <w:rPr>
          <w:rFonts w:ascii="Arial" w:eastAsia="Times New Roman" w:hAnsi="Arial" w:cs="Arial"/>
          <w:color w:val="1A1B1A" w:themeColor="text1" w:themeShade="80"/>
          <w:kern w:val="0"/>
          <w:sz w:val="16"/>
          <w:szCs w:val="16"/>
          <w:lang w:eastAsia="en-AU"/>
          <w14:ligatures w14:val="none"/>
        </w:rPr>
        <w:t>Assistant Director, Communications</w:t>
      </w:r>
      <w:r w:rsidRPr="005F3CF0">
        <w:rPr>
          <w:rFonts w:ascii="Arial" w:eastAsia="Times New Roman" w:hAnsi="Arial" w:cs="Arial"/>
          <w:color w:val="1A1B1A" w:themeColor="text1" w:themeShade="80"/>
          <w:kern w:val="0"/>
          <w:sz w:val="16"/>
          <w:szCs w:val="16"/>
          <w:lang w:eastAsia="en-AU"/>
          <w14:ligatures w14:val="none"/>
        </w:rPr>
        <w:br/>
        <w:t>Australian Pesticides and Veterinary Medicines Authority</w:t>
      </w:r>
      <w:r w:rsidRPr="005F3CF0">
        <w:rPr>
          <w:rFonts w:ascii="Arial" w:eastAsia="Times New Roman" w:hAnsi="Arial" w:cs="Arial"/>
          <w:color w:val="1A1B1A" w:themeColor="text1" w:themeShade="80"/>
          <w:kern w:val="0"/>
          <w:sz w:val="16"/>
          <w:szCs w:val="16"/>
          <w:lang w:eastAsia="en-AU"/>
          <w14:ligatures w14:val="none"/>
        </w:rPr>
        <w:br/>
        <w:t>GPO Box 574</w:t>
      </w:r>
      <w:r w:rsidRPr="005F3CF0">
        <w:rPr>
          <w:rFonts w:ascii="Arial" w:eastAsia="Times New Roman" w:hAnsi="Arial" w:cs="Arial"/>
          <w:color w:val="1A1B1A" w:themeColor="text1" w:themeShade="80"/>
          <w:kern w:val="0"/>
          <w:sz w:val="16"/>
          <w:szCs w:val="16"/>
          <w:lang w:eastAsia="en-AU"/>
          <w14:ligatures w14:val="none"/>
        </w:rPr>
        <w:br/>
        <w:t>Canberra ACT 2601 Australia</w:t>
      </w:r>
    </w:p>
    <w:p w14:paraId="3819F2C7" w14:textId="62206F8A" w:rsidR="005F3CF0" w:rsidRPr="005F3CF0" w:rsidRDefault="005F3CF0" w:rsidP="005F3CF0">
      <w:pPr>
        <w:spacing w:before="100" w:after="100" w:line="240" w:lineRule="atLeast"/>
        <w:rPr>
          <w:rFonts w:ascii="Arial" w:eastAsia="Times New Roman" w:hAnsi="Arial" w:cs="Arial"/>
          <w:color w:val="0000FF"/>
          <w:kern w:val="0"/>
          <w:sz w:val="16"/>
          <w:szCs w:val="16"/>
          <w:u w:val="single"/>
          <w:lang w:eastAsia="en-AU"/>
          <w14:ligatures w14:val="none"/>
        </w:rPr>
      </w:pPr>
      <w:r w:rsidRPr="005F3CF0">
        <w:rPr>
          <w:rFonts w:ascii="Arial" w:eastAsia="Times New Roman" w:hAnsi="Arial" w:cs="Arial"/>
          <w:color w:val="1A1B1A" w:themeColor="text1" w:themeShade="80"/>
          <w:kern w:val="0"/>
          <w:sz w:val="16"/>
          <w:szCs w:val="16"/>
          <w:lang w:eastAsia="en-AU"/>
          <w14:ligatures w14:val="none"/>
        </w:rPr>
        <w:t>Telephone: +61 2 6770 2300</w:t>
      </w:r>
      <w:r>
        <w:rPr>
          <w:rFonts w:ascii="Arial" w:eastAsia="Times New Roman" w:hAnsi="Arial" w:cs="Arial"/>
          <w:color w:val="1A1B1A" w:themeColor="text1" w:themeShade="80"/>
          <w:kern w:val="0"/>
          <w:sz w:val="16"/>
          <w:szCs w:val="16"/>
          <w:lang w:eastAsia="en-AU"/>
          <w14:ligatures w14:val="none"/>
        </w:rPr>
        <w:br/>
      </w:r>
      <w:r w:rsidRPr="005F3CF0">
        <w:rPr>
          <w:rFonts w:ascii="Arial" w:eastAsia="Times New Roman" w:hAnsi="Arial" w:cs="Arial"/>
          <w:color w:val="1A1B1A" w:themeColor="text1" w:themeShade="80"/>
          <w:kern w:val="0"/>
          <w:sz w:val="16"/>
          <w:szCs w:val="16"/>
          <w:lang w:eastAsia="en-AU"/>
          <w14:ligatures w14:val="none"/>
        </w:rPr>
        <w:t xml:space="preserve">Email: </w:t>
      </w:r>
      <w:hyperlink r:id="rId16" w:history="1">
        <w:r w:rsidRPr="005F3CF0">
          <w:rPr>
            <w:rFonts w:ascii="Arial" w:eastAsia="Times New Roman" w:hAnsi="Arial" w:cs="Arial"/>
            <w:color w:val="0000FF"/>
            <w:kern w:val="0"/>
            <w:sz w:val="16"/>
            <w:szCs w:val="16"/>
            <w:u w:val="single"/>
            <w:lang w:eastAsia="en-AU"/>
            <w14:ligatures w14:val="none"/>
          </w:rPr>
          <w:t>communications@apvma.gov.au</w:t>
        </w:r>
      </w:hyperlink>
      <w:r w:rsidRPr="005F3CF0">
        <w:rPr>
          <w:rFonts w:ascii="Arial" w:eastAsia="Times New Roman" w:hAnsi="Arial" w:cs="Arial"/>
          <w:color w:val="0000FF"/>
          <w:kern w:val="0"/>
          <w:sz w:val="16"/>
          <w:szCs w:val="16"/>
          <w:u w:val="single"/>
          <w:lang w:eastAsia="en-AU"/>
          <w14:ligatures w14:val="none"/>
        </w:rPr>
        <w:t>.</w:t>
      </w:r>
    </w:p>
    <w:p w14:paraId="5683875F" w14:textId="77777777" w:rsidR="005F3CF0" w:rsidRPr="005F3CF0" w:rsidRDefault="005F3CF0" w:rsidP="005F3CF0">
      <w:pPr>
        <w:spacing w:before="100" w:after="100" w:line="240" w:lineRule="atLeast"/>
        <w:rPr>
          <w:rFonts w:ascii="Arial" w:eastAsia="Times New Roman" w:hAnsi="Arial" w:cs="Times New Roman"/>
          <w:color w:val="1A1B1A" w:themeColor="text1" w:themeShade="80"/>
          <w:kern w:val="0"/>
          <w:sz w:val="16"/>
          <w:szCs w:val="16"/>
          <w14:ligatures w14:val="none"/>
        </w:rPr>
        <w:sectPr w:rsidR="005F3CF0" w:rsidRPr="005F3CF0" w:rsidSect="005F3CF0">
          <w:pgSz w:w="11906" w:h="16838" w:code="9"/>
          <w:pgMar w:top="2127" w:right="1134" w:bottom="1134" w:left="1134" w:header="1701" w:footer="450" w:gutter="0"/>
          <w:pgNumType w:fmt="lowerRoman"/>
          <w:cols w:space="708"/>
          <w:docGrid w:linePitch="360"/>
        </w:sectPr>
      </w:pPr>
      <w:r w:rsidRPr="005F3CF0">
        <w:rPr>
          <w:rFonts w:ascii="Arial" w:eastAsia="Times New Roman" w:hAnsi="Arial" w:cs="Times New Roman"/>
          <w:color w:val="1A1B1A" w:themeColor="text1" w:themeShade="80"/>
          <w:kern w:val="0"/>
          <w:sz w:val="16"/>
          <w:szCs w:val="16"/>
          <w:lang w:eastAsia="en-AU"/>
          <w14:ligatures w14:val="none"/>
        </w:rPr>
        <w:t xml:space="preserve">This publication is available from the </w:t>
      </w:r>
      <w:hyperlink r:id="rId17" w:history="1">
        <w:r w:rsidRPr="005F3CF0">
          <w:rPr>
            <w:rFonts w:ascii="Arial" w:eastAsia="Times New Roman" w:hAnsi="Arial" w:cs="Times New Roman"/>
            <w:color w:val="0000FF"/>
            <w:kern w:val="0"/>
            <w:sz w:val="16"/>
            <w:szCs w:val="16"/>
            <w:u w:val="single"/>
            <w:lang w:eastAsia="en-AU"/>
            <w14:ligatures w14:val="none"/>
          </w:rPr>
          <w:t>APVMA website</w:t>
        </w:r>
      </w:hyperlink>
      <w:r w:rsidRPr="005F3CF0">
        <w:rPr>
          <w:rFonts w:ascii="Arial" w:eastAsia="Times New Roman" w:hAnsi="Arial" w:cs="Times New Roman"/>
          <w:color w:val="1A1B1A" w:themeColor="text1" w:themeShade="80"/>
          <w:kern w:val="0"/>
          <w:sz w:val="16"/>
          <w:szCs w:val="16"/>
          <w:lang w:eastAsia="en-AU"/>
          <w14:ligatures w14:val="none"/>
        </w:rPr>
        <w:t>.</w:t>
      </w:r>
    </w:p>
    <w:bookmarkEnd w:id="1"/>
    <w:p w14:paraId="16837E54" w14:textId="77777777" w:rsidR="00841C5F" w:rsidRPr="002A3239" w:rsidRDefault="00841C5F" w:rsidP="00841C5F">
      <w:pPr>
        <w:pStyle w:val="TOCH1"/>
        <w:rPr>
          <w:rFonts w:ascii="Arial" w:hAnsi="Arial"/>
          <w:sz w:val="18"/>
        </w:rPr>
      </w:pPr>
      <w:r w:rsidRPr="00FB0015">
        <w:lastRenderedPageBreak/>
        <w:t>Contents</w:t>
      </w:r>
    </w:p>
    <w:p w14:paraId="4B03B1DE" w14:textId="72883D3C" w:rsidR="003A17E6" w:rsidRDefault="00585F97">
      <w:pPr>
        <w:pStyle w:val="TOC1"/>
        <w:rPr>
          <w:rFonts w:asciiTheme="minorHAnsi" w:eastAsiaTheme="minorEastAsia" w:hAnsiTheme="minorHAnsi" w:cstheme="minorBidi"/>
          <w:bCs w:val="0"/>
          <w:color w:val="auto"/>
          <w:kern w:val="2"/>
          <w:sz w:val="24"/>
          <w:szCs w:val="24"/>
          <w:lang w:eastAsia="en-AU"/>
        </w:rPr>
      </w:pPr>
      <w:r>
        <w:rPr>
          <w:bCs w:val="0"/>
          <w:color w:val="53284F"/>
        </w:rPr>
        <w:fldChar w:fldCharType="begin"/>
      </w:r>
      <w:r>
        <w:rPr>
          <w:bCs w:val="0"/>
          <w:color w:val="53284F"/>
        </w:rPr>
        <w:instrText xml:space="preserve"> TOC \h \z \t "Heading 1,1,Heading 2,2,Heading 3,3,Appendix_H1,1,Preliminaries_H1,1,Glossary/Ref_H1,1,APVMA_Appendix_H1,1,APVMA_Preliminaries_H1,1,APVMA_Glossary/Ref_H1,1,Appendix,1" </w:instrText>
      </w:r>
      <w:r>
        <w:rPr>
          <w:bCs w:val="0"/>
          <w:color w:val="53284F"/>
        </w:rPr>
        <w:fldChar w:fldCharType="separate"/>
      </w:r>
      <w:hyperlink w:anchor="_Toc233036367" w:history="1">
        <w:r w:rsidR="003A17E6" w:rsidRPr="00091CC1">
          <w:rPr>
            <w:rStyle w:val="Hyperlink"/>
          </w:rPr>
          <w:t>Preface</w:t>
        </w:r>
        <w:r w:rsidR="003A17E6">
          <w:rPr>
            <w:webHidden/>
          </w:rPr>
          <w:tab/>
        </w:r>
        <w:r w:rsidR="003A17E6">
          <w:rPr>
            <w:webHidden/>
          </w:rPr>
          <w:fldChar w:fldCharType="begin"/>
        </w:r>
        <w:r w:rsidR="003A17E6">
          <w:rPr>
            <w:webHidden/>
          </w:rPr>
          <w:instrText xml:space="preserve"> PAGEREF _Toc233036367 \h </w:instrText>
        </w:r>
        <w:r w:rsidR="003A17E6">
          <w:rPr>
            <w:webHidden/>
          </w:rPr>
        </w:r>
        <w:r w:rsidR="003A17E6">
          <w:rPr>
            <w:webHidden/>
          </w:rPr>
          <w:fldChar w:fldCharType="separate"/>
        </w:r>
        <w:r w:rsidR="003A17E6">
          <w:rPr>
            <w:webHidden/>
          </w:rPr>
          <w:t>1</w:t>
        </w:r>
        <w:r w:rsidR="003A17E6">
          <w:rPr>
            <w:webHidden/>
          </w:rPr>
          <w:fldChar w:fldCharType="end"/>
        </w:r>
      </w:hyperlink>
    </w:p>
    <w:p w14:paraId="67CB6AD0" w14:textId="391B4FA1"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368" w:history="1">
        <w:r w:rsidRPr="00091CC1">
          <w:rPr>
            <w:rStyle w:val="Hyperlink"/>
          </w:rPr>
          <w:t>Executive summary</w:t>
        </w:r>
        <w:r>
          <w:rPr>
            <w:webHidden/>
          </w:rPr>
          <w:tab/>
        </w:r>
        <w:r>
          <w:rPr>
            <w:webHidden/>
          </w:rPr>
          <w:fldChar w:fldCharType="begin"/>
        </w:r>
        <w:r>
          <w:rPr>
            <w:webHidden/>
          </w:rPr>
          <w:instrText xml:space="preserve"> PAGEREF _Toc233036368 \h </w:instrText>
        </w:r>
        <w:r>
          <w:rPr>
            <w:webHidden/>
          </w:rPr>
        </w:r>
        <w:r>
          <w:rPr>
            <w:webHidden/>
          </w:rPr>
          <w:fldChar w:fldCharType="separate"/>
        </w:r>
        <w:r>
          <w:rPr>
            <w:webHidden/>
          </w:rPr>
          <w:t>2</w:t>
        </w:r>
        <w:r>
          <w:rPr>
            <w:webHidden/>
          </w:rPr>
          <w:fldChar w:fldCharType="end"/>
        </w:r>
      </w:hyperlink>
    </w:p>
    <w:p w14:paraId="01CD8D40" w14:textId="64938AC1"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369" w:history="1">
        <w:r w:rsidRPr="00091CC1">
          <w:rPr>
            <w:rStyle w:val="Hyperlink"/>
          </w:rPr>
          <w:t>1</w:t>
        </w:r>
        <w:r>
          <w:rPr>
            <w:rFonts w:asciiTheme="minorHAnsi" w:eastAsiaTheme="minorEastAsia" w:hAnsiTheme="minorHAnsi" w:cstheme="minorBidi"/>
            <w:bCs w:val="0"/>
            <w:color w:val="auto"/>
            <w:kern w:val="2"/>
            <w:sz w:val="24"/>
            <w:szCs w:val="24"/>
            <w:lang w:eastAsia="en-AU"/>
          </w:rPr>
          <w:tab/>
        </w:r>
        <w:r w:rsidRPr="00091CC1">
          <w:rPr>
            <w:rStyle w:val="Hyperlink"/>
          </w:rPr>
          <w:t>Introduction</w:t>
        </w:r>
        <w:r>
          <w:rPr>
            <w:webHidden/>
          </w:rPr>
          <w:tab/>
        </w:r>
        <w:r>
          <w:rPr>
            <w:webHidden/>
          </w:rPr>
          <w:fldChar w:fldCharType="begin"/>
        </w:r>
        <w:r>
          <w:rPr>
            <w:webHidden/>
          </w:rPr>
          <w:instrText xml:space="preserve"> PAGEREF _Toc233036369 \h </w:instrText>
        </w:r>
        <w:r>
          <w:rPr>
            <w:webHidden/>
          </w:rPr>
        </w:r>
        <w:r>
          <w:rPr>
            <w:webHidden/>
          </w:rPr>
          <w:fldChar w:fldCharType="separate"/>
        </w:r>
        <w:r>
          <w:rPr>
            <w:webHidden/>
          </w:rPr>
          <w:t>4</w:t>
        </w:r>
        <w:r>
          <w:rPr>
            <w:webHidden/>
          </w:rPr>
          <w:fldChar w:fldCharType="end"/>
        </w:r>
      </w:hyperlink>
    </w:p>
    <w:p w14:paraId="45B08201" w14:textId="0CB90F3D" w:rsidR="003A17E6" w:rsidRDefault="003A17E6">
      <w:pPr>
        <w:pStyle w:val="TOC2"/>
        <w:rPr>
          <w:rFonts w:asciiTheme="minorHAnsi" w:eastAsiaTheme="minorEastAsia" w:hAnsiTheme="minorHAnsi"/>
          <w:b w:val="0"/>
          <w:color w:val="auto"/>
          <w:sz w:val="24"/>
          <w:szCs w:val="24"/>
          <w:lang w:eastAsia="en-AU"/>
        </w:rPr>
      </w:pPr>
      <w:hyperlink w:anchor="_Toc233036370" w:history="1">
        <w:r w:rsidRPr="00091CC1">
          <w:rPr>
            <w:rStyle w:val="Hyperlink"/>
          </w:rPr>
          <w:t>1.1</w:t>
        </w:r>
        <w:r>
          <w:rPr>
            <w:rFonts w:asciiTheme="minorHAnsi" w:eastAsiaTheme="minorEastAsia" w:hAnsiTheme="minorHAnsi"/>
            <w:b w:val="0"/>
            <w:color w:val="auto"/>
            <w:sz w:val="24"/>
            <w:szCs w:val="24"/>
            <w:lang w:eastAsia="en-AU"/>
          </w:rPr>
          <w:tab/>
        </w:r>
        <w:r w:rsidRPr="00091CC1">
          <w:rPr>
            <w:rStyle w:val="Hyperlink"/>
          </w:rPr>
          <w:t>Purpose of review</w:t>
        </w:r>
        <w:r>
          <w:rPr>
            <w:webHidden/>
          </w:rPr>
          <w:tab/>
        </w:r>
        <w:r>
          <w:rPr>
            <w:webHidden/>
          </w:rPr>
          <w:fldChar w:fldCharType="begin"/>
        </w:r>
        <w:r>
          <w:rPr>
            <w:webHidden/>
          </w:rPr>
          <w:instrText xml:space="preserve"> PAGEREF _Toc233036370 \h </w:instrText>
        </w:r>
        <w:r>
          <w:rPr>
            <w:webHidden/>
          </w:rPr>
        </w:r>
        <w:r>
          <w:rPr>
            <w:webHidden/>
          </w:rPr>
          <w:fldChar w:fldCharType="separate"/>
        </w:r>
        <w:r>
          <w:rPr>
            <w:webHidden/>
          </w:rPr>
          <w:t>4</w:t>
        </w:r>
        <w:r>
          <w:rPr>
            <w:webHidden/>
          </w:rPr>
          <w:fldChar w:fldCharType="end"/>
        </w:r>
      </w:hyperlink>
    </w:p>
    <w:p w14:paraId="1F782B39" w14:textId="00D0C4B3" w:rsidR="003A17E6" w:rsidRDefault="003A17E6">
      <w:pPr>
        <w:pStyle w:val="TOC2"/>
        <w:rPr>
          <w:rFonts w:asciiTheme="minorHAnsi" w:eastAsiaTheme="minorEastAsia" w:hAnsiTheme="minorHAnsi"/>
          <w:b w:val="0"/>
          <w:color w:val="auto"/>
          <w:sz w:val="24"/>
          <w:szCs w:val="24"/>
          <w:lang w:eastAsia="en-AU"/>
        </w:rPr>
      </w:pPr>
      <w:hyperlink w:anchor="_Toc233036371" w:history="1">
        <w:r w:rsidRPr="00091CC1">
          <w:rPr>
            <w:rStyle w:val="Hyperlink"/>
          </w:rPr>
          <w:t>1.2</w:t>
        </w:r>
        <w:r>
          <w:rPr>
            <w:rFonts w:asciiTheme="minorHAnsi" w:eastAsiaTheme="minorEastAsia" w:hAnsiTheme="minorHAnsi"/>
            <w:b w:val="0"/>
            <w:color w:val="auto"/>
            <w:sz w:val="24"/>
            <w:szCs w:val="24"/>
            <w:lang w:eastAsia="en-AU"/>
          </w:rPr>
          <w:tab/>
        </w:r>
        <w:r w:rsidRPr="00091CC1">
          <w:rPr>
            <w:rStyle w:val="Hyperlink"/>
          </w:rPr>
          <w:t>Product claims, use patterns and mode of action</w:t>
        </w:r>
        <w:r>
          <w:rPr>
            <w:webHidden/>
          </w:rPr>
          <w:tab/>
        </w:r>
        <w:r>
          <w:rPr>
            <w:webHidden/>
          </w:rPr>
          <w:fldChar w:fldCharType="begin"/>
        </w:r>
        <w:r>
          <w:rPr>
            <w:webHidden/>
          </w:rPr>
          <w:instrText xml:space="preserve"> PAGEREF _Toc233036371 \h </w:instrText>
        </w:r>
        <w:r>
          <w:rPr>
            <w:webHidden/>
          </w:rPr>
        </w:r>
        <w:r>
          <w:rPr>
            <w:webHidden/>
          </w:rPr>
          <w:fldChar w:fldCharType="separate"/>
        </w:r>
        <w:r>
          <w:rPr>
            <w:webHidden/>
          </w:rPr>
          <w:t>5</w:t>
        </w:r>
        <w:r>
          <w:rPr>
            <w:webHidden/>
          </w:rPr>
          <w:fldChar w:fldCharType="end"/>
        </w:r>
      </w:hyperlink>
    </w:p>
    <w:p w14:paraId="601EDF6E" w14:textId="548554FD"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372" w:history="1">
        <w:r w:rsidRPr="00091CC1">
          <w:rPr>
            <w:rStyle w:val="Hyperlink"/>
          </w:rPr>
          <w:t>2</w:t>
        </w:r>
        <w:r>
          <w:rPr>
            <w:rFonts w:asciiTheme="minorHAnsi" w:eastAsiaTheme="minorEastAsia" w:hAnsiTheme="minorHAnsi" w:cstheme="minorBidi"/>
            <w:bCs w:val="0"/>
            <w:color w:val="auto"/>
            <w:kern w:val="2"/>
            <w:sz w:val="24"/>
            <w:szCs w:val="24"/>
            <w:lang w:eastAsia="en-AU"/>
          </w:rPr>
          <w:tab/>
        </w:r>
        <w:r w:rsidRPr="00091CC1">
          <w:rPr>
            <w:rStyle w:val="Hyperlink"/>
          </w:rPr>
          <w:t>Chemistry</w:t>
        </w:r>
        <w:r>
          <w:rPr>
            <w:webHidden/>
          </w:rPr>
          <w:tab/>
        </w:r>
        <w:r>
          <w:rPr>
            <w:webHidden/>
          </w:rPr>
          <w:fldChar w:fldCharType="begin"/>
        </w:r>
        <w:r>
          <w:rPr>
            <w:webHidden/>
          </w:rPr>
          <w:instrText xml:space="preserve"> PAGEREF _Toc233036372 \h </w:instrText>
        </w:r>
        <w:r>
          <w:rPr>
            <w:webHidden/>
          </w:rPr>
        </w:r>
        <w:r>
          <w:rPr>
            <w:webHidden/>
          </w:rPr>
          <w:fldChar w:fldCharType="separate"/>
        </w:r>
        <w:r>
          <w:rPr>
            <w:webHidden/>
          </w:rPr>
          <w:t>7</w:t>
        </w:r>
        <w:r>
          <w:rPr>
            <w:webHidden/>
          </w:rPr>
          <w:fldChar w:fldCharType="end"/>
        </w:r>
      </w:hyperlink>
    </w:p>
    <w:p w14:paraId="1B6E61DE" w14:textId="7CC987B9" w:rsidR="003A17E6" w:rsidRDefault="003A17E6">
      <w:pPr>
        <w:pStyle w:val="TOC2"/>
        <w:rPr>
          <w:rFonts w:asciiTheme="minorHAnsi" w:eastAsiaTheme="minorEastAsia" w:hAnsiTheme="minorHAnsi"/>
          <w:b w:val="0"/>
          <w:color w:val="auto"/>
          <w:sz w:val="24"/>
          <w:szCs w:val="24"/>
          <w:lang w:eastAsia="en-AU"/>
        </w:rPr>
      </w:pPr>
      <w:hyperlink w:anchor="_Toc233036373" w:history="1">
        <w:r w:rsidRPr="00091CC1">
          <w:rPr>
            <w:rStyle w:val="Hyperlink"/>
          </w:rPr>
          <w:t>2.1</w:t>
        </w:r>
        <w:r>
          <w:rPr>
            <w:rFonts w:asciiTheme="minorHAnsi" w:eastAsiaTheme="minorEastAsia" w:hAnsiTheme="minorHAnsi"/>
            <w:b w:val="0"/>
            <w:color w:val="auto"/>
            <w:sz w:val="24"/>
            <w:szCs w:val="24"/>
            <w:lang w:eastAsia="en-AU"/>
          </w:rPr>
          <w:tab/>
        </w:r>
        <w:r w:rsidRPr="00091CC1">
          <w:rPr>
            <w:rStyle w:val="Hyperlink"/>
          </w:rPr>
          <w:t>Active constituent</w:t>
        </w:r>
        <w:r>
          <w:rPr>
            <w:webHidden/>
          </w:rPr>
          <w:tab/>
        </w:r>
        <w:r>
          <w:rPr>
            <w:webHidden/>
          </w:rPr>
          <w:fldChar w:fldCharType="begin"/>
        </w:r>
        <w:r>
          <w:rPr>
            <w:webHidden/>
          </w:rPr>
          <w:instrText xml:space="preserve"> PAGEREF _Toc233036373 \h </w:instrText>
        </w:r>
        <w:r>
          <w:rPr>
            <w:webHidden/>
          </w:rPr>
        </w:r>
        <w:r>
          <w:rPr>
            <w:webHidden/>
          </w:rPr>
          <w:fldChar w:fldCharType="separate"/>
        </w:r>
        <w:r>
          <w:rPr>
            <w:webHidden/>
          </w:rPr>
          <w:t>7</w:t>
        </w:r>
        <w:r>
          <w:rPr>
            <w:webHidden/>
          </w:rPr>
          <w:fldChar w:fldCharType="end"/>
        </w:r>
      </w:hyperlink>
    </w:p>
    <w:p w14:paraId="74AD527E" w14:textId="7CC5CA09" w:rsidR="003A17E6" w:rsidRDefault="003A17E6">
      <w:pPr>
        <w:pStyle w:val="TOC3"/>
        <w:tabs>
          <w:tab w:val="left" w:pos="1200"/>
        </w:tabs>
        <w:rPr>
          <w:rFonts w:asciiTheme="minorHAnsi" w:eastAsiaTheme="minorEastAsia" w:hAnsiTheme="minorHAnsi"/>
          <w:sz w:val="24"/>
          <w:szCs w:val="24"/>
          <w:lang w:eastAsia="en-AU"/>
        </w:rPr>
      </w:pPr>
      <w:hyperlink w:anchor="_Toc233036374" w:history="1">
        <w:r w:rsidRPr="00091CC1">
          <w:rPr>
            <w:rStyle w:val="Hyperlink"/>
          </w:rPr>
          <w:t>2.1.1</w:t>
        </w:r>
        <w:r>
          <w:rPr>
            <w:rFonts w:asciiTheme="minorHAnsi" w:eastAsiaTheme="minorEastAsia" w:hAnsiTheme="minorHAnsi"/>
            <w:sz w:val="24"/>
            <w:szCs w:val="24"/>
            <w:lang w:eastAsia="en-AU"/>
          </w:rPr>
          <w:tab/>
        </w:r>
        <w:r w:rsidRPr="00091CC1">
          <w:rPr>
            <w:rStyle w:val="Hyperlink"/>
          </w:rPr>
          <w:t>Active Constituent Standards</w:t>
        </w:r>
        <w:r>
          <w:rPr>
            <w:webHidden/>
          </w:rPr>
          <w:tab/>
        </w:r>
        <w:r>
          <w:rPr>
            <w:webHidden/>
          </w:rPr>
          <w:fldChar w:fldCharType="begin"/>
        </w:r>
        <w:r>
          <w:rPr>
            <w:webHidden/>
          </w:rPr>
          <w:instrText xml:space="preserve"> PAGEREF _Toc233036374 \h </w:instrText>
        </w:r>
        <w:r>
          <w:rPr>
            <w:webHidden/>
          </w:rPr>
        </w:r>
        <w:r>
          <w:rPr>
            <w:webHidden/>
          </w:rPr>
          <w:fldChar w:fldCharType="separate"/>
        </w:r>
        <w:r>
          <w:rPr>
            <w:webHidden/>
          </w:rPr>
          <w:t>8</w:t>
        </w:r>
        <w:r>
          <w:rPr>
            <w:webHidden/>
          </w:rPr>
          <w:fldChar w:fldCharType="end"/>
        </w:r>
      </w:hyperlink>
    </w:p>
    <w:p w14:paraId="3842AB9A" w14:textId="4080AABE" w:rsidR="003A17E6" w:rsidRDefault="003A17E6">
      <w:pPr>
        <w:pStyle w:val="TOC3"/>
        <w:tabs>
          <w:tab w:val="left" w:pos="1200"/>
        </w:tabs>
        <w:rPr>
          <w:rFonts w:asciiTheme="minorHAnsi" w:eastAsiaTheme="minorEastAsia" w:hAnsiTheme="minorHAnsi"/>
          <w:sz w:val="24"/>
          <w:szCs w:val="24"/>
          <w:lang w:eastAsia="en-AU"/>
        </w:rPr>
      </w:pPr>
      <w:hyperlink w:anchor="_Toc233036375" w:history="1">
        <w:r w:rsidRPr="00091CC1">
          <w:rPr>
            <w:rStyle w:val="Hyperlink"/>
          </w:rPr>
          <w:t>2.1.2</w:t>
        </w:r>
        <w:r>
          <w:rPr>
            <w:rFonts w:asciiTheme="minorHAnsi" w:eastAsiaTheme="minorEastAsia" w:hAnsiTheme="minorHAnsi"/>
            <w:sz w:val="24"/>
            <w:szCs w:val="24"/>
            <w:lang w:eastAsia="en-AU"/>
          </w:rPr>
          <w:tab/>
        </w:r>
        <w:r w:rsidRPr="00091CC1">
          <w:rPr>
            <w:rStyle w:val="Hyperlink"/>
          </w:rPr>
          <w:t>Statutory considerations under the safety criteria – active constituents</w:t>
        </w:r>
        <w:r>
          <w:rPr>
            <w:webHidden/>
          </w:rPr>
          <w:tab/>
        </w:r>
        <w:r>
          <w:rPr>
            <w:webHidden/>
          </w:rPr>
          <w:fldChar w:fldCharType="begin"/>
        </w:r>
        <w:r>
          <w:rPr>
            <w:webHidden/>
          </w:rPr>
          <w:instrText xml:space="preserve"> PAGEREF _Toc233036375 \h </w:instrText>
        </w:r>
        <w:r>
          <w:rPr>
            <w:webHidden/>
          </w:rPr>
        </w:r>
        <w:r>
          <w:rPr>
            <w:webHidden/>
          </w:rPr>
          <w:fldChar w:fldCharType="separate"/>
        </w:r>
        <w:r>
          <w:rPr>
            <w:webHidden/>
          </w:rPr>
          <w:t>10</w:t>
        </w:r>
        <w:r>
          <w:rPr>
            <w:webHidden/>
          </w:rPr>
          <w:fldChar w:fldCharType="end"/>
        </w:r>
      </w:hyperlink>
    </w:p>
    <w:p w14:paraId="70BE0849" w14:textId="11467218" w:rsidR="003A17E6" w:rsidRDefault="003A17E6">
      <w:pPr>
        <w:pStyle w:val="TOC2"/>
        <w:rPr>
          <w:rFonts w:asciiTheme="minorHAnsi" w:eastAsiaTheme="minorEastAsia" w:hAnsiTheme="minorHAnsi"/>
          <w:b w:val="0"/>
          <w:color w:val="auto"/>
          <w:sz w:val="24"/>
          <w:szCs w:val="24"/>
          <w:lang w:eastAsia="en-AU"/>
        </w:rPr>
      </w:pPr>
      <w:hyperlink w:anchor="_Toc233036376" w:history="1">
        <w:r w:rsidRPr="00091CC1">
          <w:rPr>
            <w:rStyle w:val="Hyperlink"/>
          </w:rPr>
          <w:t>2.2</w:t>
        </w:r>
        <w:r>
          <w:rPr>
            <w:rFonts w:asciiTheme="minorHAnsi" w:eastAsiaTheme="minorEastAsia" w:hAnsiTheme="minorHAnsi"/>
            <w:b w:val="0"/>
            <w:color w:val="auto"/>
            <w:sz w:val="24"/>
            <w:szCs w:val="24"/>
            <w:lang w:eastAsia="en-AU"/>
          </w:rPr>
          <w:tab/>
        </w:r>
        <w:r w:rsidRPr="00091CC1">
          <w:rPr>
            <w:rStyle w:val="Hyperlink"/>
          </w:rPr>
          <w:t>Formulated products</w:t>
        </w:r>
        <w:r>
          <w:rPr>
            <w:webHidden/>
          </w:rPr>
          <w:tab/>
        </w:r>
        <w:r>
          <w:rPr>
            <w:webHidden/>
          </w:rPr>
          <w:fldChar w:fldCharType="begin"/>
        </w:r>
        <w:r>
          <w:rPr>
            <w:webHidden/>
          </w:rPr>
          <w:instrText xml:space="preserve"> PAGEREF _Toc233036376 \h </w:instrText>
        </w:r>
        <w:r>
          <w:rPr>
            <w:webHidden/>
          </w:rPr>
        </w:r>
        <w:r>
          <w:rPr>
            <w:webHidden/>
          </w:rPr>
          <w:fldChar w:fldCharType="separate"/>
        </w:r>
        <w:r>
          <w:rPr>
            <w:webHidden/>
          </w:rPr>
          <w:t>11</w:t>
        </w:r>
        <w:r>
          <w:rPr>
            <w:webHidden/>
          </w:rPr>
          <w:fldChar w:fldCharType="end"/>
        </w:r>
      </w:hyperlink>
    </w:p>
    <w:p w14:paraId="4550D473" w14:textId="7BDB4CAB" w:rsidR="003A17E6" w:rsidRDefault="003A17E6">
      <w:pPr>
        <w:pStyle w:val="TOC2"/>
        <w:rPr>
          <w:rFonts w:asciiTheme="minorHAnsi" w:eastAsiaTheme="minorEastAsia" w:hAnsiTheme="minorHAnsi"/>
          <w:b w:val="0"/>
          <w:color w:val="auto"/>
          <w:sz w:val="24"/>
          <w:szCs w:val="24"/>
          <w:lang w:eastAsia="en-AU"/>
        </w:rPr>
      </w:pPr>
      <w:hyperlink w:anchor="_Toc233036377" w:history="1">
        <w:r w:rsidRPr="00091CC1">
          <w:rPr>
            <w:rStyle w:val="Hyperlink"/>
          </w:rPr>
          <w:t>2.3</w:t>
        </w:r>
        <w:r>
          <w:rPr>
            <w:rFonts w:asciiTheme="minorHAnsi" w:eastAsiaTheme="minorEastAsia" w:hAnsiTheme="minorHAnsi"/>
            <w:b w:val="0"/>
            <w:color w:val="auto"/>
            <w:sz w:val="24"/>
            <w:szCs w:val="24"/>
            <w:lang w:eastAsia="en-AU"/>
          </w:rPr>
          <w:tab/>
        </w:r>
        <w:r w:rsidRPr="00091CC1">
          <w:rPr>
            <w:rStyle w:val="Hyperlink"/>
          </w:rPr>
          <w:t>Statutory considerations under the safety criteria – formulated products</w:t>
        </w:r>
        <w:r>
          <w:rPr>
            <w:webHidden/>
          </w:rPr>
          <w:tab/>
        </w:r>
        <w:r>
          <w:rPr>
            <w:webHidden/>
          </w:rPr>
          <w:fldChar w:fldCharType="begin"/>
        </w:r>
        <w:r>
          <w:rPr>
            <w:webHidden/>
          </w:rPr>
          <w:instrText xml:space="preserve"> PAGEREF _Toc233036377 \h </w:instrText>
        </w:r>
        <w:r>
          <w:rPr>
            <w:webHidden/>
          </w:rPr>
        </w:r>
        <w:r>
          <w:rPr>
            <w:webHidden/>
          </w:rPr>
          <w:fldChar w:fldCharType="separate"/>
        </w:r>
        <w:r>
          <w:rPr>
            <w:webHidden/>
          </w:rPr>
          <w:t>18</w:t>
        </w:r>
        <w:r>
          <w:rPr>
            <w:webHidden/>
          </w:rPr>
          <w:fldChar w:fldCharType="end"/>
        </w:r>
      </w:hyperlink>
    </w:p>
    <w:p w14:paraId="48F32A66" w14:textId="0E4BAC8E" w:rsidR="003A17E6" w:rsidRDefault="003A17E6">
      <w:pPr>
        <w:pStyle w:val="TOC2"/>
        <w:rPr>
          <w:rFonts w:asciiTheme="minorHAnsi" w:eastAsiaTheme="minorEastAsia" w:hAnsiTheme="minorHAnsi"/>
          <w:b w:val="0"/>
          <w:color w:val="auto"/>
          <w:sz w:val="24"/>
          <w:szCs w:val="24"/>
          <w:lang w:eastAsia="en-AU"/>
        </w:rPr>
      </w:pPr>
      <w:hyperlink w:anchor="_Toc233036378" w:history="1">
        <w:r w:rsidRPr="00091CC1">
          <w:rPr>
            <w:rStyle w:val="Hyperlink"/>
          </w:rPr>
          <w:t>2.4</w:t>
        </w:r>
        <w:r>
          <w:rPr>
            <w:rFonts w:asciiTheme="minorHAnsi" w:eastAsiaTheme="minorEastAsia" w:hAnsiTheme="minorHAnsi"/>
            <w:b w:val="0"/>
            <w:color w:val="auto"/>
            <w:sz w:val="24"/>
            <w:szCs w:val="24"/>
            <w:lang w:eastAsia="en-AU"/>
          </w:rPr>
          <w:tab/>
        </w:r>
        <w:r w:rsidRPr="00091CC1">
          <w:rPr>
            <w:rStyle w:val="Hyperlink"/>
          </w:rPr>
          <w:t>Recommendations</w:t>
        </w:r>
        <w:r>
          <w:rPr>
            <w:webHidden/>
          </w:rPr>
          <w:tab/>
        </w:r>
        <w:r>
          <w:rPr>
            <w:webHidden/>
          </w:rPr>
          <w:fldChar w:fldCharType="begin"/>
        </w:r>
        <w:r>
          <w:rPr>
            <w:webHidden/>
          </w:rPr>
          <w:instrText xml:space="preserve"> PAGEREF _Toc233036378 \h </w:instrText>
        </w:r>
        <w:r>
          <w:rPr>
            <w:webHidden/>
          </w:rPr>
        </w:r>
        <w:r>
          <w:rPr>
            <w:webHidden/>
          </w:rPr>
          <w:fldChar w:fldCharType="separate"/>
        </w:r>
        <w:r>
          <w:rPr>
            <w:webHidden/>
          </w:rPr>
          <w:t>19</w:t>
        </w:r>
        <w:r>
          <w:rPr>
            <w:webHidden/>
          </w:rPr>
          <w:fldChar w:fldCharType="end"/>
        </w:r>
      </w:hyperlink>
    </w:p>
    <w:p w14:paraId="33AE771A" w14:textId="6E09873B"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379" w:history="1">
        <w:r w:rsidRPr="00091CC1">
          <w:rPr>
            <w:rStyle w:val="Hyperlink"/>
          </w:rPr>
          <w:t>3</w:t>
        </w:r>
        <w:r>
          <w:rPr>
            <w:rFonts w:asciiTheme="minorHAnsi" w:eastAsiaTheme="minorEastAsia" w:hAnsiTheme="minorHAnsi" w:cstheme="minorBidi"/>
            <w:bCs w:val="0"/>
            <w:color w:val="auto"/>
            <w:kern w:val="2"/>
            <w:sz w:val="24"/>
            <w:szCs w:val="24"/>
            <w:lang w:eastAsia="en-AU"/>
          </w:rPr>
          <w:tab/>
        </w:r>
        <w:r w:rsidRPr="00091CC1">
          <w:rPr>
            <w:rStyle w:val="Hyperlink"/>
          </w:rPr>
          <w:t>Toxicology</w:t>
        </w:r>
        <w:r>
          <w:rPr>
            <w:webHidden/>
          </w:rPr>
          <w:tab/>
        </w:r>
        <w:r>
          <w:rPr>
            <w:webHidden/>
          </w:rPr>
          <w:fldChar w:fldCharType="begin"/>
        </w:r>
        <w:r>
          <w:rPr>
            <w:webHidden/>
          </w:rPr>
          <w:instrText xml:space="preserve"> PAGEREF _Toc233036379 \h </w:instrText>
        </w:r>
        <w:r>
          <w:rPr>
            <w:webHidden/>
          </w:rPr>
        </w:r>
        <w:r>
          <w:rPr>
            <w:webHidden/>
          </w:rPr>
          <w:fldChar w:fldCharType="separate"/>
        </w:r>
        <w:r>
          <w:rPr>
            <w:webHidden/>
          </w:rPr>
          <w:t>21</w:t>
        </w:r>
        <w:r>
          <w:rPr>
            <w:webHidden/>
          </w:rPr>
          <w:fldChar w:fldCharType="end"/>
        </w:r>
      </w:hyperlink>
    </w:p>
    <w:p w14:paraId="471BF770" w14:textId="5516508D" w:rsidR="003A17E6" w:rsidRDefault="003A17E6">
      <w:pPr>
        <w:pStyle w:val="TOC2"/>
        <w:rPr>
          <w:rFonts w:asciiTheme="minorHAnsi" w:eastAsiaTheme="minorEastAsia" w:hAnsiTheme="minorHAnsi"/>
          <w:b w:val="0"/>
          <w:color w:val="auto"/>
          <w:sz w:val="24"/>
          <w:szCs w:val="24"/>
          <w:lang w:eastAsia="en-AU"/>
        </w:rPr>
      </w:pPr>
      <w:hyperlink w:anchor="_Toc233036380" w:history="1">
        <w:r w:rsidRPr="00091CC1">
          <w:rPr>
            <w:rStyle w:val="Hyperlink"/>
          </w:rPr>
          <w:t>3.1</w:t>
        </w:r>
        <w:r>
          <w:rPr>
            <w:rFonts w:asciiTheme="minorHAnsi" w:eastAsiaTheme="minorEastAsia" w:hAnsiTheme="minorHAnsi"/>
            <w:b w:val="0"/>
            <w:color w:val="auto"/>
            <w:sz w:val="24"/>
            <w:szCs w:val="24"/>
            <w:lang w:eastAsia="en-AU"/>
          </w:rPr>
          <w:tab/>
        </w:r>
        <w:r w:rsidRPr="00091CC1">
          <w:rPr>
            <w:rStyle w:val="Hyperlink"/>
          </w:rPr>
          <w:t>Evaluation of toxicology</w:t>
        </w:r>
        <w:r>
          <w:rPr>
            <w:webHidden/>
          </w:rPr>
          <w:tab/>
        </w:r>
        <w:r>
          <w:rPr>
            <w:webHidden/>
          </w:rPr>
          <w:fldChar w:fldCharType="begin"/>
        </w:r>
        <w:r>
          <w:rPr>
            <w:webHidden/>
          </w:rPr>
          <w:instrText xml:space="preserve"> PAGEREF _Toc233036380 \h </w:instrText>
        </w:r>
        <w:r>
          <w:rPr>
            <w:webHidden/>
          </w:rPr>
        </w:r>
        <w:r>
          <w:rPr>
            <w:webHidden/>
          </w:rPr>
          <w:fldChar w:fldCharType="separate"/>
        </w:r>
        <w:r>
          <w:rPr>
            <w:webHidden/>
          </w:rPr>
          <w:t>21</w:t>
        </w:r>
        <w:r>
          <w:rPr>
            <w:webHidden/>
          </w:rPr>
          <w:fldChar w:fldCharType="end"/>
        </w:r>
      </w:hyperlink>
    </w:p>
    <w:p w14:paraId="16F0591C" w14:textId="7CF88B8B" w:rsidR="003A17E6" w:rsidRDefault="003A17E6">
      <w:pPr>
        <w:pStyle w:val="TOC3"/>
        <w:tabs>
          <w:tab w:val="left" w:pos="1200"/>
        </w:tabs>
        <w:rPr>
          <w:rFonts w:asciiTheme="minorHAnsi" w:eastAsiaTheme="minorEastAsia" w:hAnsiTheme="minorHAnsi"/>
          <w:sz w:val="24"/>
          <w:szCs w:val="24"/>
          <w:lang w:eastAsia="en-AU"/>
        </w:rPr>
      </w:pPr>
      <w:hyperlink w:anchor="_Toc233036381" w:history="1">
        <w:r w:rsidRPr="00091CC1">
          <w:rPr>
            <w:rStyle w:val="Hyperlink"/>
          </w:rPr>
          <w:t>3.1.1</w:t>
        </w:r>
        <w:r>
          <w:rPr>
            <w:rFonts w:asciiTheme="minorHAnsi" w:eastAsiaTheme="minorEastAsia" w:hAnsiTheme="minorHAnsi"/>
            <w:sz w:val="24"/>
            <w:szCs w:val="24"/>
            <w:lang w:eastAsia="en-AU"/>
          </w:rPr>
          <w:tab/>
        </w:r>
        <w:r w:rsidRPr="00091CC1">
          <w:rPr>
            <w:rStyle w:val="Hyperlink"/>
          </w:rPr>
          <w:t>Biochemical aspects</w:t>
        </w:r>
        <w:r>
          <w:rPr>
            <w:webHidden/>
          </w:rPr>
          <w:tab/>
        </w:r>
        <w:r>
          <w:rPr>
            <w:webHidden/>
          </w:rPr>
          <w:fldChar w:fldCharType="begin"/>
        </w:r>
        <w:r>
          <w:rPr>
            <w:webHidden/>
          </w:rPr>
          <w:instrText xml:space="preserve"> PAGEREF _Toc233036381 \h </w:instrText>
        </w:r>
        <w:r>
          <w:rPr>
            <w:webHidden/>
          </w:rPr>
        </w:r>
        <w:r>
          <w:rPr>
            <w:webHidden/>
          </w:rPr>
          <w:fldChar w:fldCharType="separate"/>
        </w:r>
        <w:r>
          <w:rPr>
            <w:webHidden/>
          </w:rPr>
          <w:t>21</w:t>
        </w:r>
        <w:r>
          <w:rPr>
            <w:webHidden/>
          </w:rPr>
          <w:fldChar w:fldCharType="end"/>
        </w:r>
      </w:hyperlink>
    </w:p>
    <w:p w14:paraId="1D973D59" w14:textId="508AF64E" w:rsidR="003A17E6" w:rsidRDefault="003A17E6">
      <w:pPr>
        <w:pStyle w:val="TOC3"/>
        <w:tabs>
          <w:tab w:val="left" w:pos="1200"/>
        </w:tabs>
        <w:rPr>
          <w:rFonts w:asciiTheme="minorHAnsi" w:eastAsiaTheme="minorEastAsia" w:hAnsiTheme="minorHAnsi"/>
          <w:sz w:val="24"/>
          <w:szCs w:val="24"/>
          <w:lang w:eastAsia="en-AU"/>
        </w:rPr>
      </w:pPr>
      <w:hyperlink w:anchor="_Toc233036382" w:history="1">
        <w:r w:rsidRPr="00091CC1">
          <w:rPr>
            <w:rStyle w:val="Hyperlink"/>
          </w:rPr>
          <w:t>3.1.2</w:t>
        </w:r>
        <w:r>
          <w:rPr>
            <w:rFonts w:asciiTheme="minorHAnsi" w:eastAsiaTheme="minorEastAsia" w:hAnsiTheme="minorHAnsi"/>
            <w:sz w:val="24"/>
            <w:szCs w:val="24"/>
            <w:lang w:eastAsia="en-AU"/>
          </w:rPr>
          <w:tab/>
        </w:r>
        <w:r w:rsidRPr="00091CC1">
          <w:rPr>
            <w:rStyle w:val="Hyperlink"/>
          </w:rPr>
          <w:t>Major toxicological mode(s) of action and key events</w:t>
        </w:r>
        <w:r>
          <w:rPr>
            <w:webHidden/>
          </w:rPr>
          <w:tab/>
        </w:r>
        <w:r>
          <w:rPr>
            <w:webHidden/>
          </w:rPr>
          <w:fldChar w:fldCharType="begin"/>
        </w:r>
        <w:r>
          <w:rPr>
            <w:webHidden/>
          </w:rPr>
          <w:instrText xml:space="preserve"> PAGEREF _Toc233036382 \h </w:instrText>
        </w:r>
        <w:r>
          <w:rPr>
            <w:webHidden/>
          </w:rPr>
        </w:r>
        <w:r>
          <w:rPr>
            <w:webHidden/>
          </w:rPr>
          <w:fldChar w:fldCharType="separate"/>
        </w:r>
        <w:r>
          <w:rPr>
            <w:webHidden/>
          </w:rPr>
          <w:t>22</w:t>
        </w:r>
        <w:r>
          <w:rPr>
            <w:webHidden/>
          </w:rPr>
          <w:fldChar w:fldCharType="end"/>
        </w:r>
      </w:hyperlink>
    </w:p>
    <w:p w14:paraId="4E193F52" w14:textId="782421A5" w:rsidR="003A17E6" w:rsidRDefault="003A17E6">
      <w:pPr>
        <w:pStyle w:val="TOC3"/>
        <w:tabs>
          <w:tab w:val="left" w:pos="1200"/>
        </w:tabs>
        <w:rPr>
          <w:rFonts w:asciiTheme="minorHAnsi" w:eastAsiaTheme="minorEastAsia" w:hAnsiTheme="minorHAnsi"/>
          <w:sz w:val="24"/>
          <w:szCs w:val="24"/>
          <w:lang w:eastAsia="en-AU"/>
        </w:rPr>
      </w:pPr>
      <w:hyperlink w:anchor="_Toc233036383" w:history="1">
        <w:r w:rsidRPr="00091CC1">
          <w:rPr>
            <w:rStyle w:val="Hyperlink"/>
          </w:rPr>
          <w:t>3.1.3</w:t>
        </w:r>
        <w:r>
          <w:rPr>
            <w:rFonts w:asciiTheme="minorHAnsi" w:eastAsiaTheme="minorEastAsia" w:hAnsiTheme="minorHAnsi"/>
            <w:sz w:val="24"/>
            <w:szCs w:val="24"/>
            <w:lang w:eastAsia="en-AU"/>
          </w:rPr>
          <w:tab/>
        </w:r>
        <w:r w:rsidRPr="00091CC1">
          <w:rPr>
            <w:rStyle w:val="Hyperlink"/>
          </w:rPr>
          <w:t>Acute toxicity in animals</w:t>
        </w:r>
        <w:r>
          <w:rPr>
            <w:webHidden/>
          </w:rPr>
          <w:tab/>
        </w:r>
        <w:r>
          <w:rPr>
            <w:webHidden/>
          </w:rPr>
          <w:fldChar w:fldCharType="begin"/>
        </w:r>
        <w:r>
          <w:rPr>
            <w:webHidden/>
          </w:rPr>
          <w:instrText xml:space="preserve"> PAGEREF _Toc233036383 \h </w:instrText>
        </w:r>
        <w:r>
          <w:rPr>
            <w:webHidden/>
          </w:rPr>
        </w:r>
        <w:r>
          <w:rPr>
            <w:webHidden/>
          </w:rPr>
          <w:fldChar w:fldCharType="separate"/>
        </w:r>
        <w:r>
          <w:rPr>
            <w:webHidden/>
          </w:rPr>
          <w:t>22</w:t>
        </w:r>
        <w:r>
          <w:rPr>
            <w:webHidden/>
          </w:rPr>
          <w:fldChar w:fldCharType="end"/>
        </w:r>
      </w:hyperlink>
    </w:p>
    <w:p w14:paraId="399F0B46" w14:textId="2DB3FF81" w:rsidR="003A17E6" w:rsidRDefault="003A17E6">
      <w:pPr>
        <w:pStyle w:val="TOC3"/>
        <w:tabs>
          <w:tab w:val="left" w:pos="1200"/>
        </w:tabs>
        <w:rPr>
          <w:rFonts w:asciiTheme="minorHAnsi" w:eastAsiaTheme="minorEastAsia" w:hAnsiTheme="minorHAnsi"/>
          <w:sz w:val="24"/>
          <w:szCs w:val="24"/>
          <w:lang w:eastAsia="en-AU"/>
        </w:rPr>
      </w:pPr>
      <w:hyperlink w:anchor="_Toc233036384" w:history="1">
        <w:r w:rsidRPr="00091CC1">
          <w:rPr>
            <w:rStyle w:val="Hyperlink"/>
          </w:rPr>
          <w:t>3.1.4</w:t>
        </w:r>
        <w:r>
          <w:rPr>
            <w:rFonts w:asciiTheme="minorHAnsi" w:eastAsiaTheme="minorEastAsia" w:hAnsiTheme="minorHAnsi"/>
            <w:sz w:val="24"/>
            <w:szCs w:val="24"/>
            <w:lang w:eastAsia="en-AU"/>
          </w:rPr>
          <w:tab/>
        </w:r>
        <w:r w:rsidRPr="00091CC1">
          <w:rPr>
            <w:rStyle w:val="Hyperlink"/>
          </w:rPr>
          <w:t>Acute toxicity in humans</w:t>
        </w:r>
        <w:r>
          <w:rPr>
            <w:webHidden/>
          </w:rPr>
          <w:tab/>
        </w:r>
        <w:r>
          <w:rPr>
            <w:webHidden/>
          </w:rPr>
          <w:fldChar w:fldCharType="begin"/>
        </w:r>
        <w:r>
          <w:rPr>
            <w:webHidden/>
          </w:rPr>
          <w:instrText xml:space="preserve"> PAGEREF _Toc233036384 \h </w:instrText>
        </w:r>
        <w:r>
          <w:rPr>
            <w:webHidden/>
          </w:rPr>
        </w:r>
        <w:r>
          <w:rPr>
            <w:webHidden/>
          </w:rPr>
          <w:fldChar w:fldCharType="separate"/>
        </w:r>
        <w:r>
          <w:rPr>
            <w:webHidden/>
          </w:rPr>
          <w:t>22</w:t>
        </w:r>
        <w:r>
          <w:rPr>
            <w:webHidden/>
          </w:rPr>
          <w:fldChar w:fldCharType="end"/>
        </w:r>
      </w:hyperlink>
    </w:p>
    <w:p w14:paraId="25805825" w14:textId="4242E393" w:rsidR="003A17E6" w:rsidRDefault="003A17E6">
      <w:pPr>
        <w:pStyle w:val="TOC3"/>
        <w:tabs>
          <w:tab w:val="left" w:pos="1200"/>
        </w:tabs>
        <w:rPr>
          <w:rFonts w:asciiTheme="minorHAnsi" w:eastAsiaTheme="minorEastAsia" w:hAnsiTheme="minorHAnsi"/>
          <w:sz w:val="24"/>
          <w:szCs w:val="24"/>
          <w:lang w:eastAsia="en-AU"/>
        </w:rPr>
      </w:pPr>
      <w:hyperlink w:anchor="_Toc233036385" w:history="1">
        <w:r w:rsidRPr="00091CC1">
          <w:rPr>
            <w:rStyle w:val="Hyperlink"/>
          </w:rPr>
          <w:t>3.1.5</w:t>
        </w:r>
        <w:r>
          <w:rPr>
            <w:rFonts w:asciiTheme="minorHAnsi" w:eastAsiaTheme="minorEastAsia" w:hAnsiTheme="minorHAnsi"/>
            <w:sz w:val="24"/>
            <w:szCs w:val="24"/>
            <w:lang w:eastAsia="en-AU"/>
          </w:rPr>
          <w:tab/>
        </w:r>
        <w:r w:rsidRPr="00091CC1">
          <w:rPr>
            <w:rStyle w:val="Hyperlink"/>
          </w:rPr>
          <w:t>Repeat dose toxicity</w:t>
        </w:r>
        <w:r>
          <w:rPr>
            <w:webHidden/>
          </w:rPr>
          <w:tab/>
        </w:r>
        <w:r>
          <w:rPr>
            <w:webHidden/>
          </w:rPr>
          <w:fldChar w:fldCharType="begin"/>
        </w:r>
        <w:r>
          <w:rPr>
            <w:webHidden/>
          </w:rPr>
          <w:instrText xml:space="preserve"> PAGEREF _Toc233036385 \h </w:instrText>
        </w:r>
        <w:r>
          <w:rPr>
            <w:webHidden/>
          </w:rPr>
        </w:r>
        <w:r>
          <w:rPr>
            <w:webHidden/>
          </w:rPr>
          <w:fldChar w:fldCharType="separate"/>
        </w:r>
        <w:r>
          <w:rPr>
            <w:webHidden/>
          </w:rPr>
          <w:t>22</w:t>
        </w:r>
        <w:r>
          <w:rPr>
            <w:webHidden/>
          </w:rPr>
          <w:fldChar w:fldCharType="end"/>
        </w:r>
      </w:hyperlink>
    </w:p>
    <w:p w14:paraId="47C24381" w14:textId="66ADF1F0" w:rsidR="003A17E6" w:rsidRDefault="003A17E6">
      <w:pPr>
        <w:pStyle w:val="TOC3"/>
        <w:tabs>
          <w:tab w:val="left" w:pos="1200"/>
        </w:tabs>
        <w:rPr>
          <w:rFonts w:asciiTheme="minorHAnsi" w:eastAsiaTheme="minorEastAsia" w:hAnsiTheme="minorHAnsi"/>
          <w:sz w:val="24"/>
          <w:szCs w:val="24"/>
          <w:lang w:eastAsia="en-AU"/>
        </w:rPr>
      </w:pPr>
      <w:hyperlink w:anchor="_Toc233036386" w:history="1">
        <w:r w:rsidRPr="00091CC1">
          <w:rPr>
            <w:rStyle w:val="Hyperlink"/>
          </w:rPr>
          <w:t>3.1.6</w:t>
        </w:r>
        <w:r>
          <w:rPr>
            <w:rFonts w:asciiTheme="minorHAnsi" w:eastAsiaTheme="minorEastAsia" w:hAnsiTheme="minorHAnsi"/>
            <w:sz w:val="24"/>
            <w:szCs w:val="24"/>
            <w:lang w:eastAsia="en-AU"/>
          </w:rPr>
          <w:tab/>
        </w:r>
        <w:r w:rsidRPr="00091CC1">
          <w:rPr>
            <w:rStyle w:val="Hyperlink"/>
          </w:rPr>
          <w:t>Special studies</w:t>
        </w:r>
        <w:r>
          <w:rPr>
            <w:webHidden/>
          </w:rPr>
          <w:tab/>
        </w:r>
        <w:r>
          <w:rPr>
            <w:webHidden/>
          </w:rPr>
          <w:fldChar w:fldCharType="begin"/>
        </w:r>
        <w:r>
          <w:rPr>
            <w:webHidden/>
          </w:rPr>
          <w:instrText xml:space="preserve"> PAGEREF _Toc233036386 \h </w:instrText>
        </w:r>
        <w:r>
          <w:rPr>
            <w:webHidden/>
          </w:rPr>
        </w:r>
        <w:r>
          <w:rPr>
            <w:webHidden/>
          </w:rPr>
          <w:fldChar w:fldCharType="separate"/>
        </w:r>
        <w:r>
          <w:rPr>
            <w:webHidden/>
          </w:rPr>
          <w:t>24</w:t>
        </w:r>
        <w:r>
          <w:rPr>
            <w:webHidden/>
          </w:rPr>
          <w:fldChar w:fldCharType="end"/>
        </w:r>
      </w:hyperlink>
    </w:p>
    <w:p w14:paraId="02A49152" w14:textId="174E562D" w:rsidR="003A17E6" w:rsidRDefault="003A17E6">
      <w:pPr>
        <w:pStyle w:val="TOC2"/>
        <w:rPr>
          <w:rFonts w:asciiTheme="minorHAnsi" w:eastAsiaTheme="minorEastAsia" w:hAnsiTheme="minorHAnsi"/>
          <w:b w:val="0"/>
          <w:color w:val="auto"/>
          <w:sz w:val="24"/>
          <w:szCs w:val="24"/>
          <w:lang w:eastAsia="en-AU"/>
        </w:rPr>
      </w:pPr>
      <w:hyperlink w:anchor="_Toc233036387" w:history="1">
        <w:r w:rsidRPr="00091CC1">
          <w:rPr>
            <w:rStyle w:val="Hyperlink"/>
          </w:rPr>
          <w:t>3.2</w:t>
        </w:r>
        <w:r>
          <w:rPr>
            <w:rFonts w:asciiTheme="minorHAnsi" w:eastAsiaTheme="minorEastAsia" w:hAnsiTheme="minorHAnsi"/>
            <w:b w:val="0"/>
            <w:color w:val="auto"/>
            <w:sz w:val="24"/>
            <w:szCs w:val="24"/>
            <w:lang w:eastAsia="en-AU"/>
          </w:rPr>
          <w:tab/>
        </w:r>
        <w:r w:rsidRPr="00091CC1">
          <w:rPr>
            <w:rStyle w:val="Hyperlink"/>
          </w:rPr>
          <w:t>Health-based guidance values</w:t>
        </w:r>
        <w:r>
          <w:rPr>
            <w:webHidden/>
          </w:rPr>
          <w:tab/>
        </w:r>
        <w:r>
          <w:rPr>
            <w:webHidden/>
          </w:rPr>
          <w:fldChar w:fldCharType="begin"/>
        </w:r>
        <w:r>
          <w:rPr>
            <w:webHidden/>
          </w:rPr>
          <w:instrText xml:space="preserve"> PAGEREF _Toc233036387 \h </w:instrText>
        </w:r>
        <w:r>
          <w:rPr>
            <w:webHidden/>
          </w:rPr>
        </w:r>
        <w:r>
          <w:rPr>
            <w:webHidden/>
          </w:rPr>
          <w:fldChar w:fldCharType="separate"/>
        </w:r>
        <w:r>
          <w:rPr>
            <w:webHidden/>
          </w:rPr>
          <w:t>26</w:t>
        </w:r>
        <w:r>
          <w:rPr>
            <w:webHidden/>
          </w:rPr>
          <w:fldChar w:fldCharType="end"/>
        </w:r>
      </w:hyperlink>
    </w:p>
    <w:p w14:paraId="7E67A803" w14:textId="244C11EC" w:rsidR="003A17E6" w:rsidRDefault="003A17E6">
      <w:pPr>
        <w:pStyle w:val="TOC2"/>
        <w:rPr>
          <w:rFonts w:asciiTheme="minorHAnsi" w:eastAsiaTheme="minorEastAsia" w:hAnsiTheme="minorHAnsi"/>
          <w:b w:val="0"/>
          <w:color w:val="auto"/>
          <w:sz w:val="24"/>
          <w:szCs w:val="24"/>
          <w:lang w:eastAsia="en-AU"/>
        </w:rPr>
      </w:pPr>
      <w:hyperlink w:anchor="_Toc233036388" w:history="1">
        <w:r w:rsidRPr="00091CC1">
          <w:rPr>
            <w:rStyle w:val="Hyperlink"/>
          </w:rPr>
          <w:t>3.3</w:t>
        </w:r>
        <w:r>
          <w:rPr>
            <w:rFonts w:asciiTheme="minorHAnsi" w:eastAsiaTheme="minorEastAsia" w:hAnsiTheme="minorHAnsi"/>
            <w:b w:val="0"/>
            <w:color w:val="auto"/>
            <w:sz w:val="24"/>
            <w:szCs w:val="24"/>
            <w:lang w:eastAsia="en-AU"/>
          </w:rPr>
          <w:tab/>
        </w:r>
        <w:r w:rsidRPr="00091CC1">
          <w:rPr>
            <w:rStyle w:val="Hyperlink"/>
          </w:rPr>
          <w:t>Poisons scheduling</w:t>
        </w:r>
        <w:r>
          <w:rPr>
            <w:webHidden/>
          </w:rPr>
          <w:tab/>
        </w:r>
        <w:r>
          <w:rPr>
            <w:webHidden/>
          </w:rPr>
          <w:fldChar w:fldCharType="begin"/>
        </w:r>
        <w:r>
          <w:rPr>
            <w:webHidden/>
          </w:rPr>
          <w:instrText xml:space="preserve"> PAGEREF _Toc233036388 \h </w:instrText>
        </w:r>
        <w:r>
          <w:rPr>
            <w:webHidden/>
          </w:rPr>
        </w:r>
        <w:r>
          <w:rPr>
            <w:webHidden/>
          </w:rPr>
          <w:fldChar w:fldCharType="separate"/>
        </w:r>
        <w:r>
          <w:rPr>
            <w:webHidden/>
          </w:rPr>
          <w:t>28</w:t>
        </w:r>
        <w:r>
          <w:rPr>
            <w:webHidden/>
          </w:rPr>
          <w:fldChar w:fldCharType="end"/>
        </w:r>
      </w:hyperlink>
    </w:p>
    <w:p w14:paraId="69A58841" w14:textId="7AD2302D" w:rsidR="003A17E6" w:rsidRDefault="003A17E6">
      <w:pPr>
        <w:pStyle w:val="TOC2"/>
        <w:rPr>
          <w:rFonts w:asciiTheme="minorHAnsi" w:eastAsiaTheme="minorEastAsia" w:hAnsiTheme="minorHAnsi"/>
          <w:b w:val="0"/>
          <w:color w:val="auto"/>
          <w:sz w:val="24"/>
          <w:szCs w:val="24"/>
          <w:lang w:eastAsia="en-AU"/>
        </w:rPr>
      </w:pPr>
      <w:hyperlink w:anchor="_Toc233036389" w:history="1">
        <w:r w:rsidRPr="00091CC1">
          <w:rPr>
            <w:rStyle w:val="Hyperlink"/>
          </w:rPr>
          <w:t>3.4</w:t>
        </w:r>
        <w:r>
          <w:rPr>
            <w:rFonts w:asciiTheme="minorHAnsi" w:eastAsiaTheme="minorEastAsia" w:hAnsiTheme="minorHAnsi"/>
            <w:b w:val="0"/>
            <w:color w:val="auto"/>
            <w:sz w:val="24"/>
            <w:szCs w:val="24"/>
            <w:lang w:eastAsia="en-AU"/>
          </w:rPr>
          <w:tab/>
        </w:r>
        <w:r w:rsidRPr="00091CC1">
          <w:rPr>
            <w:rStyle w:val="Hyperlink"/>
          </w:rPr>
          <w:t>Recommendations</w:t>
        </w:r>
        <w:r>
          <w:rPr>
            <w:webHidden/>
          </w:rPr>
          <w:tab/>
        </w:r>
        <w:r>
          <w:rPr>
            <w:webHidden/>
          </w:rPr>
          <w:fldChar w:fldCharType="begin"/>
        </w:r>
        <w:r>
          <w:rPr>
            <w:webHidden/>
          </w:rPr>
          <w:instrText xml:space="preserve"> PAGEREF _Toc233036389 \h </w:instrText>
        </w:r>
        <w:r>
          <w:rPr>
            <w:webHidden/>
          </w:rPr>
        </w:r>
        <w:r>
          <w:rPr>
            <w:webHidden/>
          </w:rPr>
          <w:fldChar w:fldCharType="separate"/>
        </w:r>
        <w:r>
          <w:rPr>
            <w:webHidden/>
          </w:rPr>
          <w:t>28</w:t>
        </w:r>
        <w:r>
          <w:rPr>
            <w:webHidden/>
          </w:rPr>
          <w:fldChar w:fldCharType="end"/>
        </w:r>
      </w:hyperlink>
    </w:p>
    <w:p w14:paraId="0E691EA0" w14:textId="497B85AE"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390" w:history="1">
        <w:r w:rsidRPr="00091CC1">
          <w:rPr>
            <w:rStyle w:val="Hyperlink"/>
          </w:rPr>
          <w:t>4</w:t>
        </w:r>
        <w:r>
          <w:rPr>
            <w:rFonts w:asciiTheme="minorHAnsi" w:eastAsiaTheme="minorEastAsia" w:hAnsiTheme="minorHAnsi" w:cstheme="minorBidi"/>
            <w:bCs w:val="0"/>
            <w:color w:val="auto"/>
            <w:kern w:val="2"/>
            <w:sz w:val="24"/>
            <w:szCs w:val="24"/>
            <w:lang w:eastAsia="en-AU"/>
          </w:rPr>
          <w:tab/>
        </w:r>
        <w:r w:rsidRPr="00091CC1">
          <w:rPr>
            <w:rStyle w:val="Hyperlink"/>
          </w:rPr>
          <w:t>Worker health and safety</w:t>
        </w:r>
        <w:r>
          <w:rPr>
            <w:webHidden/>
          </w:rPr>
          <w:tab/>
        </w:r>
        <w:r>
          <w:rPr>
            <w:webHidden/>
          </w:rPr>
          <w:fldChar w:fldCharType="begin"/>
        </w:r>
        <w:r>
          <w:rPr>
            <w:webHidden/>
          </w:rPr>
          <w:instrText xml:space="preserve"> PAGEREF _Toc233036390 \h </w:instrText>
        </w:r>
        <w:r>
          <w:rPr>
            <w:webHidden/>
          </w:rPr>
        </w:r>
        <w:r>
          <w:rPr>
            <w:webHidden/>
          </w:rPr>
          <w:fldChar w:fldCharType="separate"/>
        </w:r>
        <w:r>
          <w:rPr>
            <w:webHidden/>
          </w:rPr>
          <w:t>30</w:t>
        </w:r>
        <w:r>
          <w:rPr>
            <w:webHidden/>
          </w:rPr>
          <w:fldChar w:fldCharType="end"/>
        </w:r>
      </w:hyperlink>
    </w:p>
    <w:p w14:paraId="71C8A103" w14:textId="5DAA091A" w:rsidR="003A17E6" w:rsidRDefault="003A17E6">
      <w:pPr>
        <w:pStyle w:val="TOC2"/>
        <w:rPr>
          <w:rFonts w:asciiTheme="minorHAnsi" w:eastAsiaTheme="minorEastAsia" w:hAnsiTheme="minorHAnsi"/>
          <w:b w:val="0"/>
          <w:color w:val="auto"/>
          <w:sz w:val="24"/>
          <w:szCs w:val="24"/>
          <w:lang w:eastAsia="en-AU"/>
        </w:rPr>
      </w:pPr>
      <w:hyperlink w:anchor="_Toc233036391" w:history="1">
        <w:r w:rsidRPr="00091CC1">
          <w:rPr>
            <w:rStyle w:val="Hyperlink"/>
          </w:rPr>
          <w:t>4.1</w:t>
        </w:r>
        <w:r>
          <w:rPr>
            <w:rFonts w:asciiTheme="minorHAnsi" w:eastAsiaTheme="minorEastAsia" w:hAnsiTheme="minorHAnsi"/>
            <w:b w:val="0"/>
            <w:color w:val="auto"/>
            <w:sz w:val="24"/>
            <w:szCs w:val="24"/>
            <w:lang w:eastAsia="en-AU"/>
          </w:rPr>
          <w:tab/>
        </w:r>
        <w:r w:rsidRPr="00091CC1">
          <w:rPr>
            <w:rStyle w:val="Hyperlink"/>
          </w:rPr>
          <w:t>Worker exposure assessment</w:t>
        </w:r>
        <w:r>
          <w:rPr>
            <w:webHidden/>
          </w:rPr>
          <w:tab/>
        </w:r>
        <w:r>
          <w:rPr>
            <w:webHidden/>
          </w:rPr>
          <w:fldChar w:fldCharType="begin"/>
        </w:r>
        <w:r>
          <w:rPr>
            <w:webHidden/>
          </w:rPr>
          <w:instrText xml:space="preserve"> PAGEREF _Toc233036391 \h </w:instrText>
        </w:r>
        <w:r>
          <w:rPr>
            <w:webHidden/>
          </w:rPr>
        </w:r>
        <w:r>
          <w:rPr>
            <w:webHidden/>
          </w:rPr>
          <w:fldChar w:fldCharType="separate"/>
        </w:r>
        <w:r>
          <w:rPr>
            <w:webHidden/>
          </w:rPr>
          <w:t>30</w:t>
        </w:r>
        <w:r>
          <w:rPr>
            <w:webHidden/>
          </w:rPr>
          <w:fldChar w:fldCharType="end"/>
        </w:r>
      </w:hyperlink>
    </w:p>
    <w:p w14:paraId="38D5D578" w14:textId="362EBBE2" w:rsidR="003A17E6" w:rsidRDefault="003A17E6">
      <w:pPr>
        <w:pStyle w:val="TOC3"/>
        <w:tabs>
          <w:tab w:val="left" w:pos="1200"/>
        </w:tabs>
        <w:rPr>
          <w:rFonts w:asciiTheme="minorHAnsi" w:eastAsiaTheme="minorEastAsia" w:hAnsiTheme="minorHAnsi"/>
          <w:sz w:val="24"/>
          <w:szCs w:val="24"/>
          <w:lang w:eastAsia="en-AU"/>
        </w:rPr>
      </w:pPr>
      <w:hyperlink w:anchor="_Toc233036392" w:history="1">
        <w:r w:rsidRPr="00091CC1">
          <w:rPr>
            <w:rStyle w:val="Hyperlink"/>
          </w:rPr>
          <w:t>4.1.1</w:t>
        </w:r>
        <w:r>
          <w:rPr>
            <w:rFonts w:asciiTheme="minorHAnsi" w:eastAsiaTheme="minorEastAsia" w:hAnsiTheme="minorHAnsi"/>
            <w:sz w:val="24"/>
            <w:szCs w:val="24"/>
            <w:lang w:eastAsia="en-AU"/>
          </w:rPr>
          <w:tab/>
        </w:r>
        <w:r w:rsidRPr="00091CC1">
          <w:rPr>
            <w:rStyle w:val="Hyperlink"/>
          </w:rPr>
          <w:t>Ground-based application</w:t>
        </w:r>
        <w:r>
          <w:rPr>
            <w:webHidden/>
          </w:rPr>
          <w:tab/>
        </w:r>
        <w:r>
          <w:rPr>
            <w:webHidden/>
          </w:rPr>
          <w:fldChar w:fldCharType="begin"/>
        </w:r>
        <w:r>
          <w:rPr>
            <w:webHidden/>
          </w:rPr>
          <w:instrText xml:space="preserve"> PAGEREF _Toc233036392 \h </w:instrText>
        </w:r>
        <w:r>
          <w:rPr>
            <w:webHidden/>
          </w:rPr>
        </w:r>
        <w:r>
          <w:rPr>
            <w:webHidden/>
          </w:rPr>
          <w:fldChar w:fldCharType="separate"/>
        </w:r>
        <w:r>
          <w:rPr>
            <w:webHidden/>
          </w:rPr>
          <w:t>31</w:t>
        </w:r>
        <w:r>
          <w:rPr>
            <w:webHidden/>
          </w:rPr>
          <w:fldChar w:fldCharType="end"/>
        </w:r>
      </w:hyperlink>
    </w:p>
    <w:p w14:paraId="7E6B2D4A" w14:textId="786F901A" w:rsidR="003A17E6" w:rsidRDefault="003A17E6">
      <w:pPr>
        <w:pStyle w:val="TOC3"/>
        <w:tabs>
          <w:tab w:val="left" w:pos="1200"/>
        </w:tabs>
        <w:rPr>
          <w:rFonts w:asciiTheme="minorHAnsi" w:eastAsiaTheme="minorEastAsia" w:hAnsiTheme="minorHAnsi"/>
          <w:sz w:val="24"/>
          <w:szCs w:val="24"/>
          <w:lang w:eastAsia="en-AU"/>
        </w:rPr>
      </w:pPr>
      <w:hyperlink w:anchor="_Toc233036393" w:history="1">
        <w:r w:rsidRPr="00091CC1">
          <w:rPr>
            <w:rStyle w:val="Hyperlink"/>
          </w:rPr>
          <w:t>4.1.2</w:t>
        </w:r>
        <w:r>
          <w:rPr>
            <w:rFonts w:asciiTheme="minorHAnsi" w:eastAsiaTheme="minorEastAsia" w:hAnsiTheme="minorHAnsi"/>
            <w:sz w:val="24"/>
            <w:szCs w:val="24"/>
            <w:lang w:eastAsia="en-AU"/>
          </w:rPr>
          <w:tab/>
        </w:r>
        <w:r w:rsidRPr="00091CC1">
          <w:rPr>
            <w:rStyle w:val="Hyperlink"/>
          </w:rPr>
          <w:t>Re-entry to treated areas</w:t>
        </w:r>
        <w:r>
          <w:rPr>
            <w:webHidden/>
          </w:rPr>
          <w:tab/>
        </w:r>
        <w:r>
          <w:rPr>
            <w:webHidden/>
          </w:rPr>
          <w:fldChar w:fldCharType="begin"/>
        </w:r>
        <w:r>
          <w:rPr>
            <w:webHidden/>
          </w:rPr>
          <w:instrText xml:space="preserve"> PAGEREF _Toc233036393 \h </w:instrText>
        </w:r>
        <w:r>
          <w:rPr>
            <w:webHidden/>
          </w:rPr>
        </w:r>
        <w:r>
          <w:rPr>
            <w:webHidden/>
          </w:rPr>
          <w:fldChar w:fldCharType="separate"/>
        </w:r>
        <w:r>
          <w:rPr>
            <w:webHidden/>
          </w:rPr>
          <w:t>34</w:t>
        </w:r>
        <w:r>
          <w:rPr>
            <w:webHidden/>
          </w:rPr>
          <w:fldChar w:fldCharType="end"/>
        </w:r>
      </w:hyperlink>
    </w:p>
    <w:p w14:paraId="70B561C5" w14:textId="4D4C08C7" w:rsidR="003A17E6" w:rsidRDefault="003A17E6">
      <w:pPr>
        <w:pStyle w:val="TOC3"/>
        <w:tabs>
          <w:tab w:val="left" w:pos="1200"/>
        </w:tabs>
        <w:rPr>
          <w:rFonts w:asciiTheme="minorHAnsi" w:eastAsiaTheme="minorEastAsia" w:hAnsiTheme="minorHAnsi"/>
          <w:sz w:val="24"/>
          <w:szCs w:val="24"/>
          <w:lang w:eastAsia="en-AU"/>
        </w:rPr>
      </w:pPr>
      <w:hyperlink w:anchor="_Toc233036394" w:history="1">
        <w:r w:rsidRPr="00091CC1">
          <w:rPr>
            <w:rStyle w:val="Hyperlink"/>
          </w:rPr>
          <w:t>4.1.3</w:t>
        </w:r>
        <w:r>
          <w:rPr>
            <w:rFonts w:asciiTheme="minorHAnsi" w:eastAsiaTheme="minorEastAsia" w:hAnsiTheme="minorHAnsi"/>
            <w:sz w:val="24"/>
            <w:szCs w:val="24"/>
            <w:lang w:eastAsia="en-AU"/>
          </w:rPr>
          <w:tab/>
        </w:r>
        <w:r w:rsidRPr="00091CC1">
          <w:rPr>
            <w:rStyle w:val="Hyperlink"/>
          </w:rPr>
          <w:t>Recommended label changes</w:t>
        </w:r>
        <w:r>
          <w:rPr>
            <w:webHidden/>
          </w:rPr>
          <w:tab/>
        </w:r>
        <w:r>
          <w:rPr>
            <w:webHidden/>
          </w:rPr>
          <w:fldChar w:fldCharType="begin"/>
        </w:r>
        <w:r>
          <w:rPr>
            <w:webHidden/>
          </w:rPr>
          <w:instrText xml:space="preserve"> PAGEREF _Toc233036394 \h </w:instrText>
        </w:r>
        <w:r>
          <w:rPr>
            <w:webHidden/>
          </w:rPr>
        </w:r>
        <w:r>
          <w:rPr>
            <w:webHidden/>
          </w:rPr>
          <w:fldChar w:fldCharType="separate"/>
        </w:r>
        <w:r>
          <w:rPr>
            <w:webHidden/>
          </w:rPr>
          <w:t>35</w:t>
        </w:r>
        <w:r>
          <w:rPr>
            <w:webHidden/>
          </w:rPr>
          <w:fldChar w:fldCharType="end"/>
        </w:r>
      </w:hyperlink>
    </w:p>
    <w:p w14:paraId="7974C65D" w14:textId="1AF69F8B"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395" w:history="1">
        <w:r w:rsidRPr="00091CC1">
          <w:rPr>
            <w:rStyle w:val="Hyperlink"/>
          </w:rPr>
          <w:t>5</w:t>
        </w:r>
        <w:r>
          <w:rPr>
            <w:rFonts w:asciiTheme="minorHAnsi" w:eastAsiaTheme="minorEastAsia" w:hAnsiTheme="minorHAnsi" w:cstheme="minorBidi"/>
            <w:bCs w:val="0"/>
            <w:color w:val="auto"/>
            <w:kern w:val="2"/>
            <w:sz w:val="24"/>
            <w:szCs w:val="24"/>
            <w:lang w:eastAsia="en-AU"/>
          </w:rPr>
          <w:tab/>
        </w:r>
        <w:r w:rsidRPr="00091CC1">
          <w:rPr>
            <w:rStyle w:val="Hyperlink"/>
          </w:rPr>
          <w:t>Residues and Trade</w:t>
        </w:r>
        <w:r>
          <w:rPr>
            <w:webHidden/>
          </w:rPr>
          <w:tab/>
        </w:r>
        <w:r>
          <w:rPr>
            <w:webHidden/>
          </w:rPr>
          <w:fldChar w:fldCharType="begin"/>
        </w:r>
        <w:r>
          <w:rPr>
            <w:webHidden/>
          </w:rPr>
          <w:instrText xml:space="preserve"> PAGEREF _Toc233036395 \h </w:instrText>
        </w:r>
        <w:r>
          <w:rPr>
            <w:webHidden/>
          </w:rPr>
        </w:r>
        <w:r>
          <w:rPr>
            <w:webHidden/>
          </w:rPr>
          <w:fldChar w:fldCharType="separate"/>
        </w:r>
        <w:r>
          <w:rPr>
            <w:webHidden/>
          </w:rPr>
          <w:t>38</w:t>
        </w:r>
        <w:r>
          <w:rPr>
            <w:webHidden/>
          </w:rPr>
          <w:fldChar w:fldCharType="end"/>
        </w:r>
      </w:hyperlink>
    </w:p>
    <w:p w14:paraId="0FEACB1C" w14:textId="503686B7" w:rsidR="003A17E6" w:rsidRDefault="003A17E6">
      <w:pPr>
        <w:pStyle w:val="TOC2"/>
        <w:rPr>
          <w:rFonts w:asciiTheme="minorHAnsi" w:eastAsiaTheme="minorEastAsia" w:hAnsiTheme="minorHAnsi"/>
          <w:b w:val="0"/>
          <w:color w:val="auto"/>
          <w:sz w:val="24"/>
          <w:szCs w:val="24"/>
          <w:lang w:eastAsia="en-AU"/>
        </w:rPr>
      </w:pPr>
      <w:hyperlink w:anchor="_Toc233036396" w:history="1">
        <w:r w:rsidRPr="00091CC1">
          <w:rPr>
            <w:rStyle w:val="Hyperlink"/>
          </w:rPr>
          <w:t>5.1</w:t>
        </w:r>
        <w:r>
          <w:rPr>
            <w:rFonts w:asciiTheme="minorHAnsi" w:eastAsiaTheme="minorEastAsia" w:hAnsiTheme="minorHAnsi"/>
            <w:b w:val="0"/>
            <w:color w:val="auto"/>
            <w:sz w:val="24"/>
            <w:szCs w:val="24"/>
            <w:lang w:eastAsia="en-AU"/>
          </w:rPr>
          <w:tab/>
        </w:r>
        <w:r w:rsidRPr="00091CC1">
          <w:rPr>
            <w:rStyle w:val="Hyperlink"/>
          </w:rPr>
          <w:t>Metabolism</w:t>
        </w:r>
        <w:r>
          <w:rPr>
            <w:webHidden/>
          </w:rPr>
          <w:tab/>
        </w:r>
        <w:r>
          <w:rPr>
            <w:webHidden/>
          </w:rPr>
          <w:fldChar w:fldCharType="begin"/>
        </w:r>
        <w:r>
          <w:rPr>
            <w:webHidden/>
          </w:rPr>
          <w:instrText xml:space="preserve"> PAGEREF _Toc233036396 \h </w:instrText>
        </w:r>
        <w:r>
          <w:rPr>
            <w:webHidden/>
          </w:rPr>
        </w:r>
        <w:r>
          <w:rPr>
            <w:webHidden/>
          </w:rPr>
          <w:fldChar w:fldCharType="separate"/>
        </w:r>
        <w:r>
          <w:rPr>
            <w:webHidden/>
          </w:rPr>
          <w:t>38</w:t>
        </w:r>
        <w:r>
          <w:rPr>
            <w:webHidden/>
          </w:rPr>
          <w:fldChar w:fldCharType="end"/>
        </w:r>
      </w:hyperlink>
    </w:p>
    <w:p w14:paraId="3D7EA53F" w14:textId="29A50D6A" w:rsidR="003A17E6" w:rsidRDefault="003A17E6">
      <w:pPr>
        <w:pStyle w:val="TOC2"/>
        <w:rPr>
          <w:rFonts w:asciiTheme="minorHAnsi" w:eastAsiaTheme="minorEastAsia" w:hAnsiTheme="minorHAnsi"/>
          <w:b w:val="0"/>
          <w:color w:val="auto"/>
          <w:sz w:val="24"/>
          <w:szCs w:val="24"/>
          <w:lang w:eastAsia="en-AU"/>
        </w:rPr>
      </w:pPr>
      <w:hyperlink w:anchor="_Toc233036397" w:history="1">
        <w:r w:rsidRPr="00091CC1">
          <w:rPr>
            <w:rStyle w:val="Hyperlink"/>
          </w:rPr>
          <w:t>5.2</w:t>
        </w:r>
        <w:r>
          <w:rPr>
            <w:rFonts w:asciiTheme="minorHAnsi" w:eastAsiaTheme="minorEastAsia" w:hAnsiTheme="minorHAnsi"/>
            <w:b w:val="0"/>
            <w:color w:val="auto"/>
            <w:sz w:val="24"/>
            <w:szCs w:val="24"/>
            <w:lang w:eastAsia="en-AU"/>
          </w:rPr>
          <w:tab/>
        </w:r>
        <w:r w:rsidRPr="00091CC1">
          <w:rPr>
            <w:rStyle w:val="Hyperlink"/>
          </w:rPr>
          <w:t>Analytical methods and storage stability</w:t>
        </w:r>
        <w:r>
          <w:rPr>
            <w:webHidden/>
          </w:rPr>
          <w:tab/>
        </w:r>
        <w:r>
          <w:rPr>
            <w:webHidden/>
          </w:rPr>
          <w:fldChar w:fldCharType="begin"/>
        </w:r>
        <w:r>
          <w:rPr>
            <w:webHidden/>
          </w:rPr>
          <w:instrText xml:space="preserve"> PAGEREF _Toc233036397 \h </w:instrText>
        </w:r>
        <w:r>
          <w:rPr>
            <w:webHidden/>
          </w:rPr>
        </w:r>
        <w:r>
          <w:rPr>
            <w:webHidden/>
          </w:rPr>
          <w:fldChar w:fldCharType="separate"/>
        </w:r>
        <w:r>
          <w:rPr>
            <w:webHidden/>
          </w:rPr>
          <w:t>38</w:t>
        </w:r>
        <w:r>
          <w:rPr>
            <w:webHidden/>
          </w:rPr>
          <w:fldChar w:fldCharType="end"/>
        </w:r>
      </w:hyperlink>
    </w:p>
    <w:p w14:paraId="3E9644F1" w14:textId="7438FBD3" w:rsidR="003A17E6" w:rsidRDefault="003A17E6">
      <w:pPr>
        <w:pStyle w:val="TOC3"/>
        <w:tabs>
          <w:tab w:val="left" w:pos="1200"/>
        </w:tabs>
        <w:rPr>
          <w:rFonts w:asciiTheme="minorHAnsi" w:eastAsiaTheme="minorEastAsia" w:hAnsiTheme="minorHAnsi"/>
          <w:sz w:val="24"/>
          <w:szCs w:val="24"/>
          <w:lang w:eastAsia="en-AU"/>
        </w:rPr>
      </w:pPr>
      <w:hyperlink w:anchor="_Toc233036398" w:history="1">
        <w:r w:rsidRPr="00091CC1">
          <w:rPr>
            <w:rStyle w:val="Hyperlink"/>
          </w:rPr>
          <w:t>5.2.1</w:t>
        </w:r>
        <w:r>
          <w:rPr>
            <w:rFonts w:asciiTheme="minorHAnsi" w:eastAsiaTheme="minorEastAsia" w:hAnsiTheme="minorHAnsi"/>
            <w:sz w:val="24"/>
            <w:szCs w:val="24"/>
            <w:lang w:eastAsia="en-AU"/>
          </w:rPr>
          <w:tab/>
        </w:r>
        <w:r w:rsidRPr="00091CC1">
          <w:rPr>
            <w:rStyle w:val="Hyperlink"/>
          </w:rPr>
          <w:t>Analytical methods</w:t>
        </w:r>
        <w:r>
          <w:rPr>
            <w:webHidden/>
          </w:rPr>
          <w:tab/>
        </w:r>
        <w:r>
          <w:rPr>
            <w:webHidden/>
          </w:rPr>
          <w:fldChar w:fldCharType="begin"/>
        </w:r>
        <w:r>
          <w:rPr>
            <w:webHidden/>
          </w:rPr>
          <w:instrText xml:space="preserve"> PAGEREF _Toc233036398 \h </w:instrText>
        </w:r>
        <w:r>
          <w:rPr>
            <w:webHidden/>
          </w:rPr>
        </w:r>
        <w:r>
          <w:rPr>
            <w:webHidden/>
          </w:rPr>
          <w:fldChar w:fldCharType="separate"/>
        </w:r>
        <w:r>
          <w:rPr>
            <w:webHidden/>
          </w:rPr>
          <w:t>38</w:t>
        </w:r>
        <w:r>
          <w:rPr>
            <w:webHidden/>
          </w:rPr>
          <w:fldChar w:fldCharType="end"/>
        </w:r>
      </w:hyperlink>
    </w:p>
    <w:p w14:paraId="25DFB056" w14:textId="3210EEA7" w:rsidR="003A17E6" w:rsidRDefault="003A17E6">
      <w:pPr>
        <w:pStyle w:val="TOC3"/>
        <w:tabs>
          <w:tab w:val="left" w:pos="1200"/>
        </w:tabs>
        <w:rPr>
          <w:rFonts w:asciiTheme="minorHAnsi" w:eastAsiaTheme="minorEastAsia" w:hAnsiTheme="minorHAnsi"/>
          <w:sz w:val="24"/>
          <w:szCs w:val="24"/>
          <w:lang w:eastAsia="en-AU"/>
        </w:rPr>
      </w:pPr>
      <w:hyperlink w:anchor="_Toc233036399" w:history="1">
        <w:r w:rsidRPr="00091CC1">
          <w:rPr>
            <w:rStyle w:val="Hyperlink"/>
          </w:rPr>
          <w:t>5.2.2</w:t>
        </w:r>
        <w:r>
          <w:rPr>
            <w:rFonts w:asciiTheme="minorHAnsi" w:eastAsiaTheme="minorEastAsia" w:hAnsiTheme="minorHAnsi"/>
            <w:sz w:val="24"/>
            <w:szCs w:val="24"/>
            <w:lang w:eastAsia="en-AU"/>
          </w:rPr>
          <w:tab/>
        </w:r>
        <w:r w:rsidRPr="00091CC1">
          <w:rPr>
            <w:rStyle w:val="Hyperlink"/>
          </w:rPr>
          <w:t>Stability of pesticide residues in stored analytical samples</w:t>
        </w:r>
        <w:r>
          <w:rPr>
            <w:webHidden/>
          </w:rPr>
          <w:tab/>
        </w:r>
        <w:r>
          <w:rPr>
            <w:webHidden/>
          </w:rPr>
          <w:fldChar w:fldCharType="begin"/>
        </w:r>
        <w:r>
          <w:rPr>
            <w:webHidden/>
          </w:rPr>
          <w:instrText xml:space="preserve"> PAGEREF _Toc233036399 \h </w:instrText>
        </w:r>
        <w:r>
          <w:rPr>
            <w:webHidden/>
          </w:rPr>
        </w:r>
        <w:r>
          <w:rPr>
            <w:webHidden/>
          </w:rPr>
          <w:fldChar w:fldCharType="separate"/>
        </w:r>
        <w:r>
          <w:rPr>
            <w:webHidden/>
          </w:rPr>
          <w:t>39</w:t>
        </w:r>
        <w:r>
          <w:rPr>
            <w:webHidden/>
          </w:rPr>
          <w:fldChar w:fldCharType="end"/>
        </w:r>
      </w:hyperlink>
    </w:p>
    <w:p w14:paraId="117CA478" w14:textId="76773E2A" w:rsidR="003A17E6" w:rsidRDefault="003A17E6">
      <w:pPr>
        <w:pStyle w:val="TOC2"/>
        <w:rPr>
          <w:rFonts w:asciiTheme="minorHAnsi" w:eastAsiaTheme="minorEastAsia" w:hAnsiTheme="minorHAnsi"/>
          <w:b w:val="0"/>
          <w:color w:val="auto"/>
          <w:sz w:val="24"/>
          <w:szCs w:val="24"/>
          <w:lang w:eastAsia="en-AU"/>
        </w:rPr>
      </w:pPr>
      <w:hyperlink w:anchor="_Toc233036400" w:history="1">
        <w:r w:rsidRPr="00091CC1">
          <w:rPr>
            <w:rStyle w:val="Hyperlink"/>
          </w:rPr>
          <w:t>5.3</w:t>
        </w:r>
        <w:r>
          <w:rPr>
            <w:rFonts w:asciiTheme="minorHAnsi" w:eastAsiaTheme="minorEastAsia" w:hAnsiTheme="minorHAnsi"/>
            <w:b w:val="0"/>
            <w:color w:val="auto"/>
            <w:sz w:val="24"/>
            <w:szCs w:val="24"/>
            <w:lang w:eastAsia="en-AU"/>
          </w:rPr>
          <w:tab/>
        </w:r>
        <w:r w:rsidRPr="00091CC1">
          <w:rPr>
            <w:rStyle w:val="Hyperlink"/>
          </w:rPr>
          <w:t>Residue definition</w:t>
        </w:r>
        <w:r>
          <w:rPr>
            <w:webHidden/>
          </w:rPr>
          <w:tab/>
        </w:r>
        <w:r>
          <w:rPr>
            <w:webHidden/>
          </w:rPr>
          <w:fldChar w:fldCharType="begin"/>
        </w:r>
        <w:r>
          <w:rPr>
            <w:webHidden/>
          </w:rPr>
          <w:instrText xml:space="preserve"> PAGEREF _Toc233036400 \h </w:instrText>
        </w:r>
        <w:r>
          <w:rPr>
            <w:webHidden/>
          </w:rPr>
        </w:r>
        <w:r>
          <w:rPr>
            <w:webHidden/>
          </w:rPr>
          <w:fldChar w:fldCharType="separate"/>
        </w:r>
        <w:r>
          <w:rPr>
            <w:webHidden/>
          </w:rPr>
          <w:t>39</w:t>
        </w:r>
        <w:r>
          <w:rPr>
            <w:webHidden/>
          </w:rPr>
          <w:fldChar w:fldCharType="end"/>
        </w:r>
      </w:hyperlink>
    </w:p>
    <w:p w14:paraId="75BE3F2C" w14:textId="1C9FCDEE" w:rsidR="003A17E6" w:rsidRDefault="003A17E6">
      <w:pPr>
        <w:pStyle w:val="TOC2"/>
        <w:rPr>
          <w:rFonts w:asciiTheme="minorHAnsi" w:eastAsiaTheme="minorEastAsia" w:hAnsiTheme="minorHAnsi"/>
          <w:b w:val="0"/>
          <w:color w:val="auto"/>
          <w:sz w:val="24"/>
          <w:szCs w:val="24"/>
          <w:lang w:eastAsia="en-AU"/>
        </w:rPr>
      </w:pPr>
      <w:hyperlink w:anchor="_Toc233036401" w:history="1">
        <w:r w:rsidRPr="00091CC1">
          <w:rPr>
            <w:rStyle w:val="Hyperlink"/>
          </w:rPr>
          <w:t>5.4</w:t>
        </w:r>
        <w:r>
          <w:rPr>
            <w:rFonts w:asciiTheme="minorHAnsi" w:eastAsiaTheme="minorEastAsia" w:hAnsiTheme="minorHAnsi"/>
            <w:b w:val="0"/>
            <w:color w:val="auto"/>
            <w:sz w:val="24"/>
            <w:szCs w:val="24"/>
            <w:lang w:eastAsia="en-AU"/>
          </w:rPr>
          <w:tab/>
        </w:r>
        <w:r w:rsidRPr="00091CC1">
          <w:rPr>
            <w:rStyle w:val="Hyperlink"/>
          </w:rPr>
          <w:t>Residues in foods</w:t>
        </w:r>
        <w:r>
          <w:rPr>
            <w:webHidden/>
          </w:rPr>
          <w:tab/>
        </w:r>
        <w:r>
          <w:rPr>
            <w:webHidden/>
          </w:rPr>
          <w:fldChar w:fldCharType="begin"/>
        </w:r>
        <w:r>
          <w:rPr>
            <w:webHidden/>
          </w:rPr>
          <w:instrText xml:space="preserve"> PAGEREF _Toc233036401 \h </w:instrText>
        </w:r>
        <w:r>
          <w:rPr>
            <w:webHidden/>
          </w:rPr>
        </w:r>
        <w:r>
          <w:rPr>
            <w:webHidden/>
          </w:rPr>
          <w:fldChar w:fldCharType="separate"/>
        </w:r>
        <w:r>
          <w:rPr>
            <w:webHidden/>
          </w:rPr>
          <w:t>39</w:t>
        </w:r>
        <w:r>
          <w:rPr>
            <w:webHidden/>
          </w:rPr>
          <w:fldChar w:fldCharType="end"/>
        </w:r>
      </w:hyperlink>
    </w:p>
    <w:p w14:paraId="1E8A61F0" w14:textId="122A924D" w:rsidR="003A17E6" w:rsidRDefault="003A17E6">
      <w:pPr>
        <w:pStyle w:val="TOC3"/>
        <w:tabs>
          <w:tab w:val="left" w:pos="1200"/>
        </w:tabs>
        <w:rPr>
          <w:rFonts w:asciiTheme="minorHAnsi" w:eastAsiaTheme="minorEastAsia" w:hAnsiTheme="minorHAnsi"/>
          <w:sz w:val="24"/>
          <w:szCs w:val="24"/>
          <w:lang w:eastAsia="en-AU"/>
        </w:rPr>
      </w:pPr>
      <w:hyperlink w:anchor="_Toc233036402" w:history="1">
        <w:r w:rsidRPr="00091CC1">
          <w:rPr>
            <w:rStyle w:val="Hyperlink"/>
          </w:rPr>
          <w:t>5.4.1</w:t>
        </w:r>
        <w:r>
          <w:rPr>
            <w:rFonts w:asciiTheme="minorHAnsi" w:eastAsiaTheme="minorEastAsia" w:hAnsiTheme="minorHAnsi"/>
            <w:sz w:val="24"/>
            <w:szCs w:val="24"/>
            <w:lang w:eastAsia="en-AU"/>
          </w:rPr>
          <w:tab/>
        </w:r>
        <w:r w:rsidRPr="00091CC1">
          <w:rPr>
            <w:rStyle w:val="Hyperlink"/>
          </w:rPr>
          <w:t>Plant commodities</w:t>
        </w:r>
        <w:r>
          <w:rPr>
            <w:webHidden/>
          </w:rPr>
          <w:tab/>
        </w:r>
        <w:r>
          <w:rPr>
            <w:webHidden/>
          </w:rPr>
          <w:fldChar w:fldCharType="begin"/>
        </w:r>
        <w:r>
          <w:rPr>
            <w:webHidden/>
          </w:rPr>
          <w:instrText xml:space="preserve"> PAGEREF _Toc233036402 \h </w:instrText>
        </w:r>
        <w:r>
          <w:rPr>
            <w:webHidden/>
          </w:rPr>
        </w:r>
        <w:r>
          <w:rPr>
            <w:webHidden/>
          </w:rPr>
          <w:fldChar w:fldCharType="separate"/>
        </w:r>
        <w:r>
          <w:rPr>
            <w:webHidden/>
          </w:rPr>
          <w:t>40</w:t>
        </w:r>
        <w:r>
          <w:rPr>
            <w:webHidden/>
          </w:rPr>
          <w:fldChar w:fldCharType="end"/>
        </w:r>
      </w:hyperlink>
    </w:p>
    <w:p w14:paraId="3DDBFDD8" w14:textId="2AA9BE87" w:rsidR="003A17E6" w:rsidRDefault="003A17E6">
      <w:pPr>
        <w:pStyle w:val="TOC2"/>
        <w:rPr>
          <w:rFonts w:asciiTheme="minorHAnsi" w:eastAsiaTheme="minorEastAsia" w:hAnsiTheme="minorHAnsi"/>
          <w:b w:val="0"/>
          <w:color w:val="auto"/>
          <w:sz w:val="24"/>
          <w:szCs w:val="24"/>
          <w:lang w:eastAsia="en-AU"/>
        </w:rPr>
      </w:pPr>
      <w:hyperlink w:anchor="_Toc233036403" w:history="1">
        <w:r w:rsidRPr="00091CC1">
          <w:rPr>
            <w:rStyle w:val="Hyperlink"/>
          </w:rPr>
          <w:t>5.5</w:t>
        </w:r>
        <w:r>
          <w:rPr>
            <w:rFonts w:asciiTheme="minorHAnsi" w:eastAsiaTheme="minorEastAsia" w:hAnsiTheme="minorHAnsi"/>
            <w:b w:val="0"/>
            <w:color w:val="auto"/>
            <w:sz w:val="24"/>
            <w:szCs w:val="24"/>
            <w:lang w:eastAsia="en-AU"/>
          </w:rPr>
          <w:tab/>
        </w:r>
        <w:r w:rsidRPr="00091CC1">
          <w:rPr>
            <w:rStyle w:val="Hyperlink"/>
          </w:rPr>
          <w:t>Fruit crops</w:t>
        </w:r>
        <w:r>
          <w:rPr>
            <w:webHidden/>
          </w:rPr>
          <w:tab/>
        </w:r>
        <w:r>
          <w:rPr>
            <w:webHidden/>
          </w:rPr>
          <w:fldChar w:fldCharType="begin"/>
        </w:r>
        <w:r>
          <w:rPr>
            <w:webHidden/>
          </w:rPr>
          <w:instrText xml:space="preserve"> PAGEREF _Toc233036403 \h </w:instrText>
        </w:r>
        <w:r>
          <w:rPr>
            <w:webHidden/>
          </w:rPr>
        </w:r>
        <w:r>
          <w:rPr>
            <w:webHidden/>
          </w:rPr>
          <w:fldChar w:fldCharType="separate"/>
        </w:r>
        <w:r>
          <w:rPr>
            <w:webHidden/>
          </w:rPr>
          <w:t>41</w:t>
        </w:r>
        <w:r>
          <w:rPr>
            <w:webHidden/>
          </w:rPr>
          <w:fldChar w:fldCharType="end"/>
        </w:r>
      </w:hyperlink>
    </w:p>
    <w:p w14:paraId="3BA61026" w14:textId="71EDBF50" w:rsidR="003A17E6" w:rsidRDefault="003A17E6">
      <w:pPr>
        <w:pStyle w:val="TOC3"/>
        <w:tabs>
          <w:tab w:val="left" w:pos="1200"/>
        </w:tabs>
        <w:rPr>
          <w:rFonts w:asciiTheme="minorHAnsi" w:eastAsiaTheme="minorEastAsia" w:hAnsiTheme="minorHAnsi"/>
          <w:sz w:val="24"/>
          <w:szCs w:val="24"/>
          <w:lang w:eastAsia="en-AU"/>
        </w:rPr>
      </w:pPr>
      <w:hyperlink w:anchor="_Toc233036404" w:history="1">
        <w:r w:rsidRPr="00091CC1">
          <w:rPr>
            <w:rStyle w:val="Hyperlink"/>
          </w:rPr>
          <w:t>5.5.1</w:t>
        </w:r>
        <w:r>
          <w:rPr>
            <w:rFonts w:asciiTheme="minorHAnsi" w:eastAsiaTheme="minorEastAsia" w:hAnsiTheme="minorHAnsi"/>
            <w:sz w:val="24"/>
            <w:szCs w:val="24"/>
            <w:lang w:eastAsia="en-AU"/>
          </w:rPr>
          <w:tab/>
        </w:r>
        <w:r w:rsidRPr="00091CC1">
          <w:rPr>
            <w:rStyle w:val="Hyperlink"/>
          </w:rPr>
          <w:t>Pome fruit</w:t>
        </w:r>
        <w:r>
          <w:rPr>
            <w:webHidden/>
          </w:rPr>
          <w:tab/>
        </w:r>
        <w:r>
          <w:rPr>
            <w:webHidden/>
          </w:rPr>
          <w:fldChar w:fldCharType="begin"/>
        </w:r>
        <w:r>
          <w:rPr>
            <w:webHidden/>
          </w:rPr>
          <w:instrText xml:space="preserve"> PAGEREF _Toc233036404 \h </w:instrText>
        </w:r>
        <w:r>
          <w:rPr>
            <w:webHidden/>
          </w:rPr>
        </w:r>
        <w:r>
          <w:rPr>
            <w:webHidden/>
          </w:rPr>
          <w:fldChar w:fldCharType="separate"/>
        </w:r>
        <w:r>
          <w:rPr>
            <w:webHidden/>
          </w:rPr>
          <w:t>41</w:t>
        </w:r>
        <w:r>
          <w:rPr>
            <w:webHidden/>
          </w:rPr>
          <w:fldChar w:fldCharType="end"/>
        </w:r>
      </w:hyperlink>
    </w:p>
    <w:p w14:paraId="6CC662FC" w14:textId="231945DE" w:rsidR="003A17E6" w:rsidRDefault="003A17E6">
      <w:pPr>
        <w:pStyle w:val="TOC3"/>
        <w:tabs>
          <w:tab w:val="left" w:pos="1200"/>
        </w:tabs>
        <w:rPr>
          <w:rFonts w:asciiTheme="minorHAnsi" w:eastAsiaTheme="minorEastAsia" w:hAnsiTheme="minorHAnsi"/>
          <w:sz w:val="24"/>
          <w:szCs w:val="24"/>
          <w:lang w:eastAsia="en-AU"/>
        </w:rPr>
      </w:pPr>
      <w:hyperlink w:anchor="_Toc233036405" w:history="1">
        <w:r w:rsidRPr="00091CC1">
          <w:rPr>
            <w:rStyle w:val="Hyperlink"/>
          </w:rPr>
          <w:t>5.5.2</w:t>
        </w:r>
        <w:r>
          <w:rPr>
            <w:rFonts w:asciiTheme="minorHAnsi" w:eastAsiaTheme="minorEastAsia" w:hAnsiTheme="minorHAnsi"/>
            <w:sz w:val="24"/>
            <w:szCs w:val="24"/>
            <w:lang w:eastAsia="en-AU"/>
          </w:rPr>
          <w:tab/>
        </w:r>
        <w:r w:rsidRPr="00091CC1">
          <w:rPr>
            <w:rStyle w:val="Hyperlink"/>
          </w:rPr>
          <w:t>Citrus fruit</w:t>
        </w:r>
        <w:r>
          <w:rPr>
            <w:webHidden/>
          </w:rPr>
          <w:tab/>
        </w:r>
        <w:r>
          <w:rPr>
            <w:webHidden/>
          </w:rPr>
          <w:fldChar w:fldCharType="begin"/>
        </w:r>
        <w:r>
          <w:rPr>
            <w:webHidden/>
          </w:rPr>
          <w:instrText xml:space="preserve"> PAGEREF _Toc233036405 \h </w:instrText>
        </w:r>
        <w:r>
          <w:rPr>
            <w:webHidden/>
          </w:rPr>
        </w:r>
        <w:r>
          <w:rPr>
            <w:webHidden/>
          </w:rPr>
          <w:fldChar w:fldCharType="separate"/>
        </w:r>
        <w:r>
          <w:rPr>
            <w:webHidden/>
          </w:rPr>
          <w:t>41</w:t>
        </w:r>
        <w:r>
          <w:rPr>
            <w:webHidden/>
          </w:rPr>
          <w:fldChar w:fldCharType="end"/>
        </w:r>
      </w:hyperlink>
    </w:p>
    <w:p w14:paraId="11D04DF1" w14:textId="0478C775" w:rsidR="003A17E6" w:rsidRDefault="003A17E6">
      <w:pPr>
        <w:pStyle w:val="TOC3"/>
        <w:tabs>
          <w:tab w:val="left" w:pos="1200"/>
        </w:tabs>
        <w:rPr>
          <w:rFonts w:asciiTheme="minorHAnsi" w:eastAsiaTheme="minorEastAsia" w:hAnsiTheme="minorHAnsi"/>
          <w:sz w:val="24"/>
          <w:szCs w:val="24"/>
          <w:lang w:eastAsia="en-AU"/>
        </w:rPr>
      </w:pPr>
      <w:hyperlink w:anchor="_Toc233036406" w:history="1">
        <w:r w:rsidRPr="00091CC1">
          <w:rPr>
            <w:rStyle w:val="Hyperlink"/>
          </w:rPr>
          <w:t>5.5.3</w:t>
        </w:r>
        <w:r>
          <w:rPr>
            <w:rFonts w:asciiTheme="minorHAnsi" w:eastAsiaTheme="minorEastAsia" w:hAnsiTheme="minorHAnsi"/>
            <w:sz w:val="24"/>
            <w:szCs w:val="24"/>
            <w:lang w:eastAsia="en-AU"/>
          </w:rPr>
          <w:tab/>
        </w:r>
        <w:r w:rsidRPr="00091CC1">
          <w:rPr>
            <w:rStyle w:val="Hyperlink"/>
          </w:rPr>
          <w:t>Stone fruit</w:t>
        </w:r>
        <w:r>
          <w:rPr>
            <w:webHidden/>
          </w:rPr>
          <w:tab/>
        </w:r>
        <w:r>
          <w:rPr>
            <w:webHidden/>
          </w:rPr>
          <w:fldChar w:fldCharType="begin"/>
        </w:r>
        <w:r>
          <w:rPr>
            <w:webHidden/>
          </w:rPr>
          <w:instrText xml:space="preserve"> PAGEREF _Toc233036406 \h </w:instrText>
        </w:r>
        <w:r>
          <w:rPr>
            <w:webHidden/>
          </w:rPr>
        </w:r>
        <w:r>
          <w:rPr>
            <w:webHidden/>
          </w:rPr>
          <w:fldChar w:fldCharType="separate"/>
        </w:r>
        <w:r>
          <w:rPr>
            <w:webHidden/>
          </w:rPr>
          <w:t>42</w:t>
        </w:r>
        <w:r>
          <w:rPr>
            <w:webHidden/>
          </w:rPr>
          <w:fldChar w:fldCharType="end"/>
        </w:r>
      </w:hyperlink>
    </w:p>
    <w:p w14:paraId="7F4ADBB5" w14:textId="1952F57D" w:rsidR="003A17E6" w:rsidRDefault="003A17E6">
      <w:pPr>
        <w:pStyle w:val="TOC3"/>
        <w:tabs>
          <w:tab w:val="left" w:pos="1200"/>
        </w:tabs>
        <w:rPr>
          <w:rFonts w:asciiTheme="minorHAnsi" w:eastAsiaTheme="minorEastAsia" w:hAnsiTheme="minorHAnsi"/>
          <w:sz w:val="24"/>
          <w:szCs w:val="24"/>
          <w:lang w:eastAsia="en-AU"/>
        </w:rPr>
      </w:pPr>
      <w:hyperlink w:anchor="_Toc233036407" w:history="1">
        <w:r w:rsidRPr="00091CC1">
          <w:rPr>
            <w:rStyle w:val="Hyperlink"/>
          </w:rPr>
          <w:t>5.5.4</w:t>
        </w:r>
        <w:r>
          <w:rPr>
            <w:rFonts w:asciiTheme="minorHAnsi" w:eastAsiaTheme="minorEastAsia" w:hAnsiTheme="minorHAnsi"/>
            <w:sz w:val="24"/>
            <w:szCs w:val="24"/>
            <w:lang w:eastAsia="en-AU"/>
          </w:rPr>
          <w:tab/>
        </w:r>
        <w:r w:rsidRPr="00091CC1">
          <w:rPr>
            <w:rStyle w:val="Hyperlink"/>
          </w:rPr>
          <w:t>Berries and other small fruits</w:t>
        </w:r>
        <w:r>
          <w:rPr>
            <w:webHidden/>
          </w:rPr>
          <w:tab/>
        </w:r>
        <w:r>
          <w:rPr>
            <w:webHidden/>
          </w:rPr>
          <w:fldChar w:fldCharType="begin"/>
        </w:r>
        <w:r>
          <w:rPr>
            <w:webHidden/>
          </w:rPr>
          <w:instrText xml:space="preserve"> PAGEREF _Toc233036407 \h </w:instrText>
        </w:r>
        <w:r>
          <w:rPr>
            <w:webHidden/>
          </w:rPr>
        </w:r>
        <w:r>
          <w:rPr>
            <w:webHidden/>
          </w:rPr>
          <w:fldChar w:fldCharType="separate"/>
        </w:r>
        <w:r>
          <w:rPr>
            <w:webHidden/>
          </w:rPr>
          <w:t>42</w:t>
        </w:r>
        <w:r>
          <w:rPr>
            <w:webHidden/>
          </w:rPr>
          <w:fldChar w:fldCharType="end"/>
        </w:r>
      </w:hyperlink>
    </w:p>
    <w:p w14:paraId="75DBA1B1" w14:textId="0B2AD210" w:rsidR="003A17E6" w:rsidRDefault="003A17E6">
      <w:pPr>
        <w:pStyle w:val="TOC3"/>
        <w:tabs>
          <w:tab w:val="left" w:pos="1200"/>
        </w:tabs>
        <w:rPr>
          <w:rFonts w:asciiTheme="minorHAnsi" w:eastAsiaTheme="minorEastAsia" w:hAnsiTheme="minorHAnsi"/>
          <w:sz w:val="24"/>
          <w:szCs w:val="24"/>
          <w:lang w:eastAsia="en-AU"/>
        </w:rPr>
      </w:pPr>
      <w:hyperlink w:anchor="_Toc233036408" w:history="1">
        <w:r w:rsidRPr="00091CC1">
          <w:rPr>
            <w:rStyle w:val="Hyperlink"/>
          </w:rPr>
          <w:t>5.5.5</w:t>
        </w:r>
        <w:r>
          <w:rPr>
            <w:rFonts w:asciiTheme="minorHAnsi" w:eastAsiaTheme="minorEastAsia" w:hAnsiTheme="minorHAnsi"/>
            <w:sz w:val="24"/>
            <w:szCs w:val="24"/>
            <w:lang w:eastAsia="en-AU"/>
          </w:rPr>
          <w:tab/>
        </w:r>
        <w:r w:rsidRPr="00091CC1">
          <w:rPr>
            <w:rStyle w:val="Hyperlink"/>
          </w:rPr>
          <w:t>Tropical fruits – inedible peel</w:t>
        </w:r>
        <w:r>
          <w:rPr>
            <w:webHidden/>
          </w:rPr>
          <w:tab/>
        </w:r>
        <w:r>
          <w:rPr>
            <w:webHidden/>
          </w:rPr>
          <w:fldChar w:fldCharType="begin"/>
        </w:r>
        <w:r>
          <w:rPr>
            <w:webHidden/>
          </w:rPr>
          <w:instrText xml:space="preserve"> PAGEREF _Toc233036408 \h </w:instrText>
        </w:r>
        <w:r>
          <w:rPr>
            <w:webHidden/>
          </w:rPr>
        </w:r>
        <w:r>
          <w:rPr>
            <w:webHidden/>
          </w:rPr>
          <w:fldChar w:fldCharType="separate"/>
        </w:r>
        <w:r>
          <w:rPr>
            <w:webHidden/>
          </w:rPr>
          <w:t>43</w:t>
        </w:r>
        <w:r>
          <w:rPr>
            <w:webHidden/>
          </w:rPr>
          <w:fldChar w:fldCharType="end"/>
        </w:r>
      </w:hyperlink>
    </w:p>
    <w:p w14:paraId="05D6F5B8" w14:textId="3F40250B" w:rsidR="003A17E6" w:rsidRDefault="003A17E6">
      <w:pPr>
        <w:pStyle w:val="TOC3"/>
        <w:tabs>
          <w:tab w:val="left" w:pos="1200"/>
        </w:tabs>
        <w:rPr>
          <w:rFonts w:asciiTheme="minorHAnsi" w:eastAsiaTheme="minorEastAsia" w:hAnsiTheme="minorHAnsi"/>
          <w:sz w:val="24"/>
          <w:szCs w:val="24"/>
          <w:lang w:eastAsia="en-AU"/>
        </w:rPr>
      </w:pPr>
      <w:hyperlink w:anchor="_Toc233036409" w:history="1">
        <w:r w:rsidRPr="00091CC1">
          <w:rPr>
            <w:rStyle w:val="Hyperlink"/>
          </w:rPr>
          <w:t>5.5.6</w:t>
        </w:r>
        <w:r>
          <w:rPr>
            <w:rFonts w:asciiTheme="minorHAnsi" w:eastAsiaTheme="minorEastAsia" w:hAnsiTheme="minorHAnsi"/>
            <w:sz w:val="24"/>
            <w:szCs w:val="24"/>
            <w:lang w:eastAsia="en-AU"/>
          </w:rPr>
          <w:tab/>
        </w:r>
        <w:r w:rsidRPr="00091CC1">
          <w:rPr>
            <w:rStyle w:val="Hyperlink"/>
          </w:rPr>
          <w:t>Tropical fruits – edible peel</w:t>
        </w:r>
        <w:r>
          <w:rPr>
            <w:webHidden/>
          </w:rPr>
          <w:tab/>
        </w:r>
        <w:r>
          <w:rPr>
            <w:webHidden/>
          </w:rPr>
          <w:fldChar w:fldCharType="begin"/>
        </w:r>
        <w:r>
          <w:rPr>
            <w:webHidden/>
          </w:rPr>
          <w:instrText xml:space="preserve"> PAGEREF _Toc233036409 \h </w:instrText>
        </w:r>
        <w:r>
          <w:rPr>
            <w:webHidden/>
          </w:rPr>
        </w:r>
        <w:r>
          <w:rPr>
            <w:webHidden/>
          </w:rPr>
          <w:fldChar w:fldCharType="separate"/>
        </w:r>
        <w:r>
          <w:rPr>
            <w:webHidden/>
          </w:rPr>
          <w:t>43</w:t>
        </w:r>
        <w:r>
          <w:rPr>
            <w:webHidden/>
          </w:rPr>
          <w:fldChar w:fldCharType="end"/>
        </w:r>
      </w:hyperlink>
    </w:p>
    <w:p w14:paraId="229D5568" w14:textId="35C8359D" w:rsidR="003A17E6" w:rsidRDefault="003A17E6">
      <w:pPr>
        <w:pStyle w:val="TOC3"/>
        <w:tabs>
          <w:tab w:val="left" w:pos="1200"/>
        </w:tabs>
        <w:rPr>
          <w:rFonts w:asciiTheme="minorHAnsi" w:eastAsiaTheme="minorEastAsia" w:hAnsiTheme="minorHAnsi"/>
          <w:sz w:val="24"/>
          <w:szCs w:val="24"/>
          <w:lang w:eastAsia="en-AU"/>
        </w:rPr>
      </w:pPr>
      <w:hyperlink w:anchor="_Toc233036410" w:history="1">
        <w:r w:rsidRPr="00091CC1">
          <w:rPr>
            <w:rStyle w:val="Hyperlink"/>
          </w:rPr>
          <w:t>5.5.7</w:t>
        </w:r>
        <w:r>
          <w:rPr>
            <w:rFonts w:asciiTheme="minorHAnsi" w:eastAsiaTheme="minorEastAsia" w:hAnsiTheme="minorHAnsi"/>
            <w:sz w:val="24"/>
            <w:szCs w:val="24"/>
            <w:lang w:eastAsia="en-AU"/>
          </w:rPr>
          <w:tab/>
        </w:r>
        <w:r w:rsidRPr="00091CC1">
          <w:rPr>
            <w:rStyle w:val="Hyperlink"/>
          </w:rPr>
          <w:t>Tree nuts</w:t>
        </w:r>
        <w:r>
          <w:rPr>
            <w:webHidden/>
          </w:rPr>
          <w:tab/>
        </w:r>
        <w:r>
          <w:rPr>
            <w:webHidden/>
          </w:rPr>
          <w:fldChar w:fldCharType="begin"/>
        </w:r>
        <w:r>
          <w:rPr>
            <w:webHidden/>
          </w:rPr>
          <w:instrText xml:space="preserve"> PAGEREF _Toc233036410 \h </w:instrText>
        </w:r>
        <w:r>
          <w:rPr>
            <w:webHidden/>
          </w:rPr>
        </w:r>
        <w:r>
          <w:rPr>
            <w:webHidden/>
          </w:rPr>
          <w:fldChar w:fldCharType="separate"/>
        </w:r>
        <w:r>
          <w:rPr>
            <w:webHidden/>
          </w:rPr>
          <w:t>44</w:t>
        </w:r>
        <w:r>
          <w:rPr>
            <w:webHidden/>
          </w:rPr>
          <w:fldChar w:fldCharType="end"/>
        </w:r>
      </w:hyperlink>
    </w:p>
    <w:p w14:paraId="08E24E27" w14:textId="70E6CC55" w:rsidR="003A17E6" w:rsidRDefault="003A17E6">
      <w:pPr>
        <w:pStyle w:val="TOC2"/>
        <w:rPr>
          <w:rFonts w:asciiTheme="minorHAnsi" w:eastAsiaTheme="minorEastAsia" w:hAnsiTheme="minorHAnsi"/>
          <w:b w:val="0"/>
          <w:color w:val="auto"/>
          <w:sz w:val="24"/>
          <w:szCs w:val="24"/>
          <w:lang w:eastAsia="en-AU"/>
        </w:rPr>
      </w:pPr>
      <w:hyperlink w:anchor="_Toc233036411" w:history="1">
        <w:r w:rsidRPr="00091CC1">
          <w:rPr>
            <w:rStyle w:val="Hyperlink"/>
          </w:rPr>
          <w:t>5.6</w:t>
        </w:r>
        <w:r>
          <w:rPr>
            <w:rFonts w:asciiTheme="minorHAnsi" w:eastAsiaTheme="minorEastAsia" w:hAnsiTheme="minorHAnsi"/>
            <w:b w:val="0"/>
            <w:color w:val="auto"/>
            <w:sz w:val="24"/>
            <w:szCs w:val="24"/>
            <w:lang w:eastAsia="en-AU"/>
          </w:rPr>
          <w:tab/>
        </w:r>
        <w:r w:rsidRPr="00091CC1">
          <w:rPr>
            <w:rStyle w:val="Hyperlink"/>
          </w:rPr>
          <w:t>Vegetable crops</w:t>
        </w:r>
        <w:r>
          <w:rPr>
            <w:webHidden/>
          </w:rPr>
          <w:tab/>
        </w:r>
        <w:r>
          <w:rPr>
            <w:webHidden/>
          </w:rPr>
          <w:fldChar w:fldCharType="begin"/>
        </w:r>
        <w:r>
          <w:rPr>
            <w:webHidden/>
          </w:rPr>
          <w:instrText xml:space="preserve"> PAGEREF _Toc233036411 \h </w:instrText>
        </w:r>
        <w:r>
          <w:rPr>
            <w:webHidden/>
          </w:rPr>
        </w:r>
        <w:r>
          <w:rPr>
            <w:webHidden/>
          </w:rPr>
          <w:fldChar w:fldCharType="separate"/>
        </w:r>
        <w:r>
          <w:rPr>
            <w:webHidden/>
          </w:rPr>
          <w:t>44</w:t>
        </w:r>
        <w:r>
          <w:rPr>
            <w:webHidden/>
          </w:rPr>
          <w:fldChar w:fldCharType="end"/>
        </w:r>
      </w:hyperlink>
    </w:p>
    <w:p w14:paraId="6CDCD9B3" w14:textId="7EA6A1DC" w:rsidR="003A17E6" w:rsidRDefault="003A17E6">
      <w:pPr>
        <w:pStyle w:val="TOC3"/>
        <w:tabs>
          <w:tab w:val="left" w:pos="1200"/>
        </w:tabs>
        <w:rPr>
          <w:rFonts w:asciiTheme="minorHAnsi" w:eastAsiaTheme="minorEastAsia" w:hAnsiTheme="minorHAnsi"/>
          <w:sz w:val="24"/>
          <w:szCs w:val="24"/>
          <w:lang w:eastAsia="en-AU"/>
        </w:rPr>
      </w:pPr>
      <w:hyperlink w:anchor="_Toc233036412" w:history="1">
        <w:r w:rsidRPr="00091CC1">
          <w:rPr>
            <w:rStyle w:val="Hyperlink"/>
          </w:rPr>
          <w:t>5.6.1</w:t>
        </w:r>
        <w:r>
          <w:rPr>
            <w:rFonts w:asciiTheme="minorHAnsi" w:eastAsiaTheme="minorEastAsia" w:hAnsiTheme="minorHAnsi"/>
            <w:sz w:val="24"/>
            <w:szCs w:val="24"/>
            <w:lang w:eastAsia="en-AU"/>
          </w:rPr>
          <w:tab/>
        </w:r>
        <w:r w:rsidRPr="00091CC1">
          <w:rPr>
            <w:rStyle w:val="Hyperlink"/>
          </w:rPr>
          <w:t>Bulb vegetables</w:t>
        </w:r>
        <w:r>
          <w:rPr>
            <w:webHidden/>
          </w:rPr>
          <w:tab/>
        </w:r>
        <w:r>
          <w:rPr>
            <w:webHidden/>
          </w:rPr>
          <w:fldChar w:fldCharType="begin"/>
        </w:r>
        <w:r>
          <w:rPr>
            <w:webHidden/>
          </w:rPr>
          <w:instrText xml:space="preserve"> PAGEREF _Toc233036412 \h </w:instrText>
        </w:r>
        <w:r>
          <w:rPr>
            <w:webHidden/>
          </w:rPr>
        </w:r>
        <w:r>
          <w:rPr>
            <w:webHidden/>
          </w:rPr>
          <w:fldChar w:fldCharType="separate"/>
        </w:r>
        <w:r>
          <w:rPr>
            <w:webHidden/>
          </w:rPr>
          <w:t>45</w:t>
        </w:r>
        <w:r>
          <w:rPr>
            <w:webHidden/>
          </w:rPr>
          <w:fldChar w:fldCharType="end"/>
        </w:r>
      </w:hyperlink>
    </w:p>
    <w:p w14:paraId="6F989652" w14:textId="60A55133" w:rsidR="003A17E6" w:rsidRDefault="003A17E6">
      <w:pPr>
        <w:pStyle w:val="TOC3"/>
        <w:tabs>
          <w:tab w:val="left" w:pos="1200"/>
        </w:tabs>
        <w:rPr>
          <w:rFonts w:asciiTheme="minorHAnsi" w:eastAsiaTheme="minorEastAsia" w:hAnsiTheme="minorHAnsi"/>
          <w:sz w:val="24"/>
          <w:szCs w:val="24"/>
          <w:lang w:eastAsia="en-AU"/>
        </w:rPr>
      </w:pPr>
      <w:hyperlink w:anchor="_Toc233036413" w:history="1">
        <w:r w:rsidRPr="00091CC1">
          <w:rPr>
            <w:rStyle w:val="Hyperlink"/>
          </w:rPr>
          <w:t>5.6.2</w:t>
        </w:r>
        <w:r>
          <w:rPr>
            <w:rFonts w:asciiTheme="minorHAnsi" w:eastAsiaTheme="minorEastAsia" w:hAnsiTheme="minorHAnsi"/>
            <w:sz w:val="24"/>
            <w:szCs w:val="24"/>
            <w:lang w:eastAsia="en-AU"/>
          </w:rPr>
          <w:tab/>
        </w:r>
        <w:r w:rsidRPr="00091CC1">
          <w:rPr>
            <w:rStyle w:val="Hyperlink"/>
          </w:rPr>
          <w:t>Root and tuber vegetables</w:t>
        </w:r>
        <w:r>
          <w:rPr>
            <w:webHidden/>
          </w:rPr>
          <w:tab/>
        </w:r>
        <w:r>
          <w:rPr>
            <w:webHidden/>
          </w:rPr>
          <w:fldChar w:fldCharType="begin"/>
        </w:r>
        <w:r>
          <w:rPr>
            <w:webHidden/>
          </w:rPr>
          <w:instrText xml:space="preserve"> PAGEREF _Toc233036413 \h </w:instrText>
        </w:r>
        <w:r>
          <w:rPr>
            <w:webHidden/>
          </w:rPr>
        </w:r>
        <w:r>
          <w:rPr>
            <w:webHidden/>
          </w:rPr>
          <w:fldChar w:fldCharType="separate"/>
        </w:r>
        <w:r>
          <w:rPr>
            <w:webHidden/>
          </w:rPr>
          <w:t>45</w:t>
        </w:r>
        <w:r>
          <w:rPr>
            <w:webHidden/>
          </w:rPr>
          <w:fldChar w:fldCharType="end"/>
        </w:r>
      </w:hyperlink>
    </w:p>
    <w:p w14:paraId="4BCBB004" w14:textId="596FEB9B" w:rsidR="003A17E6" w:rsidRDefault="003A17E6">
      <w:pPr>
        <w:pStyle w:val="TOC3"/>
        <w:tabs>
          <w:tab w:val="left" w:pos="1200"/>
        </w:tabs>
        <w:rPr>
          <w:rFonts w:asciiTheme="minorHAnsi" w:eastAsiaTheme="minorEastAsia" w:hAnsiTheme="minorHAnsi"/>
          <w:sz w:val="24"/>
          <w:szCs w:val="24"/>
          <w:lang w:eastAsia="en-AU"/>
        </w:rPr>
      </w:pPr>
      <w:hyperlink w:anchor="_Toc233036414" w:history="1">
        <w:r w:rsidRPr="00091CC1">
          <w:rPr>
            <w:rStyle w:val="Hyperlink"/>
          </w:rPr>
          <w:t>5.6.3</w:t>
        </w:r>
        <w:r>
          <w:rPr>
            <w:rFonts w:asciiTheme="minorHAnsi" w:eastAsiaTheme="minorEastAsia" w:hAnsiTheme="minorHAnsi"/>
            <w:sz w:val="24"/>
            <w:szCs w:val="24"/>
            <w:lang w:eastAsia="en-AU"/>
          </w:rPr>
          <w:tab/>
        </w:r>
        <w:r w:rsidRPr="00091CC1">
          <w:rPr>
            <w:rStyle w:val="Hyperlink"/>
          </w:rPr>
          <w:t>Leafy vegetables</w:t>
        </w:r>
        <w:r>
          <w:rPr>
            <w:webHidden/>
          </w:rPr>
          <w:tab/>
        </w:r>
        <w:r>
          <w:rPr>
            <w:webHidden/>
          </w:rPr>
          <w:fldChar w:fldCharType="begin"/>
        </w:r>
        <w:r>
          <w:rPr>
            <w:webHidden/>
          </w:rPr>
          <w:instrText xml:space="preserve"> PAGEREF _Toc233036414 \h </w:instrText>
        </w:r>
        <w:r>
          <w:rPr>
            <w:webHidden/>
          </w:rPr>
        </w:r>
        <w:r>
          <w:rPr>
            <w:webHidden/>
          </w:rPr>
          <w:fldChar w:fldCharType="separate"/>
        </w:r>
        <w:r>
          <w:rPr>
            <w:webHidden/>
          </w:rPr>
          <w:t>46</w:t>
        </w:r>
        <w:r>
          <w:rPr>
            <w:webHidden/>
          </w:rPr>
          <w:fldChar w:fldCharType="end"/>
        </w:r>
      </w:hyperlink>
    </w:p>
    <w:p w14:paraId="602C5667" w14:textId="004DACF0" w:rsidR="003A17E6" w:rsidRDefault="003A17E6">
      <w:pPr>
        <w:pStyle w:val="TOC3"/>
        <w:tabs>
          <w:tab w:val="left" w:pos="1200"/>
        </w:tabs>
        <w:rPr>
          <w:rFonts w:asciiTheme="minorHAnsi" w:eastAsiaTheme="minorEastAsia" w:hAnsiTheme="minorHAnsi"/>
          <w:sz w:val="24"/>
          <w:szCs w:val="24"/>
          <w:lang w:eastAsia="en-AU"/>
        </w:rPr>
      </w:pPr>
      <w:hyperlink w:anchor="_Toc233036415" w:history="1">
        <w:r w:rsidRPr="00091CC1">
          <w:rPr>
            <w:rStyle w:val="Hyperlink"/>
          </w:rPr>
          <w:t>5.6.4</w:t>
        </w:r>
        <w:r>
          <w:rPr>
            <w:rFonts w:asciiTheme="minorHAnsi" w:eastAsiaTheme="minorEastAsia" w:hAnsiTheme="minorHAnsi"/>
            <w:sz w:val="24"/>
            <w:szCs w:val="24"/>
            <w:lang w:eastAsia="en-AU"/>
          </w:rPr>
          <w:tab/>
        </w:r>
        <w:r w:rsidRPr="00091CC1">
          <w:rPr>
            <w:rStyle w:val="Hyperlink"/>
          </w:rPr>
          <w:t>Brassica vegetables</w:t>
        </w:r>
        <w:r>
          <w:rPr>
            <w:webHidden/>
          </w:rPr>
          <w:tab/>
        </w:r>
        <w:r>
          <w:rPr>
            <w:webHidden/>
          </w:rPr>
          <w:fldChar w:fldCharType="begin"/>
        </w:r>
        <w:r>
          <w:rPr>
            <w:webHidden/>
          </w:rPr>
          <w:instrText xml:space="preserve"> PAGEREF _Toc233036415 \h </w:instrText>
        </w:r>
        <w:r>
          <w:rPr>
            <w:webHidden/>
          </w:rPr>
        </w:r>
        <w:r>
          <w:rPr>
            <w:webHidden/>
          </w:rPr>
          <w:fldChar w:fldCharType="separate"/>
        </w:r>
        <w:r>
          <w:rPr>
            <w:webHidden/>
          </w:rPr>
          <w:t>47</w:t>
        </w:r>
        <w:r>
          <w:rPr>
            <w:webHidden/>
          </w:rPr>
          <w:fldChar w:fldCharType="end"/>
        </w:r>
      </w:hyperlink>
    </w:p>
    <w:p w14:paraId="1FFB9C2A" w14:textId="1E33377E" w:rsidR="003A17E6" w:rsidRDefault="003A17E6">
      <w:pPr>
        <w:pStyle w:val="TOC3"/>
        <w:tabs>
          <w:tab w:val="left" w:pos="1200"/>
        </w:tabs>
        <w:rPr>
          <w:rFonts w:asciiTheme="minorHAnsi" w:eastAsiaTheme="minorEastAsia" w:hAnsiTheme="minorHAnsi"/>
          <w:sz w:val="24"/>
          <w:szCs w:val="24"/>
          <w:lang w:eastAsia="en-AU"/>
        </w:rPr>
      </w:pPr>
      <w:hyperlink w:anchor="_Toc233036416" w:history="1">
        <w:r w:rsidRPr="00091CC1">
          <w:rPr>
            <w:rStyle w:val="Hyperlink"/>
          </w:rPr>
          <w:t>5.6.5</w:t>
        </w:r>
        <w:r>
          <w:rPr>
            <w:rFonts w:asciiTheme="minorHAnsi" w:eastAsiaTheme="minorEastAsia" w:hAnsiTheme="minorHAnsi"/>
            <w:sz w:val="24"/>
            <w:szCs w:val="24"/>
            <w:lang w:eastAsia="en-AU"/>
          </w:rPr>
          <w:tab/>
        </w:r>
        <w:r w:rsidRPr="00091CC1">
          <w:rPr>
            <w:rStyle w:val="Hyperlink"/>
          </w:rPr>
          <w:t>Stalk and stem vegetables</w:t>
        </w:r>
        <w:r>
          <w:rPr>
            <w:webHidden/>
          </w:rPr>
          <w:tab/>
        </w:r>
        <w:r>
          <w:rPr>
            <w:webHidden/>
          </w:rPr>
          <w:fldChar w:fldCharType="begin"/>
        </w:r>
        <w:r>
          <w:rPr>
            <w:webHidden/>
          </w:rPr>
          <w:instrText xml:space="preserve"> PAGEREF _Toc233036416 \h </w:instrText>
        </w:r>
        <w:r>
          <w:rPr>
            <w:webHidden/>
          </w:rPr>
        </w:r>
        <w:r>
          <w:rPr>
            <w:webHidden/>
          </w:rPr>
          <w:fldChar w:fldCharType="separate"/>
        </w:r>
        <w:r>
          <w:rPr>
            <w:webHidden/>
          </w:rPr>
          <w:t>47</w:t>
        </w:r>
        <w:r>
          <w:rPr>
            <w:webHidden/>
          </w:rPr>
          <w:fldChar w:fldCharType="end"/>
        </w:r>
      </w:hyperlink>
    </w:p>
    <w:p w14:paraId="12A2BC92" w14:textId="38D16722" w:rsidR="003A17E6" w:rsidRDefault="003A17E6">
      <w:pPr>
        <w:pStyle w:val="TOC3"/>
        <w:tabs>
          <w:tab w:val="left" w:pos="1200"/>
        </w:tabs>
        <w:rPr>
          <w:rFonts w:asciiTheme="minorHAnsi" w:eastAsiaTheme="minorEastAsia" w:hAnsiTheme="minorHAnsi"/>
          <w:sz w:val="24"/>
          <w:szCs w:val="24"/>
          <w:lang w:eastAsia="en-AU"/>
        </w:rPr>
      </w:pPr>
      <w:hyperlink w:anchor="_Toc233036417" w:history="1">
        <w:r w:rsidRPr="00091CC1">
          <w:rPr>
            <w:rStyle w:val="Hyperlink"/>
          </w:rPr>
          <w:t>5.6.6</w:t>
        </w:r>
        <w:r>
          <w:rPr>
            <w:rFonts w:asciiTheme="minorHAnsi" w:eastAsiaTheme="minorEastAsia" w:hAnsiTheme="minorHAnsi"/>
            <w:sz w:val="24"/>
            <w:szCs w:val="24"/>
            <w:lang w:eastAsia="en-AU"/>
          </w:rPr>
          <w:tab/>
        </w:r>
        <w:r w:rsidRPr="00091CC1">
          <w:rPr>
            <w:rStyle w:val="Hyperlink"/>
          </w:rPr>
          <w:t>Fruiting vegetables, cucurbits</w:t>
        </w:r>
        <w:r>
          <w:rPr>
            <w:webHidden/>
          </w:rPr>
          <w:tab/>
        </w:r>
        <w:r>
          <w:rPr>
            <w:webHidden/>
          </w:rPr>
          <w:fldChar w:fldCharType="begin"/>
        </w:r>
        <w:r>
          <w:rPr>
            <w:webHidden/>
          </w:rPr>
          <w:instrText xml:space="preserve"> PAGEREF _Toc233036417 \h </w:instrText>
        </w:r>
        <w:r>
          <w:rPr>
            <w:webHidden/>
          </w:rPr>
        </w:r>
        <w:r>
          <w:rPr>
            <w:webHidden/>
          </w:rPr>
          <w:fldChar w:fldCharType="separate"/>
        </w:r>
        <w:r>
          <w:rPr>
            <w:webHidden/>
          </w:rPr>
          <w:t>47</w:t>
        </w:r>
        <w:r>
          <w:rPr>
            <w:webHidden/>
          </w:rPr>
          <w:fldChar w:fldCharType="end"/>
        </w:r>
      </w:hyperlink>
    </w:p>
    <w:p w14:paraId="0828E131" w14:textId="26DAAAEB" w:rsidR="003A17E6" w:rsidRDefault="003A17E6">
      <w:pPr>
        <w:pStyle w:val="TOC3"/>
        <w:tabs>
          <w:tab w:val="left" w:pos="1200"/>
        </w:tabs>
        <w:rPr>
          <w:rFonts w:asciiTheme="minorHAnsi" w:eastAsiaTheme="minorEastAsia" w:hAnsiTheme="minorHAnsi"/>
          <w:sz w:val="24"/>
          <w:szCs w:val="24"/>
          <w:lang w:eastAsia="en-AU"/>
        </w:rPr>
      </w:pPr>
      <w:hyperlink w:anchor="_Toc233036418" w:history="1">
        <w:r w:rsidRPr="00091CC1">
          <w:rPr>
            <w:rStyle w:val="Hyperlink"/>
          </w:rPr>
          <w:t>5.6.7</w:t>
        </w:r>
        <w:r>
          <w:rPr>
            <w:rFonts w:asciiTheme="minorHAnsi" w:eastAsiaTheme="minorEastAsia" w:hAnsiTheme="minorHAnsi"/>
            <w:sz w:val="24"/>
            <w:szCs w:val="24"/>
            <w:lang w:eastAsia="en-AU"/>
          </w:rPr>
          <w:tab/>
        </w:r>
        <w:r w:rsidRPr="00091CC1">
          <w:rPr>
            <w:rStyle w:val="Hyperlink"/>
          </w:rPr>
          <w:t>Fruiting vegetables, other than cucurbits</w:t>
        </w:r>
        <w:r>
          <w:rPr>
            <w:webHidden/>
          </w:rPr>
          <w:tab/>
        </w:r>
        <w:r>
          <w:rPr>
            <w:webHidden/>
          </w:rPr>
          <w:fldChar w:fldCharType="begin"/>
        </w:r>
        <w:r>
          <w:rPr>
            <w:webHidden/>
          </w:rPr>
          <w:instrText xml:space="preserve"> PAGEREF _Toc233036418 \h </w:instrText>
        </w:r>
        <w:r>
          <w:rPr>
            <w:webHidden/>
          </w:rPr>
        </w:r>
        <w:r>
          <w:rPr>
            <w:webHidden/>
          </w:rPr>
          <w:fldChar w:fldCharType="separate"/>
        </w:r>
        <w:r>
          <w:rPr>
            <w:webHidden/>
          </w:rPr>
          <w:t>48</w:t>
        </w:r>
        <w:r>
          <w:rPr>
            <w:webHidden/>
          </w:rPr>
          <w:fldChar w:fldCharType="end"/>
        </w:r>
      </w:hyperlink>
    </w:p>
    <w:p w14:paraId="2353D877" w14:textId="612F1F3C" w:rsidR="003A17E6" w:rsidRDefault="003A17E6">
      <w:pPr>
        <w:pStyle w:val="TOC3"/>
        <w:tabs>
          <w:tab w:val="left" w:pos="1200"/>
        </w:tabs>
        <w:rPr>
          <w:rFonts w:asciiTheme="minorHAnsi" w:eastAsiaTheme="minorEastAsia" w:hAnsiTheme="minorHAnsi"/>
          <w:sz w:val="24"/>
          <w:szCs w:val="24"/>
          <w:lang w:eastAsia="en-AU"/>
        </w:rPr>
      </w:pPr>
      <w:hyperlink w:anchor="_Toc233036419" w:history="1">
        <w:r w:rsidRPr="00091CC1">
          <w:rPr>
            <w:rStyle w:val="Hyperlink"/>
          </w:rPr>
          <w:t>5.6.8</w:t>
        </w:r>
        <w:r>
          <w:rPr>
            <w:rFonts w:asciiTheme="minorHAnsi" w:eastAsiaTheme="minorEastAsia" w:hAnsiTheme="minorHAnsi"/>
            <w:sz w:val="24"/>
            <w:szCs w:val="24"/>
            <w:lang w:eastAsia="en-AU"/>
          </w:rPr>
          <w:tab/>
        </w:r>
        <w:r w:rsidRPr="00091CC1">
          <w:rPr>
            <w:rStyle w:val="Hyperlink"/>
          </w:rPr>
          <w:t>Legume vegetables</w:t>
        </w:r>
        <w:r>
          <w:rPr>
            <w:webHidden/>
          </w:rPr>
          <w:tab/>
        </w:r>
        <w:r>
          <w:rPr>
            <w:webHidden/>
          </w:rPr>
          <w:fldChar w:fldCharType="begin"/>
        </w:r>
        <w:r>
          <w:rPr>
            <w:webHidden/>
          </w:rPr>
          <w:instrText xml:space="preserve"> PAGEREF _Toc233036419 \h </w:instrText>
        </w:r>
        <w:r>
          <w:rPr>
            <w:webHidden/>
          </w:rPr>
        </w:r>
        <w:r>
          <w:rPr>
            <w:webHidden/>
          </w:rPr>
          <w:fldChar w:fldCharType="separate"/>
        </w:r>
        <w:r>
          <w:rPr>
            <w:webHidden/>
          </w:rPr>
          <w:t>48</w:t>
        </w:r>
        <w:r>
          <w:rPr>
            <w:webHidden/>
          </w:rPr>
          <w:fldChar w:fldCharType="end"/>
        </w:r>
      </w:hyperlink>
    </w:p>
    <w:p w14:paraId="62A40187" w14:textId="68C6D20C" w:rsidR="003A17E6" w:rsidRDefault="003A17E6">
      <w:pPr>
        <w:pStyle w:val="TOC2"/>
        <w:rPr>
          <w:rFonts w:asciiTheme="minorHAnsi" w:eastAsiaTheme="minorEastAsia" w:hAnsiTheme="minorHAnsi"/>
          <w:b w:val="0"/>
          <w:color w:val="auto"/>
          <w:sz w:val="24"/>
          <w:szCs w:val="24"/>
          <w:lang w:eastAsia="en-AU"/>
        </w:rPr>
      </w:pPr>
      <w:hyperlink w:anchor="_Toc233036420" w:history="1">
        <w:r w:rsidRPr="00091CC1">
          <w:rPr>
            <w:rStyle w:val="Hyperlink"/>
          </w:rPr>
          <w:t>5.7</w:t>
        </w:r>
        <w:r>
          <w:rPr>
            <w:rFonts w:asciiTheme="minorHAnsi" w:eastAsiaTheme="minorEastAsia" w:hAnsiTheme="minorHAnsi"/>
            <w:b w:val="0"/>
            <w:color w:val="auto"/>
            <w:sz w:val="24"/>
            <w:szCs w:val="24"/>
            <w:lang w:eastAsia="en-AU"/>
          </w:rPr>
          <w:tab/>
        </w:r>
        <w:r w:rsidRPr="00091CC1">
          <w:rPr>
            <w:rStyle w:val="Hyperlink"/>
          </w:rPr>
          <w:t>Pulses</w:t>
        </w:r>
        <w:r>
          <w:rPr>
            <w:webHidden/>
          </w:rPr>
          <w:tab/>
        </w:r>
        <w:r>
          <w:rPr>
            <w:webHidden/>
          </w:rPr>
          <w:fldChar w:fldCharType="begin"/>
        </w:r>
        <w:r>
          <w:rPr>
            <w:webHidden/>
          </w:rPr>
          <w:instrText xml:space="preserve"> PAGEREF _Toc233036420 \h </w:instrText>
        </w:r>
        <w:r>
          <w:rPr>
            <w:webHidden/>
          </w:rPr>
        </w:r>
        <w:r>
          <w:rPr>
            <w:webHidden/>
          </w:rPr>
          <w:fldChar w:fldCharType="separate"/>
        </w:r>
        <w:r>
          <w:rPr>
            <w:webHidden/>
          </w:rPr>
          <w:t>48</w:t>
        </w:r>
        <w:r>
          <w:rPr>
            <w:webHidden/>
          </w:rPr>
          <w:fldChar w:fldCharType="end"/>
        </w:r>
      </w:hyperlink>
    </w:p>
    <w:p w14:paraId="48DB9001" w14:textId="5CAD46F5" w:rsidR="003A17E6" w:rsidRDefault="003A17E6">
      <w:pPr>
        <w:pStyle w:val="TOC2"/>
        <w:rPr>
          <w:rFonts w:asciiTheme="minorHAnsi" w:eastAsiaTheme="minorEastAsia" w:hAnsiTheme="minorHAnsi"/>
          <w:b w:val="0"/>
          <w:color w:val="auto"/>
          <w:sz w:val="24"/>
          <w:szCs w:val="24"/>
          <w:lang w:eastAsia="en-AU"/>
        </w:rPr>
      </w:pPr>
      <w:hyperlink w:anchor="_Toc233036421" w:history="1">
        <w:r w:rsidRPr="00091CC1">
          <w:rPr>
            <w:rStyle w:val="Hyperlink"/>
          </w:rPr>
          <w:t>5.8</w:t>
        </w:r>
        <w:r>
          <w:rPr>
            <w:rFonts w:asciiTheme="minorHAnsi" w:eastAsiaTheme="minorEastAsia" w:hAnsiTheme="minorHAnsi"/>
            <w:b w:val="0"/>
            <w:color w:val="auto"/>
            <w:sz w:val="24"/>
            <w:szCs w:val="24"/>
            <w:lang w:eastAsia="en-AU"/>
          </w:rPr>
          <w:tab/>
        </w:r>
        <w:r w:rsidRPr="00091CC1">
          <w:rPr>
            <w:rStyle w:val="Hyperlink"/>
          </w:rPr>
          <w:t>Cereals</w:t>
        </w:r>
        <w:r>
          <w:rPr>
            <w:webHidden/>
          </w:rPr>
          <w:tab/>
        </w:r>
        <w:r>
          <w:rPr>
            <w:webHidden/>
          </w:rPr>
          <w:fldChar w:fldCharType="begin"/>
        </w:r>
        <w:r>
          <w:rPr>
            <w:webHidden/>
          </w:rPr>
          <w:instrText xml:space="preserve"> PAGEREF _Toc233036421 \h </w:instrText>
        </w:r>
        <w:r>
          <w:rPr>
            <w:webHidden/>
          </w:rPr>
        </w:r>
        <w:r>
          <w:rPr>
            <w:webHidden/>
          </w:rPr>
          <w:fldChar w:fldCharType="separate"/>
        </w:r>
        <w:r>
          <w:rPr>
            <w:webHidden/>
          </w:rPr>
          <w:t>50</w:t>
        </w:r>
        <w:r>
          <w:rPr>
            <w:webHidden/>
          </w:rPr>
          <w:fldChar w:fldCharType="end"/>
        </w:r>
      </w:hyperlink>
    </w:p>
    <w:p w14:paraId="2A3048C9" w14:textId="44EBF7C0" w:rsidR="003A17E6" w:rsidRDefault="003A17E6">
      <w:pPr>
        <w:pStyle w:val="TOC2"/>
        <w:rPr>
          <w:rFonts w:asciiTheme="minorHAnsi" w:eastAsiaTheme="minorEastAsia" w:hAnsiTheme="minorHAnsi"/>
          <w:b w:val="0"/>
          <w:color w:val="auto"/>
          <w:sz w:val="24"/>
          <w:szCs w:val="24"/>
          <w:lang w:eastAsia="en-AU"/>
        </w:rPr>
      </w:pPr>
      <w:hyperlink w:anchor="_Toc233036422" w:history="1">
        <w:r w:rsidRPr="00091CC1">
          <w:rPr>
            <w:rStyle w:val="Hyperlink"/>
          </w:rPr>
          <w:t>5.9</w:t>
        </w:r>
        <w:r>
          <w:rPr>
            <w:rFonts w:asciiTheme="minorHAnsi" w:eastAsiaTheme="minorEastAsia" w:hAnsiTheme="minorHAnsi"/>
            <w:b w:val="0"/>
            <w:color w:val="auto"/>
            <w:sz w:val="24"/>
            <w:szCs w:val="24"/>
            <w:lang w:eastAsia="en-AU"/>
          </w:rPr>
          <w:tab/>
        </w:r>
        <w:r w:rsidRPr="00091CC1">
          <w:rPr>
            <w:rStyle w:val="Hyperlink"/>
          </w:rPr>
          <w:t>Oilseeds</w:t>
        </w:r>
        <w:r>
          <w:rPr>
            <w:webHidden/>
          </w:rPr>
          <w:tab/>
        </w:r>
        <w:r>
          <w:rPr>
            <w:webHidden/>
          </w:rPr>
          <w:fldChar w:fldCharType="begin"/>
        </w:r>
        <w:r>
          <w:rPr>
            <w:webHidden/>
          </w:rPr>
          <w:instrText xml:space="preserve"> PAGEREF _Toc233036422 \h </w:instrText>
        </w:r>
        <w:r>
          <w:rPr>
            <w:webHidden/>
          </w:rPr>
        </w:r>
        <w:r>
          <w:rPr>
            <w:webHidden/>
          </w:rPr>
          <w:fldChar w:fldCharType="separate"/>
        </w:r>
        <w:r>
          <w:rPr>
            <w:webHidden/>
          </w:rPr>
          <w:t>51</w:t>
        </w:r>
        <w:r>
          <w:rPr>
            <w:webHidden/>
          </w:rPr>
          <w:fldChar w:fldCharType="end"/>
        </w:r>
      </w:hyperlink>
    </w:p>
    <w:p w14:paraId="1965195E" w14:textId="41067557" w:rsidR="003A17E6" w:rsidRDefault="003A17E6">
      <w:pPr>
        <w:pStyle w:val="TOC3"/>
        <w:tabs>
          <w:tab w:val="left" w:pos="1200"/>
        </w:tabs>
        <w:rPr>
          <w:rFonts w:asciiTheme="minorHAnsi" w:eastAsiaTheme="minorEastAsia" w:hAnsiTheme="minorHAnsi"/>
          <w:sz w:val="24"/>
          <w:szCs w:val="24"/>
          <w:lang w:eastAsia="en-AU"/>
        </w:rPr>
      </w:pPr>
      <w:hyperlink w:anchor="_Toc233036423" w:history="1">
        <w:r w:rsidRPr="00091CC1">
          <w:rPr>
            <w:rStyle w:val="Hyperlink"/>
          </w:rPr>
          <w:t>5.9.1</w:t>
        </w:r>
        <w:r>
          <w:rPr>
            <w:rFonts w:asciiTheme="minorHAnsi" w:eastAsiaTheme="minorEastAsia" w:hAnsiTheme="minorHAnsi"/>
            <w:sz w:val="24"/>
            <w:szCs w:val="24"/>
            <w:lang w:eastAsia="en-AU"/>
          </w:rPr>
          <w:tab/>
        </w:r>
        <w:r w:rsidRPr="00091CC1">
          <w:rPr>
            <w:rStyle w:val="Hyperlink"/>
          </w:rPr>
          <w:t>Cotton</w:t>
        </w:r>
        <w:r>
          <w:rPr>
            <w:webHidden/>
          </w:rPr>
          <w:tab/>
        </w:r>
        <w:r>
          <w:rPr>
            <w:webHidden/>
          </w:rPr>
          <w:fldChar w:fldCharType="begin"/>
        </w:r>
        <w:r>
          <w:rPr>
            <w:webHidden/>
          </w:rPr>
          <w:instrText xml:space="preserve"> PAGEREF _Toc233036423 \h </w:instrText>
        </w:r>
        <w:r>
          <w:rPr>
            <w:webHidden/>
          </w:rPr>
        </w:r>
        <w:r>
          <w:rPr>
            <w:webHidden/>
          </w:rPr>
          <w:fldChar w:fldCharType="separate"/>
        </w:r>
        <w:r>
          <w:rPr>
            <w:webHidden/>
          </w:rPr>
          <w:t>51</w:t>
        </w:r>
        <w:r>
          <w:rPr>
            <w:webHidden/>
          </w:rPr>
          <w:fldChar w:fldCharType="end"/>
        </w:r>
      </w:hyperlink>
    </w:p>
    <w:p w14:paraId="568AF686" w14:textId="68653E30" w:rsidR="003A17E6" w:rsidRDefault="003A17E6">
      <w:pPr>
        <w:pStyle w:val="TOC3"/>
        <w:tabs>
          <w:tab w:val="left" w:pos="1200"/>
        </w:tabs>
        <w:rPr>
          <w:rFonts w:asciiTheme="minorHAnsi" w:eastAsiaTheme="minorEastAsia" w:hAnsiTheme="minorHAnsi"/>
          <w:sz w:val="24"/>
          <w:szCs w:val="24"/>
          <w:lang w:eastAsia="en-AU"/>
        </w:rPr>
      </w:pPr>
      <w:hyperlink w:anchor="_Toc233036424" w:history="1">
        <w:r w:rsidRPr="00091CC1">
          <w:rPr>
            <w:rStyle w:val="Hyperlink"/>
          </w:rPr>
          <w:t>5.9.2</w:t>
        </w:r>
        <w:r>
          <w:rPr>
            <w:rFonts w:asciiTheme="minorHAnsi" w:eastAsiaTheme="minorEastAsia" w:hAnsiTheme="minorHAnsi"/>
            <w:sz w:val="24"/>
            <w:szCs w:val="24"/>
            <w:lang w:eastAsia="en-AU"/>
          </w:rPr>
          <w:tab/>
        </w:r>
        <w:r w:rsidRPr="00091CC1">
          <w:rPr>
            <w:rStyle w:val="Hyperlink"/>
          </w:rPr>
          <w:t>Peanuts</w:t>
        </w:r>
        <w:r>
          <w:rPr>
            <w:webHidden/>
          </w:rPr>
          <w:tab/>
        </w:r>
        <w:r>
          <w:rPr>
            <w:webHidden/>
          </w:rPr>
          <w:fldChar w:fldCharType="begin"/>
        </w:r>
        <w:r>
          <w:rPr>
            <w:webHidden/>
          </w:rPr>
          <w:instrText xml:space="preserve"> PAGEREF _Toc233036424 \h </w:instrText>
        </w:r>
        <w:r>
          <w:rPr>
            <w:webHidden/>
          </w:rPr>
        </w:r>
        <w:r>
          <w:rPr>
            <w:webHidden/>
          </w:rPr>
          <w:fldChar w:fldCharType="separate"/>
        </w:r>
        <w:r>
          <w:rPr>
            <w:webHidden/>
          </w:rPr>
          <w:t>51</w:t>
        </w:r>
        <w:r>
          <w:rPr>
            <w:webHidden/>
          </w:rPr>
          <w:fldChar w:fldCharType="end"/>
        </w:r>
      </w:hyperlink>
    </w:p>
    <w:p w14:paraId="2C20688B" w14:textId="6686BCF5" w:rsidR="003A17E6" w:rsidRDefault="003A17E6">
      <w:pPr>
        <w:pStyle w:val="TOC3"/>
        <w:tabs>
          <w:tab w:val="left" w:pos="1200"/>
        </w:tabs>
        <w:rPr>
          <w:rFonts w:asciiTheme="minorHAnsi" w:eastAsiaTheme="minorEastAsia" w:hAnsiTheme="minorHAnsi"/>
          <w:sz w:val="24"/>
          <w:szCs w:val="24"/>
          <w:lang w:eastAsia="en-AU"/>
        </w:rPr>
      </w:pPr>
      <w:hyperlink w:anchor="_Toc233036425" w:history="1">
        <w:r w:rsidRPr="00091CC1">
          <w:rPr>
            <w:rStyle w:val="Hyperlink"/>
          </w:rPr>
          <w:t>5.9.3</w:t>
        </w:r>
        <w:r>
          <w:rPr>
            <w:rFonts w:asciiTheme="minorHAnsi" w:eastAsiaTheme="minorEastAsia" w:hAnsiTheme="minorHAnsi"/>
            <w:sz w:val="24"/>
            <w:szCs w:val="24"/>
            <w:lang w:eastAsia="en-AU"/>
          </w:rPr>
          <w:tab/>
        </w:r>
        <w:r w:rsidRPr="00091CC1">
          <w:rPr>
            <w:rStyle w:val="Hyperlink"/>
          </w:rPr>
          <w:t>Oilseeds other than cotton and peanuts</w:t>
        </w:r>
        <w:r>
          <w:rPr>
            <w:webHidden/>
          </w:rPr>
          <w:tab/>
        </w:r>
        <w:r>
          <w:rPr>
            <w:webHidden/>
          </w:rPr>
          <w:fldChar w:fldCharType="begin"/>
        </w:r>
        <w:r>
          <w:rPr>
            <w:webHidden/>
          </w:rPr>
          <w:instrText xml:space="preserve"> PAGEREF _Toc233036425 \h </w:instrText>
        </w:r>
        <w:r>
          <w:rPr>
            <w:webHidden/>
          </w:rPr>
        </w:r>
        <w:r>
          <w:rPr>
            <w:webHidden/>
          </w:rPr>
          <w:fldChar w:fldCharType="separate"/>
        </w:r>
        <w:r>
          <w:rPr>
            <w:webHidden/>
          </w:rPr>
          <w:t>52</w:t>
        </w:r>
        <w:r>
          <w:rPr>
            <w:webHidden/>
          </w:rPr>
          <w:fldChar w:fldCharType="end"/>
        </w:r>
      </w:hyperlink>
    </w:p>
    <w:p w14:paraId="72576B9E" w14:textId="18F264CB" w:rsidR="003A17E6" w:rsidRDefault="003A17E6">
      <w:pPr>
        <w:pStyle w:val="TOC2"/>
        <w:rPr>
          <w:rFonts w:asciiTheme="minorHAnsi" w:eastAsiaTheme="minorEastAsia" w:hAnsiTheme="minorHAnsi"/>
          <w:b w:val="0"/>
          <w:color w:val="auto"/>
          <w:sz w:val="24"/>
          <w:szCs w:val="24"/>
          <w:lang w:eastAsia="en-AU"/>
        </w:rPr>
      </w:pPr>
      <w:hyperlink w:anchor="_Toc233036426" w:history="1">
        <w:r w:rsidRPr="00091CC1">
          <w:rPr>
            <w:rStyle w:val="Hyperlink"/>
          </w:rPr>
          <w:t>5.10</w:t>
        </w:r>
        <w:r>
          <w:rPr>
            <w:rFonts w:asciiTheme="minorHAnsi" w:eastAsiaTheme="minorEastAsia" w:hAnsiTheme="minorHAnsi"/>
            <w:b w:val="0"/>
            <w:color w:val="auto"/>
            <w:sz w:val="24"/>
            <w:szCs w:val="24"/>
            <w:lang w:eastAsia="en-AU"/>
          </w:rPr>
          <w:tab/>
        </w:r>
        <w:r w:rsidRPr="00091CC1">
          <w:rPr>
            <w:rStyle w:val="Hyperlink"/>
          </w:rPr>
          <w:t>Sugar cane</w:t>
        </w:r>
        <w:r>
          <w:rPr>
            <w:webHidden/>
          </w:rPr>
          <w:tab/>
        </w:r>
        <w:r>
          <w:rPr>
            <w:webHidden/>
          </w:rPr>
          <w:fldChar w:fldCharType="begin"/>
        </w:r>
        <w:r>
          <w:rPr>
            <w:webHidden/>
          </w:rPr>
          <w:instrText xml:space="preserve"> PAGEREF _Toc233036426 \h </w:instrText>
        </w:r>
        <w:r>
          <w:rPr>
            <w:webHidden/>
          </w:rPr>
        </w:r>
        <w:r>
          <w:rPr>
            <w:webHidden/>
          </w:rPr>
          <w:fldChar w:fldCharType="separate"/>
        </w:r>
        <w:r>
          <w:rPr>
            <w:webHidden/>
          </w:rPr>
          <w:t>52</w:t>
        </w:r>
        <w:r>
          <w:rPr>
            <w:webHidden/>
          </w:rPr>
          <w:fldChar w:fldCharType="end"/>
        </w:r>
      </w:hyperlink>
    </w:p>
    <w:p w14:paraId="1EC88569" w14:textId="068F629B" w:rsidR="003A17E6" w:rsidRDefault="003A17E6">
      <w:pPr>
        <w:pStyle w:val="TOC2"/>
        <w:rPr>
          <w:rFonts w:asciiTheme="minorHAnsi" w:eastAsiaTheme="minorEastAsia" w:hAnsiTheme="minorHAnsi"/>
          <w:b w:val="0"/>
          <w:color w:val="auto"/>
          <w:sz w:val="24"/>
          <w:szCs w:val="24"/>
          <w:lang w:eastAsia="en-AU"/>
        </w:rPr>
      </w:pPr>
      <w:hyperlink w:anchor="_Toc233036427" w:history="1">
        <w:r w:rsidRPr="00091CC1">
          <w:rPr>
            <w:rStyle w:val="Hyperlink"/>
          </w:rPr>
          <w:t>5.11</w:t>
        </w:r>
        <w:r>
          <w:rPr>
            <w:rFonts w:asciiTheme="minorHAnsi" w:eastAsiaTheme="minorEastAsia" w:hAnsiTheme="minorHAnsi"/>
            <w:b w:val="0"/>
            <w:color w:val="auto"/>
            <w:sz w:val="24"/>
            <w:szCs w:val="24"/>
            <w:lang w:eastAsia="en-AU"/>
          </w:rPr>
          <w:tab/>
        </w:r>
        <w:r w:rsidRPr="00091CC1">
          <w:rPr>
            <w:rStyle w:val="Hyperlink"/>
          </w:rPr>
          <w:t>Hops</w:t>
        </w:r>
        <w:r>
          <w:rPr>
            <w:webHidden/>
          </w:rPr>
          <w:tab/>
        </w:r>
        <w:r>
          <w:rPr>
            <w:webHidden/>
          </w:rPr>
          <w:fldChar w:fldCharType="begin"/>
        </w:r>
        <w:r>
          <w:rPr>
            <w:webHidden/>
          </w:rPr>
          <w:instrText xml:space="preserve"> PAGEREF _Toc233036427 \h </w:instrText>
        </w:r>
        <w:r>
          <w:rPr>
            <w:webHidden/>
          </w:rPr>
        </w:r>
        <w:r>
          <w:rPr>
            <w:webHidden/>
          </w:rPr>
          <w:fldChar w:fldCharType="separate"/>
        </w:r>
        <w:r>
          <w:rPr>
            <w:webHidden/>
          </w:rPr>
          <w:t>53</w:t>
        </w:r>
        <w:r>
          <w:rPr>
            <w:webHidden/>
          </w:rPr>
          <w:fldChar w:fldCharType="end"/>
        </w:r>
      </w:hyperlink>
    </w:p>
    <w:p w14:paraId="0DB2CE1C" w14:textId="6E4DE4ED" w:rsidR="003A17E6" w:rsidRDefault="003A17E6">
      <w:pPr>
        <w:pStyle w:val="TOC2"/>
        <w:rPr>
          <w:rFonts w:asciiTheme="minorHAnsi" w:eastAsiaTheme="minorEastAsia" w:hAnsiTheme="minorHAnsi"/>
          <w:b w:val="0"/>
          <w:color w:val="auto"/>
          <w:sz w:val="24"/>
          <w:szCs w:val="24"/>
          <w:lang w:eastAsia="en-AU"/>
        </w:rPr>
      </w:pPr>
      <w:hyperlink w:anchor="_Toc233036428" w:history="1">
        <w:r w:rsidRPr="00091CC1">
          <w:rPr>
            <w:rStyle w:val="Hyperlink"/>
          </w:rPr>
          <w:t>5.12</w:t>
        </w:r>
        <w:r>
          <w:rPr>
            <w:rFonts w:asciiTheme="minorHAnsi" w:eastAsiaTheme="minorEastAsia" w:hAnsiTheme="minorHAnsi"/>
            <w:b w:val="0"/>
            <w:color w:val="auto"/>
            <w:sz w:val="24"/>
            <w:szCs w:val="24"/>
            <w:lang w:eastAsia="en-AU"/>
          </w:rPr>
          <w:tab/>
        </w:r>
        <w:r w:rsidRPr="00091CC1">
          <w:rPr>
            <w:rStyle w:val="Hyperlink"/>
          </w:rPr>
          <w:t>Herbs and spices</w:t>
        </w:r>
        <w:r>
          <w:rPr>
            <w:webHidden/>
          </w:rPr>
          <w:tab/>
        </w:r>
        <w:r>
          <w:rPr>
            <w:webHidden/>
          </w:rPr>
          <w:fldChar w:fldCharType="begin"/>
        </w:r>
        <w:r>
          <w:rPr>
            <w:webHidden/>
          </w:rPr>
          <w:instrText xml:space="preserve"> PAGEREF _Toc233036428 \h </w:instrText>
        </w:r>
        <w:r>
          <w:rPr>
            <w:webHidden/>
          </w:rPr>
        </w:r>
        <w:r>
          <w:rPr>
            <w:webHidden/>
          </w:rPr>
          <w:fldChar w:fldCharType="separate"/>
        </w:r>
        <w:r>
          <w:rPr>
            <w:webHidden/>
          </w:rPr>
          <w:t>53</w:t>
        </w:r>
        <w:r>
          <w:rPr>
            <w:webHidden/>
          </w:rPr>
          <w:fldChar w:fldCharType="end"/>
        </w:r>
      </w:hyperlink>
    </w:p>
    <w:p w14:paraId="1F99CE28" w14:textId="68450E49" w:rsidR="003A17E6" w:rsidRDefault="003A17E6">
      <w:pPr>
        <w:pStyle w:val="TOC2"/>
        <w:rPr>
          <w:rFonts w:asciiTheme="minorHAnsi" w:eastAsiaTheme="minorEastAsia" w:hAnsiTheme="minorHAnsi"/>
          <w:b w:val="0"/>
          <w:color w:val="auto"/>
          <w:sz w:val="24"/>
          <w:szCs w:val="24"/>
          <w:lang w:eastAsia="en-AU"/>
        </w:rPr>
      </w:pPr>
      <w:hyperlink w:anchor="_Toc233036429" w:history="1">
        <w:r w:rsidRPr="00091CC1">
          <w:rPr>
            <w:rStyle w:val="Hyperlink"/>
          </w:rPr>
          <w:t>5.13</w:t>
        </w:r>
        <w:r>
          <w:rPr>
            <w:rFonts w:asciiTheme="minorHAnsi" w:eastAsiaTheme="minorEastAsia" w:hAnsiTheme="minorHAnsi"/>
            <w:b w:val="0"/>
            <w:color w:val="auto"/>
            <w:sz w:val="24"/>
            <w:szCs w:val="24"/>
            <w:lang w:eastAsia="en-AU"/>
          </w:rPr>
          <w:tab/>
        </w:r>
        <w:r w:rsidRPr="00091CC1">
          <w:rPr>
            <w:rStyle w:val="Hyperlink"/>
          </w:rPr>
          <w:t>Processed commodities</w:t>
        </w:r>
        <w:r>
          <w:rPr>
            <w:webHidden/>
          </w:rPr>
          <w:tab/>
        </w:r>
        <w:r>
          <w:rPr>
            <w:webHidden/>
          </w:rPr>
          <w:fldChar w:fldCharType="begin"/>
        </w:r>
        <w:r>
          <w:rPr>
            <w:webHidden/>
          </w:rPr>
          <w:instrText xml:space="preserve"> PAGEREF _Toc233036429 \h </w:instrText>
        </w:r>
        <w:r>
          <w:rPr>
            <w:webHidden/>
          </w:rPr>
        </w:r>
        <w:r>
          <w:rPr>
            <w:webHidden/>
          </w:rPr>
          <w:fldChar w:fldCharType="separate"/>
        </w:r>
        <w:r>
          <w:rPr>
            <w:webHidden/>
          </w:rPr>
          <w:t>53</w:t>
        </w:r>
        <w:r>
          <w:rPr>
            <w:webHidden/>
          </w:rPr>
          <w:fldChar w:fldCharType="end"/>
        </w:r>
      </w:hyperlink>
    </w:p>
    <w:p w14:paraId="6A86A108" w14:textId="4A11AF83" w:rsidR="003A17E6" w:rsidRDefault="003A17E6">
      <w:pPr>
        <w:pStyle w:val="TOC3"/>
        <w:tabs>
          <w:tab w:val="left" w:pos="1200"/>
        </w:tabs>
        <w:rPr>
          <w:rFonts w:asciiTheme="minorHAnsi" w:eastAsiaTheme="minorEastAsia" w:hAnsiTheme="minorHAnsi"/>
          <w:sz w:val="24"/>
          <w:szCs w:val="24"/>
          <w:lang w:eastAsia="en-AU"/>
        </w:rPr>
      </w:pPr>
      <w:hyperlink w:anchor="_Toc233036430" w:history="1">
        <w:r w:rsidRPr="00091CC1">
          <w:rPr>
            <w:rStyle w:val="Hyperlink"/>
          </w:rPr>
          <w:t>5.13.1</w:t>
        </w:r>
        <w:r>
          <w:rPr>
            <w:rFonts w:asciiTheme="minorHAnsi" w:eastAsiaTheme="minorEastAsia" w:hAnsiTheme="minorHAnsi"/>
            <w:sz w:val="24"/>
            <w:szCs w:val="24"/>
            <w:lang w:eastAsia="en-AU"/>
          </w:rPr>
          <w:tab/>
        </w:r>
        <w:r w:rsidRPr="00091CC1">
          <w:rPr>
            <w:rStyle w:val="Hyperlink"/>
          </w:rPr>
          <w:t>Vegetable oil</w:t>
        </w:r>
        <w:r>
          <w:rPr>
            <w:webHidden/>
          </w:rPr>
          <w:tab/>
        </w:r>
        <w:r>
          <w:rPr>
            <w:webHidden/>
          </w:rPr>
          <w:fldChar w:fldCharType="begin"/>
        </w:r>
        <w:r>
          <w:rPr>
            <w:webHidden/>
          </w:rPr>
          <w:instrText xml:space="preserve"> PAGEREF _Toc233036430 \h </w:instrText>
        </w:r>
        <w:r>
          <w:rPr>
            <w:webHidden/>
          </w:rPr>
        </w:r>
        <w:r>
          <w:rPr>
            <w:webHidden/>
          </w:rPr>
          <w:fldChar w:fldCharType="separate"/>
        </w:r>
        <w:r>
          <w:rPr>
            <w:webHidden/>
          </w:rPr>
          <w:t>54</w:t>
        </w:r>
        <w:r>
          <w:rPr>
            <w:webHidden/>
          </w:rPr>
          <w:fldChar w:fldCharType="end"/>
        </w:r>
      </w:hyperlink>
    </w:p>
    <w:p w14:paraId="49DC9B34" w14:textId="0E0811BC" w:rsidR="003A17E6" w:rsidRDefault="003A17E6">
      <w:pPr>
        <w:pStyle w:val="TOC2"/>
        <w:rPr>
          <w:rFonts w:asciiTheme="minorHAnsi" w:eastAsiaTheme="minorEastAsia" w:hAnsiTheme="minorHAnsi"/>
          <w:b w:val="0"/>
          <w:color w:val="auto"/>
          <w:sz w:val="24"/>
          <w:szCs w:val="24"/>
          <w:lang w:eastAsia="en-AU"/>
        </w:rPr>
      </w:pPr>
      <w:hyperlink w:anchor="_Toc233036431" w:history="1">
        <w:r w:rsidRPr="00091CC1">
          <w:rPr>
            <w:rStyle w:val="Hyperlink"/>
          </w:rPr>
          <w:t>5.14</w:t>
        </w:r>
        <w:r>
          <w:rPr>
            <w:rFonts w:asciiTheme="minorHAnsi" w:eastAsiaTheme="minorEastAsia" w:hAnsiTheme="minorHAnsi"/>
            <w:b w:val="0"/>
            <w:color w:val="auto"/>
            <w:sz w:val="24"/>
            <w:szCs w:val="24"/>
            <w:lang w:eastAsia="en-AU"/>
          </w:rPr>
          <w:tab/>
        </w:r>
        <w:r w:rsidRPr="00091CC1">
          <w:rPr>
            <w:rStyle w:val="Hyperlink"/>
          </w:rPr>
          <w:t>Residues in animal feed commodities</w:t>
        </w:r>
        <w:r>
          <w:rPr>
            <w:webHidden/>
          </w:rPr>
          <w:tab/>
        </w:r>
        <w:r>
          <w:rPr>
            <w:webHidden/>
          </w:rPr>
          <w:fldChar w:fldCharType="begin"/>
        </w:r>
        <w:r>
          <w:rPr>
            <w:webHidden/>
          </w:rPr>
          <w:instrText xml:space="preserve"> PAGEREF _Toc233036431 \h </w:instrText>
        </w:r>
        <w:r>
          <w:rPr>
            <w:webHidden/>
          </w:rPr>
        </w:r>
        <w:r>
          <w:rPr>
            <w:webHidden/>
          </w:rPr>
          <w:fldChar w:fldCharType="separate"/>
        </w:r>
        <w:r>
          <w:rPr>
            <w:webHidden/>
          </w:rPr>
          <w:t>54</w:t>
        </w:r>
        <w:r>
          <w:rPr>
            <w:webHidden/>
          </w:rPr>
          <w:fldChar w:fldCharType="end"/>
        </w:r>
      </w:hyperlink>
    </w:p>
    <w:p w14:paraId="2F3AF7ED" w14:textId="30424DA6" w:rsidR="003A17E6" w:rsidRDefault="003A17E6">
      <w:pPr>
        <w:pStyle w:val="TOC3"/>
        <w:tabs>
          <w:tab w:val="left" w:pos="1200"/>
        </w:tabs>
        <w:rPr>
          <w:rFonts w:asciiTheme="minorHAnsi" w:eastAsiaTheme="minorEastAsia" w:hAnsiTheme="minorHAnsi"/>
          <w:sz w:val="24"/>
          <w:szCs w:val="24"/>
          <w:lang w:eastAsia="en-AU"/>
        </w:rPr>
      </w:pPr>
      <w:hyperlink w:anchor="_Toc233036432" w:history="1">
        <w:r w:rsidRPr="00091CC1">
          <w:rPr>
            <w:rStyle w:val="Hyperlink"/>
          </w:rPr>
          <w:t>5.14.1</w:t>
        </w:r>
        <w:r>
          <w:rPr>
            <w:rFonts w:asciiTheme="minorHAnsi" w:eastAsiaTheme="minorEastAsia" w:hAnsiTheme="minorHAnsi"/>
            <w:sz w:val="24"/>
            <w:szCs w:val="24"/>
            <w:lang w:eastAsia="en-AU"/>
          </w:rPr>
          <w:tab/>
        </w:r>
        <w:r w:rsidRPr="00091CC1">
          <w:rPr>
            <w:rStyle w:val="Hyperlink"/>
          </w:rPr>
          <w:t>Animal feeds derived from grasses</w:t>
        </w:r>
        <w:r>
          <w:rPr>
            <w:webHidden/>
          </w:rPr>
          <w:tab/>
        </w:r>
        <w:r>
          <w:rPr>
            <w:webHidden/>
          </w:rPr>
          <w:fldChar w:fldCharType="begin"/>
        </w:r>
        <w:r>
          <w:rPr>
            <w:webHidden/>
          </w:rPr>
          <w:instrText xml:space="preserve"> PAGEREF _Toc233036432 \h </w:instrText>
        </w:r>
        <w:r>
          <w:rPr>
            <w:webHidden/>
          </w:rPr>
        </w:r>
        <w:r>
          <w:rPr>
            <w:webHidden/>
          </w:rPr>
          <w:fldChar w:fldCharType="separate"/>
        </w:r>
        <w:r>
          <w:rPr>
            <w:webHidden/>
          </w:rPr>
          <w:t>54</w:t>
        </w:r>
        <w:r>
          <w:rPr>
            <w:webHidden/>
          </w:rPr>
          <w:fldChar w:fldCharType="end"/>
        </w:r>
      </w:hyperlink>
    </w:p>
    <w:p w14:paraId="0446175E" w14:textId="59369C0A" w:rsidR="003A17E6" w:rsidRDefault="003A17E6">
      <w:pPr>
        <w:pStyle w:val="TOC3"/>
        <w:tabs>
          <w:tab w:val="left" w:pos="1200"/>
        </w:tabs>
        <w:rPr>
          <w:rFonts w:asciiTheme="minorHAnsi" w:eastAsiaTheme="minorEastAsia" w:hAnsiTheme="minorHAnsi"/>
          <w:sz w:val="24"/>
          <w:szCs w:val="24"/>
          <w:lang w:eastAsia="en-AU"/>
        </w:rPr>
      </w:pPr>
      <w:hyperlink w:anchor="_Toc233036433" w:history="1">
        <w:r w:rsidRPr="00091CC1">
          <w:rPr>
            <w:rStyle w:val="Hyperlink"/>
          </w:rPr>
          <w:t>5.14.2</w:t>
        </w:r>
        <w:r>
          <w:rPr>
            <w:rFonts w:asciiTheme="minorHAnsi" w:eastAsiaTheme="minorEastAsia" w:hAnsiTheme="minorHAnsi"/>
            <w:sz w:val="24"/>
            <w:szCs w:val="24"/>
            <w:lang w:eastAsia="en-AU"/>
          </w:rPr>
          <w:tab/>
        </w:r>
        <w:r w:rsidRPr="00091CC1">
          <w:rPr>
            <w:rStyle w:val="Hyperlink"/>
          </w:rPr>
          <w:t>Legume animal feeds</w:t>
        </w:r>
        <w:r>
          <w:rPr>
            <w:webHidden/>
          </w:rPr>
          <w:tab/>
        </w:r>
        <w:r>
          <w:rPr>
            <w:webHidden/>
          </w:rPr>
          <w:fldChar w:fldCharType="begin"/>
        </w:r>
        <w:r>
          <w:rPr>
            <w:webHidden/>
          </w:rPr>
          <w:instrText xml:space="preserve"> PAGEREF _Toc233036433 \h </w:instrText>
        </w:r>
        <w:r>
          <w:rPr>
            <w:webHidden/>
          </w:rPr>
        </w:r>
        <w:r>
          <w:rPr>
            <w:webHidden/>
          </w:rPr>
          <w:fldChar w:fldCharType="separate"/>
        </w:r>
        <w:r>
          <w:rPr>
            <w:webHidden/>
          </w:rPr>
          <w:t>55</w:t>
        </w:r>
        <w:r>
          <w:rPr>
            <w:webHidden/>
          </w:rPr>
          <w:fldChar w:fldCharType="end"/>
        </w:r>
      </w:hyperlink>
    </w:p>
    <w:p w14:paraId="0FFB2394" w14:textId="50CE8DAE" w:rsidR="003A17E6" w:rsidRDefault="003A17E6">
      <w:pPr>
        <w:pStyle w:val="TOC3"/>
        <w:tabs>
          <w:tab w:val="left" w:pos="1200"/>
        </w:tabs>
        <w:rPr>
          <w:rFonts w:asciiTheme="minorHAnsi" w:eastAsiaTheme="minorEastAsia" w:hAnsiTheme="minorHAnsi"/>
          <w:sz w:val="24"/>
          <w:szCs w:val="24"/>
          <w:lang w:eastAsia="en-AU"/>
        </w:rPr>
      </w:pPr>
      <w:hyperlink w:anchor="_Toc233036434" w:history="1">
        <w:r w:rsidRPr="00091CC1">
          <w:rPr>
            <w:rStyle w:val="Hyperlink"/>
          </w:rPr>
          <w:t>5.14.3</w:t>
        </w:r>
        <w:r>
          <w:rPr>
            <w:rFonts w:asciiTheme="minorHAnsi" w:eastAsiaTheme="minorEastAsia" w:hAnsiTheme="minorHAnsi"/>
            <w:sz w:val="24"/>
            <w:szCs w:val="24"/>
            <w:lang w:eastAsia="en-AU"/>
          </w:rPr>
          <w:tab/>
        </w:r>
        <w:r w:rsidRPr="00091CC1">
          <w:rPr>
            <w:rStyle w:val="Hyperlink"/>
          </w:rPr>
          <w:t>Cotton trash</w:t>
        </w:r>
        <w:r>
          <w:rPr>
            <w:webHidden/>
          </w:rPr>
          <w:tab/>
        </w:r>
        <w:r>
          <w:rPr>
            <w:webHidden/>
          </w:rPr>
          <w:fldChar w:fldCharType="begin"/>
        </w:r>
        <w:r>
          <w:rPr>
            <w:webHidden/>
          </w:rPr>
          <w:instrText xml:space="preserve"> PAGEREF _Toc233036434 \h </w:instrText>
        </w:r>
        <w:r>
          <w:rPr>
            <w:webHidden/>
          </w:rPr>
        </w:r>
        <w:r>
          <w:rPr>
            <w:webHidden/>
          </w:rPr>
          <w:fldChar w:fldCharType="separate"/>
        </w:r>
        <w:r>
          <w:rPr>
            <w:webHidden/>
          </w:rPr>
          <w:t>55</w:t>
        </w:r>
        <w:r>
          <w:rPr>
            <w:webHidden/>
          </w:rPr>
          <w:fldChar w:fldCharType="end"/>
        </w:r>
      </w:hyperlink>
    </w:p>
    <w:p w14:paraId="3090A19C" w14:textId="6591F0C5" w:rsidR="003A17E6" w:rsidRDefault="003A17E6">
      <w:pPr>
        <w:pStyle w:val="TOC3"/>
        <w:tabs>
          <w:tab w:val="left" w:pos="1200"/>
        </w:tabs>
        <w:rPr>
          <w:rFonts w:asciiTheme="minorHAnsi" w:eastAsiaTheme="minorEastAsia" w:hAnsiTheme="minorHAnsi"/>
          <w:sz w:val="24"/>
          <w:szCs w:val="24"/>
          <w:lang w:eastAsia="en-AU"/>
        </w:rPr>
      </w:pPr>
      <w:hyperlink w:anchor="_Toc233036435" w:history="1">
        <w:r w:rsidRPr="00091CC1">
          <w:rPr>
            <w:rStyle w:val="Hyperlink"/>
          </w:rPr>
          <w:t>5.14.4</w:t>
        </w:r>
        <w:r>
          <w:rPr>
            <w:rFonts w:asciiTheme="minorHAnsi" w:eastAsiaTheme="minorEastAsia" w:hAnsiTheme="minorHAnsi"/>
            <w:sz w:val="24"/>
            <w:szCs w:val="24"/>
            <w:lang w:eastAsia="en-AU"/>
          </w:rPr>
          <w:tab/>
        </w:r>
        <w:r w:rsidRPr="00091CC1">
          <w:rPr>
            <w:rStyle w:val="Hyperlink"/>
          </w:rPr>
          <w:t>Almond hulls</w:t>
        </w:r>
        <w:r>
          <w:rPr>
            <w:webHidden/>
          </w:rPr>
          <w:tab/>
        </w:r>
        <w:r>
          <w:rPr>
            <w:webHidden/>
          </w:rPr>
          <w:fldChar w:fldCharType="begin"/>
        </w:r>
        <w:r>
          <w:rPr>
            <w:webHidden/>
          </w:rPr>
          <w:instrText xml:space="preserve"> PAGEREF _Toc233036435 \h </w:instrText>
        </w:r>
        <w:r>
          <w:rPr>
            <w:webHidden/>
          </w:rPr>
        </w:r>
        <w:r>
          <w:rPr>
            <w:webHidden/>
          </w:rPr>
          <w:fldChar w:fldCharType="separate"/>
        </w:r>
        <w:r>
          <w:rPr>
            <w:webHidden/>
          </w:rPr>
          <w:t>55</w:t>
        </w:r>
        <w:r>
          <w:rPr>
            <w:webHidden/>
          </w:rPr>
          <w:fldChar w:fldCharType="end"/>
        </w:r>
      </w:hyperlink>
    </w:p>
    <w:p w14:paraId="3794A408" w14:textId="51B69693" w:rsidR="003A17E6" w:rsidRDefault="003A17E6">
      <w:pPr>
        <w:pStyle w:val="TOC3"/>
        <w:tabs>
          <w:tab w:val="left" w:pos="1200"/>
        </w:tabs>
        <w:rPr>
          <w:rFonts w:asciiTheme="minorHAnsi" w:eastAsiaTheme="minorEastAsia" w:hAnsiTheme="minorHAnsi"/>
          <w:sz w:val="24"/>
          <w:szCs w:val="24"/>
          <w:lang w:eastAsia="en-AU"/>
        </w:rPr>
      </w:pPr>
      <w:hyperlink w:anchor="_Toc233036436" w:history="1">
        <w:r w:rsidRPr="00091CC1">
          <w:rPr>
            <w:rStyle w:val="Hyperlink"/>
          </w:rPr>
          <w:t>5.14.5</w:t>
        </w:r>
        <w:r>
          <w:rPr>
            <w:rFonts w:asciiTheme="minorHAnsi" w:eastAsiaTheme="minorEastAsia" w:hAnsiTheme="minorHAnsi"/>
            <w:sz w:val="24"/>
            <w:szCs w:val="24"/>
            <w:lang w:eastAsia="en-AU"/>
          </w:rPr>
          <w:tab/>
        </w:r>
        <w:r w:rsidRPr="00091CC1">
          <w:rPr>
            <w:rStyle w:val="Hyperlink"/>
          </w:rPr>
          <w:t>Other animal feeds</w:t>
        </w:r>
        <w:r>
          <w:rPr>
            <w:webHidden/>
          </w:rPr>
          <w:tab/>
        </w:r>
        <w:r>
          <w:rPr>
            <w:webHidden/>
          </w:rPr>
          <w:fldChar w:fldCharType="begin"/>
        </w:r>
        <w:r>
          <w:rPr>
            <w:webHidden/>
          </w:rPr>
          <w:instrText xml:space="preserve"> PAGEREF _Toc233036436 \h </w:instrText>
        </w:r>
        <w:r>
          <w:rPr>
            <w:webHidden/>
          </w:rPr>
        </w:r>
        <w:r>
          <w:rPr>
            <w:webHidden/>
          </w:rPr>
          <w:fldChar w:fldCharType="separate"/>
        </w:r>
        <w:r>
          <w:rPr>
            <w:webHidden/>
          </w:rPr>
          <w:t>55</w:t>
        </w:r>
        <w:r>
          <w:rPr>
            <w:webHidden/>
          </w:rPr>
          <w:fldChar w:fldCharType="end"/>
        </w:r>
      </w:hyperlink>
    </w:p>
    <w:p w14:paraId="5C658FE3" w14:textId="01E8AEB8" w:rsidR="003A17E6" w:rsidRDefault="003A17E6">
      <w:pPr>
        <w:pStyle w:val="TOC2"/>
        <w:rPr>
          <w:rFonts w:asciiTheme="minorHAnsi" w:eastAsiaTheme="minorEastAsia" w:hAnsiTheme="minorHAnsi"/>
          <w:b w:val="0"/>
          <w:color w:val="auto"/>
          <w:sz w:val="24"/>
          <w:szCs w:val="24"/>
          <w:lang w:eastAsia="en-AU"/>
        </w:rPr>
      </w:pPr>
      <w:hyperlink w:anchor="_Toc233036437" w:history="1">
        <w:r w:rsidRPr="00091CC1">
          <w:rPr>
            <w:rStyle w:val="Hyperlink"/>
          </w:rPr>
          <w:t>5.15</w:t>
        </w:r>
        <w:r>
          <w:rPr>
            <w:rFonts w:asciiTheme="minorHAnsi" w:eastAsiaTheme="minorEastAsia" w:hAnsiTheme="minorHAnsi"/>
            <w:b w:val="0"/>
            <w:color w:val="auto"/>
            <w:sz w:val="24"/>
            <w:szCs w:val="24"/>
            <w:lang w:eastAsia="en-AU"/>
          </w:rPr>
          <w:tab/>
        </w:r>
        <w:r w:rsidRPr="00091CC1">
          <w:rPr>
            <w:rStyle w:val="Hyperlink"/>
          </w:rPr>
          <w:t>Animal transfer studies and required animal commodity MRLs</w:t>
        </w:r>
        <w:r>
          <w:rPr>
            <w:webHidden/>
          </w:rPr>
          <w:tab/>
        </w:r>
        <w:r>
          <w:rPr>
            <w:webHidden/>
          </w:rPr>
          <w:fldChar w:fldCharType="begin"/>
        </w:r>
        <w:r>
          <w:rPr>
            <w:webHidden/>
          </w:rPr>
          <w:instrText xml:space="preserve"> PAGEREF _Toc233036437 \h </w:instrText>
        </w:r>
        <w:r>
          <w:rPr>
            <w:webHidden/>
          </w:rPr>
        </w:r>
        <w:r>
          <w:rPr>
            <w:webHidden/>
          </w:rPr>
          <w:fldChar w:fldCharType="separate"/>
        </w:r>
        <w:r>
          <w:rPr>
            <w:webHidden/>
          </w:rPr>
          <w:t>56</w:t>
        </w:r>
        <w:r>
          <w:rPr>
            <w:webHidden/>
          </w:rPr>
          <w:fldChar w:fldCharType="end"/>
        </w:r>
      </w:hyperlink>
    </w:p>
    <w:p w14:paraId="3F4DCE28" w14:textId="0C92EF7C" w:rsidR="003A17E6" w:rsidRDefault="003A17E6">
      <w:pPr>
        <w:pStyle w:val="TOC3"/>
        <w:tabs>
          <w:tab w:val="left" w:pos="1200"/>
        </w:tabs>
        <w:rPr>
          <w:rFonts w:asciiTheme="minorHAnsi" w:eastAsiaTheme="minorEastAsia" w:hAnsiTheme="minorHAnsi"/>
          <w:sz w:val="24"/>
          <w:szCs w:val="24"/>
          <w:lang w:eastAsia="en-AU"/>
        </w:rPr>
      </w:pPr>
      <w:hyperlink w:anchor="_Toc233036438" w:history="1">
        <w:r w:rsidRPr="00091CC1">
          <w:rPr>
            <w:rStyle w:val="Hyperlink"/>
          </w:rPr>
          <w:t>5.15.1</w:t>
        </w:r>
        <w:r>
          <w:rPr>
            <w:rFonts w:asciiTheme="minorHAnsi" w:eastAsiaTheme="minorEastAsia" w:hAnsiTheme="minorHAnsi"/>
            <w:sz w:val="24"/>
            <w:szCs w:val="24"/>
            <w:lang w:eastAsia="en-AU"/>
          </w:rPr>
          <w:tab/>
        </w:r>
        <w:r w:rsidRPr="00091CC1">
          <w:rPr>
            <w:rStyle w:val="Hyperlink"/>
          </w:rPr>
          <w:t>Poultry</w:t>
        </w:r>
        <w:r>
          <w:rPr>
            <w:webHidden/>
          </w:rPr>
          <w:tab/>
        </w:r>
        <w:r>
          <w:rPr>
            <w:webHidden/>
          </w:rPr>
          <w:fldChar w:fldCharType="begin"/>
        </w:r>
        <w:r>
          <w:rPr>
            <w:webHidden/>
          </w:rPr>
          <w:instrText xml:space="preserve"> PAGEREF _Toc233036438 \h </w:instrText>
        </w:r>
        <w:r>
          <w:rPr>
            <w:webHidden/>
          </w:rPr>
        </w:r>
        <w:r>
          <w:rPr>
            <w:webHidden/>
          </w:rPr>
          <w:fldChar w:fldCharType="separate"/>
        </w:r>
        <w:r>
          <w:rPr>
            <w:webHidden/>
          </w:rPr>
          <w:t>56</w:t>
        </w:r>
        <w:r>
          <w:rPr>
            <w:webHidden/>
          </w:rPr>
          <w:fldChar w:fldCharType="end"/>
        </w:r>
      </w:hyperlink>
    </w:p>
    <w:p w14:paraId="26EAB471" w14:textId="466BC4ED" w:rsidR="003A17E6" w:rsidRDefault="003A17E6">
      <w:pPr>
        <w:pStyle w:val="TOC3"/>
        <w:tabs>
          <w:tab w:val="left" w:pos="1200"/>
        </w:tabs>
        <w:rPr>
          <w:rFonts w:asciiTheme="minorHAnsi" w:eastAsiaTheme="minorEastAsia" w:hAnsiTheme="minorHAnsi"/>
          <w:sz w:val="24"/>
          <w:szCs w:val="24"/>
          <w:lang w:eastAsia="en-AU"/>
        </w:rPr>
      </w:pPr>
      <w:hyperlink w:anchor="_Toc233036439" w:history="1">
        <w:r w:rsidRPr="00091CC1">
          <w:rPr>
            <w:rStyle w:val="Hyperlink"/>
          </w:rPr>
          <w:t>5.15.2</w:t>
        </w:r>
        <w:r>
          <w:rPr>
            <w:rFonts w:asciiTheme="minorHAnsi" w:eastAsiaTheme="minorEastAsia" w:hAnsiTheme="minorHAnsi"/>
            <w:sz w:val="24"/>
            <w:szCs w:val="24"/>
            <w:lang w:eastAsia="en-AU"/>
          </w:rPr>
          <w:tab/>
        </w:r>
        <w:r w:rsidRPr="00091CC1">
          <w:rPr>
            <w:rStyle w:val="Hyperlink"/>
          </w:rPr>
          <w:t>Pigs</w:t>
        </w:r>
        <w:r>
          <w:rPr>
            <w:webHidden/>
          </w:rPr>
          <w:tab/>
        </w:r>
        <w:r>
          <w:rPr>
            <w:webHidden/>
          </w:rPr>
          <w:fldChar w:fldCharType="begin"/>
        </w:r>
        <w:r>
          <w:rPr>
            <w:webHidden/>
          </w:rPr>
          <w:instrText xml:space="preserve"> PAGEREF _Toc233036439 \h </w:instrText>
        </w:r>
        <w:r>
          <w:rPr>
            <w:webHidden/>
          </w:rPr>
        </w:r>
        <w:r>
          <w:rPr>
            <w:webHidden/>
          </w:rPr>
          <w:fldChar w:fldCharType="separate"/>
        </w:r>
        <w:r>
          <w:rPr>
            <w:webHidden/>
          </w:rPr>
          <w:t>58</w:t>
        </w:r>
        <w:r>
          <w:rPr>
            <w:webHidden/>
          </w:rPr>
          <w:fldChar w:fldCharType="end"/>
        </w:r>
      </w:hyperlink>
    </w:p>
    <w:p w14:paraId="151919B6" w14:textId="41E11ED7" w:rsidR="003A17E6" w:rsidRDefault="003A17E6">
      <w:pPr>
        <w:pStyle w:val="TOC3"/>
        <w:tabs>
          <w:tab w:val="left" w:pos="1200"/>
        </w:tabs>
        <w:rPr>
          <w:rFonts w:asciiTheme="minorHAnsi" w:eastAsiaTheme="minorEastAsia" w:hAnsiTheme="minorHAnsi"/>
          <w:sz w:val="24"/>
          <w:szCs w:val="24"/>
          <w:lang w:eastAsia="en-AU"/>
        </w:rPr>
      </w:pPr>
      <w:hyperlink w:anchor="_Toc233036440" w:history="1">
        <w:r w:rsidRPr="00091CC1">
          <w:rPr>
            <w:rStyle w:val="Hyperlink"/>
          </w:rPr>
          <w:t>5.15.3</w:t>
        </w:r>
        <w:r>
          <w:rPr>
            <w:rFonts w:asciiTheme="minorHAnsi" w:eastAsiaTheme="minorEastAsia" w:hAnsiTheme="minorHAnsi"/>
            <w:sz w:val="24"/>
            <w:szCs w:val="24"/>
            <w:lang w:eastAsia="en-AU"/>
          </w:rPr>
          <w:tab/>
        </w:r>
        <w:r w:rsidRPr="00091CC1">
          <w:rPr>
            <w:rStyle w:val="Hyperlink"/>
          </w:rPr>
          <w:t>Ruminants</w:t>
        </w:r>
        <w:r>
          <w:rPr>
            <w:webHidden/>
          </w:rPr>
          <w:tab/>
        </w:r>
        <w:r>
          <w:rPr>
            <w:webHidden/>
          </w:rPr>
          <w:fldChar w:fldCharType="begin"/>
        </w:r>
        <w:r>
          <w:rPr>
            <w:webHidden/>
          </w:rPr>
          <w:instrText xml:space="preserve"> PAGEREF _Toc233036440 \h </w:instrText>
        </w:r>
        <w:r>
          <w:rPr>
            <w:webHidden/>
          </w:rPr>
        </w:r>
        <w:r>
          <w:rPr>
            <w:webHidden/>
          </w:rPr>
          <w:fldChar w:fldCharType="separate"/>
        </w:r>
        <w:r>
          <w:rPr>
            <w:webHidden/>
          </w:rPr>
          <w:t>58</w:t>
        </w:r>
        <w:r>
          <w:rPr>
            <w:webHidden/>
          </w:rPr>
          <w:fldChar w:fldCharType="end"/>
        </w:r>
      </w:hyperlink>
    </w:p>
    <w:p w14:paraId="7EFC199B" w14:textId="79395960" w:rsidR="003A17E6" w:rsidRDefault="003A17E6">
      <w:pPr>
        <w:pStyle w:val="TOC2"/>
        <w:rPr>
          <w:rFonts w:asciiTheme="minorHAnsi" w:eastAsiaTheme="minorEastAsia" w:hAnsiTheme="minorHAnsi"/>
          <w:b w:val="0"/>
          <w:color w:val="auto"/>
          <w:sz w:val="24"/>
          <w:szCs w:val="24"/>
          <w:lang w:eastAsia="en-AU"/>
        </w:rPr>
      </w:pPr>
      <w:hyperlink w:anchor="_Toc233036441" w:history="1">
        <w:r w:rsidRPr="00091CC1">
          <w:rPr>
            <w:rStyle w:val="Hyperlink"/>
          </w:rPr>
          <w:t>5.16</w:t>
        </w:r>
        <w:r>
          <w:rPr>
            <w:rFonts w:asciiTheme="minorHAnsi" w:eastAsiaTheme="minorEastAsia" w:hAnsiTheme="minorHAnsi"/>
            <w:b w:val="0"/>
            <w:color w:val="auto"/>
            <w:sz w:val="24"/>
            <w:szCs w:val="24"/>
            <w:lang w:eastAsia="en-AU"/>
          </w:rPr>
          <w:tab/>
        </w:r>
        <w:r w:rsidRPr="00091CC1">
          <w:rPr>
            <w:rStyle w:val="Hyperlink"/>
          </w:rPr>
          <w:t>Crop rotation</w:t>
        </w:r>
        <w:r>
          <w:rPr>
            <w:webHidden/>
          </w:rPr>
          <w:tab/>
        </w:r>
        <w:r>
          <w:rPr>
            <w:webHidden/>
          </w:rPr>
          <w:fldChar w:fldCharType="begin"/>
        </w:r>
        <w:r>
          <w:rPr>
            <w:webHidden/>
          </w:rPr>
          <w:instrText xml:space="preserve"> PAGEREF _Toc233036441 \h </w:instrText>
        </w:r>
        <w:r>
          <w:rPr>
            <w:webHidden/>
          </w:rPr>
        </w:r>
        <w:r>
          <w:rPr>
            <w:webHidden/>
          </w:rPr>
          <w:fldChar w:fldCharType="separate"/>
        </w:r>
        <w:r>
          <w:rPr>
            <w:webHidden/>
          </w:rPr>
          <w:t>61</w:t>
        </w:r>
        <w:r>
          <w:rPr>
            <w:webHidden/>
          </w:rPr>
          <w:fldChar w:fldCharType="end"/>
        </w:r>
      </w:hyperlink>
    </w:p>
    <w:p w14:paraId="286F3BE2" w14:textId="7225955A" w:rsidR="003A17E6" w:rsidRDefault="003A17E6">
      <w:pPr>
        <w:pStyle w:val="TOC2"/>
        <w:rPr>
          <w:rFonts w:asciiTheme="minorHAnsi" w:eastAsiaTheme="minorEastAsia" w:hAnsiTheme="minorHAnsi"/>
          <w:b w:val="0"/>
          <w:color w:val="auto"/>
          <w:sz w:val="24"/>
          <w:szCs w:val="24"/>
          <w:lang w:eastAsia="en-AU"/>
        </w:rPr>
      </w:pPr>
      <w:hyperlink w:anchor="_Toc233036442" w:history="1">
        <w:r w:rsidRPr="00091CC1">
          <w:rPr>
            <w:rStyle w:val="Hyperlink"/>
          </w:rPr>
          <w:t>5.17</w:t>
        </w:r>
        <w:r>
          <w:rPr>
            <w:rFonts w:asciiTheme="minorHAnsi" w:eastAsiaTheme="minorEastAsia" w:hAnsiTheme="minorHAnsi"/>
            <w:b w:val="0"/>
            <w:color w:val="auto"/>
            <w:sz w:val="24"/>
            <w:szCs w:val="24"/>
            <w:lang w:eastAsia="en-AU"/>
          </w:rPr>
          <w:tab/>
        </w:r>
        <w:r w:rsidRPr="00091CC1">
          <w:rPr>
            <w:rStyle w:val="Hyperlink"/>
          </w:rPr>
          <w:t>Spray drift for livestock areas</w:t>
        </w:r>
        <w:r>
          <w:rPr>
            <w:webHidden/>
          </w:rPr>
          <w:tab/>
        </w:r>
        <w:r>
          <w:rPr>
            <w:webHidden/>
          </w:rPr>
          <w:fldChar w:fldCharType="begin"/>
        </w:r>
        <w:r>
          <w:rPr>
            <w:webHidden/>
          </w:rPr>
          <w:instrText xml:space="preserve"> PAGEREF _Toc233036442 \h </w:instrText>
        </w:r>
        <w:r>
          <w:rPr>
            <w:webHidden/>
          </w:rPr>
        </w:r>
        <w:r>
          <w:rPr>
            <w:webHidden/>
          </w:rPr>
          <w:fldChar w:fldCharType="separate"/>
        </w:r>
        <w:r>
          <w:rPr>
            <w:webHidden/>
          </w:rPr>
          <w:t>61</w:t>
        </w:r>
        <w:r>
          <w:rPr>
            <w:webHidden/>
          </w:rPr>
          <w:fldChar w:fldCharType="end"/>
        </w:r>
      </w:hyperlink>
    </w:p>
    <w:p w14:paraId="4E590838" w14:textId="6AD07CD9" w:rsidR="003A17E6" w:rsidRDefault="003A17E6">
      <w:pPr>
        <w:pStyle w:val="TOC2"/>
        <w:rPr>
          <w:rFonts w:asciiTheme="minorHAnsi" w:eastAsiaTheme="minorEastAsia" w:hAnsiTheme="minorHAnsi"/>
          <w:b w:val="0"/>
          <w:color w:val="auto"/>
          <w:sz w:val="24"/>
          <w:szCs w:val="24"/>
          <w:lang w:eastAsia="en-AU"/>
        </w:rPr>
      </w:pPr>
      <w:hyperlink w:anchor="_Toc233036443" w:history="1">
        <w:r w:rsidRPr="00091CC1">
          <w:rPr>
            <w:rStyle w:val="Hyperlink"/>
          </w:rPr>
          <w:t>5.18</w:t>
        </w:r>
        <w:r>
          <w:rPr>
            <w:rFonts w:asciiTheme="minorHAnsi" w:eastAsiaTheme="minorEastAsia" w:hAnsiTheme="minorHAnsi"/>
            <w:b w:val="0"/>
            <w:color w:val="auto"/>
            <w:sz w:val="24"/>
            <w:szCs w:val="24"/>
            <w:lang w:eastAsia="en-AU"/>
          </w:rPr>
          <w:tab/>
        </w:r>
        <w:r w:rsidRPr="00091CC1">
          <w:rPr>
            <w:rStyle w:val="Hyperlink"/>
          </w:rPr>
          <w:t>Dietary risk assessment</w:t>
        </w:r>
        <w:r>
          <w:rPr>
            <w:webHidden/>
          </w:rPr>
          <w:tab/>
        </w:r>
        <w:r>
          <w:rPr>
            <w:webHidden/>
          </w:rPr>
          <w:fldChar w:fldCharType="begin"/>
        </w:r>
        <w:r>
          <w:rPr>
            <w:webHidden/>
          </w:rPr>
          <w:instrText xml:space="preserve"> PAGEREF _Toc233036443 \h </w:instrText>
        </w:r>
        <w:r>
          <w:rPr>
            <w:webHidden/>
          </w:rPr>
        </w:r>
        <w:r>
          <w:rPr>
            <w:webHidden/>
          </w:rPr>
          <w:fldChar w:fldCharType="separate"/>
        </w:r>
        <w:r>
          <w:rPr>
            <w:webHidden/>
          </w:rPr>
          <w:t>62</w:t>
        </w:r>
        <w:r>
          <w:rPr>
            <w:webHidden/>
          </w:rPr>
          <w:fldChar w:fldCharType="end"/>
        </w:r>
      </w:hyperlink>
    </w:p>
    <w:p w14:paraId="489D323F" w14:textId="09E0749A" w:rsidR="003A17E6" w:rsidRDefault="003A17E6">
      <w:pPr>
        <w:pStyle w:val="TOC3"/>
        <w:tabs>
          <w:tab w:val="left" w:pos="1200"/>
        </w:tabs>
        <w:rPr>
          <w:rFonts w:asciiTheme="minorHAnsi" w:eastAsiaTheme="minorEastAsia" w:hAnsiTheme="minorHAnsi"/>
          <w:sz w:val="24"/>
          <w:szCs w:val="24"/>
          <w:lang w:eastAsia="en-AU"/>
        </w:rPr>
      </w:pPr>
      <w:hyperlink w:anchor="_Toc233036444" w:history="1">
        <w:r w:rsidRPr="00091CC1">
          <w:rPr>
            <w:rStyle w:val="Hyperlink"/>
          </w:rPr>
          <w:t>5.18.1</w:t>
        </w:r>
        <w:r>
          <w:rPr>
            <w:rFonts w:asciiTheme="minorHAnsi" w:eastAsiaTheme="minorEastAsia" w:hAnsiTheme="minorHAnsi"/>
            <w:sz w:val="24"/>
            <w:szCs w:val="24"/>
            <w:lang w:eastAsia="en-AU"/>
          </w:rPr>
          <w:tab/>
        </w:r>
        <w:r w:rsidRPr="00091CC1">
          <w:rPr>
            <w:rStyle w:val="Hyperlink"/>
          </w:rPr>
          <w:t>Chronic dietary exposure assessment</w:t>
        </w:r>
        <w:r>
          <w:rPr>
            <w:webHidden/>
          </w:rPr>
          <w:tab/>
        </w:r>
        <w:r>
          <w:rPr>
            <w:webHidden/>
          </w:rPr>
          <w:fldChar w:fldCharType="begin"/>
        </w:r>
        <w:r>
          <w:rPr>
            <w:webHidden/>
          </w:rPr>
          <w:instrText xml:space="preserve"> PAGEREF _Toc233036444 \h </w:instrText>
        </w:r>
        <w:r>
          <w:rPr>
            <w:webHidden/>
          </w:rPr>
        </w:r>
        <w:r>
          <w:rPr>
            <w:webHidden/>
          </w:rPr>
          <w:fldChar w:fldCharType="separate"/>
        </w:r>
        <w:r>
          <w:rPr>
            <w:webHidden/>
          </w:rPr>
          <w:t>62</w:t>
        </w:r>
        <w:r>
          <w:rPr>
            <w:webHidden/>
          </w:rPr>
          <w:fldChar w:fldCharType="end"/>
        </w:r>
      </w:hyperlink>
    </w:p>
    <w:p w14:paraId="519D75ED" w14:textId="4C1D6208" w:rsidR="003A17E6" w:rsidRDefault="003A17E6">
      <w:pPr>
        <w:pStyle w:val="TOC3"/>
        <w:tabs>
          <w:tab w:val="left" w:pos="1200"/>
        </w:tabs>
        <w:rPr>
          <w:rFonts w:asciiTheme="minorHAnsi" w:eastAsiaTheme="minorEastAsia" w:hAnsiTheme="minorHAnsi"/>
          <w:sz w:val="24"/>
          <w:szCs w:val="24"/>
          <w:lang w:eastAsia="en-AU"/>
        </w:rPr>
      </w:pPr>
      <w:hyperlink w:anchor="_Toc233036445" w:history="1">
        <w:r w:rsidRPr="00091CC1">
          <w:rPr>
            <w:rStyle w:val="Hyperlink"/>
          </w:rPr>
          <w:t>5.18.2</w:t>
        </w:r>
        <w:r>
          <w:rPr>
            <w:rFonts w:asciiTheme="minorHAnsi" w:eastAsiaTheme="minorEastAsia" w:hAnsiTheme="minorHAnsi"/>
            <w:sz w:val="24"/>
            <w:szCs w:val="24"/>
            <w:lang w:eastAsia="en-AU"/>
          </w:rPr>
          <w:tab/>
        </w:r>
        <w:r w:rsidRPr="00091CC1">
          <w:rPr>
            <w:rStyle w:val="Hyperlink"/>
          </w:rPr>
          <w:t>Acute dietary exposure assessment</w:t>
        </w:r>
        <w:r>
          <w:rPr>
            <w:webHidden/>
          </w:rPr>
          <w:tab/>
        </w:r>
        <w:r>
          <w:rPr>
            <w:webHidden/>
          </w:rPr>
          <w:fldChar w:fldCharType="begin"/>
        </w:r>
        <w:r>
          <w:rPr>
            <w:webHidden/>
          </w:rPr>
          <w:instrText xml:space="preserve"> PAGEREF _Toc233036445 \h </w:instrText>
        </w:r>
        <w:r>
          <w:rPr>
            <w:webHidden/>
          </w:rPr>
        </w:r>
        <w:r>
          <w:rPr>
            <w:webHidden/>
          </w:rPr>
          <w:fldChar w:fldCharType="separate"/>
        </w:r>
        <w:r>
          <w:rPr>
            <w:webHidden/>
          </w:rPr>
          <w:t>62</w:t>
        </w:r>
        <w:r>
          <w:rPr>
            <w:webHidden/>
          </w:rPr>
          <w:fldChar w:fldCharType="end"/>
        </w:r>
      </w:hyperlink>
    </w:p>
    <w:p w14:paraId="20C1D32D" w14:textId="1877AA8E" w:rsidR="003A17E6" w:rsidRDefault="003A17E6">
      <w:pPr>
        <w:pStyle w:val="TOC2"/>
        <w:rPr>
          <w:rFonts w:asciiTheme="minorHAnsi" w:eastAsiaTheme="minorEastAsia" w:hAnsiTheme="minorHAnsi"/>
          <w:b w:val="0"/>
          <w:color w:val="auto"/>
          <w:sz w:val="24"/>
          <w:szCs w:val="24"/>
          <w:lang w:eastAsia="en-AU"/>
        </w:rPr>
      </w:pPr>
      <w:hyperlink w:anchor="_Toc233036446" w:history="1">
        <w:r w:rsidRPr="00091CC1">
          <w:rPr>
            <w:rStyle w:val="Hyperlink"/>
          </w:rPr>
          <w:t>5.19</w:t>
        </w:r>
        <w:r>
          <w:rPr>
            <w:rFonts w:asciiTheme="minorHAnsi" w:eastAsiaTheme="minorEastAsia" w:hAnsiTheme="minorHAnsi"/>
            <w:b w:val="0"/>
            <w:color w:val="auto"/>
            <w:sz w:val="24"/>
            <w:szCs w:val="24"/>
            <w:lang w:eastAsia="en-AU"/>
          </w:rPr>
          <w:tab/>
        </w:r>
        <w:r w:rsidRPr="00091CC1">
          <w:rPr>
            <w:rStyle w:val="Hyperlink"/>
          </w:rPr>
          <w:t>Trade</w:t>
        </w:r>
        <w:r>
          <w:rPr>
            <w:webHidden/>
          </w:rPr>
          <w:tab/>
        </w:r>
        <w:r>
          <w:rPr>
            <w:webHidden/>
          </w:rPr>
          <w:fldChar w:fldCharType="begin"/>
        </w:r>
        <w:r>
          <w:rPr>
            <w:webHidden/>
          </w:rPr>
          <w:instrText xml:space="preserve"> PAGEREF _Toc233036446 \h </w:instrText>
        </w:r>
        <w:r>
          <w:rPr>
            <w:webHidden/>
          </w:rPr>
        </w:r>
        <w:r>
          <w:rPr>
            <w:webHidden/>
          </w:rPr>
          <w:fldChar w:fldCharType="separate"/>
        </w:r>
        <w:r>
          <w:rPr>
            <w:webHidden/>
          </w:rPr>
          <w:t>63</w:t>
        </w:r>
        <w:r>
          <w:rPr>
            <w:webHidden/>
          </w:rPr>
          <w:fldChar w:fldCharType="end"/>
        </w:r>
      </w:hyperlink>
    </w:p>
    <w:p w14:paraId="46CF232A" w14:textId="673993CF" w:rsidR="003A17E6" w:rsidRDefault="003A17E6">
      <w:pPr>
        <w:pStyle w:val="TOC2"/>
        <w:rPr>
          <w:rFonts w:asciiTheme="minorHAnsi" w:eastAsiaTheme="minorEastAsia" w:hAnsiTheme="minorHAnsi"/>
          <w:b w:val="0"/>
          <w:color w:val="auto"/>
          <w:sz w:val="24"/>
          <w:szCs w:val="24"/>
          <w:lang w:eastAsia="en-AU"/>
        </w:rPr>
      </w:pPr>
      <w:hyperlink w:anchor="_Toc233036447" w:history="1">
        <w:r w:rsidRPr="00091CC1">
          <w:rPr>
            <w:rStyle w:val="Hyperlink"/>
          </w:rPr>
          <w:t>5.20</w:t>
        </w:r>
        <w:r>
          <w:rPr>
            <w:rFonts w:asciiTheme="minorHAnsi" w:eastAsiaTheme="minorEastAsia" w:hAnsiTheme="minorHAnsi"/>
            <w:b w:val="0"/>
            <w:color w:val="auto"/>
            <w:sz w:val="24"/>
            <w:szCs w:val="24"/>
            <w:lang w:eastAsia="en-AU"/>
          </w:rPr>
          <w:tab/>
        </w:r>
        <w:r w:rsidRPr="00091CC1">
          <w:rPr>
            <w:rStyle w:val="Hyperlink"/>
          </w:rPr>
          <w:t>Conclusions from the residues and trade assessment</w:t>
        </w:r>
        <w:r>
          <w:rPr>
            <w:webHidden/>
          </w:rPr>
          <w:tab/>
        </w:r>
        <w:r>
          <w:rPr>
            <w:webHidden/>
          </w:rPr>
          <w:fldChar w:fldCharType="begin"/>
        </w:r>
        <w:r>
          <w:rPr>
            <w:webHidden/>
          </w:rPr>
          <w:instrText xml:space="preserve"> PAGEREF _Toc233036447 \h </w:instrText>
        </w:r>
        <w:r>
          <w:rPr>
            <w:webHidden/>
          </w:rPr>
        </w:r>
        <w:r>
          <w:rPr>
            <w:webHidden/>
          </w:rPr>
          <w:fldChar w:fldCharType="separate"/>
        </w:r>
        <w:r>
          <w:rPr>
            <w:webHidden/>
          </w:rPr>
          <w:t>66</w:t>
        </w:r>
        <w:r>
          <w:rPr>
            <w:webHidden/>
          </w:rPr>
          <w:fldChar w:fldCharType="end"/>
        </w:r>
      </w:hyperlink>
    </w:p>
    <w:p w14:paraId="1384D67B" w14:textId="3A7A20C9" w:rsidR="003A17E6" w:rsidRDefault="003A17E6">
      <w:pPr>
        <w:pStyle w:val="TOC2"/>
        <w:rPr>
          <w:rFonts w:asciiTheme="minorHAnsi" w:eastAsiaTheme="minorEastAsia" w:hAnsiTheme="minorHAnsi"/>
          <w:b w:val="0"/>
          <w:color w:val="auto"/>
          <w:sz w:val="24"/>
          <w:szCs w:val="24"/>
          <w:lang w:eastAsia="en-AU"/>
        </w:rPr>
      </w:pPr>
      <w:hyperlink w:anchor="_Toc233036448" w:history="1">
        <w:r w:rsidRPr="00091CC1">
          <w:rPr>
            <w:rStyle w:val="Hyperlink"/>
          </w:rPr>
          <w:t>5.21</w:t>
        </w:r>
        <w:r>
          <w:rPr>
            <w:rFonts w:asciiTheme="minorHAnsi" w:eastAsiaTheme="minorEastAsia" w:hAnsiTheme="minorHAnsi"/>
            <w:b w:val="0"/>
            <w:color w:val="auto"/>
            <w:sz w:val="24"/>
            <w:szCs w:val="24"/>
            <w:lang w:eastAsia="en-AU"/>
          </w:rPr>
          <w:tab/>
        </w:r>
        <w:r w:rsidRPr="00091CC1">
          <w:rPr>
            <w:rStyle w:val="Hyperlink"/>
          </w:rPr>
          <w:t>Consideration of combined risk assessment outcomes for paraquat</w:t>
        </w:r>
        <w:r>
          <w:rPr>
            <w:webHidden/>
          </w:rPr>
          <w:tab/>
        </w:r>
        <w:r>
          <w:rPr>
            <w:webHidden/>
          </w:rPr>
          <w:fldChar w:fldCharType="begin"/>
        </w:r>
        <w:r>
          <w:rPr>
            <w:webHidden/>
          </w:rPr>
          <w:instrText xml:space="preserve"> PAGEREF _Toc233036448 \h </w:instrText>
        </w:r>
        <w:r>
          <w:rPr>
            <w:webHidden/>
          </w:rPr>
        </w:r>
        <w:r>
          <w:rPr>
            <w:webHidden/>
          </w:rPr>
          <w:fldChar w:fldCharType="separate"/>
        </w:r>
        <w:r>
          <w:rPr>
            <w:webHidden/>
          </w:rPr>
          <w:t>70</w:t>
        </w:r>
        <w:r>
          <w:rPr>
            <w:webHidden/>
          </w:rPr>
          <w:fldChar w:fldCharType="end"/>
        </w:r>
      </w:hyperlink>
    </w:p>
    <w:p w14:paraId="6A24E673" w14:textId="4C0659A6" w:rsidR="003A17E6" w:rsidRDefault="003A17E6">
      <w:pPr>
        <w:pStyle w:val="TOC3"/>
        <w:tabs>
          <w:tab w:val="left" w:pos="1200"/>
        </w:tabs>
        <w:rPr>
          <w:rFonts w:asciiTheme="minorHAnsi" w:eastAsiaTheme="minorEastAsia" w:hAnsiTheme="minorHAnsi"/>
          <w:sz w:val="24"/>
          <w:szCs w:val="24"/>
          <w:lang w:eastAsia="en-AU"/>
        </w:rPr>
      </w:pPr>
      <w:hyperlink w:anchor="_Toc233036449" w:history="1">
        <w:r w:rsidRPr="00091CC1">
          <w:rPr>
            <w:rStyle w:val="Hyperlink"/>
          </w:rPr>
          <w:t>5.21.1</w:t>
        </w:r>
        <w:r>
          <w:rPr>
            <w:rFonts w:asciiTheme="minorHAnsi" w:eastAsiaTheme="minorEastAsia" w:hAnsiTheme="minorHAnsi"/>
            <w:sz w:val="24"/>
            <w:szCs w:val="24"/>
            <w:lang w:eastAsia="en-AU"/>
          </w:rPr>
          <w:tab/>
        </w:r>
        <w:r w:rsidRPr="00091CC1">
          <w:rPr>
            <w:rStyle w:val="Hyperlink"/>
          </w:rPr>
          <w:t>Aid to cultivation; crop, pasture or fallow establishment (supported use: 231 g ac/ha for paraquat only or 251 g acs/ha for paraquat/diquat combined)</w:t>
        </w:r>
        <w:r>
          <w:rPr>
            <w:webHidden/>
          </w:rPr>
          <w:tab/>
        </w:r>
        <w:r>
          <w:rPr>
            <w:webHidden/>
          </w:rPr>
          <w:fldChar w:fldCharType="begin"/>
        </w:r>
        <w:r>
          <w:rPr>
            <w:webHidden/>
          </w:rPr>
          <w:instrText xml:space="preserve"> PAGEREF _Toc233036449 \h </w:instrText>
        </w:r>
        <w:r>
          <w:rPr>
            <w:webHidden/>
          </w:rPr>
        </w:r>
        <w:r>
          <w:rPr>
            <w:webHidden/>
          </w:rPr>
          <w:fldChar w:fldCharType="separate"/>
        </w:r>
        <w:r>
          <w:rPr>
            <w:webHidden/>
          </w:rPr>
          <w:t>72</w:t>
        </w:r>
        <w:r>
          <w:rPr>
            <w:webHidden/>
          </w:rPr>
          <w:fldChar w:fldCharType="end"/>
        </w:r>
      </w:hyperlink>
    </w:p>
    <w:p w14:paraId="24A9CBB4" w14:textId="58E5D22E" w:rsidR="003A17E6" w:rsidRDefault="003A17E6">
      <w:pPr>
        <w:pStyle w:val="TOC3"/>
        <w:tabs>
          <w:tab w:val="left" w:pos="1200"/>
        </w:tabs>
        <w:rPr>
          <w:rFonts w:asciiTheme="minorHAnsi" w:eastAsiaTheme="minorEastAsia" w:hAnsiTheme="minorHAnsi"/>
          <w:sz w:val="24"/>
          <w:szCs w:val="24"/>
          <w:lang w:eastAsia="en-AU"/>
        </w:rPr>
      </w:pPr>
      <w:hyperlink w:anchor="_Toc233036450" w:history="1">
        <w:r w:rsidRPr="00091CC1">
          <w:rPr>
            <w:rStyle w:val="Hyperlink"/>
          </w:rPr>
          <w:t>5.21.2</w:t>
        </w:r>
        <w:r>
          <w:rPr>
            <w:rFonts w:asciiTheme="minorHAnsi" w:eastAsiaTheme="minorEastAsia" w:hAnsiTheme="minorHAnsi"/>
            <w:sz w:val="24"/>
            <w:szCs w:val="24"/>
            <w:lang w:eastAsia="en-AU"/>
          </w:rPr>
          <w:tab/>
        </w:r>
        <w:r w:rsidRPr="00091CC1">
          <w:rPr>
            <w:rStyle w:val="Hyperlink"/>
          </w:rPr>
          <w:t>Market Gardens and nurseries, vegetable crops and potatoes pre-emergent or early emergent weed control (supported at up to 251 g acs/ha for paraquat/diquat combined – spot spraying only)</w:t>
        </w:r>
        <w:r>
          <w:rPr>
            <w:webHidden/>
          </w:rPr>
          <w:tab/>
        </w:r>
        <w:r>
          <w:rPr>
            <w:webHidden/>
          </w:rPr>
          <w:fldChar w:fldCharType="begin"/>
        </w:r>
        <w:r>
          <w:rPr>
            <w:webHidden/>
          </w:rPr>
          <w:instrText xml:space="preserve"> PAGEREF _Toc233036450 \h </w:instrText>
        </w:r>
        <w:r>
          <w:rPr>
            <w:webHidden/>
          </w:rPr>
        </w:r>
        <w:r>
          <w:rPr>
            <w:webHidden/>
          </w:rPr>
          <w:fldChar w:fldCharType="separate"/>
        </w:r>
        <w:r>
          <w:rPr>
            <w:webHidden/>
          </w:rPr>
          <w:t>73</w:t>
        </w:r>
        <w:r>
          <w:rPr>
            <w:webHidden/>
          </w:rPr>
          <w:fldChar w:fldCharType="end"/>
        </w:r>
      </w:hyperlink>
    </w:p>
    <w:p w14:paraId="20F890E2" w14:textId="0A0E6C15" w:rsidR="003A17E6" w:rsidRDefault="003A17E6">
      <w:pPr>
        <w:pStyle w:val="TOC3"/>
        <w:tabs>
          <w:tab w:val="left" w:pos="1200"/>
        </w:tabs>
        <w:rPr>
          <w:rFonts w:asciiTheme="minorHAnsi" w:eastAsiaTheme="minorEastAsia" w:hAnsiTheme="minorHAnsi"/>
          <w:sz w:val="24"/>
          <w:szCs w:val="24"/>
          <w:lang w:eastAsia="en-AU"/>
        </w:rPr>
      </w:pPr>
      <w:hyperlink w:anchor="_Toc233036451" w:history="1">
        <w:r w:rsidRPr="00091CC1">
          <w:rPr>
            <w:rStyle w:val="Hyperlink"/>
          </w:rPr>
          <w:t>5.21.3</w:t>
        </w:r>
        <w:r>
          <w:rPr>
            <w:rFonts w:asciiTheme="minorHAnsi" w:eastAsiaTheme="minorEastAsia" w:hAnsiTheme="minorHAnsi"/>
            <w:sz w:val="24"/>
            <w:szCs w:val="24"/>
            <w:lang w:eastAsia="en-AU"/>
          </w:rPr>
          <w:tab/>
        </w:r>
        <w:r w:rsidRPr="00091CC1">
          <w:rPr>
            <w:rStyle w:val="Hyperlink"/>
          </w:rPr>
          <w:t>Peanuts (supported use: 231 g ac/ha)</w:t>
        </w:r>
        <w:r>
          <w:rPr>
            <w:webHidden/>
          </w:rPr>
          <w:tab/>
        </w:r>
        <w:r>
          <w:rPr>
            <w:webHidden/>
          </w:rPr>
          <w:fldChar w:fldCharType="begin"/>
        </w:r>
        <w:r>
          <w:rPr>
            <w:webHidden/>
          </w:rPr>
          <w:instrText xml:space="preserve"> PAGEREF _Toc233036451 \h </w:instrText>
        </w:r>
        <w:r>
          <w:rPr>
            <w:webHidden/>
          </w:rPr>
        </w:r>
        <w:r>
          <w:rPr>
            <w:webHidden/>
          </w:rPr>
          <w:fldChar w:fldCharType="separate"/>
        </w:r>
        <w:r>
          <w:rPr>
            <w:webHidden/>
          </w:rPr>
          <w:t>73</w:t>
        </w:r>
        <w:r>
          <w:rPr>
            <w:webHidden/>
          </w:rPr>
          <w:fldChar w:fldCharType="end"/>
        </w:r>
      </w:hyperlink>
    </w:p>
    <w:p w14:paraId="7ADAF56E" w14:textId="69ACF7C1" w:rsidR="003A17E6" w:rsidRDefault="003A17E6">
      <w:pPr>
        <w:pStyle w:val="TOC3"/>
        <w:tabs>
          <w:tab w:val="left" w:pos="1200"/>
        </w:tabs>
        <w:rPr>
          <w:rFonts w:asciiTheme="minorHAnsi" w:eastAsiaTheme="minorEastAsia" w:hAnsiTheme="minorHAnsi"/>
          <w:sz w:val="24"/>
          <w:szCs w:val="24"/>
          <w:lang w:eastAsia="en-AU"/>
        </w:rPr>
      </w:pPr>
      <w:hyperlink w:anchor="_Toc233036452" w:history="1">
        <w:r w:rsidRPr="00091CC1">
          <w:rPr>
            <w:rStyle w:val="Hyperlink"/>
          </w:rPr>
          <w:t>5.21.4</w:t>
        </w:r>
        <w:r>
          <w:rPr>
            <w:rFonts w:asciiTheme="minorHAnsi" w:eastAsiaTheme="minorEastAsia" w:hAnsiTheme="minorHAnsi"/>
            <w:sz w:val="24"/>
            <w:szCs w:val="24"/>
            <w:lang w:eastAsia="en-AU"/>
          </w:rPr>
          <w:tab/>
        </w:r>
        <w:r w:rsidRPr="00091CC1">
          <w:rPr>
            <w:rStyle w:val="Hyperlink"/>
          </w:rPr>
          <w:t>Spray topping to reduce seed set (Field peas, Lupins, Lentils, Chickpeas, Faba Beans.  Supported use: 200 g ac/ha)</w:t>
        </w:r>
        <w:r>
          <w:rPr>
            <w:webHidden/>
          </w:rPr>
          <w:tab/>
        </w:r>
        <w:r>
          <w:rPr>
            <w:webHidden/>
          </w:rPr>
          <w:fldChar w:fldCharType="begin"/>
        </w:r>
        <w:r>
          <w:rPr>
            <w:webHidden/>
          </w:rPr>
          <w:instrText xml:space="preserve"> PAGEREF _Toc233036452 \h </w:instrText>
        </w:r>
        <w:r>
          <w:rPr>
            <w:webHidden/>
          </w:rPr>
        </w:r>
        <w:r>
          <w:rPr>
            <w:webHidden/>
          </w:rPr>
          <w:fldChar w:fldCharType="separate"/>
        </w:r>
        <w:r>
          <w:rPr>
            <w:webHidden/>
          </w:rPr>
          <w:t>73</w:t>
        </w:r>
        <w:r>
          <w:rPr>
            <w:webHidden/>
          </w:rPr>
          <w:fldChar w:fldCharType="end"/>
        </w:r>
      </w:hyperlink>
    </w:p>
    <w:p w14:paraId="3D067A2B" w14:textId="231507AC" w:rsidR="003A17E6" w:rsidRDefault="003A17E6">
      <w:pPr>
        <w:pStyle w:val="TOC3"/>
        <w:tabs>
          <w:tab w:val="left" w:pos="1200"/>
        </w:tabs>
        <w:rPr>
          <w:rFonts w:asciiTheme="minorHAnsi" w:eastAsiaTheme="minorEastAsia" w:hAnsiTheme="minorHAnsi"/>
          <w:sz w:val="24"/>
          <w:szCs w:val="24"/>
          <w:lang w:eastAsia="en-AU"/>
        </w:rPr>
      </w:pPr>
      <w:hyperlink w:anchor="_Toc233036453" w:history="1">
        <w:r w:rsidRPr="00091CC1">
          <w:rPr>
            <w:rStyle w:val="Hyperlink"/>
          </w:rPr>
          <w:t>5.21.5</w:t>
        </w:r>
        <w:r>
          <w:rPr>
            <w:rFonts w:asciiTheme="minorHAnsi" w:eastAsiaTheme="minorEastAsia" w:hAnsiTheme="minorHAnsi"/>
            <w:sz w:val="24"/>
            <w:szCs w:val="24"/>
            <w:lang w:eastAsia="en-AU"/>
          </w:rPr>
          <w:tab/>
        </w:r>
        <w:r w:rsidRPr="00091CC1">
          <w:rPr>
            <w:rStyle w:val="Hyperlink"/>
          </w:rPr>
          <w:t>Rice</w:t>
        </w:r>
        <w:r>
          <w:rPr>
            <w:webHidden/>
          </w:rPr>
          <w:tab/>
        </w:r>
        <w:r>
          <w:rPr>
            <w:webHidden/>
          </w:rPr>
          <w:fldChar w:fldCharType="begin"/>
        </w:r>
        <w:r>
          <w:rPr>
            <w:webHidden/>
          </w:rPr>
          <w:instrText xml:space="preserve"> PAGEREF _Toc233036453 \h </w:instrText>
        </w:r>
        <w:r>
          <w:rPr>
            <w:webHidden/>
          </w:rPr>
        </w:r>
        <w:r>
          <w:rPr>
            <w:webHidden/>
          </w:rPr>
          <w:fldChar w:fldCharType="separate"/>
        </w:r>
        <w:r>
          <w:rPr>
            <w:webHidden/>
          </w:rPr>
          <w:t>74</w:t>
        </w:r>
        <w:r>
          <w:rPr>
            <w:webHidden/>
          </w:rPr>
          <w:fldChar w:fldCharType="end"/>
        </w:r>
      </w:hyperlink>
    </w:p>
    <w:p w14:paraId="3C898B2E" w14:textId="7DBFEA22" w:rsidR="003A17E6" w:rsidRDefault="003A17E6">
      <w:pPr>
        <w:pStyle w:val="TOC3"/>
        <w:tabs>
          <w:tab w:val="left" w:pos="1200"/>
        </w:tabs>
        <w:rPr>
          <w:rFonts w:asciiTheme="minorHAnsi" w:eastAsiaTheme="minorEastAsia" w:hAnsiTheme="minorHAnsi"/>
          <w:sz w:val="24"/>
          <w:szCs w:val="24"/>
          <w:lang w:eastAsia="en-AU"/>
        </w:rPr>
      </w:pPr>
      <w:hyperlink w:anchor="_Toc233036454" w:history="1">
        <w:r w:rsidRPr="00091CC1">
          <w:rPr>
            <w:rStyle w:val="Hyperlink"/>
          </w:rPr>
          <w:t>5.21.6</w:t>
        </w:r>
        <w:r>
          <w:rPr>
            <w:rFonts w:asciiTheme="minorHAnsi" w:eastAsiaTheme="minorEastAsia" w:hAnsiTheme="minorHAnsi"/>
            <w:sz w:val="24"/>
            <w:szCs w:val="24"/>
            <w:lang w:eastAsia="en-AU"/>
          </w:rPr>
          <w:tab/>
        </w:r>
        <w:r w:rsidRPr="00091CC1">
          <w:rPr>
            <w:rStyle w:val="Hyperlink"/>
          </w:rPr>
          <w:t>Required animal commodity MRLs</w:t>
        </w:r>
        <w:r>
          <w:rPr>
            <w:webHidden/>
          </w:rPr>
          <w:tab/>
        </w:r>
        <w:r>
          <w:rPr>
            <w:webHidden/>
          </w:rPr>
          <w:fldChar w:fldCharType="begin"/>
        </w:r>
        <w:r>
          <w:rPr>
            <w:webHidden/>
          </w:rPr>
          <w:instrText xml:space="preserve"> PAGEREF _Toc233036454 \h </w:instrText>
        </w:r>
        <w:r>
          <w:rPr>
            <w:webHidden/>
          </w:rPr>
        </w:r>
        <w:r>
          <w:rPr>
            <w:webHidden/>
          </w:rPr>
          <w:fldChar w:fldCharType="separate"/>
        </w:r>
        <w:r>
          <w:rPr>
            <w:webHidden/>
          </w:rPr>
          <w:t>74</w:t>
        </w:r>
        <w:r>
          <w:rPr>
            <w:webHidden/>
          </w:rPr>
          <w:fldChar w:fldCharType="end"/>
        </w:r>
      </w:hyperlink>
    </w:p>
    <w:p w14:paraId="03AD2919" w14:textId="20231D71" w:rsidR="003A17E6" w:rsidRDefault="003A17E6">
      <w:pPr>
        <w:pStyle w:val="TOC3"/>
        <w:tabs>
          <w:tab w:val="left" w:pos="1200"/>
        </w:tabs>
        <w:rPr>
          <w:rFonts w:asciiTheme="minorHAnsi" w:eastAsiaTheme="minorEastAsia" w:hAnsiTheme="minorHAnsi"/>
          <w:sz w:val="24"/>
          <w:szCs w:val="24"/>
          <w:lang w:eastAsia="en-AU"/>
        </w:rPr>
      </w:pPr>
      <w:hyperlink w:anchor="_Toc233036455" w:history="1">
        <w:r w:rsidRPr="00091CC1">
          <w:rPr>
            <w:rStyle w:val="Hyperlink"/>
          </w:rPr>
          <w:t>5.21.7</w:t>
        </w:r>
        <w:r>
          <w:rPr>
            <w:rFonts w:asciiTheme="minorHAnsi" w:eastAsiaTheme="minorEastAsia" w:hAnsiTheme="minorHAnsi"/>
            <w:sz w:val="24"/>
            <w:szCs w:val="24"/>
            <w:lang w:eastAsia="en-AU"/>
          </w:rPr>
          <w:tab/>
        </w:r>
        <w:r w:rsidRPr="00091CC1">
          <w:rPr>
            <w:rStyle w:val="Hyperlink"/>
          </w:rPr>
          <w:t>Trade</w:t>
        </w:r>
        <w:r>
          <w:rPr>
            <w:webHidden/>
          </w:rPr>
          <w:tab/>
        </w:r>
        <w:r>
          <w:rPr>
            <w:webHidden/>
          </w:rPr>
          <w:fldChar w:fldCharType="begin"/>
        </w:r>
        <w:r>
          <w:rPr>
            <w:webHidden/>
          </w:rPr>
          <w:instrText xml:space="preserve"> PAGEREF _Toc233036455 \h </w:instrText>
        </w:r>
        <w:r>
          <w:rPr>
            <w:webHidden/>
          </w:rPr>
        </w:r>
        <w:r>
          <w:rPr>
            <w:webHidden/>
          </w:rPr>
          <w:fldChar w:fldCharType="separate"/>
        </w:r>
        <w:r>
          <w:rPr>
            <w:webHidden/>
          </w:rPr>
          <w:t>75</w:t>
        </w:r>
        <w:r>
          <w:rPr>
            <w:webHidden/>
          </w:rPr>
          <w:fldChar w:fldCharType="end"/>
        </w:r>
      </w:hyperlink>
    </w:p>
    <w:p w14:paraId="250E5F34" w14:textId="271F3DE1" w:rsidR="003A17E6" w:rsidRDefault="003A17E6">
      <w:pPr>
        <w:pStyle w:val="TOC2"/>
        <w:rPr>
          <w:rFonts w:asciiTheme="minorHAnsi" w:eastAsiaTheme="minorEastAsia" w:hAnsiTheme="minorHAnsi"/>
          <w:b w:val="0"/>
          <w:color w:val="auto"/>
          <w:sz w:val="24"/>
          <w:szCs w:val="24"/>
          <w:lang w:eastAsia="en-AU"/>
        </w:rPr>
      </w:pPr>
      <w:hyperlink w:anchor="_Toc233036456" w:history="1">
        <w:r w:rsidRPr="00091CC1">
          <w:rPr>
            <w:rStyle w:val="Hyperlink"/>
          </w:rPr>
          <w:t>5.22</w:t>
        </w:r>
        <w:r>
          <w:rPr>
            <w:rFonts w:asciiTheme="minorHAnsi" w:eastAsiaTheme="minorEastAsia" w:hAnsiTheme="minorHAnsi"/>
            <w:b w:val="0"/>
            <w:color w:val="auto"/>
            <w:sz w:val="24"/>
            <w:szCs w:val="24"/>
            <w:lang w:eastAsia="en-AU"/>
          </w:rPr>
          <w:tab/>
        </w:r>
        <w:r w:rsidRPr="00091CC1">
          <w:rPr>
            <w:rStyle w:val="Hyperlink"/>
          </w:rPr>
          <w:t>Revised dietary exposure assessment</w:t>
        </w:r>
        <w:r>
          <w:rPr>
            <w:webHidden/>
          </w:rPr>
          <w:tab/>
        </w:r>
        <w:r>
          <w:rPr>
            <w:webHidden/>
          </w:rPr>
          <w:fldChar w:fldCharType="begin"/>
        </w:r>
        <w:r>
          <w:rPr>
            <w:webHidden/>
          </w:rPr>
          <w:instrText xml:space="preserve"> PAGEREF _Toc233036456 \h </w:instrText>
        </w:r>
        <w:r>
          <w:rPr>
            <w:webHidden/>
          </w:rPr>
        </w:r>
        <w:r>
          <w:rPr>
            <w:webHidden/>
          </w:rPr>
          <w:fldChar w:fldCharType="separate"/>
        </w:r>
        <w:r>
          <w:rPr>
            <w:webHidden/>
          </w:rPr>
          <w:t>76</w:t>
        </w:r>
        <w:r>
          <w:rPr>
            <w:webHidden/>
          </w:rPr>
          <w:fldChar w:fldCharType="end"/>
        </w:r>
      </w:hyperlink>
    </w:p>
    <w:p w14:paraId="33670D6E" w14:textId="2C3DF2CE" w:rsidR="003A17E6" w:rsidRDefault="003A17E6">
      <w:pPr>
        <w:pStyle w:val="TOC3"/>
        <w:tabs>
          <w:tab w:val="left" w:pos="1200"/>
        </w:tabs>
        <w:rPr>
          <w:rFonts w:asciiTheme="minorHAnsi" w:eastAsiaTheme="minorEastAsia" w:hAnsiTheme="minorHAnsi"/>
          <w:sz w:val="24"/>
          <w:szCs w:val="24"/>
          <w:lang w:eastAsia="en-AU"/>
        </w:rPr>
      </w:pPr>
      <w:hyperlink w:anchor="_Toc233036457" w:history="1">
        <w:r w:rsidRPr="00091CC1">
          <w:rPr>
            <w:rStyle w:val="Hyperlink"/>
          </w:rPr>
          <w:t>5.22.1</w:t>
        </w:r>
        <w:r>
          <w:rPr>
            <w:rFonts w:asciiTheme="minorHAnsi" w:eastAsiaTheme="minorEastAsia" w:hAnsiTheme="minorHAnsi"/>
            <w:sz w:val="24"/>
            <w:szCs w:val="24"/>
            <w:lang w:eastAsia="en-AU"/>
          </w:rPr>
          <w:tab/>
        </w:r>
        <w:r w:rsidRPr="00091CC1">
          <w:rPr>
            <w:rStyle w:val="Hyperlink"/>
          </w:rPr>
          <w:t>Chronic dietary exposure assessment</w:t>
        </w:r>
        <w:r>
          <w:rPr>
            <w:webHidden/>
          </w:rPr>
          <w:tab/>
        </w:r>
        <w:r>
          <w:rPr>
            <w:webHidden/>
          </w:rPr>
          <w:fldChar w:fldCharType="begin"/>
        </w:r>
        <w:r>
          <w:rPr>
            <w:webHidden/>
          </w:rPr>
          <w:instrText xml:space="preserve"> PAGEREF _Toc233036457 \h </w:instrText>
        </w:r>
        <w:r>
          <w:rPr>
            <w:webHidden/>
          </w:rPr>
        </w:r>
        <w:r>
          <w:rPr>
            <w:webHidden/>
          </w:rPr>
          <w:fldChar w:fldCharType="separate"/>
        </w:r>
        <w:r>
          <w:rPr>
            <w:webHidden/>
          </w:rPr>
          <w:t>76</w:t>
        </w:r>
        <w:r>
          <w:rPr>
            <w:webHidden/>
          </w:rPr>
          <w:fldChar w:fldCharType="end"/>
        </w:r>
      </w:hyperlink>
    </w:p>
    <w:p w14:paraId="137B1000" w14:textId="7BF0AC2C" w:rsidR="003A17E6" w:rsidRDefault="003A17E6">
      <w:pPr>
        <w:pStyle w:val="TOC3"/>
        <w:tabs>
          <w:tab w:val="left" w:pos="1200"/>
        </w:tabs>
        <w:rPr>
          <w:rFonts w:asciiTheme="minorHAnsi" w:eastAsiaTheme="minorEastAsia" w:hAnsiTheme="minorHAnsi"/>
          <w:sz w:val="24"/>
          <w:szCs w:val="24"/>
          <w:lang w:eastAsia="en-AU"/>
        </w:rPr>
      </w:pPr>
      <w:hyperlink w:anchor="_Toc233036458" w:history="1">
        <w:r w:rsidRPr="00091CC1">
          <w:rPr>
            <w:rStyle w:val="Hyperlink"/>
          </w:rPr>
          <w:t>5.22.2</w:t>
        </w:r>
        <w:r>
          <w:rPr>
            <w:rFonts w:asciiTheme="minorHAnsi" w:eastAsiaTheme="minorEastAsia" w:hAnsiTheme="minorHAnsi"/>
            <w:sz w:val="24"/>
            <w:szCs w:val="24"/>
            <w:lang w:eastAsia="en-AU"/>
          </w:rPr>
          <w:tab/>
        </w:r>
        <w:r w:rsidRPr="00091CC1">
          <w:rPr>
            <w:rStyle w:val="Hyperlink"/>
          </w:rPr>
          <w:t>Acute dietary exposure assessment</w:t>
        </w:r>
        <w:r>
          <w:rPr>
            <w:webHidden/>
          </w:rPr>
          <w:tab/>
        </w:r>
        <w:r>
          <w:rPr>
            <w:webHidden/>
          </w:rPr>
          <w:fldChar w:fldCharType="begin"/>
        </w:r>
        <w:r>
          <w:rPr>
            <w:webHidden/>
          </w:rPr>
          <w:instrText xml:space="preserve"> PAGEREF _Toc233036458 \h </w:instrText>
        </w:r>
        <w:r>
          <w:rPr>
            <w:webHidden/>
          </w:rPr>
        </w:r>
        <w:r>
          <w:rPr>
            <w:webHidden/>
          </w:rPr>
          <w:fldChar w:fldCharType="separate"/>
        </w:r>
        <w:r>
          <w:rPr>
            <w:webHidden/>
          </w:rPr>
          <w:t>76</w:t>
        </w:r>
        <w:r>
          <w:rPr>
            <w:webHidden/>
          </w:rPr>
          <w:fldChar w:fldCharType="end"/>
        </w:r>
      </w:hyperlink>
    </w:p>
    <w:p w14:paraId="73219E13" w14:textId="2E86F23C" w:rsidR="003A17E6" w:rsidRDefault="003A17E6">
      <w:pPr>
        <w:pStyle w:val="TOC2"/>
        <w:rPr>
          <w:rFonts w:asciiTheme="minorHAnsi" w:eastAsiaTheme="minorEastAsia" w:hAnsiTheme="minorHAnsi"/>
          <w:b w:val="0"/>
          <w:color w:val="auto"/>
          <w:sz w:val="24"/>
          <w:szCs w:val="24"/>
          <w:lang w:eastAsia="en-AU"/>
        </w:rPr>
      </w:pPr>
      <w:hyperlink w:anchor="_Toc233036459" w:history="1">
        <w:r w:rsidRPr="00091CC1">
          <w:rPr>
            <w:rStyle w:val="Hyperlink"/>
          </w:rPr>
          <w:t>5.23</w:t>
        </w:r>
        <w:r>
          <w:rPr>
            <w:rFonts w:asciiTheme="minorHAnsi" w:eastAsiaTheme="minorEastAsia" w:hAnsiTheme="minorHAnsi"/>
            <w:b w:val="0"/>
            <w:color w:val="auto"/>
            <w:sz w:val="24"/>
            <w:szCs w:val="24"/>
            <w:lang w:eastAsia="en-AU"/>
          </w:rPr>
          <w:tab/>
        </w:r>
        <w:r w:rsidRPr="00091CC1">
          <w:rPr>
            <w:rStyle w:val="Hyperlink"/>
          </w:rPr>
          <w:t>Revised MRL recommendations</w:t>
        </w:r>
        <w:r>
          <w:rPr>
            <w:webHidden/>
          </w:rPr>
          <w:tab/>
        </w:r>
        <w:r>
          <w:rPr>
            <w:webHidden/>
          </w:rPr>
          <w:fldChar w:fldCharType="begin"/>
        </w:r>
        <w:r>
          <w:rPr>
            <w:webHidden/>
          </w:rPr>
          <w:instrText xml:space="preserve"> PAGEREF _Toc233036459 \h </w:instrText>
        </w:r>
        <w:r>
          <w:rPr>
            <w:webHidden/>
          </w:rPr>
        </w:r>
        <w:r>
          <w:rPr>
            <w:webHidden/>
          </w:rPr>
          <w:fldChar w:fldCharType="separate"/>
        </w:r>
        <w:r>
          <w:rPr>
            <w:webHidden/>
          </w:rPr>
          <w:t>76</w:t>
        </w:r>
        <w:r>
          <w:rPr>
            <w:webHidden/>
          </w:rPr>
          <w:fldChar w:fldCharType="end"/>
        </w:r>
      </w:hyperlink>
    </w:p>
    <w:p w14:paraId="6BBA2314" w14:textId="65464B46"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60" w:history="1">
        <w:r w:rsidRPr="00091CC1">
          <w:rPr>
            <w:rStyle w:val="Hyperlink"/>
          </w:rPr>
          <w:t>6</w:t>
        </w:r>
        <w:r>
          <w:rPr>
            <w:rFonts w:asciiTheme="minorHAnsi" w:eastAsiaTheme="minorEastAsia" w:hAnsiTheme="minorHAnsi" w:cstheme="minorBidi"/>
            <w:bCs w:val="0"/>
            <w:color w:val="auto"/>
            <w:kern w:val="2"/>
            <w:sz w:val="24"/>
            <w:szCs w:val="24"/>
            <w:lang w:eastAsia="en-AU"/>
          </w:rPr>
          <w:tab/>
        </w:r>
        <w:r w:rsidRPr="00091CC1">
          <w:rPr>
            <w:rStyle w:val="Hyperlink"/>
          </w:rPr>
          <w:t>Environmental safety</w:t>
        </w:r>
        <w:r>
          <w:rPr>
            <w:webHidden/>
          </w:rPr>
          <w:tab/>
        </w:r>
        <w:r>
          <w:rPr>
            <w:webHidden/>
          </w:rPr>
          <w:fldChar w:fldCharType="begin"/>
        </w:r>
        <w:r>
          <w:rPr>
            <w:webHidden/>
          </w:rPr>
          <w:instrText xml:space="preserve"> PAGEREF _Toc233036460 \h </w:instrText>
        </w:r>
        <w:r>
          <w:rPr>
            <w:webHidden/>
          </w:rPr>
        </w:r>
        <w:r>
          <w:rPr>
            <w:webHidden/>
          </w:rPr>
          <w:fldChar w:fldCharType="separate"/>
        </w:r>
        <w:r>
          <w:rPr>
            <w:webHidden/>
          </w:rPr>
          <w:t>79</w:t>
        </w:r>
        <w:r>
          <w:rPr>
            <w:webHidden/>
          </w:rPr>
          <w:fldChar w:fldCharType="end"/>
        </w:r>
      </w:hyperlink>
    </w:p>
    <w:p w14:paraId="5EE0B0EC" w14:textId="4C7B13A7" w:rsidR="003A17E6" w:rsidRDefault="003A17E6">
      <w:pPr>
        <w:pStyle w:val="TOC2"/>
        <w:rPr>
          <w:rFonts w:asciiTheme="minorHAnsi" w:eastAsiaTheme="minorEastAsia" w:hAnsiTheme="minorHAnsi"/>
          <w:b w:val="0"/>
          <w:color w:val="auto"/>
          <w:sz w:val="24"/>
          <w:szCs w:val="24"/>
          <w:lang w:eastAsia="en-AU"/>
        </w:rPr>
      </w:pPr>
      <w:hyperlink w:anchor="_Toc233036461" w:history="1">
        <w:r w:rsidRPr="00091CC1">
          <w:rPr>
            <w:rStyle w:val="Hyperlink"/>
          </w:rPr>
          <w:t>6.1</w:t>
        </w:r>
        <w:r>
          <w:rPr>
            <w:rFonts w:asciiTheme="minorHAnsi" w:eastAsiaTheme="minorEastAsia" w:hAnsiTheme="minorHAnsi"/>
            <w:b w:val="0"/>
            <w:color w:val="auto"/>
            <w:sz w:val="24"/>
            <w:szCs w:val="24"/>
            <w:lang w:eastAsia="en-AU"/>
          </w:rPr>
          <w:tab/>
        </w:r>
        <w:r w:rsidRPr="00091CC1">
          <w:rPr>
            <w:rStyle w:val="Hyperlink"/>
          </w:rPr>
          <w:t>Assessment scenarios</w:t>
        </w:r>
        <w:r>
          <w:rPr>
            <w:webHidden/>
          </w:rPr>
          <w:tab/>
        </w:r>
        <w:r>
          <w:rPr>
            <w:webHidden/>
          </w:rPr>
          <w:fldChar w:fldCharType="begin"/>
        </w:r>
        <w:r>
          <w:rPr>
            <w:webHidden/>
          </w:rPr>
          <w:instrText xml:space="preserve"> PAGEREF _Toc233036461 \h </w:instrText>
        </w:r>
        <w:r>
          <w:rPr>
            <w:webHidden/>
          </w:rPr>
        </w:r>
        <w:r>
          <w:rPr>
            <w:webHidden/>
          </w:rPr>
          <w:fldChar w:fldCharType="separate"/>
        </w:r>
        <w:r>
          <w:rPr>
            <w:webHidden/>
          </w:rPr>
          <w:t>79</w:t>
        </w:r>
        <w:r>
          <w:rPr>
            <w:webHidden/>
          </w:rPr>
          <w:fldChar w:fldCharType="end"/>
        </w:r>
      </w:hyperlink>
    </w:p>
    <w:p w14:paraId="6CF034E9" w14:textId="30FED30B" w:rsidR="003A17E6" w:rsidRDefault="003A17E6">
      <w:pPr>
        <w:pStyle w:val="TOC2"/>
        <w:rPr>
          <w:rFonts w:asciiTheme="minorHAnsi" w:eastAsiaTheme="minorEastAsia" w:hAnsiTheme="minorHAnsi"/>
          <w:b w:val="0"/>
          <w:color w:val="auto"/>
          <w:sz w:val="24"/>
          <w:szCs w:val="24"/>
          <w:lang w:eastAsia="en-AU"/>
        </w:rPr>
      </w:pPr>
      <w:hyperlink w:anchor="_Toc233036462" w:history="1">
        <w:r w:rsidRPr="00091CC1">
          <w:rPr>
            <w:rStyle w:val="Hyperlink"/>
          </w:rPr>
          <w:t>6.2</w:t>
        </w:r>
        <w:r>
          <w:rPr>
            <w:rFonts w:asciiTheme="minorHAnsi" w:eastAsiaTheme="minorEastAsia" w:hAnsiTheme="minorHAnsi"/>
            <w:b w:val="0"/>
            <w:color w:val="auto"/>
            <w:sz w:val="24"/>
            <w:szCs w:val="24"/>
            <w:lang w:eastAsia="en-AU"/>
          </w:rPr>
          <w:tab/>
        </w:r>
        <w:r w:rsidRPr="00091CC1">
          <w:rPr>
            <w:rStyle w:val="Hyperlink"/>
          </w:rPr>
          <w:t>Fate and behaviour in the environment</w:t>
        </w:r>
        <w:r>
          <w:rPr>
            <w:webHidden/>
          </w:rPr>
          <w:tab/>
        </w:r>
        <w:r>
          <w:rPr>
            <w:webHidden/>
          </w:rPr>
          <w:fldChar w:fldCharType="begin"/>
        </w:r>
        <w:r>
          <w:rPr>
            <w:webHidden/>
          </w:rPr>
          <w:instrText xml:space="preserve"> PAGEREF _Toc233036462 \h </w:instrText>
        </w:r>
        <w:r>
          <w:rPr>
            <w:webHidden/>
          </w:rPr>
        </w:r>
        <w:r>
          <w:rPr>
            <w:webHidden/>
          </w:rPr>
          <w:fldChar w:fldCharType="separate"/>
        </w:r>
        <w:r>
          <w:rPr>
            <w:webHidden/>
          </w:rPr>
          <w:t>80</w:t>
        </w:r>
        <w:r>
          <w:rPr>
            <w:webHidden/>
          </w:rPr>
          <w:fldChar w:fldCharType="end"/>
        </w:r>
      </w:hyperlink>
    </w:p>
    <w:p w14:paraId="562AAD0E" w14:textId="198AFAEE" w:rsidR="003A17E6" w:rsidRDefault="003A17E6">
      <w:pPr>
        <w:pStyle w:val="TOC2"/>
        <w:rPr>
          <w:rFonts w:asciiTheme="minorHAnsi" w:eastAsiaTheme="minorEastAsia" w:hAnsiTheme="minorHAnsi"/>
          <w:b w:val="0"/>
          <w:color w:val="auto"/>
          <w:sz w:val="24"/>
          <w:szCs w:val="24"/>
          <w:lang w:eastAsia="en-AU"/>
        </w:rPr>
      </w:pPr>
      <w:hyperlink w:anchor="_Toc233036463" w:history="1">
        <w:r w:rsidRPr="00091CC1">
          <w:rPr>
            <w:rStyle w:val="Hyperlink"/>
          </w:rPr>
          <w:t>6.3</w:t>
        </w:r>
        <w:r>
          <w:rPr>
            <w:rFonts w:asciiTheme="minorHAnsi" w:eastAsiaTheme="minorEastAsia" w:hAnsiTheme="minorHAnsi"/>
            <w:b w:val="0"/>
            <w:color w:val="auto"/>
            <w:sz w:val="24"/>
            <w:szCs w:val="24"/>
            <w:lang w:eastAsia="en-AU"/>
          </w:rPr>
          <w:tab/>
        </w:r>
        <w:r w:rsidRPr="00091CC1">
          <w:rPr>
            <w:rStyle w:val="Hyperlink"/>
          </w:rPr>
          <w:t>Effects on non-target species</w:t>
        </w:r>
        <w:r>
          <w:rPr>
            <w:webHidden/>
          </w:rPr>
          <w:tab/>
        </w:r>
        <w:r>
          <w:rPr>
            <w:webHidden/>
          </w:rPr>
          <w:fldChar w:fldCharType="begin"/>
        </w:r>
        <w:r>
          <w:rPr>
            <w:webHidden/>
          </w:rPr>
          <w:instrText xml:space="preserve"> PAGEREF _Toc233036463 \h </w:instrText>
        </w:r>
        <w:r>
          <w:rPr>
            <w:webHidden/>
          </w:rPr>
        </w:r>
        <w:r>
          <w:rPr>
            <w:webHidden/>
          </w:rPr>
          <w:fldChar w:fldCharType="separate"/>
        </w:r>
        <w:r>
          <w:rPr>
            <w:webHidden/>
          </w:rPr>
          <w:t>82</w:t>
        </w:r>
        <w:r>
          <w:rPr>
            <w:webHidden/>
          </w:rPr>
          <w:fldChar w:fldCharType="end"/>
        </w:r>
      </w:hyperlink>
    </w:p>
    <w:p w14:paraId="3E3DC6D5" w14:textId="5AF59CB1" w:rsidR="003A17E6" w:rsidRDefault="003A17E6">
      <w:pPr>
        <w:pStyle w:val="TOC2"/>
        <w:rPr>
          <w:rFonts w:asciiTheme="minorHAnsi" w:eastAsiaTheme="minorEastAsia" w:hAnsiTheme="minorHAnsi"/>
          <w:b w:val="0"/>
          <w:color w:val="auto"/>
          <w:sz w:val="24"/>
          <w:szCs w:val="24"/>
          <w:lang w:eastAsia="en-AU"/>
        </w:rPr>
      </w:pPr>
      <w:hyperlink w:anchor="_Toc233036464" w:history="1">
        <w:r w:rsidRPr="00091CC1">
          <w:rPr>
            <w:rStyle w:val="Hyperlink"/>
          </w:rPr>
          <w:t>6.4</w:t>
        </w:r>
        <w:r>
          <w:rPr>
            <w:rFonts w:asciiTheme="minorHAnsi" w:eastAsiaTheme="minorEastAsia" w:hAnsiTheme="minorHAnsi"/>
            <w:b w:val="0"/>
            <w:color w:val="auto"/>
            <w:sz w:val="24"/>
            <w:szCs w:val="24"/>
            <w:lang w:eastAsia="en-AU"/>
          </w:rPr>
          <w:tab/>
        </w:r>
        <w:r w:rsidRPr="00091CC1">
          <w:rPr>
            <w:rStyle w:val="Hyperlink"/>
          </w:rPr>
          <w:t>Risks to non-target species</w:t>
        </w:r>
        <w:r>
          <w:rPr>
            <w:webHidden/>
          </w:rPr>
          <w:tab/>
        </w:r>
        <w:r>
          <w:rPr>
            <w:webHidden/>
          </w:rPr>
          <w:fldChar w:fldCharType="begin"/>
        </w:r>
        <w:r>
          <w:rPr>
            <w:webHidden/>
          </w:rPr>
          <w:instrText xml:space="preserve"> PAGEREF _Toc233036464 \h </w:instrText>
        </w:r>
        <w:r>
          <w:rPr>
            <w:webHidden/>
          </w:rPr>
        </w:r>
        <w:r>
          <w:rPr>
            <w:webHidden/>
          </w:rPr>
          <w:fldChar w:fldCharType="separate"/>
        </w:r>
        <w:r>
          <w:rPr>
            <w:webHidden/>
          </w:rPr>
          <w:t>85</w:t>
        </w:r>
        <w:r>
          <w:rPr>
            <w:webHidden/>
          </w:rPr>
          <w:fldChar w:fldCharType="end"/>
        </w:r>
      </w:hyperlink>
    </w:p>
    <w:p w14:paraId="63019D90" w14:textId="74362C27" w:rsidR="003A17E6" w:rsidRDefault="003A17E6">
      <w:pPr>
        <w:pStyle w:val="TOC3"/>
        <w:tabs>
          <w:tab w:val="left" w:pos="1200"/>
        </w:tabs>
        <w:rPr>
          <w:rFonts w:asciiTheme="minorHAnsi" w:eastAsiaTheme="minorEastAsia" w:hAnsiTheme="minorHAnsi"/>
          <w:sz w:val="24"/>
          <w:szCs w:val="24"/>
          <w:lang w:eastAsia="en-AU"/>
        </w:rPr>
      </w:pPr>
      <w:hyperlink w:anchor="_Toc233036465" w:history="1">
        <w:r w:rsidRPr="00091CC1">
          <w:rPr>
            <w:rStyle w:val="Hyperlink"/>
          </w:rPr>
          <w:t>6.4.1</w:t>
        </w:r>
        <w:r>
          <w:rPr>
            <w:rFonts w:asciiTheme="minorHAnsi" w:eastAsiaTheme="minorEastAsia" w:hAnsiTheme="minorHAnsi"/>
            <w:sz w:val="24"/>
            <w:szCs w:val="24"/>
            <w:lang w:eastAsia="en-AU"/>
          </w:rPr>
          <w:tab/>
        </w:r>
        <w:r w:rsidRPr="00091CC1">
          <w:rPr>
            <w:rStyle w:val="Hyperlink"/>
          </w:rPr>
          <w:t>Terrestrial vertebrates</w:t>
        </w:r>
        <w:r>
          <w:rPr>
            <w:webHidden/>
          </w:rPr>
          <w:tab/>
        </w:r>
        <w:r>
          <w:rPr>
            <w:webHidden/>
          </w:rPr>
          <w:fldChar w:fldCharType="begin"/>
        </w:r>
        <w:r>
          <w:rPr>
            <w:webHidden/>
          </w:rPr>
          <w:instrText xml:space="preserve"> PAGEREF _Toc233036465 \h </w:instrText>
        </w:r>
        <w:r>
          <w:rPr>
            <w:webHidden/>
          </w:rPr>
        </w:r>
        <w:r>
          <w:rPr>
            <w:webHidden/>
          </w:rPr>
          <w:fldChar w:fldCharType="separate"/>
        </w:r>
        <w:r>
          <w:rPr>
            <w:webHidden/>
          </w:rPr>
          <w:t>85</w:t>
        </w:r>
        <w:r>
          <w:rPr>
            <w:webHidden/>
          </w:rPr>
          <w:fldChar w:fldCharType="end"/>
        </w:r>
      </w:hyperlink>
    </w:p>
    <w:p w14:paraId="50068264" w14:textId="4B3692A5" w:rsidR="003A17E6" w:rsidRDefault="003A17E6">
      <w:pPr>
        <w:pStyle w:val="TOC3"/>
        <w:tabs>
          <w:tab w:val="left" w:pos="1200"/>
        </w:tabs>
        <w:rPr>
          <w:rFonts w:asciiTheme="minorHAnsi" w:eastAsiaTheme="minorEastAsia" w:hAnsiTheme="minorHAnsi"/>
          <w:sz w:val="24"/>
          <w:szCs w:val="24"/>
          <w:lang w:eastAsia="en-AU"/>
        </w:rPr>
      </w:pPr>
      <w:hyperlink w:anchor="_Toc233036466" w:history="1">
        <w:r w:rsidRPr="00091CC1">
          <w:rPr>
            <w:rStyle w:val="Hyperlink"/>
          </w:rPr>
          <w:t>6.4.2</w:t>
        </w:r>
        <w:r>
          <w:rPr>
            <w:rFonts w:asciiTheme="minorHAnsi" w:eastAsiaTheme="minorEastAsia" w:hAnsiTheme="minorHAnsi"/>
            <w:sz w:val="24"/>
            <w:szCs w:val="24"/>
            <w:lang w:eastAsia="en-AU"/>
          </w:rPr>
          <w:tab/>
        </w:r>
        <w:r w:rsidRPr="00091CC1">
          <w:rPr>
            <w:rStyle w:val="Hyperlink"/>
          </w:rPr>
          <w:t>Aquatic species</w:t>
        </w:r>
        <w:r>
          <w:rPr>
            <w:webHidden/>
          </w:rPr>
          <w:tab/>
        </w:r>
        <w:r>
          <w:rPr>
            <w:webHidden/>
          </w:rPr>
          <w:fldChar w:fldCharType="begin"/>
        </w:r>
        <w:r>
          <w:rPr>
            <w:webHidden/>
          </w:rPr>
          <w:instrText xml:space="preserve"> PAGEREF _Toc233036466 \h </w:instrText>
        </w:r>
        <w:r>
          <w:rPr>
            <w:webHidden/>
          </w:rPr>
        </w:r>
        <w:r>
          <w:rPr>
            <w:webHidden/>
          </w:rPr>
          <w:fldChar w:fldCharType="separate"/>
        </w:r>
        <w:r>
          <w:rPr>
            <w:webHidden/>
          </w:rPr>
          <w:t>90</w:t>
        </w:r>
        <w:r>
          <w:rPr>
            <w:webHidden/>
          </w:rPr>
          <w:fldChar w:fldCharType="end"/>
        </w:r>
      </w:hyperlink>
    </w:p>
    <w:p w14:paraId="24C51171" w14:textId="50FDF68F" w:rsidR="003A17E6" w:rsidRDefault="003A17E6">
      <w:pPr>
        <w:pStyle w:val="TOC3"/>
        <w:tabs>
          <w:tab w:val="left" w:pos="1200"/>
        </w:tabs>
        <w:rPr>
          <w:rFonts w:asciiTheme="minorHAnsi" w:eastAsiaTheme="minorEastAsia" w:hAnsiTheme="minorHAnsi"/>
          <w:sz w:val="24"/>
          <w:szCs w:val="24"/>
          <w:lang w:eastAsia="en-AU"/>
        </w:rPr>
      </w:pPr>
      <w:hyperlink w:anchor="_Toc233036467" w:history="1">
        <w:r w:rsidRPr="00091CC1">
          <w:rPr>
            <w:rStyle w:val="Hyperlink"/>
          </w:rPr>
          <w:t>6.4.3</w:t>
        </w:r>
        <w:r>
          <w:rPr>
            <w:rFonts w:asciiTheme="minorHAnsi" w:eastAsiaTheme="minorEastAsia" w:hAnsiTheme="minorHAnsi"/>
            <w:sz w:val="24"/>
            <w:szCs w:val="24"/>
            <w:lang w:eastAsia="en-AU"/>
          </w:rPr>
          <w:tab/>
        </w:r>
        <w:r w:rsidRPr="00091CC1">
          <w:rPr>
            <w:rStyle w:val="Hyperlink"/>
          </w:rPr>
          <w:t>Bees</w:t>
        </w:r>
        <w:r>
          <w:rPr>
            <w:webHidden/>
          </w:rPr>
          <w:tab/>
        </w:r>
        <w:r>
          <w:rPr>
            <w:webHidden/>
          </w:rPr>
          <w:fldChar w:fldCharType="begin"/>
        </w:r>
        <w:r>
          <w:rPr>
            <w:webHidden/>
          </w:rPr>
          <w:instrText xml:space="preserve"> PAGEREF _Toc233036467 \h </w:instrText>
        </w:r>
        <w:r>
          <w:rPr>
            <w:webHidden/>
          </w:rPr>
        </w:r>
        <w:r>
          <w:rPr>
            <w:webHidden/>
          </w:rPr>
          <w:fldChar w:fldCharType="separate"/>
        </w:r>
        <w:r>
          <w:rPr>
            <w:webHidden/>
          </w:rPr>
          <w:t>94</w:t>
        </w:r>
        <w:r>
          <w:rPr>
            <w:webHidden/>
          </w:rPr>
          <w:fldChar w:fldCharType="end"/>
        </w:r>
      </w:hyperlink>
    </w:p>
    <w:p w14:paraId="373AF118" w14:textId="310CBB70" w:rsidR="003A17E6" w:rsidRDefault="003A17E6">
      <w:pPr>
        <w:pStyle w:val="TOC3"/>
        <w:tabs>
          <w:tab w:val="left" w:pos="1200"/>
        </w:tabs>
        <w:rPr>
          <w:rFonts w:asciiTheme="minorHAnsi" w:eastAsiaTheme="minorEastAsia" w:hAnsiTheme="minorHAnsi"/>
          <w:sz w:val="24"/>
          <w:szCs w:val="24"/>
          <w:lang w:eastAsia="en-AU"/>
        </w:rPr>
      </w:pPr>
      <w:hyperlink w:anchor="_Toc233036468" w:history="1">
        <w:r w:rsidRPr="00091CC1">
          <w:rPr>
            <w:rStyle w:val="Hyperlink"/>
          </w:rPr>
          <w:t>6.4.4</w:t>
        </w:r>
        <w:r>
          <w:rPr>
            <w:rFonts w:asciiTheme="minorHAnsi" w:eastAsiaTheme="minorEastAsia" w:hAnsiTheme="minorHAnsi"/>
            <w:sz w:val="24"/>
            <w:szCs w:val="24"/>
            <w:lang w:eastAsia="en-AU"/>
          </w:rPr>
          <w:tab/>
        </w:r>
        <w:r w:rsidRPr="00091CC1">
          <w:rPr>
            <w:rStyle w:val="Hyperlink"/>
          </w:rPr>
          <w:t>Other arthropod species</w:t>
        </w:r>
        <w:r>
          <w:rPr>
            <w:webHidden/>
          </w:rPr>
          <w:tab/>
        </w:r>
        <w:r>
          <w:rPr>
            <w:webHidden/>
          </w:rPr>
          <w:fldChar w:fldCharType="begin"/>
        </w:r>
        <w:r>
          <w:rPr>
            <w:webHidden/>
          </w:rPr>
          <w:instrText xml:space="preserve"> PAGEREF _Toc233036468 \h </w:instrText>
        </w:r>
        <w:r>
          <w:rPr>
            <w:webHidden/>
          </w:rPr>
        </w:r>
        <w:r>
          <w:rPr>
            <w:webHidden/>
          </w:rPr>
          <w:fldChar w:fldCharType="separate"/>
        </w:r>
        <w:r>
          <w:rPr>
            <w:webHidden/>
          </w:rPr>
          <w:t>95</w:t>
        </w:r>
        <w:r>
          <w:rPr>
            <w:webHidden/>
          </w:rPr>
          <w:fldChar w:fldCharType="end"/>
        </w:r>
      </w:hyperlink>
    </w:p>
    <w:p w14:paraId="6B4005C6" w14:textId="48945E80" w:rsidR="003A17E6" w:rsidRDefault="003A17E6">
      <w:pPr>
        <w:pStyle w:val="TOC3"/>
        <w:tabs>
          <w:tab w:val="left" w:pos="1200"/>
        </w:tabs>
        <w:rPr>
          <w:rFonts w:asciiTheme="minorHAnsi" w:eastAsiaTheme="minorEastAsia" w:hAnsiTheme="minorHAnsi"/>
          <w:sz w:val="24"/>
          <w:szCs w:val="24"/>
          <w:lang w:eastAsia="en-AU"/>
        </w:rPr>
      </w:pPr>
      <w:hyperlink w:anchor="_Toc233036469" w:history="1">
        <w:r w:rsidRPr="00091CC1">
          <w:rPr>
            <w:rStyle w:val="Hyperlink"/>
          </w:rPr>
          <w:t>6.4.5</w:t>
        </w:r>
        <w:r>
          <w:rPr>
            <w:rFonts w:asciiTheme="minorHAnsi" w:eastAsiaTheme="minorEastAsia" w:hAnsiTheme="minorHAnsi"/>
            <w:sz w:val="24"/>
            <w:szCs w:val="24"/>
            <w:lang w:eastAsia="en-AU"/>
          </w:rPr>
          <w:tab/>
        </w:r>
        <w:r w:rsidRPr="00091CC1">
          <w:rPr>
            <w:rStyle w:val="Hyperlink"/>
          </w:rPr>
          <w:t>Soil organisms</w:t>
        </w:r>
        <w:r>
          <w:rPr>
            <w:webHidden/>
          </w:rPr>
          <w:tab/>
        </w:r>
        <w:r>
          <w:rPr>
            <w:webHidden/>
          </w:rPr>
          <w:fldChar w:fldCharType="begin"/>
        </w:r>
        <w:r>
          <w:rPr>
            <w:webHidden/>
          </w:rPr>
          <w:instrText xml:space="preserve"> PAGEREF _Toc233036469 \h </w:instrText>
        </w:r>
        <w:r>
          <w:rPr>
            <w:webHidden/>
          </w:rPr>
        </w:r>
        <w:r>
          <w:rPr>
            <w:webHidden/>
          </w:rPr>
          <w:fldChar w:fldCharType="separate"/>
        </w:r>
        <w:r>
          <w:rPr>
            <w:webHidden/>
          </w:rPr>
          <w:t>95</w:t>
        </w:r>
        <w:r>
          <w:rPr>
            <w:webHidden/>
          </w:rPr>
          <w:fldChar w:fldCharType="end"/>
        </w:r>
      </w:hyperlink>
    </w:p>
    <w:p w14:paraId="122A77E4" w14:textId="5E99F3BC" w:rsidR="003A17E6" w:rsidRDefault="003A17E6">
      <w:pPr>
        <w:pStyle w:val="TOC3"/>
        <w:tabs>
          <w:tab w:val="left" w:pos="1200"/>
        </w:tabs>
        <w:rPr>
          <w:rFonts w:asciiTheme="minorHAnsi" w:eastAsiaTheme="minorEastAsia" w:hAnsiTheme="minorHAnsi"/>
          <w:sz w:val="24"/>
          <w:szCs w:val="24"/>
          <w:lang w:eastAsia="en-AU"/>
        </w:rPr>
      </w:pPr>
      <w:hyperlink w:anchor="_Toc233036470" w:history="1">
        <w:r w:rsidRPr="00091CC1">
          <w:rPr>
            <w:rStyle w:val="Hyperlink"/>
          </w:rPr>
          <w:t>6.4.6</w:t>
        </w:r>
        <w:r>
          <w:rPr>
            <w:rFonts w:asciiTheme="minorHAnsi" w:eastAsiaTheme="minorEastAsia" w:hAnsiTheme="minorHAnsi"/>
            <w:sz w:val="24"/>
            <w:szCs w:val="24"/>
            <w:lang w:eastAsia="en-AU"/>
          </w:rPr>
          <w:tab/>
        </w:r>
        <w:r w:rsidRPr="00091CC1">
          <w:rPr>
            <w:rStyle w:val="Hyperlink"/>
          </w:rPr>
          <w:t>Non-target terrestrial plants</w:t>
        </w:r>
        <w:r>
          <w:rPr>
            <w:webHidden/>
          </w:rPr>
          <w:tab/>
        </w:r>
        <w:r>
          <w:rPr>
            <w:webHidden/>
          </w:rPr>
          <w:fldChar w:fldCharType="begin"/>
        </w:r>
        <w:r>
          <w:rPr>
            <w:webHidden/>
          </w:rPr>
          <w:instrText xml:space="preserve"> PAGEREF _Toc233036470 \h </w:instrText>
        </w:r>
        <w:r>
          <w:rPr>
            <w:webHidden/>
          </w:rPr>
        </w:r>
        <w:r>
          <w:rPr>
            <w:webHidden/>
          </w:rPr>
          <w:fldChar w:fldCharType="separate"/>
        </w:r>
        <w:r>
          <w:rPr>
            <w:webHidden/>
          </w:rPr>
          <w:t>96</w:t>
        </w:r>
        <w:r>
          <w:rPr>
            <w:webHidden/>
          </w:rPr>
          <w:fldChar w:fldCharType="end"/>
        </w:r>
      </w:hyperlink>
    </w:p>
    <w:p w14:paraId="02461C28" w14:textId="4C520751" w:rsidR="003A17E6" w:rsidRDefault="003A17E6">
      <w:pPr>
        <w:pStyle w:val="TOC2"/>
        <w:rPr>
          <w:rFonts w:asciiTheme="minorHAnsi" w:eastAsiaTheme="minorEastAsia" w:hAnsiTheme="minorHAnsi"/>
          <w:b w:val="0"/>
          <w:color w:val="auto"/>
          <w:sz w:val="24"/>
          <w:szCs w:val="24"/>
          <w:lang w:eastAsia="en-AU"/>
        </w:rPr>
      </w:pPr>
      <w:hyperlink w:anchor="_Toc233036471" w:history="1">
        <w:r w:rsidRPr="00091CC1">
          <w:rPr>
            <w:rStyle w:val="Hyperlink"/>
          </w:rPr>
          <w:t>6.5</w:t>
        </w:r>
        <w:r>
          <w:rPr>
            <w:rFonts w:asciiTheme="minorHAnsi" w:eastAsiaTheme="minorEastAsia" w:hAnsiTheme="minorHAnsi"/>
            <w:b w:val="0"/>
            <w:color w:val="auto"/>
            <w:sz w:val="24"/>
            <w:szCs w:val="24"/>
            <w:lang w:eastAsia="en-AU"/>
          </w:rPr>
          <w:tab/>
        </w:r>
        <w:r w:rsidRPr="00091CC1">
          <w:rPr>
            <w:rStyle w:val="Hyperlink"/>
          </w:rPr>
          <w:t>Combination toxicity</w:t>
        </w:r>
        <w:r>
          <w:rPr>
            <w:webHidden/>
          </w:rPr>
          <w:tab/>
        </w:r>
        <w:r>
          <w:rPr>
            <w:webHidden/>
          </w:rPr>
          <w:fldChar w:fldCharType="begin"/>
        </w:r>
        <w:r>
          <w:rPr>
            <w:webHidden/>
          </w:rPr>
          <w:instrText xml:space="preserve"> PAGEREF _Toc233036471 \h </w:instrText>
        </w:r>
        <w:r>
          <w:rPr>
            <w:webHidden/>
          </w:rPr>
        </w:r>
        <w:r>
          <w:rPr>
            <w:webHidden/>
          </w:rPr>
          <w:fldChar w:fldCharType="separate"/>
        </w:r>
        <w:r>
          <w:rPr>
            <w:webHidden/>
          </w:rPr>
          <w:t>96</w:t>
        </w:r>
        <w:r>
          <w:rPr>
            <w:webHidden/>
          </w:rPr>
          <w:fldChar w:fldCharType="end"/>
        </w:r>
      </w:hyperlink>
    </w:p>
    <w:p w14:paraId="56B2D218" w14:textId="5ED81887" w:rsidR="003A17E6" w:rsidRDefault="003A17E6">
      <w:pPr>
        <w:pStyle w:val="TOC3"/>
        <w:tabs>
          <w:tab w:val="left" w:pos="1200"/>
        </w:tabs>
        <w:rPr>
          <w:rFonts w:asciiTheme="minorHAnsi" w:eastAsiaTheme="minorEastAsia" w:hAnsiTheme="minorHAnsi"/>
          <w:sz w:val="24"/>
          <w:szCs w:val="24"/>
          <w:lang w:eastAsia="en-AU"/>
        </w:rPr>
      </w:pPr>
      <w:hyperlink w:anchor="_Toc233036472" w:history="1">
        <w:r w:rsidRPr="00091CC1">
          <w:rPr>
            <w:rStyle w:val="Hyperlink"/>
          </w:rPr>
          <w:t>6.5.1</w:t>
        </w:r>
        <w:r>
          <w:rPr>
            <w:rFonts w:asciiTheme="minorHAnsi" w:eastAsiaTheme="minorEastAsia" w:hAnsiTheme="minorHAnsi"/>
            <w:sz w:val="24"/>
            <w:szCs w:val="24"/>
            <w:lang w:eastAsia="en-AU"/>
          </w:rPr>
          <w:tab/>
        </w:r>
        <w:r w:rsidRPr="00091CC1">
          <w:rPr>
            <w:rStyle w:val="Hyperlink"/>
          </w:rPr>
          <w:t>Assessment scenarios for diquat/paraquat combination products</w:t>
        </w:r>
        <w:r>
          <w:rPr>
            <w:webHidden/>
          </w:rPr>
          <w:tab/>
        </w:r>
        <w:r>
          <w:rPr>
            <w:webHidden/>
          </w:rPr>
          <w:fldChar w:fldCharType="begin"/>
        </w:r>
        <w:r>
          <w:rPr>
            <w:webHidden/>
          </w:rPr>
          <w:instrText xml:space="preserve"> PAGEREF _Toc233036472 \h </w:instrText>
        </w:r>
        <w:r>
          <w:rPr>
            <w:webHidden/>
          </w:rPr>
        </w:r>
        <w:r>
          <w:rPr>
            <w:webHidden/>
          </w:rPr>
          <w:fldChar w:fldCharType="separate"/>
        </w:r>
        <w:r>
          <w:rPr>
            <w:webHidden/>
          </w:rPr>
          <w:t>96</w:t>
        </w:r>
        <w:r>
          <w:rPr>
            <w:webHidden/>
          </w:rPr>
          <w:fldChar w:fldCharType="end"/>
        </w:r>
      </w:hyperlink>
    </w:p>
    <w:p w14:paraId="2532B8F7" w14:textId="497F57EA" w:rsidR="003A17E6" w:rsidRDefault="003A17E6">
      <w:pPr>
        <w:pStyle w:val="TOC3"/>
        <w:tabs>
          <w:tab w:val="left" w:pos="1200"/>
        </w:tabs>
        <w:rPr>
          <w:rFonts w:asciiTheme="minorHAnsi" w:eastAsiaTheme="minorEastAsia" w:hAnsiTheme="minorHAnsi"/>
          <w:sz w:val="24"/>
          <w:szCs w:val="24"/>
          <w:lang w:eastAsia="en-AU"/>
        </w:rPr>
      </w:pPr>
      <w:hyperlink w:anchor="_Toc233036473" w:history="1">
        <w:r w:rsidRPr="00091CC1">
          <w:rPr>
            <w:rStyle w:val="Hyperlink"/>
          </w:rPr>
          <w:t>6.5.2</w:t>
        </w:r>
        <w:r>
          <w:rPr>
            <w:rFonts w:asciiTheme="minorHAnsi" w:eastAsiaTheme="minorEastAsia" w:hAnsiTheme="minorHAnsi"/>
            <w:sz w:val="24"/>
            <w:szCs w:val="24"/>
            <w:lang w:eastAsia="en-AU"/>
          </w:rPr>
          <w:tab/>
        </w:r>
        <w:r w:rsidRPr="00091CC1">
          <w:rPr>
            <w:rStyle w:val="Hyperlink"/>
          </w:rPr>
          <w:t>Effects on non-target species</w:t>
        </w:r>
        <w:r>
          <w:rPr>
            <w:webHidden/>
          </w:rPr>
          <w:tab/>
        </w:r>
        <w:r>
          <w:rPr>
            <w:webHidden/>
          </w:rPr>
          <w:fldChar w:fldCharType="begin"/>
        </w:r>
        <w:r>
          <w:rPr>
            <w:webHidden/>
          </w:rPr>
          <w:instrText xml:space="preserve"> PAGEREF _Toc233036473 \h </w:instrText>
        </w:r>
        <w:r>
          <w:rPr>
            <w:webHidden/>
          </w:rPr>
        </w:r>
        <w:r>
          <w:rPr>
            <w:webHidden/>
          </w:rPr>
          <w:fldChar w:fldCharType="separate"/>
        </w:r>
        <w:r>
          <w:rPr>
            <w:webHidden/>
          </w:rPr>
          <w:t>98</w:t>
        </w:r>
        <w:r>
          <w:rPr>
            <w:webHidden/>
          </w:rPr>
          <w:fldChar w:fldCharType="end"/>
        </w:r>
      </w:hyperlink>
    </w:p>
    <w:p w14:paraId="25EEA8D5" w14:textId="37F8197B" w:rsidR="003A17E6" w:rsidRDefault="003A17E6">
      <w:pPr>
        <w:pStyle w:val="TOC3"/>
        <w:tabs>
          <w:tab w:val="left" w:pos="1200"/>
        </w:tabs>
        <w:rPr>
          <w:rFonts w:asciiTheme="minorHAnsi" w:eastAsiaTheme="minorEastAsia" w:hAnsiTheme="minorHAnsi"/>
          <w:sz w:val="24"/>
          <w:szCs w:val="24"/>
          <w:lang w:eastAsia="en-AU"/>
        </w:rPr>
      </w:pPr>
      <w:hyperlink w:anchor="_Toc233036474" w:history="1">
        <w:r w:rsidRPr="00091CC1">
          <w:rPr>
            <w:rStyle w:val="Hyperlink"/>
          </w:rPr>
          <w:t>6.5.3</w:t>
        </w:r>
        <w:r>
          <w:rPr>
            <w:rFonts w:asciiTheme="minorHAnsi" w:eastAsiaTheme="minorEastAsia" w:hAnsiTheme="minorHAnsi"/>
            <w:sz w:val="24"/>
            <w:szCs w:val="24"/>
            <w:lang w:eastAsia="en-AU"/>
          </w:rPr>
          <w:tab/>
        </w:r>
        <w:r w:rsidRPr="00091CC1">
          <w:rPr>
            <w:rStyle w:val="Hyperlink"/>
          </w:rPr>
          <w:t>Risks to non-target species</w:t>
        </w:r>
        <w:r>
          <w:rPr>
            <w:webHidden/>
          </w:rPr>
          <w:tab/>
        </w:r>
        <w:r>
          <w:rPr>
            <w:webHidden/>
          </w:rPr>
          <w:fldChar w:fldCharType="begin"/>
        </w:r>
        <w:r>
          <w:rPr>
            <w:webHidden/>
          </w:rPr>
          <w:instrText xml:space="preserve"> PAGEREF _Toc233036474 \h </w:instrText>
        </w:r>
        <w:r>
          <w:rPr>
            <w:webHidden/>
          </w:rPr>
        </w:r>
        <w:r>
          <w:rPr>
            <w:webHidden/>
          </w:rPr>
          <w:fldChar w:fldCharType="separate"/>
        </w:r>
        <w:r>
          <w:rPr>
            <w:webHidden/>
          </w:rPr>
          <w:t>100</w:t>
        </w:r>
        <w:r>
          <w:rPr>
            <w:webHidden/>
          </w:rPr>
          <w:fldChar w:fldCharType="end"/>
        </w:r>
      </w:hyperlink>
    </w:p>
    <w:p w14:paraId="4FCFC9B2" w14:textId="5CF8D4A7" w:rsidR="003A17E6" w:rsidRDefault="003A17E6">
      <w:pPr>
        <w:pStyle w:val="TOC2"/>
        <w:rPr>
          <w:rFonts w:asciiTheme="minorHAnsi" w:eastAsiaTheme="minorEastAsia" w:hAnsiTheme="minorHAnsi"/>
          <w:b w:val="0"/>
          <w:color w:val="auto"/>
          <w:sz w:val="24"/>
          <w:szCs w:val="24"/>
          <w:lang w:eastAsia="en-AU"/>
        </w:rPr>
      </w:pPr>
      <w:hyperlink w:anchor="_Toc233036475" w:history="1">
        <w:r w:rsidRPr="00091CC1">
          <w:rPr>
            <w:rStyle w:val="Hyperlink"/>
          </w:rPr>
          <w:t>6.6</w:t>
        </w:r>
        <w:r>
          <w:rPr>
            <w:rFonts w:asciiTheme="minorHAnsi" w:eastAsiaTheme="minorEastAsia" w:hAnsiTheme="minorHAnsi"/>
            <w:b w:val="0"/>
            <w:color w:val="auto"/>
            <w:sz w:val="24"/>
            <w:szCs w:val="24"/>
            <w:lang w:eastAsia="en-AU"/>
          </w:rPr>
          <w:tab/>
        </w:r>
        <w:r w:rsidRPr="00091CC1">
          <w:rPr>
            <w:rStyle w:val="Hyperlink"/>
          </w:rPr>
          <w:t>Recommendations</w:t>
        </w:r>
        <w:r>
          <w:rPr>
            <w:webHidden/>
          </w:rPr>
          <w:tab/>
        </w:r>
        <w:r>
          <w:rPr>
            <w:webHidden/>
          </w:rPr>
          <w:fldChar w:fldCharType="begin"/>
        </w:r>
        <w:r>
          <w:rPr>
            <w:webHidden/>
          </w:rPr>
          <w:instrText xml:space="preserve"> PAGEREF _Toc233036475 \h </w:instrText>
        </w:r>
        <w:r>
          <w:rPr>
            <w:webHidden/>
          </w:rPr>
        </w:r>
        <w:r>
          <w:rPr>
            <w:webHidden/>
          </w:rPr>
          <w:fldChar w:fldCharType="separate"/>
        </w:r>
        <w:r>
          <w:rPr>
            <w:webHidden/>
          </w:rPr>
          <w:t>112</w:t>
        </w:r>
        <w:r>
          <w:rPr>
            <w:webHidden/>
          </w:rPr>
          <w:fldChar w:fldCharType="end"/>
        </w:r>
      </w:hyperlink>
    </w:p>
    <w:p w14:paraId="71799517" w14:textId="7946E6E7"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76" w:history="1">
        <w:r w:rsidRPr="00091CC1">
          <w:rPr>
            <w:rStyle w:val="Hyperlink"/>
          </w:rPr>
          <w:t>7</w:t>
        </w:r>
        <w:r>
          <w:rPr>
            <w:rFonts w:asciiTheme="minorHAnsi" w:eastAsiaTheme="minorEastAsia" w:hAnsiTheme="minorHAnsi" w:cstheme="minorBidi"/>
            <w:bCs w:val="0"/>
            <w:color w:val="auto"/>
            <w:kern w:val="2"/>
            <w:sz w:val="24"/>
            <w:szCs w:val="24"/>
            <w:lang w:eastAsia="en-AU"/>
          </w:rPr>
          <w:tab/>
        </w:r>
        <w:r w:rsidRPr="00091CC1">
          <w:rPr>
            <w:rStyle w:val="Hyperlink"/>
          </w:rPr>
          <w:t>Spray drift</w:t>
        </w:r>
        <w:r>
          <w:rPr>
            <w:webHidden/>
          </w:rPr>
          <w:tab/>
        </w:r>
        <w:r>
          <w:rPr>
            <w:webHidden/>
          </w:rPr>
          <w:fldChar w:fldCharType="begin"/>
        </w:r>
        <w:r>
          <w:rPr>
            <w:webHidden/>
          </w:rPr>
          <w:instrText xml:space="preserve"> PAGEREF _Toc233036476 \h </w:instrText>
        </w:r>
        <w:r>
          <w:rPr>
            <w:webHidden/>
          </w:rPr>
        </w:r>
        <w:r>
          <w:rPr>
            <w:webHidden/>
          </w:rPr>
          <w:fldChar w:fldCharType="separate"/>
        </w:r>
        <w:r>
          <w:rPr>
            <w:webHidden/>
          </w:rPr>
          <w:t>115</w:t>
        </w:r>
        <w:r>
          <w:rPr>
            <w:webHidden/>
          </w:rPr>
          <w:fldChar w:fldCharType="end"/>
        </w:r>
      </w:hyperlink>
    </w:p>
    <w:p w14:paraId="605994FB" w14:textId="33D23B0C" w:rsidR="003A17E6" w:rsidRDefault="003A17E6">
      <w:pPr>
        <w:pStyle w:val="TOC2"/>
        <w:rPr>
          <w:rFonts w:asciiTheme="minorHAnsi" w:eastAsiaTheme="minorEastAsia" w:hAnsiTheme="minorHAnsi"/>
          <w:b w:val="0"/>
          <w:color w:val="auto"/>
          <w:sz w:val="24"/>
          <w:szCs w:val="24"/>
          <w:lang w:eastAsia="en-AU"/>
        </w:rPr>
      </w:pPr>
      <w:hyperlink w:anchor="_Toc233036477" w:history="1">
        <w:r w:rsidRPr="00091CC1">
          <w:rPr>
            <w:rStyle w:val="Hyperlink"/>
          </w:rPr>
          <w:t>7.1</w:t>
        </w:r>
        <w:r>
          <w:rPr>
            <w:rFonts w:asciiTheme="minorHAnsi" w:eastAsiaTheme="minorEastAsia" w:hAnsiTheme="minorHAnsi"/>
            <w:b w:val="0"/>
            <w:color w:val="auto"/>
            <w:sz w:val="24"/>
            <w:szCs w:val="24"/>
            <w:lang w:eastAsia="en-AU"/>
          </w:rPr>
          <w:tab/>
        </w:r>
        <w:r w:rsidRPr="00091CC1">
          <w:rPr>
            <w:rStyle w:val="Hyperlink"/>
          </w:rPr>
          <w:t>Volatilisation</w:t>
        </w:r>
        <w:r>
          <w:rPr>
            <w:webHidden/>
          </w:rPr>
          <w:tab/>
        </w:r>
        <w:r>
          <w:rPr>
            <w:webHidden/>
          </w:rPr>
          <w:fldChar w:fldCharType="begin"/>
        </w:r>
        <w:r>
          <w:rPr>
            <w:webHidden/>
          </w:rPr>
          <w:instrText xml:space="preserve"> PAGEREF _Toc233036477 \h </w:instrText>
        </w:r>
        <w:r>
          <w:rPr>
            <w:webHidden/>
          </w:rPr>
        </w:r>
        <w:r>
          <w:rPr>
            <w:webHidden/>
          </w:rPr>
          <w:fldChar w:fldCharType="separate"/>
        </w:r>
        <w:r>
          <w:rPr>
            <w:webHidden/>
          </w:rPr>
          <w:t>117</w:t>
        </w:r>
        <w:r>
          <w:rPr>
            <w:webHidden/>
          </w:rPr>
          <w:fldChar w:fldCharType="end"/>
        </w:r>
      </w:hyperlink>
    </w:p>
    <w:p w14:paraId="67B54450" w14:textId="040C5556"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78" w:history="1">
        <w:r w:rsidRPr="00091CC1">
          <w:rPr>
            <w:rStyle w:val="Hyperlink"/>
          </w:rPr>
          <w:t>8</w:t>
        </w:r>
        <w:r>
          <w:rPr>
            <w:rFonts w:asciiTheme="minorHAnsi" w:eastAsiaTheme="minorEastAsia" w:hAnsiTheme="minorHAnsi" w:cstheme="minorBidi"/>
            <w:bCs w:val="0"/>
            <w:color w:val="auto"/>
            <w:kern w:val="2"/>
            <w:sz w:val="24"/>
            <w:szCs w:val="24"/>
            <w:lang w:eastAsia="en-AU"/>
          </w:rPr>
          <w:tab/>
        </w:r>
        <w:r w:rsidRPr="00091CC1">
          <w:rPr>
            <w:rStyle w:val="Hyperlink"/>
          </w:rPr>
          <w:t>Storage and disposal</w:t>
        </w:r>
        <w:r>
          <w:rPr>
            <w:webHidden/>
          </w:rPr>
          <w:tab/>
        </w:r>
        <w:r>
          <w:rPr>
            <w:webHidden/>
          </w:rPr>
          <w:fldChar w:fldCharType="begin"/>
        </w:r>
        <w:r>
          <w:rPr>
            <w:webHidden/>
          </w:rPr>
          <w:instrText xml:space="preserve"> PAGEREF _Toc233036478 \h </w:instrText>
        </w:r>
        <w:r>
          <w:rPr>
            <w:webHidden/>
          </w:rPr>
        </w:r>
        <w:r>
          <w:rPr>
            <w:webHidden/>
          </w:rPr>
          <w:fldChar w:fldCharType="separate"/>
        </w:r>
        <w:r>
          <w:rPr>
            <w:webHidden/>
          </w:rPr>
          <w:t>119</w:t>
        </w:r>
        <w:r>
          <w:rPr>
            <w:webHidden/>
          </w:rPr>
          <w:fldChar w:fldCharType="end"/>
        </w:r>
      </w:hyperlink>
    </w:p>
    <w:p w14:paraId="300A96D1" w14:textId="73417E59" w:rsidR="003A17E6" w:rsidRDefault="003A17E6">
      <w:pPr>
        <w:pStyle w:val="TOC2"/>
        <w:rPr>
          <w:rFonts w:asciiTheme="minorHAnsi" w:eastAsiaTheme="minorEastAsia" w:hAnsiTheme="minorHAnsi"/>
          <w:b w:val="0"/>
          <w:color w:val="auto"/>
          <w:sz w:val="24"/>
          <w:szCs w:val="24"/>
          <w:lang w:eastAsia="en-AU"/>
        </w:rPr>
      </w:pPr>
      <w:hyperlink w:anchor="_Toc233036479" w:history="1">
        <w:r w:rsidRPr="00091CC1">
          <w:rPr>
            <w:rStyle w:val="Hyperlink"/>
          </w:rPr>
          <w:t>8.1</w:t>
        </w:r>
        <w:r>
          <w:rPr>
            <w:rFonts w:asciiTheme="minorHAnsi" w:eastAsiaTheme="minorEastAsia" w:hAnsiTheme="minorHAnsi"/>
            <w:b w:val="0"/>
            <w:color w:val="auto"/>
            <w:sz w:val="24"/>
            <w:szCs w:val="24"/>
            <w:lang w:eastAsia="en-AU"/>
          </w:rPr>
          <w:tab/>
        </w:r>
        <w:r w:rsidRPr="00091CC1">
          <w:rPr>
            <w:rStyle w:val="Hyperlink"/>
          </w:rPr>
          <w:t>Storage</w:t>
        </w:r>
        <w:r>
          <w:rPr>
            <w:webHidden/>
          </w:rPr>
          <w:tab/>
        </w:r>
        <w:r>
          <w:rPr>
            <w:webHidden/>
          </w:rPr>
          <w:fldChar w:fldCharType="begin"/>
        </w:r>
        <w:r>
          <w:rPr>
            <w:webHidden/>
          </w:rPr>
          <w:instrText xml:space="preserve"> PAGEREF _Toc233036479 \h </w:instrText>
        </w:r>
        <w:r>
          <w:rPr>
            <w:webHidden/>
          </w:rPr>
        </w:r>
        <w:r>
          <w:rPr>
            <w:webHidden/>
          </w:rPr>
          <w:fldChar w:fldCharType="separate"/>
        </w:r>
        <w:r>
          <w:rPr>
            <w:webHidden/>
          </w:rPr>
          <w:t>119</w:t>
        </w:r>
        <w:r>
          <w:rPr>
            <w:webHidden/>
          </w:rPr>
          <w:fldChar w:fldCharType="end"/>
        </w:r>
      </w:hyperlink>
    </w:p>
    <w:p w14:paraId="21489D07" w14:textId="3708242B" w:rsidR="003A17E6" w:rsidRDefault="003A17E6">
      <w:pPr>
        <w:pStyle w:val="TOC2"/>
        <w:rPr>
          <w:rFonts w:asciiTheme="minorHAnsi" w:eastAsiaTheme="minorEastAsia" w:hAnsiTheme="minorHAnsi"/>
          <w:b w:val="0"/>
          <w:color w:val="auto"/>
          <w:sz w:val="24"/>
          <w:szCs w:val="24"/>
          <w:lang w:eastAsia="en-AU"/>
        </w:rPr>
      </w:pPr>
      <w:hyperlink w:anchor="_Toc233036480" w:history="1">
        <w:r w:rsidRPr="00091CC1">
          <w:rPr>
            <w:rStyle w:val="Hyperlink"/>
          </w:rPr>
          <w:t>8.2</w:t>
        </w:r>
        <w:r>
          <w:rPr>
            <w:rFonts w:asciiTheme="minorHAnsi" w:eastAsiaTheme="minorEastAsia" w:hAnsiTheme="minorHAnsi"/>
            <w:b w:val="0"/>
            <w:color w:val="auto"/>
            <w:sz w:val="24"/>
            <w:szCs w:val="24"/>
            <w:lang w:eastAsia="en-AU"/>
          </w:rPr>
          <w:tab/>
        </w:r>
        <w:r w:rsidRPr="00091CC1">
          <w:rPr>
            <w:rStyle w:val="Hyperlink"/>
          </w:rPr>
          <w:t>Disposal</w:t>
        </w:r>
        <w:r>
          <w:rPr>
            <w:webHidden/>
          </w:rPr>
          <w:tab/>
        </w:r>
        <w:r>
          <w:rPr>
            <w:webHidden/>
          </w:rPr>
          <w:fldChar w:fldCharType="begin"/>
        </w:r>
        <w:r>
          <w:rPr>
            <w:webHidden/>
          </w:rPr>
          <w:instrText xml:space="preserve"> PAGEREF _Toc233036480 \h </w:instrText>
        </w:r>
        <w:r>
          <w:rPr>
            <w:webHidden/>
          </w:rPr>
        </w:r>
        <w:r>
          <w:rPr>
            <w:webHidden/>
          </w:rPr>
          <w:fldChar w:fldCharType="separate"/>
        </w:r>
        <w:r>
          <w:rPr>
            <w:webHidden/>
          </w:rPr>
          <w:t>119</w:t>
        </w:r>
        <w:r>
          <w:rPr>
            <w:webHidden/>
          </w:rPr>
          <w:fldChar w:fldCharType="end"/>
        </w:r>
      </w:hyperlink>
    </w:p>
    <w:p w14:paraId="79BCEBDB" w14:textId="63351849"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1" w:history="1">
        <w:r w:rsidRPr="00091CC1">
          <w:rPr>
            <w:rStyle w:val="Hyperlink"/>
          </w:rPr>
          <w:t>Appendix A – Summary of assessment outcomes</w:t>
        </w:r>
        <w:r>
          <w:rPr>
            <w:webHidden/>
          </w:rPr>
          <w:tab/>
        </w:r>
        <w:r>
          <w:rPr>
            <w:webHidden/>
          </w:rPr>
          <w:fldChar w:fldCharType="begin"/>
        </w:r>
        <w:r>
          <w:rPr>
            <w:webHidden/>
          </w:rPr>
          <w:instrText xml:space="preserve"> PAGEREF _Toc233036481 \h </w:instrText>
        </w:r>
        <w:r>
          <w:rPr>
            <w:webHidden/>
          </w:rPr>
        </w:r>
        <w:r>
          <w:rPr>
            <w:webHidden/>
          </w:rPr>
          <w:fldChar w:fldCharType="separate"/>
        </w:r>
        <w:r>
          <w:rPr>
            <w:webHidden/>
          </w:rPr>
          <w:t>121</w:t>
        </w:r>
        <w:r>
          <w:rPr>
            <w:webHidden/>
          </w:rPr>
          <w:fldChar w:fldCharType="end"/>
        </w:r>
      </w:hyperlink>
    </w:p>
    <w:p w14:paraId="5FB13A5A" w14:textId="7DD48A8B"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2" w:history="1">
        <w:r w:rsidRPr="00091CC1">
          <w:rPr>
            <w:rStyle w:val="Hyperlink"/>
          </w:rPr>
          <w:t>Appendix B – Listing of environmental endpoints</w:t>
        </w:r>
        <w:r>
          <w:rPr>
            <w:webHidden/>
          </w:rPr>
          <w:tab/>
        </w:r>
        <w:r>
          <w:rPr>
            <w:webHidden/>
          </w:rPr>
          <w:fldChar w:fldCharType="begin"/>
        </w:r>
        <w:r>
          <w:rPr>
            <w:webHidden/>
          </w:rPr>
          <w:instrText xml:space="preserve"> PAGEREF _Toc233036482 \h </w:instrText>
        </w:r>
        <w:r>
          <w:rPr>
            <w:webHidden/>
          </w:rPr>
        </w:r>
        <w:r>
          <w:rPr>
            <w:webHidden/>
          </w:rPr>
          <w:fldChar w:fldCharType="separate"/>
        </w:r>
        <w:r>
          <w:rPr>
            <w:webHidden/>
          </w:rPr>
          <w:t>138</w:t>
        </w:r>
        <w:r>
          <w:rPr>
            <w:webHidden/>
          </w:rPr>
          <w:fldChar w:fldCharType="end"/>
        </w:r>
      </w:hyperlink>
    </w:p>
    <w:p w14:paraId="2D186A09" w14:textId="25A3BA42"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3" w:history="1">
        <w:r w:rsidRPr="00091CC1">
          <w:rPr>
            <w:rStyle w:val="Hyperlink"/>
          </w:rPr>
          <w:t>Appendix C – Terrestrial vertebrate assessments</w:t>
        </w:r>
        <w:r>
          <w:rPr>
            <w:webHidden/>
          </w:rPr>
          <w:tab/>
        </w:r>
        <w:r>
          <w:rPr>
            <w:webHidden/>
          </w:rPr>
          <w:fldChar w:fldCharType="begin"/>
        </w:r>
        <w:r>
          <w:rPr>
            <w:webHidden/>
          </w:rPr>
          <w:instrText xml:space="preserve"> PAGEREF _Toc233036483 \h </w:instrText>
        </w:r>
        <w:r>
          <w:rPr>
            <w:webHidden/>
          </w:rPr>
        </w:r>
        <w:r>
          <w:rPr>
            <w:webHidden/>
          </w:rPr>
          <w:fldChar w:fldCharType="separate"/>
        </w:r>
        <w:r>
          <w:rPr>
            <w:webHidden/>
          </w:rPr>
          <w:t>150</w:t>
        </w:r>
        <w:r>
          <w:rPr>
            <w:webHidden/>
          </w:rPr>
          <w:fldChar w:fldCharType="end"/>
        </w:r>
      </w:hyperlink>
    </w:p>
    <w:p w14:paraId="1CA89EDB" w14:textId="052E042E"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4" w:history="1">
        <w:r w:rsidRPr="00091CC1">
          <w:rPr>
            <w:rStyle w:val="Hyperlink"/>
          </w:rPr>
          <w:t>Appendix D – PBT and POP assessments</w:t>
        </w:r>
        <w:r>
          <w:rPr>
            <w:webHidden/>
          </w:rPr>
          <w:tab/>
        </w:r>
        <w:r>
          <w:rPr>
            <w:webHidden/>
          </w:rPr>
          <w:fldChar w:fldCharType="begin"/>
        </w:r>
        <w:r>
          <w:rPr>
            <w:webHidden/>
          </w:rPr>
          <w:instrText xml:space="preserve"> PAGEREF _Toc233036484 \h </w:instrText>
        </w:r>
        <w:r>
          <w:rPr>
            <w:webHidden/>
          </w:rPr>
        </w:r>
        <w:r>
          <w:rPr>
            <w:webHidden/>
          </w:rPr>
          <w:fldChar w:fldCharType="separate"/>
        </w:r>
        <w:r>
          <w:rPr>
            <w:webHidden/>
          </w:rPr>
          <w:t>191</w:t>
        </w:r>
        <w:r>
          <w:rPr>
            <w:webHidden/>
          </w:rPr>
          <w:fldChar w:fldCharType="end"/>
        </w:r>
      </w:hyperlink>
    </w:p>
    <w:p w14:paraId="0BE30B42" w14:textId="61612D64"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5" w:history="1">
        <w:r w:rsidRPr="00091CC1">
          <w:rPr>
            <w:rStyle w:val="Hyperlink"/>
          </w:rPr>
          <w:t>Acronyms and abbreviations</w:t>
        </w:r>
        <w:r>
          <w:rPr>
            <w:webHidden/>
          </w:rPr>
          <w:tab/>
        </w:r>
        <w:r>
          <w:rPr>
            <w:webHidden/>
          </w:rPr>
          <w:fldChar w:fldCharType="begin"/>
        </w:r>
        <w:r>
          <w:rPr>
            <w:webHidden/>
          </w:rPr>
          <w:instrText xml:space="preserve"> PAGEREF _Toc233036485 \h </w:instrText>
        </w:r>
        <w:r>
          <w:rPr>
            <w:webHidden/>
          </w:rPr>
        </w:r>
        <w:r>
          <w:rPr>
            <w:webHidden/>
          </w:rPr>
          <w:fldChar w:fldCharType="separate"/>
        </w:r>
        <w:r>
          <w:rPr>
            <w:webHidden/>
          </w:rPr>
          <w:t>193</w:t>
        </w:r>
        <w:r>
          <w:rPr>
            <w:webHidden/>
          </w:rPr>
          <w:fldChar w:fldCharType="end"/>
        </w:r>
      </w:hyperlink>
    </w:p>
    <w:p w14:paraId="20339255" w14:textId="5E08E451"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6" w:history="1">
        <w:r w:rsidRPr="00091CC1">
          <w:rPr>
            <w:rStyle w:val="Hyperlink"/>
          </w:rPr>
          <w:t>Glossary</w:t>
        </w:r>
        <w:r>
          <w:rPr>
            <w:webHidden/>
          </w:rPr>
          <w:tab/>
        </w:r>
        <w:r>
          <w:rPr>
            <w:webHidden/>
          </w:rPr>
          <w:fldChar w:fldCharType="begin"/>
        </w:r>
        <w:r>
          <w:rPr>
            <w:webHidden/>
          </w:rPr>
          <w:instrText xml:space="preserve"> PAGEREF _Toc233036486 \h </w:instrText>
        </w:r>
        <w:r>
          <w:rPr>
            <w:webHidden/>
          </w:rPr>
        </w:r>
        <w:r>
          <w:rPr>
            <w:webHidden/>
          </w:rPr>
          <w:fldChar w:fldCharType="separate"/>
        </w:r>
        <w:r>
          <w:rPr>
            <w:webHidden/>
          </w:rPr>
          <w:t>197</w:t>
        </w:r>
        <w:r>
          <w:rPr>
            <w:webHidden/>
          </w:rPr>
          <w:fldChar w:fldCharType="end"/>
        </w:r>
      </w:hyperlink>
    </w:p>
    <w:p w14:paraId="758198EC" w14:textId="2A5B4BA0" w:rsidR="003A17E6" w:rsidRDefault="003A17E6">
      <w:pPr>
        <w:pStyle w:val="TOC1"/>
        <w:rPr>
          <w:rFonts w:asciiTheme="minorHAnsi" w:eastAsiaTheme="minorEastAsia" w:hAnsiTheme="minorHAnsi" w:cstheme="minorBidi"/>
          <w:bCs w:val="0"/>
          <w:color w:val="auto"/>
          <w:kern w:val="2"/>
          <w:sz w:val="24"/>
          <w:szCs w:val="24"/>
          <w:lang w:eastAsia="en-AU"/>
        </w:rPr>
      </w:pPr>
      <w:hyperlink w:anchor="_Toc233036487" w:history="1">
        <w:r w:rsidRPr="00091CC1">
          <w:rPr>
            <w:rStyle w:val="Hyperlink"/>
          </w:rPr>
          <w:t>References</w:t>
        </w:r>
        <w:r>
          <w:rPr>
            <w:webHidden/>
          </w:rPr>
          <w:tab/>
        </w:r>
        <w:r>
          <w:rPr>
            <w:webHidden/>
          </w:rPr>
          <w:fldChar w:fldCharType="begin"/>
        </w:r>
        <w:r>
          <w:rPr>
            <w:webHidden/>
          </w:rPr>
          <w:instrText xml:space="preserve"> PAGEREF _Toc233036487 \h </w:instrText>
        </w:r>
        <w:r>
          <w:rPr>
            <w:webHidden/>
          </w:rPr>
        </w:r>
        <w:r>
          <w:rPr>
            <w:webHidden/>
          </w:rPr>
          <w:fldChar w:fldCharType="separate"/>
        </w:r>
        <w:r>
          <w:rPr>
            <w:webHidden/>
          </w:rPr>
          <w:t>201</w:t>
        </w:r>
        <w:r>
          <w:rPr>
            <w:webHidden/>
          </w:rPr>
          <w:fldChar w:fldCharType="end"/>
        </w:r>
      </w:hyperlink>
    </w:p>
    <w:p w14:paraId="0A7614F9" w14:textId="77777777" w:rsidR="003A17E6" w:rsidRDefault="00585F97" w:rsidP="00841C5F">
      <w:pPr>
        <w:pStyle w:val="TOCH1"/>
        <w:spacing w:before="500"/>
        <w:rPr>
          <w:noProof/>
        </w:rPr>
      </w:pPr>
      <w:r>
        <w:rPr>
          <w:bCs w:val="0"/>
          <w:noProof/>
          <w:color w:val="53284F"/>
          <w:sz w:val="20"/>
          <w:szCs w:val="30"/>
        </w:rPr>
        <w:fldChar w:fldCharType="end"/>
      </w:r>
      <w:r w:rsidR="00841C5F" w:rsidRPr="00FB0015">
        <w:rPr>
          <w:noProof/>
        </w:rPr>
        <w:t>List of tables</w:t>
      </w:r>
      <w:r w:rsidR="00841C5F">
        <w:rPr>
          <w:noProof/>
          <w:color w:val="00747A" w:themeColor="background2"/>
        </w:rPr>
        <w:fldChar w:fldCharType="begin"/>
      </w:r>
      <w:r w:rsidR="00841C5F">
        <w:rPr>
          <w:noProof/>
          <w:color w:val="00747A" w:themeColor="background2"/>
        </w:rPr>
        <w:instrText xml:space="preserve"> TOC \h \z \c "Table" </w:instrText>
      </w:r>
      <w:r w:rsidR="00841C5F">
        <w:rPr>
          <w:noProof/>
          <w:color w:val="00747A" w:themeColor="background2"/>
        </w:rPr>
        <w:fldChar w:fldCharType="separate"/>
      </w:r>
    </w:p>
    <w:p w14:paraId="6F0F5591" w14:textId="2C1B5E73" w:rsidR="003A17E6" w:rsidRDefault="003A17E6">
      <w:pPr>
        <w:pStyle w:val="TableofFigures"/>
        <w:rPr>
          <w:rFonts w:asciiTheme="minorHAnsi" w:eastAsiaTheme="minorEastAsia" w:hAnsiTheme="minorHAnsi"/>
          <w:sz w:val="24"/>
          <w:szCs w:val="24"/>
          <w:lang w:eastAsia="en-AU"/>
        </w:rPr>
      </w:pPr>
      <w:hyperlink w:anchor="_Toc233036488" w:history="1">
        <w:r w:rsidRPr="0083626E">
          <w:rPr>
            <w:rStyle w:val="Hyperlink"/>
          </w:rPr>
          <w:t>Table 1: Paraquat product groups within scope of reconsideration</w:t>
        </w:r>
        <w:r>
          <w:rPr>
            <w:webHidden/>
          </w:rPr>
          <w:tab/>
        </w:r>
        <w:r>
          <w:rPr>
            <w:webHidden/>
          </w:rPr>
          <w:fldChar w:fldCharType="begin"/>
        </w:r>
        <w:r>
          <w:rPr>
            <w:webHidden/>
          </w:rPr>
          <w:instrText xml:space="preserve"> PAGEREF _Toc233036488 \h </w:instrText>
        </w:r>
        <w:r>
          <w:rPr>
            <w:webHidden/>
          </w:rPr>
        </w:r>
        <w:r>
          <w:rPr>
            <w:webHidden/>
          </w:rPr>
          <w:fldChar w:fldCharType="separate"/>
        </w:r>
        <w:r>
          <w:rPr>
            <w:webHidden/>
          </w:rPr>
          <w:t>5</w:t>
        </w:r>
        <w:r>
          <w:rPr>
            <w:webHidden/>
          </w:rPr>
          <w:fldChar w:fldCharType="end"/>
        </w:r>
      </w:hyperlink>
    </w:p>
    <w:p w14:paraId="3A5295F6" w14:textId="606F97F8" w:rsidR="003A17E6" w:rsidRDefault="003A17E6">
      <w:pPr>
        <w:pStyle w:val="TableofFigures"/>
        <w:rPr>
          <w:rFonts w:asciiTheme="minorHAnsi" w:eastAsiaTheme="minorEastAsia" w:hAnsiTheme="minorHAnsi"/>
          <w:sz w:val="24"/>
          <w:szCs w:val="24"/>
          <w:lang w:eastAsia="en-AU"/>
        </w:rPr>
      </w:pPr>
      <w:hyperlink w:anchor="_Toc233036489" w:history="1">
        <w:r w:rsidRPr="0083626E">
          <w:rPr>
            <w:rStyle w:val="Hyperlink"/>
          </w:rPr>
          <w:t>Table 2: Nomenclature and structural formula of the active constituent paraquat dichloride</w:t>
        </w:r>
        <w:r>
          <w:rPr>
            <w:webHidden/>
          </w:rPr>
          <w:tab/>
        </w:r>
        <w:r>
          <w:rPr>
            <w:webHidden/>
          </w:rPr>
          <w:fldChar w:fldCharType="begin"/>
        </w:r>
        <w:r>
          <w:rPr>
            <w:webHidden/>
          </w:rPr>
          <w:instrText xml:space="preserve"> PAGEREF _Toc233036489 \h </w:instrText>
        </w:r>
        <w:r>
          <w:rPr>
            <w:webHidden/>
          </w:rPr>
        </w:r>
        <w:r>
          <w:rPr>
            <w:webHidden/>
          </w:rPr>
          <w:fldChar w:fldCharType="separate"/>
        </w:r>
        <w:r>
          <w:rPr>
            <w:webHidden/>
          </w:rPr>
          <w:t>7</w:t>
        </w:r>
        <w:r>
          <w:rPr>
            <w:webHidden/>
          </w:rPr>
          <w:fldChar w:fldCharType="end"/>
        </w:r>
      </w:hyperlink>
    </w:p>
    <w:p w14:paraId="0D4FC2A1" w14:textId="307553FE" w:rsidR="003A17E6" w:rsidRDefault="003A17E6">
      <w:pPr>
        <w:pStyle w:val="TableofFigures"/>
        <w:rPr>
          <w:rFonts w:asciiTheme="minorHAnsi" w:eastAsiaTheme="minorEastAsia" w:hAnsiTheme="minorHAnsi"/>
          <w:sz w:val="24"/>
          <w:szCs w:val="24"/>
          <w:lang w:eastAsia="en-AU"/>
        </w:rPr>
      </w:pPr>
      <w:hyperlink w:anchor="_Toc233036490" w:history="1">
        <w:r w:rsidRPr="0083626E">
          <w:rPr>
            <w:rStyle w:val="Hyperlink"/>
          </w:rPr>
          <w:t>Table 3: Key physicochemical properties of the active constituent paraquat dichloride</w:t>
        </w:r>
        <w:r>
          <w:rPr>
            <w:webHidden/>
          </w:rPr>
          <w:tab/>
        </w:r>
        <w:r>
          <w:rPr>
            <w:webHidden/>
          </w:rPr>
          <w:fldChar w:fldCharType="begin"/>
        </w:r>
        <w:r>
          <w:rPr>
            <w:webHidden/>
          </w:rPr>
          <w:instrText xml:space="preserve"> PAGEREF _Toc233036490 \h </w:instrText>
        </w:r>
        <w:r>
          <w:rPr>
            <w:webHidden/>
          </w:rPr>
        </w:r>
        <w:r>
          <w:rPr>
            <w:webHidden/>
          </w:rPr>
          <w:fldChar w:fldCharType="separate"/>
        </w:r>
        <w:r>
          <w:rPr>
            <w:webHidden/>
          </w:rPr>
          <w:t>8</w:t>
        </w:r>
        <w:r>
          <w:rPr>
            <w:webHidden/>
          </w:rPr>
          <w:fldChar w:fldCharType="end"/>
        </w:r>
      </w:hyperlink>
    </w:p>
    <w:p w14:paraId="47EA602C" w14:textId="1F198098" w:rsidR="003A17E6" w:rsidRDefault="003A17E6">
      <w:pPr>
        <w:pStyle w:val="TableofFigures"/>
        <w:rPr>
          <w:rFonts w:asciiTheme="minorHAnsi" w:eastAsiaTheme="minorEastAsia" w:hAnsiTheme="minorHAnsi"/>
          <w:sz w:val="24"/>
          <w:szCs w:val="24"/>
          <w:lang w:eastAsia="en-AU"/>
        </w:rPr>
      </w:pPr>
      <w:hyperlink w:anchor="_Toc233036491" w:history="1">
        <w:r w:rsidRPr="0083626E">
          <w:rPr>
            <w:rStyle w:val="Hyperlink"/>
          </w:rPr>
          <w:t>Table 4: Current paraquat active constituent approvals</w:t>
        </w:r>
        <w:r>
          <w:rPr>
            <w:webHidden/>
          </w:rPr>
          <w:tab/>
        </w:r>
        <w:r>
          <w:rPr>
            <w:webHidden/>
          </w:rPr>
          <w:fldChar w:fldCharType="begin"/>
        </w:r>
        <w:r>
          <w:rPr>
            <w:webHidden/>
          </w:rPr>
          <w:instrText xml:space="preserve"> PAGEREF _Toc233036491 \h </w:instrText>
        </w:r>
        <w:r>
          <w:rPr>
            <w:webHidden/>
          </w:rPr>
        </w:r>
        <w:r>
          <w:rPr>
            <w:webHidden/>
          </w:rPr>
          <w:fldChar w:fldCharType="separate"/>
        </w:r>
        <w:r>
          <w:rPr>
            <w:webHidden/>
          </w:rPr>
          <w:t>11</w:t>
        </w:r>
        <w:r>
          <w:rPr>
            <w:webHidden/>
          </w:rPr>
          <w:fldChar w:fldCharType="end"/>
        </w:r>
      </w:hyperlink>
    </w:p>
    <w:p w14:paraId="05784EFB" w14:textId="7BC2F847" w:rsidR="003A17E6" w:rsidRDefault="003A17E6">
      <w:pPr>
        <w:pStyle w:val="TableofFigures"/>
        <w:rPr>
          <w:rFonts w:asciiTheme="minorHAnsi" w:eastAsiaTheme="minorEastAsia" w:hAnsiTheme="minorHAnsi"/>
          <w:sz w:val="24"/>
          <w:szCs w:val="24"/>
          <w:lang w:eastAsia="en-AU"/>
        </w:rPr>
      </w:pPr>
      <w:hyperlink w:anchor="_Toc233036492" w:history="1">
        <w:r w:rsidRPr="0083626E">
          <w:rPr>
            <w:rStyle w:val="Hyperlink"/>
          </w:rPr>
          <w:t>Table 5: Currently registered agricultural products containing paraquat</w:t>
        </w:r>
        <w:r>
          <w:rPr>
            <w:webHidden/>
          </w:rPr>
          <w:tab/>
        </w:r>
        <w:r>
          <w:rPr>
            <w:webHidden/>
          </w:rPr>
          <w:fldChar w:fldCharType="begin"/>
        </w:r>
        <w:r>
          <w:rPr>
            <w:webHidden/>
          </w:rPr>
          <w:instrText xml:space="preserve"> PAGEREF _Toc233036492 \h </w:instrText>
        </w:r>
        <w:r>
          <w:rPr>
            <w:webHidden/>
          </w:rPr>
        </w:r>
        <w:r>
          <w:rPr>
            <w:webHidden/>
          </w:rPr>
          <w:fldChar w:fldCharType="separate"/>
        </w:r>
        <w:r>
          <w:rPr>
            <w:webHidden/>
          </w:rPr>
          <w:t>12</w:t>
        </w:r>
        <w:r>
          <w:rPr>
            <w:webHidden/>
          </w:rPr>
          <w:fldChar w:fldCharType="end"/>
        </w:r>
      </w:hyperlink>
    </w:p>
    <w:p w14:paraId="737AA23C" w14:textId="1A3376DE" w:rsidR="003A17E6" w:rsidRDefault="003A17E6">
      <w:pPr>
        <w:pStyle w:val="TableofFigures"/>
        <w:rPr>
          <w:rFonts w:asciiTheme="minorHAnsi" w:eastAsiaTheme="minorEastAsia" w:hAnsiTheme="minorHAnsi"/>
          <w:sz w:val="24"/>
          <w:szCs w:val="24"/>
          <w:lang w:eastAsia="en-AU"/>
        </w:rPr>
      </w:pPr>
      <w:hyperlink w:anchor="_Toc233036493" w:history="1">
        <w:r w:rsidRPr="0083626E">
          <w:rPr>
            <w:rStyle w:val="Hyperlink"/>
          </w:rPr>
          <w:t>Table 6: Points of Departure for Human Health Risk Assessment</w:t>
        </w:r>
        <w:r>
          <w:rPr>
            <w:webHidden/>
          </w:rPr>
          <w:tab/>
        </w:r>
        <w:r>
          <w:rPr>
            <w:webHidden/>
          </w:rPr>
          <w:fldChar w:fldCharType="begin"/>
        </w:r>
        <w:r>
          <w:rPr>
            <w:webHidden/>
          </w:rPr>
          <w:instrText xml:space="preserve"> PAGEREF _Toc233036493 \h </w:instrText>
        </w:r>
        <w:r>
          <w:rPr>
            <w:webHidden/>
          </w:rPr>
        </w:r>
        <w:r>
          <w:rPr>
            <w:webHidden/>
          </w:rPr>
          <w:fldChar w:fldCharType="separate"/>
        </w:r>
        <w:r>
          <w:rPr>
            <w:webHidden/>
          </w:rPr>
          <w:t>26</w:t>
        </w:r>
        <w:r>
          <w:rPr>
            <w:webHidden/>
          </w:rPr>
          <w:fldChar w:fldCharType="end"/>
        </w:r>
      </w:hyperlink>
    </w:p>
    <w:p w14:paraId="42AEDAB2" w14:textId="6C5BE148" w:rsidR="003A17E6" w:rsidRDefault="003A17E6">
      <w:pPr>
        <w:pStyle w:val="TableofFigures"/>
        <w:rPr>
          <w:rFonts w:asciiTheme="minorHAnsi" w:eastAsiaTheme="minorEastAsia" w:hAnsiTheme="minorHAnsi"/>
          <w:sz w:val="24"/>
          <w:szCs w:val="24"/>
          <w:lang w:eastAsia="en-AU"/>
        </w:rPr>
      </w:pPr>
      <w:hyperlink w:anchor="_Toc233036494" w:history="1">
        <w:r w:rsidRPr="0083626E">
          <w:rPr>
            <w:rStyle w:val="Hyperlink"/>
          </w:rPr>
          <w:t>Table 7: Acceptable daily intake for paraquat</w:t>
        </w:r>
        <w:r>
          <w:rPr>
            <w:webHidden/>
          </w:rPr>
          <w:tab/>
        </w:r>
        <w:r>
          <w:rPr>
            <w:webHidden/>
          </w:rPr>
          <w:fldChar w:fldCharType="begin"/>
        </w:r>
        <w:r>
          <w:rPr>
            <w:webHidden/>
          </w:rPr>
          <w:instrText xml:space="preserve"> PAGEREF _Toc233036494 \h </w:instrText>
        </w:r>
        <w:r>
          <w:rPr>
            <w:webHidden/>
          </w:rPr>
        </w:r>
        <w:r>
          <w:rPr>
            <w:webHidden/>
          </w:rPr>
          <w:fldChar w:fldCharType="separate"/>
        </w:r>
        <w:r>
          <w:rPr>
            <w:webHidden/>
          </w:rPr>
          <w:t>27</w:t>
        </w:r>
        <w:r>
          <w:rPr>
            <w:webHidden/>
          </w:rPr>
          <w:fldChar w:fldCharType="end"/>
        </w:r>
      </w:hyperlink>
    </w:p>
    <w:p w14:paraId="4908C517" w14:textId="43352395" w:rsidR="003A17E6" w:rsidRDefault="003A17E6">
      <w:pPr>
        <w:pStyle w:val="TableofFigures"/>
        <w:rPr>
          <w:rFonts w:asciiTheme="minorHAnsi" w:eastAsiaTheme="minorEastAsia" w:hAnsiTheme="minorHAnsi"/>
          <w:sz w:val="24"/>
          <w:szCs w:val="24"/>
          <w:lang w:eastAsia="en-AU"/>
        </w:rPr>
      </w:pPr>
      <w:hyperlink w:anchor="_Toc233036495" w:history="1">
        <w:r w:rsidRPr="0083626E">
          <w:rPr>
            <w:rStyle w:val="Hyperlink"/>
          </w:rPr>
          <w:t>Table 8: Acute reference dose for paraquat</w:t>
        </w:r>
        <w:r>
          <w:rPr>
            <w:webHidden/>
          </w:rPr>
          <w:tab/>
        </w:r>
        <w:r>
          <w:rPr>
            <w:webHidden/>
          </w:rPr>
          <w:fldChar w:fldCharType="begin"/>
        </w:r>
        <w:r>
          <w:rPr>
            <w:webHidden/>
          </w:rPr>
          <w:instrText xml:space="preserve"> PAGEREF _Toc233036495 \h </w:instrText>
        </w:r>
        <w:r>
          <w:rPr>
            <w:webHidden/>
          </w:rPr>
        </w:r>
        <w:r>
          <w:rPr>
            <w:webHidden/>
          </w:rPr>
          <w:fldChar w:fldCharType="separate"/>
        </w:r>
        <w:r>
          <w:rPr>
            <w:webHidden/>
          </w:rPr>
          <w:t>28</w:t>
        </w:r>
        <w:r>
          <w:rPr>
            <w:webHidden/>
          </w:rPr>
          <w:fldChar w:fldCharType="end"/>
        </w:r>
      </w:hyperlink>
    </w:p>
    <w:p w14:paraId="707DE8CE" w14:textId="4C566E58" w:rsidR="003A17E6" w:rsidRDefault="003A17E6">
      <w:pPr>
        <w:pStyle w:val="TableofFigures"/>
        <w:rPr>
          <w:rFonts w:asciiTheme="minorHAnsi" w:eastAsiaTheme="minorEastAsia" w:hAnsiTheme="minorHAnsi"/>
          <w:sz w:val="24"/>
          <w:szCs w:val="24"/>
          <w:lang w:eastAsia="en-AU"/>
        </w:rPr>
      </w:pPr>
      <w:hyperlink w:anchor="_Toc233036496" w:history="1">
        <w:r w:rsidRPr="0083626E">
          <w:rPr>
            <w:rStyle w:val="Hyperlink"/>
          </w:rPr>
          <w:t>Table 9: Assumptions used in modelling exposure for professional use of paraquat products and paraquat plus diquat products</w:t>
        </w:r>
        <w:r>
          <w:rPr>
            <w:webHidden/>
          </w:rPr>
          <w:tab/>
        </w:r>
        <w:r>
          <w:rPr>
            <w:webHidden/>
          </w:rPr>
          <w:fldChar w:fldCharType="begin"/>
        </w:r>
        <w:r>
          <w:rPr>
            <w:webHidden/>
          </w:rPr>
          <w:instrText xml:space="preserve"> PAGEREF _Toc233036496 \h </w:instrText>
        </w:r>
        <w:r>
          <w:rPr>
            <w:webHidden/>
          </w:rPr>
        </w:r>
        <w:r>
          <w:rPr>
            <w:webHidden/>
          </w:rPr>
          <w:fldChar w:fldCharType="separate"/>
        </w:r>
        <w:r>
          <w:rPr>
            <w:webHidden/>
          </w:rPr>
          <w:t>30</w:t>
        </w:r>
        <w:r>
          <w:rPr>
            <w:webHidden/>
          </w:rPr>
          <w:fldChar w:fldCharType="end"/>
        </w:r>
      </w:hyperlink>
    </w:p>
    <w:p w14:paraId="295924CB" w14:textId="20ECE6AD" w:rsidR="003A17E6" w:rsidRDefault="003A17E6">
      <w:pPr>
        <w:pStyle w:val="TableofFigures"/>
        <w:rPr>
          <w:rFonts w:asciiTheme="minorHAnsi" w:eastAsiaTheme="minorEastAsia" w:hAnsiTheme="minorHAnsi"/>
          <w:sz w:val="24"/>
          <w:szCs w:val="24"/>
          <w:lang w:eastAsia="en-AU"/>
        </w:rPr>
      </w:pPr>
      <w:hyperlink w:anchor="_Toc233036497" w:history="1">
        <w:r w:rsidRPr="0083626E">
          <w:rPr>
            <w:rStyle w:val="Hyperlink"/>
          </w:rPr>
          <w:t>Table 10: Risk assessment outcomes for liquid paraquat products</w:t>
        </w:r>
        <w:r>
          <w:rPr>
            <w:webHidden/>
          </w:rPr>
          <w:tab/>
        </w:r>
        <w:r>
          <w:rPr>
            <w:webHidden/>
          </w:rPr>
          <w:fldChar w:fldCharType="begin"/>
        </w:r>
        <w:r>
          <w:rPr>
            <w:webHidden/>
          </w:rPr>
          <w:instrText xml:space="preserve"> PAGEREF _Toc233036497 \h </w:instrText>
        </w:r>
        <w:r>
          <w:rPr>
            <w:webHidden/>
          </w:rPr>
        </w:r>
        <w:r>
          <w:rPr>
            <w:webHidden/>
          </w:rPr>
          <w:fldChar w:fldCharType="separate"/>
        </w:r>
        <w:r>
          <w:rPr>
            <w:webHidden/>
          </w:rPr>
          <w:t>32</w:t>
        </w:r>
        <w:r>
          <w:rPr>
            <w:webHidden/>
          </w:rPr>
          <w:fldChar w:fldCharType="end"/>
        </w:r>
      </w:hyperlink>
    </w:p>
    <w:p w14:paraId="5BE54042" w14:textId="1144EE93" w:rsidR="003A17E6" w:rsidRDefault="003A17E6">
      <w:pPr>
        <w:pStyle w:val="TableofFigures"/>
        <w:rPr>
          <w:rFonts w:asciiTheme="minorHAnsi" w:eastAsiaTheme="minorEastAsia" w:hAnsiTheme="minorHAnsi"/>
          <w:sz w:val="24"/>
          <w:szCs w:val="24"/>
          <w:lang w:eastAsia="en-AU"/>
        </w:rPr>
      </w:pPr>
      <w:hyperlink w:anchor="_Toc233036498" w:history="1">
        <w:r w:rsidRPr="0083626E">
          <w:rPr>
            <w:rStyle w:val="Hyperlink"/>
          </w:rPr>
          <w:t>Table 11: Risk assessment outcomes for liquid 135 g/L paraquat plus 115 g/L diquat products</w:t>
        </w:r>
        <w:r>
          <w:rPr>
            <w:webHidden/>
          </w:rPr>
          <w:tab/>
        </w:r>
        <w:r>
          <w:rPr>
            <w:webHidden/>
          </w:rPr>
          <w:fldChar w:fldCharType="begin"/>
        </w:r>
        <w:r>
          <w:rPr>
            <w:webHidden/>
          </w:rPr>
          <w:instrText xml:space="preserve"> PAGEREF _Toc233036498 \h </w:instrText>
        </w:r>
        <w:r>
          <w:rPr>
            <w:webHidden/>
          </w:rPr>
        </w:r>
        <w:r>
          <w:rPr>
            <w:webHidden/>
          </w:rPr>
          <w:fldChar w:fldCharType="separate"/>
        </w:r>
        <w:r>
          <w:rPr>
            <w:webHidden/>
          </w:rPr>
          <w:t>33</w:t>
        </w:r>
        <w:r>
          <w:rPr>
            <w:webHidden/>
          </w:rPr>
          <w:fldChar w:fldCharType="end"/>
        </w:r>
      </w:hyperlink>
    </w:p>
    <w:p w14:paraId="04DF0CE1" w14:textId="21A1EBE8" w:rsidR="003A17E6" w:rsidRDefault="003A17E6">
      <w:pPr>
        <w:pStyle w:val="TableofFigures"/>
        <w:rPr>
          <w:rFonts w:asciiTheme="minorHAnsi" w:eastAsiaTheme="minorEastAsia" w:hAnsiTheme="minorHAnsi"/>
          <w:sz w:val="24"/>
          <w:szCs w:val="24"/>
          <w:lang w:eastAsia="en-AU"/>
        </w:rPr>
      </w:pPr>
      <w:hyperlink w:anchor="_Toc233036499" w:history="1">
        <w:r w:rsidRPr="0083626E">
          <w:rPr>
            <w:rStyle w:val="Hyperlink"/>
          </w:rPr>
          <w:t>Table 12: Re-entry intervals for paraquat products</w:t>
        </w:r>
        <w:r>
          <w:rPr>
            <w:webHidden/>
          </w:rPr>
          <w:tab/>
        </w:r>
        <w:r>
          <w:rPr>
            <w:webHidden/>
          </w:rPr>
          <w:fldChar w:fldCharType="begin"/>
        </w:r>
        <w:r>
          <w:rPr>
            <w:webHidden/>
          </w:rPr>
          <w:instrText xml:space="preserve"> PAGEREF _Toc233036499 \h </w:instrText>
        </w:r>
        <w:r>
          <w:rPr>
            <w:webHidden/>
          </w:rPr>
        </w:r>
        <w:r>
          <w:rPr>
            <w:webHidden/>
          </w:rPr>
          <w:fldChar w:fldCharType="separate"/>
        </w:r>
        <w:r>
          <w:rPr>
            <w:webHidden/>
          </w:rPr>
          <w:t>34</w:t>
        </w:r>
        <w:r>
          <w:rPr>
            <w:webHidden/>
          </w:rPr>
          <w:fldChar w:fldCharType="end"/>
        </w:r>
      </w:hyperlink>
    </w:p>
    <w:p w14:paraId="7BFDD29A" w14:textId="50B52B00" w:rsidR="003A17E6" w:rsidRDefault="003A17E6">
      <w:pPr>
        <w:pStyle w:val="TableofFigures"/>
        <w:rPr>
          <w:rFonts w:asciiTheme="minorHAnsi" w:eastAsiaTheme="minorEastAsia" w:hAnsiTheme="minorHAnsi"/>
          <w:sz w:val="24"/>
          <w:szCs w:val="24"/>
          <w:lang w:eastAsia="en-AU"/>
        </w:rPr>
      </w:pPr>
      <w:hyperlink w:anchor="_Toc233036500" w:history="1">
        <w:r w:rsidRPr="0083626E">
          <w:rPr>
            <w:rStyle w:val="Hyperlink"/>
          </w:rPr>
          <w:t>Table 13: Re-entry intervals for 135 g/L paraquat plus 115 g/L diquat products</w:t>
        </w:r>
        <w:r>
          <w:rPr>
            <w:webHidden/>
          </w:rPr>
          <w:tab/>
        </w:r>
        <w:r>
          <w:rPr>
            <w:webHidden/>
          </w:rPr>
          <w:fldChar w:fldCharType="begin"/>
        </w:r>
        <w:r>
          <w:rPr>
            <w:webHidden/>
          </w:rPr>
          <w:instrText xml:space="preserve"> PAGEREF _Toc233036500 \h </w:instrText>
        </w:r>
        <w:r>
          <w:rPr>
            <w:webHidden/>
          </w:rPr>
        </w:r>
        <w:r>
          <w:rPr>
            <w:webHidden/>
          </w:rPr>
          <w:fldChar w:fldCharType="separate"/>
        </w:r>
        <w:r>
          <w:rPr>
            <w:webHidden/>
          </w:rPr>
          <w:t>34</w:t>
        </w:r>
        <w:r>
          <w:rPr>
            <w:webHidden/>
          </w:rPr>
          <w:fldChar w:fldCharType="end"/>
        </w:r>
      </w:hyperlink>
    </w:p>
    <w:p w14:paraId="538546FE" w14:textId="09AA11B0" w:rsidR="003A17E6" w:rsidRDefault="003A17E6">
      <w:pPr>
        <w:pStyle w:val="TableofFigures"/>
        <w:rPr>
          <w:rFonts w:asciiTheme="minorHAnsi" w:eastAsiaTheme="minorEastAsia" w:hAnsiTheme="minorHAnsi"/>
          <w:sz w:val="24"/>
          <w:szCs w:val="24"/>
          <w:lang w:eastAsia="en-AU"/>
        </w:rPr>
      </w:pPr>
      <w:hyperlink w:anchor="_Toc233036501" w:history="1">
        <w:r w:rsidRPr="0083626E">
          <w:rPr>
            <w:rStyle w:val="Hyperlink"/>
          </w:rPr>
          <w:t>Table 14: Re-entry intervals for paraquat plus amitrole products</w:t>
        </w:r>
        <w:r>
          <w:rPr>
            <w:webHidden/>
          </w:rPr>
          <w:tab/>
        </w:r>
        <w:r>
          <w:rPr>
            <w:webHidden/>
          </w:rPr>
          <w:fldChar w:fldCharType="begin"/>
        </w:r>
        <w:r>
          <w:rPr>
            <w:webHidden/>
          </w:rPr>
          <w:instrText xml:space="preserve"> PAGEREF _Toc233036501 \h </w:instrText>
        </w:r>
        <w:r>
          <w:rPr>
            <w:webHidden/>
          </w:rPr>
        </w:r>
        <w:r>
          <w:rPr>
            <w:webHidden/>
          </w:rPr>
          <w:fldChar w:fldCharType="separate"/>
        </w:r>
        <w:r>
          <w:rPr>
            <w:webHidden/>
          </w:rPr>
          <w:t>34</w:t>
        </w:r>
        <w:r>
          <w:rPr>
            <w:webHidden/>
          </w:rPr>
          <w:fldChar w:fldCharType="end"/>
        </w:r>
      </w:hyperlink>
    </w:p>
    <w:p w14:paraId="3B017197" w14:textId="1A5D06DD" w:rsidR="003A17E6" w:rsidRDefault="003A17E6">
      <w:pPr>
        <w:pStyle w:val="TableofFigures"/>
        <w:rPr>
          <w:rFonts w:asciiTheme="minorHAnsi" w:eastAsiaTheme="minorEastAsia" w:hAnsiTheme="minorHAnsi"/>
          <w:sz w:val="24"/>
          <w:szCs w:val="24"/>
          <w:lang w:eastAsia="en-AU"/>
        </w:rPr>
      </w:pPr>
      <w:hyperlink w:anchor="_Toc233036502" w:history="1">
        <w:r w:rsidRPr="0083626E">
          <w:rPr>
            <w:rStyle w:val="Hyperlink"/>
          </w:rPr>
          <w:t>Table 15: Calculation of poultry broiler dietary burden of paraquat</w:t>
        </w:r>
        <w:r>
          <w:rPr>
            <w:webHidden/>
          </w:rPr>
          <w:tab/>
        </w:r>
        <w:r>
          <w:rPr>
            <w:webHidden/>
          </w:rPr>
          <w:fldChar w:fldCharType="begin"/>
        </w:r>
        <w:r>
          <w:rPr>
            <w:webHidden/>
          </w:rPr>
          <w:instrText xml:space="preserve"> PAGEREF _Toc233036502 \h </w:instrText>
        </w:r>
        <w:r>
          <w:rPr>
            <w:webHidden/>
          </w:rPr>
        </w:r>
        <w:r>
          <w:rPr>
            <w:webHidden/>
          </w:rPr>
          <w:fldChar w:fldCharType="separate"/>
        </w:r>
        <w:r>
          <w:rPr>
            <w:webHidden/>
          </w:rPr>
          <w:t>57</w:t>
        </w:r>
        <w:r>
          <w:rPr>
            <w:webHidden/>
          </w:rPr>
          <w:fldChar w:fldCharType="end"/>
        </w:r>
      </w:hyperlink>
    </w:p>
    <w:p w14:paraId="416F763D" w14:textId="21DC928F" w:rsidR="003A17E6" w:rsidRDefault="003A17E6">
      <w:pPr>
        <w:pStyle w:val="TableofFigures"/>
        <w:rPr>
          <w:rFonts w:asciiTheme="minorHAnsi" w:eastAsiaTheme="minorEastAsia" w:hAnsiTheme="minorHAnsi"/>
          <w:sz w:val="24"/>
          <w:szCs w:val="24"/>
          <w:lang w:eastAsia="en-AU"/>
        </w:rPr>
      </w:pPr>
      <w:hyperlink w:anchor="_Toc233036503" w:history="1">
        <w:r w:rsidRPr="0083626E">
          <w:rPr>
            <w:rStyle w:val="Hyperlink"/>
          </w:rPr>
          <w:t>Table 16: Calculation of poultry layer dietary burden of paraquat</w:t>
        </w:r>
        <w:r>
          <w:rPr>
            <w:webHidden/>
          </w:rPr>
          <w:tab/>
        </w:r>
        <w:r>
          <w:rPr>
            <w:webHidden/>
          </w:rPr>
          <w:fldChar w:fldCharType="begin"/>
        </w:r>
        <w:r>
          <w:rPr>
            <w:webHidden/>
          </w:rPr>
          <w:instrText xml:space="preserve"> PAGEREF _Toc233036503 \h </w:instrText>
        </w:r>
        <w:r>
          <w:rPr>
            <w:webHidden/>
          </w:rPr>
        </w:r>
        <w:r>
          <w:rPr>
            <w:webHidden/>
          </w:rPr>
          <w:fldChar w:fldCharType="separate"/>
        </w:r>
        <w:r>
          <w:rPr>
            <w:webHidden/>
          </w:rPr>
          <w:t>57</w:t>
        </w:r>
        <w:r>
          <w:rPr>
            <w:webHidden/>
          </w:rPr>
          <w:fldChar w:fldCharType="end"/>
        </w:r>
      </w:hyperlink>
    </w:p>
    <w:p w14:paraId="6C17C777" w14:textId="646A3A5F" w:rsidR="003A17E6" w:rsidRDefault="003A17E6">
      <w:pPr>
        <w:pStyle w:val="TableofFigures"/>
        <w:rPr>
          <w:rFonts w:asciiTheme="minorHAnsi" w:eastAsiaTheme="minorEastAsia" w:hAnsiTheme="minorHAnsi"/>
          <w:sz w:val="24"/>
          <w:szCs w:val="24"/>
          <w:lang w:eastAsia="en-AU"/>
        </w:rPr>
      </w:pPr>
      <w:hyperlink w:anchor="_Toc233036504" w:history="1">
        <w:r w:rsidRPr="0083626E">
          <w:rPr>
            <w:rStyle w:val="Hyperlink"/>
          </w:rPr>
          <w:t>Table 17: Calculation of beef cattle dietary burden of paraquat</w:t>
        </w:r>
        <w:r>
          <w:rPr>
            <w:webHidden/>
          </w:rPr>
          <w:tab/>
        </w:r>
        <w:r>
          <w:rPr>
            <w:webHidden/>
          </w:rPr>
          <w:fldChar w:fldCharType="begin"/>
        </w:r>
        <w:r>
          <w:rPr>
            <w:webHidden/>
          </w:rPr>
          <w:instrText xml:space="preserve"> PAGEREF _Toc233036504 \h </w:instrText>
        </w:r>
        <w:r>
          <w:rPr>
            <w:webHidden/>
          </w:rPr>
        </w:r>
        <w:r>
          <w:rPr>
            <w:webHidden/>
          </w:rPr>
          <w:fldChar w:fldCharType="separate"/>
        </w:r>
        <w:r>
          <w:rPr>
            <w:webHidden/>
          </w:rPr>
          <w:t>59</w:t>
        </w:r>
        <w:r>
          <w:rPr>
            <w:webHidden/>
          </w:rPr>
          <w:fldChar w:fldCharType="end"/>
        </w:r>
      </w:hyperlink>
    </w:p>
    <w:p w14:paraId="674C211B" w14:textId="040A0F63" w:rsidR="003A17E6" w:rsidRDefault="003A17E6">
      <w:pPr>
        <w:pStyle w:val="TableofFigures"/>
        <w:rPr>
          <w:rFonts w:asciiTheme="minorHAnsi" w:eastAsiaTheme="minorEastAsia" w:hAnsiTheme="minorHAnsi"/>
          <w:sz w:val="24"/>
          <w:szCs w:val="24"/>
          <w:lang w:eastAsia="en-AU"/>
        </w:rPr>
      </w:pPr>
      <w:hyperlink w:anchor="_Toc233036505" w:history="1">
        <w:r w:rsidRPr="0083626E">
          <w:rPr>
            <w:rStyle w:val="Hyperlink"/>
          </w:rPr>
          <w:t>Table 18: Calculation of dairy cattle dietary burden of paraquat</w:t>
        </w:r>
        <w:r>
          <w:rPr>
            <w:webHidden/>
          </w:rPr>
          <w:tab/>
        </w:r>
        <w:r>
          <w:rPr>
            <w:webHidden/>
          </w:rPr>
          <w:fldChar w:fldCharType="begin"/>
        </w:r>
        <w:r>
          <w:rPr>
            <w:webHidden/>
          </w:rPr>
          <w:instrText xml:space="preserve"> PAGEREF _Toc233036505 \h </w:instrText>
        </w:r>
        <w:r>
          <w:rPr>
            <w:webHidden/>
          </w:rPr>
        </w:r>
        <w:r>
          <w:rPr>
            <w:webHidden/>
          </w:rPr>
          <w:fldChar w:fldCharType="separate"/>
        </w:r>
        <w:r>
          <w:rPr>
            <w:webHidden/>
          </w:rPr>
          <w:t>59</w:t>
        </w:r>
        <w:r>
          <w:rPr>
            <w:webHidden/>
          </w:rPr>
          <w:fldChar w:fldCharType="end"/>
        </w:r>
      </w:hyperlink>
    </w:p>
    <w:p w14:paraId="6E9EF2D4" w14:textId="5581404E" w:rsidR="003A17E6" w:rsidRDefault="003A17E6">
      <w:pPr>
        <w:pStyle w:val="TableofFigures"/>
        <w:rPr>
          <w:rFonts w:asciiTheme="minorHAnsi" w:eastAsiaTheme="minorEastAsia" w:hAnsiTheme="minorHAnsi"/>
          <w:sz w:val="24"/>
          <w:szCs w:val="24"/>
          <w:lang w:eastAsia="en-AU"/>
        </w:rPr>
      </w:pPr>
      <w:hyperlink w:anchor="_Toc233036506" w:history="1">
        <w:r w:rsidRPr="0083626E">
          <w:rPr>
            <w:rStyle w:val="Hyperlink"/>
          </w:rPr>
          <w:t>Table 19: Health Standards established for paraquat</w:t>
        </w:r>
        <w:r>
          <w:rPr>
            <w:webHidden/>
          </w:rPr>
          <w:tab/>
        </w:r>
        <w:r>
          <w:rPr>
            <w:webHidden/>
          </w:rPr>
          <w:fldChar w:fldCharType="begin"/>
        </w:r>
        <w:r>
          <w:rPr>
            <w:webHidden/>
          </w:rPr>
          <w:instrText xml:space="preserve"> PAGEREF _Toc233036506 \h </w:instrText>
        </w:r>
        <w:r>
          <w:rPr>
            <w:webHidden/>
          </w:rPr>
        </w:r>
        <w:r>
          <w:rPr>
            <w:webHidden/>
          </w:rPr>
          <w:fldChar w:fldCharType="separate"/>
        </w:r>
        <w:r>
          <w:rPr>
            <w:webHidden/>
          </w:rPr>
          <w:t>62</w:t>
        </w:r>
        <w:r>
          <w:rPr>
            <w:webHidden/>
          </w:rPr>
          <w:fldChar w:fldCharType="end"/>
        </w:r>
      </w:hyperlink>
    </w:p>
    <w:p w14:paraId="62D6B00A" w14:textId="6A178545" w:rsidR="003A17E6" w:rsidRDefault="003A17E6">
      <w:pPr>
        <w:pStyle w:val="TableofFigures"/>
        <w:rPr>
          <w:rFonts w:asciiTheme="minorHAnsi" w:eastAsiaTheme="minorEastAsia" w:hAnsiTheme="minorHAnsi"/>
          <w:sz w:val="24"/>
          <w:szCs w:val="24"/>
          <w:lang w:eastAsia="en-AU"/>
        </w:rPr>
      </w:pPr>
      <w:hyperlink w:anchor="_Toc233036507" w:history="1">
        <w:r w:rsidRPr="0083626E">
          <w:rPr>
            <w:rStyle w:val="Hyperlink"/>
          </w:rPr>
          <w:t>Table 20: Overseas MRLs established for major export commodities (December 2023)</w:t>
        </w:r>
        <w:r>
          <w:rPr>
            <w:webHidden/>
          </w:rPr>
          <w:tab/>
        </w:r>
        <w:r>
          <w:rPr>
            <w:webHidden/>
          </w:rPr>
          <w:fldChar w:fldCharType="begin"/>
        </w:r>
        <w:r>
          <w:rPr>
            <w:webHidden/>
          </w:rPr>
          <w:instrText xml:space="preserve"> PAGEREF _Toc233036507 \h </w:instrText>
        </w:r>
        <w:r>
          <w:rPr>
            <w:webHidden/>
          </w:rPr>
        </w:r>
        <w:r>
          <w:rPr>
            <w:webHidden/>
          </w:rPr>
          <w:fldChar w:fldCharType="separate"/>
        </w:r>
        <w:r>
          <w:rPr>
            <w:webHidden/>
          </w:rPr>
          <w:t>63</w:t>
        </w:r>
        <w:r>
          <w:rPr>
            <w:webHidden/>
          </w:rPr>
          <w:fldChar w:fldCharType="end"/>
        </w:r>
      </w:hyperlink>
    </w:p>
    <w:p w14:paraId="612C67BE" w14:textId="4D1BBCA3" w:rsidR="003A17E6" w:rsidRDefault="003A17E6">
      <w:pPr>
        <w:pStyle w:val="TableofFigures"/>
        <w:rPr>
          <w:rFonts w:asciiTheme="minorHAnsi" w:eastAsiaTheme="minorEastAsia" w:hAnsiTheme="minorHAnsi"/>
          <w:sz w:val="24"/>
          <w:szCs w:val="24"/>
          <w:lang w:eastAsia="en-AU"/>
        </w:rPr>
      </w:pPr>
      <w:hyperlink w:anchor="_Toc233036508" w:history="1">
        <w:r w:rsidRPr="0083626E">
          <w:rPr>
            <w:rStyle w:val="Hyperlink"/>
          </w:rPr>
          <w:t>Table 21: Amendments to Table 1 of the MRL Standard</w:t>
        </w:r>
        <w:r>
          <w:rPr>
            <w:webHidden/>
          </w:rPr>
          <w:tab/>
        </w:r>
        <w:r>
          <w:rPr>
            <w:webHidden/>
          </w:rPr>
          <w:fldChar w:fldCharType="begin"/>
        </w:r>
        <w:r>
          <w:rPr>
            <w:webHidden/>
          </w:rPr>
          <w:instrText xml:space="preserve"> PAGEREF _Toc233036508 \h </w:instrText>
        </w:r>
        <w:r>
          <w:rPr>
            <w:webHidden/>
          </w:rPr>
        </w:r>
        <w:r>
          <w:rPr>
            <w:webHidden/>
          </w:rPr>
          <w:fldChar w:fldCharType="separate"/>
        </w:r>
        <w:r>
          <w:rPr>
            <w:webHidden/>
          </w:rPr>
          <w:t>67</w:t>
        </w:r>
        <w:r>
          <w:rPr>
            <w:webHidden/>
          </w:rPr>
          <w:fldChar w:fldCharType="end"/>
        </w:r>
      </w:hyperlink>
    </w:p>
    <w:p w14:paraId="7F94C461" w14:textId="47F89A4B" w:rsidR="003A17E6" w:rsidRDefault="003A17E6">
      <w:pPr>
        <w:pStyle w:val="TableofFigures"/>
        <w:rPr>
          <w:rFonts w:asciiTheme="minorHAnsi" w:eastAsiaTheme="minorEastAsia" w:hAnsiTheme="minorHAnsi"/>
          <w:sz w:val="24"/>
          <w:szCs w:val="24"/>
          <w:lang w:eastAsia="en-AU"/>
        </w:rPr>
      </w:pPr>
      <w:hyperlink w:anchor="_Toc233036509" w:history="1">
        <w:r w:rsidRPr="0083626E">
          <w:rPr>
            <w:rStyle w:val="Hyperlink"/>
          </w:rPr>
          <w:t>Table 22: Amendments to Table 4 of the MRL Standard</w:t>
        </w:r>
        <w:r>
          <w:rPr>
            <w:webHidden/>
          </w:rPr>
          <w:tab/>
        </w:r>
        <w:r>
          <w:rPr>
            <w:webHidden/>
          </w:rPr>
          <w:fldChar w:fldCharType="begin"/>
        </w:r>
        <w:r>
          <w:rPr>
            <w:webHidden/>
          </w:rPr>
          <w:instrText xml:space="preserve"> PAGEREF _Toc233036509 \h </w:instrText>
        </w:r>
        <w:r>
          <w:rPr>
            <w:webHidden/>
          </w:rPr>
        </w:r>
        <w:r>
          <w:rPr>
            <w:webHidden/>
          </w:rPr>
          <w:fldChar w:fldCharType="separate"/>
        </w:r>
        <w:r>
          <w:rPr>
            <w:webHidden/>
          </w:rPr>
          <w:t>69</w:t>
        </w:r>
        <w:r>
          <w:rPr>
            <w:webHidden/>
          </w:rPr>
          <w:fldChar w:fldCharType="end"/>
        </w:r>
      </w:hyperlink>
    </w:p>
    <w:p w14:paraId="093EADB6" w14:textId="78905D7D" w:rsidR="003A17E6" w:rsidRDefault="003A17E6">
      <w:pPr>
        <w:pStyle w:val="TableofFigures"/>
        <w:rPr>
          <w:rFonts w:asciiTheme="minorHAnsi" w:eastAsiaTheme="minorEastAsia" w:hAnsiTheme="minorHAnsi"/>
          <w:sz w:val="24"/>
          <w:szCs w:val="24"/>
          <w:lang w:eastAsia="en-AU"/>
        </w:rPr>
      </w:pPr>
      <w:hyperlink w:anchor="_Toc233036510" w:history="1">
        <w:r w:rsidRPr="0083626E">
          <w:rPr>
            <w:rStyle w:val="Hyperlink"/>
          </w:rPr>
          <w:t>Table 23: Paraquat (including paraquat plus amitrole) uses supported by human health, environment, and residues and trade risk assessments</w:t>
        </w:r>
        <w:r>
          <w:rPr>
            <w:webHidden/>
          </w:rPr>
          <w:tab/>
        </w:r>
        <w:r>
          <w:rPr>
            <w:webHidden/>
          </w:rPr>
          <w:fldChar w:fldCharType="begin"/>
        </w:r>
        <w:r>
          <w:rPr>
            <w:webHidden/>
          </w:rPr>
          <w:instrText xml:space="preserve"> PAGEREF _Toc233036510 \h </w:instrText>
        </w:r>
        <w:r>
          <w:rPr>
            <w:webHidden/>
          </w:rPr>
        </w:r>
        <w:r>
          <w:rPr>
            <w:webHidden/>
          </w:rPr>
          <w:fldChar w:fldCharType="separate"/>
        </w:r>
        <w:r>
          <w:rPr>
            <w:webHidden/>
          </w:rPr>
          <w:t>70</w:t>
        </w:r>
        <w:r>
          <w:rPr>
            <w:webHidden/>
          </w:rPr>
          <w:fldChar w:fldCharType="end"/>
        </w:r>
      </w:hyperlink>
    </w:p>
    <w:p w14:paraId="449AC4F5" w14:textId="4AA92137" w:rsidR="003A17E6" w:rsidRDefault="003A17E6">
      <w:pPr>
        <w:pStyle w:val="TableofFigures"/>
        <w:rPr>
          <w:rFonts w:asciiTheme="minorHAnsi" w:eastAsiaTheme="minorEastAsia" w:hAnsiTheme="minorHAnsi"/>
          <w:sz w:val="24"/>
          <w:szCs w:val="24"/>
          <w:lang w:eastAsia="en-AU"/>
        </w:rPr>
      </w:pPr>
      <w:hyperlink w:anchor="_Toc233036511" w:history="1">
        <w:r w:rsidRPr="0083626E">
          <w:rPr>
            <w:rStyle w:val="Hyperlink"/>
          </w:rPr>
          <w:t>Table 24: Paraquat and diquat combination uses that are supported by human health, environment and residues and trade risk assessments</w:t>
        </w:r>
        <w:r>
          <w:rPr>
            <w:webHidden/>
          </w:rPr>
          <w:tab/>
        </w:r>
        <w:r>
          <w:rPr>
            <w:webHidden/>
          </w:rPr>
          <w:fldChar w:fldCharType="begin"/>
        </w:r>
        <w:r>
          <w:rPr>
            <w:webHidden/>
          </w:rPr>
          <w:instrText xml:space="preserve"> PAGEREF _Toc233036511 \h </w:instrText>
        </w:r>
        <w:r>
          <w:rPr>
            <w:webHidden/>
          </w:rPr>
        </w:r>
        <w:r>
          <w:rPr>
            <w:webHidden/>
          </w:rPr>
          <w:fldChar w:fldCharType="separate"/>
        </w:r>
        <w:r>
          <w:rPr>
            <w:webHidden/>
          </w:rPr>
          <w:t>71</w:t>
        </w:r>
        <w:r>
          <w:rPr>
            <w:webHidden/>
          </w:rPr>
          <w:fldChar w:fldCharType="end"/>
        </w:r>
      </w:hyperlink>
    </w:p>
    <w:p w14:paraId="0082BA6F" w14:textId="2F396485" w:rsidR="003A17E6" w:rsidRDefault="003A17E6">
      <w:pPr>
        <w:pStyle w:val="TableofFigures"/>
        <w:rPr>
          <w:rFonts w:asciiTheme="minorHAnsi" w:eastAsiaTheme="minorEastAsia" w:hAnsiTheme="minorHAnsi"/>
          <w:sz w:val="24"/>
          <w:szCs w:val="24"/>
          <w:lang w:eastAsia="en-AU"/>
        </w:rPr>
      </w:pPr>
      <w:hyperlink w:anchor="_Toc233036512" w:history="1">
        <w:r w:rsidRPr="0083626E">
          <w:rPr>
            <w:rStyle w:val="Hyperlink"/>
          </w:rPr>
          <w:t>Table 25: Amendments to Table 1 of the MRL Standard</w:t>
        </w:r>
        <w:r>
          <w:rPr>
            <w:webHidden/>
          </w:rPr>
          <w:tab/>
        </w:r>
        <w:r>
          <w:rPr>
            <w:webHidden/>
          </w:rPr>
          <w:fldChar w:fldCharType="begin"/>
        </w:r>
        <w:r>
          <w:rPr>
            <w:webHidden/>
          </w:rPr>
          <w:instrText xml:space="preserve"> PAGEREF _Toc233036512 \h </w:instrText>
        </w:r>
        <w:r>
          <w:rPr>
            <w:webHidden/>
          </w:rPr>
        </w:r>
        <w:r>
          <w:rPr>
            <w:webHidden/>
          </w:rPr>
          <w:fldChar w:fldCharType="separate"/>
        </w:r>
        <w:r>
          <w:rPr>
            <w:webHidden/>
          </w:rPr>
          <w:t>76</w:t>
        </w:r>
        <w:r>
          <w:rPr>
            <w:webHidden/>
          </w:rPr>
          <w:fldChar w:fldCharType="end"/>
        </w:r>
      </w:hyperlink>
    </w:p>
    <w:p w14:paraId="3236D61E" w14:textId="63669280" w:rsidR="003A17E6" w:rsidRDefault="003A17E6">
      <w:pPr>
        <w:pStyle w:val="TableofFigures"/>
        <w:rPr>
          <w:rFonts w:asciiTheme="minorHAnsi" w:eastAsiaTheme="minorEastAsia" w:hAnsiTheme="minorHAnsi"/>
          <w:sz w:val="24"/>
          <w:szCs w:val="24"/>
          <w:lang w:eastAsia="en-AU"/>
        </w:rPr>
      </w:pPr>
      <w:hyperlink w:anchor="_Toc233036513" w:history="1">
        <w:r w:rsidRPr="0083626E">
          <w:rPr>
            <w:rStyle w:val="Hyperlink"/>
          </w:rPr>
          <w:t>Table 26: Amendments to Table 4 of the MRL Standard</w:t>
        </w:r>
        <w:r>
          <w:rPr>
            <w:webHidden/>
          </w:rPr>
          <w:tab/>
        </w:r>
        <w:r>
          <w:rPr>
            <w:webHidden/>
          </w:rPr>
          <w:fldChar w:fldCharType="begin"/>
        </w:r>
        <w:r>
          <w:rPr>
            <w:webHidden/>
          </w:rPr>
          <w:instrText xml:space="preserve"> PAGEREF _Toc233036513 \h </w:instrText>
        </w:r>
        <w:r>
          <w:rPr>
            <w:webHidden/>
          </w:rPr>
        </w:r>
        <w:r>
          <w:rPr>
            <w:webHidden/>
          </w:rPr>
          <w:fldChar w:fldCharType="separate"/>
        </w:r>
        <w:r>
          <w:rPr>
            <w:webHidden/>
          </w:rPr>
          <w:t>78</w:t>
        </w:r>
        <w:r>
          <w:rPr>
            <w:webHidden/>
          </w:rPr>
          <w:fldChar w:fldCharType="end"/>
        </w:r>
      </w:hyperlink>
    </w:p>
    <w:p w14:paraId="7CC113AA" w14:textId="6F9A8796" w:rsidR="003A17E6" w:rsidRDefault="003A17E6">
      <w:pPr>
        <w:pStyle w:val="TableofFigures"/>
        <w:rPr>
          <w:rFonts w:asciiTheme="minorHAnsi" w:eastAsiaTheme="minorEastAsia" w:hAnsiTheme="minorHAnsi"/>
          <w:sz w:val="24"/>
          <w:szCs w:val="24"/>
          <w:lang w:eastAsia="en-AU"/>
        </w:rPr>
      </w:pPr>
      <w:hyperlink w:anchor="_Toc233036514" w:history="1">
        <w:r w:rsidRPr="0083626E">
          <w:rPr>
            <w:rStyle w:val="Hyperlink"/>
          </w:rPr>
          <w:t>Table 27: Paraquat – Environmental risk assessment scenarios</w:t>
        </w:r>
        <w:r>
          <w:rPr>
            <w:webHidden/>
          </w:rPr>
          <w:tab/>
        </w:r>
        <w:r>
          <w:rPr>
            <w:webHidden/>
          </w:rPr>
          <w:fldChar w:fldCharType="begin"/>
        </w:r>
        <w:r>
          <w:rPr>
            <w:webHidden/>
          </w:rPr>
          <w:instrText xml:space="preserve"> PAGEREF _Toc233036514 \h </w:instrText>
        </w:r>
        <w:r>
          <w:rPr>
            <w:webHidden/>
          </w:rPr>
        </w:r>
        <w:r>
          <w:rPr>
            <w:webHidden/>
          </w:rPr>
          <w:fldChar w:fldCharType="separate"/>
        </w:r>
        <w:r>
          <w:rPr>
            <w:webHidden/>
          </w:rPr>
          <w:t>79</w:t>
        </w:r>
        <w:r>
          <w:rPr>
            <w:webHidden/>
          </w:rPr>
          <w:fldChar w:fldCharType="end"/>
        </w:r>
      </w:hyperlink>
    </w:p>
    <w:p w14:paraId="161C5324" w14:textId="28B5DFF7" w:rsidR="003A17E6" w:rsidRDefault="003A17E6">
      <w:pPr>
        <w:pStyle w:val="TableofFigures"/>
        <w:rPr>
          <w:rFonts w:asciiTheme="minorHAnsi" w:eastAsiaTheme="minorEastAsia" w:hAnsiTheme="minorHAnsi"/>
          <w:sz w:val="24"/>
          <w:szCs w:val="24"/>
          <w:lang w:eastAsia="en-AU"/>
        </w:rPr>
      </w:pPr>
      <w:hyperlink w:anchor="_Toc233036515" w:history="1">
        <w:r w:rsidRPr="0083626E">
          <w:rPr>
            <w:rStyle w:val="Hyperlink"/>
          </w:rPr>
          <w:t>Table 28: Paraquat – Key regulatory endpoints for exposure assessment</w:t>
        </w:r>
        <w:r>
          <w:rPr>
            <w:webHidden/>
          </w:rPr>
          <w:tab/>
        </w:r>
        <w:r>
          <w:rPr>
            <w:webHidden/>
          </w:rPr>
          <w:fldChar w:fldCharType="begin"/>
        </w:r>
        <w:r>
          <w:rPr>
            <w:webHidden/>
          </w:rPr>
          <w:instrText xml:space="preserve"> PAGEREF _Toc233036515 \h </w:instrText>
        </w:r>
        <w:r>
          <w:rPr>
            <w:webHidden/>
          </w:rPr>
        </w:r>
        <w:r>
          <w:rPr>
            <w:webHidden/>
          </w:rPr>
          <w:fldChar w:fldCharType="separate"/>
        </w:r>
        <w:r>
          <w:rPr>
            <w:webHidden/>
          </w:rPr>
          <w:t>81</w:t>
        </w:r>
        <w:r>
          <w:rPr>
            <w:webHidden/>
          </w:rPr>
          <w:fldChar w:fldCharType="end"/>
        </w:r>
      </w:hyperlink>
    </w:p>
    <w:p w14:paraId="57AE3703" w14:textId="00073804" w:rsidR="003A17E6" w:rsidRDefault="003A17E6">
      <w:pPr>
        <w:pStyle w:val="TableofFigures"/>
        <w:rPr>
          <w:rFonts w:asciiTheme="minorHAnsi" w:eastAsiaTheme="minorEastAsia" w:hAnsiTheme="minorHAnsi"/>
          <w:sz w:val="24"/>
          <w:szCs w:val="24"/>
          <w:lang w:eastAsia="en-AU"/>
        </w:rPr>
      </w:pPr>
      <w:hyperlink w:anchor="_Toc233036516" w:history="1">
        <w:r w:rsidRPr="0083626E">
          <w:rPr>
            <w:rStyle w:val="Hyperlink"/>
          </w:rPr>
          <w:t>Table 29: Paraquat – Toxicity endpoints for primary producers used in SSD analysis</w:t>
        </w:r>
        <w:r>
          <w:rPr>
            <w:webHidden/>
          </w:rPr>
          <w:tab/>
        </w:r>
        <w:r>
          <w:rPr>
            <w:webHidden/>
          </w:rPr>
          <w:fldChar w:fldCharType="begin"/>
        </w:r>
        <w:r>
          <w:rPr>
            <w:webHidden/>
          </w:rPr>
          <w:instrText xml:space="preserve"> PAGEREF _Toc233036516 \h </w:instrText>
        </w:r>
        <w:r>
          <w:rPr>
            <w:webHidden/>
          </w:rPr>
        </w:r>
        <w:r>
          <w:rPr>
            <w:webHidden/>
          </w:rPr>
          <w:fldChar w:fldCharType="separate"/>
        </w:r>
        <w:r>
          <w:rPr>
            <w:webHidden/>
          </w:rPr>
          <w:t>84</w:t>
        </w:r>
        <w:r>
          <w:rPr>
            <w:webHidden/>
          </w:rPr>
          <w:fldChar w:fldCharType="end"/>
        </w:r>
      </w:hyperlink>
    </w:p>
    <w:p w14:paraId="51814B00" w14:textId="0C91D625" w:rsidR="003A17E6" w:rsidRDefault="003A17E6">
      <w:pPr>
        <w:pStyle w:val="TableofFigures"/>
        <w:rPr>
          <w:rFonts w:asciiTheme="minorHAnsi" w:eastAsiaTheme="minorEastAsia" w:hAnsiTheme="minorHAnsi"/>
          <w:sz w:val="24"/>
          <w:szCs w:val="24"/>
          <w:lang w:eastAsia="en-AU"/>
        </w:rPr>
      </w:pPr>
      <w:hyperlink w:anchor="_Toc233036517" w:history="1">
        <w:r w:rsidRPr="0083626E">
          <w:rPr>
            <w:rStyle w:val="Hyperlink"/>
          </w:rPr>
          <w:t>Table 30: Paraquat – Post-emergent toxicity endpoints for non-target terrestrial plants used in SSD analysis</w:t>
        </w:r>
        <w:r>
          <w:rPr>
            <w:webHidden/>
          </w:rPr>
          <w:tab/>
        </w:r>
        <w:r>
          <w:rPr>
            <w:webHidden/>
          </w:rPr>
          <w:fldChar w:fldCharType="begin"/>
        </w:r>
        <w:r>
          <w:rPr>
            <w:webHidden/>
          </w:rPr>
          <w:instrText xml:space="preserve"> PAGEREF _Toc233036517 \h </w:instrText>
        </w:r>
        <w:r>
          <w:rPr>
            <w:webHidden/>
          </w:rPr>
        </w:r>
        <w:r>
          <w:rPr>
            <w:webHidden/>
          </w:rPr>
          <w:fldChar w:fldCharType="separate"/>
        </w:r>
        <w:r>
          <w:rPr>
            <w:webHidden/>
          </w:rPr>
          <w:t>84</w:t>
        </w:r>
        <w:r>
          <w:rPr>
            <w:webHidden/>
          </w:rPr>
          <w:fldChar w:fldCharType="end"/>
        </w:r>
      </w:hyperlink>
    </w:p>
    <w:p w14:paraId="682721D4" w14:textId="58168577" w:rsidR="003A17E6" w:rsidRDefault="003A17E6">
      <w:pPr>
        <w:pStyle w:val="TableofFigures"/>
        <w:rPr>
          <w:rFonts w:asciiTheme="minorHAnsi" w:eastAsiaTheme="minorEastAsia" w:hAnsiTheme="minorHAnsi"/>
          <w:sz w:val="24"/>
          <w:szCs w:val="24"/>
          <w:lang w:eastAsia="en-AU"/>
        </w:rPr>
      </w:pPr>
      <w:hyperlink w:anchor="_Toc233036518" w:history="1">
        <w:r w:rsidRPr="0083626E">
          <w:rPr>
            <w:rStyle w:val="Hyperlink"/>
          </w:rPr>
          <w:t>Table 31: Paraquat – Regulatory acceptable levels for non-target species</w:t>
        </w:r>
        <w:r>
          <w:rPr>
            <w:webHidden/>
          </w:rPr>
          <w:tab/>
        </w:r>
        <w:r>
          <w:rPr>
            <w:webHidden/>
          </w:rPr>
          <w:fldChar w:fldCharType="begin"/>
        </w:r>
        <w:r>
          <w:rPr>
            <w:webHidden/>
          </w:rPr>
          <w:instrText xml:space="preserve"> PAGEREF _Toc233036518 \h </w:instrText>
        </w:r>
        <w:r>
          <w:rPr>
            <w:webHidden/>
          </w:rPr>
        </w:r>
        <w:r>
          <w:rPr>
            <w:webHidden/>
          </w:rPr>
          <w:fldChar w:fldCharType="separate"/>
        </w:r>
        <w:r>
          <w:rPr>
            <w:webHidden/>
          </w:rPr>
          <w:t>85</w:t>
        </w:r>
        <w:r>
          <w:rPr>
            <w:webHidden/>
          </w:rPr>
          <w:fldChar w:fldCharType="end"/>
        </w:r>
      </w:hyperlink>
    </w:p>
    <w:p w14:paraId="4049B242" w14:textId="0BAEFA71" w:rsidR="003A17E6" w:rsidRDefault="003A17E6">
      <w:pPr>
        <w:pStyle w:val="TableofFigures"/>
        <w:rPr>
          <w:rFonts w:asciiTheme="minorHAnsi" w:eastAsiaTheme="minorEastAsia" w:hAnsiTheme="minorHAnsi"/>
          <w:sz w:val="24"/>
          <w:szCs w:val="24"/>
          <w:lang w:eastAsia="en-AU"/>
        </w:rPr>
      </w:pPr>
      <w:hyperlink w:anchor="_Toc233036519" w:history="1">
        <w:r w:rsidRPr="0083626E">
          <w:rPr>
            <w:rStyle w:val="Hyperlink"/>
          </w:rPr>
          <w:t>Table 32: Paraquat – Summary of risk assessment outcomes for terrestrial vertebrates</w:t>
        </w:r>
        <w:r>
          <w:rPr>
            <w:webHidden/>
          </w:rPr>
          <w:tab/>
        </w:r>
        <w:r>
          <w:rPr>
            <w:webHidden/>
          </w:rPr>
          <w:fldChar w:fldCharType="begin"/>
        </w:r>
        <w:r>
          <w:rPr>
            <w:webHidden/>
          </w:rPr>
          <w:instrText xml:space="preserve"> PAGEREF _Toc233036519 \h </w:instrText>
        </w:r>
        <w:r>
          <w:rPr>
            <w:webHidden/>
          </w:rPr>
        </w:r>
        <w:r>
          <w:rPr>
            <w:webHidden/>
          </w:rPr>
          <w:fldChar w:fldCharType="separate"/>
        </w:r>
        <w:r>
          <w:rPr>
            <w:webHidden/>
          </w:rPr>
          <w:t>87</w:t>
        </w:r>
        <w:r>
          <w:rPr>
            <w:webHidden/>
          </w:rPr>
          <w:fldChar w:fldCharType="end"/>
        </w:r>
      </w:hyperlink>
    </w:p>
    <w:p w14:paraId="66486B8F" w14:textId="3D945D51" w:rsidR="003A17E6" w:rsidRDefault="003A17E6">
      <w:pPr>
        <w:pStyle w:val="TableofFigures"/>
        <w:rPr>
          <w:rFonts w:asciiTheme="minorHAnsi" w:eastAsiaTheme="minorEastAsia" w:hAnsiTheme="minorHAnsi"/>
          <w:sz w:val="24"/>
          <w:szCs w:val="24"/>
          <w:lang w:eastAsia="en-AU"/>
        </w:rPr>
      </w:pPr>
      <w:hyperlink w:anchor="_Toc233036520" w:history="1">
        <w:r w:rsidRPr="0083626E">
          <w:rPr>
            <w:rStyle w:val="Hyperlink"/>
          </w:rPr>
          <w:t>Table 33: Assessment of runoff risks to aquatic species – SAC-WB approach</w:t>
        </w:r>
        <w:r>
          <w:rPr>
            <w:webHidden/>
          </w:rPr>
          <w:tab/>
        </w:r>
        <w:r>
          <w:rPr>
            <w:webHidden/>
          </w:rPr>
          <w:fldChar w:fldCharType="begin"/>
        </w:r>
        <w:r>
          <w:rPr>
            <w:webHidden/>
          </w:rPr>
          <w:instrText xml:space="preserve"> PAGEREF _Toc233036520 \h </w:instrText>
        </w:r>
        <w:r>
          <w:rPr>
            <w:webHidden/>
          </w:rPr>
        </w:r>
        <w:r>
          <w:rPr>
            <w:webHidden/>
          </w:rPr>
          <w:fldChar w:fldCharType="separate"/>
        </w:r>
        <w:r>
          <w:rPr>
            <w:webHidden/>
          </w:rPr>
          <w:t>92</w:t>
        </w:r>
        <w:r>
          <w:rPr>
            <w:webHidden/>
          </w:rPr>
          <w:fldChar w:fldCharType="end"/>
        </w:r>
      </w:hyperlink>
    </w:p>
    <w:p w14:paraId="03534823" w14:textId="6D26F8A6" w:rsidR="003A17E6" w:rsidRDefault="003A17E6">
      <w:pPr>
        <w:pStyle w:val="TableofFigures"/>
        <w:rPr>
          <w:rFonts w:asciiTheme="minorHAnsi" w:eastAsiaTheme="minorEastAsia" w:hAnsiTheme="minorHAnsi"/>
          <w:sz w:val="24"/>
          <w:szCs w:val="24"/>
          <w:lang w:eastAsia="en-AU"/>
        </w:rPr>
      </w:pPr>
      <w:hyperlink w:anchor="_Toc233036521" w:history="1">
        <w:r w:rsidRPr="0083626E">
          <w:rPr>
            <w:rStyle w:val="Hyperlink"/>
          </w:rPr>
          <w:t>Table 34: Assessment of runoff risks to aquatic species – concentration dependent approach</w:t>
        </w:r>
        <w:r>
          <w:rPr>
            <w:webHidden/>
          </w:rPr>
          <w:tab/>
        </w:r>
        <w:r>
          <w:rPr>
            <w:webHidden/>
          </w:rPr>
          <w:fldChar w:fldCharType="begin"/>
        </w:r>
        <w:r>
          <w:rPr>
            <w:webHidden/>
          </w:rPr>
          <w:instrText xml:space="preserve"> PAGEREF _Toc233036521 \h </w:instrText>
        </w:r>
        <w:r>
          <w:rPr>
            <w:webHidden/>
          </w:rPr>
        </w:r>
        <w:r>
          <w:rPr>
            <w:webHidden/>
          </w:rPr>
          <w:fldChar w:fldCharType="separate"/>
        </w:r>
        <w:r>
          <w:rPr>
            <w:webHidden/>
          </w:rPr>
          <w:t>93</w:t>
        </w:r>
        <w:r>
          <w:rPr>
            <w:webHidden/>
          </w:rPr>
          <w:fldChar w:fldCharType="end"/>
        </w:r>
      </w:hyperlink>
    </w:p>
    <w:p w14:paraId="2D030B82" w14:textId="170FEDC5" w:rsidR="003A17E6" w:rsidRDefault="003A17E6">
      <w:pPr>
        <w:pStyle w:val="TableofFigures"/>
        <w:rPr>
          <w:rFonts w:asciiTheme="minorHAnsi" w:eastAsiaTheme="minorEastAsia" w:hAnsiTheme="minorHAnsi"/>
          <w:sz w:val="24"/>
          <w:szCs w:val="24"/>
          <w:lang w:eastAsia="en-AU"/>
        </w:rPr>
      </w:pPr>
      <w:hyperlink w:anchor="_Toc233036522" w:history="1">
        <w:r w:rsidRPr="0083626E">
          <w:rPr>
            <w:rStyle w:val="Hyperlink"/>
          </w:rPr>
          <w:t>Table 35: Screening level assessment of risks to bees</w:t>
        </w:r>
        <w:r>
          <w:rPr>
            <w:webHidden/>
          </w:rPr>
          <w:tab/>
        </w:r>
        <w:r>
          <w:rPr>
            <w:webHidden/>
          </w:rPr>
          <w:fldChar w:fldCharType="begin"/>
        </w:r>
        <w:r>
          <w:rPr>
            <w:webHidden/>
          </w:rPr>
          <w:instrText xml:space="preserve"> PAGEREF _Toc233036522 \h </w:instrText>
        </w:r>
        <w:r>
          <w:rPr>
            <w:webHidden/>
          </w:rPr>
        </w:r>
        <w:r>
          <w:rPr>
            <w:webHidden/>
          </w:rPr>
          <w:fldChar w:fldCharType="separate"/>
        </w:r>
        <w:r>
          <w:rPr>
            <w:webHidden/>
          </w:rPr>
          <w:t>94</w:t>
        </w:r>
        <w:r>
          <w:rPr>
            <w:webHidden/>
          </w:rPr>
          <w:fldChar w:fldCharType="end"/>
        </w:r>
      </w:hyperlink>
    </w:p>
    <w:p w14:paraId="68DD34D2" w14:textId="710FC23D" w:rsidR="003A17E6" w:rsidRDefault="003A17E6">
      <w:pPr>
        <w:pStyle w:val="TableofFigures"/>
        <w:rPr>
          <w:rFonts w:asciiTheme="minorHAnsi" w:eastAsiaTheme="minorEastAsia" w:hAnsiTheme="minorHAnsi"/>
          <w:sz w:val="24"/>
          <w:szCs w:val="24"/>
          <w:lang w:eastAsia="en-AU"/>
        </w:rPr>
      </w:pPr>
      <w:hyperlink w:anchor="_Toc233036523" w:history="1">
        <w:r w:rsidRPr="0083626E">
          <w:rPr>
            <w:rStyle w:val="Hyperlink"/>
          </w:rPr>
          <w:t>Table 36: Assessment of risks to other non-target arthropods</w:t>
        </w:r>
        <w:r>
          <w:rPr>
            <w:webHidden/>
          </w:rPr>
          <w:tab/>
        </w:r>
        <w:r>
          <w:rPr>
            <w:webHidden/>
          </w:rPr>
          <w:fldChar w:fldCharType="begin"/>
        </w:r>
        <w:r>
          <w:rPr>
            <w:webHidden/>
          </w:rPr>
          <w:instrText xml:space="preserve"> PAGEREF _Toc233036523 \h </w:instrText>
        </w:r>
        <w:r>
          <w:rPr>
            <w:webHidden/>
          </w:rPr>
        </w:r>
        <w:r>
          <w:rPr>
            <w:webHidden/>
          </w:rPr>
          <w:fldChar w:fldCharType="separate"/>
        </w:r>
        <w:r>
          <w:rPr>
            <w:webHidden/>
          </w:rPr>
          <w:t>95</w:t>
        </w:r>
        <w:r>
          <w:rPr>
            <w:webHidden/>
          </w:rPr>
          <w:fldChar w:fldCharType="end"/>
        </w:r>
      </w:hyperlink>
    </w:p>
    <w:p w14:paraId="09404EC8" w14:textId="606D8F16" w:rsidR="003A17E6" w:rsidRDefault="003A17E6">
      <w:pPr>
        <w:pStyle w:val="TableofFigures"/>
        <w:rPr>
          <w:rFonts w:asciiTheme="minorHAnsi" w:eastAsiaTheme="minorEastAsia" w:hAnsiTheme="minorHAnsi"/>
          <w:sz w:val="24"/>
          <w:szCs w:val="24"/>
          <w:lang w:eastAsia="en-AU"/>
        </w:rPr>
      </w:pPr>
      <w:hyperlink w:anchor="_Toc233036524" w:history="1">
        <w:r w:rsidRPr="0083626E">
          <w:rPr>
            <w:rStyle w:val="Hyperlink"/>
          </w:rPr>
          <w:t>Table 37: Screening level assessment of risks to soil organisms (worst-case scenario)</w:t>
        </w:r>
        <w:r>
          <w:rPr>
            <w:webHidden/>
          </w:rPr>
          <w:tab/>
        </w:r>
        <w:r>
          <w:rPr>
            <w:webHidden/>
          </w:rPr>
          <w:fldChar w:fldCharType="begin"/>
        </w:r>
        <w:r>
          <w:rPr>
            <w:webHidden/>
          </w:rPr>
          <w:instrText xml:space="preserve"> PAGEREF _Toc233036524 \h </w:instrText>
        </w:r>
        <w:r>
          <w:rPr>
            <w:webHidden/>
          </w:rPr>
        </w:r>
        <w:r>
          <w:rPr>
            <w:webHidden/>
          </w:rPr>
          <w:fldChar w:fldCharType="separate"/>
        </w:r>
        <w:r>
          <w:rPr>
            <w:webHidden/>
          </w:rPr>
          <w:t>96</w:t>
        </w:r>
        <w:r>
          <w:rPr>
            <w:webHidden/>
          </w:rPr>
          <w:fldChar w:fldCharType="end"/>
        </w:r>
      </w:hyperlink>
    </w:p>
    <w:p w14:paraId="031B171E" w14:textId="21007F75" w:rsidR="003A17E6" w:rsidRDefault="003A17E6">
      <w:pPr>
        <w:pStyle w:val="TableofFigures"/>
        <w:rPr>
          <w:rFonts w:asciiTheme="minorHAnsi" w:eastAsiaTheme="minorEastAsia" w:hAnsiTheme="minorHAnsi"/>
          <w:sz w:val="24"/>
          <w:szCs w:val="24"/>
          <w:lang w:eastAsia="en-AU"/>
        </w:rPr>
      </w:pPr>
      <w:hyperlink w:anchor="_Toc233036525" w:history="1">
        <w:r w:rsidRPr="0083626E">
          <w:rPr>
            <w:rStyle w:val="Hyperlink"/>
          </w:rPr>
          <w:t>Table 38: Diquat (115 g/L)/paraquat (135 g/L) combination products: environmental risk assessment scenarios</w:t>
        </w:r>
        <w:r>
          <w:rPr>
            <w:webHidden/>
          </w:rPr>
          <w:tab/>
        </w:r>
        <w:r>
          <w:rPr>
            <w:webHidden/>
          </w:rPr>
          <w:fldChar w:fldCharType="begin"/>
        </w:r>
        <w:r>
          <w:rPr>
            <w:webHidden/>
          </w:rPr>
          <w:instrText xml:space="preserve"> PAGEREF _Toc233036525 \h </w:instrText>
        </w:r>
        <w:r>
          <w:rPr>
            <w:webHidden/>
          </w:rPr>
        </w:r>
        <w:r>
          <w:rPr>
            <w:webHidden/>
          </w:rPr>
          <w:fldChar w:fldCharType="separate"/>
        </w:r>
        <w:r>
          <w:rPr>
            <w:webHidden/>
          </w:rPr>
          <w:t>96</w:t>
        </w:r>
        <w:r>
          <w:rPr>
            <w:webHidden/>
          </w:rPr>
          <w:fldChar w:fldCharType="end"/>
        </w:r>
      </w:hyperlink>
    </w:p>
    <w:p w14:paraId="41527FD0" w14:textId="7A5E719E" w:rsidR="003A17E6" w:rsidRDefault="003A17E6">
      <w:pPr>
        <w:pStyle w:val="TableofFigures"/>
        <w:rPr>
          <w:rFonts w:asciiTheme="minorHAnsi" w:eastAsiaTheme="minorEastAsia" w:hAnsiTheme="minorHAnsi"/>
          <w:sz w:val="24"/>
          <w:szCs w:val="24"/>
          <w:lang w:eastAsia="en-AU"/>
        </w:rPr>
      </w:pPr>
      <w:hyperlink w:anchor="_Toc233036526" w:history="1">
        <w:r w:rsidRPr="0083626E">
          <w:rPr>
            <w:rStyle w:val="Hyperlink"/>
          </w:rPr>
          <w:t>Table 39: Diquat (115 g/L)/paraquat (135 g/L) combination products - Predicted toxicity endpoints for non-target terrestrial plants (post-emergent exposure) used in SSD analysis</w:t>
        </w:r>
        <w:r>
          <w:rPr>
            <w:webHidden/>
          </w:rPr>
          <w:tab/>
        </w:r>
        <w:r>
          <w:rPr>
            <w:webHidden/>
          </w:rPr>
          <w:fldChar w:fldCharType="begin"/>
        </w:r>
        <w:r>
          <w:rPr>
            <w:webHidden/>
          </w:rPr>
          <w:instrText xml:space="preserve"> PAGEREF _Toc233036526 \h </w:instrText>
        </w:r>
        <w:r>
          <w:rPr>
            <w:webHidden/>
          </w:rPr>
        </w:r>
        <w:r>
          <w:rPr>
            <w:webHidden/>
          </w:rPr>
          <w:fldChar w:fldCharType="separate"/>
        </w:r>
        <w:r>
          <w:rPr>
            <w:webHidden/>
          </w:rPr>
          <w:t>99</w:t>
        </w:r>
        <w:r>
          <w:rPr>
            <w:webHidden/>
          </w:rPr>
          <w:fldChar w:fldCharType="end"/>
        </w:r>
      </w:hyperlink>
    </w:p>
    <w:p w14:paraId="14FE24F6" w14:textId="077603BA" w:rsidR="003A17E6" w:rsidRDefault="003A17E6">
      <w:pPr>
        <w:pStyle w:val="TableofFigures"/>
        <w:rPr>
          <w:rFonts w:asciiTheme="minorHAnsi" w:eastAsiaTheme="minorEastAsia" w:hAnsiTheme="minorHAnsi"/>
          <w:sz w:val="24"/>
          <w:szCs w:val="24"/>
          <w:lang w:eastAsia="en-AU"/>
        </w:rPr>
      </w:pPr>
      <w:hyperlink w:anchor="_Toc233036527" w:history="1">
        <w:r w:rsidRPr="0083626E">
          <w:rPr>
            <w:rStyle w:val="Hyperlink"/>
          </w:rPr>
          <w:t>Table 40: Diquat (115 g/L)/paraquat (135 g/L) combination products: regulatory acceptable levels for non-target species</w:t>
        </w:r>
        <w:r>
          <w:rPr>
            <w:webHidden/>
          </w:rPr>
          <w:tab/>
        </w:r>
        <w:r>
          <w:rPr>
            <w:webHidden/>
          </w:rPr>
          <w:fldChar w:fldCharType="begin"/>
        </w:r>
        <w:r>
          <w:rPr>
            <w:webHidden/>
          </w:rPr>
          <w:instrText xml:space="preserve"> PAGEREF _Toc233036527 \h </w:instrText>
        </w:r>
        <w:r>
          <w:rPr>
            <w:webHidden/>
          </w:rPr>
        </w:r>
        <w:r>
          <w:rPr>
            <w:webHidden/>
          </w:rPr>
          <w:fldChar w:fldCharType="separate"/>
        </w:r>
        <w:r>
          <w:rPr>
            <w:webHidden/>
          </w:rPr>
          <w:t>100</w:t>
        </w:r>
        <w:r>
          <w:rPr>
            <w:webHidden/>
          </w:rPr>
          <w:fldChar w:fldCharType="end"/>
        </w:r>
      </w:hyperlink>
    </w:p>
    <w:p w14:paraId="74DCA60A" w14:textId="35C593D2" w:rsidR="003A17E6" w:rsidRDefault="003A17E6">
      <w:pPr>
        <w:pStyle w:val="TableofFigures"/>
        <w:rPr>
          <w:rFonts w:asciiTheme="minorHAnsi" w:eastAsiaTheme="minorEastAsia" w:hAnsiTheme="minorHAnsi"/>
          <w:sz w:val="24"/>
          <w:szCs w:val="24"/>
          <w:lang w:eastAsia="en-AU"/>
        </w:rPr>
      </w:pPr>
      <w:hyperlink w:anchor="_Toc233036528" w:history="1">
        <w:r w:rsidRPr="0083626E">
          <w:rPr>
            <w:rStyle w:val="Hyperlink"/>
          </w:rPr>
          <w:t>Table 41: Diquat (115 g/L) &amp; paraquat (135 g/L) combination products: crop groups for terrestrial vertebrate assessment</w:t>
        </w:r>
        <w:r>
          <w:rPr>
            <w:webHidden/>
          </w:rPr>
          <w:tab/>
        </w:r>
        <w:r>
          <w:rPr>
            <w:webHidden/>
          </w:rPr>
          <w:fldChar w:fldCharType="begin"/>
        </w:r>
        <w:r>
          <w:rPr>
            <w:webHidden/>
          </w:rPr>
          <w:instrText xml:space="preserve"> PAGEREF _Toc233036528 \h </w:instrText>
        </w:r>
        <w:r>
          <w:rPr>
            <w:webHidden/>
          </w:rPr>
        </w:r>
        <w:r>
          <w:rPr>
            <w:webHidden/>
          </w:rPr>
          <w:fldChar w:fldCharType="separate"/>
        </w:r>
        <w:r>
          <w:rPr>
            <w:webHidden/>
          </w:rPr>
          <w:t>103</w:t>
        </w:r>
        <w:r>
          <w:rPr>
            <w:webHidden/>
          </w:rPr>
          <w:fldChar w:fldCharType="end"/>
        </w:r>
      </w:hyperlink>
    </w:p>
    <w:p w14:paraId="4FDAC212" w14:textId="4DAEFED0" w:rsidR="003A17E6" w:rsidRDefault="003A17E6">
      <w:pPr>
        <w:pStyle w:val="TableofFigures"/>
        <w:rPr>
          <w:rFonts w:asciiTheme="minorHAnsi" w:eastAsiaTheme="minorEastAsia" w:hAnsiTheme="minorHAnsi"/>
          <w:sz w:val="24"/>
          <w:szCs w:val="24"/>
          <w:lang w:eastAsia="en-AU"/>
        </w:rPr>
      </w:pPr>
      <w:hyperlink w:anchor="_Toc233036529" w:history="1">
        <w:r w:rsidRPr="0083626E">
          <w:rPr>
            <w:rStyle w:val="Hyperlink"/>
          </w:rPr>
          <w:t>Table 42: Diquat (115 g/L)/paraquat (135 g/L) combination products: acute risks to terrestrial vertebrates</w:t>
        </w:r>
        <w:r>
          <w:rPr>
            <w:webHidden/>
          </w:rPr>
          <w:tab/>
        </w:r>
        <w:r>
          <w:rPr>
            <w:webHidden/>
          </w:rPr>
          <w:fldChar w:fldCharType="begin"/>
        </w:r>
        <w:r>
          <w:rPr>
            <w:webHidden/>
          </w:rPr>
          <w:instrText xml:space="preserve"> PAGEREF _Toc233036529 \h </w:instrText>
        </w:r>
        <w:r>
          <w:rPr>
            <w:webHidden/>
          </w:rPr>
        </w:r>
        <w:r>
          <w:rPr>
            <w:webHidden/>
          </w:rPr>
          <w:fldChar w:fldCharType="separate"/>
        </w:r>
        <w:r>
          <w:rPr>
            <w:webHidden/>
          </w:rPr>
          <w:t>104</w:t>
        </w:r>
        <w:r>
          <w:rPr>
            <w:webHidden/>
          </w:rPr>
          <w:fldChar w:fldCharType="end"/>
        </w:r>
      </w:hyperlink>
    </w:p>
    <w:p w14:paraId="165410DF" w14:textId="32EC154D" w:rsidR="003A17E6" w:rsidRDefault="003A17E6">
      <w:pPr>
        <w:pStyle w:val="TableofFigures"/>
        <w:rPr>
          <w:rFonts w:asciiTheme="minorHAnsi" w:eastAsiaTheme="minorEastAsia" w:hAnsiTheme="minorHAnsi"/>
          <w:sz w:val="24"/>
          <w:szCs w:val="24"/>
          <w:lang w:eastAsia="en-AU"/>
        </w:rPr>
      </w:pPr>
      <w:hyperlink w:anchor="_Toc233036530" w:history="1">
        <w:r w:rsidRPr="0083626E">
          <w:rPr>
            <w:rStyle w:val="Hyperlink"/>
          </w:rPr>
          <w:t>Table 43: Summary of risk assessment outcomes for risks of combination products containing 115 g/L diquat and 135 g/L paraquat to terrestrial vertebrates</w:t>
        </w:r>
        <w:r>
          <w:rPr>
            <w:webHidden/>
          </w:rPr>
          <w:tab/>
        </w:r>
        <w:r>
          <w:rPr>
            <w:webHidden/>
          </w:rPr>
          <w:fldChar w:fldCharType="begin"/>
        </w:r>
        <w:r>
          <w:rPr>
            <w:webHidden/>
          </w:rPr>
          <w:instrText xml:space="preserve"> PAGEREF _Toc233036530 \h </w:instrText>
        </w:r>
        <w:r>
          <w:rPr>
            <w:webHidden/>
          </w:rPr>
        </w:r>
        <w:r>
          <w:rPr>
            <w:webHidden/>
          </w:rPr>
          <w:fldChar w:fldCharType="separate"/>
        </w:r>
        <w:r>
          <w:rPr>
            <w:webHidden/>
          </w:rPr>
          <w:t>109</w:t>
        </w:r>
        <w:r>
          <w:rPr>
            <w:webHidden/>
          </w:rPr>
          <w:fldChar w:fldCharType="end"/>
        </w:r>
      </w:hyperlink>
    </w:p>
    <w:p w14:paraId="3217F6CE" w14:textId="0152CB5D" w:rsidR="003A17E6" w:rsidRDefault="003A17E6">
      <w:pPr>
        <w:pStyle w:val="TableofFigures"/>
        <w:rPr>
          <w:rFonts w:asciiTheme="minorHAnsi" w:eastAsiaTheme="minorEastAsia" w:hAnsiTheme="minorHAnsi"/>
          <w:sz w:val="24"/>
          <w:szCs w:val="24"/>
          <w:lang w:eastAsia="en-AU"/>
        </w:rPr>
      </w:pPr>
      <w:hyperlink w:anchor="_Toc233036531" w:history="1">
        <w:r w:rsidRPr="0083626E">
          <w:rPr>
            <w:rStyle w:val="Hyperlink"/>
          </w:rPr>
          <w:t>Table 44: Screening level assessment of risks of combination products containing 115 g/L diquat and 135 g/L paraquat to bees</w:t>
        </w:r>
        <w:r>
          <w:rPr>
            <w:webHidden/>
          </w:rPr>
          <w:tab/>
        </w:r>
        <w:r>
          <w:rPr>
            <w:webHidden/>
          </w:rPr>
          <w:fldChar w:fldCharType="begin"/>
        </w:r>
        <w:r>
          <w:rPr>
            <w:webHidden/>
          </w:rPr>
          <w:instrText xml:space="preserve"> PAGEREF _Toc233036531 \h </w:instrText>
        </w:r>
        <w:r>
          <w:rPr>
            <w:webHidden/>
          </w:rPr>
        </w:r>
        <w:r>
          <w:rPr>
            <w:webHidden/>
          </w:rPr>
          <w:fldChar w:fldCharType="separate"/>
        </w:r>
        <w:r>
          <w:rPr>
            <w:webHidden/>
          </w:rPr>
          <w:t>111</w:t>
        </w:r>
        <w:r>
          <w:rPr>
            <w:webHidden/>
          </w:rPr>
          <w:fldChar w:fldCharType="end"/>
        </w:r>
      </w:hyperlink>
    </w:p>
    <w:p w14:paraId="5C6414BA" w14:textId="050A8AB5" w:rsidR="003A17E6" w:rsidRDefault="003A17E6">
      <w:pPr>
        <w:pStyle w:val="TableofFigures"/>
        <w:rPr>
          <w:rFonts w:asciiTheme="minorHAnsi" w:eastAsiaTheme="minorEastAsia" w:hAnsiTheme="minorHAnsi"/>
          <w:sz w:val="24"/>
          <w:szCs w:val="24"/>
          <w:lang w:eastAsia="en-AU"/>
        </w:rPr>
      </w:pPr>
      <w:hyperlink w:anchor="_Toc233036532" w:history="1">
        <w:r w:rsidRPr="0083626E">
          <w:rPr>
            <w:rStyle w:val="Hyperlink"/>
          </w:rPr>
          <w:t>Table 45: Assessment of risks of combination products containing 115 g/L diquat and 135 g/L paraquat to other non-target arthropods</w:t>
        </w:r>
        <w:r>
          <w:rPr>
            <w:webHidden/>
          </w:rPr>
          <w:tab/>
        </w:r>
        <w:r>
          <w:rPr>
            <w:webHidden/>
          </w:rPr>
          <w:fldChar w:fldCharType="begin"/>
        </w:r>
        <w:r>
          <w:rPr>
            <w:webHidden/>
          </w:rPr>
          <w:instrText xml:space="preserve"> PAGEREF _Toc233036532 \h </w:instrText>
        </w:r>
        <w:r>
          <w:rPr>
            <w:webHidden/>
          </w:rPr>
        </w:r>
        <w:r>
          <w:rPr>
            <w:webHidden/>
          </w:rPr>
          <w:fldChar w:fldCharType="separate"/>
        </w:r>
        <w:r>
          <w:rPr>
            <w:webHidden/>
          </w:rPr>
          <w:t>111</w:t>
        </w:r>
        <w:r>
          <w:rPr>
            <w:webHidden/>
          </w:rPr>
          <w:fldChar w:fldCharType="end"/>
        </w:r>
      </w:hyperlink>
    </w:p>
    <w:p w14:paraId="067BFFE3" w14:textId="17C22AAF" w:rsidR="003A17E6" w:rsidRDefault="003A17E6">
      <w:pPr>
        <w:pStyle w:val="TableofFigures"/>
        <w:rPr>
          <w:rFonts w:asciiTheme="minorHAnsi" w:eastAsiaTheme="minorEastAsia" w:hAnsiTheme="minorHAnsi"/>
          <w:sz w:val="24"/>
          <w:szCs w:val="24"/>
          <w:lang w:eastAsia="en-AU"/>
        </w:rPr>
      </w:pPr>
      <w:hyperlink w:anchor="_Toc233036533" w:history="1">
        <w:r w:rsidRPr="0083626E">
          <w:rPr>
            <w:rStyle w:val="Hyperlink"/>
          </w:rPr>
          <w:t>Table 46: Supported uses from the viewpoint of environmental safety</w:t>
        </w:r>
        <w:r>
          <w:rPr>
            <w:webHidden/>
          </w:rPr>
          <w:tab/>
        </w:r>
        <w:r>
          <w:rPr>
            <w:webHidden/>
          </w:rPr>
          <w:fldChar w:fldCharType="begin"/>
        </w:r>
        <w:r>
          <w:rPr>
            <w:webHidden/>
          </w:rPr>
          <w:instrText xml:space="preserve"> PAGEREF _Toc233036533 \h </w:instrText>
        </w:r>
        <w:r>
          <w:rPr>
            <w:webHidden/>
          </w:rPr>
        </w:r>
        <w:r>
          <w:rPr>
            <w:webHidden/>
          </w:rPr>
          <w:fldChar w:fldCharType="separate"/>
        </w:r>
        <w:r>
          <w:rPr>
            <w:webHidden/>
          </w:rPr>
          <w:t>112</w:t>
        </w:r>
        <w:r>
          <w:rPr>
            <w:webHidden/>
          </w:rPr>
          <w:fldChar w:fldCharType="end"/>
        </w:r>
      </w:hyperlink>
    </w:p>
    <w:p w14:paraId="5E14528C" w14:textId="152C4A87" w:rsidR="003A17E6" w:rsidRDefault="003A17E6">
      <w:pPr>
        <w:pStyle w:val="TableofFigures"/>
        <w:rPr>
          <w:rFonts w:asciiTheme="minorHAnsi" w:eastAsiaTheme="minorEastAsia" w:hAnsiTheme="minorHAnsi"/>
          <w:sz w:val="24"/>
          <w:szCs w:val="24"/>
          <w:lang w:eastAsia="en-AU"/>
        </w:rPr>
      </w:pPr>
      <w:hyperlink w:anchor="_Toc233036534" w:history="1">
        <w:r w:rsidRPr="0083626E">
          <w:rPr>
            <w:rStyle w:val="Hyperlink"/>
          </w:rPr>
          <w:t>Table 47: Uses not supported from the viewpoint of environmental safety</w:t>
        </w:r>
        <w:r>
          <w:rPr>
            <w:webHidden/>
          </w:rPr>
          <w:tab/>
        </w:r>
        <w:r>
          <w:rPr>
            <w:webHidden/>
          </w:rPr>
          <w:fldChar w:fldCharType="begin"/>
        </w:r>
        <w:r>
          <w:rPr>
            <w:webHidden/>
          </w:rPr>
          <w:instrText xml:space="preserve"> PAGEREF _Toc233036534 \h </w:instrText>
        </w:r>
        <w:r>
          <w:rPr>
            <w:webHidden/>
          </w:rPr>
        </w:r>
        <w:r>
          <w:rPr>
            <w:webHidden/>
          </w:rPr>
          <w:fldChar w:fldCharType="separate"/>
        </w:r>
        <w:r>
          <w:rPr>
            <w:webHidden/>
          </w:rPr>
          <w:t>113</w:t>
        </w:r>
        <w:r>
          <w:rPr>
            <w:webHidden/>
          </w:rPr>
          <w:fldChar w:fldCharType="end"/>
        </w:r>
      </w:hyperlink>
    </w:p>
    <w:p w14:paraId="4CAFAFB5" w14:textId="65E5511B" w:rsidR="003A17E6" w:rsidRDefault="003A17E6">
      <w:pPr>
        <w:pStyle w:val="TableofFigures"/>
        <w:rPr>
          <w:rFonts w:asciiTheme="minorHAnsi" w:eastAsiaTheme="minorEastAsia" w:hAnsiTheme="minorHAnsi"/>
          <w:sz w:val="24"/>
          <w:szCs w:val="24"/>
          <w:lang w:eastAsia="en-AU"/>
        </w:rPr>
      </w:pPr>
      <w:hyperlink w:anchor="_Toc233036535" w:history="1">
        <w:r w:rsidRPr="0083626E">
          <w:rPr>
            <w:rStyle w:val="Hyperlink"/>
          </w:rPr>
          <w:t>Table 48: Regulatory acceptable levels of paraquat resulting from spray drift</w:t>
        </w:r>
        <w:r>
          <w:rPr>
            <w:webHidden/>
          </w:rPr>
          <w:tab/>
        </w:r>
        <w:r>
          <w:rPr>
            <w:webHidden/>
          </w:rPr>
          <w:fldChar w:fldCharType="begin"/>
        </w:r>
        <w:r>
          <w:rPr>
            <w:webHidden/>
          </w:rPr>
          <w:instrText xml:space="preserve"> PAGEREF _Toc233036535 \h </w:instrText>
        </w:r>
        <w:r>
          <w:rPr>
            <w:webHidden/>
          </w:rPr>
        </w:r>
        <w:r>
          <w:rPr>
            <w:webHidden/>
          </w:rPr>
          <w:fldChar w:fldCharType="separate"/>
        </w:r>
        <w:r>
          <w:rPr>
            <w:webHidden/>
          </w:rPr>
          <w:t>115</w:t>
        </w:r>
        <w:r>
          <w:rPr>
            <w:webHidden/>
          </w:rPr>
          <w:fldChar w:fldCharType="end"/>
        </w:r>
      </w:hyperlink>
    </w:p>
    <w:p w14:paraId="0AF48D59" w14:textId="324837A3" w:rsidR="003A17E6" w:rsidRDefault="003A17E6">
      <w:pPr>
        <w:pStyle w:val="TableofFigures"/>
        <w:rPr>
          <w:rFonts w:asciiTheme="minorHAnsi" w:eastAsiaTheme="minorEastAsia" w:hAnsiTheme="minorHAnsi"/>
          <w:sz w:val="24"/>
          <w:szCs w:val="24"/>
          <w:lang w:eastAsia="en-AU"/>
        </w:rPr>
      </w:pPr>
      <w:hyperlink w:anchor="_Toc233036536" w:history="1">
        <w:r w:rsidRPr="0083626E">
          <w:rPr>
            <w:rStyle w:val="Hyperlink"/>
          </w:rPr>
          <w:t>Table 49: Regulatory acceptable levels of paraquat and diquat resulting from spray drift of chemical products co-formulated with both active constituents</w:t>
        </w:r>
        <w:r>
          <w:rPr>
            <w:webHidden/>
          </w:rPr>
          <w:tab/>
        </w:r>
        <w:r>
          <w:rPr>
            <w:webHidden/>
          </w:rPr>
          <w:fldChar w:fldCharType="begin"/>
        </w:r>
        <w:r>
          <w:rPr>
            <w:webHidden/>
          </w:rPr>
          <w:instrText xml:space="preserve"> PAGEREF _Toc233036536 \h </w:instrText>
        </w:r>
        <w:r>
          <w:rPr>
            <w:webHidden/>
          </w:rPr>
        </w:r>
        <w:r>
          <w:rPr>
            <w:webHidden/>
          </w:rPr>
          <w:fldChar w:fldCharType="separate"/>
        </w:r>
        <w:r>
          <w:rPr>
            <w:webHidden/>
          </w:rPr>
          <w:t>115</w:t>
        </w:r>
        <w:r>
          <w:rPr>
            <w:webHidden/>
          </w:rPr>
          <w:fldChar w:fldCharType="end"/>
        </w:r>
      </w:hyperlink>
    </w:p>
    <w:p w14:paraId="62DF3398" w14:textId="534F91D2" w:rsidR="003A17E6" w:rsidRDefault="003A17E6">
      <w:pPr>
        <w:pStyle w:val="TableofFigures"/>
        <w:rPr>
          <w:rFonts w:asciiTheme="minorHAnsi" w:eastAsiaTheme="minorEastAsia" w:hAnsiTheme="minorHAnsi"/>
          <w:sz w:val="24"/>
          <w:szCs w:val="24"/>
          <w:lang w:eastAsia="en-AU"/>
        </w:rPr>
      </w:pPr>
      <w:hyperlink w:anchor="_Toc233036537" w:history="1">
        <w:r w:rsidRPr="0083626E">
          <w:rPr>
            <w:rStyle w:val="Hyperlink"/>
          </w:rPr>
          <w:t>Table 50: Paraquat buffer zones for boom sprayers</w:t>
        </w:r>
        <w:r>
          <w:rPr>
            <w:webHidden/>
          </w:rPr>
          <w:tab/>
        </w:r>
        <w:r>
          <w:rPr>
            <w:webHidden/>
          </w:rPr>
          <w:fldChar w:fldCharType="begin"/>
        </w:r>
        <w:r>
          <w:rPr>
            <w:webHidden/>
          </w:rPr>
          <w:instrText xml:space="preserve"> PAGEREF _Toc233036537 \h </w:instrText>
        </w:r>
        <w:r>
          <w:rPr>
            <w:webHidden/>
          </w:rPr>
        </w:r>
        <w:r>
          <w:rPr>
            <w:webHidden/>
          </w:rPr>
          <w:fldChar w:fldCharType="separate"/>
        </w:r>
        <w:r>
          <w:rPr>
            <w:webHidden/>
          </w:rPr>
          <w:t>116</w:t>
        </w:r>
        <w:r>
          <w:rPr>
            <w:webHidden/>
          </w:rPr>
          <w:fldChar w:fldCharType="end"/>
        </w:r>
      </w:hyperlink>
    </w:p>
    <w:p w14:paraId="27CB4B20" w14:textId="63EED164" w:rsidR="003A17E6" w:rsidRDefault="003A17E6">
      <w:pPr>
        <w:pStyle w:val="TableofFigures"/>
        <w:rPr>
          <w:rFonts w:asciiTheme="minorHAnsi" w:eastAsiaTheme="minorEastAsia" w:hAnsiTheme="minorHAnsi"/>
          <w:sz w:val="24"/>
          <w:szCs w:val="24"/>
          <w:lang w:eastAsia="en-AU"/>
        </w:rPr>
      </w:pPr>
      <w:hyperlink w:anchor="_Toc233036538" w:history="1">
        <w:r w:rsidRPr="0083626E">
          <w:rPr>
            <w:rStyle w:val="Hyperlink"/>
          </w:rPr>
          <w:t>Table 51: Diquat/paraquat co-formulated product buffer zones for boom sprayers</w:t>
        </w:r>
        <w:r>
          <w:rPr>
            <w:webHidden/>
          </w:rPr>
          <w:tab/>
        </w:r>
        <w:r>
          <w:rPr>
            <w:webHidden/>
          </w:rPr>
          <w:fldChar w:fldCharType="begin"/>
        </w:r>
        <w:r>
          <w:rPr>
            <w:webHidden/>
          </w:rPr>
          <w:instrText xml:space="preserve"> PAGEREF _Toc233036538 \h </w:instrText>
        </w:r>
        <w:r>
          <w:rPr>
            <w:webHidden/>
          </w:rPr>
        </w:r>
        <w:r>
          <w:rPr>
            <w:webHidden/>
          </w:rPr>
          <w:fldChar w:fldCharType="separate"/>
        </w:r>
        <w:r>
          <w:rPr>
            <w:webHidden/>
          </w:rPr>
          <w:t>117</w:t>
        </w:r>
        <w:r>
          <w:rPr>
            <w:webHidden/>
          </w:rPr>
          <w:fldChar w:fldCharType="end"/>
        </w:r>
      </w:hyperlink>
    </w:p>
    <w:p w14:paraId="3D0DDC99" w14:textId="50F5FE6A" w:rsidR="003A17E6" w:rsidRDefault="003A17E6">
      <w:pPr>
        <w:pStyle w:val="TableofFigures"/>
        <w:rPr>
          <w:rFonts w:asciiTheme="minorHAnsi" w:eastAsiaTheme="minorEastAsia" w:hAnsiTheme="minorHAnsi"/>
          <w:sz w:val="24"/>
          <w:szCs w:val="24"/>
          <w:lang w:eastAsia="en-AU"/>
        </w:rPr>
      </w:pPr>
      <w:hyperlink w:anchor="_Toc233036539" w:history="1">
        <w:r w:rsidRPr="0083626E">
          <w:rPr>
            <w:rStyle w:val="Hyperlink"/>
          </w:rPr>
          <w:t>Table 52: Risk assessment outcomes for products containing paraquat</w:t>
        </w:r>
        <w:r>
          <w:rPr>
            <w:webHidden/>
          </w:rPr>
          <w:tab/>
        </w:r>
        <w:r>
          <w:rPr>
            <w:webHidden/>
          </w:rPr>
          <w:fldChar w:fldCharType="begin"/>
        </w:r>
        <w:r>
          <w:rPr>
            <w:webHidden/>
          </w:rPr>
          <w:instrText xml:space="preserve"> PAGEREF _Toc233036539 \h </w:instrText>
        </w:r>
        <w:r>
          <w:rPr>
            <w:webHidden/>
          </w:rPr>
        </w:r>
        <w:r>
          <w:rPr>
            <w:webHidden/>
          </w:rPr>
          <w:fldChar w:fldCharType="separate"/>
        </w:r>
        <w:r>
          <w:rPr>
            <w:webHidden/>
          </w:rPr>
          <w:t>121</w:t>
        </w:r>
        <w:r>
          <w:rPr>
            <w:webHidden/>
          </w:rPr>
          <w:fldChar w:fldCharType="end"/>
        </w:r>
      </w:hyperlink>
    </w:p>
    <w:p w14:paraId="57D4A87B" w14:textId="698FB152" w:rsidR="003A17E6" w:rsidRDefault="003A17E6">
      <w:pPr>
        <w:pStyle w:val="TableofFigures"/>
        <w:rPr>
          <w:rFonts w:asciiTheme="minorHAnsi" w:eastAsiaTheme="minorEastAsia" w:hAnsiTheme="minorHAnsi"/>
          <w:sz w:val="24"/>
          <w:szCs w:val="24"/>
          <w:lang w:eastAsia="en-AU"/>
        </w:rPr>
      </w:pPr>
      <w:hyperlink w:anchor="_Toc233036540" w:history="1">
        <w:r w:rsidRPr="0083626E">
          <w:rPr>
            <w:rStyle w:val="Hyperlink"/>
          </w:rPr>
          <w:t>Table 53: Risk assessment outcomes for products containing paraquat and diquat</w:t>
        </w:r>
        <w:r>
          <w:rPr>
            <w:webHidden/>
          </w:rPr>
          <w:tab/>
        </w:r>
        <w:r>
          <w:rPr>
            <w:webHidden/>
          </w:rPr>
          <w:fldChar w:fldCharType="begin"/>
        </w:r>
        <w:r>
          <w:rPr>
            <w:webHidden/>
          </w:rPr>
          <w:instrText xml:space="preserve"> PAGEREF _Toc233036540 \h </w:instrText>
        </w:r>
        <w:r>
          <w:rPr>
            <w:webHidden/>
          </w:rPr>
        </w:r>
        <w:r>
          <w:rPr>
            <w:webHidden/>
          </w:rPr>
          <w:fldChar w:fldCharType="separate"/>
        </w:r>
        <w:r>
          <w:rPr>
            <w:webHidden/>
          </w:rPr>
          <w:t>126</w:t>
        </w:r>
        <w:r>
          <w:rPr>
            <w:webHidden/>
          </w:rPr>
          <w:fldChar w:fldCharType="end"/>
        </w:r>
      </w:hyperlink>
    </w:p>
    <w:p w14:paraId="14505ACA" w14:textId="35B8397F" w:rsidR="003A17E6" w:rsidRDefault="003A17E6">
      <w:pPr>
        <w:pStyle w:val="TableofFigures"/>
        <w:rPr>
          <w:rFonts w:asciiTheme="minorHAnsi" w:eastAsiaTheme="minorEastAsia" w:hAnsiTheme="minorHAnsi"/>
          <w:sz w:val="24"/>
          <w:szCs w:val="24"/>
          <w:lang w:eastAsia="en-AU"/>
        </w:rPr>
      </w:pPr>
      <w:hyperlink w:anchor="_Toc233036541" w:history="1">
        <w:r w:rsidRPr="0083626E">
          <w:rPr>
            <w:rStyle w:val="Hyperlink"/>
          </w:rPr>
          <w:t>Table 54: Paraquat – Dissipation in animal food items</w:t>
        </w:r>
        <w:r>
          <w:rPr>
            <w:webHidden/>
          </w:rPr>
          <w:tab/>
        </w:r>
        <w:r>
          <w:rPr>
            <w:webHidden/>
          </w:rPr>
          <w:fldChar w:fldCharType="begin"/>
        </w:r>
        <w:r>
          <w:rPr>
            <w:webHidden/>
          </w:rPr>
          <w:instrText xml:space="preserve"> PAGEREF _Toc233036541 \h </w:instrText>
        </w:r>
        <w:r>
          <w:rPr>
            <w:webHidden/>
          </w:rPr>
        </w:r>
        <w:r>
          <w:rPr>
            <w:webHidden/>
          </w:rPr>
          <w:fldChar w:fldCharType="separate"/>
        </w:r>
        <w:r>
          <w:rPr>
            <w:webHidden/>
          </w:rPr>
          <w:t>138</w:t>
        </w:r>
        <w:r>
          <w:rPr>
            <w:webHidden/>
          </w:rPr>
          <w:fldChar w:fldCharType="end"/>
        </w:r>
      </w:hyperlink>
    </w:p>
    <w:p w14:paraId="69B7C4A2" w14:textId="66B33454" w:rsidR="003A17E6" w:rsidRDefault="003A17E6">
      <w:pPr>
        <w:pStyle w:val="TableofFigures"/>
        <w:rPr>
          <w:rFonts w:asciiTheme="minorHAnsi" w:eastAsiaTheme="minorEastAsia" w:hAnsiTheme="minorHAnsi"/>
          <w:sz w:val="24"/>
          <w:szCs w:val="24"/>
          <w:lang w:eastAsia="en-AU"/>
        </w:rPr>
      </w:pPr>
      <w:hyperlink w:anchor="_Toc233036542" w:history="1">
        <w:r w:rsidRPr="0083626E">
          <w:rPr>
            <w:rStyle w:val="Hyperlink"/>
          </w:rPr>
          <w:t>Table 55: Paraquat – Fate and behaviour in soil</w:t>
        </w:r>
        <w:r>
          <w:rPr>
            <w:webHidden/>
          </w:rPr>
          <w:tab/>
        </w:r>
        <w:r>
          <w:rPr>
            <w:webHidden/>
          </w:rPr>
          <w:fldChar w:fldCharType="begin"/>
        </w:r>
        <w:r>
          <w:rPr>
            <w:webHidden/>
          </w:rPr>
          <w:instrText xml:space="preserve"> PAGEREF _Toc233036542 \h </w:instrText>
        </w:r>
        <w:r>
          <w:rPr>
            <w:webHidden/>
          </w:rPr>
        </w:r>
        <w:r>
          <w:rPr>
            <w:webHidden/>
          </w:rPr>
          <w:fldChar w:fldCharType="separate"/>
        </w:r>
        <w:r>
          <w:rPr>
            <w:webHidden/>
          </w:rPr>
          <w:t>138</w:t>
        </w:r>
        <w:r>
          <w:rPr>
            <w:webHidden/>
          </w:rPr>
          <w:fldChar w:fldCharType="end"/>
        </w:r>
      </w:hyperlink>
    </w:p>
    <w:p w14:paraId="49FF5F1B" w14:textId="78D8D8A8" w:rsidR="003A17E6" w:rsidRDefault="003A17E6">
      <w:pPr>
        <w:pStyle w:val="TableofFigures"/>
        <w:rPr>
          <w:rFonts w:asciiTheme="minorHAnsi" w:eastAsiaTheme="minorEastAsia" w:hAnsiTheme="minorHAnsi"/>
          <w:sz w:val="24"/>
          <w:szCs w:val="24"/>
          <w:lang w:eastAsia="en-AU"/>
        </w:rPr>
      </w:pPr>
      <w:hyperlink w:anchor="_Toc233036543" w:history="1">
        <w:r w:rsidRPr="0083626E">
          <w:rPr>
            <w:rStyle w:val="Hyperlink"/>
          </w:rPr>
          <w:t>Table 56: Paraquat – Fate and behaviour in water and sediment</w:t>
        </w:r>
        <w:r>
          <w:rPr>
            <w:webHidden/>
          </w:rPr>
          <w:tab/>
        </w:r>
        <w:r>
          <w:rPr>
            <w:webHidden/>
          </w:rPr>
          <w:fldChar w:fldCharType="begin"/>
        </w:r>
        <w:r>
          <w:rPr>
            <w:webHidden/>
          </w:rPr>
          <w:instrText xml:space="preserve"> PAGEREF _Toc233036543 \h </w:instrText>
        </w:r>
        <w:r>
          <w:rPr>
            <w:webHidden/>
          </w:rPr>
        </w:r>
        <w:r>
          <w:rPr>
            <w:webHidden/>
          </w:rPr>
          <w:fldChar w:fldCharType="separate"/>
        </w:r>
        <w:r>
          <w:rPr>
            <w:webHidden/>
          </w:rPr>
          <w:t>139</w:t>
        </w:r>
        <w:r>
          <w:rPr>
            <w:webHidden/>
          </w:rPr>
          <w:fldChar w:fldCharType="end"/>
        </w:r>
      </w:hyperlink>
    </w:p>
    <w:p w14:paraId="64F069FF" w14:textId="409BABBD" w:rsidR="003A17E6" w:rsidRDefault="003A17E6">
      <w:pPr>
        <w:pStyle w:val="TableofFigures"/>
        <w:rPr>
          <w:rFonts w:asciiTheme="minorHAnsi" w:eastAsiaTheme="minorEastAsia" w:hAnsiTheme="minorHAnsi"/>
          <w:sz w:val="24"/>
          <w:szCs w:val="24"/>
          <w:lang w:eastAsia="en-AU"/>
        </w:rPr>
      </w:pPr>
      <w:hyperlink w:anchor="_Toc233036544" w:history="1">
        <w:r w:rsidRPr="0083626E">
          <w:rPr>
            <w:rStyle w:val="Hyperlink"/>
          </w:rPr>
          <w:t>Table 57: Paraquat – Fate and behaviour in air</w:t>
        </w:r>
        <w:r>
          <w:rPr>
            <w:webHidden/>
          </w:rPr>
          <w:tab/>
        </w:r>
        <w:r>
          <w:rPr>
            <w:webHidden/>
          </w:rPr>
          <w:fldChar w:fldCharType="begin"/>
        </w:r>
        <w:r>
          <w:rPr>
            <w:webHidden/>
          </w:rPr>
          <w:instrText xml:space="preserve"> PAGEREF _Toc233036544 \h </w:instrText>
        </w:r>
        <w:r>
          <w:rPr>
            <w:webHidden/>
          </w:rPr>
        </w:r>
        <w:r>
          <w:rPr>
            <w:webHidden/>
          </w:rPr>
          <w:fldChar w:fldCharType="separate"/>
        </w:r>
        <w:r>
          <w:rPr>
            <w:webHidden/>
          </w:rPr>
          <w:t>139</w:t>
        </w:r>
        <w:r>
          <w:rPr>
            <w:webHidden/>
          </w:rPr>
          <w:fldChar w:fldCharType="end"/>
        </w:r>
      </w:hyperlink>
    </w:p>
    <w:p w14:paraId="761F37A5" w14:textId="525D1BF0" w:rsidR="003A17E6" w:rsidRDefault="003A17E6">
      <w:pPr>
        <w:pStyle w:val="TableofFigures"/>
        <w:rPr>
          <w:rFonts w:asciiTheme="minorHAnsi" w:eastAsiaTheme="minorEastAsia" w:hAnsiTheme="minorHAnsi"/>
          <w:sz w:val="24"/>
          <w:szCs w:val="24"/>
          <w:lang w:eastAsia="en-AU"/>
        </w:rPr>
      </w:pPr>
      <w:hyperlink w:anchor="_Toc233036545" w:history="1">
        <w:r w:rsidRPr="0083626E">
          <w:rPr>
            <w:rStyle w:val="Hyperlink"/>
          </w:rPr>
          <w:t>Table 58: Paraquat – Monitoring data</w:t>
        </w:r>
        <w:r>
          <w:rPr>
            <w:webHidden/>
          </w:rPr>
          <w:tab/>
        </w:r>
        <w:r>
          <w:rPr>
            <w:webHidden/>
          </w:rPr>
          <w:fldChar w:fldCharType="begin"/>
        </w:r>
        <w:r>
          <w:rPr>
            <w:webHidden/>
          </w:rPr>
          <w:instrText xml:space="preserve"> PAGEREF _Toc233036545 \h </w:instrText>
        </w:r>
        <w:r>
          <w:rPr>
            <w:webHidden/>
          </w:rPr>
        </w:r>
        <w:r>
          <w:rPr>
            <w:webHidden/>
          </w:rPr>
          <w:fldChar w:fldCharType="separate"/>
        </w:r>
        <w:r>
          <w:rPr>
            <w:webHidden/>
          </w:rPr>
          <w:t>139</w:t>
        </w:r>
        <w:r>
          <w:rPr>
            <w:webHidden/>
          </w:rPr>
          <w:fldChar w:fldCharType="end"/>
        </w:r>
      </w:hyperlink>
    </w:p>
    <w:p w14:paraId="26A6B73E" w14:textId="49968A2B" w:rsidR="003A17E6" w:rsidRDefault="003A17E6">
      <w:pPr>
        <w:pStyle w:val="TableofFigures"/>
        <w:rPr>
          <w:rFonts w:asciiTheme="minorHAnsi" w:eastAsiaTheme="minorEastAsia" w:hAnsiTheme="minorHAnsi"/>
          <w:sz w:val="24"/>
          <w:szCs w:val="24"/>
          <w:lang w:eastAsia="en-AU"/>
        </w:rPr>
      </w:pPr>
      <w:hyperlink w:anchor="_Toc233036546" w:history="1">
        <w:r w:rsidRPr="0083626E">
          <w:rPr>
            <w:rStyle w:val="Hyperlink"/>
          </w:rPr>
          <w:t>Table 59: Paraquat – Laboratory studies on terrestrial vertebrates</w:t>
        </w:r>
        <w:r>
          <w:rPr>
            <w:webHidden/>
          </w:rPr>
          <w:tab/>
        </w:r>
        <w:r>
          <w:rPr>
            <w:webHidden/>
          </w:rPr>
          <w:fldChar w:fldCharType="begin"/>
        </w:r>
        <w:r>
          <w:rPr>
            <w:webHidden/>
          </w:rPr>
          <w:instrText xml:space="preserve"> PAGEREF _Toc233036546 \h </w:instrText>
        </w:r>
        <w:r>
          <w:rPr>
            <w:webHidden/>
          </w:rPr>
        </w:r>
        <w:r>
          <w:rPr>
            <w:webHidden/>
          </w:rPr>
          <w:fldChar w:fldCharType="separate"/>
        </w:r>
        <w:r>
          <w:rPr>
            <w:webHidden/>
          </w:rPr>
          <w:t>140</w:t>
        </w:r>
        <w:r>
          <w:rPr>
            <w:webHidden/>
          </w:rPr>
          <w:fldChar w:fldCharType="end"/>
        </w:r>
      </w:hyperlink>
    </w:p>
    <w:p w14:paraId="64D09A91" w14:textId="3148632B" w:rsidR="003A17E6" w:rsidRDefault="003A17E6">
      <w:pPr>
        <w:pStyle w:val="TableofFigures"/>
        <w:rPr>
          <w:rFonts w:asciiTheme="minorHAnsi" w:eastAsiaTheme="minorEastAsia" w:hAnsiTheme="minorHAnsi"/>
          <w:sz w:val="24"/>
          <w:szCs w:val="24"/>
          <w:lang w:eastAsia="en-AU"/>
        </w:rPr>
      </w:pPr>
      <w:hyperlink w:anchor="_Toc233036547" w:history="1">
        <w:r w:rsidRPr="0083626E">
          <w:rPr>
            <w:rStyle w:val="Hyperlink"/>
          </w:rPr>
          <w:t>Table 60: Paraquat – Monitoring data on terrestrial vertebrates</w:t>
        </w:r>
        <w:r>
          <w:rPr>
            <w:webHidden/>
          </w:rPr>
          <w:tab/>
        </w:r>
        <w:r>
          <w:rPr>
            <w:webHidden/>
          </w:rPr>
          <w:fldChar w:fldCharType="begin"/>
        </w:r>
        <w:r>
          <w:rPr>
            <w:webHidden/>
          </w:rPr>
          <w:instrText xml:space="preserve"> PAGEREF _Toc233036547 \h </w:instrText>
        </w:r>
        <w:r>
          <w:rPr>
            <w:webHidden/>
          </w:rPr>
        </w:r>
        <w:r>
          <w:rPr>
            <w:webHidden/>
          </w:rPr>
          <w:fldChar w:fldCharType="separate"/>
        </w:r>
        <w:r>
          <w:rPr>
            <w:webHidden/>
          </w:rPr>
          <w:t>141</w:t>
        </w:r>
        <w:r>
          <w:rPr>
            <w:webHidden/>
          </w:rPr>
          <w:fldChar w:fldCharType="end"/>
        </w:r>
      </w:hyperlink>
    </w:p>
    <w:p w14:paraId="31C68CBC" w14:textId="4AC2C1FC" w:rsidR="003A17E6" w:rsidRDefault="003A17E6">
      <w:pPr>
        <w:pStyle w:val="TableofFigures"/>
        <w:rPr>
          <w:rFonts w:asciiTheme="minorHAnsi" w:eastAsiaTheme="minorEastAsia" w:hAnsiTheme="minorHAnsi"/>
          <w:sz w:val="24"/>
          <w:szCs w:val="24"/>
          <w:lang w:eastAsia="en-AU"/>
        </w:rPr>
      </w:pPr>
      <w:hyperlink w:anchor="_Toc233036548" w:history="1">
        <w:r w:rsidRPr="0083626E">
          <w:rPr>
            <w:rStyle w:val="Hyperlink"/>
          </w:rPr>
          <w:t>Table 61: Paraquat – Effects on aquatic species</w:t>
        </w:r>
        <w:r>
          <w:rPr>
            <w:webHidden/>
          </w:rPr>
          <w:tab/>
        </w:r>
        <w:r>
          <w:rPr>
            <w:webHidden/>
          </w:rPr>
          <w:fldChar w:fldCharType="begin"/>
        </w:r>
        <w:r>
          <w:rPr>
            <w:webHidden/>
          </w:rPr>
          <w:instrText xml:space="preserve"> PAGEREF _Toc233036548 \h </w:instrText>
        </w:r>
        <w:r>
          <w:rPr>
            <w:webHidden/>
          </w:rPr>
        </w:r>
        <w:r>
          <w:rPr>
            <w:webHidden/>
          </w:rPr>
          <w:fldChar w:fldCharType="separate"/>
        </w:r>
        <w:r>
          <w:rPr>
            <w:webHidden/>
          </w:rPr>
          <w:t>141</w:t>
        </w:r>
        <w:r>
          <w:rPr>
            <w:webHidden/>
          </w:rPr>
          <w:fldChar w:fldCharType="end"/>
        </w:r>
      </w:hyperlink>
    </w:p>
    <w:p w14:paraId="2911DCE5" w14:textId="78C62A0F" w:rsidR="003A17E6" w:rsidRDefault="003A17E6">
      <w:pPr>
        <w:pStyle w:val="TableofFigures"/>
        <w:rPr>
          <w:rFonts w:asciiTheme="minorHAnsi" w:eastAsiaTheme="minorEastAsia" w:hAnsiTheme="minorHAnsi"/>
          <w:sz w:val="24"/>
          <w:szCs w:val="24"/>
          <w:lang w:eastAsia="en-AU"/>
        </w:rPr>
      </w:pPr>
      <w:hyperlink w:anchor="_Toc233036549" w:history="1">
        <w:r w:rsidRPr="0083626E">
          <w:rPr>
            <w:rStyle w:val="Hyperlink"/>
          </w:rPr>
          <w:t>Table 62: Paraquat – Effects on bees</w:t>
        </w:r>
        <w:r>
          <w:rPr>
            <w:webHidden/>
          </w:rPr>
          <w:tab/>
        </w:r>
        <w:r>
          <w:rPr>
            <w:webHidden/>
          </w:rPr>
          <w:fldChar w:fldCharType="begin"/>
        </w:r>
        <w:r>
          <w:rPr>
            <w:webHidden/>
          </w:rPr>
          <w:instrText xml:space="preserve"> PAGEREF _Toc233036549 \h </w:instrText>
        </w:r>
        <w:r>
          <w:rPr>
            <w:webHidden/>
          </w:rPr>
        </w:r>
        <w:r>
          <w:rPr>
            <w:webHidden/>
          </w:rPr>
          <w:fldChar w:fldCharType="separate"/>
        </w:r>
        <w:r>
          <w:rPr>
            <w:webHidden/>
          </w:rPr>
          <w:t>142</w:t>
        </w:r>
        <w:r>
          <w:rPr>
            <w:webHidden/>
          </w:rPr>
          <w:fldChar w:fldCharType="end"/>
        </w:r>
      </w:hyperlink>
    </w:p>
    <w:p w14:paraId="2D53F371" w14:textId="27836DEF" w:rsidR="003A17E6" w:rsidRDefault="003A17E6">
      <w:pPr>
        <w:pStyle w:val="TableofFigures"/>
        <w:rPr>
          <w:rFonts w:asciiTheme="minorHAnsi" w:eastAsiaTheme="minorEastAsia" w:hAnsiTheme="minorHAnsi"/>
          <w:sz w:val="24"/>
          <w:szCs w:val="24"/>
          <w:lang w:eastAsia="en-AU"/>
        </w:rPr>
      </w:pPr>
      <w:hyperlink w:anchor="_Toc233036550" w:history="1">
        <w:r w:rsidRPr="0083626E">
          <w:rPr>
            <w:rStyle w:val="Hyperlink"/>
          </w:rPr>
          <w:t>Table 63: Paraquat – Laboratory studies on other arthropod species</w:t>
        </w:r>
        <w:r>
          <w:rPr>
            <w:webHidden/>
          </w:rPr>
          <w:tab/>
        </w:r>
        <w:r>
          <w:rPr>
            <w:webHidden/>
          </w:rPr>
          <w:fldChar w:fldCharType="begin"/>
        </w:r>
        <w:r>
          <w:rPr>
            <w:webHidden/>
          </w:rPr>
          <w:instrText xml:space="preserve"> PAGEREF _Toc233036550 \h </w:instrText>
        </w:r>
        <w:r>
          <w:rPr>
            <w:webHidden/>
          </w:rPr>
        </w:r>
        <w:r>
          <w:rPr>
            <w:webHidden/>
          </w:rPr>
          <w:fldChar w:fldCharType="separate"/>
        </w:r>
        <w:r>
          <w:rPr>
            <w:webHidden/>
          </w:rPr>
          <w:t>143</w:t>
        </w:r>
        <w:r>
          <w:rPr>
            <w:webHidden/>
          </w:rPr>
          <w:fldChar w:fldCharType="end"/>
        </w:r>
      </w:hyperlink>
    </w:p>
    <w:p w14:paraId="08AEFD03" w14:textId="13BCD953" w:rsidR="003A17E6" w:rsidRDefault="003A17E6">
      <w:pPr>
        <w:pStyle w:val="TableofFigures"/>
        <w:rPr>
          <w:rFonts w:asciiTheme="minorHAnsi" w:eastAsiaTheme="minorEastAsia" w:hAnsiTheme="minorHAnsi"/>
          <w:sz w:val="24"/>
          <w:szCs w:val="24"/>
          <w:lang w:eastAsia="en-AU"/>
        </w:rPr>
      </w:pPr>
      <w:hyperlink w:anchor="_Toc233036551" w:history="1">
        <w:r w:rsidRPr="0083626E">
          <w:rPr>
            <w:rStyle w:val="Hyperlink"/>
          </w:rPr>
          <w:t>Table 64: Paraquat – Field studies on other arthropod species</w:t>
        </w:r>
        <w:r>
          <w:rPr>
            <w:webHidden/>
          </w:rPr>
          <w:tab/>
        </w:r>
        <w:r>
          <w:rPr>
            <w:webHidden/>
          </w:rPr>
          <w:fldChar w:fldCharType="begin"/>
        </w:r>
        <w:r>
          <w:rPr>
            <w:webHidden/>
          </w:rPr>
          <w:instrText xml:space="preserve"> PAGEREF _Toc233036551 \h </w:instrText>
        </w:r>
        <w:r>
          <w:rPr>
            <w:webHidden/>
          </w:rPr>
        </w:r>
        <w:r>
          <w:rPr>
            <w:webHidden/>
          </w:rPr>
          <w:fldChar w:fldCharType="separate"/>
        </w:r>
        <w:r>
          <w:rPr>
            <w:webHidden/>
          </w:rPr>
          <w:t>143</w:t>
        </w:r>
        <w:r>
          <w:rPr>
            <w:webHidden/>
          </w:rPr>
          <w:fldChar w:fldCharType="end"/>
        </w:r>
      </w:hyperlink>
    </w:p>
    <w:p w14:paraId="3C2D1017" w14:textId="00F9C9E8" w:rsidR="003A17E6" w:rsidRDefault="003A17E6">
      <w:pPr>
        <w:pStyle w:val="TableofFigures"/>
        <w:rPr>
          <w:rFonts w:asciiTheme="minorHAnsi" w:eastAsiaTheme="minorEastAsia" w:hAnsiTheme="minorHAnsi"/>
          <w:sz w:val="24"/>
          <w:szCs w:val="24"/>
          <w:lang w:eastAsia="en-AU"/>
        </w:rPr>
      </w:pPr>
      <w:hyperlink w:anchor="_Toc233036552" w:history="1">
        <w:r w:rsidRPr="0083626E">
          <w:rPr>
            <w:rStyle w:val="Hyperlink"/>
          </w:rPr>
          <w:t>Table 65: Paraquat – Laboratory studies on soil organisms</w:t>
        </w:r>
        <w:r>
          <w:rPr>
            <w:webHidden/>
          </w:rPr>
          <w:tab/>
        </w:r>
        <w:r>
          <w:rPr>
            <w:webHidden/>
          </w:rPr>
          <w:fldChar w:fldCharType="begin"/>
        </w:r>
        <w:r>
          <w:rPr>
            <w:webHidden/>
          </w:rPr>
          <w:instrText xml:space="preserve"> PAGEREF _Toc233036552 \h </w:instrText>
        </w:r>
        <w:r>
          <w:rPr>
            <w:webHidden/>
          </w:rPr>
        </w:r>
        <w:r>
          <w:rPr>
            <w:webHidden/>
          </w:rPr>
          <w:fldChar w:fldCharType="separate"/>
        </w:r>
        <w:r>
          <w:rPr>
            <w:webHidden/>
          </w:rPr>
          <w:t>143</w:t>
        </w:r>
        <w:r>
          <w:rPr>
            <w:webHidden/>
          </w:rPr>
          <w:fldChar w:fldCharType="end"/>
        </w:r>
      </w:hyperlink>
    </w:p>
    <w:p w14:paraId="27CF1E72" w14:textId="2A487F27" w:rsidR="003A17E6" w:rsidRDefault="003A17E6">
      <w:pPr>
        <w:pStyle w:val="TableofFigures"/>
        <w:rPr>
          <w:rFonts w:asciiTheme="minorHAnsi" w:eastAsiaTheme="minorEastAsia" w:hAnsiTheme="minorHAnsi"/>
          <w:sz w:val="24"/>
          <w:szCs w:val="24"/>
          <w:lang w:eastAsia="en-AU"/>
        </w:rPr>
      </w:pPr>
      <w:hyperlink w:anchor="_Toc233036553" w:history="1">
        <w:r w:rsidRPr="0083626E">
          <w:rPr>
            <w:rStyle w:val="Hyperlink"/>
          </w:rPr>
          <w:t>Table 66: Paraquat – Field studies on soil organisms</w:t>
        </w:r>
        <w:r>
          <w:rPr>
            <w:webHidden/>
          </w:rPr>
          <w:tab/>
        </w:r>
        <w:r>
          <w:rPr>
            <w:webHidden/>
          </w:rPr>
          <w:fldChar w:fldCharType="begin"/>
        </w:r>
        <w:r>
          <w:rPr>
            <w:webHidden/>
          </w:rPr>
          <w:instrText xml:space="preserve"> PAGEREF _Toc233036553 \h </w:instrText>
        </w:r>
        <w:r>
          <w:rPr>
            <w:webHidden/>
          </w:rPr>
        </w:r>
        <w:r>
          <w:rPr>
            <w:webHidden/>
          </w:rPr>
          <w:fldChar w:fldCharType="separate"/>
        </w:r>
        <w:r>
          <w:rPr>
            <w:webHidden/>
          </w:rPr>
          <w:t>143</w:t>
        </w:r>
        <w:r>
          <w:rPr>
            <w:webHidden/>
          </w:rPr>
          <w:fldChar w:fldCharType="end"/>
        </w:r>
      </w:hyperlink>
    </w:p>
    <w:p w14:paraId="4FCFB7F5" w14:textId="2F812005" w:rsidR="003A17E6" w:rsidRDefault="003A17E6">
      <w:pPr>
        <w:pStyle w:val="TableofFigures"/>
        <w:rPr>
          <w:rFonts w:asciiTheme="minorHAnsi" w:eastAsiaTheme="minorEastAsia" w:hAnsiTheme="minorHAnsi"/>
          <w:sz w:val="24"/>
          <w:szCs w:val="24"/>
          <w:lang w:eastAsia="en-AU"/>
        </w:rPr>
      </w:pPr>
      <w:hyperlink w:anchor="_Toc233036554" w:history="1">
        <w:r w:rsidRPr="0083626E">
          <w:rPr>
            <w:rStyle w:val="Hyperlink"/>
          </w:rPr>
          <w:t>Table 67: Paraquat – Effects on non-target terrestrial plants</w:t>
        </w:r>
        <w:r>
          <w:rPr>
            <w:webHidden/>
          </w:rPr>
          <w:tab/>
        </w:r>
        <w:r>
          <w:rPr>
            <w:webHidden/>
          </w:rPr>
          <w:fldChar w:fldCharType="begin"/>
        </w:r>
        <w:r>
          <w:rPr>
            <w:webHidden/>
          </w:rPr>
          <w:instrText xml:space="preserve"> PAGEREF _Toc233036554 \h </w:instrText>
        </w:r>
        <w:r>
          <w:rPr>
            <w:webHidden/>
          </w:rPr>
        </w:r>
        <w:r>
          <w:rPr>
            <w:webHidden/>
          </w:rPr>
          <w:fldChar w:fldCharType="separate"/>
        </w:r>
        <w:r>
          <w:rPr>
            <w:webHidden/>
          </w:rPr>
          <w:t>144</w:t>
        </w:r>
        <w:r>
          <w:rPr>
            <w:webHidden/>
          </w:rPr>
          <w:fldChar w:fldCharType="end"/>
        </w:r>
      </w:hyperlink>
    </w:p>
    <w:p w14:paraId="6ED102D9" w14:textId="70BB42A5" w:rsidR="003A17E6" w:rsidRDefault="003A17E6">
      <w:pPr>
        <w:pStyle w:val="TableofFigures"/>
        <w:rPr>
          <w:rFonts w:asciiTheme="minorHAnsi" w:eastAsiaTheme="minorEastAsia" w:hAnsiTheme="minorHAnsi"/>
          <w:sz w:val="24"/>
          <w:szCs w:val="24"/>
          <w:lang w:eastAsia="en-AU"/>
        </w:rPr>
      </w:pPr>
      <w:hyperlink w:anchor="_Toc233036555" w:history="1">
        <w:r w:rsidRPr="0083626E">
          <w:rPr>
            <w:rStyle w:val="Hyperlink"/>
          </w:rPr>
          <w:t>Table 68: Diquat/paraquat combination products: short-term effects on terrestrial vertebrates</w:t>
        </w:r>
        <w:r>
          <w:rPr>
            <w:webHidden/>
          </w:rPr>
          <w:tab/>
        </w:r>
        <w:r>
          <w:rPr>
            <w:webHidden/>
          </w:rPr>
          <w:fldChar w:fldCharType="begin"/>
        </w:r>
        <w:r>
          <w:rPr>
            <w:webHidden/>
          </w:rPr>
          <w:instrText xml:space="preserve"> PAGEREF _Toc233036555 \h </w:instrText>
        </w:r>
        <w:r>
          <w:rPr>
            <w:webHidden/>
          </w:rPr>
        </w:r>
        <w:r>
          <w:rPr>
            <w:webHidden/>
          </w:rPr>
          <w:fldChar w:fldCharType="separate"/>
        </w:r>
        <w:r>
          <w:rPr>
            <w:webHidden/>
          </w:rPr>
          <w:t>144</w:t>
        </w:r>
        <w:r>
          <w:rPr>
            <w:webHidden/>
          </w:rPr>
          <w:fldChar w:fldCharType="end"/>
        </w:r>
      </w:hyperlink>
    </w:p>
    <w:p w14:paraId="63673EA8" w14:textId="1209E26E" w:rsidR="003A17E6" w:rsidRDefault="003A17E6">
      <w:pPr>
        <w:pStyle w:val="TableofFigures"/>
        <w:rPr>
          <w:rFonts w:asciiTheme="minorHAnsi" w:eastAsiaTheme="minorEastAsia" w:hAnsiTheme="minorHAnsi"/>
          <w:sz w:val="24"/>
          <w:szCs w:val="24"/>
          <w:lang w:eastAsia="en-AU"/>
        </w:rPr>
      </w:pPr>
      <w:hyperlink w:anchor="_Toc233036556" w:history="1">
        <w:r w:rsidRPr="0083626E">
          <w:rPr>
            <w:rStyle w:val="Hyperlink"/>
          </w:rPr>
          <w:t>Table 69: Diquat/paraquat combination products: short-term effects on aquatic species</w:t>
        </w:r>
        <w:r>
          <w:rPr>
            <w:webHidden/>
          </w:rPr>
          <w:tab/>
        </w:r>
        <w:r>
          <w:rPr>
            <w:webHidden/>
          </w:rPr>
          <w:fldChar w:fldCharType="begin"/>
        </w:r>
        <w:r>
          <w:rPr>
            <w:webHidden/>
          </w:rPr>
          <w:instrText xml:space="preserve"> PAGEREF _Toc233036556 \h </w:instrText>
        </w:r>
        <w:r>
          <w:rPr>
            <w:webHidden/>
          </w:rPr>
        </w:r>
        <w:r>
          <w:rPr>
            <w:webHidden/>
          </w:rPr>
          <w:fldChar w:fldCharType="separate"/>
        </w:r>
        <w:r>
          <w:rPr>
            <w:webHidden/>
          </w:rPr>
          <w:t>145</w:t>
        </w:r>
        <w:r>
          <w:rPr>
            <w:webHidden/>
          </w:rPr>
          <w:fldChar w:fldCharType="end"/>
        </w:r>
      </w:hyperlink>
    </w:p>
    <w:p w14:paraId="0ADBAEBE" w14:textId="5F22AA47" w:rsidR="003A17E6" w:rsidRDefault="003A17E6">
      <w:pPr>
        <w:pStyle w:val="TableofFigures"/>
        <w:rPr>
          <w:rFonts w:asciiTheme="minorHAnsi" w:eastAsiaTheme="minorEastAsia" w:hAnsiTheme="minorHAnsi"/>
          <w:sz w:val="24"/>
          <w:szCs w:val="24"/>
          <w:lang w:eastAsia="en-AU"/>
        </w:rPr>
      </w:pPr>
      <w:hyperlink w:anchor="_Toc233036557" w:history="1">
        <w:r w:rsidRPr="0083626E">
          <w:rPr>
            <w:rStyle w:val="Hyperlink"/>
          </w:rPr>
          <w:t>Table 70: Diquat/paraquat combination products: short-term effects on bees</w:t>
        </w:r>
        <w:r>
          <w:rPr>
            <w:webHidden/>
          </w:rPr>
          <w:tab/>
        </w:r>
        <w:r>
          <w:rPr>
            <w:webHidden/>
          </w:rPr>
          <w:fldChar w:fldCharType="begin"/>
        </w:r>
        <w:r>
          <w:rPr>
            <w:webHidden/>
          </w:rPr>
          <w:instrText xml:space="preserve"> PAGEREF _Toc233036557 \h </w:instrText>
        </w:r>
        <w:r>
          <w:rPr>
            <w:webHidden/>
          </w:rPr>
        </w:r>
        <w:r>
          <w:rPr>
            <w:webHidden/>
          </w:rPr>
          <w:fldChar w:fldCharType="separate"/>
        </w:r>
        <w:r>
          <w:rPr>
            <w:webHidden/>
          </w:rPr>
          <w:t>147</w:t>
        </w:r>
        <w:r>
          <w:rPr>
            <w:webHidden/>
          </w:rPr>
          <w:fldChar w:fldCharType="end"/>
        </w:r>
      </w:hyperlink>
    </w:p>
    <w:p w14:paraId="28CB5E3B" w14:textId="11B53BD7" w:rsidR="003A17E6" w:rsidRDefault="003A17E6">
      <w:pPr>
        <w:pStyle w:val="TableofFigures"/>
        <w:rPr>
          <w:rFonts w:asciiTheme="minorHAnsi" w:eastAsiaTheme="minorEastAsia" w:hAnsiTheme="minorHAnsi"/>
          <w:sz w:val="24"/>
          <w:szCs w:val="24"/>
          <w:lang w:eastAsia="en-AU"/>
        </w:rPr>
      </w:pPr>
      <w:hyperlink w:anchor="_Toc233036558" w:history="1">
        <w:r w:rsidRPr="0083626E">
          <w:rPr>
            <w:rStyle w:val="Hyperlink"/>
          </w:rPr>
          <w:t>Table 71: Diquat/paraquat combination products: effects on other terrestrial arthropods</w:t>
        </w:r>
        <w:r>
          <w:rPr>
            <w:webHidden/>
          </w:rPr>
          <w:tab/>
        </w:r>
        <w:r>
          <w:rPr>
            <w:webHidden/>
          </w:rPr>
          <w:fldChar w:fldCharType="begin"/>
        </w:r>
        <w:r>
          <w:rPr>
            <w:webHidden/>
          </w:rPr>
          <w:instrText xml:space="preserve"> PAGEREF _Toc233036558 \h </w:instrText>
        </w:r>
        <w:r>
          <w:rPr>
            <w:webHidden/>
          </w:rPr>
        </w:r>
        <w:r>
          <w:rPr>
            <w:webHidden/>
          </w:rPr>
          <w:fldChar w:fldCharType="separate"/>
        </w:r>
        <w:r>
          <w:rPr>
            <w:webHidden/>
          </w:rPr>
          <w:t>147</w:t>
        </w:r>
        <w:r>
          <w:rPr>
            <w:webHidden/>
          </w:rPr>
          <w:fldChar w:fldCharType="end"/>
        </w:r>
      </w:hyperlink>
    </w:p>
    <w:p w14:paraId="1CEAC18C" w14:textId="620ACB71" w:rsidR="003A17E6" w:rsidRDefault="003A17E6">
      <w:pPr>
        <w:pStyle w:val="TableofFigures"/>
        <w:rPr>
          <w:rFonts w:asciiTheme="minorHAnsi" w:eastAsiaTheme="minorEastAsia" w:hAnsiTheme="minorHAnsi"/>
          <w:sz w:val="24"/>
          <w:szCs w:val="24"/>
          <w:lang w:eastAsia="en-AU"/>
        </w:rPr>
      </w:pPr>
      <w:hyperlink w:anchor="_Toc233036559" w:history="1">
        <w:r w:rsidRPr="0083626E">
          <w:rPr>
            <w:rStyle w:val="Hyperlink"/>
          </w:rPr>
          <w:t>Table 72: Diquat/paraquat combination products: short-term effects on soil organisms</w:t>
        </w:r>
        <w:r>
          <w:rPr>
            <w:webHidden/>
          </w:rPr>
          <w:tab/>
        </w:r>
        <w:r>
          <w:rPr>
            <w:webHidden/>
          </w:rPr>
          <w:fldChar w:fldCharType="begin"/>
        </w:r>
        <w:r>
          <w:rPr>
            <w:webHidden/>
          </w:rPr>
          <w:instrText xml:space="preserve"> PAGEREF _Toc233036559 \h </w:instrText>
        </w:r>
        <w:r>
          <w:rPr>
            <w:webHidden/>
          </w:rPr>
        </w:r>
        <w:r>
          <w:rPr>
            <w:webHidden/>
          </w:rPr>
          <w:fldChar w:fldCharType="separate"/>
        </w:r>
        <w:r>
          <w:rPr>
            <w:webHidden/>
          </w:rPr>
          <w:t>148</w:t>
        </w:r>
        <w:r>
          <w:rPr>
            <w:webHidden/>
          </w:rPr>
          <w:fldChar w:fldCharType="end"/>
        </w:r>
      </w:hyperlink>
    </w:p>
    <w:p w14:paraId="750FCF9A" w14:textId="48DDBDEE" w:rsidR="003A17E6" w:rsidRDefault="003A17E6">
      <w:pPr>
        <w:pStyle w:val="TableofFigures"/>
        <w:rPr>
          <w:rFonts w:asciiTheme="minorHAnsi" w:eastAsiaTheme="minorEastAsia" w:hAnsiTheme="minorHAnsi"/>
          <w:sz w:val="24"/>
          <w:szCs w:val="24"/>
          <w:lang w:eastAsia="en-AU"/>
        </w:rPr>
      </w:pPr>
      <w:hyperlink w:anchor="_Toc233036560" w:history="1">
        <w:r w:rsidRPr="0083626E">
          <w:rPr>
            <w:rStyle w:val="Hyperlink"/>
          </w:rPr>
          <w:t>Table 73: Diquat/paraquat combination products: effects on non-target terrestrial plants (post-emergent exposure)</w:t>
        </w:r>
        <w:r>
          <w:rPr>
            <w:webHidden/>
          </w:rPr>
          <w:tab/>
        </w:r>
        <w:r>
          <w:rPr>
            <w:webHidden/>
          </w:rPr>
          <w:fldChar w:fldCharType="begin"/>
        </w:r>
        <w:r>
          <w:rPr>
            <w:webHidden/>
          </w:rPr>
          <w:instrText xml:space="preserve"> PAGEREF _Toc233036560 \h </w:instrText>
        </w:r>
        <w:r>
          <w:rPr>
            <w:webHidden/>
          </w:rPr>
        </w:r>
        <w:r>
          <w:rPr>
            <w:webHidden/>
          </w:rPr>
          <w:fldChar w:fldCharType="separate"/>
        </w:r>
        <w:r>
          <w:rPr>
            <w:webHidden/>
          </w:rPr>
          <w:t>148</w:t>
        </w:r>
        <w:r>
          <w:rPr>
            <w:webHidden/>
          </w:rPr>
          <w:fldChar w:fldCharType="end"/>
        </w:r>
      </w:hyperlink>
    </w:p>
    <w:p w14:paraId="7A9C4C8A" w14:textId="1D2C320F" w:rsidR="003A17E6" w:rsidRDefault="003A17E6">
      <w:pPr>
        <w:pStyle w:val="TableofFigures"/>
        <w:rPr>
          <w:rFonts w:asciiTheme="minorHAnsi" w:eastAsiaTheme="minorEastAsia" w:hAnsiTheme="minorHAnsi"/>
          <w:sz w:val="24"/>
          <w:szCs w:val="24"/>
          <w:lang w:eastAsia="en-AU"/>
        </w:rPr>
      </w:pPr>
      <w:hyperlink w:anchor="_Toc233036561" w:history="1">
        <w:r w:rsidRPr="0083626E">
          <w:rPr>
            <w:rStyle w:val="Hyperlink"/>
          </w:rPr>
          <w:t>Table 74: Seasonal exposure estimates for paraquat in animal food items</w:t>
        </w:r>
        <w:r>
          <w:rPr>
            <w:webHidden/>
          </w:rPr>
          <w:tab/>
        </w:r>
        <w:r>
          <w:rPr>
            <w:webHidden/>
          </w:rPr>
          <w:fldChar w:fldCharType="begin"/>
        </w:r>
        <w:r>
          <w:rPr>
            <w:webHidden/>
          </w:rPr>
          <w:instrText xml:space="preserve"> PAGEREF _Toc233036561 \h </w:instrText>
        </w:r>
        <w:r>
          <w:rPr>
            <w:webHidden/>
          </w:rPr>
        </w:r>
        <w:r>
          <w:rPr>
            <w:webHidden/>
          </w:rPr>
          <w:fldChar w:fldCharType="separate"/>
        </w:r>
        <w:r>
          <w:rPr>
            <w:webHidden/>
          </w:rPr>
          <w:t>150</w:t>
        </w:r>
        <w:r>
          <w:rPr>
            <w:webHidden/>
          </w:rPr>
          <w:fldChar w:fldCharType="end"/>
        </w:r>
      </w:hyperlink>
    </w:p>
    <w:p w14:paraId="5931453D" w14:textId="030149E8" w:rsidR="003A17E6" w:rsidRDefault="003A17E6">
      <w:pPr>
        <w:pStyle w:val="TableofFigures"/>
        <w:rPr>
          <w:rFonts w:asciiTheme="minorHAnsi" w:eastAsiaTheme="minorEastAsia" w:hAnsiTheme="minorHAnsi"/>
          <w:sz w:val="24"/>
          <w:szCs w:val="24"/>
          <w:lang w:eastAsia="en-AU"/>
        </w:rPr>
      </w:pPr>
      <w:hyperlink w:anchor="_Toc233036562" w:history="1">
        <w:r w:rsidRPr="0083626E">
          <w:rPr>
            <w:rStyle w:val="Hyperlink"/>
          </w:rPr>
          <w:t>Table 75: Assessment of risks to wild mammals (acute RAL 6.1 mg/kg bw; chronic 3.8 mg ac/kg bw/d)</w:t>
        </w:r>
        <w:r>
          <w:rPr>
            <w:webHidden/>
          </w:rPr>
          <w:tab/>
        </w:r>
        <w:r>
          <w:rPr>
            <w:webHidden/>
          </w:rPr>
          <w:fldChar w:fldCharType="begin"/>
        </w:r>
        <w:r>
          <w:rPr>
            <w:webHidden/>
          </w:rPr>
          <w:instrText xml:space="preserve"> PAGEREF _Toc233036562 \h </w:instrText>
        </w:r>
        <w:r>
          <w:rPr>
            <w:webHidden/>
          </w:rPr>
        </w:r>
        <w:r>
          <w:rPr>
            <w:webHidden/>
          </w:rPr>
          <w:fldChar w:fldCharType="separate"/>
        </w:r>
        <w:r>
          <w:rPr>
            <w:webHidden/>
          </w:rPr>
          <w:t>153</w:t>
        </w:r>
        <w:r>
          <w:rPr>
            <w:webHidden/>
          </w:rPr>
          <w:fldChar w:fldCharType="end"/>
        </w:r>
      </w:hyperlink>
    </w:p>
    <w:p w14:paraId="523A1FC8" w14:textId="4A924BD3" w:rsidR="003A17E6" w:rsidRDefault="003A17E6">
      <w:pPr>
        <w:pStyle w:val="TableofFigures"/>
        <w:rPr>
          <w:rFonts w:asciiTheme="minorHAnsi" w:eastAsiaTheme="minorEastAsia" w:hAnsiTheme="minorHAnsi"/>
          <w:sz w:val="24"/>
          <w:szCs w:val="24"/>
          <w:lang w:eastAsia="en-AU"/>
        </w:rPr>
      </w:pPr>
      <w:hyperlink w:anchor="_Toc233036563" w:history="1">
        <w:r w:rsidRPr="0083626E">
          <w:rPr>
            <w:rStyle w:val="Hyperlink"/>
          </w:rPr>
          <w:t>Table 76: Assessment of risks to birds (acute RAL 5.7 mg/kg bw; chronic RAL 2.7 mg ac/kg bw/d)</w:t>
        </w:r>
        <w:r>
          <w:rPr>
            <w:webHidden/>
          </w:rPr>
          <w:tab/>
        </w:r>
        <w:r>
          <w:rPr>
            <w:webHidden/>
          </w:rPr>
          <w:fldChar w:fldCharType="begin"/>
        </w:r>
        <w:r>
          <w:rPr>
            <w:webHidden/>
          </w:rPr>
          <w:instrText xml:space="preserve"> PAGEREF _Toc233036563 \h </w:instrText>
        </w:r>
        <w:r>
          <w:rPr>
            <w:webHidden/>
          </w:rPr>
        </w:r>
        <w:r>
          <w:rPr>
            <w:webHidden/>
          </w:rPr>
          <w:fldChar w:fldCharType="separate"/>
        </w:r>
        <w:r>
          <w:rPr>
            <w:webHidden/>
          </w:rPr>
          <w:t>154</w:t>
        </w:r>
        <w:r>
          <w:rPr>
            <w:webHidden/>
          </w:rPr>
          <w:fldChar w:fldCharType="end"/>
        </w:r>
      </w:hyperlink>
    </w:p>
    <w:p w14:paraId="1AE227B5" w14:textId="1AA3284C" w:rsidR="003A17E6" w:rsidRDefault="003A17E6">
      <w:pPr>
        <w:pStyle w:val="TableofFigures"/>
        <w:rPr>
          <w:rFonts w:asciiTheme="minorHAnsi" w:eastAsiaTheme="minorEastAsia" w:hAnsiTheme="minorHAnsi"/>
          <w:sz w:val="24"/>
          <w:szCs w:val="24"/>
          <w:lang w:eastAsia="en-AU"/>
        </w:rPr>
      </w:pPr>
      <w:hyperlink w:anchor="_Toc233036564" w:history="1">
        <w:r w:rsidRPr="0083626E">
          <w:rPr>
            <w:rStyle w:val="Hyperlink"/>
          </w:rPr>
          <w:t>Table 77: Refined assessment of risks to wild mammals (acute RAL 6.1 mg/kg bw; chronic 3.8 mg ac/kg bw/d)</w:t>
        </w:r>
        <w:r>
          <w:rPr>
            <w:webHidden/>
          </w:rPr>
          <w:tab/>
        </w:r>
        <w:r>
          <w:rPr>
            <w:webHidden/>
          </w:rPr>
          <w:fldChar w:fldCharType="begin"/>
        </w:r>
        <w:r>
          <w:rPr>
            <w:webHidden/>
          </w:rPr>
          <w:instrText xml:space="preserve"> PAGEREF _Toc233036564 \h </w:instrText>
        </w:r>
        <w:r>
          <w:rPr>
            <w:webHidden/>
          </w:rPr>
        </w:r>
        <w:r>
          <w:rPr>
            <w:webHidden/>
          </w:rPr>
          <w:fldChar w:fldCharType="separate"/>
        </w:r>
        <w:r>
          <w:rPr>
            <w:webHidden/>
          </w:rPr>
          <w:t>156</w:t>
        </w:r>
        <w:r>
          <w:rPr>
            <w:webHidden/>
          </w:rPr>
          <w:fldChar w:fldCharType="end"/>
        </w:r>
      </w:hyperlink>
    </w:p>
    <w:p w14:paraId="7119FB61" w14:textId="3E94ACE1" w:rsidR="003A17E6" w:rsidRDefault="003A17E6">
      <w:pPr>
        <w:pStyle w:val="TableofFigures"/>
        <w:rPr>
          <w:rFonts w:asciiTheme="minorHAnsi" w:eastAsiaTheme="minorEastAsia" w:hAnsiTheme="minorHAnsi"/>
          <w:sz w:val="24"/>
          <w:szCs w:val="24"/>
          <w:lang w:eastAsia="en-AU"/>
        </w:rPr>
      </w:pPr>
      <w:hyperlink w:anchor="_Toc233036565" w:history="1">
        <w:r w:rsidRPr="0083626E">
          <w:rPr>
            <w:rStyle w:val="Hyperlink"/>
          </w:rPr>
          <w:t>Table 78: Refined assessment of risks to birds (acute RAL 5.7 mg/kg bw; chronic 2.7 mg ac/kg bw/d)</w:t>
        </w:r>
        <w:r>
          <w:rPr>
            <w:webHidden/>
          </w:rPr>
          <w:tab/>
        </w:r>
        <w:r>
          <w:rPr>
            <w:webHidden/>
          </w:rPr>
          <w:fldChar w:fldCharType="begin"/>
        </w:r>
        <w:r>
          <w:rPr>
            <w:webHidden/>
          </w:rPr>
          <w:instrText xml:space="preserve"> PAGEREF _Toc233036565 \h </w:instrText>
        </w:r>
        <w:r>
          <w:rPr>
            <w:webHidden/>
          </w:rPr>
        </w:r>
        <w:r>
          <w:rPr>
            <w:webHidden/>
          </w:rPr>
          <w:fldChar w:fldCharType="separate"/>
        </w:r>
        <w:r>
          <w:rPr>
            <w:webHidden/>
          </w:rPr>
          <w:t>165</w:t>
        </w:r>
        <w:r>
          <w:rPr>
            <w:webHidden/>
          </w:rPr>
          <w:fldChar w:fldCharType="end"/>
        </w:r>
      </w:hyperlink>
    </w:p>
    <w:p w14:paraId="0CCDB406" w14:textId="1BB88471" w:rsidR="003A17E6" w:rsidRDefault="003A17E6">
      <w:pPr>
        <w:pStyle w:val="TableofFigures"/>
        <w:rPr>
          <w:rFonts w:asciiTheme="minorHAnsi" w:eastAsiaTheme="minorEastAsia" w:hAnsiTheme="minorHAnsi"/>
          <w:sz w:val="24"/>
          <w:szCs w:val="24"/>
          <w:lang w:eastAsia="en-AU"/>
        </w:rPr>
      </w:pPr>
      <w:hyperlink w:anchor="_Toc233036566" w:history="1">
        <w:r w:rsidRPr="0083626E">
          <w:rPr>
            <w:rStyle w:val="Hyperlink"/>
          </w:rPr>
          <w:t>Table 79: Sources of uncertainty relevant to a weight of evidence argument</w:t>
        </w:r>
        <w:r>
          <w:rPr>
            <w:webHidden/>
          </w:rPr>
          <w:tab/>
        </w:r>
        <w:r>
          <w:rPr>
            <w:webHidden/>
          </w:rPr>
          <w:fldChar w:fldCharType="begin"/>
        </w:r>
        <w:r>
          <w:rPr>
            <w:webHidden/>
          </w:rPr>
          <w:instrText xml:space="preserve"> PAGEREF _Toc233036566 \h </w:instrText>
        </w:r>
        <w:r>
          <w:rPr>
            <w:webHidden/>
          </w:rPr>
        </w:r>
        <w:r>
          <w:rPr>
            <w:webHidden/>
          </w:rPr>
          <w:fldChar w:fldCharType="separate"/>
        </w:r>
        <w:r>
          <w:rPr>
            <w:webHidden/>
          </w:rPr>
          <w:t>175</w:t>
        </w:r>
        <w:r>
          <w:rPr>
            <w:webHidden/>
          </w:rPr>
          <w:fldChar w:fldCharType="end"/>
        </w:r>
      </w:hyperlink>
    </w:p>
    <w:p w14:paraId="4A80005A" w14:textId="56EDCC10" w:rsidR="003A17E6" w:rsidRDefault="003A17E6">
      <w:pPr>
        <w:pStyle w:val="TableofFigures"/>
        <w:rPr>
          <w:rFonts w:asciiTheme="minorHAnsi" w:eastAsiaTheme="minorEastAsia" w:hAnsiTheme="minorHAnsi"/>
          <w:sz w:val="24"/>
          <w:szCs w:val="24"/>
          <w:lang w:eastAsia="en-AU"/>
        </w:rPr>
      </w:pPr>
      <w:hyperlink w:anchor="_Toc233036567" w:history="1">
        <w:r w:rsidRPr="0083626E">
          <w:rPr>
            <w:rStyle w:val="Hyperlink"/>
          </w:rPr>
          <w:t>Table 80: Risk assessment conclusions for terrestrial vertebrates</w:t>
        </w:r>
        <w:r>
          <w:rPr>
            <w:webHidden/>
          </w:rPr>
          <w:tab/>
        </w:r>
        <w:r>
          <w:rPr>
            <w:webHidden/>
          </w:rPr>
          <w:fldChar w:fldCharType="begin"/>
        </w:r>
        <w:r>
          <w:rPr>
            <w:webHidden/>
          </w:rPr>
          <w:instrText xml:space="preserve"> PAGEREF _Toc233036567 \h </w:instrText>
        </w:r>
        <w:r>
          <w:rPr>
            <w:webHidden/>
          </w:rPr>
        </w:r>
        <w:r>
          <w:rPr>
            <w:webHidden/>
          </w:rPr>
          <w:fldChar w:fldCharType="separate"/>
        </w:r>
        <w:r>
          <w:rPr>
            <w:webHidden/>
          </w:rPr>
          <w:t>186</w:t>
        </w:r>
        <w:r>
          <w:rPr>
            <w:webHidden/>
          </w:rPr>
          <w:fldChar w:fldCharType="end"/>
        </w:r>
      </w:hyperlink>
    </w:p>
    <w:p w14:paraId="642BE59F" w14:textId="404B54F3" w:rsidR="002A3239" w:rsidRPr="00D63217" w:rsidRDefault="00841C5F" w:rsidP="00841C5F">
      <w:pPr>
        <w:pStyle w:val="NormalText"/>
        <w:rPr>
          <w:noProof/>
        </w:rPr>
        <w:sectPr w:rsidR="002A3239" w:rsidRPr="00D63217" w:rsidSect="003023C5">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63B01B29" w:rsidR="002E20AC" w:rsidRPr="007A49D1" w:rsidRDefault="002E20AC" w:rsidP="007A49D1">
      <w:pPr>
        <w:pStyle w:val="PreliminariesH1"/>
      </w:pPr>
      <w:bookmarkStart w:id="2" w:name="_Toc234063054"/>
      <w:bookmarkStart w:id="3" w:name="_Toc414373831"/>
      <w:bookmarkStart w:id="4" w:name="_Toc135232585"/>
      <w:bookmarkStart w:id="5" w:name="_Toc231480809"/>
      <w:bookmarkStart w:id="6" w:name="_Toc233036367"/>
      <w:r w:rsidRPr="007A49D1">
        <w:lastRenderedPageBreak/>
        <w:t>Preface</w:t>
      </w:r>
      <w:bookmarkEnd w:id="2"/>
      <w:bookmarkEnd w:id="3"/>
      <w:bookmarkEnd w:id="4"/>
      <w:bookmarkEnd w:id="5"/>
      <w:bookmarkEnd w:id="6"/>
    </w:p>
    <w:p w14:paraId="32A3C3B3" w14:textId="50A891BF" w:rsidR="00DF10C5" w:rsidRPr="00D63217" w:rsidRDefault="00DF10C5" w:rsidP="00DF10C5">
      <w:pPr>
        <w:pStyle w:val="NormalText"/>
      </w:pPr>
      <w:r w:rsidRPr="00D63217">
        <w:t xml:space="preserve">The Australian Pesticides and Veterinary Medicines Authority (APVMA) is </w:t>
      </w:r>
      <w:r w:rsidR="00857B77" w:rsidRPr="00D63217">
        <w:t xml:space="preserve">the </w:t>
      </w:r>
      <w:r w:rsidRPr="00D63217">
        <w:t>independent</w:t>
      </w:r>
      <w:r w:rsidR="001D5F45">
        <w:t xml:space="preserve"> </w:t>
      </w:r>
      <w:r w:rsidR="00CC2670">
        <w:t>C</w:t>
      </w:r>
      <w:r w:rsidR="001D5F45">
        <w:t>ommonwealth</w:t>
      </w:r>
      <w:r w:rsidRPr="00D63217">
        <w:t xml:space="preserve"> statutory authority with responsibility for the regulation of agricultural and veterinary chemicals in Australia. Its statutory powers are provided in the Agricultural and Veterinary Chemicals Code (the</w:t>
      </w:r>
      <w:r w:rsidR="00857B77" w:rsidRPr="00D63217">
        <w:t xml:space="preserve"> Agvet</w:t>
      </w:r>
      <w:r w:rsidRPr="00D63217">
        <w:t xml:space="preserve"> Code), which is scheduled to the </w:t>
      </w:r>
      <w:r w:rsidRPr="00D63217">
        <w:rPr>
          <w:i/>
          <w:iCs/>
        </w:rPr>
        <w:t>Agricultural and Veterinary Chemicals Code Act 1994</w:t>
      </w:r>
      <w:r w:rsidRPr="00D63217">
        <w:t>.</w:t>
      </w:r>
    </w:p>
    <w:p w14:paraId="3A94E22D" w14:textId="77777777" w:rsidR="00DF10C5" w:rsidRPr="005F3CF0" w:rsidRDefault="00DF10C5" w:rsidP="005F3CF0">
      <w:pPr>
        <w:pStyle w:val="PreliminariesH2"/>
        <w:tabs>
          <w:tab w:val="clear" w:pos="907"/>
        </w:tabs>
      </w:pPr>
      <w:bookmarkStart w:id="7" w:name="_Toc157602738"/>
      <w:bookmarkStart w:id="8" w:name="_Toc231480810"/>
      <w:bookmarkStart w:id="9" w:name="_Toc414373833"/>
      <w:bookmarkStart w:id="10" w:name="_Toc135232587"/>
      <w:r w:rsidRPr="005F3CF0">
        <w:t>About this document</w:t>
      </w:r>
      <w:bookmarkEnd w:id="7"/>
      <w:bookmarkEnd w:id="8"/>
    </w:p>
    <w:p w14:paraId="243700C7" w14:textId="7C3D4D39" w:rsidR="00DF10C5" w:rsidRPr="00D63217" w:rsidRDefault="00DF10C5" w:rsidP="00DF10C5">
      <w:pPr>
        <w:pStyle w:val="NormalText"/>
      </w:pPr>
      <w:r w:rsidRPr="00D63217">
        <w:t>This Technical Report is intended to provide an overview of the assessments that have been conducted by the APVMA and of the specialist advice received. It has been deliberately presented in a manner that is likely to be informative to the widest possible audience.</w:t>
      </w:r>
    </w:p>
    <w:p w14:paraId="52410A5A" w14:textId="506FF719" w:rsidR="00DF10C5" w:rsidRPr="005F3CF0" w:rsidRDefault="00DF10C5" w:rsidP="005F3CF0">
      <w:pPr>
        <w:pStyle w:val="PreliminariesH2"/>
        <w:tabs>
          <w:tab w:val="clear" w:pos="907"/>
        </w:tabs>
      </w:pPr>
      <w:bookmarkStart w:id="11" w:name="_Toc231480811"/>
      <w:r w:rsidRPr="005F3CF0">
        <w:t>Further information</w:t>
      </w:r>
      <w:bookmarkEnd w:id="11"/>
    </w:p>
    <w:p w14:paraId="16F771E5" w14:textId="0C23EF48" w:rsidR="00DF10C5" w:rsidRPr="00D63217" w:rsidRDefault="00DF10C5" w:rsidP="00DF10C5">
      <w:pPr>
        <w:pStyle w:val="NormalText"/>
      </w:pPr>
      <w:r w:rsidRPr="00D63217">
        <w:t xml:space="preserve">Further information can be obtained via the contact details provided below. More details on the chemical review process can be found on the APVMA website: </w:t>
      </w:r>
      <w:hyperlink r:id="rId21" w:history="1">
        <w:r w:rsidRPr="00D63217">
          <w:rPr>
            <w:rStyle w:val="Hyperlink"/>
          </w:rPr>
          <w:t>www.apvma.gov.au</w:t>
        </w:r>
      </w:hyperlink>
    </w:p>
    <w:p w14:paraId="063D2CDE" w14:textId="77777777" w:rsidR="00DF10C5" w:rsidRPr="005F3CF0" w:rsidRDefault="00DF10C5" w:rsidP="005F3CF0">
      <w:pPr>
        <w:pStyle w:val="PreliminariesH2"/>
        <w:tabs>
          <w:tab w:val="clear" w:pos="907"/>
        </w:tabs>
      </w:pPr>
      <w:bookmarkStart w:id="12" w:name="_Toc18413948"/>
      <w:bookmarkStart w:id="13" w:name="_Toc157602740"/>
      <w:bookmarkStart w:id="14" w:name="_Toc231480812"/>
      <w:r w:rsidRPr="005F3CF0">
        <w:t>Contact details</w:t>
      </w:r>
      <w:bookmarkEnd w:id="12"/>
      <w:bookmarkEnd w:id="13"/>
      <w:bookmarkEnd w:id="14"/>
    </w:p>
    <w:p w14:paraId="73EEE343" w14:textId="44B5B4B4" w:rsidR="00DF10C5" w:rsidRPr="00D63217" w:rsidRDefault="00DF10C5" w:rsidP="005F3CF0">
      <w:pPr>
        <w:pStyle w:val="NormalText"/>
      </w:pPr>
      <w:r w:rsidRPr="00D63217">
        <w:t>Chemical Review Team</w:t>
      </w:r>
      <w:r w:rsidRPr="00D63217">
        <w:br/>
      </w:r>
      <w:r w:rsidR="005F3CF0">
        <w:t>Australian Pesticides and Veterinary Medicines Authority</w:t>
      </w:r>
      <w:r w:rsidR="005F3CF0">
        <w:br/>
        <w:t>GPO Box 574</w:t>
      </w:r>
      <w:r w:rsidR="005F3CF0">
        <w:br/>
        <w:t>Canberra ACT 2601 Australia</w:t>
      </w:r>
    </w:p>
    <w:p w14:paraId="4BFC438C" w14:textId="77777777" w:rsidR="005F3CF0" w:rsidRDefault="005F3CF0">
      <w:pPr>
        <w:pStyle w:val="NormalText"/>
        <w:sectPr w:rsidR="005F3CF0" w:rsidSect="0057207A">
          <w:headerReference w:type="even" r:id="rId22"/>
          <w:headerReference w:type="default" r:id="rId23"/>
          <w:footerReference w:type="default" r:id="rId24"/>
          <w:pgSz w:w="11906" w:h="16838" w:code="9"/>
          <w:pgMar w:top="2835" w:right="1134" w:bottom="1134" w:left="1134" w:header="1701" w:footer="680" w:gutter="0"/>
          <w:pgNumType w:start="1"/>
          <w:cols w:space="708"/>
          <w:docGrid w:linePitch="360"/>
        </w:sectPr>
      </w:pPr>
      <w:r w:rsidRPr="00D63217">
        <w:t xml:space="preserve">Email: </w:t>
      </w:r>
      <w:hyperlink r:id="rId25" w:history="1">
        <w:r w:rsidRPr="00D63217">
          <w:rPr>
            <w:color w:val="0000FF"/>
            <w:u w:val="single"/>
          </w:rPr>
          <w:t>chemicalreview@apvma.gov.au</w:t>
        </w:r>
      </w:hyperlink>
      <w:r>
        <w:br/>
      </w:r>
      <w:r w:rsidR="005C5C37" w:rsidRPr="00D63217">
        <w:t>Phone</w:t>
      </w:r>
      <w:r w:rsidR="00DF10C5" w:rsidRPr="00D63217">
        <w:t>: +61 2 6770 2400</w:t>
      </w:r>
      <w:bookmarkEnd w:id="9"/>
      <w:bookmarkEnd w:id="10"/>
    </w:p>
    <w:p w14:paraId="74D4BD7C" w14:textId="77777777" w:rsidR="0055398A" w:rsidRPr="005F3CF0" w:rsidRDefault="0055398A" w:rsidP="005F3CF0">
      <w:pPr>
        <w:pStyle w:val="PreliminariesH1"/>
      </w:pPr>
      <w:bookmarkStart w:id="15" w:name="_Toc231480813"/>
      <w:bookmarkStart w:id="16" w:name="_Toc233036368"/>
      <w:r w:rsidRPr="005F3CF0">
        <w:lastRenderedPageBreak/>
        <w:t>Executive summary</w:t>
      </w:r>
      <w:bookmarkEnd w:id="15"/>
      <w:bookmarkEnd w:id="16"/>
    </w:p>
    <w:p w14:paraId="4CBB86F7" w14:textId="77777777" w:rsidR="00C82391" w:rsidRPr="005F3CF0" w:rsidRDefault="00C82391" w:rsidP="005F3CF0">
      <w:pPr>
        <w:pStyle w:val="PreliminariesH2"/>
        <w:tabs>
          <w:tab w:val="clear" w:pos="907"/>
        </w:tabs>
      </w:pPr>
      <w:bookmarkStart w:id="17" w:name="_Toc231480814"/>
      <w:bookmarkStart w:id="18" w:name="_Toc227769888"/>
      <w:r w:rsidRPr="005F3CF0">
        <w:t>Key outcomes</w:t>
      </w:r>
      <w:bookmarkEnd w:id="17"/>
    </w:p>
    <w:p w14:paraId="51357D08" w14:textId="5E446971" w:rsidR="00C82391" w:rsidRDefault="00C82391" w:rsidP="005F3CF0">
      <w:pPr>
        <w:pStyle w:val="Bullet1"/>
      </w:pPr>
      <w:r w:rsidRPr="002C38F5">
        <w:t xml:space="preserve">Paraquat </w:t>
      </w:r>
      <w:r w:rsidR="006F5F19">
        <w:t xml:space="preserve">products </w:t>
      </w:r>
      <w:r w:rsidR="00CC6952">
        <w:t>can</w:t>
      </w:r>
      <w:r w:rsidR="006F5F19">
        <w:t xml:space="preserve"> continue to be</w:t>
      </w:r>
      <w:r w:rsidRPr="002C38F5">
        <w:t xml:space="preserve"> registered</w:t>
      </w:r>
      <w:r w:rsidR="006F5F19">
        <w:t xml:space="preserve"> for use in Australia but require </w:t>
      </w:r>
      <w:r w:rsidRPr="002C38F5">
        <w:t>strengthened risk mitigation measures</w:t>
      </w:r>
      <w:r w:rsidR="006F5F19">
        <w:t xml:space="preserve"> to protect worker health and safety, and </w:t>
      </w:r>
      <w:r w:rsidRPr="002C38F5">
        <w:t xml:space="preserve">revised </w:t>
      </w:r>
      <w:r w:rsidR="006F5F19">
        <w:t>instructions for use to</w:t>
      </w:r>
      <w:r w:rsidR="00CC6952">
        <w:t xml:space="preserve"> lower environmental exposure to</w:t>
      </w:r>
      <w:r w:rsidR="006F5F19">
        <w:t xml:space="preserve"> protect the safety of Australian native birds and mammals</w:t>
      </w:r>
      <w:r w:rsidRPr="002C38F5">
        <w:t>.</w:t>
      </w:r>
    </w:p>
    <w:p w14:paraId="1C4767EF" w14:textId="06372085" w:rsidR="006F5F19" w:rsidRDefault="006F5F19" w:rsidP="005F3CF0">
      <w:pPr>
        <w:pStyle w:val="Bullet1"/>
      </w:pPr>
      <w:r>
        <w:t xml:space="preserve">The risk assessment recommendations result in a substantial reduction in the number of situations where paraquat may be used, but </w:t>
      </w:r>
      <w:r w:rsidR="00D41A73">
        <w:t>range of</w:t>
      </w:r>
      <w:r>
        <w:t xml:space="preserve"> uses remain supported, including use of optical spot spraying technologies </w:t>
      </w:r>
      <w:r w:rsidR="00D41A73">
        <w:t>in certain situations.</w:t>
      </w:r>
    </w:p>
    <w:p w14:paraId="435D2335" w14:textId="02B43252" w:rsidR="006F5F19" w:rsidRDefault="00E276BF" w:rsidP="005F3CF0">
      <w:pPr>
        <w:pStyle w:val="PreliminariesH2"/>
        <w:tabs>
          <w:tab w:val="clear" w:pos="907"/>
        </w:tabs>
      </w:pPr>
      <w:bookmarkStart w:id="19" w:name="_Toc231480815"/>
      <w:r>
        <w:t>Overview</w:t>
      </w:r>
      <w:bookmarkEnd w:id="19"/>
    </w:p>
    <w:p w14:paraId="702AAF51" w14:textId="4E1F1442" w:rsidR="00C82391" w:rsidRDefault="00E276BF" w:rsidP="0098578C">
      <w:pPr>
        <w:pStyle w:val="NormalText"/>
      </w:pPr>
      <w:r>
        <w:t xml:space="preserve">Paraquat is a non-selective contact herbicide used across a wide range of agricultural settings. </w:t>
      </w:r>
      <w:r w:rsidR="00C82391">
        <w:t xml:space="preserve">The APVMA has completed a reconsideration of paraquat to determine whether the active constituent approvals, product registrations and labels continue to meet the statutory criteria for safety, </w:t>
      </w:r>
      <w:r>
        <w:t xml:space="preserve">efficacy, </w:t>
      </w:r>
      <w:r w:rsidR="00C82391">
        <w:t>trade and</w:t>
      </w:r>
      <w:r>
        <w:t xml:space="preserve"> labelling</w:t>
      </w:r>
      <w:r w:rsidR="00C82391">
        <w:t xml:space="preserve">. The review </w:t>
      </w:r>
      <w:r w:rsidR="00D4353F">
        <w:t xml:space="preserve">included risk assessments covering </w:t>
      </w:r>
      <w:r>
        <w:t xml:space="preserve">chemistry, </w:t>
      </w:r>
      <w:r w:rsidR="00C82391">
        <w:t>toxicology, worker health and safety, residues and trade</w:t>
      </w:r>
      <w:r>
        <w:t>, and</w:t>
      </w:r>
      <w:r w:rsidR="00C82391">
        <w:t xml:space="preserve"> environmental safety.</w:t>
      </w:r>
    </w:p>
    <w:p w14:paraId="3094AB8A" w14:textId="19590185" w:rsidR="00C82391" w:rsidRDefault="00C82391" w:rsidP="0098578C">
      <w:pPr>
        <w:pStyle w:val="NormalText"/>
      </w:pPr>
      <w:bookmarkStart w:id="20" w:name="_Toc227769891"/>
      <w:bookmarkEnd w:id="18"/>
      <w:r>
        <w:t xml:space="preserve">Paraquat and </w:t>
      </w:r>
      <w:r w:rsidRPr="006B4FD6">
        <w:t>diquat have been registered in Australia since 1964 and were placed under reconsideration in 1997 under the Existing Chemicals Review Program. At the</w:t>
      </w:r>
      <w:r w:rsidR="006B4FD6" w:rsidRPr="006B4FD6">
        <w:t xml:space="preserve"> time of publication</w:t>
      </w:r>
      <w:r w:rsidR="0007353B">
        <w:t xml:space="preserve"> of the final report</w:t>
      </w:r>
      <w:r w:rsidRPr="006B4FD6">
        <w:t>, paraquat was present in 1</w:t>
      </w:r>
      <w:r w:rsidR="006B4FD6" w:rsidRPr="006B4FD6">
        <w:t xml:space="preserve">19 </w:t>
      </w:r>
      <w:r w:rsidRPr="006B4FD6">
        <w:t>registered products, including paraquat-only products, paraquat/diquat co-formulations and a small number of paraquat/amitrole products.</w:t>
      </w:r>
    </w:p>
    <w:p w14:paraId="70459AA2" w14:textId="76AFF3D0" w:rsidR="002375FD" w:rsidRPr="00D63217" w:rsidRDefault="002375FD" w:rsidP="002375FD">
      <w:pPr>
        <w:pStyle w:val="NormalText"/>
      </w:pPr>
      <w:r>
        <w:t xml:space="preserve">The APVMA published proposed regulatory decisions on the reconsideration of paraquat, and the related chemical diquat, on 30 July 2024 and invited public comment on the proposed decisions in a consultation that commenced on 30 July 2024 and closed 29 October 2024. 171 submissions were received. The APVMA has considered all submissions received and, where relevant, the risk assessments presented in this report have been revised to include the new information that was provided. Details of the submissions received and the </w:t>
      </w:r>
      <w:hyperlink r:id="rId26" w:history="1">
        <w:r w:rsidRPr="00C4598F">
          <w:rPr>
            <w:rStyle w:val="Hyperlink"/>
          </w:rPr>
          <w:t>APVMA’s consideration of those submissions</w:t>
        </w:r>
      </w:hyperlink>
      <w:r>
        <w:t xml:space="preserve"> is published separately.</w:t>
      </w:r>
    </w:p>
    <w:p w14:paraId="0DECE0CD" w14:textId="553BE664" w:rsidR="0007353B" w:rsidRPr="0007353B" w:rsidRDefault="0007353B" w:rsidP="002F269C">
      <w:pPr>
        <w:pStyle w:val="PreliminariesH2"/>
        <w:tabs>
          <w:tab w:val="clear" w:pos="907"/>
        </w:tabs>
      </w:pPr>
      <w:bookmarkStart w:id="21" w:name="_Toc231480816"/>
      <w:bookmarkStart w:id="22" w:name="_Toc227769892"/>
      <w:bookmarkEnd w:id="20"/>
      <w:r w:rsidRPr="0007353B">
        <w:t>Main findings</w:t>
      </w:r>
      <w:bookmarkEnd w:id="21"/>
    </w:p>
    <w:p w14:paraId="10A4412D" w14:textId="44F22F3B" w:rsidR="00CA2FF7" w:rsidRPr="008716A2" w:rsidRDefault="0007353B" w:rsidP="0098578C">
      <w:pPr>
        <w:pStyle w:val="NormalText"/>
      </w:pPr>
      <w:r w:rsidRPr="008716A2">
        <w:t xml:space="preserve">The key driver of the reconsideration </w:t>
      </w:r>
      <w:r w:rsidR="00CA2FF7" w:rsidRPr="008716A2">
        <w:t xml:space="preserve">recommendations are risks to terrestrial vertebrates. These risks relate primarily to acute dietary exposure </w:t>
      </w:r>
      <w:r w:rsidR="004E35C6">
        <w:t>for</w:t>
      </w:r>
      <w:r w:rsidR="004E35C6" w:rsidRPr="008716A2">
        <w:t xml:space="preserve"> </w:t>
      </w:r>
      <w:r w:rsidR="00CA2FF7" w:rsidRPr="008716A2">
        <w:t>birds</w:t>
      </w:r>
      <w:r w:rsidR="006D0B1C">
        <w:t>,</w:t>
      </w:r>
      <w:r w:rsidR="00CA2FF7" w:rsidRPr="008716A2">
        <w:t xml:space="preserve"> and </w:t>
      </w:r>
      <w:r w:rsidR="006D0B1C">
        <w:t xml:space="preserve">to a lesser extent </w:t>
      </w:r>
      <w:r w:rsidR="00CA2FF7" w:rsidRPr="008716A2">
        <w:t>mammals</w:t>
      </w:r>
      <w:r w:rsidR="006D0B1C">
        <w:t>,</w:t>
      </w:r>
      <w:r w:rsidR="00CA2FF7" w:rsidRPr="008716A2">
        <w:t xml:space="preserve"> foraging in treated areas. As a result</w:t>
      </w:r>
      <w:r w:rsidR="003A6CA3">
        <w:t>,</w:t>
      </w:r>
      <w:r w:rsidR="00CA2FF7" w:rsidRPr="008716A2">
        <w:t xml:space="preserve"> limited application rates, or removal of instructions for use in some situations entirely, </w:t>
      </w:r>
      <w:r w:rsidR="002375FD">
        <w:t xml:space="preserve">are recommended </w:t>
      </w:r>
      <w:r w:rsidR="00CA2FF7" w:rsidRPr="008716A2">
        <w:t>to prevent exposure from exceeding acceptable levels.</w:t>
      </w:r>
    </w:p>
    <w:p w14:paraId="26EA0547" w14:textId="6FC53752" w:rsidR="00CA2FF7" w:rsidRPr="008716A2" w:rsidRDefault="00CA2FF7" w:rsidP="0098578C">
      <w:pPr>
        <w:pStyle w:val="NormalText"/>
      </w:pPr>
      <w:r w:rsidRPr="008716A2">
        <w:t xml:space="preserve">Worker health and safety assessments recommended that risks to the </w:t>
      </w:r>
      <w:r w:rsidR="008716A2" w:rsidRPr="008716A2">
        <w:t>safety of occupational users can be managed through</w:t>
      </w:r>
      <w:r w:rsidRPr="008716A2">
        <w:t xml:space="preserve"> strengthened </w:t>
      </w:r>
      <w:r w:rsidR="008716A2" w:rsidRPr="008716A2">
        <w:t>personal protective equipment requirements</w:t>
      </w:r>
      <w:r w:rsidRPr="008716A2">
        <w:t xml:space="preserve">, </w:t>
      </w:r>
      <w:r w:rsidR="002375FD">
        <w:t>the</w:t>
      </w:r>
      <w:r w:rsidR="002375FD" w:rsidRPr="008716A2">
        <w:t xml:space="preserve"> </w:t>
      </w:r>
      <w:r w:rsidR="008716A2" w:rsidRPr="008716A2">
        <w:t>use of</w:t>
      </w:r>
      <w:r w:rsidRPr="008716A2">
        <w:t xml:space="preserve"> closed mixing and loading systems, enclosed cab requirements for broadacre boom application, revised re-entry intervals and updated label statements. Backpack</w:t>
      </w:r>
      <w:r w:rsidR="008716A2" w:rsidRPr="008716A2">
        <w:t xml:space="preserve"> sprayer</w:t>
      </w:r>
      <w:r w:rsidRPr="008716A2">
        <w:t xml:space="preserve"> use was not supported for paraquat-only or paraquat/diquat products.</w:t>
      </w:r>
    </w:p>
    <w:p w14:paraId="5285A360" w14:textId="2F2771D7" w:rsidR="002F269C" w:rsidRDefault="008716A2" w:rsidP="0098578C">
      <w:pPr>
        <w:pStyle w:val="NormalText"/>
      </w:pPr>
      <w:r w:rsidRPr="003A6CA3">
        <w:lastRenderedPageBreak/>
        <w:t xml:space="preserve">A comprehensive review of studies </w:t>
      </w:r>
      <w:r w:rsidR="003A6CA3" w:rsidRPr="003A6CA3">
        <w:t xml:space="preserve">related to Parkinson’s disease that were submitted to the APVMA following publication of the proposed regulatory decisions on the reconsideration </w:t>
      </w:r>
      <w:r w:rsidR="00C82391" w:rsidRPr="003A6CA3">
        <w:t>did not find convincing evidence of a direct causal association between paraquat exposure from approved pesticidal uses and Parkinson’s disease</w:t>
      </w:r>
      <w:r w:rsidR="007E6ACF" w:rsidRPr="003A6CA3">
        <w:t>.</w:t>
      </w:r>
      <w:r w:rsidR="00C82391" w:rsidRPr="003A6CA3">
        <w:t xml:space="preserve"> </w:t>
      </w:r>
      <w:r w:rsidR="003A6CA3">
        <w:t xml:space="preserve">Details of this assessment are </w:t>
      </w:r>
      <w:hyperlink r:id="rId27" w:history="1">
        <w:r w:rsidR="003A6CA3" w:rsidRPr="00C4598F">
          <w:rPr>
            <w:rStyle w:val="Hyperlink"/>
          </w:rPr>
          <w:t>published separately</w:t>
        </w:r>
      </w:hyperlink>
      <w:r w:rsidR="003A6CA3">
        <w:t>.</w:t>
      </w:r>
    </w:p>
    <w:bookmarkEnd w:id="22"/>
    <w:p w14:paraId="7FE2EB80" w14:textId="7E488408" w:rsidR="003A6CA3" w:rsidRPr="00BE362F" w:rsidRDefault="00C82391" w:rsidP="0098578C">
      <w:pPr>
        <w:pStyle w:val="NormalText"/>
      </w:pPr>
      <w:r w:rsidRPr="00BE362F">
        <w:t>Residues and trade assessments</w:t>
      </w:r>
      <w:r w:rsidR="00B5034F" w:rsidRPr="00BE362F">
        <w:t xml:space="preserve">, which </w:t>
      </w:r>
      <w:r w:rsidR="00766B65" w:rsidRPr="00BE362F">
        <w:t>consider</w:t>
      </w:r>
      <w:r w:rsidR="00B5034F" w:rsidRPr="00BE362F">
        <w:t xml:space="preserve"> the findings of the environment, toxicology and worker health and safety assessments</w:t>
      </w:r>
      <w:r w:rsidR="00766B65" w:rsidRPr="00BE362F">
        <w:t>,</w:t>
      </w:r>
      <w:r w:rsidR="00B5034F" w:rsidRPr="00BE362F">
        <w:t xml:space="preserve"> </w:t>
      </w:r>
      <w:r w:rsidRPr="00BE362F">
        <w:t xml:space="preserve">support continued use </w:t>
      </w:r>
      <w:r w:rsidR="00B5034F" w:rsidRPr="00BE362F">
        <w:t xml:space="preserve">of paraquat in situations </w:t>
      </w:r>
      <w:r w:rsidR="00766B65" w:rsidRPr="00BE362F">
        <w:t xml:space="preserve">that were also supported by those other risk assessments. </w:t>
      </w:r>
      <w:r w:rsidR="00BE362F" w:rsidRPr="00BE362F">
        <w:t xml:space="preserve">These assessments also concluded that dietary exposure from treated commodities is expected to be acceptable for public health. </w:t>
      </w:r>
      <w:r w:rsidR="00766B65" w:rsidRPr="00BE362F">
        <w:t>Minor changes to</w:t>
      </w:r>
      <w:r w:rsidRPr="00BE362F">
        <w:t xml:space="preserve"> some withholding periods</w:t>
      </w:r>
      <w:r w:rsidR="00766B65" w:rsidRPr="00BE362F">
        <w:t xml:space="preserve"> and </w:t>
      </w:r>
      <w:r w:rsidR="00BE362F" w:rsidRPr="00BE362F">
        <w:t>updated Trade Advice statements were recommended.</w:t>
      </w:r>
    </w:p>
    <w:p w14:paraId="0627BE00" w14:textId="77777777" w:rsidR="002F269C" w:rsidRDefault="00C82391" w:rsidP="0098578C">
      <w:pPr>
        <w:pStyle w:val="NormalText"/>
        <w:sectPr w:rsidR="002F269C" w:rsidSect="003023C5">
          <w:headerReference w:type="even" r:id="rId28"/>
          <w:pgSz w:w="11906" w:h="16838" w:code="9"/>
          <w:pgMar w:top="2835" w:right="1134" w:bottom="1134" w:left="1134" w:header="1701" w:footer="680" w:gutter="0"/>
          <w:cols w:space="708"/>
          <w:docGrid w:linePitch="360"/>
        </w:sectPr>
      </w:pPr>
      <w:r w:rsidRPr="00BE362F">
        <w:t xml:space="preserve">Overall, the </w:t>
      </w:r>
      <w:r w:rsidR="00BE362F" w:rsidRPr="00BE362F">
        <w:t>reconsideration assessments</w:t>
      </w:r>
      <w:r w:rsidRPr="00BE362F">
        <w:t xml:space="preserve"> support continu</w:t>
      </w:r>
      <w:r w:rsidR="00BE362F" w:rsidRPr="00BE362F">
        <w:t xml:space="preserve">ation of paraquat </w:t>
      </w:r>
      <w:r w:rsidRPr="00BE362F">
        <w:t>approval</w:t>
      </w:r>
      <w:r w:rsidR="00BE362F" w:rsidRPr="00BE362F">
        <w:t>s</w:t>
      </w:r>
      <w:r w:rsidRPr="00BE362F">
        <w:t xml:space="preserve"> and registration</w:t>
      </w:r>
      <w:r w:rsidR="00BE362F" w:rsidRPr="00BE362F">
        <w:t>s</w:t>
      </w:r>
      <w:r w:rsidRPr="00BE362F">
        <w:t xml:space="preserve"> only where strengthened risk mitigation measures, revised labels, and any necessary product-specific changes are implemented to ensure the products continue to meet the legislative criteria.</w:t>
      </w:r>
    </w:p>
    <w:p w14:paraId="70B886CE" w14:textId="77777777" w:rsidR="00DF10C5" w:rsidRPr="007A49D1" w:rsidRDefault="00DF10C5" w:rsidP="00B91FE7">
      <w:pPr>
        <w:pStyle w:val="Heading1"/>
      </w:pPr>
      <w:bookmarkStart w:id="23" w:name="_Toc157602741"/>
      <w:bookmarkStart w:id="24" w:name="_Toc231480817"/>
      <w:bookmarkStart w:id="25" w:name="_Toc233036369"/>
      <w:r w:rsidRPr="007A49D1">
        <w:lastRenderedPageBreak/>
        <w:t>Introduction</w:t>
      </w:r>
      <w:bookmarkEnd w:id="23"/>
      <w:bookmarkEnd w:id="24"/>
      <w:bookmarkEnd w:id="25"/>
    </w:p>
    <w:p w14:paraId="721881DF" w14:textId="3DE3539D" w:rsidR="00DF10C5" w:rsidRDefault="00DF10C5" w:rsidP="00DF10C5">
      <w:pPr>
        <w:pStyle w:val="NormalText"/>
      </w:pPr>
      <w:r w:rsidRPr="00D63217">
        <w:t xml:space="preserve">Paraquat is a non-selective contact herbicide belonging to the bipyridinium class of compounds which also includes the related herbicide diquat. Paraquat and diquat have been registered for use in Australia since 1964. Both compounds </w:t>
      </w:r>
      <w:r w:rsidR="003D620E" w:rsidRPr="00D63217">
        <w:rPr>
          <w:rStyle w:val="NormalTextChar"/>
        </w:rPr>
        <w:t>belong to the herbicide mode of action group 22</w:t>
      </w:r>
      <w:r w:rsidR="003D620E" w:rsidRPr="00D63217">
        <w:rPr>
          <w:rStyle w:val="NormalTextChar"/>
          <w:vertAlign w:val="superscript"/>
        </w:rPr>
        <w:footnoteReference w:id="2"/>
      </w:r>
      <w:r w:rsidR="003D620E" w:rsidRPr="00D63217">
        <w:rPr>
          <w:rStyle w:val="NormalTextChar"/>
        </w:rPr>
        <w:t xml:space="preserve"> </w:t>
      </w:r>
      <w:r w:rsidR="003D620E">
        <w:rPr>
          <w:rStyle w:val="NormalTextChar"/>
        </w:rPr>
        <w:t xml:space="preserve">and </w:t>
      </w:r>
      <w:r w:rsidRPr="00D63217">
        <w:t xml:space="preserve">share </w:t>
      </w:r>
      <w:r w:rsidR="003D620E">
        <w:t xml:space="preserve">a </w:t>
      </w:r>
      <w:r w:rsidRPr="00D63217">
        <w:t>mode of herbicidal action which involves the inhibition of photosynthesis (specifically photosystem I)</w:t>
      </w:r>
      <w:r w:rsidR="003D620E">
        <w:t xml:space="preserve"> resulting in</w:t>
      </w:r>
      <w:r w:rsidRPr="00D63217">
        <w:t xml:space="preserve"> </w:t>
      </w:r>
      <w:r w:rsidR="003D620E" w:rsidRPr="00D63217">
        <w:rPr>
          <w:rStyle w:val="NormalTextChar"/>
        </w:rPr>
        <w:t>generat</w:t>
      </w:r>
      <w:r w:rsidR="003D620E">
        <w:rPr>
          <w:rStyle w:val="NormalTextChar"/>
        </w:rPr>
        <w:t>ion of</w:t>
      </w:r>
      <w:r w:rsidR="003D620E" w:rsidRPr="00D63217">
        <w:rPr>
          <w:rStyle w:val="NormalTextChar"/>
        </w:rPr>
        <w:t xml:space="preserve"> hydroxyl radicals and other reactive oxygen species </w:t>
      </w:r>
      <w:r w:rsidRPr="00D63217">
        <w:t>leading to lipid peroxidation and membrane damage.</w:t>
      </w:r>
      <w:r w:rsidR="005C5C37" w:rsidRPr="00D63217">
        <w:t xml:space="preserve"> </w:t>
      </w:r>
      <w:r w:rsidRPr="00D63217">
        <w:t>Plants die rapidly after treatment and exposure to light.</w:t>
      </w:r>
    </w:p>
    <w:p w14:paraId="313B3DBA" w14:textId="77777777" w:rsidR="00DF10C5" w:rsidRPr="007A49D1" w:rsidRDefault="00DF10C5" w:rsidP="00B91FE7">
      <w:pPr>
        <w:pStyle w:val="Heading2"/>
      </w:pPr>
      <w:bookmarkStart w:id="26" w:name="_Toc157602742"/>
      <w:bookmarkStart w:id="27" w:name="_Toc231480818"/>
      <w:bookmarkStart w:id="28" w:name="_Toc233036370"/>
      <w:r w:rsidRPr="007A49D1">
        <w:t>Purpose of review</w:t>
      </w:r>
      <w:bookmarkEnd w:id="26"/>
      <w:bookmarkEnd w:id="27"/>
      <w:bookmarkEnd w:id="28"/>
    </w:p>
    <w:p w14:paraId="48BBC9D5" w14:textId="6488BD5F" w:rsidR="00DF10C5" w:rsidRDefault="00DF10C5" w:rsidP="005C5C37">
      <w:pPr>
        <w:pStyle w:val="NormalText"/>
      </w:pPr>
      <w:r w:rsidRPr="00D63217">
        <w:t>Paraquat and the related bipyridinium herbicide diquat were placed under reconsideration by the APVMA (then NRA) in the third cycle of the Existing Chemicals Review Program, in a notice published in the NRA Gazette on 2</w:t>
      </w:r>
      <w:r w:rsidR="00C716B3" w:rsidRPr="00D63217">
        <w:t> </w:t>
      </w:r>
      <w:r w:rsidRPr="00D63217">
        <w:t>December 1997.</w:t>
      </w:r>
    </w:p>
    <w:p w14:paraId="673AD23C" w14:textId="77777777" w:rsidR="00DF10C5" w:rsidRPr="00D63217" w:rsidRDefault="00DF10C5" w:rsidP="005C5C37">
      <w:pPr>
        <w:pStyle w:val="NormalText"/>
      </w:pPr>
      <w:r w:rsidRPr="00D63217">
        <w:t>The reconsideration covers all aspects of the active constituent approval, product registration and label approval to evaluate whether the continuing use of paraquat:</w:t>
      </w:r>
    </w:p>
    <w:p w14:paraId="56A02A2D" w14:textId="5967EB7E" w:rsidR="00DF10C5" w:rsidRPr="00D63217" w:rsidRDefault="00DF10C5" w:rsidP="00DF10C5">
      <w:pPr>
        <w:pStyle w:val="Bullet1"/>
      </w:pPr>
      <w:r w:rsidRPr="00D63217">
        <w:t>would not be an undue hazard to the safety of people exposed to it during its handling or people using anything containing its residues</w:t>
      </w:r>
    </w:p>
    <w:p w14:paraId="597EED24" w14:textId="02C215D2" w:rsidR="00DF10C5" w:rsidRPr="00D63217" w:rsidRDefault="00DF10C5" w:rsidP="00DF10C5">
      <w:pPr>
        <w:pStyle w:val="Bullet1"/>
      </w:pPr>
      <w:r w:rsidRPr="00D63217">
        <w:t>would not be likely to have an effect that is harmful to human beings</w:t>
      </w:r>
    </w:p>
    <w:p w14:paraId="755C7463" w14:textId="4284E816" w:rsidR="00DF10C5" w:rsidRPr="00D63217" w:rsidRDefault="00DF10C5" w:rsidP="00DF10C5">
      <w:pPr>
        <w:pStyle w:val="Bullet1"/>
      </w:pPr>
      <w:r w:rsidRPr="00D63217">
        <w:t>would not be likely to have an unintended effect that is harmful to animals, plants or things or to the environmen</w:t>
      </w:r>
      <w:r w:rsidR="00857B77" w:rsidRPr="00D63217">
        <w:t>t</w:t>
      </w:r>
    </w:p>
    <w:p w14:paraId="76E9F2E5" w14:textId="6ACBD2FB" w:rsidR="00DF10C5" w:rsidRPr="00D63217" w:rsidRDefault="00DF10C5" w:rsidP="00DF10C5">
      <w:pPr>
        <w:pStyle w:val="Bullet1"/>
      </w:pPr>
      <w:r w:rsidRPr="00D63217">
        <w:t>would not unduly prejudice trade or commerce between Australia and places outside Australia</w:t>
      </w:r>
    </w:p>
    <w:p w14:paraId="081841FE" w14:textId="482FF55E" w:rsidR="00DF10C5" w:rsidRPr="00D63217" w:rsidRDefault="00857B77" w:rsidP="00DF10C5">
      <w:pPr>
        <w:pStyle w:val="Bullet1"/>
      </w:pPr>
      <w:r w:rsidRPr="00D63217">
        <w:t xml:space="preserve">would be effective </w:t>
      </w:r>
      <w:r w:rsidR="00DF10C5" w:rsidRPr="00D63217">
        <w:t xml:space="preserve">in accordance with the instructions for its use </w:t>
      </w:r>
    </w:p>
    <w:p w14:paraId="25A8580F" w14:textId="77777777" w:rsidR="00DF10C5" w:rsidRPr="00D63217" w:rsidRDefault="00DF10C5" w:rsidP="00DF10C5">
      <w:pPr>
        <w:pStyle w:val="NormalText"/>
      </w:pPr>
      <w:r w:rsidRPr="00D63217">
        <w:t>The following aspects of active constituent approvals and product registrations for paraquat have been assessed:</w:t>
      </w:r>
    </w:p>
    <w:p w14:paraId="4647066C" w14:textId="77777777" w:rsidR="00DF10C5" w:rsidRPr="00D63217" w:rsidRDefault="00DF10C5" w:rsidP="00DF10C5">
      <w:pPr>
        <w:pStyle w:val="Bullet1"/>
      </w:pPr>
      <w:r w:rsidRPr="00D63217">
        <w:t>Toxicology, including a detailed assessment of the potential for neurotoxic effects</w:t>
      </w:r>
    </w:p>
    <w:p w14:paraId="2DCE484F" w14:textId="0BB686D2" w:rsidR="00DF10C5" w:rsidRPr="00D63217" w:rsidRDefault="004F5F3B" w:rsidP="00DF10C5">
      <w:pPr>
        <w:pStyle w:val="Bullet1"/>
      </w:pPr>
      <w:r w:rsidRPr="00D63217">
        <w:t xml:space="preserve">Worker </w:t>
      </w:r>
      <w:r w:rsidR="00DF10C5" w:rsidRPr="00D63217">
        <w:t>health and safety</w:t>
      </w:r>
    </w:p>
    <w:p w14:paraId="5DB8C7D4" w14:textId="4E85D3CA" w:rsidR="00DF10C5" w:rsidRPr="00D63217" w:rsidRDefault="003A46D0" w:rsidP="00DF10C5">
      <w:pPr>
        <w:pStyle w:val="Bullet2"/>
      </w:pPr>
      <w:r w:rsidRPr="00D63217">
        <w:t>R</w:t>
      </w:r>
      <w:r w:rsidR="00DF10C5" w:rsidRPr="00D63217">
        <w:t>isks arising from exposure during handling and application</w:t>
      </w:r>
    </w:p>
    <w:p w14:paraId="14D6F4A6" w14:textId="60778024" w:rsidR="00DF10C5" w:rsidRPr="00D63217" w:rsidRDefault="003A46D0" w:rsidP="00DF10C5">
      <w:pPr>
        <w:pStyle w:val="Bullet2"/>
      </w:pPr>
      <w:r w:rsidRPr="00D63217">
        <w:t>R</w:t>
      </w:r>
      <w:r w:rsidR="00DF10C5" w:rsidRPr="00D63217">
        <w:t>e-entry exposure risks</w:t>
      </w:r>
    </w:p>
    <w:p w14:paraId="1574359C" w14:textId="2C70EF09" w:rsidR="00DF10C5" w:rsidRPr="00D63217" w:rsidRDefault="003A46D0" w:rsidP="00DF10C5">
      <w:pPr>
        <w:pStyle w:val="Bullet2"/>
      </w:pPr>
      <w:r w:rsidRPr="00D63217">
        <w:t>D</w:t>
      </w:r>
      <w:r w:rsidR="00DF10C5" w:rsidRPr="00D63217">
        <w:t>etermination of appropriate personal protective clothing requirements</w:t>
      </w:r>
    </w:p>
    <w:p w14:paraId="26396915" w14:textId="35F6EF19" w:rsidR="00DF10C5" w:rsidRPr="00D63217" w:rsidRDefault="00DF10C5" w:rsidP="00DF10C5">
      <w:pPr>
        <w:pStyle w:val="Bullet1"/>
      </w:pPr>
      <w:r w:rsidRPr="00D63217">
        <w:t>Residues and trade</w:t>
      </w:r>
      <w:r w:rsidR="003A46D0" w:rsidRPr="00D63217">
        <w:t>:</w:t>
      </w:r>
    </w:p>
    <w:p w14:paraId="03810214" w14:textId="7E94E670" w:rsidR="00DF10C5" w:rsidRPr="00D63217" w:rsidRDefault="003A46D0" w:rsidP="00DF10C5">
      <w:pPr>
        <w:pStyle w:val="Bullet2"/>
      </w:pPr>
      <w:r w:rsidRPr="00D63217">
        <w:t>R</w:t>
      </w:r>
      <w:r w:rsidR="00DF10C5" w:rsidRPr="00D63217">
        <w:t>esidues in treated produce arising from application in accordance with label instructions</w:t>
      </w:r>
    </w:p>
    <w:p w14:paraId="07397CA1" w14:textId="58B0226D" w:rsidR="00DF10C5" w:rsidRPr="00D63217" w:rsidRDefault="004C0B89" w:rsidP="00DF10C5">
      <w:pPr>
        <w:pStyle w:val="Bullet2"/>
      </w:pPr>
      <w:r>
        <w:t>Maximum Residue Limits (</w:t>
      </w:r>
      <w:r w:rsidR="00DF10C5" w:rsidRPr="00D63217">
        <w:t>MRLs</w:t>
      </w:r>
      <w:r>
        <w:t>)</w:t>
      </w:r>
      <w:r w:rsidR="00DF10C5" w:rsidRPr="00D63217">
        <w:t xml:space="preserve"> to underpin the assessment of </w:t>
      </w:r>
      <w:r>
        <w:t>consumer safety</w:t>
      </w:r>
      <w:r w:rsidRPr="00D63217">
        <w:t xml:space="preserve"> </w:t>
      </w:r>
      <w:r w:rsidR="00DF10C5" w:rsidRPr="00D63217">
        <w:t>and trade risk</w:t>
      </w:r>
      <w:r w:rsidR="00DF10C5" w:rsidRPr="00D63217" w:rsidDel="00A863F9">
        <w:t xml:space="preserve"> </w:t>
      </w:r>
    </w:p>
    <w:p w14:paraId="436EEB47" w14:textId="31594FD9" w:rsidR="00DF10C5" w:rsidRPr="00D63217" w:rsidRDefault="003A46D0" w:rsidP="00DF10C5">
      <w:pPr>
        <w:pStyle w:val="Bullet2"/>
      </w:pPr>
      <w:r w:rsidRPr="00D63217">
        <w:lastRenderedPageBreak/>
        <w:t>D</w:t>
      </w:r>
      <w:r w:rsidR="00DF10C5" w:rsidRPr="00D63217">
        <w:t>etermination of dietary exposure resulting from the consumption of produce treated with paraquat</w:t>
      </w:r>
    </w:p>
    <w:p w14:paraId="3CD1001D" w14:textId="745ED3EB" w:rsidR="0053231C" w:rsidRDefault="00DF10C5" w:rsidP="00DF10C5">
      <w:pPr>
        <w:pStyle w:val="Bullet1"/>
      </w:pPr>
      <w:r w:rsidRPr="00D63217">
        <w:t>Environmental safety</w:t>
      </w:r>
    </w:p>
    <w:p w14:paraId="1144E4E1" w14:textId="53331E11" w:rsidR="00DF10C5" w:rsidRPr="00D63217" w:rsidRDefault="0053231C" w:rsidP="00DF10C5">
      <w:pPr>
        <w:pStyle w:val="Bullet1"/>
      </w:pPr>
      <w:r>
        <w:t>S</w:t>
      </w:r>
      <w:r w:rsidR="00DF10C5" w:rsidRPr="00D63217">
        <w:t>pray drift</w:t>
      </w:r>
    </w:p>
    <w:p w14:paraId="1B0D364D" w14:textId="6CD5E03E" w:rsidR="00DF10C5" w:rsidRPr="00D63217" w:rsidRDefault="00DF10C5" w:rsidP="00DF10C5">
      <w:pPr>
        <w:pStyle w:val="NormalText"/>
      </w:pPr>
      <w:r w:rsidRPr="00D63217">
        <w:t>The APVMA has also considered information pertaining to chemistry (impurities of toxicological concern)</w:t>
      </w:r>
      <w:r w:rsidR="00857B77" w:rsidRPr="00D63217">
        <w:t>.</w:t>
      </w:r>
    </w:p>
    <w:p w14:paraId="64E8E20A" w14:textId="767F5F32" w:rsidR="00DF10C5" w:rsidRPr="00D63217" w:rsidRDefault="00DF10C5" w:rsidP="00DF10C5">
      <w:pPr>
        <w:pStyle w:val="NormalText"/>
      </w:pPr>
      <w:r w:rsidRPr="00D63217">
        <w:t>Although paraquat and diquat are structurally related, their relative risk to human and environmental safety, and trade, have been assessed separately.</w:t>
      </w:r>
    </w:p>
    <w:p w14:paraId="029F971D" w14:textId="74F4CFF6" w:rsidR="00757654" w:rsidRPr="00D63217" w:rsidRDefault="00757654" w:rsidP="00757654">
      <w:pPr>
        <w:pStyle w:val="NormalText"/>
      </w:pPr>
      <w:r w:rsidRPr="00D63217">
        <w:t>A summary of the combined risk assessment outcomes for each use pattern, and whether it is supported for continued approval, is presented in Appendix A.</w:t>
      </w:r>
    </w:p>
    <w:p w14:paraId="55349111" w14:textId="77777777" w:rsidR="00DF10C5" w:rsidRPr="00D63217" w:rsidRDefault="00DF10C5" w:rsidP="00B91FE7">
      <w:pPr>
        <w:pStyle w:val="Heading2"/>
      </w:pPr>
      <w:bookmarkStart w:id="29" w:name="_Toc157602743"/>
      <w:bookmarkStart w:id="30" w:name="_Toc231480819"/>
      <w:bookmarkStart w:id="31" w:name="_Toc233036371"/>
      <w:r w:rsidRPr="00D63217">
        <w:t>Product claims, use patterns and mode of action</w:t>
      </w:r>
      <w:bookmarkEnd w:id="29"/>
      <w:bookmarkEnd w:id="30"/>
      <w:bookmarkEnd w:id="31"/>
    </w:p>
    <w:p w14:paraId="5A00CC03" w14:textId="6A62D128" w:rsidR="005E419F" w:rsidRPr="00D63217" w:rsidRDefault="00DF10C5" w:rsidP="005E419F">
      <w:pPr>
        <w:pStyle w:val="NormalText"/>
      </w:pPr>
      <w:r w:rsidRPr="00D63217">
        <w:t xml:space="preserve">Paraquat is an active constituent in </w:t>
      </w:r>
      <w:r w:rsidR="005E37FD" w:rsidRPr="00D63217">
        <w:t>1</w:t>
      </w:r>
      <w:r w:rsidR="005E37FD">
        <w:t>19</w:t>
      </w:r>
      <w:r w:rsidR="005E37FD" w:rsidRPr="00D63217">
        <w:t xml:space="preserve"> </w:t>
      </w:r>
      <w:r w:rsidRPr="00D63217">
        <w:t>products registered for use in Australia by the APVMA</w:t>
      </w:r>
      <w:r w:rsidR="00141CFF">
        <w:t xml:space="preserve">, including 8 that have been registered following </w:t>
      </w:r>
      <w:r w:rsidR="002C08A7">
        <w:t xml:space="preserve">preparation </w:t>
      </w:r>
      <w:r w:rsidR="00141CFF">
        <w:t xml:space="preserve">of </w:t>
      </w:r>
      <w:r w:rsidR="005E37FD">
        <w:t xml:space="preserve">the APVMA’s </w:t>
      </w:r>
      <w:r w:rsidR="00141CFF">
        <w:t xml:space="preserve">proposed </w:t>
      </w:r>
      <w:r w:rsidR="00504353">
        <w:t>regulatory</w:t>
      </w:r>
      <w:r w:rsidR="00141CFF">
        <w:t xml:space="preserve"> decisions </w:t>
      </w:r>
      <w:r w:rsidR="002C08A7">
        <w:t xml:space="preserve">which were published </w:t>
      </w:r>
      <w:r w:rsidR="00141CFF">
        <w:t>on 30 July 2024, which will be dealt with outside the reconsideration process</w:t>
      </w:r>
      <w:r w:rsidRPr="00D63217">
        <w:t xml:space="preserve">. These products can be divided into 3 groups based on the presence of a second active constituent, as indicated in the table below. </w:t>
      </w:r>
      <w:r w:rsidR="005E419F" w:rsidRPr="00D63217">
        <w:t>Paraquat products containing paraquat as the only active constituent (group 1 below), products that contain both paraquat and diquat (group 2 below) and products that contain paraquat and amitrole</w:t>
      </w:r>
      <w:r w:rsidR="00AE167A" w:rsidRPr="00D63217">
        <w:t xml:space="preserve"> (group 3 below)</w:t>
      </w:r>
      <w:r w:rsidR="005E419F" w:rsidRPr="00D63217">
        <w:t xml:space="preserve">. This report includes </w:t>
      </w:r>
      <w:r w:rsidR="00AE167A" w:rsidRPr="00D63217">
        <w:t xml:space="preserve">complete </w:t>
      </w:r>
      <w:r w:rsidR="005E419F" w:rsidRPr="00D63217">
        <w:t>assessment</w:t>
      </w:r>
      <w:r w:rsidR="00AE167A" w:rsidRPr="00D63217">
        <w:t>s</w:t>
      </w:r>
      <w:r w:rsidR="005E419F" w:rsidRPr="00D63217">
        <w:t xml:space="preserve"> of the risk posed by products containing paraquat as the sole active constituent, </w:t>
      </w:r>
      <w:r w:rsidR="003F2145">
        <w:t xml:space="preserve">and </w:t>
      </w:r>
      <w:r w:rsidR="00AE167A" w:rsidRPr="00D63217">
        <w:t xml:space="preserve">products </w:t>
      </w:r>
      <w:r w:rsidR="005E419F" w:rsidRPr="00D63217">
        <w:t xml:space="preserve">containing both </w:t>
      </w:r>
      <w:r w:rsidR="00AE167A" w:rsidRPr="00D63217">
        <w:t xml:space="preserve">paraquat and diquat. Products containing paraquat and amitrole </w:t>
      </w:r>
      <w:r w:rsidR="005E419F" w:rsidRPr="00D63217">
        <w:t>have been reassessed with respect to the risk posed by paraquat only, as amitrole has not been placed under reconsideration.</w:t>
      </w:r>
    </w:p>
    <w:p w14:paraId="5CAE278B" w14:textId="4000C884" w:rsidR="00DF10C5" w:rsidRPr="00D63217" w:rsidRDefault="00DF10C5" w:rsidP="00DF10C5">
      <w:pPr>
        <w:pStyle w:val="NormalText"/>
      </w:pPr>
      <w:r w:rsidRPr="00D63217">
        <w:t>These 3 groups can be further divided based on the concentration of paraquat and the secondary active constituent as shown in Table 1. Paraquat products are used as herbicides against broadleaf and grass weeds in a variety of situations, including treatment of weeds in seed beds before sowing, post-emergence inter-row weed control and pre-harvesting operations of a number of crops. Paraquat products often include instructions for use as a tank-mix with diquat or other herbicides to improve efficacy against particular weed species (</w:t>
      </w:r>
      <w:r w:rsidR="00673406" w:rsidRPr="00D63217">
        <w:t>e.g.</w:t>
      </w:r>
      <w:r w:rsidRPr="00D63217">
        <w:t xml:space="preserve"> capeweed), or to provide residual activity (</w:t>
      </w:r>
      <w:r w:rsidR="00673406" w:rsidRPr="00D63217">
        <w:t>e.g.</w:t>
      </w:r>
      <w:r w:rsidRPr="00D63217">
        <w:t xml:space="preserve"> diuron used for control of annual grasses and broadleaf weeds in lucerne (</w:t>
      </w:r>
      <w:r w:rsidRPr="00D63217">
        <w:rPr>
          <w:i/>
        </w:rPr>
        <w:t>Medicago sativa</w:t>
      </w:r>
      <w:r w:rsidRPr="00D63217">
        <w:t xml:space="preserve">)). Paraquat is also used as a crop desiccant, for hay freezing, accelerating the drying of seeds and desiccating weeds to facilitate crop harvesting. A detailed list of use patterns considered in this assessment is provided in </w:t>
      </w:r>
      <w:r w:rsidR="00673406" w:rsidRPr="00D63217">
        <w:fldChar w:fldCharType="begin"/>
      </w:r>
      <w:r w:rsidR="00673406" w:rsidRPr="00D63217">
        <w:instrText xml:space="preserve"> REF _Ref166501670 \h  \* MERGEFORMAT </w:instrText>
      </w:r>
      <w:r w:rsidR="00673406" w:rsidRPr="00D63217">
        <w:fldChar w:fldCharType="separate"/>
      </w:r>
      <w:r w:rsidR="008A397D" w:rsidRPr="00D63217">
        <w:t>Appendix A – Summary of assessment outcomes</w:t>
      </w:r>
      <w:r w:rsidR="00673406" w:rsidRPr="00D63217">
        <w:fldChar w:fldCharType="end"/>
      </w:r>
      <w:r w:rsidR="00673406" w:rsidRPr="00D63217">
        <w:t>.</w:t>
      </w:r>
    </w:p>
    <w:p w14:paraId="202FEEB1" w14:textId="74FE9BF0" w:rsidR="00DF10C5" w:rsidRPr="00D63217" w:rsidRDefault="001E65F3" w:rsidP="00DF10C5">
      <w:pPr>
        <w:pStyle w:val="NormalText"/>
      </w:pPr>
      <w:r w:rsidRPr="00D63217">
        <w:t>C</w:t>
      </w:r>
      <w:r w:rsidR="00DF10C5" w:rsidRPr="00D63217">
        <w:t>urrent permits for use of paraquat</w:t>
      </w:r>
      <w:r w:rsidR="000D5000" w:rsidRPr="00D63217">
        <w:t xml:space="preserve"> </w:t>
      </w:r>
      <w:r w:rsidR="00AE167A" w:rsidRPr="00D63217">
        <w:t>are not within the</w:t>
      </w:r>
      <w:r w:rsidR="00DF10C5" w:rsidRPr="00D63217">
        <w:t xml:space="preserve"> scope of this reconsideration.</w:t>
      </w:r>
    </w:p>
    <w:p w14:paraId="69E4C50E" w14:textId="4DAC0FE9" w:rsidR="00DF10C5" w:rsidRPr="002F269C" w:rsidRDefault="00DF10C5" w:rsidP="002F269C">
      <w:pPr>
        <w:pStyle w:val="Caption"/>
      </w:pPr>
      <w:bookmarkStart w:id="32" w:name="_Toc230692267"/>
      <w:bookmarkStart w:id="33" w:name="_Toc233036488"/>
      <w:r w:rsidRPr="002F269C">
        <w:t xml:space="preserve">Table </w:t>
      </w:r>
      <w:fldSimple w:instr=" SEQ Table \* ARABIC ">
        <w:r w:rsidR="002F269C">
          <w:rPr>
            <w:noProof/>
          </w:rPr>
          <w:t>1</w:t>
        </w:r>
      </w:fldSimple>
      <w:r w:rsidRPr="002F269C">
        <w:t>: Paraquat product groups</w:t>
      </w:r>
      <w:r w:rsidR="005E37FD" w:rsidRPr="002F269C">
        <w:t xml:space="preserve"> within scope of reconsideration</w:t>
      </w:r>
      <w:bookmarkEnd w:id="32"/>
      <w:bookmarkEnd w:id="33"/>
    </w:p>
    <w:tbl>
      <w:tblPr>
        <w:tblStyle w:val="TableGrid"/>
        <w:tblW w:w="0" w:type="auto"/>
        <w:tblLook w:val="04A0" w:firstRow="1" w:lastRow="0" w:firstColumn="1" w:lastColumn="0" w:noHBand="0" w:noVBand="1"/>
      </w:tblPr>
      <w:tblGrid>
        <w:gridCol w:w="2405"/>
        <w:gridCol w:w="2693"/>
        <w:gridCol w:w="3544"/>
      </w:tblGrid>
      <w:tr w:rsidR="00DF10C5" w:rsidRPr="00D63217" w14:paraId="758FCDF4" w14:textId="77777777" w:rsidTr="0011328B">
        <w:tc>
          <w:tcPr>
            <w:tcW w:w="2405" w:type="dxa"/>
            <w:tcBorders>
              <w:bottom w:val="single" w:sz="4" w:space="0" w:color="auto"/>
            </w:tcBorders>
            <w:shd w:val="clear" w:color="auto" w:fill="5C2946"/>
          </w:tcPr>
          <w:p w14:paraId="0868923D" w14:textId="77777777" w:rsidR="00DF10C5" w:rsidRPr="002F269C" w:rsidRDefault="00DF10C5" w:rsidP="002F269C">
            <w:pPr>
              <w:pStyle w:val="TableHead"/>
            </w:pPr>
            <w:r w:rsidRPr="002F269C">
              <w:t xml:space="preserve">Group </w:t>
            </w:r>
          </w:p>
        </w:tc>
        <w:tc>
          <w:tcPr>
            <w:tcW w:w="2693" w:type="dxa"/>
            <w:tcBorders>
              <w:bottom w:val="single" w:sz="4" w:space="0" w:color="auto"/>
            </w:tcBorders>
            <w:shd w:val="clear" w:color="auto" w:fill="5C2946"/>
          </w:tcPr>
          <w:p w14:paraId="2EBEF412" w14:textId="77777777" w:rsidR="00DF10C5" w:rsidRPr="002F269C" w:rsidRDefault="00DF10C5" w:rsidP="002F269C">
            <w:pPr>
              <w:pStyle w:val="TableHead"/>
            </w:pPr>
            <w:r w:rsidRPr="002F269C">
              <w:t>Active constituent(s)</w:t>
            </w:r>
          </w:p>
        </w:tc>
        <w:tc>
          <w:tcPr>
            <w:tcW w:w="3544" w:type="dxa"/>
            <w:tcBorders>
              <w:bottom w:val="single" w:sz="4" w:space="0" w:color="auto"/>
            </w:tcBorders>
            <w:shd w:val="clear" w:color="auto" w:fill="5C2946"/>
          </w:tcPr>
          <w:p w14:paraId="6EA61C12" w14:textId="77777777" w:rsidR="00DF10C5" w:rsidRPr="002F269C" w:rsidRDefault="00DF10C5" w:rsidP="002F269C">
            <w:pPr>
              <w:pStyle w:val="TableHead"/>
            </w:pPr>
            <w:r w:rsidRPr="002F269C">
              <w:t xml:space="preserve">Active constituent concentration </w:t>
            </w:r>
          </w:p>
        </w:tc>
      </w:tr>
      <w:tr w:rsidR="00757654" w:rsidRPr="00D63217" w14:paraId="28FDE141" w14:textId="77777777" w:rsidTr="00BF4B43">
        <w:tc>
          <w:tcPr>
            <w:tcW w:w="2405" w:type="dxa"/>
            <w:tcBorders>
              <w:bottom w:val="nil"/>
            </w:tcBorders>
          </w:tcPr>
          <w:p w14:paraId="28DD0DBE" w14:textId="5EB054FE" w:rsidR="00757654" w:rsidRPr="002F269C" w:rsidRDefault="00757654" w:rsidP="002F269C">
            <w:pPr>
              <w:pStyle w:val="TableText"/>
            </w:pPr>
            <w:r w:rsidRPr="002F269C">
              <w:t>1a (</w:t>
            </w:r>
            <w:r w:rsidR="00FD7E9B" w:rsidRPr="002F269C">
              <w:t>5</w:t>
            </w:r>
            <w:r w:rsidR="00141CFF" w:rsidRPr="002F269C">
              <w:t>1</w:t>
            </w:r>
            <w:r w:rsidRPr="002F269C">
              <w:t xml:space="preserve"> products)</w:t>
            </w:r>
          </w:p>
        </w:tc>
        <w:tc>
          <w:tcPr>
            <w:tcW w:w="2693" w:type="dxa"/>
            <w:tcBorders>
              <w:bottom w:val="nil"/>
            </w:tcBorders>
          </w:tcPr>
          <w:p w14:paraId="4364EE7E" w14:textId="77777777" w:rsidR="00757654" w:rsidRPr="002F269C" w:rsidRDefault="00757654" w:rsidP="002F269C">
            <w:pPr>
              <w:pStyle w:val="TableText"/>
            </w:pPr>
            <w:r w:rsidRPr="002F269C">
              <w:t>Paraquat</w:t>
            </w:r>
          </w:p>
        </w:tc>
        <w:tc>
          <w:tcPr>
            <w:tcW w:w="3544" w:type="dxa"/>
            <w:tcBorders>
              <w:bottom w:val="nil"/>
            </w:tcBorders>
          </w:tcPr>
          <w:p w14:paraId="121E21A8" w14:textId="0E066A64" w:rsidR="00757654" w:rsidRPr="002F269C" w:rsidRDefault="00757654" w:rsidP="002F269C">
            <w:pPr>
              <w:pStyle w:val="TableText"/>
            </w:pPr>
            <w:r w:rsidRPr="002F269C">
              <w:t>250 g/L paraquat</w:t>
            </w:r>
          </w:p>
        </w:tc>
      </w:tr>
      <w:tr w:rsidR="00757654" w:rsidRPr="00D63217" w14:paraId="285F8448" w14:textId="77777777" w:rsidTr="00BF4B43">
        <w:tc>
          <w:tcPr>
            <w:tcW w:w="2405" w:type="dxa"/>
            <w:tcBorders>
              <w:top w:val="nil"/>
              <w:bottom w:val="nil"/>
            </w:tcBorders>
          </w:tcPr>
          <w:p w14:paraId="2EB74F6F" w14:textId="552FC34E" w:rsidR="00757654" w:rsidRPr="002F269C" w:rsidRDefault="00757654" w:rsidP="002F269C">
            <w:pPr>
              <w:pStyle w:val="TableText"/>
            </w:pPr>
            <w:r w:rsidRPr="002F269C">
              <w:t>1b (</w:t>
            </w:r>
            <w:r w:rsidR="00FD7E9B" w:rsidRPr="002F269C">
              <w:t>8</w:t>
            </w:r>
            <w:r w:rsidRPr="002F269C">
              <w:t xml:space="preserve"> products) </w:t>
            </w:r>
          </w:p>
        </w:tc>
        <w:tc>
          <w:tcPr>
            <w:tcW w:w="2693" w:type="dxa"/>
            <w:tcBorders>
              <w:top w:val="nil"/>
              <w:bottom w:val="nil"/>
            </w:tcBorders>
          </w:tcPr>
          <w:p w14:paraId="496F207A" w14:textId="77777777" w:rsidR="00757654" w:rsidRPr="002F269C" w:rsidRDefault="00757654" w:rsidP="002F269C">
            <w:pPr>
              <w:pStyle w:val="TableText"/>
            </w:pPr>
          </w:p>
        </w:tc>
        <w:tc>
          <w:tcPr>
            <w:tcW w:w="3544" w:type="dxa"/>
            <w:tcBorders>
              <w:top w:val="nil"/>
              <w:bottom w:val="nil"/>
            </w:tcBorders>
          </w:tcPr>
          <w:p w14:paraId="473DC947" w14:textId="272C29A3" w:rsidR="00757654" w:rsidRPr="002F269C" w:rsidRDefault="00757654" w:rsidP="002F269C">
            <w:pPr>
              <w:pStyle w:val="TableText"/>
            </w:pPr>
            <w:r w:rsidRPr="002F269C">
              <w:t>300 g/L paraquat</w:t>
            </w:r>
          </w:p>
        </w:tc>
      </w:tr>
      <w:tr w:rsidR="00757654" w:rsidRPr="00D63217" w14:paraId="6AF284F1" w14:textId="77777777" w:rsidTr="00BF4B43">
        <w:tc>
          <w:tcPr>
            <w:tcW w:w="2405" w:type="dxa"/>
            <w:tcBorders>
              <w:top w:val="nil"/>
              <w:bottom w:val="nil"/>
            </w:tcBorders>
          </w:tcPr>
          <w:p w14:paraId="73628FAD" w14:textId="3C88CF25" w:rsidR="00757654" w:rsidRPr="002F269C" w:rsidRDefault="00757654" w:rsidP="002F269C">
            <w:pPr>
              <w:pStyle w:val="TableText"/>
            </w:pPr>
            <w:r w:rsidRPr="002F269C">
              <w:t>1c (</w:t>
            </w:r>
            <w:r w:rsidR="00FD7E9B" w:rsidRPr="002F269C">
              <w:t>1</w:t>
            </w:r>
            <w:r w:rsidRPr="002F269C">
              <w:t xml:space="preserve"> products)</w:t>
            </w:r>
          </w:p>
        </w:tc>
        <w:tc>
          <w:tcPr>
            <w:tcW w:w="2693" w:type="dxa"/>
            <w:tcBorders>
              <w:top w:val="nil"/>
              <w:bottom w:val="nil"/>
            </w:tcBorders>
          </w:tcPr>
          <w:p w14:paraId="272ED1AA" w14:textId="77777777" w:rsidR="00757654" w:rsidRPr="002F269C" w:rsidRDefault="00757654" w:rsidP="002F269C">
            <w:pPr>
              <w:pStyle w:val="TableText"/>
            </w:pPr>
          </w:p>
        </w:tc>
        <w:tc>
          <w:tcPr>
            <w:tcW w:w="3544" w:type="dxa"/>
            <w:tcBorders>
              <w:top w:val="nil"/>
              <w:bottom w:val="nil"/>
            </w:tcBorders>
          </w:tcPr>
          <w:p w14:paraId="4A2E3D4D" w14:textId="64462B9A" w:rsidR="00757654" w:rsidRPr="002F269C" w:rsidRDefault="00757654" w:rsidP="002F269C">
            <w:pPr>
              <w:pStyle w:val="TableText"/>
            </w:pPr>
            <w:r w:rsidRPr="002F269C">
              <w:t>330 g/L paraquat</w:t>
            </w:r>
          </w:p>
        </w:tc>
      </w:tr>
      <w:tr w:rsidR="00757654" w:rsidRPr="00D63217" w14:paraId="3F51E887" w14:textId="77777777" w:rsidTr="00BF4B43">
        <w:tc>
          <w:tcPr>
            <w:tcW w:w="2405" w:type="dxa"/>
            <w:tcBorders>
              <w:top w:val="nil"/>
              <w:bottom w:val="nil"/>
            </w:tcBorders>
          </w:tcPr>
          <w:p w14:paraId="74E306D0" w14:textId="77777777" w:rsidR="00757654" w:rsidRPr="002F269C" w:rsidRDefault="00757654" w:rsidP="002F269C">
            <w:pPr>
              <w:pStyle w:val="TableText"/>
            </w:pPr>
            <w:r w:rsidRPr="002F269C">
              <w:t>1d (1 product)</w:t>
            </w:r>
          </w:p>
        </w:tc>
        <w:tc>
          <w:tcPr>
            <w:tcW w:w="2693" w:type="dxa"/>
            <w:tcBorders>
              <w:top w:val="nil"/>
              <w:bottom w:val="nil"/>
            </w:tcBorders>
          </w:tcPr>
          <w:p w14:paraId="44893DBE" w14:textId="77777777" w:rsidR="00757654" w:rsidRPr="002F269C" w:rsidRDefault="00757654" w:rsidP="002F269C">
            <w:pPr>
              <w:pStyle w:val="TableText"/>
            </w:pPr>
          </w:p>
        </w:tc>
        <w:tc>
          <w:tcPr>
            <w:tcW w:w="3544" w:type="dxa"/>
            <w:tcBorders>
              <w:top w:val="nil"/>
              <w:bottom w:val="nil"/>
            </w:tcBorders>
          </w:tcPr>
          <w:p w14:paraId="60127651" w14:textId="7303A788" w:rsidR="00757654" w:rsidRPr="002F269C" w:rsidRDefault="00757654" w:rsidP="002F269C">
            <w:pPr>
              <w:pStyle w:val="TableText"/>
            </w:pPr>
            <w:r w:rsidRPr="002F269C">
              <w:t>334 g/L paraquat</w:t>
            </w:r>
          </w:p>
        </w:tc>
      </w:tr>
      <w:tr w:rsidR="00757654" w:rsidRPr="00D63217" w14:paraId="41159587" w14:textId="77777777" w:rsidTr="00BF4B43">
        <w:tc>
          <w:tcPr>
            <w:tcW w:w="2405" w:type="dxa"/>
            <w:tcBorders>
              <w:top w:val="nil"/>
              <w:bottom w:val="nil"/>
            </w:tcBorders>
          </w:tcPr>
          <w:p w14:paraId="44525A7C" w14:textId="77777777" w:rsidR="00757654" w:rsidRPr="002F269C" w:rsidRDefault="00757654" w:rsidP="002F269C">
            <w:pPr>
              <w:pStyle w:val="TableText"/>
            </w:pPr>
            <w:r w:rsidRPr="002F269C">
              <w:lastRenderedPageBreak/>
              <w:t>1e (1 product)</w:t>
            </w:r>
          </w:p>
        </w:tc>
        <w:tc>
          <w:tcPr>
            <w:tcW w:w="2693" w:type="dxa"/>
            <w:tcBorders>
              <w:top w:val="nil"/>
              <w:bottom w:val="nil"/>
            </w:tcBorders>
          </w:tcPr>
          <w:p w14:paraId="26661FEA" w14:textId="77777777" w:rsidR="00757654" w:rsidRPr="002F269C" w:rsidRDefault="00757654" w:rsidP="002F269C">
            <w:pPr>
              <w:pStyle w:val="TableText"/>
            </w:pPr>
          </w:p>
        </w:tc>
        <w:tc>
          <w:tcPr>
            <w:tcW w:w="3544" w:type="dxa"/>
            <w:tcBorders>
              <w:top w:val="nil"/>
              <w:bottom w:val="nil"/>
            </w:tcBorders>
          </w:tcPr>
          <w:p w14:paraId="36E317D2" w14:textId="6E3EFE85" w:rsidR="00757654" w:rsidRPr="002F269C" w:rsidRDefault="00757654" w:rsidP="002F269C">
            <w:pPr>
              <w:pStyle w:val="TableText"/>
            </w:pPr>
            <w:r w:rsidRPr="002F269C">
              <w:t>350 g/L paraquat</w:t>
            </w:r>
          </w:p>
        </w:tc>
      </w:tr>
      <w:tr w:rsidR="00757654" w:rsidRPr="00D63217" w14:paraId="206BAC26" w14:textId="77777777" w:rsidTr="00BF4B43">
        <w:tc>
          <w:tcPr>
            <w:tcW w:w="2405" w:type="dxa"/>
            <w:tcBorders>
              <w:top w:val="nil"/>
              <w:bottom w:val="nil"/>
            </w:tcBorders>
          </w:tcPr>
          <w:p w14:paraId="74162565" w14:textId="7B69E110" w:rsidR="00757654" w:rsidRPr="002F269C" w:rsidRDefault="00757654" w:rsidP="002F269C">
            <w:pPr>
              <w:pStyle w:val="TableText"/>
            </w:pPr>
            <w:r w:rsidRPr="002F269C">
              <w:t>1f (</w:t>
            </w:r>
            <w:r w:rsidR="00141CFF" w:rsidRPr="002F269C">
              <w:t>12</w:t>
            </w:r>
            <w:r w:rsidRPr="002F269C">
              <w:t xml:space="preserve"> products)</w:t>
            </w:r>
          </w:p>
        </w:tc>
        <w:tc>
          <w:tcPr>
            <w:tcW w:w="2693" w:type="dxa"/>
            <w:tcBorders>
              <w:top w:val="nil"/>
              <w:bottom w:val="nil"/>
            </w:tcBorders>
          </w:tcPr>
          <w:p w14:paraId="10A58D3A" w14:textId="77777777" w:rsidR="00757654" w:rsidRPr="002F269C" w:rsidRDefault="00757654" w:rsidP="002F269C">
            <w:pPr>
              <w:pStyle w:val="TableText"/>
            </w:pPr>
          </w:p>
        </w:tc>
        <w:tc>
          <w:tcPr>
            <w:tcW w:w="3544" w:type="dxa"/>
            <w:tcBorders>
              <w:top w:val="nil"/>
              <w:bottom w:val="nil"/>
            </w:tcBorders>
          </w:tcPr>
          <w:p w14:paraId="3A27B586" w14:textId="01B726BC" w:rsidR="00757654" w:rsidRPr="002F269C" w:rsidRDefault="00757654" w:rsidP="002F269C">
            <w:pPr>
              <w:pStyle w:val="TableText"/>
            </w:pPr>
            <w:r w:rsidRPr="002F269C">
              <w:t>360 g/L paraquat</w:t>
            </w:r>
          </w:p>
        </w:tc>
      </w:tr>
      <w:tr w:rsidR="00757654" w:rsidRPr="00D63217" w14:paraId="7DF88BA0" w14:textId="77777777" w:rsidTr="00BF4B43">
        <w:tc>
          <w:tcPr>
            <w:tcW w:w="2405" w:type="dxa"/>
            <w:tcBorders>
              <w:bottom w:val="single" w:sz="4" w:space="0" w:color="auto"/>
            </w:tcBorders>
          </w:tcPr>
          <w:p w14:paraId="4D623C4A" w14:textId="27EC1933" w:rsidR="00757654" w:rsidRPr="002F269C" w:rsidRDefault="00757654" w:rsidP="002F269C">
            <w:pPr>
              <w:pStyle w:val="TableText"/>
            </w:pPr>
            <w:r w:rsidRPr="002F269C">
              <w:t>2 (3</w:t>
            </w:r>
            <w:r w:rsidR="00141CFF" w:rsidRPr="002F269C">
              <w:t>5</w:t>
            </w:r>
            <w:r w:rsidRPr="002F269C">
              <w:t xml:space="preserve"> products)</w:t>
            </w:r>
          </w:p>
        </w:tc>
        <w:tc>
          <w:tcPr>
            <w:tcW w:w="2693" w:type="dxa"/>
            <w:tcBorders>
              <w:bottom w:val="single" w:sz="4" w:space="0" w:color="auto"/>
            </w:tcBorders>
          </w:tcPr>
          <w:p w14:paraId="4CAFBF1E" w14:textId="77777777" w:rsidR="00757654" w:rsidRPr="002F269C" w:rsidRDefault="00757654" w:rsidP="002F269C">
            <w:pPr>
              <w:pStyle w:val="TableText"/>
            </w:pPr>
            <w:r w:rsidRPr="002F269C">
              <w:t>Paraquat/diquat</w:t>
            </w:r>
          </w:p>
        </w:tc>
        <w:tc>
          <w:tcPr>
            <w:tcW w:w="3544" w:type="dxa"/>
            <w:tcBorders>
              <w:bottom w:val="single" w:sz="4" w:space="0" w:color="auto"/>
            </w:tcBorders>
          </w:tcPr>
          <w:p w14:paraId="0D43D2BE" w14:textId="77777777" w:rsidR="00757654" w:rsidRPr="002F269C" w:rsidRDefault="00757654" w:rsidP="002F269C">
            <w:pPr>
              <w:pStyle w:val="TableText"/>
            </w:pPr>
            <w:r w:rsidRPr="002F269C">
              <w:t>135 g/L paraquat; 115 g/L diquat</w:t>
            </w:r>
          </w:p>
        </w:tc>
      </w:tr>
      <w:tr w:rsidR="00757654" w:rsidRPr="00D63217" w14:paraId="7EBA464D" w14:textId="77777777" w:rsidTr="00757654">
        <w:trPr>
          <w:trHeight w:val="585"/>
        </w:trPr>
        <w:tc>
          <w:tcPr>
            <w:tcW w:w="2405" w:type="dxa"/>
          </w:tcPr>
          <w:p w14:paraId="431179B4" w14:textId="617EBF10" w:rsidR="00757654" w:rsidRPr="002F269C" w:rsidRDefault="00757654" w:rsidP="002F269C">
            <w:pPr>
              <w:pStyle w:val="TableText"/>
            </w:pPr>
            <w:r w:rsidRPr="002F269C">
              <w:t>3a (1 product)</w:t>
            </w:r>
            <w:r w:rsidR="002F269C">
              <w:br/>
            </w:r>
            <w:r w:rsidRPr="002F269C">
              <w:t>3b (1 products)</w:t>
            </w:r>
          </w:p>
        </w:tc>
        <w:tc>
          <w:tcPr>
            <w:tcW w:w="2693" w:type="dxa"/>
          </w:tcPr>
          <w:p w14:paraId="1076BC8B" w14:textId="77777777" w:rsidR="00757654" w:rsidRPr="002F269C" w:rsidRDefault="00757654" w:rsidP="002F269C">
            <w:pPr>
              <w:pStyle w:val="TableText"/>
            </w:pPr>
            <w:r w:rsidRPr="002F269C">
              <w:t>Paraquat/amitrole</w:t>
            </w:r>
          </w:p>
        </w:tc>
        <w:tc>
          <w:tcPr>
            <w:tcW w:w="3544" w:type="dxa"/>
            <w:tcBorders>
              <w:bottom w:val="single" w:sz="4" w:space="0" w:color="auto"/>
            </w:tcBorders>
          </w:tcPr>
          <w:p w14:paraId="3F0D5D1F" w14:textId="059E9BD1" w:rsidR="00757654" w:rsidRPr="002F269C" w:rsidRDefault="00757654" w:rsidP="002F269C">
            <w:pPr>
              <w:pStyle w:val="TableText"/>
            </w:pPr>
            <w:r w:rsidRPr="002F269C">
              <w:t>250 g/L paraquat; 10 g/L amitrole</w:t>
            </w:r>
            <w:r w:rsidRPr="002F269C">
              <w:br/>
              <w:t>300 g/L paraquat; 12 g/L amitrole</w:t>
            </w:r>
          </w:p>
        </w:tc>
      </w:tr>
    </w:tbl>
    <w:p w14:paraId="750C2043" w14:textId="77777777" w:rsidR="002F269C" w:rsidRDefault="002F269C" w:rsidP="002F269C">
      <w:pPr>
        <w:pStyle w:val="NormalText"/>
        <w:sectPr w:rsidR="002F269C" w:rsidSect="003023C5">
          <w:headerReference w:type="even" r:id="rId29"/>
          <w:pgSz w:w="11906" w:h="16838" w:code="9"/>
          <w:pgMar w:top="2835" w:right="1134" w:bottom="1134" w:left="1134" w:header="1701" w:footer="680" w:gutter="0"/>
          <w:cols w:space="708"/>
          <w:docGrid w:linePitch="360"/>
        </w:sectPr>
      </w:pPr>
      <w:bookmarkStart w:id="34" w:name="_Toc157602744"/>
      <w:bookmarkStart w:id="35" w:name="_Hlk162352503"/>
    </w:p>
    <w:p w14:paraId="6BE06E07" w14:textId="6D38BA01" w:rsidR="0011328B" w:rsidRPr="002F269C" w:rsidRDefault="0011328B" w:rsidP="002F269C">
      <w:pPr>
        <w:pStyle w:val="Heading1"/>
      </w:pPr>
      <w:bookmarkStart w:id="36" w:name="_Toc231480820"/>
      <w:bookmarkStart w:id="37" w:name="_Toc233036372"/>
      <w:r w:rsidRPr="002F269C">
        <w:lastRenderedPageBreak/>
        <w:t>Chemistry</w:t>
      </w:r>
      <w:bookmarkEnd w:id="34"/>
      <w:bookmarkEnd w:id="36"/>
      <w:bookmarkEnd w:id="37"/>
    </w:p>
    <w:p w14:paraId="1BE9F051" w14:textId="119FB699" w:rsidR="0011328B" w:rsidRPr="002F269C" w:rsidRDefault="0011328B" w:rsidP="002F269C">
      <w:pPr>
        <w:pStyle w:val="Heading2"/>
      </w:pPr>
      <w:bookmarkStart w:id="38" w:name="_Toc157602745"/>
      <w:bookmarkStart w:id="39" w:name="_Toc231480821"/>
      <w:bookmarkStart w:id="40" w:name="_Toc233036373"/>
      <w:r w:rsidRPr="002F269C">
        <w:t>Active constituent</w:t>
      </w:r>
      <w:bookmarkEnd w:id="38"/>
      <w:bookmarkEnd w:id="39"/>
      <w:bookmarkEnd w:id="40"/>
    </w:p>
    <w:p w14:paraId="7D0DFD8D" w14:textId="68C1017F" w:rsidR="00BB2557" w:rsidRPr="00D63217" w:rsidRDefault="00882EDB" w:rsidP="00BB2557">
      <w:pPr>
        <w:pStyle w:val="NormalText"/>
      </w:pPr>
      <w:bookmarkStart w:id="41" w:name="_Ref42691162"/>
      <w:r w:rsidRPr="00D63217">
        <w:t xml:space="preserve">Paraquat dichloride </w:t>
      </w:r>
      <w:r w:rsidR="005336D6" w:rsidRPr="00D63217">
        <w:t xml:space="preserve">in its pure form </w:t>
      </w:r>
      <w:r w:rsidRPr="00D63217">
        <w:t xml:space="preserve">is a colourless to </w:t>
      </w:r>
      <w:r w:rsidR="00AE167A" w:rsidRPr="00D63217">
        <w:t xml:space="preserve">off-white </w:t>
      </w:r>
      <w:r w:rsidR="003275F8" w:rsidRPr="00D63217">
        <w:t xml:space="preserve">crystalline solid </w:t>
      </w:r>
      <w:r w:rsidRPr="00D63217">
        <w:t>with a slightly ammoniacal odour</w:t>
      </w:r>
      <w:r w:rsidR="005336D6" w:rsidRPr="00D63217">
        <w:t xml:space="preserve">. </w:t>
      </w:r>
      <w:r w:rsidR="00127D78" w:rsidRPr="00D63217">
        <w:t>P</w:t>
      </w:r>
      <w:r w:rsidR="005336D6" w:rsidRPr="00D63217">
        <w:t>araquat dichloride is an extremely hygroscopic material</w:t>
      </w:r>
      <w:r w:rsidRPr="00D63217">
        <w:t xml:space="preserve"> </w:t>
      </w:r>
      <w:r w:rsidR="005336D6" w:rsidRPr="00D63217">
        <w:t>and is commercially supplied as a technical concentrate (manufacturing concentrate) consisting of an aqueous solution with a typical concentration of 50% w/v (</w:t>
      </w:r>
      <w:r w:rsidR="00C909A4" w:rsidRPr="00D63217">
        <w:t>500 </w:t>
      </w:r>
      <w:r w:rsidR="005336D6" w:rsidRPr="00D63217">
        <w:t>g/L). As well as being extremely soluble in water, paraquat dichloride is soluble in methanol while being practically insoluble in most other organic solvents</w:t>
      </w:r>
      <w:r w:rsidR="00127D78" w:rsidRPr="00D63217">
        <w:t xml:space="preserve"> and</w:t>
      </w:r>
      <w:r w:rsidR="005E2DEB" w:rsidRPr="00D63217">
        <w:t xml:space="preserve"> has</w:t>
      </w:r>
      <w:r w:rsidR="00127D78" w:rsidRPr="00D63217">
        <w:t xml:space="preserve"> an extremely low octanol-water partition coefficient </w:t>
      </w:r>
      <w:r w:rsidR="00CC2670">
        <w:t>that</w:t>
      </w:r>
      <w:r w:rsidR="00CC2670" w:rsidRPr="00D63217">
        <w:t xml:space="preserve"> </w:t>
      </w:r>
      <w:r w:rsidR="00127D78" w:rsidRPr="00D63217">
        <w:t>will not partition into fatty or other hydrophobic matrices</w:t>
      </w:r>
      <w:r w:rsidR="005336D6" w:rsidRPr="00D63217">
        <w:t>. It is generally stable to hydrolysis and aqueous photolysis.</w:t>
      </w:r>
      <w:r w:rsidR="00025586" w:rsidRPr="00D63217">
        <w:t xml:space="preserve"> Further information about the identity and physicochemical properties of paraquat are </w:t>
      </w:r>
      <w:r w:rsidR="00025586" w:rsidRPr="005E37FD">
        <w:t xml:space="preserve">provided in </w:t>
      </w:r>
      <w:r w:rsidR="00025586" w:rsidRPr="005E37FD">
        <w:fldChar w:fldCharType="begin"/>
      </w:r>
      <w:r w:rsidR="00025586" w:rsidRPr="005E37FD">
        <w:instrText xml:space="preserve"> REF _Ref166500313 \h </w:instrText>
      </w:r>
      <w:r w:rsidR="00626DF6" w:rsidRPr="005E37FD">
        <w:instrText xml:space="preserve"> \* MERGEFORMAT </w:instrText>
      </w:r>
      <w:r w:rsidR="00025586" w:rsidRPr="005E37FD">
        <w:fldChar w:fldCharType="separate"/>
      </w:r>
      <w:r w:rsidR="008A397D" w:rsidRPr="00D63217">
        <w:t>T</w:t>
      </w:r>
      <w:r w:rsidR="008A397D" w:rsidRPr="008A397D">
        <w:t>able 2</w:t>
      </w:r>
      <w:r w:rsidR="00025586" w:rsidRPr="005E37FD">
        <w:fldChar w:fldCharType="end"/>
      </w:r>
      <w:r w:rsidR="00025586" w:rsidRPr="005E37FD">
        <w:t xml:space="preserve"> and</w:t>
      </w:r>
      <w:r w:rsidR="00025586" w:rsidRPr="00D63217">
        <w:t xml:space="preserve"> </w:t>
      </w:r>
      <w:r w:rsidR="00B35AE6">
        <w:t>3</w:t>
      </w:r>
      <w:r w:rsidR="00025586" w:rsidRPr="00D63217">
        <w:t>.</w:t>
      </w:r>
      <w:r w:rsidR="00BB2557" w:rsidRPr="00D63217">
        <w:t xml:space="preserve"> There are currently </w:t>
      </w:r>
      <w:r w:rsidR="008246E2">
        <w:t>18</w:t>
      </w:r>
      <w:r w:rsidR="008246E2" w:rsidRPr="00D63217">
        <w:t xml:space="preserve"> </w:t>
      </w:r>
      <w:r w:rsidR="00BB2557" w:rsidRPr="00D63217">
        <w:t xml:space="preserve">active constituent approvals for paraquat dichloride listed in </w:t>
      </w:r>
      <w:r w:rsidR="00BB2557" w:rsidRPr="00D63217">
        <w:fldChar w:fldCharType="begin"/>
      </w:r>
      <w:r w:rsidR="00BB2557" w:rsidRPr="00D63217">
        <w:instrText xml:space="preserve"> REF _Ref162264148 \h </w:instrText>
      </w:r>
      <w:r w:rsidR="00D63217">
        <w:instrText xml:space="preserve"> \* MERGEFORMAT </w:instrText>
      </w:r>
      <w:r w:rsidR="00BB2557" w:rsidRPr="00D63217">
        <w:fldChar w:fldCharType="separate"/>
      </w:r>
      <w:r w:rsidR="008A397D" w:rsidRPr="00D63217">
        <w:t xml:space="preserve">Table </w:t>
      </w:r>
      <w:r w:rsidR="008A397D">
        <w:rPr>
          <w:noProof/>
        </w:rPr>
        <w:t>4</w:t>
      </w:r>
      <w:r w:rsidR="00BB2557" w:rsidRPr="00D63217">
        <w:fldChar w:fldCharType="end"/>
      </w:r>
      <w:r w:rsidR="00BB2557" w:rsidRPr="00D63217">
        <w:t xml:space="preserve"> below.</w:t>
      </w:r>
    </w:p>
    <w:p w14:paraId="78B50AF2" w14:textId="2C50B123" w:rsidR="0011328B" w:rsidRPr="002F269C" w:rsidRDefault="0011328B" w:rsidP="002F269C">
      <w:pPr>
        <w:pStyle w:val="Caption"/>
        <w:rPr>
          <w:rStyle w:val="FigurecaptionChar"/>
          <w:szCs w:val="22"/>
        </w:rPr>
      </w:pPr>
      <w:bookmarkStart w:id="42" w:name="_Ref166500313"/>
      <w:bookmarkStart w:id="43" w:name="_Ref166500307"/>
      <w:bookmarkStart w:id="44" w:name="_Toc230692268"/>
      <w:bookmarkStart w:id="45" w:name="_Toc233036489"/>
      <w:r w:rsidRPr="002F269C">
        <w:t>T</w:t>
      </w:r>
      <w:r w:rsidRPr="002F269C">
        <w:rPr>
          <w:rStyle w:val="FigurecaptionChar"/>
          <w:szCs w:val="22"/>
        </w:rPr>
        <w:t xml:space="preserve">able </w:t>
      </w:r>
      <w:r w:rsidRPr="002F269C">
        <w:rPr>
          <w:rStyle w:val="FigurecaptionChar"/>
          <w:szCs w:val="22"/>
        </w:rPr>
        <w:fldChar w:fldCharType="begin"/>
      </w:r>
      <w:r w:rsidRPr="002F269C">
        <w:rPr>
          <w:rStyle w:val="FigurecaptionChar"/>
          <w:szCs w:val="22"/>
        </w:rPr>
        <w:instrText xml:space="preserve"> SEQ Table \* ARABIC </w:instrText>
      </w:r>
      <w:r w:rsidRPr="002F269C">
        <w:rPr>
          <w:rStyle w:val="FigurecaptionChar"/>
          <w:szCs w:val="22"/>
        </w:rPr>
        <w:fldChar w:fldCharType="separate"/>
      </w:r>
      <w:r w:rsidR="002F269C">
        <w:rPr>
          <w:rStyle w:val="FigurecaptionChar"/>
          <w:noProof/>
          <w:szCs w:val="22"/>
        </w:rPr>
        <w:t>2</w:t>
      </w:r>
      <w:r w:rsidRPr="002F269C">
        <w:rPr>
          <w:rStyle w:val="FigurecaptionChar"/>
          <w:szCs w:val="22"/>
        </w:rPr>
        <w:fldChar w:fldCharType="end"/>
      </w:r>
      <w:bookmarkEnd w:id="41"/>
      <w:bookmarkEnd w:id="42"/>
      <w:r w:rsidRPr="002F269C">
        <w:rPr>
          <w:rStyle w:val="FigurecaptionChar"/>
          <w:szCs w:val="22"/>
        </w:rPr>
        <w:t>: Nomenclature and structural formula of the active constituent paraquat dichloride</w:t>
      </w:r>
      <w:bookmarkEnd w:id="43"/>
      <w:bookmarkEnd w:id="44"/>
      <w:bookmarkEnd w:id="45"/>
    </w:p>
    <w:tbl>
      <w:tblPr>
        <w:tblpPr w:leftFromText="180" w:rightFromText="180" w:vertAnchor="text" w:tblpY="1"/>
        <w:tblOverlap w:val="neve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11328B" w:rsidRPr="00D63217" w14:paraId="0269C8B6" w14:textId="77777777" w:rsidTr="005E2DEB">
        <w:tc>
          <w:tcPr>
            <w:tcW w:w="1580" w:type="pct"/>
            <w:shd w:val="clear" w:color="auto" w:fill="5C2946"/>
          </w:tcPr>
          <w:p w14:paraId="2D30D9A8" w14:textId="77777777" w:rsidR="0011328B" w:rsidRPr="002F269C" w:rsidRDefault="0011328B" w:rsidP="002F269C">
            <w:pPr>
              <w:pStyle w:val="TableHead"/>
            </w:pPr>
            <w:r w:rsidRPr="002F269C">
              <w:t>Common name (ISO):</w:t>
            </w:r>
          </w:p>
        </w:tc>
        <w:tc>
          <w:tcPr>
            <w:tcW w:w="3420" w:type="pct"/>
          </w:tcPr>
          <w:p w14:paraId="0D1BE696" w14:textId="7F489161" w:rsidR="0011328B" w:rsidRPr="00D63217" w:rsidRDefault="0011328B" w:rsidP="00C909A4">
            <w:pPr>
              <w:pStyle w:val="TableText"/>
            </w:pPr>
            <w:r w:rsidRPr="00D63217">
              <w:t>Paraquat dichloride</w:t>
            </w:r>
            <w:r w:rsidR="000B007A" w:rsidRPr="00D63217">
              <w:t>.</w:t>
            </w:r>
            <w:r w:rsidR="00C909A4" w:rsidRPr="00D63217">
              <w:rPr>
                <w:lang w:val="en-US"/>
              </w:rPr>
              <w:br/>
            </w:r>
            <w:r w:rsidRPr="00D63217">
              <w:rPr>
                <w:lang w:val="en-US"/>
              </w:rPr>
              <w:t>Paraquat (ISO approved name for the cation)</w:t>
            </w:r>
          </w:p>
        </w:tc>
      </w:tr>
      <w:tr w:rsidR="0011328B" w:rsidRPr="00D63217" w14:paraId="3B2D00EB" w14:textId="77777777" w:rsidTr="005E2DEB">
        <w:tc>
          <w:tcPr>
            <w:tcW w:w="1580" w:type="pct"/>
            <w:shd w:val="clear" w:color="auto" w:fill="5C2946"/>
          </w:tcPr>
          <w:p w14:paraId="2F4594C8" w14:textId="77777777" w:rsidR="0011328B" w:rsidRPr="002F269C" w:rsidRDefault="0011328B" w:rsidP="002F269C">
            <w:pPr>
              <w:pStyle w:val="TableHead"/>
            </w:pPr>
            <w:r w:rsidRPr="002F269C">
              <w:t>IUPAC name:</w:t>
            </w:r>
          </w:p>
        </w:tc>
        <w:tc>
          <w:tcPr>
            <w:tcW w:w="3420" w:type="pct"/>
          </w:tcPr>
          <w:p w14:paraId="1B698C03" w14:textId="77777777" w:rsidR="0011328B" w:rsidRPr="00D63217" w:rsidRDefault="0011328B" w:rsidP="00C26ABF">
            <w:pPr>
              <w:pStyle w:val="TableText"/>
              <w:rPr>
                <w:szCs w:val="17"/>
              </w:rPr>
            </w:pPr>
            <w:r w:rsidRPr="00D63217">
              <w:rPr>
                <w:szCs w:val="17"/>
              </w:rPr>
              <w:t>1,1'-dimethyl-4,4'-bipyridinium dichloride</w:t>
            </w:r>
          </w:p>
        </w:tc>
      </w:tr>
      <w:tr w:rsidR="0011328B" w:rsidRPr="00D63217" w14:paraId="4903ABF9" w14:textId="77777777" w:rsidTr="005E2DEB">
        <w:tc>
          <w:tcPr>
            <w:tcW w:w="1580" w:type="pct"/>
            <w:shd w:val="clear" w:color="auto" w:fill="5C2946"/>
          </w:tcPr>
          <w:p w14:paraId="48890931" w14:textId="459CD7F0" w:rsidR="0011328B" w:rsidRPr="002F269C" w:rsidRDefault="0011328B" w:rsidP="002F269C">
            <w:pPr>
              <w:pStyle w:val="TableHead"/>
            </w:pPr>
            <w:r w:rsidRPr="002F269C">
              <w:t>Chemical Abstracts name:</w:t>
            </w:r>
          </w:p>
        </w:tc>
        <w:tc>
          <w:tcPr>
            <w:tcW w:w="3420" w:type="pct"/>
          </w:tcPr>
          <w:p w14:paraId="4C328420" w14:textId="77777777" w:rsidR="0011328B" w:rsidRPr="00D63217" w:rsidRDefault="0011328B" w:rsidP="00C26ABF">
            <w:pPr>
              <w:pStyle w:val="TableText"/>
              <w:rPr>
                <w:szCs w:val="17"/>
              </w:rPr>
            </w:pPr>
            <w:r w:rsidRPr="00D63217">
              <w:rPr>
                <w:szCs w:val="17"/>
              </w:rPr>
              <w:t>1,1'-dimethyl-4,4'-bipyridinium dichloride</w:t>
            </w:r>
          </w:p>
        </w:tc>
      </w:tr>
      <w:tr w:rsidR="0011328B" w:rsidRPr="00D63217" w14:paraId="269345FE" w14:textId="77777777" w:rsidTr="005E2DEB">
        <w:tc>
          <w:tcPr>
            <w:tcW w:w="1580" w:type="pct"/>
            <w:shd w:val="clear" w:color="auto" w:fill="5C2946"/>
          </w:tcPr>
          <w:p w14:paraId="2CE93BF6" w14:textId="77777777" w:rsidR="0011328B" w:rsidRPr="002F269C" w:rsidRDefault="0011328B" w:rsidP="002F269C">
            <w:pPr>
              <w:pStyle w:val="TableHead"/>
            </w:pPr>
            <w:r w:rsidRPr="002F269C">
              <w:t>CAS registry number:</w:t>
            </w:r>
          </w:p>
        </w:tc>
        <w:tc>
          <w:tcPr>
            <w:tcW w:w="3420" w:type="pct"/>
          </w:tcPr>
          <w:p w14:paraId="52DA9502" w14:textId="1E0A74AB" w:rsidR="0011328B" w:rsidRPr="00D63217" w:rsidRDefault="0011328B" w:rsidP="00C909A4">
            <w:pPr>
              <w:pStyle w:val="TableText"/>
              <w:rPr>
                <w:szCs w:val="17"/>
              </w:rPr>
            </w:pPr>
            <w:r w:rsidRPr="00D63217">
              <w:rPr>
                <w:iCs/>
                <w:szCs w:val="17"/>
              </w:rPr>
              <w:t xml:space="preserve">1910-42-5 </w:t>
            </w:r>
            <w:r w:rsidRPr="00D63217">
              <w:rPr>
                <w:snapToGrid w:val="0"/>
              </w:rPr>
              <w:t>(dichloride)</w:t>
            </w:r>
            <w:r w:rsidR="00C909A4" w:rsidRPr="00D63217">
              <w:rPr>
                <w:iCs/>
                <w:szCs w:val="17"/>
                <w:lang w:val="en-US"/>
              </w:rPr>
              <w:br/>
            </w:r>
            <w:r w:rsidRPr="00D63217">
              <w:rPr>
                <w:iCs/>
                <w:szCs w:val="17"/>
                <w:lang w:val="en-US"/>
              </w:rPr>
              <w:t>4685-14-7 (cation)</w:t>
            </w:r>
          </w:p>
        </w:tc>
      </w:tr>
      <w:tr w:rsidR="0011328B" w:rsidRPr="00D63217" w14:paraId="27CB6854" w14:textId="77777777" w:rsidTr="005E2DEB">
        <w:tc>
          <w:tcPr>
            <w:tcW w:w="1580" w:type="pct"/>
            <w:shd w:val="clear" w:color="auto" w:fill="5C2946"/>
          </w:tcPr>
          <w:p w14:paraId="7AF0FA0F" w14:textId="77777777" w:rsidR="0011328B" w:rsidRPr="002F269C" w:rsidRDefault="0011328B" w:rsidP="002F269C">
            <w:pPr>
              <w:pStyle w:val="TableHead"/>
            </w:pPr>
            <w:r w:rsidRPr="002F269C">
              <w:t>Molecular formula:</w:t>
            </w:r>
          </w:p>
        </w:tc>
        <w:tc>
          <w:tcPr>
            <w:tcW w:w="3420" w:type="pct"/>
          </w:tcPr>
          <w:p w14:paraId="2A37552D" w14:textId="50DF97CB" w:rsidR="0011328B" w:rsidRPr="00D63217" w:rsidRDefault="0011328B" w:rsidP="00C909A4">
            <w:pPr>
              <w:pStyle w:val="TableText"/>
              <w:rPr>
                <w:szCs w:val="17"/>
              </w:rPr>
            </w:pPr>
            <w:r w:rsidRPr="00D63217">
              <w:rPr>
                <w:szCs w:val="17"/>
              </w:rPr>
              <w:t>C</w:t>
            </w:r>
            <w:r w:rsidRPr="00D63217">
              <w:rPr>
                <w:szCs w:val="17"/>
                <w:vertAlign w:val="subscript"/>
              </w:rPr>
              <w:t>12</w:t>
            </w:r>
            <w:r w:rsidRPr="00D63217">
              <w:rPr>
                <w:szCs w:val="17"/>
              </w:rPr>
              <w:t>H</w:t>
            </w:r>
            <w:r w:rsidRPr="00D63217">
              <w:rPr>
                <w:szCs w:val="17"/>
                <w:vertAlign w:val="subscript"/>
              </w:rPr>
              <w:t>14</w:t>
            </w:r>
            <w:r w:rsidRPr="00D63217">
              <w:rPr>
                <w:szCs w:val="17"/>
              </w:rPr>
              <w:t>Cl</w:t>
            </w:r>
            <w:r w:rsidRPr="00D63217">
              <w:rPr>
                <w:szCs w:val="17"/>
                <w:vertAlign w:val="subscript"/>
              </w:rPr>
              <w:t>2</w:t>
            </w:r>
            <w:r w:rsidRPr="00D63217">
              <w:rPr>
                <w:szCs w:val="17"/>
              </w:rPr>
              <w:t>N</w:t>
            </w:r>
            <w:r w:rsidRPr="00D63217">
              <w:rPr>
                <w:szCs w:val="17"/>
                <w:vertAlign w:val="subscript"/>
              </w:rPr>
              <w:t>2</w:t>
            </w:r>
            <w:r w:rsidRPr="00D63217">
              <w:rPr>
                <w:szCs w:val="17"/>
              </w:rPr>
              <w:t xml:space="preserve"> (dichloride)</w:t>
            </w:r>
            <w:r w:rsidR="00C909A4" w:rsidRPr="00D63217">
              <w:rPr>
                <w:szCs w:val="17"/>
                <w:lang w:val="en-US"/>
              </w:rPr>
              <w:br/>
            </w:r>
            <w:r w:rsidRPr="00D63217">
              <w:rPr>
                <w:szCs w:val="17"/>
                <w:lang w:val="en-US"/>
              </w:rPr>
              <w:t>C</w:t>
            </w:r>
            <w:r w:rsidRPr="00D63217">
              <w:rPr>
                <w:szCs w:val="17"/>
                <w:vertAlign w:val="subscript"/>
                <w:lang w:val="en-US"/>
              </w:rPr>
              <w:t>12</w:t>
            </w:r>
            <w:r w:rsidRPr="00D63217">
              <w:rPr>
                <w:szCs w:val="17"/>
                <w:lang w:val="en-US"/>
              </w:rPr>
              <w:t>H</w:t>
            </w:r>
            <w:r w:rsidRPr="00D63217">
              <w:rPr>
                <w:szCs w:val="17"/>
                <w:vertAlign w:val="subscript"/>
                <w:lang w:val="en-US"/>
              </w:rPr>
              <w:t>14</w:t>
            </w:r>
            <w:r w:rsidRPr="00D63217">
              <w:rPr>
                <w:szCs w:val="17"/>
                <w:lang w:val="en-US"/>
              </w:rPr>
              <w:t>N</w:t>
            </w:r>
            <w:r w:rsidRPr="00D63217">
              <w:rPr>
                <w:szCs w:val="17"/>
                <w:vertAlign w:val="subscript"/>
                <w:lang w:val="en-US"/>
              </w:rPr>
              <w:t>2</w:t>
            </w:r>
            <w:r w:rsidRPr="00D63217">
              <w:rPr>
                <w:szCs w:val="17"/>
                <w:lang w:val="en-US"/>
              </w:rPr>
              <w:t xml:space="preserve"> (cation)</w:t>
            </w:r>
          </w:p>
        </w:tc>
      </w:tr>
      <w:tr w:rsidR="0011328B" w:rsidRPr="00D63217" w14:paraId="65D744DC" w14:textId="77777777" w:rsidTr="005E2DEB">
        <w:tc>
          <w:tcPr>
            <w:tcW w:w="1580" w:type="pct"/>
            <w:shd w:val="clear" w:color="auto" w:fill="5C2946"/>
          </w:tcPr>
          <w:p w14:paraId="416E3535" w14:textId="77777777" w:rsidR="0011328B" w:rsidRPr="002F269C" w:rsidRDefault="0011328B" w:rsidP="002F269C">
            <w:pPr>
              <w:pStyle w:val="TableHead"/>
            </w:pPr>
            <w:r w:rsidRPr="002F269C">
              <w:t>Molecular weight:</w:t>
            </w:r>
          </w:p>
        </w:tc>
        <w:tc>
          <w:tcPr>
            <w:tcW w:w="3420" w:type="pct"/>
          </w:tcPr>
          <w:p w14:paraId="50519BEA" w14:textId="03C5411D" w:rsidR="0011328B" w:rsidRPr="00D63217" w:rsidRDefault="0011328B" w:rsidP="00C909A4">
            <w:pPr>
              <w:pStyle w:val="TableText"/>
            </w:pPr>
            <w:r w:rsidRPr="00D63217">
              <w:t>257.2 gmol</w:t>
            </w:r>
            <w:r w:rsidRPr="00D63217">
              <w:rPr>
                <w:vertAlign w:val="superscript"/>
              </w:rPr>
              <w:t>-1</w:t>
            </w:r>
            <w:r w:rsidRPr="00D63217">
              <w:rPr>
                <w:vertAlign w:val="subscript"/>
              </w:rPr>
              <w:t xml:space="preserve"> </w:t>
            </w:r>
            <w:r w:rsidRPr="00D63217">
              <w:t>(dichloride)</w:t>
            </w:r>
            <w:r w:rsidR="00C909A4" w:rsidRPr="00D63217">
              <w:br/>
            </w:r>
            <w:r w:rsidRPr="00D63217">
              <w:t>186.3 gmol</w:t>
            </w:r>
            <w:r w:rsidRPr="00D63217">
              <w:rPr>
                <w:vertAlign w:val="superscript"/>
              </w:rPr>
              <w:t>-1</w:t>
            </w:r>
            <w:r w:rsidRPr="00D63217">
              <w:rPr>
                <w:vertAlign w:val="subscript"/>
              </w:rPr>
              <w:t xml:space="preserve"> </w:t>
            </w:r>
            <w:r w:rsidRPr="00D63217">
              <w:t>(cation)</w:t>
            </w:r>
          </w:p>
        </w:tc>
      </w:tr>
      <w:tr w:rsidR="0011328B" w:rsidRPr="00D63217" w14:paraId="66F22EE7" w14:textId="77777777" w:rsidTr="005E2DEB">
        <w:tc>
          <w:tcPr>
            <w:tcW w:w="1580" w:type="pct"/>
            <w:shd w:val="clear" w:color="auto" w:fill="5C2946"/>
          </w:tcPr>
          <w:p w14:paraId="0E79987F" w14:textId="77777777" w:rsidR="0011328B" w:rsidRPr="002F269C" w:rsidRDefault="0011328B" w:rsidP="002F269C">
            <w:pPr>
              <w:pStyle w:val="TableHead"/>
            </w:pPr>
            <w:r w:rsidRPr="002F269C">
              <w:t>Structural formula:</w:t>
            </w:r>
          </w:p>
        </w:tc>
        <w:tc>
          <w:tcPr>
            <w:tcW w:w="3420" w:type="pct"/>
          </w:tcPr>
          <w:p w14:paraId="69DBFB2E" w14:textId="77777777" w:rsidR="0011328B" w:rsidRPr="00D63217" w:rsidRDefault="0011328B" w:rsidP="00C26ABF">
            <w:pPr>
              <w:pStyle w:val="TableText"/>
            </w:pPr>
          </w:p>
          <w:p w14:paraId="373FF2A5" w14:textId="77777777" w:rsidR="0011328B" w:rsidRPr="00D63217" w:rsidRDefault="0011328B" w:rsidP="00C26ABF">
            <w:pPr>
              <w:pStyle w:val="TableText"/>
            </w:pPr>
          </w:p>
          <w:p w14:paraId="2B4C831A" w14:textId="77777777" w:rsidR="0011328B" w:rsidRPr="00D63217" w:rsidRDefault="0011328B" w:rsidP="00C26ABF">
            <w:pPr>
              <w:pStyle w:val="TableText"/>
            </w:pPr>
          </w:p>
          <w:p w14:paraId="314E4A26" w14:textId="77777777" w:rsidR="0011328B" w:rsidRPr="00D63217" w:rsidRDefault="0011328B" w:rsidP="00C26ABF">
            <w:pPr>
              <w:pStyle w:val="TableText"/>
            </w:pPr>
          </w:p>
          <w:p w14:paraId="237F5525" w14:textId="77777777" w:rsidR="0011328B" w:rsidRPr="00D63217" w:rsidRDefault="0011328B" w:rsidP="00C26ABF">
            <w:pPr>
              <w:pStyle w:val="TableText"/>
            </w:pPr>
            <w:r w:rsidRPr="00D63217">
              <w:rPr>
                <w:noProof/>
                <w:lang w:eastAsia="en-AU"/>
              </w:rPr>
              <w:drawing>
                <wp:inline distT="0" distB="0" distL="0" distR="0" wp14:anchorId="73FE322D" wp14:editId="7B981FC0">
                  <wp:extent cx="1421624" cy="902525"/>
                  <wp:effectExtent l="0" t="0" r="7620" b="0"/>
                  <wp:docPr id="1" name="Picture 1" descr="Diagram of the chemical structure of paraquat di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the chemical structure of paraquat dichloride"/>
                          <pic:cNvPicPr/>
                        </pic:nvPicPr>
                        <pic:blipFill>
                          <a:blip r:embed="rId30"/>
                          <a:stretch>
                            <a:fillRect/>
                          </a:stretch>
                        </pic:blipFill>
                        <pic:spPr>
                          <a:xfrm>
                            <a:off x="0" y="0"/>
                            <a:ext cx="1439263" cy="913723"/>
                          </a:xfrm>
                          <a:prstGeom prst="rect">
                            <a:avLst/>
                          </a:prstGeom>
                        </pic:spPr>
                      </pic:pic>
                    </a:graphicData>
                  </a:graphic>
                </wp:inline>
              </w:drawing>
            </w:r>
          </w:p>
        </w:tc>
      </w:tr>
    </w:tbl>
    <w:p w14:paraId="464786A9" w14:textId="4AC50F77" w:rsidR="0011328B" w:rsidRPr="002F269C" w:rsidRDefault="00C26ABF" w:rsidP="002F269C">
      <w:pPr>
        <w:pStyle w:val="Caption"/>
      </w:pPr>
      <w:bookmarkStart w:id="46" w:name="_Ref166500325"/>
      <w:bookmarkStart w:id="47" w:name="_Toc230692269"/>
      <w:bookmarkStart w:id="48" w:name="_Toc233036490"/>
      <w:r w:rsidRPr="002F269C">
        <w:lastRenderedPageBreak/>
        <w:t>T</w:t>
      </w:r>
      <w:r w:rsidR="0011328B" w:rsidRPr="002F269C">
        <w:t xml:space="preserve">able </w:t>
      </w:r>
      <w:bookmarkEnd w:id="46"/>
      <w:r w:rsidR="00C909A4" w:rsidRPr="002F269C">
        <w:rPr>
          <w:rStyle w:val="FigurecaptionChar"/>
          <w:szCs w:val="22"/>
        </w:rPr>
        <w:fldChar w:fldCharType="begin"/>
      </w:r>
      <w:r w:rsidR="00C909A4" w:rsidRPr="002F269C">
        <w:rPr>
          <w:rStyle w:val="FigurecaptionChar"/>
          <w:szCs w:val="22"/>
        </w:rPr>
        <w:instrText xml:space="preserve"> SEQ Table \* ARABIC </w:instrText>
      </w:r>
      <w:r w:rsidR="00C909A4" w:rsidRPr="002F269C">
        <w:rPr>
          <w:rStyle w:val="FigurecaptionChar"/>
          <w:szCs w:val="22"/>
        </w:rPr>
        <w:fldChar w:fldCharType="separate"/>
      </w:r>
      <w:r w:rsidR="002F269C">
        <w:rPr>
          <w:rStyle w:val="FigurecaptionChar"/>
          <w:noProof/>
          <w:szCs w:val="22"/>
        </w:rPr>
        <w:t>3</w:t>
      </w:r>
      <w:r w:rsidR="00C909A4" w:rsidRPr="002F269C">
        <w:rPr>
          <w:rStyle w:val="FigurecaptionChar"/>
          <w:szCs w:val="22"/>
        </w:rPr>
        <w:fldChar w:fldCharType="end"/>
      </w:r>
      <w:r w:rsidR="00C909A4" w:rsidRPr="002F269C">
        <w:rPr>
          <w:rStyle w:val="FigurecaptionChar"/>
          <w:szCs w:val="22"/>
        </w:rPr>
        <w:t xml:space="preserve">: </w:t>
      </w:r>
      <w:r w:rsidR="0011328B" w:rsidRPr="002F269C">
        <w:rPr>
          <w:rStyle w:val="FigurecaptionChar"/>
          <w:szCs w:val="22"/>
        </w:rPr>
        <w:t>Key physicochemical properties of the active constituent paraquat dichloride</w:t>
      </w:r>
      <w:bookmarkEnd w:id="47"/>
      <w:bookmarkEnd w:id="48"/>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4112"/>
        <w:gridCol w:w="5526"/>
      </w:tblGrid>
      <w:tr w:rsidR="0011328B" w:rsidRPr="00D63217" w14:paraId="013A34A7" w14:textId="77777777" w:rsidTr="0011328B">
        <w:tc>
          <w:tcPr>
            <w:tcW w:w="2133" w:type="pct"/>
            <w:shd w:val="clear" w:color="auto" w:fill="5C2946"/>
            <w:vAlign w:val="center"/>
          </w:tcPr>
          <w:p w14:paraId="1B7D83D1" w14:textId="75883F12" w:rsidR="0011328B" w:rsidRPr="002F269C" w:rsidRDefault="0011328B" w:rsidP="002F269C">
            <w:pPr>
              <w:pStyle w:val="TableHead"/>
            </w:pPr>
            <w:r w:rsidRPr="002F269C">
              <w:t>Appearance</w:t>
            </w:r>
          </w:p>
        </w:tc>
        <w:tc>
          <w:tcPr>
            <w:tcW w:w="2867" w:type="pct"/>
            <w:vAlign w:val="center"/>
          </w:tcPr>
          <w:p w14:paraId="3936AA90" w14:textId="0A21C9DD" w:rsidR="0011328B" w:rsidRPr="00D63217" w:rsidRDefault="0011328B" w:rsidP="0011328B">
            <w:pPr>
              <w:pStyle w:val="TableText"/>
            </w:pPr>
            <w:r w:rsidRPr="00D63217">
              <w:t xml:space="preserve">Paraquat dichloride technical substance is a colourless to </w:t>
            </w:r>
            <w:r w:rsidR="00C909A4" w:rsidRPr="00D63217">
              <w:br/>
            </w:r>
            <w:r w:rsidRPr="00D63217">
              <w:t xml:space="preserve">off-white hygroscopic crystals with a slightly ammoniacal odour. Paraquat dichloride is supplied commercially as an aqueous solution (technical concentrate) typically containing </w:t>
            </w:r>
            <w:r w:rsidR="00C909A4" w:rsidRPr="00D63217">
              <w:t>500 </w:t>
            </w:r>
            <w:r w:rsidRPr="00D63217">
              <w:t>g/L paraquat dichloride</w:t>
            </w:r>
          </w:p>
        </w:tc>
      </w:tr>
      <w:tr w:rsidR="0011328B" w:rsidRPr="00D63217" w14:paraId="1BF67C08" w14:textId="77777777" w:rsidTr="0011328B">
        <w:tc>
          <w:tcPr>
            <w:tcW w:w="2133" w:type="pct"/>
            <w:shd w:val="clear" w:color="auto" w:fill="5C2946"/>
            <w:vAlign w:val="center"/>
          </w:tcPr>
          <w:p w14:paraId="31029215" w14:textId="06E87AEC" w:rsidR="0011328B" w:rsidRPr="002F269C" w:rsidRDefault="0011328B" w:rsidP="002F269C">
            <w:pPr>
              <w:pStyle w:val="TableHead"/>
            </w:pPr>
            <w:r w:rsidRPr="002F269C">
              <w:t>Meting point</w:t>
            </w:r>
          </w:p>
        </w:tc>
        <w:tc>
          <w:tcPr>
            <w:tcW w:w="2867" w:type="pct"/>
            <w:vAlign w:val="center"/>
          </w:tcPr>
          <w:p w14:paraId="4AAAF7F0" w14:textId="5C21E44D" w:rsidR="0011328B" w:rsidRPr="00D63217" w:rsidRDefault="0011328B" w:rsidP="0011328B">
            <w:pPr>
              <w:pStyle w:val="TableText"/>
            </w:pPr>
            <w:r w:rsidRPr="00D63217">
              <w:t>Approx. 340°C (decomposes)</w:t>
            </w:r>
          </w:p>
        </w:tc>
      </w:tr>
      <w:tr w:rsidR="0011328B" w:rsidRPr="00D63217" w14:paraId="05E05781" w14:textId="77777777" w:rsidTr="0011328B">
        <w:tc>
          <w:tcPr>
            <w:tcW w:w="2133" w:type="pct"/>
            <w:shd w:val="clear" w:color="auto" w:fill="5C2946"/>
            <w:vAlign w:val="center"/>
          </w:tcPr>
          <w:p w14:paraId="5A0105CA" w14:textId="1FC05A12" w:rsidR="0011328B" w:rsidRPr="002F269C" w:rsidRDefault="0011328B" w:rsidP="002F269C">
            <w:pPr>
              <w:pStyle w:val="TableHead"/>
            </w:pPr>
            <w:r w:rsidRPr="002F269C">
              <w:t>Density</w:t>
            </w:r>
          </w:p>
        </w:tc>
        <w:tc>
          <w:tcPr>
            <w:tcW w:w="2867" w:type="pct"/>
            <w:vAlign w:val="center"/>
          </w:tcPr>
          <w:p w14:paraId="7447E9C6" w14:textId="416D3CAD" w:rsidR="0011328B" w:rsidRPr="00D63217" w:rsidRDefault="0011328B" w:rsidP="0011328B">
            <w:pPr>
              <w:pStyle w:val="TableText"/>
            </w:pPr>
            <w:r w:rsidRPr="00D63217">
              <w:t>1.12-1.</w:t>
            </w:r>
            <w:r w:rsidR="00C909A4" w:rsidRPr="00D63217">
              <w:t>15 </w:t>
            </w:r>
            <w:r w:rsidRPr="00D63217">
              <w:t>g/mL as dichloride salt. At room temperature paraquat dichloride is a solid. The technical concentrate (manufacturing concentrate) is usually formulated as an aqueous solution</w:t>
            </w:r>
          </w:p>
        </w:tc>
      </w:tr>
      <w:tr w:rsidR="0011328B" w:rsidRPr="00D63217" w14:paraId="424E0280" w14:textId="77777777" w:rsidTr="0011328B">
        <w:tc>
          <w:tcPr>
            <w:tcW w:w="2133" w:type="pct"/>
            <w:shd w:val="clear" w:color="auto" w:fill="5C2946"/>
            <w:vAlign w:val="center"/>
          </w:tcPr>
          <w:p w14:paraId="0A89AC09" w14:textId="314C3011" w:rsidR="0011328B" w:rsidRPr="002F269C" w:rsidRDefault="0011328B" w:rsidP="002F269C">
            <w:pPr>
              <w:pStyle w:val="TableHead"/>
            </w:pPr>
            <w:r w:rsidRPr="002F269C">
              <w:t>Solubility in water</w:t>
            </w:r>
          </w:p>
        </w:tc>
        <w:tc>
          <w:tcPr>
            <w:tcW w:w="2867" w:type="pct"/>
            <w:vAlign w:val="center"/>
          </w:tcPr>
          <w:p w14:paraId="5E998346" w14:textId="77777777" w:rsidR="0011328B" w:rsidRPr="00D63217" w:rsidRDefault="0011328B" w:rsidP="0011328B">
            <w:pPr>
              <w:pStyle w:val="TableText"/>
              <w:rPr>
                <w:kern w:val="22"/>
              </w:rPr>
            </w:pPr>
            <w:r w:rsidRPr="00D63217">
              <w:rPr>
                <w:kern w:val="22"/>
              </w:rPr>
              <w:t>620 g/L (20-25 °C)</w:t>
            </w:r>
          </w:p>
        </w:tc>
      </w:tr>
      <w:tr w:rsidR="0011328B" w:rsidRPr="00D63217" w14:paraId="1D3461B2" w14:textId="77777777" w:rsidTr="0011328B">
        <w:tc>
          <w:tcPr>
            <w:tcW w:w="2133" w:type="pct"/>
            <w:shd w:val="clear" w:color="auto" w:fill="5C2946"/>
            <w:vAlign w:val="center"/>
          </w:tcPr>
          <w:p w14:paraId="45C2BBD2" w14:textId="52DCD99C" w:rsidR="0011328B" w:rsidRPr="002F269C" w:rsidRDefault="0011328B" w:rsidP="002F269C">
            <w:pPr>
              <w:pStyle w:val="TableHead"/>
            </w:pPr>
            <w:r w:rsidRPr="002F269C">
              <w:t>Organic solvent solubility (20 °C)</w:t>
            </w:r>
          </w:p>
        </w:tc>
        <w:tc>
          <w:tcPr>
            <w:tcW w:w="2867" w:type="pct"/>
            <w:vAlign w:val="center"/>
          </w:tcPr>
          <w:p w14:paraId="5AAC4087" w14:textId="776631E6" w:rsidR="0011328B" w:rsidRPr="00D63217" w:rsidRDefault="0011328B" w:rsidP="0011328B">
            <w:pPr>
              <w:pStyle w:val="TableText"/>
              <w:rPr>
                <w:kern w:val="22"/>
              </w:rPr>
            </w:pPr>
            <w:r w:rsidRPr="00D63217">
              <w:rPr>
                <w:kern w:val="22"/>
              </w:rPr>
              <w:t>143 g/L in methanol, &lt;0.1 g/L in acetone, dichloromethane, toluene, ethyl acetate and hexane</w:t>
            </w:r>
          </w:p>
        </w:tc>
      </w:tr>
      <w:tr w:rsidR="0011328B" w:rsidRPr="00D63217" w14:paraId="0CC306B1" w14:textId="77777777" w:rsidTr="0011328B">
        <w:tc>
          <w:tcPr>
            <w:tcW w:w="2133" w:type="pct"/>
            <w:shd w:val="clear" w:color="auto" w:fill="5C2946"/>
            <w:vAlign w:val="center"/>
          </w:tcPr>
          <w:p w14:paraId="7D94BDA8" w14:textId="7D9522EA" w:rsidR="0011328B" w:rsidRPr="002F269C" w:rsidRDefault="0011328B" w:rsidP="002F269C">
            <w:pPr>
              <w:pStyle w:val="TableHead"/>
            </w:pPr>
            <w:r w:rsidRPr="002F269C">
              <w:t>Octanol/water partition coefficient (Log Kow)</w:t>
            </w:r>
          </w:p>
        </w:tc>
        <w:tc>
          <w:tcPr>
            <w:tcW w:w="2867" w:type="pct"/>
            <w:vAlign w:val="center"/>
          </w:tcPr>
          <w:p w14:paraId="4E3CC79F" w14:textId="77777777" w:rsidR="0011328B" w:rsidRPr="00D63217" w:rsidRDefault="0011328B" w:rsidP="0011328B">
            <w:pPr>
              <w:pStyle w:val="TableText"/>
              <w:rPr>
                <w:kern w:val="22"/>
              </w:rPr>
            </w:pPr>
            <w:r w:rsidRPr="00D63217">
              <w:rPr>
                <w:kern w:val="22"/>
                <w:lang w:val="en-US"/>
              </w:rPr>
              <w:t>-</w:t>
            </w:r>
            <w:r w:rsidRPr="00D63217">
              <w:rPr>
                <w:kern w:val="22"/>
              </w:rPr>
              <w:t>4.5 at 20°C</w:t>
            </w:r>
            <w:r w:rsidRPr="00D63217">
              <w:rPr>
                <w:kern w:val="22"/>
                <w:lang w:val="en-US"/>
              </w:rPr>
              <w:t xml:space="preserve"> </w:t>
            </w:r>
            <w:r w:rsidRPr="00D63217">
              <w:rPr>
                <w:kern w:val="22"/>
              </w:rPr>
              <w:t>(log K</w:t>
            </w:r>
            <w:r w:rsidRPr="00D63217">
              <w:rPr>
                <w:kern w:val="22"/>
                <w:vertAlign w:val="subscript"/>
              </w:rPr>
              <w:t>ow</w:t>
            </w:r>
            <w:r w:rsidRPr="00D63217">
              <w:rPr>
                <w:kern w:val="22"/>
              </w:rPr>
              <w:t>)</w:t>
            </w:r>
          </w:p>
        </w:tc>
      </w:tr>
      <w:tr w:rsidR="0011328B" w:rsidRPr="00D63217" w14:paraId="732D4CBA" w14:textId="77777777" w:rsidTr="0011328B">
        <w:tc>
          <w:tcPr>
            <w:tcW w:w="2133" w:type="pct"/>
            <w:shd w:val="clear" w:color="auto" w:fill="5C2946"/>
            <w:vAlign w:val="center"/>
          </w:tcPr>
          <w:p w14:paraId="30E4654E" w14:textId="5D6964C4" w:rsidR="0011328B" w:rsidRPr="002F269C" w:rsidRDefault="0011328B" w:rsidP="002F269C">
            <w:pPr>
              <w:pStyle w:val="TableHead"/>
            </w:pPr>
            <w:r w:rsidRPr="002F269C">
              <w:t>Vapour pressure</w:t>
            </w:r>
          </w:p>
        </w:tc>
        <w:tc>
          <w:tcPr>
            <w:tcW w:w="2867" w:type="pct"/>
            <w:vAlign w:val="center"/>
          </w:tcPr>
          <w:p w14:paraId="450F333C" w14:textId="5C108EBF" w:rsidR="0011328B" w:rsidRPr="00CC2670" w:rsidRDefault="00CC2670" w:rsidP="0011328B">
            <w:pPr>
              <w:pStyle w:val="TableText"/>
            </w:pPr>
            <w:r>
              <w:t>5.3 X 10</w:t>
            </w:r>
            <w:r w:rsidRPr="00CC2670">
              <w:rPr>
                <w:vertAlign w:val="superscript"/>
              </w:rPr>
              <w:t>-4</w:t>
            </w:r>
            <w:r>
              <w:rPr>
                <w:vertAlign w:val="superscript"/>
              </w:rPr>
              <w:t xml:space="preserve"> </w:t>
            </w:r>
            <w:r>
              <w:t>Pa (25</w:t>
            </w:r>
            <w:r w:rsidRPr="00CC2670">
              <w:rPr>
                <w:vertAlign w:val="superscript"/>
              </w:rPr>
              <w:t>o</w:t>
            </w:r>
            <w:r>
              <w:t>C)</w:t>
            </w:r>
            <w:r w:rsidR="00A23BED">
              <w:t xml:space="preserve"> </w:t>
            </w:r>
          </w:p>
        </w:tc>
      </w:tr>
      <w:tr w:rsidR="0011328B" w:rsidRPr="00D63217" w14:paraId="181C6C32" w14:textId="77777777" w:rsidTr="0011328B">
        <w:tc>
          <w:tcPr>
            <w:tcW w:w="2133" w:type="pct"/>
            <w:shd w:val="clear" w:color="auto" w:fill="5C2946"/>
            <w:vAlign w:val="center"/>
          </w:tcPr>
          <w:p w14:paraId="2BE563CC" w14:textId="77777777" w:rsidR="0011328B" w:rsidRPr="002F269C" w:rsidRDefault="0011328B" w:rsidP="002F269C">
            <w:pPr>
              <w:pStyle w:val="TableHead"/>
            </w:pPr>
            <w:r w:rsidRPr="002F269C">
              <w:t>Stability</w:t>
            </w:r>
          </w:p>
        </w:tc>
        <w:tc>
          <w:tcPr>
            <w:tcW w:w="2867" w:type="pct"/>
            <w:vAlign w:val="center"/>
          </w:tcPr>
          <w:p w14:paraId="1A325610" w14:textId="3BF70A7D" w:rsidR="0011328B" w:rsidRPr="00D63217" w:rsidRDefault="0011328B" w:rsidP="0011328B">
            <w:pPr>
              <w:pStyle w:val="TableText"/>
            </w:pPr>
            <w:r w:rsidRPr="00D63217">
              <w:t xml:space="preserve">Stable in neutral and acidic </w:t>
            </w:r>
            <w:r w:rsidR="00A23BED" w:rsidRPr="00D63217">
              <w:t>media but</w:t>
            </w:r>
            <w:r w:rsidRPr="00D63217">
              <w:t xml:space="preserve"> readily hydrolysed in alkaline media. Photochemically decomposed by UV irradiation in aqueous solution (75% loss in 96 h in UV light).</w:t>
            </w:r>
          </w:p>
        </w:tc>
      </w:tr>
      <w:tr w:rsidR="0011328B" w:rsidRPr="00D63217" w14:paraId="7516289D" w14:textId="77777777" w:rsidTr="0011328B">
        <w:trPr>
          <w:trHeight w:val="613"/>
        </w:trPr>
        <w:tc>
          <w:tcPr>
            <w:tcW w:w="2133" w:type="pct"/>
            <w:shd w:val="clear" w:color="auto" w:fill="5C2946"/>
            <w:vAlign w:val="center"/>
          </w:tcPr>
          <w:p w14:paraId="156F7F7A" w14:textId="2F4B937D" w:rsidR="0011328B" w:rsidRPr="002F269C" w:rsidRDefault="0011328B" w:rsidP="002F269C">
            <w:pPr>
              <w:pStyle w:val="TableHead"/>
            </w:pPr>
            <w:r w:rsidRPr="002F269C">
              <w:t>Henry’s law constant (calculated)</w:t>
            </w:r>
          </w:p>
        </w:tc>
        <w:tc>
          <w:tcPr>
            <w:tcW w:w="2867" w:type="pct"/>
            <w:vAlign w:val="center"/>
          </w:tcPr>
          <w:p w14:paraId="717A1F78" w14:textId="4D2AA7D4" w:rsidR="0011328B" w:rsidRPr="00D63217" w:rsidRDefault="0011328B" w:rsidP="0011328B">
            <w:pPr>
              <w:pStyle w:val="TableText"/>
            </w:pPr>
            <w:r w:rsidRPr="00D63217">
              <w:t>&lt;4 × 10</w:t>
            </w:r>
            <w:r w:rsidR="00040B5C" w:rsidRPr="00D63217">
              <w:rPr>
                <w:vertAlign w:val="superscript"/>
              </w:rPr>
              <w:t>-</w:t>
            </w:r>
            <w:r w:rsidRPr="00D63217">
              <w:rPr>
                <w:vertAlign w:val="superscript"/>
              </w:rPr>
              <w:t>9</w:t>
            </w:r>
            <w:r w:rsidRPr="00D63217">
              <w:t xml:space="preserve"> Pa.m</w:t>
            </w:r>
            <w:r w:rsidRPr="00D63217">
              <w:rPr>
                <w:vertAlign w:val="superscript"/>
              </w:rPr>
              <w:t>3</w:t>
            </w:r>
            <w:r w:rsidRPr="00D63217">
              <w:t>mol</w:t>
            </w:r>
            <w:r w:rsidRPr="00D63217">
              <w:rPr>
                <w:vertAlign w:val="superscript"/>
              </w:rPr>
              <w:t>-1</w:t>
            </w:r>
          </w:p>
        </w:tc>
      </w:tr>
      <w:tr w:rsidR="0011328B" w:rsidRPr="00D63217" w14:paraId="70DC6366" w14:textId="77777777" w:rsidTr="0011328B">
        <w:trPr>
          <w:trHeight w:val="613"/>
        </w:trPr>
        <w:tc>
          <w:tcPr>
            <w:tcW w:w="2133" w:type="pct"/>
            <w:shd w:val="clear" w:color="auto" w:fill="5C2946"/>
            <w:vAlign w:val="center"/>
          </w:tcPr>
          <w:p w14:paraId="6E211022" w14:textId="0165E58D" w:rsidR="0011328B" w:rsidRPr="002F269C" w:rsidRDefault="0011328B" w:rsidP="002F269C">
            <w:pPr>
              <w:pStyle w:val="TableHead"/>
            </w:pPr>
            <w:r w:rsidRPr="002F269C">
              <w:t>Hydrolysis (DT50, 25 °C)</w:t>
            </w:r>
          </w:p>
        </w:tc>
        <w:tc>
          <w:tcPr>
            <w:tcW w:w="2867" w:type="pct"/>
            <w:vAlign w:val="center"/>
          </w:tcPr>
          <w:p w14:paraId="0574E75C" w14:textId="77777777" w:rsidR="0011328B" w:rsidRPr="00D63217" w:rsidRDefault="0011328B" w:rsidP="0011328B">
            <w:pPr>
              <w:pStyle w:val="TableText"/>
              <w:rPr>
                <w:kern w:val="22"/>
              </w:rPr>
            </w:pPr>
            <w:r w:rsidRPr="00D63217">
              <w:rPr>
                <w:kern w:val="22"/>
              </w:rPr>
              <w:t>&gt;30 days (pH 5, 7, 9; 40 °C)</w:t>
            </w:r>
          </w:p>
        </w:tc>
      </w:tr>
      <w:tr w:rsidR="0011328B" w:rsidRPr="00D63217" w14:paraId="605BE6AB" w14:textId="77777777" w:rsidTr="0011328B">
        <w:trPr>
          <w:trHeight w:val="613"/>
        </w:trPr>
        <w:tc>
          <w:tcPr>
            <w:tcW w:w="2133" w:type="pct"/>
            <w:shd w:val="clear" w:color="auto" w:fill="5C2946"/>
            <w:vAlign w:val="center"/>
          </w:tcPr>
          <w:p w14:paraId="51DE3BFC" w14:textId="3D23FC1C" w:rsidR="0011328B" w:rsidRPr="002F269C" w:rsidRDefault="0011328B" w:rsidP="002F269C">
            <w:pPr>
              <w:pStyle w:val="TableHead"/>
            </w:pPr>
            <w:r w:rsidRPr="002F269C">
              <w:t>Aqueous photolysis (DT50)</w:t>
            </w:r>
          </w:p>
        </w:tc>
        <w:tc>
          <w:tcPr>
            <w:tcW w:w="2867" w:type="pct"/>
            <w:vAlign w:val="center"/>
          </w:tcPr>
          <w:p w14:paraId="55B01D2B" w14:textId="77777777" w:rsidR="0011328B" w:rsidRPr="00D63217" w:rsidRDefault="0011328B" w:rsidP="0011328B">
            <w:pPr>
              <w:pStyle w:val="TableText"/>
              <w:rPr>
                <w:kern w:val="22"/>
              </w:rPr>
            </w:pPr>
            <w:r w:rsidRPr="00D63217">
              <w:rPr>
                <w:kern w:val="22"/>
              </w:rPr>
              <w:t>Stable to aqueous photolysis</w:t>
            </w:r>
          </w:p>
        </w:tc>
      </w:tr>
    </w:tbl>
    <w:p w14:paraId="4D84E4F1" w14:textId="77777777" w:rsidR="00AE0901" w:rsidRPr="002F269C" w:rsidRDefault="00AE0901" w:rsidP="002F269C">
      <w:pPr>
        <w:pStyle w:val="Heading3"/>
      </w:pPr>
      <w:bookmarkStart w:id="49" w:name="_Toc231480822"/>
      <w:bookmarkStart w:id="50" w:name="_Toc233036374"/>
      <w:r w:rsidRPr="002F269C">
        <w:t>Active Constituent Standards</w:t>
      </w:r>
      <w:bookmarkEnd w:id="49"/>
      <w:bookmarkEnd w:id="50"/>
    </w:p>
    <w:p w14:paraId="6C7917B1" w14:textId="6C681071" w:rsidR="00AE0901" w:rsidRPr="00D63217" w:rsidRDefault="00AE0901" w:rsidP="00AE0901">
      <w:pPr>
        <w:pStyle w:val="NormalText"/>
      </w:pPr>
      <w:r w:rsidRPr="00D63217">
        <w:t xml:space="preserve">The </w:t>
      </w:r>
      <w:bookmarkStart w:id="51" w:name="_Hlk166508974"/>
      <w:r w:rsidR="00E372B4" w:rsidRPr="00D63217">
        <w:rPr>
          <w:i/>
          <w:iCs/>
        </w:rPr>
        <w:fldChar w:fldCharType="begin"/>
      </w:r>
      <w:r w:rsidR="00E372B4" w:rsidRPr="00D63217">
        <w:rPr>
          <w:i/>
          <w:iCs/>
        </w:rPr>
        <w:instrText>HYPERLINK "https://www.legislation.gov.au/F2022L00137/latest/text"</w:instrText>
      </w:r>
      <w:r w:rsidR="00E372B4" w:rsidRPr="00D63217">
        <w:rPr>
          <w:i/>
          <w:iCs/>
        </w:rPr>
      </w:r>
      <w:r w:rsidR="00E372B4" w:rsidRPr="00D63217">
        <w:rPr>
          <w:i/>
          <w:iCs/>
        </w:rPr>
        <w:fldChar w:fldCharType="separate"/>
      </w:r>
      <w:r w:rsidRPr="00D63217">
        <w:rPr>
          <w:rStyle w:val="Hyperlink"/>
          <w:i/>
          <w:iCs/>
        </w:rPr>
        <w:t>Agricultural and Veterinary Chemicals Code (Agricultural Active Constituents) Standards 2022</w:t>
      </w:r>
      <w:r w:rsidR="00E372B4" w:rsidRPr="00D63217">
        <w:rPr>
          <w:i/>
          <w:iCs/>
        </w:rPr>
        <w:fldChar w:fldCharType="end"/>
      </w:r>
      <w:bookmarkEnd w:id="51"/>
      <w:r w:rsidRPr="00D63217">
        <w:t xml:space="preserve"> </w:t>
      </w:r>
      <w:bookmarkStart w:id="52" w:name="_Hlk166508895"/>
      <w:r w:rsidRPr="00D63217">
        <w:t>(Agricultural Active Constituents Standard</w:t>
      </w:r>
      <w:r w:rsidR="00E372B4" w:rsidRPr="00D63217">
        <w:t>s</w:t>
      </w:r>
      <w:r w:rsidRPr="00D63217">
        <w:t xml:space="preserve"> 2022)</w:t>
      </w:r>
      <w:bookmarkEnd w:id="52"/>
      <w:r w:rsidRPr="00D63217">
        <w:t xml:space="preserve"> entry for paraquat dichloride </w:t>
      </w:r>
      <w:r w:rsidR="00626DF6" w:rsidRPr="00D63217">
        <w:t>(</w:t>
      </w:r>
      <w:r w:rsidR="00E372B4" w:rsidRPr="00D63217">
        <w:t>APVMA, 2022</w:t>
      </w:r>
      <w:r w:rsidR="00626DF6" w:rsidRPr="00D63217">
        <w:t xml:space="preserve">) </w:t>
      </w:r>
      <w:r w:rsidRPr="00D63217">
        <w:t xml:space="preserve">is consistent with the specification for </w:t>
      </w:r>
      <w:r w:rsidR="00757AD7" w:rsidRPr="00D63217">
        <w:t>p</w:t>
      </w:r>
      <w:r w:rsidRPr="00D63217">
        <w:t xml:space="preserve">araquat dichloride provided in the </w:t>
      </w:r>
      <w:hyperlink r:id="rId31" w:history="1">
        <w:r w:rsidRPr="00D63217">
          <w:rPr>
            <w:rStyle w:val="Hyperlink"/>
            <w:i/>
            <w:iCs/>
          </w:rPr>
          <w:t xml:space="preserve">Food and Agriculture Organization of The United Nations (FAO) Specifications for Plant Protection Products </w:t>
        </w:r>
      </w:hyperlink>
      <w:r w:rsidR="00BC09D3" w:rsidRPr="00D63217">
        <w:rPr>
          <w:i/>
          <w:iCs/>
        </w:rPr>
        <w:t>(FAO, 2021)</w:t>
      </w:r>
      <w:r w:rsidRPr="00D63217">
        <w:t xml:space="preserve">. The minimum purity </w:t>
      </w:r>
      <w:r w:rsidR="00617382" w:rsidRPr="00D63217">
        <w:t xml:space="preserve">for paraquat dichloride </w:t>
      </w:r>
      <w:r w:rsidRPr="00D63217">
        <w:t xml:space="preserve">on a dry weight basis is 920 g/kg, with maximum levels for </w:t>
      </w:r>
      <w:r w:rsidR="00A23BED">
        <w:t>two</w:t>
      </w:r>
      <w:r w:rsidR="00A23BED" w:rsidRPr="00D63217">
        <w:t xml:space="preserve"> </w:t>
      </w:r>
      <w:r w:rsidRPr="00D63217">
        <w:t xml:space="preserve">toxicologically significant impurities of total terpyridines at 0.001 g/kg (1.0 ppm) maximum and 4,4'-bipyridyl: 1.0 g/kg (1000 ppm) maximum. Paraquat dichloride technical concentrate (manufacturing concentrate) shall contain a lower limit of 500 g/L paraquat dichloride, which corresponds nominally to 442 g/kg paraquat dichloride (320 g/kg paraquat ion). When determined, the average measured content shall not differ from that declared by more than ± 25 g/L, which corresponds to ± 5% on a g/kg basis. Other important notes included </w:t>
      </w:r>
      <w:r w:rsidR="00617382" w:rsidRPr="00D63217">
        <w:t>in</w:t>
      </w:r>
      <w:r w:rsidRPr="00D63217">
        <w:t xml:space="preserve"> the paraquat dichloride standard include:</w:t>
      </w:r>
    </w:p>
    <w:p w14:paraId="7C8EE46C" w14:textId="2EF1C0B2" w:rsidR="00AE0901" w:rsidRPr="00D63217" w:rsidRDefault="00AE0901" w:rsidP="00AE0901">
      <w:pPr>
        <w:pStyle w:val="NormalText"/>
        <w:keepNext/>
        <w:rPr>
          <w:b/>
          <w:bCs/>
        </w:rPr>
      </w:pPr>
      <w:r w:rsidRPr="00D63217">
        <w:rPr>
          <w:b/>
          <w:bCs/>
        </w:rPr>
        <w:lastRenderedPageBreak/>
        <w:t>Note 1</w:t>
      </w:r>
      <w:r w:rsidR="00171490" w:rsidRPr="00D63217">
        <w:rPr>
          <w:b/>
          <w:bCs/>
        </w:rPr>
        <w:t>:</w:t>
      </w:r>
    </w:p>
    <w:p w14:paraId="10DDFEA5" w14:textId="6B00556F" w:rsidR="00AE0901" w:rsidRPr="00D63217" w:rsidRDefault="00AE0901" w:rsidP="00AE0901">
      <w:pPr>
        <w:pStyle w:val="NormalText"/>
        <w:rPr>
          <w:b/>
          <w:bCs/>
        </w:rPr>
      </w:pPr>
      <w:r w:rsidRPr="00D63217">
        <w:t>The product must not be allowed to come into direct contact with metal. If metal is used, containers must be lined with suitable polymeric material, or the internal surfaces treated to prevent corrosion of the container and/or deterioration of the contents.</w:t>
      </w:r>
    </w:p>
    <w:p w14:paraId="2F7EB9B6" w14:textId="0B7A48AE" w:rsidR="00AE0901" w:rsidRPr="00D63217" w:rsidRDefault="00AE0901" w:rsidP="00AE0901">
      <w:pPr>
        <w:pStyle w:val="NormalText"/>
        <w:rPr>
          <w:b/>
          <w:bCs/>
        </w:rPr>
      </w:pPr>
      <w:r w:rsidRPr="00D63217">
        <w:rPr>
          <w:b/>
          <w:bCs/>
        </w:rPr>
        <w:t>Note 2</w:t>
      </w:r>
      <w:r w:rsidR="00171490" w:rsidRPr="00D63217">
        <w:rPr>
          <w:b/>
          <w:bCs/>
        </w:rPr>
        <w:t>:</w:t>
      </w:r>
    </w:p>
    <w:p w14:paraId="2BA756AE" w14:textId="2FB79D6C" w:rsidR="00AE0901" w:rsidRPr="00D63217" w:rsidRDefault="00AE0901" w:rsidP="00AE0901">
      <w:pPr>
        <w:pStyle w:val="NormalText"/>
      </w:pPr>
      <w:r w:rsidRPr="00D63217">
        <w:t xml:space="preserve">An effective emetic, having the following characteristics, must be incorporated into </w:t>
      </w:r>
      <w:r w:rsidR="00055527" w:rsidRPr="00D63217">
        <w:t>the Technical Concentrate (</w:t>
      </w:r>
      <w:r w:rsidRPr="00D63217">
        <w:t>TK</w:t>
      </w:r>
      <w:r w:rsidR="00055527" w:rsidRPr="00D63217">
        <w:t>)</w:t>
      </w:r>
      <w:r w:rsidRPr="00D63217">
        <w:t>.</w:t>
      </w:r>
    </w:p>
    <w:p w14:paraId="4DB529B3" w14:textId="321EFFF1" w:rsidR="00AE0901" w:rsidRPr="00D63217" w:rsidRDefault="00AE0901" w:rsidP="00AE0901">
      <w:pPr>
        <w:pStyle w:val="Bullet1"/>
      </w:pPr>
      <w:r w:rsidRPr="00D63217">
        <w:t xml:space="preserve">It must be rapidly absorbed (more rapidly than paraquat) and be quick acting. Emesis must occur in about half an hour in at least 50% of </w:t>
      </w:r>
      <w:r w:rsidR="00236E16" w:rsidRPr="00D63217">
        <w:t>cases.</w:t>
      </w:r>
    </w:p>
    <w:p w14:paraId="3A0DA5B9" w14:textId="7389BC70" w:rsidR="00AE0901" w:rsidRPr="00D63217" w:rsidRDefault="00AE0901" w:rsidP="00AE0901">
      <w:pPr>
        <w:pStyle w:val="Bullet1"/>
      </w:pPr>
      <w:r w:rsidRPr="00D63217">
        <w:t xml:space="preserve">It must be an effective (strong) stimulant of the emetic centre of the brain, to produce effective emesis. The emetic effect should have a limited ‘action period’, of about </w:t>
      </w:r>
      <w:r w:rsidR="00313874" w:rsidRPr="00D63217">
        <w:t xml:space="preserve">2 </w:t>
      </w:r>
      <w:r w:rsidRPr="00D63217">
        <w:t xml:space="preserve">to </w:t>
      </w:r>
      <w:r w:rsidR="00313874" w:rsidRPr="00D63217">
        <w:t xml:space="preserve">3 </w:t>
      </w:r>
      <w:r w:rsidRPr="00D63217">
        <w:t xml:space="preserve">hours, to allow effective treatment of </w:t>
      </w:r>
      <w:r w:rsidR="00236E16" w:rsidRPr="00D63217">
        <w:t>poisoning.</w:t>
      </w:r>
    </w:p>
    <w:p w14:paraId="389B810D" w14:textId="3D2EAB40" w:rsidR="00AE0901" w:rsidRPr="00D63217" w:rsidRDefault="00AE0901" w:rsidP="00AE0901">
      <w:pPr>
        <w:pStyle w:val="Bullet1"/>
      </w:pPr>
      <w:r w:rsidRPr="00D63217">
        <w:t xml:space="preserve">It must act centrally on the emetic centre in the </w:t>
      </w:r>
      <w:r w:rsidR="00236E16" w:rsidRPr="00D63217">
        <w:t>brain.</w:t>
      </w:r>
    </w:p>
    <w:p w14:paraId="40B29734" w14:textId="426C9CE7" w:rsidR="00AE0901" w:rsidRPr="00D63217" w:rsidRDefault="00AE0901" w:rsidP="00AE0901">
      <w:pPr>
        <w:pStyle w:val="Bullet1"/>
      </w:pPr>
      <w:r w:rsidRPr="00D63217">
        <w:t xml:space="preserve">It must not be a gastric irritant because, as paraquat is itself an irritant, this could potentiate the toxicity of </w:t>
      </w:r>
      <w:r w:rsidR="00236E16" w:rsidRPr="00D63217">
        <w:t>paraquat.</w:t>
      </w:r>
    </w:p>
    <w:p w14:paraId="1E5F8AAC" w14:textId="77777777" w:rsidR="00AE0901" w:rsidRPr="00D63217" w:rsidRDefault="00AE0901" w:rsidP="00AE0901">
      <w:pPr>
        <w:pStyle w:val="Bullet1"/>
      </w:pPr>
      <w:r w:rsidRPr="00D63217">
        <w:t>It must be toxicologically acceptable. It must have a short half-life in the body (to comply with the need for a limited action period).</w:t>
      </w:r>
    </w:p>
    <w:p w14:paraId="5257A7B9" w14:textId="5BCC1DE9" w:rsidR="00AE0901" w:rsidRPr="00D63217" w:rsidRDefault="00AE0901" w:rsidP="00AE0901">
      <w:pPr>
        <w:pStyle w:val="Bullet1"/>
      </w:pPr>
      <w:r w:rsidRPr="00D63217">
        <w:t xml:space="preserve">It must be compatible with, and stable in, the paraquat formulation and not affect the herbicidal efficacy or occupational use of the </w:t>
      </w:r>
      <w:r w:rsidR="00236E16" w:rsidRPr="00D63217">
        <w:t>product.</w:t>
      </w:r>
    </w:p>
    <w:p w14:paraId="1B1E578D" w14:textId="1636A383" w:rsidR="00AE0901" w:rsidRPr="00D63217" w:rsidRDefault="00AE0901" w:rsidP="00AE0901">
      <w:pPr>
        <w:pStyle w:val="NormalText"/>
      </w:pPr>
      <w:r w:rsidRPr="00D63217">
        <w:t>To date, the only compound found to meet these requirements is 2-amino-4,5-dihydro-6-methyl-4-propyl-s-triazole-(1,5a)pyrimidin-5-one (PP796). PP796 must be present in the TK at not less than 0.8 g/L.</w:t>
      </w:r>
    </w:p>
    <w:p w14:paraId="441F0D3F" w14:textId="20FE528D" w:rsidR="00617382" w:rsidRPr="002F269C" w:rsidRDefault="009F6B56" w:rsidP="002F269C">
      <w:pPr>
        <w:pStyle w:val="Caption"/>
      </w:pPr>
      <w:r w:rsidRPr="002F269C">
        <w:t xml:space="preserve">Figure </w:t>
      </w:r>
      <w:fldSimple w:instr=" SEQ Figure \* ARABIC ">
        <w:r w:rsidR="002F269C">
          <w:rPr>
            <w:noProof/>
          </w:rPr>
          <w:t>1</w:t>
        </w:r>
      </w:fldSimple>
      <w:r w:rsidR="00617382" w:rsidRPr="002F269C">
        <w:t>: Related impurities and other compounds specified in the paraquat dichloride active standard</w:t>
      </w:r>
    </w:p>
    <w:tbl>
      <w:tblPr>
        <w:tblStyle w:val="TableGrid"/>
        <w:tblW w:w="0" w:type="auto"/>
        <w:tblLook w:val="04A0" w:firstRow="1" w:lastRow="0" w:firstColumn="1" w:lastColumn="0" w:noHBand="0" w:noVBand="1"/>
      </w:tblPr>
      <w:tblGrid>
        <w:gridCol w:w="3415"/>
        <w:gridCol w:w="3117"/>
        <w:gridCol w:w="3096"/>
      </w:tblGrid>
      <w:tr w:rsidR="00617382" w:rsidRPr="00D63217" w14:paraId="65122272" w14:textId="77777777" w:rsidTr="009F6B56">
        <w:trPr>
          <w:cantSplit/>
          <w:trHeight w:val="2871"/>
        </w:trPr>
        <w:tc>
          <w:tcPr>
            <w:tcW w:w="3415" w:type="dxa"/>
          </w:tcPr>
          <w:p w14:paraId="1865BB33" w14:textId="0F4664DA" w:rsidR="00617382" w:rsidRPr="00D63217" w:rsidRDefault="00617382" w:rsidP="005D31DE">
            <w:pPr>
              <w:pStyle w:val="NormalText"/>
              <w:jc w:val="both"/>
            </w:pPr>
          </w:p>
          <w:p w14:paraId="11CB541E" w14:textId="1A97AFC0" w:rsidR="00617382" w:rsidRPr="00D63217" w:rsidRDefault="009F6B56" w:rsidP="005D31DE">
            <w:pPr>
              <w:pStyle w:val="NormalText"/>
              <w:jc w:val="both"/>
            </w:pPr>
            <w:r w:rsidRPr="00D63217">
              <w:rPr>
                <w:noProof/>
                <w:lang w:eastAsia="en-AU"/>
              </w:rPr>
              <w:drawing>
                <wp:anchor distT="0" distB="0" distL="114300" distR="114300" simplePos="0" relativeHeight="251663360" behindDoc="1" locked="0" layoutInCell="1" allowOverlap="1" wp14:anchorId="7C3FB2EC" wp14:editId="15975DEF">
                  <wp:simplePos x="0" y="0"/>
                  <wp:positionH relativeFrom="column">
                    <wp:posOffset>217860</wp:posOffset>
                  </wp:positionH>
                  <wp:positionV relativeFrom="paragraph">
                    <wp:posOffset>15903</wp:posOffset>
                  </wp:positionV>
                  <wp:extent cx="1693838" cy="787179"/>
                  <wp:effectExtent l="0" t="0" r="1905" b="0"/>
                  <wp:wrapNone/>
                  <wp:docPr id="2023402268" name="Picture 2023402268" descr="A black and white structure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tructure of a molecule&#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693838" cy="787179"/>
                          </a:xfrm>
                          <a:prstGeom prst="rect">
                            <a:avLst/>
                          </a:prstGeom>
                        </pic:spPr>
                      </pic:pic>
                    </a:graphicData>
                  </a:graphic>
                  <wp14:sizeRelH relativeFrom="margin">
                    <wp14:pctWidth>0</wp14:pctWidth>
                  </wp14:sizeRelH>
                  <wp14:sizeRelV relativeFrom="margin">
                    <wp14:pctHeight>0</wp14:pctHeight>
                  </wp14:sizeRelV>
                </wp:anchor>
              </w:drawing>
            </w:r>
          </w:p>
          <w:p w14:paraId="4066CC67" w14:textId="20E4757A" w:rsidR="00617382" w:rsidRPr="00D63217" w:rsidRDefault="00617382" w:rsidP="005D31DE">
            <w:pPr>
              <w:pStyle w:val="NormalText"/>
              <w:jc w:val="both"/>
            </w:pPr>
          </w:p>
        </w:tc>
        <w:tc>
          <w:tcPr>
            <w:tcW w:w="3117" w:type="dxa"/>
          </w:tcPr>
          <w:p w14:paraId="42BC6C86" w14:textId="474C9510" w:rsidR="00617382" w:rsidRPr="00D63217" w:rsidRDefault="00617382" w:rsidP="005D31DE">
            <w:pPr>
              <w:pStyle w:val="NormalText"/>
              <w:jc w:val="both"/>
            </w:pPr>
          </w:p>
          <w:p w14:paraId="519C3A1A" w14:textId="2A049659" w:rsidR="00617382" w:rsidRPr="00D63217" w:rsidRDefault="009F6B56" w:rsidP="005D31DE">
            <w:pPr>
              <w:pStyle w:val="NormalText"/>
              <w:jc w:val="both"/>
            </w:pPr>
            <w:r w:rsidRPr="00D63217">
              <w:rPr>
                <w:noProof/>
                <w:lang w:eastAsia="en-AU"/>
              </w:rPr>
              <w:drawing>
                <wp:anchor distT="0" distB="0" distL="114300" distR="114300" simplePos="0" relativeHeight="251662336" behindDoc="1" locked="0" layoutInCell="1" allowOverlap="1" wp14:anchorId="08CCF8AB" wp14:editId="191F9FF1">
                  <wp:simplePos x="0" y="0"/>
                  <wp:positionH relativeFrom="column">
                    <wp:posOffset>371806</wp:posOffset>
                  </wp:positionH>
                  <wp:positionV relativeFrom="paragraph">
                    <wp:posOffset>206928</wp:posOffset>
                  </wp:positionV>
                  <wp:extent cx="1217221" cy="430546"/>
                  <wp:effectExtent l="0" t="0" r="2540" b="7620"/>
                  <wp:wrapNone/>
                  <wp:docPr id="1578313324" name="Picture 1578313324" descr="A black and white image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image of a molecul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217221" cy="430546"/>
                          </a:xfrm>
                          <a:prstGeom prst="rect">
                            <a:avLst/>
                          </a:prstGeom>
                        </pic:spPr>
                      </pic:pic>
                    </a:graphicData>
                  </a:graphic>
                </wp:anchor>
              </w:drawing>
            </w:r>
          </w:p>
          <w:p w14:paraId="716DE716" w14:textId="2885A480" w:rsidR="00617382" w:rsidRPr="00D63217" w:rsidRDefault="00617382" w:rsidP="005D31DE">
            <w:pPr>
              <w:pStyle w:val="NormalText"/>
              <w:jc w:val="both"/>
            </w:pPr>
          </w:p>
        </w:tc>
        <w:tc>
          <w:tcPr>
            <w:tcW w:w="3096" w:type="dxa"/>
          </w:tcPr>
          <w:p w14:paraId="2047298F" w14:textId="77777777" w:rsidR="00617382" w:rsidRPr="00D63217" w:rsidRDefault="00617382" w:rsidP="005D31DE">
            <w:pPr>
              <w:pStyle w:val="NormalText"/>
              <w:jc w:val="both"/>
            </w:pPr>
            <w:r w:rsidRPr="00D63217">
              <w:rPr>
                <w:noProof/>
              </w:rPr>
              <w:drawing>
                <wp:anchor distT="0" distB="0" distL="114300" distR="114300" simplePos="0" relativeHeight="251661312" behindDoc="1" locked="0" layoutInCell="1" allowOverlap="1" wp14:anchorId="6A8E5397" wp14:editId="2D5100ED">
                  <wp:simplePos x="0" y="0"/>
                  <wp:positionH relativeFrom="column">
                    <wp:posOffset>-65515</wp:posOffset>
                  </wp:positionH>
                  <wp:positionV relativeFrom="paragraph">
                    <wp:posOffset>5660</wp:posOffset>
                  </wp:positionV>
                  <wp:extent cx="1963972" cy="1963972"/>
                  <wp:effectExtent l="0" t="0" r="0" b="0"/>
                  <wp:wrapNone/>
                  <wp:docPr id="2130188155"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88155" name="Picture 1" descr="A structure of a chemical formula&#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67656" cy="1967656"/>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7382" w:rsidRPr="00D63217" w14:paraId="4FBC0CB1" w14:textId="77777777" w:rsidTr="009F6B56">
        <w:trPr>
          <w:cantSplit/>
          <w:trHeight w:val="586"/>
        </w:trPr>
        <w:tc>
          <w:tcPr>
            <w:tcW w:w="3415" w:type="dxa"/>
          </w:tcPr>
          <w:p w14:paraId="03C064E8" w14:textId="77777777" w:rsidR="00617382" w:rsidRPr="00D63217" w:rsidRDefault="00617382" w:rsidP="005D31DE">
            <w:pPr>
              <w:pStyle w:val="TableText"/>
            </w:pPr>
            <w:r w:rsidRPr="00D63217">
              <w:t>Terpyridines (2,2';6',2"-terpyridine)</w:t>
            </w:r>
          </w:p>
        </w:tc>
        <w:tc>
          <w:tcPr>
            <w:tcW w:w="3117" w:type="dxa"/>
          </w:tcPr>
          <w:p w14:paraId="06EBC491" w14:textId="77777777" w:rsidR="00617382" w:rsidRPr="00D63217" w:rsidRDefault="00617382" w:rsidP="005D31DE">
            <w:pPr>
              <w:pStyle w:val="TableText"/>
            </w:pPr>
            <w:r w:rsidRPr="00D63217">
              <w:t>4,4′-Bipyridine,</w:t>
            </w:r>
            <w:r w:rsidRPr="00D63217">
              <w:rPr>
                <w:i/>
              </w:rPr>
              <w:t xml:space="preserve"> </w:t>
            </w:r>
            <w:r w:rsidRPr="00D63217">
              <w:t>CAS number 553-26-4</w:t>
            </w:r>
          </w:p>
        </w:tc>
        <w:tc>
          <w:tcPr>
            <w:tcW w:w="3096" w:type="dxa"/>
          </w:tcPr>
          <w:p w14:paraId="1DE0AF91" w14:textId="77777777" w:rsidR="00617382" w:rsidRPr="00D63217" w:rsidRDefault="00617382" w:rsidP="005D31DE">
            <w:pPr>
              <w:pStyle w:val="TableText"/>
            </w:pPr>
            <w:r w:rsidRPr="00D63217">
              <w:rPr>
                <w:color w:val="353735"/>
                <w:szCs w:val="19"/>
                <w:lang w:eastAsia="en-AU"/>
              </w:rPr>
              <w:t>2-amino-4,5-dihydro-6-methyl-4-propyl-s-triazole-(1,5a)pyrimidin-5-one (PP796), CAS number 27277-00-5</w:t>
            </w:r>
          </w:p>
        </w:tc>
      </w:tr>
    </w:tbl>
    <w:p w14:paraId="1A20FFD2" w14:textId="1B333EE1" w:rsidR="00AE0901" w:rsidRPr="002F269C" w:rsidRDefault="003A752D" w:rsidP="002F269C">
      <w:pPr>
        <w:pStyle w:val="Heading3"/>
      </w:pPr>
      <w:bookmarkStart w:id="53" w:name="_Toc231480823"/>
      <w:bookmarkStart w:id="54" w:name="_Toc233036375"/>
      <w:r w:rsidRPr="002F269C">
        <w:lastRenderedPageBreak/>
        <w:t>Statutory considerations under the safety criteria – active constituents</w:t>
      </w:r>
      <w:bookmarkEnd w:id="53"/>
      <w:bookmarkEnd w:id="54"/>
    </w:p>
    <w:p w14:paraId="2599182B" w14:textId="1FD5DB1E" w:rsidR="003A752D" w:rsidRPr="00D63217" w:rsidRDefault="003A752D" w:rsidP="00432AA0">
      <w:pPr>
        <w:pStyle w:val="NormalText"/>
      </w:pPr>
      <w:bookmarkStart w:id="55" w:name="_Hlk162272362"/>
      <w:r w:rsidRPr="00D63217">
        <w:t>Under section 5A of the Agvet Code, when determining whether an active constituent satisfies the safety criteria, the APVMA must (amongst other matters) have regard to:</w:t>
      </w:r>
    </w:p>
    <w:p w14:paraId="13307DF3" w14:textId="54205DE7" w:rsidR="003A752D" w:rsidRPr="00D63217" w:rsidRDefault="003A752D" w:rsidP="00313874">
      <w:pPr>
        <w:pStyle w:val="Bullet1"/>
      </w:pPr>
      <w:r w:rsidRPr="00D63217">
        <w:t>The method by which the active constituent is or is proposed to be manufactured</w:t>
      </w:r>
      <w:r w:rsidR="002F269C">
        <w:t>.</w:t>
      </w:r>
    </w:p>
    <w:p w14:paraId="18EB7635" w14:textId="78BF5A61" w:rsidR="003A752D" w:rsidRPr="00D63217" w:rsidRDefault="003A752D" w:rsidP="00313874">
      <w:pPr>
        <w:pStyle w:val="Bullet1"/>
      </w:pPr>
      <w:r w:rsidRPr="00D63217">
        <w:t>The extent to which the active constituent will contain impurities</w:t>
      </w:r>
      <w:r w:rsidR="002F269C">
        <w:t>.</w:t>
      </w:r>
    </w:p>
    <w:p w14:paraId="5106E9A5" w14:textId="5FFB37EB" w:rsidR="003A752D" w:rsidRDefault="003A752D" w:rsidP="00313874">
      <w:pPr>
        <w:pStyle w:val="Bullet1"/>
      </w:pPr>
      <w:r w:rsidRPr="00D63217">
        <w:t>Whether an analysis of the active constituent has been carried out and the results of any such analysis</w:t>
      </w:r>
      <w:r w:rsidR="002F269C">
        <w:t>.</w:t>
      </w:r>
    </w:p>
    <w:p w14:paraId="777B0DBB" w14:textId="439D15CD" w:rsidR="00A81999" w:rsidRPr="00D63217" w:rsidRDefault="00A81999" w:rsidP="00313874">
      <w:pPr>
        <w:pStyle w:val="Bullet1"/>
      </w:pPr>
      <w:r w:rsidRPr="00A81999">
        <w:t xml:space="preserve">whether the </w:t>
      </w:r>
      <w:r>
        <w:t>constituent</w:t>
      </w:r>
      <w:r w:rsidRPr="00A81999">
        <w:t xml:space="preserve"> conforms, or would conform, to any standard made for the </w:t>
      </w:r>
      <w:r>
        <w:t>constituent</w:t>
      </w:r>
      <w:r w:rsidRPr="00A81999">
        <w:t xml:space="preserve"> under section 6E to the extent that the standard relates to matters </w:t>
      </w:r>
      <w:r>
        <w:t>covered be the safety criteria</w:t>
      </w:r>
      <w:r w:rsidR="002F269C">
        <w:t>.</w:t>
      </w:r>
    </w:p>
    <w:p w14:paraId="3441255F" w14:textId="54A1B1C6" w:rsidR="003A752D" w:rsidRPr="00D63217" w:rsidRDefault="003A752D" w:rsidP="00313874">
      <w:pPr>
        <w:pStyle w:val="Bullet1"/>
      </w:pPr>
      <w:r w:rsidRPr="00D63217">
        <w:t>Any other relevant matters</w:t>
      </w:r>
      <w:r w:rsidR="00BC7494" w:rsidRPr="00D63217">
        <w:t>.</w:t>
      </w:r>
    </w:p>
    <w:p w14:paraId="2CD6569C" w14:textId="13C0F6E7" w:rsidR="003A752D" w:rsidRPr="00D63217" w:rsidRDefault="003A752D" w:rsidP="003A752D">
      <w:pPr>
        <w:pStyle w:val="NormalText"/>
      </w:pPr>
      <w:r w:rsidRPr="00D63217">
        <w:t>The manufacturing processes of each source of paraquat dichloride were assessed at the time of approval along with batch analyses of the chemical composition, including the levels of impurities.</w:t>
      </w:r>
    </w:p>
    <w:p w14:paraId="4D830D8D" w14:textId="140078AC" w:rsidR="00617382" w:rsidRPr="00D63217" w:rsidRDefault="00757AD7" w:rsidP="003A752D">
      <w:pPr>
        <w:pStyle w:val="NormalText"/>
      </w:pPr>
      <w:r w:rsidRPr="00D63217">
        <w:t>Paraquat dichloride is generally manufactured using 4,4’-bipyridyl as a starting material or intermediate in the process. As 4,4’-bipyridyl is of toxicological significance, a maximum limit has been specified for this compound in paraquat dichloride technical concentrate in both the Agricultural and Veterinary Chemicals Code (Agricultural Active Constituents) Standards 2022 (Agricultural Active Constituents Standard 2022) and the FAO specification. Terpyridines, which are also of toxicological significance, can be formed as a byproduct during the manufacture of 4,4’-bipyridyl and can therefore be present in paraquat dichloride technical concentrates. Again, a maximum limit has been specified for this compound in paraquat dichloride technical concentrate in both the APVMA standard and the FAO specification.</w:t>
      </w:r>
    </w:p>
    <w:p w14:paraId="4F3E8665" w14:textId="7FD05B18" w:rsidR="00757AD7" w:rsidRPr="00D63217" w:rsidRDefault="00617382" w:rsidP="003A752D">
      <w:pPr>
        <w:pStyle w:val="NormalText"/>
      </w:pPr>
      <w:r w:rsidRPr="00D63217">
        <w:t>Based on the information considered at the time of approval</w:t>
      </w:r>
      <w:r w:rsidR="00BC7494" w:rsidRPr="00D63217">
        <w:t xml:space="preserve">, including </w:t>
      </w:r>
      <w:r w:rsidRPr="00D63217">
        <w:t>the manufacturing process</w:t>
      </w:r>
      <w:r w:rsidR="00BC7494" w:rsidRPr="00D63217">
        <w:t xml:space="preserve">, </w:t>
      </w:r>
      <w:r w:rsidRPr="00D63217">
        <w:t>o</w:t>
      </w:r>
      <w:r w:rsidR="004D7143" w:rsidRPr="00D63217">
        <w:t xml:space="preserve">ther impurities of toxicological significance are not expected to be present in </w:t>
      </w:r>
      <w:r w:rsidRPr="00D63217">
        <w:t xml:space="preserve">approved sources of </w:t>
      </w:r>
      <w:r w:rsidR="004D7143" w:rsidRPr="00D63217">
        <w:t>paraquat dichloride technical concentrate.</w:t>
      </w:r>
    </w:p>
    <w:p w14:paraId="146C24EC" w14:textId="4C82FD0A" w:rsidR="0075336D" w:rsidRPr="00D63217" w:rsidRDefault="004D7143" w:rsidP="003A752D">
      <w:pPr>
        <w:pStyle w:val="NormalText"/>
      </w:pPr>
      <w:r w:rsidRPr="00D63217">
        <w:t>The APVMA standard for paraquat dichloride technical concentrate was revised in 2013 to align with the FAO specification</w:t>
      </w:r>
      <w:r w:rsidR="00BC7494" w:rsidRPr="00D63217">
        <w:t>, this included revising the</w:t>
      </w:r>
      <w:r w:rsidR="005077BC" w:rsidRPr="00D63217">
        <w:t xml:space="preserve"> limits for 4,4’-bipyridyl and terpyridines and the</w:t>
      </w:r>
      <w:r w:rsidR="00BC7494" w:rsidRPr="00D63217">
        <w:t xml:space="preserve"> addition</w:t>
      </w:r>
      <w:r w:rsidR="00B76531" w:rsidRPr="00D63217">
        <w:t>al</w:t>
      </w:r>
      <w:r w:rsidR="00BC7494" w:rsidRPr="00D63217">
        <w:t xml:space="preserve"> </w:t>
      </w:r>
      <w:r w:rsidR="005077BC" w:rsidRPr="00D63217">
        <w:t xml:space="preserve">requirement to include an emetic due to the high acute toxicity of paraquat dichloride. </w:t>
      </w:r>
      <w:r w:rsidR="0075336D" w:rsidRPr="00D63217">
        <w:t>Sources of paraquat dichloride technical concentrate approved following promulgation of the revised APVMA standard have been assessed against</w:t>
      </w:r>
      <w:r w:rsidR="00685E25" w:rsidRPr="00D63217">
        <w:t>,</w:t>
      </w:r>
      <w:r w:rsidR="0075336D" w:rsidRPr="00D63217">
        <w:t xml:space="preserve"> and determined to comply with</w:t>
      </w:r>
      <w:r w:rsidR="00685E25" w:rsidRPr="00D63217">
        <w:t>,</w:t>
      </w:r>
      <w:r w:rsidR="0075336D" w:rsidRPr="00D63217">
        <w:t xml:space="preserve"> that standard</w:t>
      </w:r>
      <w:r w:rsidR="007B7ABA">
        <w:t xml:space="preserve"> (</w:t>
      </w:r>
      <w:r w:rsidR="007B7ABA" w:rsidRPr="00D63217">
        <w:t>69493, 87171, 89426 and 91420</w:t>
      </w:r>
      <w:r w:rsidR="007B7ABA">
        <w:t>)</w:t>
      </w:r>
      <w:r w:rsidR="0075336D" w:rsidRPr="00D63217">
        <w:t xml:space="preserve">. </w:t>
      </w:r>
      <w:r w:rsidR="00BC7494" w:rsidRPr="00D63217">
        <w:t>S</w:t>
      </w:r>
      <w:r w:rsidR="0075336D" w:rsidRPr="00D63217">
        <w:t xml:space="preserve">ources of paraquat dichloride technical concentrate approved prior to revision of the standard </w:t>
      </w:r>
      <w:r w:rsidR="00BC7494" w:rsidRPr="00D63217">
        <w:t xml:space="preserve">are required to meet the standard, but </w:t>
      </w:r>
      <w:r w:rsidR="00B76531" w:rsidRPr="00D63217">
        <w:t>in general,</w:t>
      </w:r>
      <w:r w:rsidR="00047A14" w:rsidRPr="00D63217">
        <w:t xml:space="preserve"> </w:t>
      </w:r>
      <w:r w:rsidR="0075336D" w:rsidRPr="00D63217">
        <w:t xml:space="preserve">have </w:t>
      </w:r>
      <w:r w:rsidR="00B76531" w:rsidRPr="00D63217">
        <w:t xml:space="preserve">not </w:t>
      </w:r>
      <w:r w:rsidR="00BC7494" w:rsidRPr="00D63217">
        <w:t xml:space="preserve">provided data to </w:t>
      </w:r>
      <w:r w:rsidR="0075336D" w:rsidRPr="00D63217">
        <w:t xml:space="preserve">demonstrate </w:t>
      </w:r>
      <w:r w:rsidR="00BC7494" w:rsidRPr="00D63217">
        <w:t xml:space="preserve">that they </w:t>
      </w:r>
      <w:r w:rsidR="0075336D" w:rsidRPr="00D63217">
        <w:t>comply with th</w:t>
      </w:r>
      <w:r w:rsidR="00047A14" w:rsidRPr="00D63217">
        <w:t xml:space="preserve">e revised </w:t>
      </w:r>
      <w:r w:rsidR="0075336D" w:rsidRPr="00D63217">
        <w:t>standard</w:t>
      </w:r>
      <w:r w:rsidR="007B7ABA">
        <w:t xml:space="preserve">, noting that active </w:t>
      </w:r>
      <w:r w:rsidR="007B7ABA" w:rsidRPr="007B7ABA">
        <w:t>constituent approvals 44249 and 55966, have demonstrated compliance with the Active constituent standard</w:t>
      </w:r>
      <w:r w:rsidR="003B2728">
        <w:t>, but do not list all relevant impurities in their current declarations of composition</w:t>
      </w:r>
      <w:r w:rsidR="0075336D" w:rsidRPr="007B7ABA">
        <w:t>.</w:t>
      </w:r>
    </w:p>
    <w:p w14:paraId="3B43502D" w14:textId="22569F54" w:rsidR="00493245" w:rsidRPr="00D63217" w:rsidRDefault="00E545C6" w:rsidP="003A752D">
      <w:pPr>
        <w:pStyle w:val="NormalText"/>
      </w:pPr>
      <w:r w:rsidRPr="00D63217">
        <w:t>Based on the information provided and the assessment conducted at the time of approval, i</w:t>
      </w:r>
      <w:r w:rsidR="003B437F" w:rsidRPr="00D63217">
        <w:t xml:space="preserve">n respect of the chemistry-related matters in </w:t>
      </w:r>
      <w:r w:rsidRPr="00D63217">
        <w:t xml:space="preserve">the </w:t>
      </w:r>
      <w:r w:rsidR="003B437F" w:rsidRPr="00D63217">
        <w:t xml:space="preserve">section 5A </w:t>
      </w:r>
      <w:r w:rsidRPr="00D63217">
        <w:t>safety criteria</w:t>
      </w:r>
      <w:r w:rsidR="003B437F" w:rsidRPr="00D63217">
        <w:t xml:space="preserve">, it is </w:t>
      </w:r>
      <w:r w:rsidR="00A179E8">
        <w:t>recommended</w:t>
      </w:r>
      <w:r w:rsidR="00A179E8" w:rsidRPr="00D63217">
        <w:t xml:space="preserve"> </w:t>
      </w:r>
      <w:r w:rsidR="003B437F" w:rsidRPr="00D63217">
        <w:t xml:space="preserve">that APVMA remains satisfied in respect of the manufacturing method for </w:t>
      </w:r>
      <w:r w:rsidR="007B7ABA">
        <w:t xml:space="preserve">all </w:t>
      </w:r>
      <w:r w:rsidR="003B437F" w:rsidRPr="00D63217">
        <w:t>approved paraquat dichloride active constituents.</w:t>
      </w:r>
    </w:p>
    <w:p w14:paraId="1872C2B0" w14:textId="77777777" w:rsidR="002F269C" w:rsidRDefault="00A179E8" w:rsidP="00B76531">
      <w:pPr>
        <w:pStyle w:val="NormalText"/>
      </w:pPr>
      <w:r>
        <w:t>It is recommended that</w:t>
      </w:r>
      <w:r w:rsidR="003B437F" w:rsidRPr="00D63217">
        <w:t xml:space="preserve"> sources of paraquat dichloride technical concentrate approved after the</w:t>
      </w:r>
      <w:r w:rsidR="00AE7638" w:rsidRPr="00D63217">
        <w:t xml:space="preserve"> 2013</w:t>
      </w:r>
      <w:r w:rsidR="003B437F" w:rsidRPr="00D63217">
        <w:t xml:space="preserve"> revision of the active constituent standard</w:t>
      </w:r>
      <w:r w:rsidR="007B7ABA">
        <w:t xml:space="preserve"> (</w:t>
      </w:r>
      <w:r w:rsidR="007B7ABA" w:rsidRPr="00D63217">
        <w:t>69493, 87171, 89426 and 91420</w:t>
      </w:r>
      <w:r w:rsidR="007B7ABA">
        <w:t>)</w:t>
      </w:r>
      <w:r w:rsidR="003B437F" w:rsidRPr="00D63217">
        <w:t xml:space="preserve"> satisfy the safety criteria</w:t>
      </w:r>
      <w:r w:rsidR="00047A14" w:rsidRPr="00D63217">
        <w:t xml:space="preserve"> in regard to the analyses </w:t>
      </w:r>
      <w:r w:rsidR="009D7A00">
        <w:t xml:space="preserve">to </w:t>
      </w:r>
      <w:r w:rsidR="00047A14" w:rsidRPr="00D63217">
        <w:t>the extent to which they contain impurities</w:t>
      </w:r>
      <w:r w:rsidR="00B76531" w:rsidRPr="00D63217">
        <w:t>.</w:t>
      </w:r>
    </w:p>
    <w:p w14:paraId="36EB64C0" w14:textId="2BA5F347" w:rsidR="003B437F" w:rsidRPr="00D63217" w:rsidRDefault="00A179E8" w:rsidP="00B76531">
      <w:pPr>
        <w:pStyle w:val="NormalText"/>
      </w:pPr>
      <w:r>
        <w:lastRenderedPageBreak/>
        <w:t>T</w:t>
      </w:r>
      <w:r w:rsidRPr="00D63217">
        <w:t xml:space="preserve">he </w:t>
      </w:r>
      <w:r w:rsidR="00B76531" w:rsidRPr="00D63217">
        <w:t xml:space="preserve">APVMA does not hold data to demonstrate that </w:t>
      </w:r>
      <w:r w:rsidRPr="00D63217">
        <w:t xml:space="preserve">sources of paraquat dichloride technical concentrate approved prior to the revision of the standard </w:t>
      </w:r>
      <w:r w:rsidR="00BD6811">
        <w:t xml:space="preserve">listed in </w:t>
      </w:r>
      <w:r w:rsidR="00BD6811">
        <w:fldChar w:fldCharType="begin"/>
      </w:r>
      <w:r w:rsidR="00BD6811">
        <w:instrText xml:space="preserve"> REF _Ref162264148 \h </w:instrText>
      </w:r>
      <w:r w:rsidR="00BD6811">
        <w:fldChar w:fldCharType="separate"/>
      </w:r>
      <w:r w:rsidR="008A397D" w:rsidRPr="00D63217">
        <w:t xml:space="preserve">Table </w:t>
      </w:r>
      <w:r w:rsidR="008A397D">
        <w:rPr>
          <w:noProof/>
        </w:rPr>
        <w:t>4</w:t>
      </w:r>
      <w:r w:rsidR="00BD6811">
        <w:fldChar w:fldCharType="end"/>
      </w:r>
      <w:r w:rsidR="00BD6811">
        <w:t xml:space="preserve"> (apart from </w:t>
      </w:r>
      <w:r w:rsidR="00BD6811" w:rsidRPr="007B7ABA">
        <w:t>approvals 44249 and 55966</w:t>
      </w:r>
      <w:r w:rsidR="00BD6811">
        <w:t xml:space="preserve">) </w:t>
      </w:r>
      <w:r w:rsidR="00B76531" w:rsidRPr="00D63217">
        <w:t>meet the current standard</w:t>
      </w:r>
      <w:r>
        <w:t xml:space="preserve">. </w:t>
      </w:r>
      <w:r w:rsidR="00B76531" w:rsidRPr="00D63217">
        <w:t>To</w:t>
      </w:r>
      <w:r w:rsidR="003B437F" w:rsidRPr="00D63217">
        <w:t xml:space="preserve"> demonstrate that these approvals satisfy the safety criteria, holders </w:t>
      </w:r>
      <w:r w:rsidR="00B76531" w:rsidRPr="00D63217">
        <w:t>should</w:t>
      </w:r>
      <w:r w:rsidR="003B437F" w:rsidRPr="00D63217">
        <w:t xml:space="preserve"> provide </w:t>
      </w:r>
      <w:r w:rsidR="00047A14" w:rsidRPr="00D63217">
        <w:t xml:space="preserve">recent </w:t>
      </w:r>
      <w:r w:rsidR="003B437F" w:rsidRPr="00D63217">
        <w:t>Declarations of Composition and batch analyses demonstrating compliance with the revised APVMA standard (and the FAO specification) for paraquat dichloride.</w:t>
      </w:r>
    </w:p>
    <w:p w14:paraId="63834D3D" w14:textId="0388A814" w:rsidR="00432AA0" w:rsidRPr="002F269C" w:rsidRDefault="00432AA0" w:rsidP="002F269C">
      <w:pPr>
        <w:pStyle w:val="Caption"/>
      </w:pPr>
      <w:bookmarkStart w:id="56" w:name="_Ref162264148"/>
      <w:bookmarkStart w:id="57" w:name="_Toc230692270"/>
      <w:bookmarkStart w:id="58" w:name="_Toc233036491"/>
      <w:bookmarkEnd w:id="55"/>
      <w:r w:rsidRPr="002F269C">
        <w:t xml:space="preserve">Table </w:t>
      </w:r>
      <w:fldSimple w:instr=" SEQ Table \* ARABIC ">
        <w:r w:rsidR="002F269C">
          <w:rPr>
            <w:noProof/>
          </w:rPr>
          <w:t>4</w:t>
        </w:r>
      </w:fldSimple>
      <w:bookmarkEnd w:id="56"/>
      <w:r w:rsidRPr="002F269C">
        <w:t>: Current paraquat active constituent approvals</w:t>
      </w:r>
      <w:bookmarkEnd w:id="57"/>
      <w:bookmarkEnd w:id="58"/>
    </w:p>
    <w:tbl>
      <w:tblPr>
        <w:tblStyle w:val="TableGrid"/>
        <w:tblW w:w="5000" w:type="pct"/>
        <w:tblLayout w:type="fixed"/>
        <w:tblLook w:val="04A0" w:firstRow="1" w:lastRow="0" w:firstColumn="1" w:lastColumn="0" w:noHBand="0" w:noVBand="1"/>
      </w:tblPr>
      <w:tblGrid>
        <w:gridCol w:w="1979"/>
        <w:gridCol w:w="2621"/>
        <w:gridCol w:w="5028"/>
      </w:tblGrid>
      <w:tr w:rsidR="00432AA0" w:rsidRPr="00D63217" w14:paraId="2A964757" w14:textId="77777777" w:rsidTr="00BF4B43">
        <w:tc>
          <w:tcPr>
            <w:tcW w:w="1028" w:type="pct"/>
            <w:shd w:val="clear" w:color="auto" w:fill="53284F"/>
          </w:tcPr>
          <w:p w14:paraId="3F370024" w14:textId="77777777" w:rsidR="00432AA0" w:rsidRPr="002F269C" w:rsidRDefault="00432AA0" w:rsidP="002F269C">
            <w:pPr>
              <w:pStyle w:val="TableHead"/>
            </w:pPr>
            <w:r w:rsidRPr="002F269C">
              <w:t>Approval number</w:t>
            </w:r>
          </w:p>
        </w:tc>
        <w:tc>
          <w:tcPr>
            <w:tcW w:w="1361" w:type="pct"/>
            <w:shd w:val="clear" w:color="auto" w:fill="53284F"/>
          </w:tcPr>
          <w:p w14:paraId="3C0D3CE5" w14:textId="77777777" w:rsidR="00432AA0" w:rsidRPr="002F269C" w:rsidRDefault="00432AA0" w:rsidP="002F269C">
            <w:pPr>
              <w:pStyle w:val="TableHead"/>
            </w:pPr>
            <w:r w:rsidRPr="002F269C">
              <w:t>Formulation</w:t>
            </w:r>
          </w:p>
        </w:tc>
        <w:tc>
          <w:tcPr>
            <w:tcW w:w="2611" w:type="pct"/>
            <w:shd w:val="clear" w:color="auto" w:fill="53284F"/>
          </w:tcPr>
          <w:p w14:paraId="62E5F288" w14:textId="77777777" w:rsidR="00432AA0" w:rsidRPr="002F269C" w:rsidRDefault="00432AA0" w:rsidP="002F269C">
            <w:pPr>
              <w:pStyle w:val="TableHead"/>
            </w:pPr>
            <w:r w:rsidRPr="002F269C">
              <w:t>Holder</w:t>
            </w:r>
          </w:p>
        </w:tc>
      </w:tr>
      <w:tr w:rsidR="00432AA0" w:rsidRPr="00D63217" w14:paraId="4523D906" w14:textId="77777777" w:rsidTr="00BF4B43">
        <w:trPr>
          <w:trHeight w:val="300"/>
        </w:trPr>
        <w:tc>
          <w:tcPr>
            <w:tcW w:w="1028" w:type="pct"/>
            <w:noWrap/>
          </w:tcPr>
          <w:p w14:paraId="623B98B7" w14:textId="77777777" w:rsidR="00432AA0" w:rsidRPr="00D63217" w:rsidRDefault="00432AA0" w:rsidP="00DA0763">
            <w:pPr>
              <w:pStyle w:val="TableText"/>
            </w:pPr>
            <w:bookmarkStart w:id="59" w:name="_Hlk165989913"/>
            <w:r w:rsidRPr="00D63217">
              <w:t xml:space="preserve">44249 </w:t>
            </w:r>
          </w:p>
        </w:tc>
        <w:tc>
          <w:tcPr>
            <w:tcW w:w="1361" w:type="pct"/>
            <w:noWrap/>
          </w:tcPr>
          <w:p w14:paraId="235E8298" w14:textId="77777777" w:rsidR="00432AA0" w:rsidRPr="00D63217" w:rsidRDefault="00432AA0" w:rsidP="00DA0763">
            <w:pPr>
              <w:pStyle w:val="TableText"/>
            </w:pPr>
            <w:r w:rsidRPr="00D63217">
              <w:t>Manufacturing concentrate</w:t>
            </w:r>
          </w:p>
        </w:tc>
        <w:tc>
          <w:tcPr>
            <w:tcW w:w="2611" w:type="pct"/>
            <w:noWrap/>
          </w:tcPr>
          <w:p w14:paraId="7BC4BA16" w14:textId="7D79212B" w:rsidR="00432AA0" w:rsidRPr="00D63217" w:rsidRDefault="00432AA0" w:rsidP="00DA0763">
            <w:pPr>
              <w:pStyle w:val="TableText"/>
            </w:pPr>
            <w:r w:rsidRPr="00D63217">
              <w:t>S</w:t>
            </w:r>
            <w:r w:rsidR="00DA0763" w:rsidRPr="00D63217">
              <w:t>yngenta</w:t>
            </w:r>
            <w:r w:rsidRPr="00D63217">
              <w:t xml:space="preserve"> A</w:t>
            </w:r>
            <w:r w:rsidR="00DA0763" w:rsidRPr="00D63217">
              <w:t>ustralia</w:t>
            </w:r>
            <w:r w:rsidRPr="00D63217">
              <w:t xml:space="preserve"> P</w:t>
            </w:r>
            <w:r w:rsidR="00DA0763" w:rsidRPr="00D63217">
              <w:t>ty</w:t>
            </w:r>
            <w:r w:rsidRPr="00D63217">
              <w:t xml:space="preserve"> L</w:t>
            </w:r>
            <w:r w:rsidR="00DA0763" w:rsidRPr="00D63217">
              <w:t>td</w:t>
            </w:r>
          </w:p>
        </w:tc>
      </w:tr>
      <w:tr w:rsidR="00432AA0" w:rsidRPr="00D63217" w14:paraId="4D816776" w14:textId="77777777" w:rsidTr="00BF4B43">
        <w:trPr>
          <w:trHeight w:val="300"/>
        </w:trPr>
        <w:tc>
          <w:tcPr>
            <w:tcW w:w="1028" w:type="pct"/>
            <w:noWrap/>
          </w:tcPr>
          <w:p w14:paraId="0B499EEA" w14:textId="77777777" w:rsidR="00432AA0" w:rsidRPr="00D63217" w:rsidRDefault="00432AA0" w:rsidP="00DA0763">
            <w:pPr>
              <w:pStyle w:val="TableText"/>
            </w:pPr>
            <w:r w:rsidRPr="00D63217">
              <w:t xml:space="preserve">44387 </w:t>
            </w:r>
          </w:p>
        </w:tc>
        <w:tc>
          <w:tcPr>
            <w:tcW w:w="1361" w:type="pct"/>
            <w:noWrap/>
          </w:tcPr>
          <w:p w14:paraId="2262216B" w14:textId="77777777" w:rsidR="00432AA0" w:rsidRPr="00D63217" w:rsidRDefault="00432AA0" w:rsidP="00DA0763">
            <w:pPr>
              <w:pStyle w:val="TableText"/>
            </w:pPr>
            <w:r w:rsidRPr="00D63217">
              <w:t>Manufacturing concentrate</w:t>
            </w:r>
          </w:p>
        </w:tc>
        <w:tc>
          <w:tcPr>
            <w:tcW w:w="2611" w:type="pct"/>
            <w:noWrap/>
          </w:tcPr>
          <w:p w14:paraId="29A8D85E" w14:textId="40820807" w:rsidR="00432AA0" w:rsidRPr="00D63217" w:rsidRDefault="00432AA0" w:rsidP="00DA0763">
            <w:pPr>
              <w:pStyle w:val="TableText"/>
            </w:pPr>
            <w:r w:rsidRPr="00D63217">
              <w:t>N</w:t>
            </w:r>
            <w:r w:rsidR="00DA0763" w:rsidRPr="00D63217">
              <w:t>ufarm</w:t>
            </w:r>
            <w:r w:rsidRPr="00D63217">
              <w:t xml:space="preserve"> A</w:t>
            </w:r>
            <w:r w:rsidR="00DA0763" w:rsidRPr="00D63217">
              <w:t>ustralia</w:t>
            </w:r>
            <w:r w:rsidRPr="00D63217">
              <w:t xml:space="preserve"> L</w:t>
            </w:r>
            <w:r w:rsidR="00DA0763" w:rsidRPr="00D63217">
              <w:t>imited</w:t>
            </w:r>
          </w:p>
        </w:tc>
      </w:tr>
      <w:tr w:rsidR="00432AA0" w:rsidRPr="00D63217" w14:paraId="0143C9F0" w14:textId="77777777" w:rsidTr="00BF4B43">
        <w:trPr>
          <w:trHeight w:val="300"/>
        </w:trPr>
        <w:tc>
          <w:tcPr>
            <w:tcW w:w="1028" w:type="pct"/>
            <w:noWrap/>
          </w:tcPr>
          <w:p w14:paraId="733E05D0" w14:textId="77777777" w:rsidR="00432AA0" w:rsidRPr="00D63217" w:rsidRDefault="00432AA0" w:rsidP="00DA0763">
            <w:pPr>
              <w:pStyle w:val="TableText"/>
            </w:pPr>
            <w:r w:rsidRPr="00D63217">
              <w:t xml:space="preserve">48272 </w:t>
            </w:r>
          </w:p>
        </w:tc>
        <w:tc>
          <w:tcPr>
            <w:tcW w:w="1361" w:type="pct"/>
            <w:noWrap/>
          </w:tcPr>
          <w:p w14:paraId="2D71DF18" w14:textId="77777777" w:rsidR="00432AA0" w:rsidRPr="00D63217" w:rsidRDefault="00432AA0" w:rsidP="00DA0763">
            <w:pPr>
              <w:pStyle w:val="TableText"/>
            </w:pPr>
            <w:r w:rsidRPr="00D63217">
              <w:t>Manufacturing concentrate</w:t>
            </w:r>
          </w:p>
        </w:tc>
        <w:tc>
          <w:tcPr>
            <w:tcW w:w="2611" w:type="pct"/>
            <w:noWrap/>
          </w:tcPr>
          <w:p w14:paraId="0488702B" w14:textId="6BAA7D12" w:rsidR="00432AA0" w:rsidRPr="00D63217" w:rsidRDefault="00432AA0" w:rsidP="00DA0763">
            <w:pPr>
              <w:pStyle w:val="TableText"/>
            </w:pPr>
            <w:r w:rsidRPr="00D63217">
              <w:t>S</w:t>
            </w:r>
            <w:r w:rsidR="00DA0763" w:rsidRPr="00D63217">
              <w:t xml:space="preserve">yngenta </w:t>
            </w:r>
            <w:r w:rsidRPr="00D63217">
              <w:t>A</w:t>
            </w:r>
            <w:r w:rsidR="00DA0763" w:rsidRPr="00D63217">
              <w:t>ustralia</w:t>
            </w:r>
            <w:r w:rsidRPr="00D63217">
              <w:t xml:space="preserve"> P</w:t>
            </w:r>
            <w:r w:rsidR="00DA0763" w:rsidRPr="00D63217">
              <w:t>ty</w:t>
            </w:r>
            <w:r w:rsidRPr="00D63217">
              <w:t xml:space="preserve"> L</w:t>
            </w:r>
            <w:r w:rsidR="00DA0763" w:rsidRPr="00D63217">
              <w:t>td</w:t>
            </w:r>
          </w:p>
        </w:tc>
      </w:tr>
      <w:tr w:rsidR="00432AA0" w:rsidRPr="00D63217" w14:paraId="212E3947" w14:textId="77777777" w:rsidTr="00BF4B43">
        <w:trPr>
          <w:trHeight w:val="300"/>
        </w:trPr>
        <w:tc>
          <w:tcPr>
            <w:tcW w:w="1028" w:type="pct"/>
            <w:noWrap/>
          </w:tcPr>
          <w:p w14:paraId="20A6A507" w14:textId="77777777" w:rsidR="00432AA0" w:rsidRPr="00D63217" w:rsidRDefault="00432AA0" w:rsidP="00DA0763">
            <w:pPr>
              <w:pStyle w:val="TableText"/>
            </w:pPr>
            <w:r w:rsidRPr="00D63217">
              <w:t xml:space="preserve">51041 </w:t>
            </w:r>
          </w:p>
        </w:tc>
        <w:tc>
          <w:tcPr>
            <w:tcW w:w="1361" w:type="pct"/>
            <w:noWrap/>
          </w:tcPr>
          <w:p w14:paraId="3415B0CC" w14:textId="77777777" w:rsidR="00432AA0" w:rsidRPr="00D63217" w:rsidRDefault="00432AA0" w:rsidP="00DA0763">
            <w:pPr>
              <w:pStyle w:val="TableText"/>
            </w:pPr>
            <w:r w:rsidRPr="00D63217">
              <w:t>Manufacturing concentrate</w:t>
            </w:r>
          </w:p>
        </w:tc>
        <w:tc>
          <w:tcPr>
            <w:tcW w:w="2611" w:type="pct"/>
            <w:noWrap/>
          </w:tcPr>
          <w:p w14:paraId="3F2C4A61" w14:textId="46B6C8B7" w:rsidR="00432AA0" w:rsidRPr="00D63217" w:rsidRDefault="00432AA0" w:rsidP="00DA0763">
            <w:pPr>
              <w:pStyle w:val="TableText"/>
            </w:pPr>
            <w:r w:rsidRPr="00D63217">
              <w:t>R</w:t>
            </w:r>
            <w:r w:rsidR="00DA0763" w:rsidRPr="00D63217">
              <w:t>onic</w:t>
            </w:r>
            <w:r w:rsidRPr="00D63217">
              <w:t xml:space="preserve"> I</w:t>
            </w:r>
            <w:r w:rsidR="00DA0763" w:rsidRPr="00D63217">
              <w:t>nternational</w:t>
            </w:r>
            <w:r w:rsidRPr="00D63217">
              <w:t xml:space="preserve"> P</w:t>
            </w:r>
            <w:r w:rsidR="00DA0763" w:rsidRPr="00D63217">
              <w:t>ty</w:t>
            </w:r>
            <w:r w:rsidRPr="00D63217">
              <w:t xml:space="preserve"> </w:t>
            </w:r>
            <w:r w:rsidR="00DA0763" w:rsidRPr="00D63217">
              <w:t>Ltd</w:t>
            </w:r>
          </w:p>
        </w:tc>
      </w:tr>
      <w:tr w:rsidR="00432AA0" w:rsidRPr="00D63217" w14:paraId="145A0D98" w14:textId="77777777" w:rsidTr="006C3D20">
        <w:trPr>
          <w:trHeight w:val="382"/>
        </w:trPr>
        <w:tc>
          <w:tcPr>
            <w:tcW w:w="1028" w:type="pct"/>
            <w:noWrap/>
          </w:tcPr>
          <w:p w14:paraId="094A0314" w14:textId="77777777" w:rsidR="00432AA0" w:rsidRPr="00D63217" w:rsidRDefault="00432AA0" w:rsidP="00DA0763">
            <w:pPr>
              <w:pStyle w:val="TableText"/>
            </w:pPr>
            <w:r w:rsidRPr="00D63217">
              <w:t xml:space="preserve">54043 </w:t>
            </w:r>
          </w:p>
        </w:tc>
        <w:tc>
          <w:tcPr>
            <w:tcW w:w="1361" w:type="pct"/>
            <w:noWrap/>
          </w:tcPr>
          <w:p w14:paraId="7764C469" w14:textId="77777777" w:rsidR="00432AA0" w:rsidRPr="00D63217" w:rsidRDefault="00432AA0" w:rsidP="00DA0763">
            <w:pPr>
              <w:pStyle w:val="TableText"/>
            </w:pPr>
            <w:r w:rsidRPr="00D63217">
              <w:t>Manufacturing concentrate</w:t>
            </w:r>
          </w:p>
        </w:tc>
        <w:tc>
          <w:tcPr>
            <w:tcW w:w="2611" w:type="pct"/>
            <w:noWrap/>
          </w:tcPr>
          <w:p w14:paraId="6FCFDCE4" w14:textId="6BDE086C" w:rsidR="00432AA0" w:rsidRPr="00D63217" w:rsidRDefault="00432AA0" w:rsidP="00DA0763">
            <w:pPr>
              <w:pStyle w:val="TableText"/>
            </w:pPr>
            <w:r w:rsidRPr="00D63217">
              <w:t>H</w:t>
            </w:r>
            <w:r w:rsidR="00DA0763" w:rsidRPr="00D63217">
              <w:t>alley</w:t>
            </w:r>
            <w:r w:rsidRPr="00D63217">
              <w:t xml:space="preserve"> I</w:t>
            </w:r>
            <w:r w:rsidR="00DA0763" w:rsidRPr="00D63217">
              <w:t>nternational</w:t>
            </w:r>
            <w:r w:rsidRPr="00D63217">
              <w:t xml:space="preserve"> E</w:t>
            </w:r>
            <w:r w:rsidR="00DA0763" w:rsidRPr="00D63217">
              <w:t>nterprise</w:t>
            </w:r>
            <w:r w:rsidRPr="00D63217">
              <w:t xml:space="preserve"> (A</w:t>
            </w:r>
            <w:r w:rsidR="00DA0763" w:rsidRPr="00D63217">
              <w:t>ustralia</w:t>
            </w:r>
            <w:r w:rsidRPr="00D63217">
              <w:t>) P</w:t>
            </w:r>
            <w:r w:rsidR="00DA0763" w:rsidRPr="00D63217">
              <w:t>ty</w:t>
            </w:r>
            <w:r w:rsidRPr="00D63217">
              <w:t xml:space="preserve"> L</w:t>
            </w:r>
            <w:r w:rsidR="00DA0763" w:rsidRPr="00D63217">
              <w:t>td</w:t>
            </w:r>
          </w:p>
        </w:tc>
      </w:tr>
      <w:tr w:rsidR="00432AA0" w:rsidRPr="00D63217" w14:paraId="6247A3F0" w14:textId="77777777" w:rsidTr="00BF4B43">
        <w:trPr>
          <w:trHeight w:val="300"/>
        </w:trPr>
        <w:tc>
          <w:tcPr>
            <w:tcW w:w="1028" w:type="pct"/>
            <w:noWrap/>
          </w:tcPr>
          <w:p w14:paraId="5DC82FF2" w14:textId="77777777" w:rsidR="00432AA0" w:rsidRPr="00D63217" w:rsidRDefault="00432AA0" w:rsidP="00DA0763">
            <w:pPr>
              <w:pStyle w:val="TableText"/>
            </w:pPr>
            <w:r w:rsidRPr="00D63217">
              <w:t xml:space="preserve">54131 </w:t>
            </w:r>
          </w:p>
        </w:tc>
        <w:tc>
          <w:tcPr>
            <w:tcW w:w="1361" w:type="pct"/>
            <w:noWrap/>
          </w:tcPr>
          <w:p w14:paraId="63E44BCD" w14:textId="77777777" w:rsidR="00432AA0" w:rsidRPr="00D63217" w:rsidRDefault="00432AA0" w:rsidP="00DA0763">
            <w:pPr>
              <w:pStyle w:val="TableText"/>
            </w:pPr>
            <w:r w:rsidRPr="00D63217">
              <w:t>Manufacturing concentrate</w:t>
            </w:r>
          </w:p>
        </w:tc>
        <w:tc>
          <w:tcPr>
            <w:tcW w:w="2611" w:type="pct"/>
            <w:noWrap/>
          </w:tcPr>
          <w:p w14:paraId="483CDF19" w14:textId="5A2DE2CD" w:rsidR="00432AA0" w:rsidRPr="00D63217" w:rsidRDefault="00432AA0" w:rsidP="00DA0763">
            <w:pPr>
              <w:pStyle w:val="TableText"/>
            </w:pPr>
            <w:r w:rsidRPr="00D63217">
              <w:t>C</w:t>
            </w:r>
            <w:r w:rsidR="00DA0763" w:rsidRPr="00D63217">
              <w:t>apital</w:t>
            </w:r>
            <w:r w:rsidRPr="00D63217">
              <w:t xml:space="preserve"> C</w:t>
            </w:r>
            <w:r w:rsidR="00DA0763" w:rsidRPr="00D63217">
              <w:t>ommodities</w:t>
            </w:r>
            <w:r w:rsidRPr="00D63217">
              <w:t xml:space="preserve"> (V</w:t>
            </w:r>
            <w:r w:rsidR="00DA0763" w:rsidRPr="00D63217">
              <w:t>ic</w:t>
            </w:r>
            <w:r w:rsidRPr="00D63217">
              <w:t>) P</w:t>
            </w:r>
            <w:r w:rsidR="00DA0763" w:rsidRPr="00D63217">
              <w:t>ty</w:t>
            </w:r>
            <w:r w:rsidRPr="00D63217">
              <w:t xml:space="preserve"> L</w:t>
            </w:r>
            <w:r w:rsidR="00DA0763" w:rsidRPr="00D63217">
              <w:t>td</w:t>
            </w:r>
          </w:p>
        </w:tc>
      </w:tr>
      <w:tr w:rsidR="00432AA0" w:rsidRPr="00D63217" w14:paraId="054092DB" w14:textId="77777777" w:rsidTr="00BF4B43">
        <w:trPr>
          <w:trHeight w:val="300"/>
        </w:trPr>
        <w:tc>
          <w:tcPr>
            <w:tcW w:w="1028" w:type="pct"/>
            <w:noWrap/>
          </w:tcPr>
          <w:p w14:paraId="71691091" w14:textId="77777777" w:rsidR="00432AA0" w:rsidRPr="00D63217" w:rsidRDefault="00432AA0" w:rsidP="00DA0763">
            <w:pPr>
              <w:pStyle w:val="TableText"/>
            </w:pPr>
            <w:r w:rsidRPr="00D63217">
              <w:t xml:space="preserve">55327 </w:t>
            </w:r>
          </w:p>
        </w:tc>
        <w:tc>
          <w:tcPr>
            <w:tcW w:w="1361" w:type="pct"/>
            <w:noWrap/>
          </w:tcPr>
          <w:p w14:paraId="66AD7778" w14:textId="77777777" w:rsidR="00432AA0" w:rsidRPr="00D63217" w:rsidRDefault="00432AA0" w:rsidP="00DA0763">
            <w:pPr>
              <w:pStyle w:val="TableText"/>
            </w:pPr>
            <w:r w:rsidRPr="00D63217">
              <w:t>Manufacturing concentrate</w:t>
            </w:r>
          </w:p>
        </w:tc>
        <w:tc>
          <w:tcPr>
            <w:tcW w:w="2611" w:type="pct"/>
            <w:noWrap/>
          </w:tcPr>
          <w:p w14:paraId="27CD2CE8" w14:textId="2DE07D20" w:rsidR="00432AA0" w:rsidRPr="00D63217" w:rsidRDefault="00432AA0" w:rsidP="00DA0763">
            <w:pPr>
              <w:pStyle w:val="TableText"/>
            </w:pPr>
            <w:r w:rsidRPr="00D63217">
              <w:t>ADAMA A</w:t>
            </w:r>
            <w:r w:rsidR="00D90072" w:rsidRPr="00D63217">
              <w:t>ustralia</w:t>
            </w:r>
            <w:r w:rsidRPr="00D63217">
              <w:t xml:space="preserve"> P</w:t>
            </w:r>
            <w:r w:rsidR="00D90072" w:rsidRPr="00D63217">
              <w:t xml:space="preserve">ty </w:t>
            </w:r>
            <w:r w:rsidRPr="00D63217">
              <w:t>L</w:t>
            </w:r>
            <w:r w:rsidR="00D90072" w:rsidRPr="00D63217">
              <w:t>td</w:t>
            </w:r>
          </w:p>
        </w:tc>
      </w:tr>
      <w:tr w:rsidR="00432AA0" w:rsidRPr="00D63217" w14:paraId="2083004A" w14:textId="77777777" w:rsidTr="00BF4B43">
        <w:trPr>
          <w:trHeight w:val="300"/>
        </w:trPr>
        <w:tc>
          <w:tcPr>
            <w:tcW w:w="1028" w:type="pct"/>
            <w:noWrap/>
          </w:tcPr>
          <w:p w14:paraId="194E957B" w14:textId="77777777" w:rsidR="00432AA0" w:rsidRPr="00D63217" w:rsidRDefault="00432AA0" w:rsidP="00DA0763">
            <w:pPr>
              <w:pStyle w:val="TableText"/>
            </w:pPr>
            <w:r w:rsidRPr="00D63217">
              <w:t xml:space="preserve">55682 </w:t>
            </w:r>
          </w:p>
        </w:tc>
        <w:tc>
          <w:tcPr>
            <w:tcW w:w="1361" w:type="pct"/>
            <w:noWrap/>
          </w:tcPr>
          <w:p w14:paraId="76C952D1" w14:textId="77777777" w:rsidR="00432AA0" w:rsidRPr="00D63217" w:rsidRDefault="00432AA0" w:rsidP="00DA0763">
            <w:pPr>
              <w:pStyle w:val="TableText"/>
            </w:pPr>
            <w:r w:rsidRPr="00D63217">
              <w:t>Manufacturing concentrate</w:t>
            </w:r>
          </w:p>
        </w:tc>
        <w:tc>
          <w:tcPr>
            <w:tcW w:w="2611" w:type="pct"/>
            <w:noWrap/>
          </w:tcPr>
          <w:p w14:paraId="247B128A" w14:textId="444FF063" w:rsidR="00432AA0" w:rsidRPr="00D63217" w:rsidRDefault="00432AA0" w:rsidP="00DA0763">
            <w:pPr>
              <w:pStyle w:val="TableText"/>
            </w:pPr>
            <w:r w:rsidRPr="00D63217">
              <w:t>I</w:t>
            </w:r>
            <w:r w:rsidR="00D90072" w:rsidRPr="00D63217">
              <w:t>mtrade</w:t>
            </w:r>
            <w:r w:rsidRPr="00D63217">
              <w:t xml:space="preserve"> A</w:t>
            </w:r>
            <w:r w:rsidR="00D90072" w:rsidRPr="00D63217">
              <w:t>ustralia</w:t>
            </w:r>
            <w:r w:rsidRPr="00D63217">
              <w:t xml:space="preserve"> P</w:t>
            </w:r>
            <w:r w:rsidR="00D90072" w:rsidRPr="00D63217">
              <w:t xml:space="preserve">ty </w:t>
            </w:r>
            <w:r w:rsidRPr="00D63217">
              <w:t>L</w:t>
            </w:r>
            <w:r w:rsidR="00D90072" w:rsidRPr="00D63217">
              <w:t>td</w:t>
            </w:r>
          </w:p>
        </w:tc>
      </w:tr>
      <w:tr w:rsidR="00432AA0" w:rsidRPr="00D63217" w14:paraId="5EEA9EE6" w14:textId="77777777" w:rsidTr="00BF4B43">
        <w:trPr>
          <w:trHeight w:val="300"/>
        </w:trPr>
        <w:tc>
          <w:tcPr>
            <w:tcW w:w="1028" w:type="pct"/>
            <w:noWrap/>
          </w:tcPr>
          <w:p w14:paraId="5CAEEDA6" w14:textId="77777777" w:rsidR="00432AA0" w:rsidRPr="00D63217" w:rsidRDefault="00432AA0" w:rsidP="00DA0763">
            <w:pPr>
              <w:pStyle w:val="TableText"/>
            </w:pPr>
            <w:r w:rsidRPr="00D63217">
              <w:t xml:space="preserve">55966 </w:t>
            </w:r>
          </w:p>
        </w:tc>
        <w:tc>
          <w:tcPr>
            <w:tcW w:w="1361" w:type="pct"/>
            <w:noWrap/>
          </w:tcPr>
          <w:p w14:paraId="3DDFE02F" w14:textId="77777777" w:rsidR="00432AA0" w:rsidRPr="00D63217" w:rsidRDefault="00432AA0" w:rsidP="00DA0763">
            <w:pPr>
              <w:pStyle w:val="TableText"/>
            </w:pPr>
            <w:r w:rsidRPr="00D63217">
              <w:t>Manufacturing concentrate</w:t>
            </w:r>
          </w:p>
        </w:tc>
        <w:tc>
          <w:tcPr>
            <w:tcW w:w="2611" w:type="pct"/>
            <w:noWrap/>
          </w:tcPr>
          <w:p w14:paraId="50A82D9C" w14:textId="4DF3379D" w:rsidR="00432AA0" w:rsidRPr="00D63217" w:rsidRDefault="00432AA0" w:rsidP="00DA0763">
            <w:pPr>
              <w:pStyle w:val="TableText"/>
            </w:pPr>
            <w:r w:rsidRPr="00D63217">
              <w:t>S</w:t>
            </w:r>
            <w:r w:rsidR="00D90072" w:rsidRPr="00D63217">
              <w:t>yngenta</w:t>
            </w:r>
            <w:r w:rsidRPr="00D63217">
              <w:t xml:space="preserve"> A</w:t>
            </w:r>
            <w:r w:rsidR="00D90072" w:rsidRPr="00D63217">
              <w:t>ustralia</w:t>
            </w:r>
            <w:r w:rsidRPr="00D63217">
              <w:t xml:space="preserve"> P</w:t>
            </w:r>
            <w:r w:rsidR="00D90072" w:rsidRPr="00D63217">
              <w:t>ty</w:t>
            </w:r>
            <w:r w:rsidRPr="00D63217">
              <w:t xml:space="preserve"> L</w:t>
            </w:r>
            <w:r w:rsidR="00D90072" w:rsidRPr="00D63217">
              <w:t>td</w:t>
            </w:r>
          </w:p>
        </w:tc>
      </w:tr>
      <w:tr w:rsidR="00432AA0" w:rsidRPr="00D63217" w14:paraId="689051BB" w14:textId="77777777" w:rsidTr="00BF4B43">
        <w:trPr>
          <w:trHeight w:val="300"/>
        </w:trPr>
        <w:tc>
          <w:tcPr>
            <w:tcW w:w="1028" w:type="pct"/>
            <w:noWrap/>
          </w:tcPr>
          <w:p w14:paraId="69DEC69A" w14:textId="77777777" w:rsidR="00432AA0" w:rsidRPr="00D63217" w:rsidRDefault="00432AA0" w:rsidP="00DA0763">
            <w:pPr>
              <w:pStyle w:val="TableText"/>
            </w:pPr>
            <w:r w:rsidRPr="00D63217">
              <w:t xml:space="preserve">56809 </w:t>
            </w:r>
          </w:p>
        </w:tc>
        <w:tc>
          <w:tcPr>
            <w:tcW w:w="1361" w:type="pct"/>
            <w:noWrap/>
          </w:tcPr>
          <w:p w14:paraId="2275F51D" w14:textId="77777777" w:rsidR="00432AA0" w:rsidRPr="00D63217" w:rsidRDefault="00432AA0" w:rsidP="00DA0763">
            <w:pPr>
              <w:pStyle w:val="TableText"/>
            </w:pPr>
            <w:r w:rsidRPr="00D63217">
              <w:t>Manufacturing concentrate</w:t>
            </w:r>
          </w:p>
        </w:tc>
        <w:tc>
          <w:tcPr>
            <w:tcW w:w="2611" w:type="pct"/>
            <w:noWrap/>
          </w:tcPr>
          <w:p w14:paraId="224913FB" w14:textId="1E8B73ED" w:rsidR="00432AA0" w:rsidRPr="00D63217" w:rsidRDefault="00432AA0" w:rsidP="00DA0763">
            <w:pPr>
              <w:pStyle w:val="TableText"/>
            </w:pPr>
            <w:r w:rsidRPr="00D63217">
              <w:t>C</w:t>
            </w:r>
            <w:r w:rsidR="00D90072" w:rsidRPr="00D63217">
              <w:t>onquest</w:t>
            </w:r>
            <w:r w:rsidRPr="00D63217">
              <w:t xml:space="preserve"> C</w:t>
            </w:r>
            <w:r w:rsidR="00D90072" w:rsidRPr="00D63217">
              <w:t>rop</w:t>
            </w:r>
            <w:r w:rsidRPr="00D63217">
              <w:t xml:space="preserve"> P</w:t>
            </w:r>
            <w:r w:rsidR="00D90072" w:rsidRPr="00D63217">
              <w:t>rotection</w:t>
            </w:r>
            <w:r w:rsidRPr="00D63217">
              <w:t xml:space="preserve"> P</w:t>
            </w:r>
            <w:r w:rsidR="00D90072" w:rsidRPr="00D63217">
              <w:t>ty</w:t>
            </w:r>
            <w:r w:rsidRPr="00D63217">
              <w:t xml:space="preserve"> L</w:t>
            </w:r>
            <w:r w:rsidR="00D90072" w:rsidRPr="00D63217">
              <w:t>td</w:t>
            </w:r>
          </w:p>
        </w:tc>
      </w:tr>
      <w:tr w:rsidR="00432AA0" w:rsidRPr="00D63217" w14:paraId="28BB8315" w14:textId="77777777" w:rsidTr="00BF4B43">
        <w:trPr>
          <w:trHeight w:val="300"/>
        </w:trPr>
        <w:tc>
          <w:tcPr>
            <w:tcW w:w="1028" w:type="pct"/>
            <w:noWrap/>
          </w:tcPr>
          <w:p w14:paraId="039C7311" w14:textId="77777777" w:rsidR="00432AA0" w:rsidRPr="00D63217" w:rsidRDefault="00432AA0" w:rsidP="00DA0763">
            <w:pPr>
              <w:pStyle w:val="TableText"/>
            </w:pPr>
            <w:r w:rsidRPr="00D63217">
              <w:t xml:space="preserve">58230 </w:t>
            </w:r>
          </w:p>
        </w:tc>
        <w:tc>
          <w:tcPr>
            <w:tcW w:w="1361" w:type="pct"/>
            <w:noWrap/>
          </w:tcPr>
          <w:p w14:paraId="23F6F785" w14:textId="77777777" w:rsidR="00432AA0" w:rsidRPr="00D63217" w:rsidRDefault="00432AA0" w:rsidP="00DA0763">
            <w:pPr>
              <w:pStyle w:val="TableText"/>
            </w:pPr>
            <w:r w:rsidRPr="00D63217">
              <w:t>Manufacturing concentrate</w:t>
            </w:r>
          </w:p>
        </w:tc>
        <w:tc>
          <w:tcPr>
            <w:tcW w:w="2611" w:type="pct"/>
            <w:noWrap/>
          </w:tcPr>
          <w:p w14:paraId="54826076" w14:textId="52B9CE27" w:rsidR="00432AA0" w:rsidRPr="00D63217" w:rsidRDefault="00432AA0" w:rsidP="00DA0763">
            <w:pPr>
              <w:pStyle w:val="TableText"/>
            </w:pPr>
            <w:r w:rsidRPr="00D63217">
              <w:t>S</w:t>
            </w:r>
            <w:r w:rsidR="00D90072" w:rsidRPr="00D63217">
              <w:t>inon</w:t>
            </w:r>
            <w:r w:rsidRPr="00D63217">
              <w:t xml:space="preserve"> A</w:t>
            </w:r>
            <w:r w:rsidR="00D90072" w:rsidRPr="00D63217">
              <w:t>ustralia</w:t>
            </w:r>
            <w:r w:rsidRPr="00D63217">
              <w:t xml:space="preserve"> P</w:t>
            </w:r>
            <w:r w:rsidR="00D90072" w:rsidRPr="00D63217">
              <w:t>ty</w:t>
            </w:r>
            <w:r w:rsidRPr="00D63217">
              <w:t xml:space="preserve"> </w:t>
            </w:r>
            <w:r w:rsidR="00D90072" w:rsidRPr="00D63217">
              <w:t>Ltd</w:t>
            </w:r>
          </w:p>
        </w:tc>
      </w:tr>
      <w:tr w:rsidR="00432AA0" w:rsidRPr="00D63217" w14:paraId="4EBDBF5A" w14:textId="77777777" w:rsidTr="00BF4B43">
        <w:trPr>
          <w:trHeight w:val="300"/>
        </w:trPr>
        <w:tc>
          <w:tcPr>
            <w:tcW w:w="1028" w:type="pct"/>
            <w:noWrap/>
          </w:tcPr>
          <w:p w14:paraId="3CA08BE7" w14:textId="77777777" w:rsidR="00432AA0" w:rsidRPr="00D63217" w:rsidRDefault="00432AA0" w:rsidP="00DA0763">
            <w:pPr>
              <w:pStyle w:val="TableText"/>
            </w:pPr>
            <w:r w:rsidRPr="00D63217">
              <w:t xml:space="preserve">59171 </w:t>
            </w:r>
          </w:p>
        </w:tc>
        <w:tc>
          <w:tcPr>
            <w:tcW w:w="1361" w:type="pct"/>
            <w:noWrap/>
          </w:tcPr>
          <w:p w14:paraId="7623FD7F" w14:textId="77777777" w:rsidR="00432AA0" w:rsidRPr="00D63217" w:rsidRDefault="00432AA0" w:rsidP="00DA0763">
            <w:pPr>
              <w:pStyle w:val="TableText"/>
            </w:pPr>
            <w:r w:rsidRPr="00D63217">
              <w:t>Manufacturing concentrate</w:t>
            </w:r>
          </w:p>
        </w:tc>
        <w:tc>
          <w:tcPr>
            <w:tcW w:w="2611" w:type="pct"/>
            <w:noWrap/>
          </w:tcPr>
          <w:p w14:paraId="5DC0F682" w14:textId="1DEF7A7E" w:rsidR="00432AA0" w:rsidRPr="00D63217" w:rsidRDefault="00432AA0" w:rsidP="00DA0763">
            <w:pPr>
              <w:pStyle w:val="TableText"/>
            </w:pPr>
            <w:r w:rsidRPr="00D63217">
              <w:t>A</w:t>
            </w:r>
            <w:r w:rsidR="00D90072" w:rsidRPr="00D63217">
              <w:t>grogill</w:t>
            </w:r>
            <w:r w:rsidRPr="00D63217">
              <w:t xml:space="preserve"> C</w:t>
            </w:r>
            <w:r w:rsidR="00D90072" w:rsidRPr="00D63217">
              <w:t>hemicals</w:t>
            </w:r>
            <w:r w:rsidRPr="00D63217">
              <w:t xml:space="preserve"> P</w:t>
            </w:r>
            <w:r w:rsidR="00D90072" w:rsidRPr="00D63217">
              <w:t>ty</w:t>
            </w:r>
            <w:r w:rsidRPr="00D63217">
              <w:t xml:space="preserve"> L</w:t>
            </w:r>
            <w:r w:rsidR="00D90072" w:rsidRPr="00D63217">
              <w:t>td</w:t>
            </w:r>
          </w:p>
        </w:tc>
      </w:tr>
      <w:tr w:rsidR="00432AA0" w:rsidRPr="00D63217" w14:paraId="7DE94F17" w14:textId="77777777" w:rsidTr="00BF4B43">
        <w:trPr>
          <w:trHeight w:val="300"/>
        </w:trPr>
        <w:tc>
          <w:tcPr>
            <w:tcW w:w="1028" w:type="pct"/>
            <w:noWrap/>
          </w:tcPr>
          <w:p w14:paraId="6062CFA3" w14:textId="77777777" w:rsidR="00432AA0" w:rsidRPr="00D63217" w:rsidRDefault="00432AA0" w:rsidP="00DA0763">
            <w:pPr>
              <w:pStyle w:val="TableText"/>
            </w:pPr>
            <w:r w:rsidRPr="00D63217">
              <w:t xml:space="preserve">64565 </w:t>
            </w:r>
          </w:p>
        </w:tc>
        <w:tc>
          <w:tcPr>
            <w:tcW w:w="1361" w:type="pct"/>
            <w:noWrap/>
          </w:tcPr>
          <w:p w14:paraId="49C4884A" w14:textId="77777777" w:rsidR="00432AA0" w:rsidRPr="00D63217" w:rsidRDefault="00432AA0" w:rsidP="00DA0763">
            <w:pPr>
              <w:pStyle w:val="TableText"/>
            </w:pPr>
            <w:r w:rsidRPr="00D63217">
              <w:t>Manufacturing concentrate</w:t>
            </w:r>
          </w:p>
        </w:tc>
        <w:tc>
          <w:tcPr>
            <w:tcW w:w="2611" w:type="pct"/>
            <w:noWrap/>
          </w:tcPr>
          <w:p w14:paraId="13AD6430" w14:textId="3F7760AF" w:rsidR="00432AA0" w:rsidRPr="00D63217" w:rsidRDefault="00432AA0" w:rsidP="00DA0763">
            <w:pPr>
              <w:pStyle w:val="TableText"/>
            </w:pPr>
            <w:r w:rsidRPr="00D63217">
              <w:t>FMC A</w:t>
            </w:r>
            <w:r w:rsidR="00D90072" w:rsidRPr="00D63217">
              <w:t>ustralasia</w:t>
            </w:r>
            <w:r w:rsidRPr="00D63217">
              <w:t xml:space="preserve"> P</w:t>
            </w:r>
            <w:r w:rsidR="00D90072" w:rsidRPr="00D63217">
              <w:t xml:space="preserve">ty </w:t>
            </w:r>
            <w:r w:rsidRPr="00D63217">
              <w:t>L</w:t>
            </w:r>
            <w:r w:rsidR="00D90072" w:rsidRPr="00D63217">
              <w:t>td</w:t>
            </w:r>
          </w:p>
        </w:tc>
      </w:tr>
      <w:tr w:rsidR="00432AA0" w:rsidRPr="00D63217" w14:paraId="4A6AA4B0" w14:textId="77777777" w:rsidTr="00BF4B43">
        <w:trPr>
          <w:trHeight w:val="300"/>
        </w:trPr>
        <w:tc>
          <w:tcPr>
            <w:tcW w:w="1028" w:type="pct"/>
            <w:noWrap/>
          </w:tcPr>
          <w:p w14:paraId="7A8C1465" w14:textId="77777777" w:rsidR="00432AA0" w:rsidRPr="00D63217" w:rsidRDefault="00432AA0" w:rsidP="00DA0763">
            <w:pPr>
              <w:pStyle w:val="TableText"/>
            </w:pPr>
            <w:r w:rsidRPr="00D63217">
              <w:t xml:space="preserve">64765 </w:t>
            </w:r>
          </w:p>
        </w:tc>
        <w:tc>
          <w:tcPr>
            <w:tcW w:w="1361" w:type="pct"/>
            <w:noWrap/>
          </w:tcPr>
          <w:p w14:paraId="6AF76E62" w14:textId="77777777" w:rsidR="00432AA0" w:rsidRPr="00D63217" w:rsidRDefault="00432AA0" w:rsidP="00DA0763">
            <w:pPr>
              <w:pStyle w:val="TableText"/>
            </w:pPr>
            <w:r w:rsidRPr="00D63217">
              <w:t>Manufacturing concentrate</w:t>
            </w:r>
          </w:p>
        </w:tc>
        <w:tc>
          <w:tcPr>
            <w:tcW w:w="2611" w:type="pct"/>
            <w:noWrap/>
          </w:tcPr>
          <w:p w14:paraId="3152A402" w14:textId="4CF2AF5D" w:rsidR="00432AA0" w:rsidRPr="00D63217" w:rsidRDefault="00432AA0" w:rsidP="00DA0763">
            <w:pPr>
              <w:pStyle w:val="TableText"/>
            </w:pPr>
            <w:r w:rsidRPr="00D63217">
              <w:t>S</w:t>
            </w:r>
            <w:r w:rsidR="00D90072" w:rsidRPr="00D63217">
              <w:t>harda</w:t>
            </w:r>
            <w:r w:rsidRPr="00D63217">
              <w:t xml:space="preserve"> W</w:t>
            </w:r>
            <w:r w:rsidR="00D90072" w:rsidRPr="00D63217">
              <w:t>orldwide</w:t>
            </w:r>
            <w:r w:rsidRPr="00D63217">
              <w:t xml:space="preserve"> E</w:t>
            </w:r>
            <w:r w:rsidR="00D90072" w:rsidRPr="00D63217">
              <w:t>xports</w:t>
            </w:r>
            <w:r w:rsidRPr="00D63217">
              <w:t xml:space="preserve"> P</w:t>
            </w:r>
            <w:r w:rsidR="00D90072" w:rsidRPr="00D63217">
              <w:t>vt</w:t>
            </w:r>
            <w:r w:rsidRPr="00D63217">
              <w:t xml:space="preserve"> L</w:t>
            </w:r>
            <w:r w:rsidR="00D90072" w:rsidRPr="00D63217">
              <w:t>td</w:t>
            </w:r>
          </w:p>
        </w:tc>
      </w:tr>
      <w:tr w:rsidR="00432AA0" w:rsidRPr="00D63217" w14:paraId="75B42E33" w14:textId="77777777" w:rsidTr="00BF4B43">
        <w:trPr>
          <w:trHeight w:val="300"/>
        </w:trPr>
        <w:tc>
          <w:tcPr>
            <w:tcW w:w="1028" w:type="pct"/>
            <w:noWrap/>
          </w:tcPr>
          <w:p w14:paraId="783CC41C" w14:textId="77777777" w:rsidR="00432AA0" w:rsidRPr="00D63217" w:rsidRDefault="00432AA0" w:rsidP="00DA0763">
            <w:pPr>
              <w:pStyle w:val="TableText"/>
            </w:pPr>
            <w:r w:rsidRPr="00D63217">
              <w:t xml:space="preserve">69493 </w:t>
            </w:r>
          </w:p>
        </w:tc>
        <w:tc>
          <w:tcPr>
            <w:tcW w:w="1361" w:type="pct"/>
            <w:noWrap/>
          </w:tcPr>
          <w:p w14:paraId="4E3C4DA6" w14:textId="77777777" w:rsidR="00432AA0" w:rsidRPr="00D63217" w:rsidRDefault="00432AA0" w:rsidP="00DA0763">
            <w:pPr>
              <w:pStyle w:val="TableText"/>
            </w:pPr>
            <w:r w:rsidRPr="00D63217">
              <w:t>Manufacturing concentrate</w:t>
            </w:r>
          </w:p>
        </w:tc>
        <w:tc>
          <w:tcPr>
            <w:tcW w:w="2611" w:type="pct"/>
            <w:noWrap/>
          </w:tcPr>
          <w:p w14:paraId="7A7BAD4C" w14:textId="2FD8D61D" w:rsidR="00432AA0" w:rsidRPr="00D63217" w:rsidRDefault="00432AA0" w:rsidP="00DA0763">
            <w:pPr>
              <w:pStyle w:val="TableText"/>
            </w:pPr>
            <w:r w:rsidRPr="00D63217">
              <w:t>G</w:t>
            </w:r>
            <w:r w:rsidR="00D90072" w:rsidRPr="00D63217">
              <w:t>row</w:t>
            </w:r>
            <w:r w:rsidRPr="00D63217">
              <w:t xml:space="preserve"> C</w:t>
            </w:r>
            <w:r w:rsidR="00D90072" w:rsidRPr="00D63217">
              <w:t>hoice</w:t>
            </w:r>
            <w:r w:rsidRPr="00D63217">
              <w:t xml:space="preserve"> P</w:t>
            </w:r>
            <w:r w:rsidR="00D90072" w:rsidRPr="00D63217">
              <w:t>ty</w:t>
            </w:r>
            <w:r w:rsidRPr="00D63217">
              <w:t xml:space="preserve"> </w:t>
            </w:r>
            <w:r w:rsidR="00D90072" w:rsidRPr="00D63217">
              <w:t>Ltd</w:t>
            </w:r>
          </w:p>
        </w:tc>
      </w:tr>
      <w:tr w:rsidR="00432AA0" w:rsidRPr="00D63217" w14:paraId="20B40173" w14:textId="77777777" w:rsidTr="00BF4B43">
        <w:trPr>
          <w:trHeight w:val="300"/>
        </w:trPr>
        <w:tc>
          <w:tcPr>
            <w:tcW w:w="1028" w:type="pct"/>
            <w:noWrap/>
          </w:tcPr>
          <w:p w14:paraId="1C5D4275" w14:textId="77777777" w:rsidR="00432AA0" w:rsidRPr="00D63217" w:rsidRDefault="00432AA0" w:rsidP="00DA0763">
            <w:pPr>
              <w:pStyle w:val="TableText"/>
            </w:pPr>
            <w:r w:rsidRPr="00D63217">
              <w:t xml:space="preserve">87171 </w:t>
            </w:r>
          </w:p>
        </w:tc>
        <w:tc>
          <w:tcPr>
            <w:tcW w:w="1361" w:type="pct"/>
            <w:noWrap/>
          </w:tcPr>
          <w:p w14:paraId="40CB3395" w14:textId="77777777" w:rsidR="00432AA0" w:rsidRPr="00D63217" w:rsidRDefault="00432AA0" w:rsidP="00DA0763">
            <w:pPr>
              <w:pStyle w:val="TableText"/>
            </w:pPr>
            <w:r w:rsidRPr="00D63217">
              <w:t>Manufacturing concentrate</w:t>
            </w:r>
          </w:p>
        </w:tc>
        <w:tc>
          <w:tcPr>
            <w:tcW w:w="2611" w:type="pct"/>
            <w:noWrap/>
          </w:tcPr>
          <w:p w14:paraId="4E86B3FE" w14:textId="0D828F0E" w:rsidR="00432AA0" w:rsidRPr="00D63217" w:rsidRDefault="00432AA0" w:rsidP="00DA0763">
            <w:pPr>
              <w:pStyle w:val="TableText"/>
            </w:pPr>
            <w:r w:rsidRPr="00D63217">
              <w:t>A</w:t>
            </w:r>
            <w:r w:rsidR="00D90072" w:rsidRPr="00D63217">
              <w:t>grogill</w:t>
            </w:r>
            <w:r w:rsidRPr="00D63217">
              <w:t xml:space="preserve"> C</w:t>
            </w:r>
            <w:r w:rsidR="00D90072" w:rsidRPr="00D63217">
              <w:t>hemicals</w:t>
            </w:r>
            <w:r w:rsidRPr="00D63217">
              <w:t xml:space="preserve"> P</w:t>
            </w:r>
            <w:r w:rsidR="00D90072" w:rsidRPr="00D63217">
              <w:t>ty</w:t>
            </w:r>
            <w:r w:rsidRPr="00D63217">
              <w:t xml:space="preserve"> L</w:t>
            </w:r>
            <w:r w:rsidR="00D90072" w:rsidRPr="00D63217">
              <w:t>td</w:t>
            </w:r>
          </w:p>
        </w:tc>
      </w:tr>
      <w:tr w:rsidR="00432AA0" w:rsidRPr="00D63217" w14:paraId="485638D1" w14:textId="77777777" w:rsidTr="00BF4B43">
        <w:trPr>
          <w:trHeight w:val="300"/>
        </w:trPr>
        <w:tc>
          <w:tcPr>
            <w:tcW w:w="1028" w:type="pct"/>
            <w:noWrap/>
          </w:tcPr>
          <w:p w14:paraId="34A85B04" w14:textId="77777777" w:rsidR="00432AA0" w:rsidRPr="00D63217" w:rsidRDefault="00432AA0" w:rsidP="00DA0763">
            <w:pPr>
              <w:pStyle w:val="TableText"/>
            </w:pPr>
            <w:r w:rsidRPr="00D63217">
              <w:t xml:space="preserve">89426 </w:t>
            </w:r>
          </w:p>
        </w:tc>
        <w:tc>
          <w:tcPr>
            <w:tcW w:w="1361" w:type="pct"/>
            <w:noWrap/>
          </w:tcPr>
          <w:p w14:paraId="39B871CF" w14:textId="77777777" w:rsidR="00432AA0" w:rsidRPr="00D63217" w:rsidRDefault="00432AA0" w:rsidP="00DA0763">
            <w:pPr>
              <w:pStyle w:val="TableText"/>
            </w:pPr>
            <w:r w:rsidRPr="00D63217">
              <w:t>Manufacturing concentrate</w:t>
            </w:r>
          </w:p>
        </w:tc>
        <w:tc>
          <w:tcPr>
            <w:tcW w:w="2611" w:type="pct"/>
            <w:noWrap/>
          </w:tcPr>
          <w:p w14:paraId="73F2E55E" w14:textId="6C3731C2" w:rsidR="00432AA0" w:rsidRPr="00D63217" w:rsidRDefault="00432AA0" w:rsidP="00DA0763">
            <w:pPr>
              <w:pStyle w:val="TableText"/>
            </w:pPr>
            <w:r w:rsidRPr="00D63217">
              <w:t>H</w:t>
            </w:r>
            <w:r w:rsidR="00D90072" w:rsidRPr="00D63217">
              <w:t>ebei</w:t>
            </w:r>
            <w:r w:rsidRPr="00D63217">
              <w:t xml:space="preserve"> S</w:t>
            </w:r>
            <w:r w:rsidR="00D90072" w:rsidRPr="00D63217">
              <w:t>hanli</w:t>
            </w:r>
            <w:r w:rsidRPr="00D63217">
              <w:t xml:space="preserve"> C</w:t>
            </w:r>
            <w:r w:rsidR="00D90072" w:rsidRPr="00D63217">
              <w:t>hemical</w:t>
            </w:r>
            <w:r w:rsidRPr="00D63217">
              <w:t xml:space="preserve"> C</w:t>
            </w:r>
            <w:r w:rsidR="00D90072" w:rsidRPr="00D63217">
              <w:t xml:space="preserve">ompany </w:t>
            </w:r>
            <w:r w:rsidRPr="00D63217">
              <w:t>L</w:t>
            </w:r>
            <w:r w:rsidR="00D90072" w:rsidRPr="00D63217">
              <w:t>imited</w:t>
            </w:r>
          </w:p>
        </w:tc>
      </w:tr>
      <w:tr w:rsidR="00432AA0" w:rsidRPr="00D63217" w14:paraId="6B22DFCA" w14:textId="77777777" w:rsidTr="00BF4B43">
        <w:trPr>
          <w:trHeight w:val="300"/>
        </w:trPr>
        <w:tc>
          <w:tcPr>
            <w:tcW w:w="1028" w:type="pct"/>
            <w:noWrap/>
          </w:tcPr>
          <w:p w14:paraId="2ECE7288" w14:textId="77777777" w:rsidR="00432AA0" w:rsidRPr="00D63217" w:rsidRDefault="00432AA0" w:rsidP="00DA0763">
            <w:pPr>
              <w:pStyle w:val="TableText"/>
            </w:pPr>
            <w:r w:rsidRPr="00D63217">
              <w:t xml:space="preserve">91420 </w:t>
            </w:r>
          </w:p>
        </w:tc>
        <w:tc>
          <w:tcPr>
            <w:tcW w:w="1361" w:type="pct"/>
            <w:noWrap/>
          </w:tcPr>
          <w:p w14:paraId="410CA59F" w14:textId="77777777" w:rsidR="00432AA0" w:rsidRPr="00D63217" w:rsidRDefault="00432AA0" w:rsidP="00DA0763">
            <w:pPr>
              <w:pStyle w:val="TableText"/>
            </w:pPr>
            <w:r w:rsidRPr="00D63217">
              <w:t>Technical concentrate</w:t>
            </w:r>
          </w:p>
        </w:tc>
        <w:tc>
          <w:tcPr>
            <w:tcW w:w="2611" w:type="pct"/>
            <w:noWrap/>
          </w:tcPr>
          <w:p w14:paraId="1D3A92EA" w14:textId="153E4E8A" w:rsidR="00432AA0" w:rsidRPr="00D63217" w:rsidRDefault="00432AA0" w:rsidP="00DA0763">
            <w:pPr>
              <w:pStyle w:val="TableText"/>
            </w:pPr>
            <w:r w:rsidRPr="00D63217">
              <w:t>J</w:t>
            </w:r>
            <w:r w:rsidR="00D90072" w:rsidRPr="00D63217">
              <w:t>iangsu</w:t>
            </w:r>
            <w:r w:rsidRPr="00D63217">
              <w:t xml:space="preserve"> N</w:t>
            </w:r>
            <w:r w:rsidR="00D90072" w:rsidRPr="00D63217">
              <w:t>oon</w:t>
            </w:r>
            <w:r w:rsidRPr="00D63217">
              <w:t xml:space="preserve"> C</w:t>
            </w:r>
            <w:r w:rsidR="00D90072" w:rsidRPr="00D63217">
              <w:t xml:space="preserve">rop </w:t>
            </w:r>
            <w:r w:rsidRPr="00D63217">
              <w:t>S</w:t>
            </w:r>
            <w:r w:rsidR="00D90072" w:rsidRPr="00D63217">
              <w:t>cience</w:t>
            </w:r>
            <w:r w:rsidRPr="00D63217">
              <w:t xml:space="preserve"> CO., LTD</w:t>
            </w:r>
          </w:p>
        </w:tc>
      </w:tr>
    </w:tbl>
    <w:p w14:paraId="41B104F8" w14:textId="77777777" w:rsidR="006C3D20" w:rsidRPr="002F269C" w:rsidRDefault="006C3D20" w:rsidP="002F269C">
      <w:pPr>
        <w:pStyle w:val="Heading2"/>
      </w:pPr>
      <w:bookmarkStart w:id="60" w:name="_Toc231480824"/>
      <w:bookmarkStart w:id="61" w:name="_Toc233036376"/>
      <w:bookmarkEnd w:id="59"/>
      <w:r w:rsidRPr="002F269C">
        <w:t>Formulated products</w:t>
      </w:r>
      <w:bookmarkEnd w:id="60"/>
      <w:bookmarkEnd w:id="61"/>
    </w:p>
    <w:p w14:paraId="212F598C" w14:textId="77777777" w:rsidR="002F269C" w:rsidRDefault="006C3D20" w:rsidP="006C3D20">
      <w:pPr>
        <w:pStyle w:val="NormalText"/>
      </w:pPr>
      <w:r w:rsidRPr="00D63217">
        <w:t xml:space="preserve">There are currently </w:t>
      </w:r>
      <w:r w:rsidR="003A47FC" w:rsidRPr="00D63217">
        <w:t>1</w:t>
      </w:r>
      <w:r w:rsidR="003A47FC">
        <w:t>19</w:t>
      </w:r>
      <w:r w:rsidR="003A47FC" w:rsidRPr="00D63217">
        <w:t xml:space="preserve"> </w:t>
      </w:r>
      <w:r w:rsidRPr="00D63217">
        <w:t>registered agricultural chemical products containing paraquat as an active constituent</w:t>
      </w:r>
      <w:r w:rsidR="003A47FC">
        <w:t xml:space="preserve">. The 8 products registered since </w:t>
      </w:r>
      <w:r w:rsidR="006B255B">
        <w:t xml:space="preserve">preparation </w:t>
      </w:r>
      <w:r w:rsidR="003A47FC">
        <w:t xml:space="preserve">of the APVMA’s proposed regulatory decisions </w:t>
      </w:r>
      <w:r w:rsidR="002C08A7">
        <w:t xml:space="preserve">which were published </w:t>
      </w:r>
      <w:r w:rsidR="003A47FC">
        <w:t>on 30 July 2024 will not be dealt with in this document but will be addressed outside the reconsideration process</w:t>
      </w:r>
      <w:r w:rsidRPr="00D63217">
        <w:t>.</w:t>
      </w:r>
    </w:p>
    <w:p w14:paraId="3F18820C" w14:textId="15F989FD" w:rsidR="006C3D20" w:rsidRPr="00D63217" w:rsidRDefault="006C3D20" w:rsidP="006C3D20">
      <w:pPr>
        <w:pStyle w:val="NormalText"/>
      </w:pPr>
      <w:r w:rsidRPr="00D63217">
        <w:lastRenderedPageBreak/>
        <w:t xml:space="preserve">Of these, </w:t>
      </w:r>
      <w:r w:rsidR="006B255B" w:rsidRPr="00D63217">
        <w:t>3</w:t>
      </w:r>
      <w:r w:rsidR="006B255B">
        <w:t>7</w:t>
      </w:r>
      <w:r w:rsidR="006B255B" w:rsidRPr="00D63217">
        <w:t xml:space="preserve"> </w:t>
      </w:r>
      <w:r w:rsidRPr="00D63217">
        <w:t>also contain diquat as a secondary active constituent</w:t>
      </w:r>
      <w:r w:rsidR="006B255B">
        <w:t xml:space="preserve"> (with 2 registered after </w:t>
      </w:r>
      <w:r w:rsidR="002C08A7">
        <w:t>preparation of the proposed decisions)</w:t>
      </w:r>
      <w:r w:rsidRPr="00D63217">
        <w:t xml:space="preserve"> </w:t>
      </w:r>
      <w:r w:rsidR="005336D6" w:rsidRPr="00D63217">
        <w:t xml:space="preserve">while </w:t>
      </w:r>
      <w:r w:rsidR="00685E25" w:rsidRPr="00D63217">
        <w:t>2</w:t>
      </w:r>
      <w:r w:rsidRPr="00D63217">
        <w:t xml:space="preserve"> contain amitrole in addition to paraquat. The products are listed in Table 4, grouped by product format (formulation type, paraquat content, and other actives). Due to the need for consideration of paraquat and diquat together in products containing both actives, these products have been designated as group 2 in </w:t>
      </w:r>
      <w:r w:rsidR="00B76531" w:rsidRPr="00D63217">
        <w:t>this reconsideration (paraquat) and in the concurrent diquat reconsideration.</w:t>
      </w:r>
    </w:p>
    <w:p w14:paraId="414CD8E1" w14:textId="1E1E4ED6" w:rsidR="008542FD" w:rsidRPr="002F269C" w:rsidRDefault="008542FD" w:rsidP="002F269C">
      <w:pPr>
        <w:pStyle w:val="Caption"/>
      </w:pPr>
      <w:bookmarkStart w:id="62" w:name="_Ref162264308"/>
      <w:bookmarkStart w:id="63" w:name="_Toc230692271"/>
      <w:bookmarkStart w:id="64" w:name="_Toc233036492"/>
      <w:r w:rsidRPr="002F269C">
        <w:t xml:space="preserve">Table </w:t>
      </w:r>
      <w:fldSimple w:instr=" SEQ Table \* ARABIC ">
        <w:r w:rsidR="002F269C">
          <w:rPr>
            <w:noProof/>
          </w:rPr>
          <w:t>5</w:t>
        </w:r>
      </w:fldSimple>
      <w:bookmarkEnd w:id="62"/>
      <w:r w:rsidRPr="002F269C">
        <w:t xml:space="preserve">: </w:t>
      </w:r>
      <w:bookmarkStart w:id="65" w:name="_Toc47879477"/>
      <w:r w:rsidRPr="002F269C">
        <w:t>Currently registered agricultural products containing</w:t>
      </w:r>
      <w:bookmarkEnd w:id="65"/>
      <w:r w:rsidRPr="002F269C">
        <w:t xml:space="preserve"> paraquat</w:t>
      </w:r>
      <w:bookmarkEnd w:id="63"/>
      <w:bookmarkEnd w:id="64"/>
    </w:p>
    <w:tbl>
      <w:tblPr>
        <w:tblStyle w:val="TableGrid"/>
        <w:tblW w:w="0" w:type="auto"/>
        <w:tblLook w:val="04A0" w:firstRow="1" w:lastRow="0" w:firstColumn="1" w:lastColumn="0" w:noHBand="0" w:noVBand="1"/>
      </w:tblPr>
      <w:tblGrid>
        <w:gridCol w:w="1925"/>
        <w:gridCol w:w="1925"/>
        <w:gridCol w:w="1926"/>
        <w:gridCol w:w="1926"/>
        <w:gridCol w:w="1926"/>
      </w:tblGrid>
      <w:tr w:rsidR="008542FD" w:rsidRPr="00D63217" w14:paraId="453C91C2" w14:textId="77777777" w:rsidTr="0057207A">
        <w:trPr>
          <w:tblHeader/>
        </w:trPr>
        <w:tc>
          <w:tcPr>
            <w:tcW w:w="1925" w:type="dxa"/>
            <w:shd w:val="clear" w:color="auto" w:fill="5C2946"/>
          </w:tcPr>
          <w:p w14:paraId="50205199" w14:textId="36CDBF32" w:rsidR="008542FD" w:rsidRPr="002F269C" w:rsidRDefault="008542FD" w:rsidP="002F269C">
            <w:pPr>
              <w:pStyle w:val="TableHead"/>
            </w:pPr>
            <w:r w:rsidRPr="002F269C">
              <w:t>Registration number</w:t>
            </w:r>
          </w:p>
        </w:tc>
        <w:tc>
          <w:tcPr>
            <w:tcW w:w="1925" w:type="dxa"/>
            <w:shd w:val="clear" w:color="auto" w:fill="5C2946"/>
          </w:tcPr>
          <w:p w14:paraId="02E73CAB" w14:textId="0E2CA1C1" w:rsidR="008542FD" w:rsidRPr="002F269C" w:rsidRDefault="008542FD" w:rsidP="002F269C">
            <w:pPr>
              <w:pStyle w:val="TableHead"/>
            </w:pPr>
            <w:r w:rsidRPr="002F269C">
              <w:t>Product name</w:t>
            </w:r>
          </w:p>
        </w:tc>
        <w:tc>
          <w:tcPr>
            <w:tcW w:w="1926" w:type="dxa"/>
            <w:shd w:val="clear" w:color="auto" w:fill="5C2946"/>
          </w:tcPr>
          <w:p w14:paraId="7C0F16AD" w14:textId="6146329E" w:rsidR="008542FD" w:rsidRPr="002F269C" w:rsidRDefault="008542FD" w:rsidP="002F269C">
            <w:pPr>
              <w:pStyle w:val="TableHead"/>
            </w:pPr>
            <w:r w:rsidRPr="002F269C">
              <w:t>Holder</w:t>
            </w:r>
          </w:p>
        </w:tc>
        <w:tc>
          <w:tcPr>
            <w:tcW w:w="1926" w:type="dxa"/>
            <w:shd w:val="clear" w:color="auto" w:fill="5C2946"/>
          </w:tcPr>
          <w:p w14:paraId="69E5F1A5" w14:textId="1257D01D" w:rsidR="008542FD" w:rsidRPr="002F269C" w:rsidRDefault="008542FD" w:rsidP="002F269C">
            <w:pPr>
              <w:pStyle w:val="TableHead"/>
            </w:pPr>
            <w:r w:rsidRPr="002F269C">
              <w:t xml:space="preserve">Active </w:t>
            </w:r>
            <w:r w:rsidR="00D90072" w:rsidRPr="002F269C">
              <w:t>c</w:t>
            </w:r>
            <w:r w:rsidRPr="002F269C">
              <w:t>onstituents</w:t>
            </w:r>
          </w:p>
        </w:tc>
        <w:tc>
          <w:tcPr>
            <w:tcW w:w="1926" w:type="dxa"/>
            <w:shd w:val="clear" w:color="auto" w:fill="5C2946"/>
          </w:tcPr>
          <w:p w14:paraId="35742F05" w14:textId="4DD7A30E" w:rsidR="008542FD" w:rsidRPr="002F269C" w:rsidRDefault="008542FD" w:rsidP="002F269C">
            <w:pPr>
              <w:pStyle w:val="TableHead"/>
            </w:pPr>
            <w:r w:rsidRPr="002F269C">
              <w:t xml:space="preserve">Product </w:t>
            </w:r>
            <w:r w:rsidR="00D90072" w:rsidRPr="002F269C">
              <w:t>g</w:t>
            </w:r>
            <w:r w:rsidRPr="002F269C">
              <w:t>roup</w:t>
            </w:r>
          </w:p>
        </w:tc>
      </w:tr>
      <w:tr w:rsidR="008542FD" w:rsidRPr="00D63217" w14:paraId="227D5718" w14:textId="77777777" w:rsidTr="00A74157">
        <w:tc>
          <w:tcPr>
            <w:tcW w:w="9628" w:type="dxa"/>
            <w:gridSpan w:val="5"/>
          </w:tcPr>
          <w:p w14:paraId="001E3900" w14:textId="2149EFEC" w:rsidR="008542FD" w:rsidRPr="00D63217" w:rsidRDefault="008542FD" w:rsidP="002F269C">
            <w:pPr>
              <w:pStyle w:val="TableSubHead0"/>
            </w:pPr>
            <w:r w:rsidRPr="00D63217">
              <w:t>Soluble concentrate products containing paraquat as paraquat dichloride</w:t>
            </w:r>
          </w:p>
        </w:tc>
      </w:tr>
      <w:tr w:rsidR="00E76EDA" w:rsidRPr="00D63217" w14:paraId="33098946" w14:textId="77777777" w:rsidTr="00AD2FF8">
        <w:tc>
          <w:tcPr>
            <w:tcW w:w="1925" w:type="dxa"/>
            <w:vAlign w:val="center"/>
          </w:tcPr>
          <w:p w14:paraId="760D2D0B" w14:textId="6FC1810A" w:rsidR="00E76EDA" w:rsidRPr="00D63217" w:rsidRDefault="00E76EDA" w:rsidP="00E76EDA">
            <w:pPr>
              <w:pStyle w:val="TableText"/>
            </w:pPr>
            <w:r w:rsidRPr="00D63217">
              <w:t>46531</w:t>
            </w:r>
          </w:p>
        </w:tc>
        <w:tc>
          <w:tcPr>
            <w:tcW w:w="1925" w:type="dxa"/>
            <w:vAlign w:val="center"/>
          </w:tcPr>
          <w:p w14:paraId="7285F096" w14:textId="6D8053C4" w:rsidR="00E76EDA" w:rsidRPr="00D63217" w:rsidRDefault="00E76EDA" w:rsidP="00E76EDA">
            <w:pPr>
              <w:pStyle w:val="TableText"/>
            </w:pPr>
            <w:r w:rsidRPr="00D63217">
              <w:t>Gramoxone 250 Herbicide</w:t>
            </w:r>
          </w:p>
        </w:tc>
        <w:tc>
          <w:tcPr>
            <w:tcW w:w="1926" w:type="dxa"/>
            <w:vAlign w:val="center"/>
          </w:tcPr>
          <w:p w14:paraId="176B926C" w14:textId="6F1A7F36" w:rsidR="00E76EDA" w:rsidRPr="00D63217" w:rsidRDefault="00E76EDA" w:rsidP="00E76EDA">
            <w:pPr>
              <w:pStyle w:val="TableText"/>
            </w:pPr>
            <w:r w:rsidRPr="00D63217">
              <w:t>Syngenta Australia Pty Ltd</w:t>
            </w:r>
          </w:p>
        </w:tc>
        <w:tc>
          <w:tcPr>
            <w:tcW w:w="1926" w:type="dxa"/>
            <w:vAlign w:val="center"/>
          </w:tcPr>
          <w:p w14:paraId="14DCEA51" w14:textId="5A6DCB4E" w:rsidR="00E76EDA" w:rsidRPr="00D63217" w:rsidRDefault="00E76EDA" w:rsidP="00E76EDA">
            <w:pPr>
              <w:pStyle w:val="TableText"/>
            </w:pPr>
            <w:r w:rsidRPr="00D63217">
              <w:t>Paraquat 250 g/L</w:t>
            </w:r>
          </w:p>
        </w:tc>
        <w:tc>
          <w:tcPr>
            <w:tcW w:w="1926" w:type="dxa"/>
          </w:tcPr>
          <w:p w14:paraId="7A15D7ED" w14:textId="24C3DA81" w:rsidR="00E76EDA" w:rsidRPr="00D63217" w:rsidRDefault="00E76EDA" w:rsidP="00E76EDA">
            <w:pPr>
              <w:pStyle w:val="TableText"/>
            </w:pPr>
            <w:r w:rsidRPr="00D63217">
              <w:t>1a</w:t>
            </w:r>
          </w:p>
        </w:tc>
      </w:tr>
      <w:tr w:rsidR="00E76EDA" w:rsidRPr="00D63217" w14:paraId="4CA2FC47" w14:textId="77777777" w:rsidTr="00AD2FF8">
        <w:tc>
          <w:tcPr>
            <w:tcW w:w="1925" w:type="dxa"/>
            <w:vAlign w:val="center"/>
          </w:tcPr>
          <w:p w14:paraId="48DF13EC" w14:textId="3751D846" w:rsidR="00E76EDA" w:rsidRPr="00D63217" w:rsidRDefault="00E76EDA" w:rsidP="00E76EDA">
            <w:pPr>
              <w:pStyle w:val="TableText"/>
            </w:pPr>
            <w:r w:rsidRPr="00D63217">
              <w:t>51958</w:t>
            </w:r>
          </w:p>
        </w:tc>
        <w:tc>
          <w:tcPr>
            <w:tcW w:w="1925" w:type="dxa"/>
            <w:vAlign w:val="center"/>
          </w:tcPr>
          <w:p w14:paraId="310C23F8" w14:textId="59E2D3D7" w:rsidR="00E76EDA" w:rsidRPr="00D63217" w:rsidRDefault="00E76EDA" w:rsidP="00E76EDA">
            <w:pPr>
              <w:pStyle w:val="TableText"/>
            </w:pPr>
            <w:r w:rsidRPr="00D63217">
              <w:t>Accensi Paraquat 250 Herbicide</w:t>
            </w:r>
          </w:p>
        </w:tc>
        <w:tc>
          <w:tcPr>
            <w:tcW w:w="1926" w:type="dxa"/>
            <w:vAlign w:val="center"/>
          </w:tcPr>
          <w:p w14:paraId="39CCB5C3" w14:textId="6DE5B3D9" w:rsidR="00E76EDA" w:rsidRPr="00D63217" w:rsidRDefault="00E76EDA" w:rsidP="00E76EDA">
            <w:pPr>
              <w:pStyle w:val="TableText"/>
            </w:pPr>
            <w:r w:rsidRPr="00D63217">
              <w:t>Accensi Pty Ltd</w:t>
            </w:r>
          </w:p>
        </w:tc>
        <w:tc>
          <w:tcPr>
            <w:tcW w:w="1926" w:type="dxa"/>
            <w:vAlign w:val="center"/>
          </w:tcPr>
          <w:p w14:paraId="7D65DD6B" w14:textId="24A59440" w:rsidR="00E76EDA" w:rsidRPr="00D63217" w:rsidRDefault="00E76EDA" w:rsidP="00E76EDA">
            <w:pPr>
              <w:pStyle w:val="TableText"/>
            </w:pPr>
            <w:r w:rsidRPr="00D63217">
              <w:t>Paraquat 250 g/L</w:t>
            </w:r>
          </w:p>
        </w:tc>
        <w:tc>
          <w:tcPr>
            <w:tcW w:w="1926" w:type="dxa"/>
          </w:tcPr>
          <w:p w14:paraId="47EC3B12" w14:textId="09460801" w:rsidR="00E76EDA" w:rsidRPr="00D63217" w:rsidRDefault="00E76EDA" w:rsidP="00E76EDA">
            <w:pPr>
              <w:pStyle w:val="TableText"/>
            </w:pPr>
            <w:r w:rsidRPr="00D63217">
              <w:t>1a</w:t>
            </w:r>
          </w:p>
        </w:tc>
      </w:tr>
      <w:tr w:rsidR="00E76EDA" w:rsidRPr="00D63217" w14:paraId="67F22F2C" w14:textId="77777777" w:rsidTr="00AD2FF8">
        <w:tc>
          <w:tcPr>
            <w:tcW w:w="1925" w:type="dxa"/>
            <w:vAlign w:val="center"/>
          </w:tcPr>
          <w:p w14:paraId="45D5DAFE" w14:textId="20317662" w:rsidR="00E76EDA" w:rsidRPr="00D63217" w:rsidRDefault="00E76EDA" w:rsidP="00E76EDA">
            <w:pPr>
              <w:pStyle w:val="TableText"/>
            </w:pPr>
            <w:r w:rsidRPr="00D63217">
              <w:t>52141</w:t>
            </w:r>
          </w:p>
        </w:tc>
        <w:tc>
          <w:tcPr>
            <w:tcW w:w="1925" w:type="dxa"/>
            <w:vAlign w:val="center"/>
          </w:tcPr>
          <w:p w14:paraId="383F2B19" w14:textId="24974C78" w:rsidR="00E76EDA" w:rsidRPr="00D63217" w:rsidRDefault="00E76EDA" w:rsidP="00E76EDA">
            <w:pPr>
              <w:pStyle w:val="TableText"/>
            </w:pPr>
            <w:r w:rsidRPr="00D63217">
              <w:t>Kendon Sprayquat 250 Herbicide</w:t>
            </w:r>
          </w:p>
        </w:tc>
        <w:tc>
          <w:tcPr>
            <w:tcW w:w="1926" w:type="dxa"/>
            <w:vAlign w:val="center"/>
          </w:tcPr>
          <w:p w14:paraId="6A653C57" w14:textId="5B5D5A47" w:rsidR="00E76EDA" w:rsidRPr="00D63217" w:rsidRDefault="00E76EDA" w:rsidP="00E76EDA">
            <w:pPr>
              <w:pStyle w:val="TableText"/>
            </w:pPr>
            <w:r w:rsidRPr="00D63217">
              <w:t>Kendon Chemicals &amp; Mnfg Co Pty Ltd</w:t>
            </w:r>
          </w:p>
        </w:tc>
        <w:tc>
          <w:tcPr>
            <w:tcW w:w="1926" w:type="dxa"/>
            <w:vAlign w:val="center"/>
          </w:tcPr>
          <w:p w14:paraId="48C8C2C7" w14:textId="34D376B9" w:rsidR="00E76EDA" w:rsidRPr="00D63217" w:rsidRDefault="00E76EDA" w:rsidP="00E76EDA">
            <w:pPr>
              <w:pStyle w:val="TableText"/>
            </w:pPr>
            <w:r w:rsidRPr="00D63217">
              <w:t>Paraquat 250 g/L</w:t>
            </w:r>
          </w:p>
        </w:tc>
        <w:tc>
          <w:tcPr>
            <w:tcW w:w="1926" w:type="dxa"/>
          </w:tcPr>
          <w:p w14:paraId="58E518B8" w14:textId="4B81E050" w:rsidR="00E76EDA" w:rsidRPr="00D63217" w:rsidRDefault="00E76EDA" w:rsidP="00E76EDA">
            <w:pPr>
              <w:pStyle w:val="TableText"/>
            </w:pPr>
            <w:r w:rsidRPr="00D63217">
              <w:t>1a</w:t>
            </w:r>
          </w:p>
        </w:tc>
      </w:tr>
      <w:tr w:rsidR="00E76EDA" w:rsidRPr="00D63217" w14:paraId="1072D762" w14:textId="77777777" w:rsidTr="00AD2FF8">
        <w:tc>
          <w:tcPr>
            <w:tcW w:w="1925" w:type="dxa"/>
            <w:vAlign w:val="center"/>
          </w:tcPr>
          <w:p w14:paraId="60C1A60F" w14:textId="275D48F6" w:rsidR="00E76EDA" w:rsidRPr="00D63217" w:rsidRDefault="00E76EDA" w:rsidP="00E76EDA">
            <w:pPr>
              <w:pStyle w:val="TableText"/>
            </w:pPr>
            <w:r w:rsidRPr="00D63217">
              <w:t>53381</w:t>
            </w:r>
          </w:p>
        </w:tc>
        <w:tc>
          <w:tcPr>
            <w:tcW w:w="1925" w:type="dxa"/>
            <w:vAlign w:val="center"/>
          </w:tcPr>
          <w:p w14:paraId="000C8111" w14:textId="40C4BFD0" w:rsidR="00E76EDA" w:rsidRPr="00D63217" w:rsidRDefault="00E76EDA" w:rsidP="00E76EDA">
            <w:pPr>
              <w:pStyle w:val="TableText"/>
            </w:pPr>
            <w:r w:rsidRPr="00D63217">
              <w:t>Imtrade Paraquat 250 Herbicide</w:t>
            </w:r>
          </w:p>
        </w:tc>
        <w:tc>
          <w:tcPr>
            <w:tcW w:w="1926" w:type="dxa"/>
            <w:vAlign w:val="center"/>
          </w:tcPr>
          <w:p w14:paraId="7AC02710" w14:textId="56FF5C1D" w:rsidR="00E76EDA" w:rsidRPr="00D63217" w:rsidRDefault="00E76EDA" w:rsidP="00E76EDA">
            <w:pPr>
              <w:pStyle w:val="TableText"/>
            </w:pPr>
            <w:r w:rsidRPr="00D63217">
              <w:t>Imtrade Australia Pty Ltd</w:t>
            </w:r>
          </w:p>
        </w:tc>
        <w:tc>
          <w:tcPr>
            <w:tcW w:w="1926" w:type="dxa"/>
            <w:vAlign w:val="center"/>
          </w:tcPr>
          <w:p w14:paraId="38A7925E" w14:textId="06468493" w:rsidR="00E76EDA" w:rsidRPr="00D63217" w:rsidRDefault="00E76EDA" w:rsidP="00E76EDA">
            <w:pPr>
              <w:pStyle w:val="TableText"/>
            </w:pPr>
            <w:r w:rsidRPr="00D63217">
              <w:t>Paraquat 250 g/L</w:t>
            </w:r>
          </w:p>
        </w:tc>
        <w:tc>
          <w:tcPr>
            <w:tcW w:w="1926" w:type="dxa"/>
          </w:tcPr>
          <w:p w14:paraId="0FA6E383" w14:textId="6C1EA6EF" w:rsidR="00E76EDA" w:rsidRPr="00D63217" w:rsidRDefault="00E76EDA" w:rsidP="00E76EDA">
            <w:pPr>
              <w:pStyle w:val="TableText"/>
            </w:pPr>
            <w:r w:rsidRPr="00D63217">
              <w:t>1a</w:t>
            </w:r>
          </w:p>
        </w:tc>
      </w:tr>
      <w:tr w:rsidR="00E76EDA" w:rsidRPr="00D63217" w14:paraId="587D78BD" w14:textId="77777777" w:rsidTr="00AD2FF8">
        <w:tc>
          <w:tcPr>
            <w:tcW w:w="1925" w:type="dxa"/>
            <w:vAlign w:val="center"/>
          </w:tcPr>
          <w:p w14:paraId="28F952B8" w14:textId="1D7D9E4D" w:rsidR="00E76EDA" w:rsidRPr="00D63217" w:rsidRDefault="00E76EDA" w:rsidP="00E76EDA">
            <w:pPr>
              <w:pStyle w:val="TableText"/>
            </w:pPr>
            <w:r w:rsidRPr="00D63217">
              <w:t>53919</w:t>
            </w:r>
          </w:p>
        </w:tc>
        <w:tc>
          <w:tcPr>
            <w:tcW w:w="1925" w:type="dxa"/>
            <w:vAlign w:val="center"/>
          </w:tcPr>
          <w:p w14:paraId="7FE7316F" w14:textId="772EBAAC" w:rsidR="00E76EDA" w:rsidRPr="00D63217" w:rsidRDefault="00E76EDA" w:rsidP="00E76EDA">
            <w:pPr>
              <w:pStyle w:val="TableText"/>
            </w:pPr>
            <w:r w:rsidRPr="00D63217">
              <w:t>Nufarm Shirquat Herbicide</w:t>
            </w:r>
          </w:p>
        </w:tc>
        <w:tc>
          <w:tcPr>
            <w:tcW w:w="1926" w:type="dxa"/>
            <w:vAlign w:val="center"/>
          </w:tcPr>
          <w:p w14:paraId="6360724C" w14:textId="56BC5C5B" w:rsidR="00E76EDA" w:rsidRPr="00D63217" w:rsidRDefault="00E76EDA" w:rsidP="00E76EDA">
            <w:pPr>
              <w:pStyle w:val="TableText"/>
            </w:pPr>
            <w:r w:rsidRPr="00D63217">
              <w:t>Nufarm Australia Limited</w:t>
            </w:r>
          </w:p>
        </w:tc>
        <w:tc>
          <w:tcPr>
            <w:tcW w:w="1926" w:type="dxa"/>
            <w:vAlign w:val="center"/>
          </w:tcPr>
          <w:p w14:paraId="060DBAEF" w14:textId="016B4DA4" w:rsidR="00E76EDA" w:rsidRPr="00D63217" w:rsidRDefault="00E76EDA" w:rsidP="00E76EDA">
            <w:pPr>
              <w:pStyle w:val="TableText"/>
            </w:pPr>
            <w:r w:rsidRPr="00D63217">
              <w:t>Paraquat 250 g/L</w:t>
            </w:r>
          </w:p>
        </w:tc>
        <w:tc>
          <w:tcPr>
            <w:tcW w:w="1926" w:type="dxa"/>
          </w:tcPr>
          <w:p w14:paraId="57C916D3" w14:textId="19AD5E72" w:rsidR="00E76EDA" w:rsidRPr="00D63217" w:rsidRDefault="00E76EDA" w:rsidP="00E76EDA">
            <w:pPr>
              <w:pStyle w:val="TableText"/>
            </w:pPr>
            <w:r w:rsidRPr="00D63217">
              <w:t>1a</w:t>
            </w:r>
          </w:p>
        </w:tc>
      </w:tr>
      <w:tr w:rsidR="00E76EDA" w:rsidRPr="00D63217" w14:paraId="15F9E2A6" w14:textId="77777777" w:rsidTr="00AD2FF8">
        <w:tc>
          <w:tcPr>
            <w:tcW w:w="1925" w:type="dxa"/>
            <w:vAlign w:val="center"/>
          </w:tcPr>
          <w:p w14:paraId="42344C73" w14:textId="13300347" w:rsidR="00E76EDA" w:rsidRPr="00D63217" w:rsidRDefault="00E76EDA" w:rsidP="00E76EDA">
            <w:pPr>
              <w:pStyle w:val="TableText"/>
            </w:pPr>
            <w:r w:rsidRPr="00D63217">
              <w:t>54520</w:t>
            </w:r>
          </w:p>
        </w:tc>
        <w:tc>
          <w:tcPr>
            <w:tcW w:w="1925" w:type="dxa"/>
            <w:vAlign w:val="center"/>
          </w:tcPr>
          <w:p w14:paraId="6B65AC25" w14:textId="33FA63B4" w:rsidR="00E76EDA" w:rsidRPr="00D63217" w:rsidRDefault="00E76EDA" w:rsidP="00E76EDA">
            <w:pPr>
              <w:pStyle w:val="TableText"/>
            </w:pPr>
            <w:r w:rsidRPr="00D63217">
              <w:t>Halley Paraquat 250 Herbicide</w:t>
            </w:r>
          </w:p>
        </w:tc>
        <w:tc>
          <w:tcPr>
            <w:tcW w:w="1926" w:type="dxa"/>
            <w:vAlign w:val="center"/>
          </w:tcPr>
          <w:p w14:paraId="3689F583" w14:textId="27CFD0FA" w:rsidR="00E76EDA" w:rsidRPr="00D63217" w:rsidRDefault="00E76EDA" w:rsidP="00E76EDA">
            <w:pPr>
              <w:pStyle w:val="TableText"/>
            </w:pPr>
            <w:r w:rsidRPr="00D63217">
              <w:t>Halley International Enterprise (Australia) Pty Ltd</w:t>
            </w:r>
          </w:p>
        </w:tc>
        <w:tc>
          <w:tcPr>
            <w:tcW w:w="1926" w:type="dxa"/>
            <w:vAlign w:val="center"/>
          </w:tcPr>
          <w:p w14:paraId="659C75FC" w14:textId="0B9B83C4" w:rsidR="00E76EDA" w:rsidRPr="00D63217" w:rsidRDefault="00E76EDA" w:rsidP="00E76EDA">
            <w:pPr>
              <w:pStyle w:val="TableText"/>
            </w:pPr>
            <w:r w:rsidRPr="00D63217">
              <w:t>Paraquat 250 g/L</w:t>
            </w:r>
          </w:p>
        </w:tc>
        <w:tc>
          <w:tcPr>
            <w:tcW w:w="1926" w:type="dxa"/>
          </w:tcPr>
          <w:p w14:paraId="3E6724C1" w14:textId="2EDB7CF6" w:rsidR="00E76EDA" w:rsidRPr="00D63217" w:rsidRDefault="00E76EDA" w:rsidP="00E76EDA">
            <w:pPr>
              <w:pStyle w:val="TableText"/>
            </w:pPr>
            <w:r w:rsidRPr="00D63217">
              <w:t>1a</w:t>
            </w:r>
          </w:p>
        </w:tc>
      </w:tr>
      <w:tr w:rsidR="00E76EDA" w:rsidRPr="00D63217" w14:paraId="39165EA5" w14:textId="77777777" w:rsidTr="00AD2FF8">
        <w:tc>
          <w:tcPr>
            <w:tcW w:w="1925" w:type="dxa"/>
            <w:vAlign w:val="center"/>
          </w:tcPr>
          <w:p w14:paraId="7238C828" w14:textId="6A90BF77" w:rsidR="00E76EDA" w:rsidRPr="00D63217" w:rsidRDefault="00E76EDA" w:rsidP="00E76EDA">
            <w:pPr>
              <w:pStyle w:val="TableText"/>
            </w:pPr>
            <w:r w:rsidRPr="00D63217">
              <w:t>54522</w:t>
            </w:r>
          </w:p>
        </w:tc>
        <w:tc>
          <w:tcPr>
            <w:tcW w:w="1925" w:type="dxa"/>
            <w:vAlign w:val="center"/>
          </w:tcPr>
          <w:p w14:paraId="0763ACE2" w14:textId="4E0E1E5B" w:rsidR="00E76EDA" w:rsidRPr="00D63217" w:rsidRDefault="00E76EDA" w:rsidP="00E76EDA">
            <w:pPr>
              <w:pStyle w:val="TableText"/>
            </w:pPr>
            <w:r w:rsidRPr="00D63217">
              <w:t>Spraytop 250 SL Herbicide</w:t>
            </w:r>
          </w:p>
        </w:tc>
        <w:tc>
          <w:tcPr>
            <w:tcW w:w="1926" w:type="dxa"/>
            <w:vAlign w:val="center"/>
          </w:tcPr>
          <w:p w14:paraId="15EC0171" w14:textId="0EAF7901" w:rsidR="00E76EDA" w:rsidRPr="00D63217" w:rsidRDefault="00E76EDA" w:rsidP="00E76EDA">
            <w:pPr>
              <w:pStyle w:val="TableText"/>
            </w:pPr>
            <w:r w:rsidRPr="00D63217">
              <w:t>ADAMA Australia Pty Limited</w:t>
            </w:r>
          </w:p>
        </w:tc>
        <w:tc>
          <w:tcPr>
            <w:tcW w:w="1926" w:type="dxa"/>
            <w:vAlign w:val="center"/>
          </w:tcPr>
          <w:p w14:paraId="1A000D64" w14:textId="1472F410" w:rsidR="00E76EDA" w:rsidRPr="00D63217" w:rsidRDefault="00E76EDA" w:rsidP="00E76EDA">
            <w:pPr>
              <w:pStyle w:val="TableText"/>
            </w:pPr>
            <w:r w:rsidRPr="00D63217">
              <w:t>Paraquat 250 g/L</w:t>
            </w:r>
          </w:p>
        </w:tc>
        <w:tc>
          <w:tcPr>
            <w:tcW w:w="1926" w:type="dxa"/>
          </w:tcPr>
          <w:p w14:paraId="0F0E77CB" w14:textId="3365BA00" w:rsidR="00E76EDA" w:rsidRPr="00D63217" w:rsidRDefault="00E76EDA" w:rsidP="00E76EDA">
            <w:pPr>
              <w:pStyle w:val="TableText"/>
            </w:pPr>
            <w:r w:rsidRPr="00D63217">
              <w:t>1a</w:t>
            </w:r>
          </w:p>
        </w:tc>
      </w:tr>
      <w:tr w:rsidR="00E76EDA" w:rsidRPr="00D63217" w14:paraId="38830960" w14:textId="77777777" w:rsidTr="00AD2FF8">
        <w:tc>
          <w:tcPr>
            <w:tcW w:w="1925" w:type="dxa"/>
            <w:vAlign w:val="center"/>
          </w:tcPr>
          <w:p w14:paraId="7BAA63C0" w14:textId="7CC1DD12" w:rsidR="00E76EDA" w:rsidRPr="00D63217" w:rsidRDefault="00E76EDA" w:rsidP="00E76EDA">
            <w:pPr>
              <w:pStyle w:val="TableText"/>
            </w:pPr>
            <w:r w:rsidRPr="00D63217">
              <w:t>56102</w:t>
            </w:r>
          </w:p>
        </w:tc>
        <w:tc>
          <w:tcPr>
            <w:tcW w:w="1925" w:type="dxa"/>
            <w:vAlign w:val="center"/>
          </w:tcPr>
          <w:p w14:paraId="52C1B037" w14:textId="344B0735" w:rsidR="00E76EDA" w:rsidRPr="00D63217" w:rsidRDefault="00E76EDA" w:rsidP="00E76EDA">
            <w:pPr>
              <w:pStyle w:val="TableText"/>
            </w:pPr>
            <w:r w:rsidRPr="00D63217">
              <w:t>Kenso Agcare Para-Ken 250 Herbicide</w:t>
            </w:r>
          </w:p>
        </w:tc>
        <w:tc>
          <w:tcPr>
            <w:tcW w:w="1926" w:type="dxa"/>
            <w:vAlign w:val="center"/>
          </w:tcPr>
          <w:p w14:paraId="6B92045F" w14:textId="3D6045E9" w:rsidR="00E76EDA" w:rsidRPr="00D63217" w:rsidRDefault="00E76EDA" w:rsidP="00E76EDA">
            <w:pPr>
              <w:pStyle w:val="TableText"/>
            </w:pPr>
            <w:r w:rsidRPr="00D63217">
              <w:t>Kenso Corporation (M) Sdn. Bhd.</w:t>
            </w:r>
          </w:p>
        </w:tc>
        <w:tc>
          <w:tcPr>
            <w:tcW w:w="1926" w:type="dxa"/>
            <w:vAlign w:val="center"/>
          </w:tcPr>
          <w:p w14:paraId="5BBE9AE9" w14:textId="2B2D75ED" w:rsidR="00E76EDA" w:rsidRPr="00D63217" w:rsidRDefault="00E76EDA" w:rsidP="00E76EDA">
            <w:pPr>
              <w:pStyle w:val="TableText"/>
            </w:pPr>
            <w:r w:rsidRPr="00D63217">
              <w:t>Paraquat 250 g/L</w:t>
            </w:r>
          </w:p>
        </w:tc>
        <w:tc>
          <w:tcPr>
            <w:tcW w:w="1926" w:type="dxa"/>
          </w:tcPr>
          <w:p w14:paraId="3A49B3C9" w14:textId="101CC15A" w:rsidR="00E76EDA" w:rsidRPr="00D63217" w:rsidRDefault="00E76EDA" w:rsidP="00E76EDA">
            <w:pPr>
              <w:pStyle w:val="TableText"/>
            </w:pPr>
            <w:r w:rsidRPr="00D63217">
              <w:t>1a</w:t>
            </w:r>
          </w:p>
        </w:tc>
      </w:tr>
      <w:tr w:rsidR="00E76EDA" w:rsidRPr="00D63217" w14:paraId="1A88FF5F" w14:textId="77777777" w:rsidTr="00AD2FF8">
        <w:tc>
          <w:tcPr>
            <w:tcW w:w="1925" w:type="dxa"/>
            <w:vAlign w:val="center"/>
          </w:tcPr>
          <w:p w14:paraId="5798C9A4" w14:textId="3166C454" w:rsidR="00E76EDA" w:rsidRPr="00D63217" w:rsidRDefault="00E76EDA" w:rsidP="00E76EDA">
            <w:pPr>
              <w:pStyle w:val="TableText"/>
            </w:pPr>
            <w:r w:rsidRPr="00D63217">
              <w:t>57817</w:t>
            </w:r>
          </w:p>
        </w:tc>
        <w:tc>
          <w:tcPr>
            <w:tcW w:w="1925" w:type="dxa"/>
            <w:vAlign w:val="center"/>
          </w:tcPr>
          <w:p w14:paraId="1B7C8DB2" w14:textId="4E868555" w:rsidR="00E76EDA" w:rsidRPr="00D63217" w:rsidRDefault="00E76EDA" w:rsidP="00E76EDA">
            <w:pPr>
              <w:pStyle w:val="TableText"/>
            </w:pPr>
            <w:r w:rsidRPr="00D63217">
              <w:t>Conquest Explode 250 Herbicide</w:t>
            </w:r>
          </w:p>
        </w:tc>
        <w:tc>
          <w:tcPr>
            <w:tcW w:w="1926" w:type="dxa"/>
            <w:vAlign w:val="center"/>
          </w:tcPr>
          <w:p w14:paraId="14549579" w14:textId="19B5FE46" w:rsidR="00E76EDA" w:rsidRPr="00D63217" w:rsidRDefault="00E76EDA" w:rsidP="00E76EDA">
            <w:pPr>
              <w:pStyle w:val="TableText"/>
            </w:pPr>
            <w:r w:rsidRPr="00D63217">
              <w:t>Conquest Crop Protection Pty Ltd</w:t>
            </w:r>
          </w:p>
        </w:tc>
        <w:tc>
          <w:tcPr>
            <w:tcW w:w="1926" w:type="dxa"/>
            <w:vAlign w:val="center"/>
          </w:tcPr>
          <w:p w14:paraId="0BF6F217" w14:textId="493E2D3F" w:rsidR="00E76EDA" w:rsidRPr="00D63217" w:rsidRDefault="00E76EDA" w:rsidP="00E76EDA">
            <w:pPr>
              <w:pStyle w:val="TableText"/>
            </w:pPr>
            <w:r w:rsidRPr="00D63217">
              <w:t>Paraquat 250 g/L</w:t>
            </w:r>
          </w:p>
        </w:tc>
        <w:tc>
          <w:tcPr>
            <w:tcW w:w="1926" w:type="dxa"/>
          </w:tcPr>
          <w:p w14:paraId="1BB21980" w14:textId="3911C846" w:rsidR="00E76EDA" w:rsidRPr="00D63217" w:rsidRDefault="00E76EDA" w:rsidP="00E76EDA">
            <w:pPr>
              <w:pStyle w:val="TableText"/>
            </w:pPr>
            <w:r w:rsidRPr="00D63217">
              <w:t>1a</w:t>
            </w:r>
          </w:p>
        </w:tc>
      </w:tr>
      <w:tr w:rsidR="00E76EDA" w:rsidRPr="00D63217" w14:paraId="49807818" w14:textId="77777777" w:rsidTr="00AD2FF8">
        <w:tc>
          <w:tcPr>
            <w:tcW w:w="1925" w:type="dxa"/>
            <w:vAlign w:val="center"/>
          </w:tcPr>
          <w:p w14:paraId="66F4C6C2" w14:textId="75E88896" w:rsidR="00E76EDA" w:rsidRPr="00D63217" w:rsidRDefault="00E76EDA" w:rsidP="00E76EDA">
            <w:pPr>
              <w:pStyle w:val="TableText"/>
            </w:pPr>
            <w:r w:rsidRPr="00D63217">
              <w:t>58841</w:t>
            </w:r>
          </w:p>
        </w:tc>
        <w:tc>
          <w:tcPr>
            <w:tcW w:w="1925" w:type="dxa"/>
            <w:vAlign w:val="center"/>
          </w:tcPr>
          <w:p w14:paraId="5779E4F4" w14:textId="74CCD56E" w:rsidR="00E76EDA" w:rsidRPr="00D63217" w:rsidRDefault="00E76EDA" w:rsidP="00E76EDA">
            <w:pPr>
              <w:pStyle w:val="TableText"/>
            </w:pPr>
            <w:r w:rsidRPr="00D63217">
              <w:t>Genfarm Paraquat 250 Herbicide</w:t>
            </w:r>
          </w:p>
        </w:tc>
        <w:tc>
          <w:tcPr>
            <w:tcW w:w="1926" w:type="dxa"/>
            <w:vAlign w:val="center"/>
          </w:tcPr>
          <w:p w14:paraId="7A5154BB" w14:textId="7124CF60" w:rsidR="00E76EDA" w:rsidRPr="00D63217" w:rsidRDefault="00E76EDA" w:rsidP="00E76EDA">
            <w:pPr>
              <w:pStyle w:val="TableText"/>
            </w:pPr>
            <w:r w:rsidRPr="00D63217">
              <w:t>Nutrien Ag Solutions Limited</w:t>
            </w:r>
          </w:p>
        </w:tc>
        <w:tc>
          <w:tcPr>
            <w:tcW w:w="1926" w:type="dxa"/>
            <w:vAlign w:val="center"/>
          </w:tcPr>
          <w:p w14:paraId="1D2C7FF3" w14:textId="71F9BA32" w:rsidR="00E76EDA" w:rsidRPr="00D63217" w:rsidRDefault="00E76EDA" w:rsidP="00E76EDA">
            <w:pPr>
              <w:pStyle w:val="TableText"/>
            </w:pPr>
            <w:r w:rsidRPr="00D63217">
              <w:t>Paraquat 250 g/L</w:t>
            </w:r>
          </w:p>
        </w:tc>
        <w:tc>
          <w:tcPr>
            <w:tcW w:w="1926" w:type="dxa"/>
          </w:tcPr>
          <w:p w14:paraId="4F35440D" w14:textId="118706D4" w:rsidR="00E76EDA" w:rsidRPr="00D63217" w:rsidRDefault="00E76EDA" w:rsidP="00E76EDA">
            <w:pPr>
              <w:pStyle w:val="TableText"/>
            </w:pPr>
            <w:r w:rsidRPr="00D63217">
              <w:t>1a</w:t>
            </w:r>
          </w:p>
        </w:tc>
      </w:tr>
      <w:tr w:rsidR="00E76EDA" w:rsidRPr="00D63217" w14:paraId="52AF5149" w14:textId="77777777" w:rsidTr="00AD2FF8">
        <w:tc>
          <w:tcPr>
            <w:tcW w:w="1925" w:type="dxa"/>
            <w:vAlign w:val="center"/>
          </w:tcPr>
          <w:p w14:paraId="2D094043" w14:textId="2C347DCD" w:rsidR="00E76EDA" w:rsidRPr="00D63217" w:rsidRDefault="00E76EDA" w:rsidP="00E76EDA">
            <w:pPr>
              <w:pStyle w:val="TableText"/>
            </w:pPr>
            <w:r w:rsidRPr="00D63217">
              <w:t>58992</w:t>
            </w:r>
          </w:p>
        </w:tc>
        <w:tc>
          <w:tcPr>
            <w:tcW w:w="1925" w:type="dxa"/>
            <w:vAlign w:val="center"/>
          </w:tcPr>
          <w:p w14:paraId="56F31425" w14:textId="74CAF8E9" w:rsidR="00E76EDA" w:rsidRPr="00D63217" w:rsidRDefault="00E76EDA" w:rsidP="00E76EDA">
            <w:pPr>
              <w:pStyle w:val="TableText"/>
            </w:pPr>
            <w:r w:rsidRPr="00D63217">
              <w:t>Sinmosa 250 Herbicide</w:t>
            </w:r>
          </w:p>
        </w:tc>
        <w:tc>
          <w:tcPr>
            <w:tcW w:w="1926" w:type="dxa"/>
            <w:vAlign w:val="center"/>
          </w:tcPr>
          <w:p w14:paraId="4658A60F" w14:textId="29BC01E0" w:rsidR="00E76EDA" w:rsidRPr="00D63217" w:rsidRDefault="00E76EDA" w:rsidP="00E76EDA">
            <w:pPr>
              <w:pStyle w:val="TableText"/>
            </w:pPr>
            <w:r w:rsidRPr="00D63217">
              <w:t>Sinon Australia Pty Limited</w:t>
            </w:r>
          </w:p>
        </w:tc>
        <w:tc>
          <w:tcPr>
            <w:tcW w:w="1926" w:type="dxa"/>
            <w:vAlign w:val="center"/>
          </w:tcPr>
          <w:p w14:paraId="51E76663" w14:textId="05B8BF0E" w:rsidR="00E76EDA" w:rsidRPr="00D63217" w:rsidRDefault="00E76EDA" w:rsidP="00E76EDA">
            <w:pPr>
              <w:pStyle w:val="TableText"/>
            </w:pPr>
            <w:r w:rsidRPr="00D63217">
              <w:t>Paraquat 250 g/L</w:t>
            </w:r>
          </w:p>
        </w:tc>
        <w:tc>
          <w:tcPr>
            <w:tcW w:w="1926" w:type="dxa"/>
          </w:tcPr>
          <w:p w14:paraId="354FD51C" w14:textId="7FFF07A6" w:rsidR="00E76EDA" w:rsidRPr="00D63217" w:rsidRDefault="00E76EDA" w:rsidP="00E76EDA">
            <w:pPr>
              <w:pStyle w:val="TableText"/>
            </w:pPr>
            <w:r w:rsidRPr="00D63217">
              <w:t>1a</w:t>
            </w:r>
          </w:p>
        </w:tc>
      </w:tr>
      <w:tr w:rsidR="00E76EDA" w:rsidRPr="00D63217" w14:paraId="3E00AAAB" w14:textId="77777777" w:rsidTr="00AD2FF8">
        <w:tc>
          <w:tcPr>
            <w:tcW w:w="1925" w:type="dxa"/>
            <w:vAlign w:val="center"/>
          </w:tcPr>
          <w:p w14:paraId="4D9A4DB6" w14:textId="2CA0B256" w:rsidR="00E76EDA" w:rsidRPr="00D63217" w:rsidRDefault="00E76EDA" w:rsidP="00E76EDA">
            <w:pPr>
              <w:pStyle w:val="TableText"/>
            </w:pPr>
            <w:r w:rsidRPr="00D63217">
              <w:t>59419</w:t>
            </w:r>
          </w:p>
        </w:tc>
        <w:tc>
          <w:tcPr>
            <w:tcW w:w="1925" w:type="dxa"/>
            <w:vAlign w:val="center"/>
          </w:tcPr>
          <w:p w14:paraId="33A40B8C" w14:textId="2BE65D6B" w:rsidR="00E76EDA" w:rsidRPr="00D63217" w:rsidRDefault="00E76EDA" w:rsidP="00E76EDA">
            <w:pPr>
              <w:pStyle w:val="TableText"/>
            </w:pPr>
            <w:r w:rsidRPr="00D63217">
              <w:t>Inferno Herbicide</w:t>
            </w:r>
          </w:p>
        </w:tc>
        <w:tc>
          <w:tcPr>
            <w:tcW w:w="1926" w:type="dxa"/>
            <w:vAlign w:val="center"/>
          </w:tcPr>
          <w:p w14:paraId="375BB7D3" w14:textId="3F9A92FC" w:rsidR="00E76EDA" w:rsidRPr="00D63217" w:rsidRDefault="00E76EDA" w:rsidP="00E76EDA">
            <w:pPr>
              <w:pStyle w:val="TableText"/>
            </w:pPr>
            <w:r w:rsidRPr="00D63217">
              <w:t>Sipcam Pacific Australia Pty Ltd</w:t>
            </w:r>
          </w:p>
        </w:tc>
        <w:tc>
          <w:tcPr>
            <w:tcW w:w="1926" w:type="dxa"/>
            <w:vAlign w:val="center"/>
          </w:tcPr>
          <w:p w14:paraId="54A7FBCF" w14:textId="0061C42C" w:rsidR="00E76EDA" w:rsidRPr="00D63217" w:rsidRDefault="00E76EDA" w:rsidP="00E76EDA">
            <w:pPr>
              <w:pStyle w:val="TableText"/>
            </w:pPr>
            <w:r w:rsidRPr="00D63217">
              <w:t>Paraquat 250 g/L</w:t>
            </w:r>
          </w:p>
        </w:tc>
        <w:tc>
          <w:tcPr>
            <w:tcW w:w="1926" w:type="dxa"/>
          </w:tcPr>
          <w:p w14:paraId="4B740C17" w14:textId="185EE268" w:rsidR="00E76EDA" w:rsidRPr="00D63217" w:rsidRDefault="00E76EDA" w:rsidP="00E76EDA">
            <w:pPr>
              <w:pStyle w:val="TableText"/>
            </w:pPr>
            <w:r w:rsidRPr="00D63217">
              <w:t>1a</w:t>
            </w:r>
          </w:p>
        </w:tc>
      </w:tr>
      <w:tr w:rsidR="00E76EDA" w:rsidRPr="00D63217" w14:paraId="79651C9B" w14:textId="77777777" w:rsidTr="00AD2FF8">
        <w:tc>
          <w:tcPr>
            <w:tcW w:w="1925" w:type="dxa"/>
            <w:vAlign w:val="center"/>
          </w:tcPr>
          <w:p w14:paraId="4EDF7432" w14:textId="2805A178" w:rsidR="00E76EDA" w:rsidRPr="00D63217" w:rsidRDefault="00E76EDA" w:rsidP="00E76EDA">
            <w:pPr>
              <w:pStyle w:val="TableText"/>
            </w:pPr>
            <w:r w:rsidRPr="00D63217">
              <w:t>61254</w:t>
            </w:r>
          </w:p>
        </w:tc>
        <w:tc>
          <w:tcPr>
            <w:tcW w:w="1925" w:type="dxa"/>
            <w:vAlign w:val="center"/>
          </w:tcPr>
          <w:p w14:paraId="6D798C1C" w14:textId="7B103CDA" w:rsidR="00E76EDA" w:rsidRPr="00D63217" w:rsidRDefault="00E76EDA" w:rsidP="00E76EDA">
            <w:pPr>
              <w:pStyle w:val="TableText"/>
            </w:pPr>
            <w:r w:rsidRPr="00D63217">
              <w:t>Biotis Paraquat 250 Herbicide</w:t>
            </w:r>
          </w:p>
        </w:tc>
        <w:tc>
          <w:tcPr>
            <w:tcW w:w="1926" w:type="dxa"/>
            <w:vAlign w:val="center"/>
          </w:tcPr>
          <w:p w14:paraId="6B01083A" w14:textId="38FB633E" w:rsidR="00E76EDA" w:rsidRPr="00D63217" w:rsidRDefault="00E76EDA" w:rsidP="00E76EDA">
            <w:pPr>
              <w:pStyle w:val="TableText"/>
            </w:pPr>
            <w:r w:rsidRPr="00D63217">
              <w:t>Biotis Life Science Pty Ltd</w:t>
            </w:r>
          </w:p>
        </w:tc>
        <w:tc>
          <w:tcPr>
            <w:tcW w:w="1926" w:type="dxa"/>
            <w:vAlign w:val="center"/>
          </w:tcPr>
          <w:p w14:paraId="21A5953B" w14:textId="129F9C37" w:rsidR="00E76EDA" w:rsidRPr="00D63217" w:rsidRDefault="00E76EDA" w:rsidP="00E76EDA">
            <w:pPr>
              <w:pStyle w:val="TableText"/>
            </w:pPr>
            <w:r w:rsidRPr="00D63217">
              <w:t>Paraquat 250 g/L</w:t>
            </w:r>
          </w:p>
        </w:tc>
        <w:tc>
          <w:tcPr>
            <w:tcW w:w="1926" w:type="dxa"/>
          </w:tcPr>
          <w:p w14:paraId="685AAB28" w14:textId="75D45DE7" w:rsidR="00E76EDA" w:rsidRPr="00D63217" w:rsidRDefault="00E76EDA" w:rsidP="00E76EDA">
            <w:pPr>
              <w:pStyle w:val="TableText"/>
            </w:pPr>
            <w:r w:rsidRPr="00D63217">
              <w:t>1a</w:t>
            </w:r>
          </w:p>
        </w:tc>
      </w:tr>
      <w:tr w:rsidR="00E76EDA" w:rsidRPr="00D63217" w14:paraId="55AB1D9A" w14:textId="77777777" w:rsidTr="00AD2FF8">
        <w:tc>
          <w:tcPr>
            <w:tcW w:w="1925" w:type="dxa"/>
            <w:vAlign w:val="center"/>
          </w:tcPr>
          <w:p w14:paraId="02099C3E" w14:textId="1F1B18AB" w:rsidR="00E76EDA" w:rsidRPr="00D63217" w:rsidRDefault="00E76EDA" w:rsidP="00E76EDA">
            <w:pPr>
              <w:pStyle w:val="TableText"/>
            </w:pPr>
            <w:r w:rsidRPr="00D63217">
              <w:t>61869</w:t>
            </w:r>
          </w:p>
        </w:tc>
        <w:tc>
          <w:tcPr>
            <w:tcW w:w="1925" w:type="dxa"/>
            <w:vAlign w:val="center"/>
          </w:tcPr>
          <w:p w14:paraId="45BBB098" w14:textId="6D8E151C" w:rsidR="00E76EDA" w:rsidRPr="00D63217" w:rsidRDefault="00E76EDA" w:rsidP="00E76EDA">
            <w:pPr>
              <w:pStyle w:val="TableText"/>
            </w:pPr>
            <w:r w:rsidRPr="00D63217">
              <w:t>Titan Paraquat 250 Herbicide</w:t>
            </w:r>
          </w:p>
        </w:tc>
        <w:tc>
          <w:tcPr>
            <w:tcW w:w="1926" w:type="dxa"/>
            <w:vAlign w:val="center"/>
          </w:tcPr>
          <w:p w14:paraId="4C72884B" w14:textId="7ECCCDD3" w:rsidR="00E76EDA" w:rsidRPr="00D63217" w:rsidRDefault="00E76EDA" w:rsidP="00E76EDA">
            <w:pPr>
              <w:pStyle w:val="TableText"/>
            </w:pPr>
            <w:r w:rsidRPr="00D63217">
              <w:t>Titan Ag Pty Ltd</w:t>
            </w:r>
          </w:p>
        </w:tc>
        <w:tc>
          <w:tcPr>
            <w:tcW w:w="1926" w:type="dxa"/>
            <w:vAlign w:val="center"/>
          </w:tcPr>
          <w:p w14:paraId="60E38441" w14:textId="40CDE8EB" w:rsidR="00E76EDA" w:rsidRPr="00D63217" w:rsidRDefault="00E76EDA" w:rsidP="00E76EDA">
            <w:pPr>
              <w:pStyle w:val="TableText"/>
            </w:pPr>
            <w:r w:rsidRPr="00D63217">
              <w:t>Paraquat 250 g/L</w:t>
            </w:r>
          </w:p>
        </w:tc>
        <w:tc>
          <w:tcPr>
            <w:tcW w:w="1926" w:type="dxa"/>
          </w:tcPr>
          <w:p w14:paraId="135597BE" w14:textId="3ABC7315" w:rsidR="00E76EDA" w:rsidRPr="00D63217" w:rsidRDefault="00E76EDA" w:rsidP="00E76EDA">
            <w:pPr>
              <w:pStyle w:val="TableText"/>
            </w:pPr>
            <w:r w:rsidRPr="00D63217">
              <w:t>1a</w:t>
            </w:r>
          </w:p>
        </w:tc>
      </w:tr>
      <w:tr w:rsidR="00E76EDA" w:rsidRPr="00D63217" w14:paraId="0A8CE8A1" w14:textId="77777777" w:rsidTr="00AD2FF8">
        <w:tc>
          <w:tcPr>
            <w:tcW w:w="1925" w:type="dxa"/>
            <w:vAlign w:val="center"/>
          </w:tcPr>
          <w:p w14:paraId="1C9BDD73" w14:textId="12012532" w:rsidR="00E76EDA" w:rsidRPr="00D63217" w:rsidRDefault="00E76EDA" w:rsidP="00E76EDA">
            <w:pPr>
              <w:pStyle w:val="TableText"/>
            </w:pPr>
            <w:r w:rsidRPr="00D63217">
              <w:lastRenderedPageBreak/>
              <w:t>62096</w:t>
            </w:r>
          </w:p>
        </w:tc>
        <w:tc>
          <w:tcPr>
            <w:tcW w:w="1925" w:type="dxa"/>
            <w:vAlign w:val="center"/>
          </w:tcPr>
          <w:p w14:paraId="228B33C2" w14:textId="50FCA749" w:rsidR="00E76EDA" w:rsidRPr="00D63217" w:rsidRDefault="00E76EDA" w:rsidP="00E76EDA">
            <w:pPr>
              <w:pStyle w:val="TableText"/>
            </w:pPr>
            <w:r w:rsidRPr="00D63217">
              <w:t>Choice Paraquat 250 Herbicide</w:t>
            </w:r>
          </w:p>
        </w:tc>
        <w:tc>
          <w:tcPr>
            <w:tcW w:w="1926" w:type="dxa"/>
            <w:vAlign w:val="center"/>
          </w:tcPr>
          <w:p w14:paraId="514D6F0B" w14:textId="07AA773C" w:rsidR="00E76EDA" w:rsidRPr="00D63217" w:rsidRDefault="00E76EDA" w:rsidP="00E76EDA">
            <w:pPr>
              <w:pStyle w:val="TableText"/>
            </w:pPr>
            <w:r w:rsidRPr="00D63217">
              <w:t>Grow Choice Pty Limited</w:t>
            </w:r>
          </w:p>
        </w:tc>
        <w:tc>
          <w:tcPr>
            <w:tcW w:w="1926" w:type="dxa"/>
            <w:vAlign w:val="center"/>
          </w:tcPr>
          <w:p w14:paraId="22A9E379" w14:textId="61AAC508" w:rsidR="00E76EDA" w:rsidRPr="00D63217" w:rsidRDefault="00E76EDA" w:rsidP="00E76EDA">
            <w:pPr>
              <w:pStyle w:val="TableText"/>
            </w:pPr>
            <w:r w:rsidRPr="00D63217">
              <w:t>Paraquat 250 g/L</w:t>
            </w:r>
          </w:p>
        </w:tc>
        <w:tc>
          <w:tcPr>
            <w:tcW w:w="1926" w:type="dxa"/>
          </w:tcPr>
          <w:p w14:paraId="6A8850B4" w14:textId="57EB6633" w:rsidR="00E76EDA" w:rsidRPr="00D63217" w:rsidRDefault="00E76EDA" w:rsidP="00E76EDA">
            <w:pPr>
              <w:pStyle w:val="TableText"/>
            </w:pPr>
            <w:r w:rsidRPr="00D63217">
              <w:t>1a</w:t>
            </w:r>
          </w:p>
        </w:tc>
      </w:tr>
      <w:tr w:rsidR="00E76EDA" w:rsidRPr="00D63217" w14:paraId="711640D9" w14:textId="77777777" w:rsidTr="00AD2FF8">
        <w:tc>
          <w:tcPr>
            <w:tcW w:w="1925" w:type="dxa"/>
            <w:vAlign w:val="center"/>
          </w:tcPr>
          <w:p w14:paraId="7ACB7692" w14:textId="16EB2B09" w:rsidR="00E76EDA" w:rsidRPr="00D63217" w:rsidRDefault="00E76EDA" w:rsidP="00E76EDA">
            <w:pPr>
              <w:pStyle w:val="TableText"/>
            </w:pPr>
            <w:r w:rsidRPr="00D63217">
              <w:t>64281</w:t>
            </w:r>
          </w:p>
        </w:tc>
        <w:tc>
          <w:tcPr>
            <w:tcW w:w="1925" w:type="dxa"/>
            <w:vAlign w:val="center"/>
          </w:tcPr>
          <w:p w14:paraId="6A90C156" w14:textId="56DEB3D6" w:rsidR="00E76EDA" w:rsidRPr="00D63217" w:rsidRDefault="00E76EDA" w:rsidP="00E76EDA">
            <w:pPr>
              <w:pStyle w:val="TableText"/>
            </w:pPr>
            <w:r w:rsidRPr="00D63217">
              <w:t>Farmalinx Parquat 250 Herbicide</w:t>
            </w:r>
          </w:p>
        </w:tc>
        <w:tc>
          <w:tcPr>
            <w:tcW w:w="1926" w:type="dxa"/>
            <w:vAlign w:val="center"/>
          </w:tcPr>
          <w:p w14:paraId="4E55FBA6" w14:textId="38A60218" w:rsidR="00E76EDA" w:rsidRPr="00D63217" w:rsidRDefault="00E76EDA" w:rsidP="00E76EDA">
            <w:pPr>
              <w:pStyle w:val="TableText"/>
            </w:pPr>
            <w:r w:rsidRPr="00D63217">
              <w:t>Farmalinx Pty Ltd</w:t>
            </w:r>
          </w:p>
        </w:tc>
        <w:tc>
          <w:tcPr>
            <w:tcW w:w="1926" w:type="dxa"/>
            <w:vAlign w:val="center"/>
          </w:tcPr>
          <w:p w14:paraId="53A3EF5D" w14:textId="5B93BEC0" w:rsidR="00E76EDA" w:rsidRPr="00D63217" w:rsidRDefault="00E76EDA" w:rsidP="00E76EDA">
            <w:pPr>
              <w:pStyle w:val="TableText"/>
            </w:pPr>
            <w:r w:rsidRPr="00D63217">
              <w:t>Paraquat 250 g/L</w:t>
            </w:r>
          </w:p>
        </w:tc>
        <w:tc>
          <w:tcPr>
            <w:tcW w:w="1926" w:type="dxa"/>
          </w:tcPr>
          <w:p w14:paraId="53229761" w14:textId="7A900D3B" w:rsidR="00E76EDA" w:rsidRPr="00D63217" w:rsidRDefault="00E76EDA" w:rsidP="00E76EDA">
            <w:pPr>
              <w:pStyle w:val="TableText"/>
            </w:pPr>
            <w:r w:rsidRPr="00D63217">
              <w:t>1a</w:t>
            </w:r>
          </w:p>
        </w:tc>
      </w:tr>
      <w:tr w:rsidR="00E76EDA" w:rsidRPr="00D63217" w14:paraId="16A7AF79" w14:textId="77777777" w:rsidTr="00AD2FF8">
        <w:tc>
          <w:tcPr>
            <w:tcW w:w="1925" w:type="dxa"/>
            <w:vAlign w:val="center"/>
          </w:tcPr>
          <w:p w14:paraId="3A7D3DC1" w14:textId="53AB1508" w:rsidR="00E76EDA" w:rsidRPr="00D63217" w:rsidRDefault="00E76EDA" w:rsidP="00E76EDA">
            <w:pPr>
              <w:pStyle w:val="TableText"/>
            </w:pPr>
            <w:r w:rsidRPr="00D63217">
              <w:t>64588</w:t>
            </w:r>
          </w:p>
        </w:tc>
        <w:tc>
          <w:tcPr>
            <w:tcW w:w="1925" w:type="dxa"/>
            <w:vAlign w:val="center"/>
          </w:tcPr>
          <w:p w14:paraId="71B6DA1F" w14:textId="6552A43A" w:rsidR="00E76EDA" w:rsidRPr="00D63217" w:rsidRDefault="00E76EDA" w:rsidP="00E76EDA">
            <w:pPr>
              <w:pStyle w:val="TableText"/>
            </w:pPr>
            <w:r w:rsidRPr="00D63217">
              <w:t>Smart Paraquat 250 Herbicide</w:t>
            </w:r>
          </w:p>
        </w:tc>
        <w:tc>
          <w:tcPr>
            <w:tcW w:w="1926" w:type="dxa"/>
            <w:vAlign w:val="center"/>
          </w:tcPr>
          <w:p w14:paraId="0EDABC45" w14:textId="2E733A7C" w:rsidR="00E76EDA" w:rsidRPr="00D63217" w:rsidRDefault="00E76EDA" w:rsidP="00E76EDA">
            <w:pPr>
              <w:pStyle w:val="TableText"/>
            </w:pPr>
            <w:r w:rsidRPr="00D63217">
              <w:t>Crop Smart Pty Ltd</w:t>
            </w:r>
          </w:p>
        </w:tc>
        <w:tc>
          <w:tcPr>
            <w:tcW w:w="1926" w:type="dxa"/>
            <w:vAlign w:val="center"/>
          </w:tcPr>
          <w:p w14:paraId="787550D8" w14:textId="5A532512" w:rsidR="00E76EDA" w:rsidRPr="00D63217" w:rsidRDefault="00E76EDA" w:rsidP="00E76EDA">
            <w:pPr>
              <w:pStyle w:val="TableText"/>
            </w:pPr>
            <w:r w:rsidRPr="00D63217">
              <w:t>Paraquat 250 g/L</w:t>
            </w:r>
          </w:p>
        </w:tc>
        <w:tc>
          <w:tcPr>
            <w:tcW w:w="1926" w:type="dxa"/>
          </w:tcPr>
          <w:p w14:paraId="47AB6DFF" w14:textId="7894A4D1" w:rsidR="00E76EDA" w:rsidRPr="00D63217" w:rsidRDefault="00E76EDA" w:rsidP="00E76EDA">
            <w:pPr>
              <w:pStyle w:val="TableText"/>
            </w:pPr>
            <w:r w:rsidRPr="00D63217">
              <w:t>1a</w:t>
            </w:r>
          </w:p>
        </w:tc>
      </w:tr>
      <w:tr w:rsidR="00E76EDA" w:rsidRPr="00D63217" w14:paraId="7FEC4A9B" w14:textId="77777777" w:rsidTr="00AD2FF8">
        <w:tc>
          <w:tcPr>
            <w:tcW w:w="1925" w:type="dxa"/>
            <w:vAlign w:val="center"/>
          </w:tcPr>
          <w:p w14:paraId="27A94F85" w14:textId="159772BA" w:rsidR="00E76EDA" w:rsidRPr="00D63217" w:rsidRDefault="00E76EDA" w:rsidP="00E76EDA">
            <w:pPr>
              <w:pStyle w:val="TableText"/>
            </w:pPr>
            <w:r w:rsidRPr="00D63217">
              <w:t>64651</w:t>
            </w:r>
          </w:p>
        </w:tc>
        <w:tc>
          <w:tcPr>
            <w:tcW w:w="1925" w:type="dxa"/>
            <w:vAlign w:val="center"/>
          </w:tcPr>
          <w:p w14:paraId="255C6547" w14:textId="6E190E94" w:rsidR="00E76EDA" w:rsidRPr="00D63217" w:rsidRDefault="00E76EDA" w:rsidP="00E76EDA">
            <w:pPr>
              <w:pStyle w:val="TableText"/>
            </w:pPr>
            <w:r w:rsidRPr="00D63217">
              <w:t>Rc Paraquat 250 Herbicide</w:t>
            </w:r>
          </w:p>
        </w:tc>
        <w:tc>
          <w:tcPr>
            <w:tcW w:w="1926" w:type="dxa"/>
            <w:vAlign w:val="center"/>
          </w:tcPr>
          <w:p w14:paraId="64A624F7" w14:textId="525128C5" w:rsidR="00E76EDA" w:rsidRPr="00D63217" w:rsidRDefault="00E76EDA" w:rsidP="00E76EDA">
            <w:pPr>
              <w:pStyle w:val="TableText"/>
            </w:pPr>
            <w:r w:rsidRPr="00D63217">
              <w:t>Ruralchem Pty Ltd</w:t>
            </w:r>
          </w:p>
        </w:tc>
        <w:tc>
          <w:tcPr>
            <w:tcW w:w="1926" w:type="dxa"/>
            <w:vAlign w:val="center"/>
          </w:tcPr>
          <w:p w14:paraId="54E4FF35" w14:textId="5CF1C9FF" w:rsidR="00E76EDA" w:rsidRPr="00D63217" w:rsidRDefault="00E76EDA" w:rsidP="00E76EDA">
            <w:pPr>
              <w:pStyle w:val="TableText"/>
            </w:pPr>
            <w:r w:rsidRPr="00D63217">
              <w:t>Paraquat 250 g/L</w:t>
            </w:r>
          </w:p>
        </w:tc>
        <w:tc>
          <w:tcPr>
            <w:tcW w:w="1926" w:type="dxa"/>
          </w:tcPr>
          <w:p w14:paraId="701F682C" w14:textId="5359FABC" w:rsidR="00E76EDA" w:rsidRPr="00D63217" w:rsidRDefault="00E76EDA" w:rsidP="00E76EDA">
            <w:pPr>
              <w:pStyle w:val="TableText"/>
            </w:pPr>
            <w:r w:rsidRPr="00D63217">
              <w:t>1a</w:t>
            </w:r>
          </w:p>
        </w:tc>
      </w:tr>
      <w:tr w:rsidR="00E76EDA" w:rsidRPr="00D63217" w14:paraId="77659A12" w14:textId="77777777" w:rsidTr="00AD2FF8">
        <w:tc>
          <w:tcPr>
            <w:tcW w:w="1925" w:type="dxa"/>
            <w:vAlign w:val="center"/>
          </w:tcPr>
          <w:p w14:paraId="2B160DFC" w14:textId="0E95E1B7" w:rsidR="00E76EDA" w:rsidRPr="00D63217" w:rsidRDefault="00E76EDA" w:rsidP="00E76EDA">
            <w:pPr>
              <w:pStyle w:val="TableText"/>
            </w:pPr>
            <w:r w:rsidRPr="00D63217">
              <w:t>64706</w:t>
            </w:r>
          </w:p>
        </w:tc>
        <w:tc>
          <w:tcPr>
            <w:tcW w:w="1925" w:type="dxa"/>
            <w:vAlign w:val="center"/>
          </w:tcPr>
          <w:p w14:paraId="082352A5" w14:textId="2700DC49" w:rsidR="00E76EDA" w:rsidRPr="00D63217" w:rsidRDefault="00E76EDA" w:rsidP="00E76EDA">
            <w:pPr>
              <w:pStyle w:val="TableText"/>
            </w:pPr>
            <w:r w:rsidRPr="00D63217">
              <w:t>Fosterra Paraquat 250 Herbicide</w:t>
            </w:r>
          </w:p>
        </w:tc>
        <w:tc>
          <w:tcPr>
            <w:tcW w:w="1926" w:type="dxa"/>
            <w:vAlign w:val="center"/>
          </w:tcPr>
          <w:p w14:paraId="4E262C1A" w14:textId="670F95D6" w:rsidR="00E76EDA" w:rsidRPr="00D63217" w:rsidRDefault="00E76EDA" w:rsidP="00E76EDA">
            <w:pPr>
              <w:pStyle w:val="TableText"/>
            </w:pPr>
            <w:r w:rsidRPr="00D63217">
              <w:t>Fosterra Pty Ltd</w:t>
            </w:r>
          </w:p>
        </w:tc>
        <w:tc>
          <w:tcPr>
            <w:tcW w:w="1926" w:type="dxa"/>
            <w:vAlign w:val="center"/>
          </w:tcPr>
          <w:p w14:paraId="2976C913" w14:textId="0E939C66" w:rsidR="00E76EDA" w:rsidRPr="00D63217" w:rsidRDefault="00E76EDA" w:rsidP="00E76EDA">
            <w:pPr>
              <w:pStyle w:val="TableText"/>
            </w:pPr>
            <w:r w:rsidRPr="00D63217">
              <w:t>Paraquat 250 g/L</w:t>
            </w:r>
          </w:p>
        </w:tc>
        <w:tc>
          <w:tcPr>
            <w:tcW w:w="1926" w:type="dxa"/>
          </w:tcPr>
          <w:p w14:paraId="4D0C9965" w14:textId="73BB97E7" w:rsidR="00E76EDA" w:rsidRPr="00D63217" w:rsidRDefault="00E76EDA" w:rsidP="00E76EDA">
            <w:pPr>
              <w:pStyle w:val="TableText"/>
            </w:pPr>
            <w:r w:rsidRPr="00D63217">
              <w:t>1a</w:t>
            </w:r>
          </w:p>
        </w:tc>
      </w:tr>
      <w:tr w:rsidR="00E76EDA" w:rsidRPr="00D63217" w14:paraId="2F78D244" w14:textId="77777777" w:rsidTr="00AD2FF8">
        <w:tc>
          <w:tcPr>
            <w:tcW w:w="1925" w:type="dxa"/>
            <w:vAlign w:val="center"/>
          </w:tcPr>
          <w:p w14:paraId="1B5E9412" w14:textId="5BF43138" w:rsidR="00E76EDA" w:rsidRPr="00D63217" w:rsidRDefault="00E76EDA" w:rsidP="00E76EDA">
            <w:pPr>
              <w:pStyle w:val="TableText"/>
            </w:pPr>
            <w:r w:rsidRPr="00D63217">
              <w:t>64731</w:t>
            </w:r>
          </w:p>
        </w:tc>
        <w:tc>
          <w:tcPr>
            <w:tcW w:w="1925" w:type="dxa"/>
            <w:vAlign w:val="center"/>
          </w:tcPr>
          <w:p w14:paraId="166327D8" w14:textId="42112290" w:rsidR="00E76EDA" w:rsidRPr="00D63217" w:rsidRDefault="00E76EDA" w:rsidP="00E76EDA">
            <w:pPr>
              <w:pStyle w:val="TableText"/>
            </w:pPr>
            <w:r w:rsidRPr="00D63217">
              <w:t>Agro-Essence Paraquat 250SL</w:t>
            </w:r>
          </w:p>
        </w:tc>
        <w:tc>
          <w:tcPr>
            <w:tcW w:w="1926" w:type="dxa"/>
            <w:vAlign w:val="center"/>
          </w:tcPr>
          <w:p w14:paraId="74FC50DF" w14:textId="2667B366" w:rsidR="00E76EDA" w:rsidRPr="00D63217" w:rsidRDefault="00E76EDA" w:rsidP="00E76EDA">
            <w:pPr>
              <w:pStyle w:val="TableText"/>
            </w:pPr>
            <w:r w:rsidRPr="00D63217">
              <w:t>Agro-Alliance (Australia) Pty Ltd</w:t>
            </w:r>
          </w:p>
        </w:tc>
        <w:tc>
          <w:tcPr>
            <w:tcW w:w="1926" w:type="dxa"/>
            <w:vAlign w:val="center"/>
          </w:tcPr>
          <w:p w14:paraId="0EB77F30" w14:textId="4C89EE3B" w:rsidR="00E76EDA" w:rsidRPr="00D63217" w:rsidRDefault="00E76EDA" w:rsidP="00E76EDA">
            <w:pPr>
              <w:pStyle w:val="TableText"/>
            </w:pPr>
            <w:r w:rsidRPr="00D63217">
              <w:t>Paraquat 250 g/L</w:t>
            </w:r>
          </w:p>
        </w:tc>
        <w:tc>
          <w:tcPr>
            <w:tcW w:w="1926" w:type="dxa"/>
          </w:tcPr>
          <w:p w14:paraId="309717CD" w14:textId="11E43408" w:rsidR="00E76EDA" w:rsidRPr="00D63217" w:rsidRDefault="00E76EDA" w:rsidP="00E76EDA">
            <w:pPr>
              <w:pStyle w:val="TableText"/>
            </w:pPr>
            <w:r w:rsidRPr="00D63217">
              <w:t>1a</w:t>
            </w:r>
          </w:p>
        </w:tc>
      </w:tr>
      <w:tr w:rsidR="00E76EDA" w:rsidRPr="00D63217" w14:paraId="3FE1319C" w14:textId="77777777" w:rsidTr="00AD2FF8">
        <w:tc>
          <w:tcPr>
            <w:tcW w:w="1925" w:type="dxa"/>
            <w:vAlign w:val="center"/>
          </w:tcPr>
          <w:p w14:paraId="4A72EF8C" w14:textId="50ED5E53" w:rsidR="00E76EDA" w:rsidRPr="00D63217" w:rsidRDefault="00E76EDA" w:rsidP="00E76EDA">
            <w:pPr>
              <w:pStyle w:val="TableText"/>
            </w:pPr>
            <w:r w:rsidRPr="00D63217">
              <w:t>65524</w:t>
            </w:r>
          </w:p>
        </w:tc>
        <w:tc>
          <w:tcPr>
            <w:tcW w:w="1925" w:type="dxa"/>
            <w:vAlign w:val="center"/>
          </w:tcPr>
          <w:p w14:paraId="365CBA22" w14:textId="3D488007" w:rsidR="00E76EDA" w:rsidRPr="00D63217" w:rsidRDefault="00E76EDA" w:rsidP="00E76EDA">
            <w:pPr>
              <w:pStyle w:val="TableText"/>
            </w:pPr>
            <w:r w:rsidRPr="00D63217">
              <w:t>Proterra Paraquat 250 Herbicide</w:t>
            </w:r>
          </w:p>
        </w:tc>
        <w:tc>
          <w:tcPr>
            <w:tcW w:w="1926" w:type="dxa"/>
            <w:vAlign w:val="center"/>
          </w:tcPr>
          <w:p w14:paraId="1E5D6FE3" w14:textId="21645946" w:rsidR="00E76EDA" w:rsidRPr="00D63217" w:rsidRDefault="00E76EDA" w:rsidP="00E76EDA">
            <w:pPr>
              <w:pStyle w:val="TableText"/>
            </w:pPr>
            <w:r w:rsidRPr="00D63217">
              <w:t>Proterra Pty Ltd</w:t>
            </w:r>
          </w:p>
        </w:tc>
        <w:tc>
          <w:tcPr>
            <w:tcW w:w="1926" w:type="dxa"/>
            <w:vAlign w:val="center"/>
          </w:tcPr>
          <w:p w14:paraId="019A2086" w14:textId="00BF10E4" w:rsidR="00E76EDA" w:rsidRPr="00D63217" w:rsidRDefault="00E76EDA" w:rsidP="00E76EDA">
            <w:pPr>
              <w:pStyle w:val="TableText"/>
            </w:pPr>
            <w:r w:rsidRPr="00D63217">
              <w:t>Paraquat 250 g/L</w:t>
            </w:r>
          </w:p>
        </w:tc>
        <w:tc>
          <w:tcPr>
            <w:tcW w:w="1926" w:type="dxa"/>
          </w:tcPr>
          <w:p w14:paraId="10DE6BFB" w14:textId="04CCCE15" w:rsidR="00E76EDA" w:rsidRPr="00D63217" w:rsidRDefault="00E76EDA" w:rsidP="00E76EDA">
            <w:pPr>
              <w:pStyle w:val="TableText"/>
            </w:pPr>
            <w:r w:rsidRPr="00D63217">
              <w:t>1a</w:t>
            </w:r>
          </w:p>
        </w:tc>
      </w:tr>
      <w:tr w:rsidR="00E76EDA" w:rsidRPr="00D63217" w14:paraId="7456064A" w14:textId="77777777" w:rsidTr="00AD2FF8">
        <w:tc>
          <w:tcPr>
            <w:tcW w:w="1925" w:type="dxa"/>
            <w:vAlign w:val="center"/>
          </w:tcPr>
          <w:p w14:paraId="75F46C3A" w14:textId="21C185E8" w:rsidR="00E76EDA" w:rsidRPr="00D63217" w:rsidRDefault="00E76EDA" w:rsidP="00E76EDA">
            <w:pPr>
              <w:pStyle w:val="TableText"/>
            </w:pPr>
            <w:r w:rsidRPr="00D63217">
              <w:t>65537</w:t>
            </w:r>
          </w:p>
        </w:tc>
        <w:tc>
          <w:tcPr>
            <w:tcW w:w="1925" w:type="dxa"/>
            <w:vAlign w:val="center"/>
          </w:tcPr>
          <w:p w14:paraId="3CE8ED59" w14:textId="183AE6F5" w:rsidR="00E76EDA" w:rsidRPr="00D63217" w:rsidRDefault="00E76EDA" w:rsidP="00E76EDA">
            <w:pPr>
              <w:pStyle w:val="TableText"/>
            </w:pPr>
            <w:r w:rsidRPr="00D63217">
              <w:t>Sanonda Herbicide Paraquat 250sl</w:t>
            </w:r>
          </w:p>
        </w:tc>
        <w:tc>
          <w:tcPr>
            <w:tcW w:w="1926" w:type="dxa"/>
            <w:vAlign w:val="center"/>
          </w:tcPr>
          <w:p w14:paraId="4EE647F9" w14:textId="26BAF808" w:rsidR="00E76EDA" w:rsidRPr="00D63217" w:rsidRDefault="00E76EDA" w:rsidP="00E76EDA">
            <w:pPr>
              <w:pStyle w:val="TableText"/>
            </w:pPr>
            <w:r w:rsidRPr="00D63217">
              <w:t>Sanonda (Australia) Pty Ltd</w:t>
            </w:r>
          </w:p>
        </w:tc>
        <w:tc>
          <w:tcPr>
            <w:tcW w:w="1926" w:type="dxa"/>
            <w:vAlign w:val="center"/>
          </w:tcPr>
          <w:p w14:paraId="7363F0B9" w14:textId="62659279" w:rsidR="00E76EDA" w:rsidRPr="00D63217" w:rsidRDefault="00E76EDA" w:rsidP="00E76EDA">
            <w:pPr>
              <w:pStyle w:val="TableText"/>
            </w:pPr>
            <w:r w:rsidRPr="00D63217">
              <w:t>Paraquat 250 g/L</w:t>
            </w:r>
          </w:p>
        </w:tc>
        <w:tc>
          <w:tcPr>
            <w:tcW w:w="1926" w:type="dxa"/>
          </w:tcPr>
          <w:p w14:paraId="5C16DE2B" w14:textId="7234CFC6" w:rsidR="00E76EDA" w:rsidRPr="00D63217" w:rsidRDefault="00E76EDA" w:rsidP="00E76EDA">
            <w:pPr>
              <w:pStyle w:val="TableText"/>
            </w:pPr>
            <w:r w:rsidRPr="00D63217">
              <w:t>1a</w:t>
            </w:r>
          </w:p>
        </w:tc>
      </w:tr>
      <w:tr w:rsidR="00E76EDA" w:rsidRPr="00D63217" w14:paraId="618312AB" w14:textId="77777777" w:rsidTr="00AD2FF8">
        <w:tc>
          <w:tcPr>
            <w:tcW w:w="1925" w:type="dxa"/>
            <w:vAlign w:val="center"/>
          </w:tcPr>
          <w:p w14:paraId="18FB8A04" w14:textId="6DCA1921" w:rsidR="00E76EDA" w:rsidRPr="00D63217" w:rsidRDefault="00E76EDA" w:rsidP="00E76EDA">
            <w:pPr>
              <w:pStyle w:val="TableText"/>
            </w:pPr>
            <w:r w:rsidRPr="00D63217">
              <w:t>65694</w:t>
            </w:r>
          </w:p>
        </w:tc>
        <w:tc>
          <w:tcPr>
            <w:tcW w:w="1925" w:type="dxa"/>
            <w:vAlign w:val="center"/>
          </w:tcPr>
          <w:p w14:paraId="04EA6CD6" w14:textId="7D32F91A" w:rsidR="00E76EDA" w:rsidRPr="00D63217" w:rsidRDefault="00E76EDA" w:rsidP="00E76EDA">
            <w:pPr>
              <w:pStyle w:val="TableText"/>
            </w:pPr>
            <w:r w:rsidRPr="00D63217">
              <w:t>Rainbow Paraquat 250 Sl Herbicide</w:t>
            </w:r>
          </w:p>
        </w:tc>
        <w:tc>
          <w:tcPr>
            <w:tcW w:w="1926" w:type="dxa"/>
            <w:vAlign w:val="center"/>
          </w:tcPr>
          <w:p w14:paraId="305DF5C1" w14:textId="278B4CDD" w:rsidR="00E76EDA" w:rsidRPr="00D63217" w:rsidRDefault="00E76EDA" w:rsidP="00E76EDA">
            <w:pPr>
              <w:pStyle w:val="TableText"/>
            </w:pPr>
            <w:r w:rsidRPr="00D63217">
              <w:t>Shandong Rainbow International Co Ltd</w:t>
            </w:r>
          </w:p>
        </w:tc>
        <w:tc>
          <w:tcPr>
            <w:tcW w:w="1926" w:type="dxa"/>
            <w:vAlign w:val="center"/>
          </w:tcPr>
          <w:p w14:paraId="1FA9C6CE" w14:textId="27453DA9" w:rsidR="00E76EDA" w:rsidRPr="00D63217" w:rsidRDefault="00E76EDA" w:rsidP="00E76EDA">
            <w:pPr>
              <w:pStyle w:val="TableText"/>
            </w:pPr>
            <w:r w:rsidRPr="00D63217">
              <w:t>Paraquat 250 g/L</w:t>
            </w:r>
          </w:p>
        </w:tc>
        <w:tc>
          <w:tcPr>
            <w:tcW w:w="1926" w:type="dxa"/>
          </w:tcPr>
          <w:p w14:paraId="4F3C9092" w14:textId="684CEE21" w:rsidR="00E76EDA" w:rsidRPr="00D63217" w:rsidRDefault="00E76EDA" w:rsidP="00E76EDA">
            <w:pPr>
              <w:pStyle w:val="TableText"/>
            </w:pPr>
            <w:r w:rsidRPr="00D63217">
              <w:t>1a</w:t>
            </w:r>
          </w:p>
        </w:tc>
      </w:tr>
      <w:tr w:rsidR="00E76EDA" w:rsidRPr="00D63217" w14:paraId="0BA29EBC" w14:textId="77777777" w:rsidTr="00AD2FF8">
        <w:tc>
          <w:tcPr>
            <w:tcW w:w="1925" w:type="dxa"/>
            <w:vAlign w:val="center"/>
          </w:tcPr>
          <w:p w14:paraId="6F8264BD" w14:textId="26107BD9" w:rsidR="00E76EDA" w:rsidRPr="00D63217" w:rsidRDefault="00E76EDA" w:rsidP="00E76EDA">
            <w:pPr>
              <w:pStyle w:val="TableText"/>
            </w:pPr>
            <w:r w:rsidRPr="00D63217">
              <w:t>65713</w:t>
            </w:r>
          </w:p>
        </w:tc>
        <w:tc>
          <w:tcPr>
            <w:tcW w:w="1925" w:type="dxa"/>
            <w:vAlign w:val="center"/>
          </w:tcPr>
          <w:p w14:paraId="785FA031" w14:textId="616C0B32" w:rsidR="00E76EDA" w:rsidRPr="00D63217" w:rsidRDefault="00E76EDA" w:rsidP="00E76EDA">
            <w:pPr>
              <w:pStyle w:val="TableText"/>
            </w:pPr>
            <w:r w:rsidRPr="00D63217">
              <w:t>Pacific Paraquat 250 Herbicide</w:t>
            </w:r>
          </w:p>
        </w:tc>
        <w:tc>
          <w:tcPr>
            <w:tcW w:w="1926" w:type="dxa"/>
            <w:vAlign w:val="center"/>
          </w:tcPr>
          <w:p w14:paraId="0791699F" w14:textId="08F6756D" w:rsidR="00E76EDA" w:rsidRPr="00D63217" w:rsidRDefault="00E76EDA" w:rsidP="00E76EDA">
            <w:pPr>
              <w:pStyle w:val="TableText"/>
            </w:pPr>
            <w:r w:rsidRPr="00D63217">
              <w:t>Pacific Agriscience Pty Ltd</w:t>
            </w:r>
          </w:p>
        </w:tc>
        <w:tc>
          <w:tcPr>
            <w:tcW w:w="1926" w:type="dxa"/>
            <w:vAlign w:val="center"/>
          </w:tcPr>
          <w:p w14:paraId="708DA8F0" w14:textId="7BFE29CF" w:rsidR="00E76EDA" w:rsidRPr="00D63217" w:rsidRDefault="00E76EDA" w:rsidP="00E76EDA">
            <w:pPr>
              <w:pStyle w:val="TableText"/>
            </w:pPr>
            <w:r w:rsidRPr="00D63217">
              <w:t>Paraquat 250 g/L</w:t>
            </w:r>
          </w:p>
        </w:tc>
        <w:tc>
          <w:tcPr>
            <w:tcW w:w="1926" w:type="dxa"/>
          </w:tcPr>
          <w:p w14:paraId="0596F787" w14:textId="5CCFEF67" w:rsidR="00E76EDA" w:rsidRPr="00D63217" w:rsidRDefault="00E76EDA" w:rsidP="00E76EDA">
            <w:pPr>
              <w:pStyle w:val="TableText"/>
            </w:pPr>
            <w:r w:rsidRPr="00D63217">
              <w:t>1a</w:t>
            </w:r>
          </w:p>
        </w:tc>
      </w:tr>
      <w:tr w:rsidR="00E76EDA" w:rsidRPr="00D63217" w14:paraId="69D0CAE8" w14:textId="77777777" w:rsidTr="00AD2FF8">
        <w:tc>
          <w:tcPr>
            <w:tcW w:w="1925" w:type="dxa"/>
            <w:vAlign w:val="center"/>
          </w:tcPr>
          <w:p w14:paraId="4E2F0AAF" w14:textId="72039E87" w:rsidR="00E76EDA" w:rsidRPr="00D63217" w:rsidRDefault="00E76EDA" w:rsidP="00E76EDA">
            <w:pPr>
              <w:pStyle w:val="TableText"/>
            </w:pPr>
            <w:r w:rsidRPr="00D63217">
              <w:t>66103</w:t>
            </w:r>
          </w:p>
        </w:tc>
        <w:tc>
          <w:tcPr>
            <w:tcW w:w="1925" w:type="dxa"/>
            <w:vAlign w:val="center"/>
          </w:tcPr>
          <w:p w14:paraId="7DB9BE7A" w14:textId="0FE58946" w:rsidR="00E76EDA" w:rsidRPr="00D63217" w:rsidRDefault="00E76EDA" w:rsidP="00E76EDA">
            <w:pPr>
              <w:pStyle w:val="TableText"/>
            </w:pPr>
            <w:r w:rsidRPr="00D63217">
              <w:t>Apparent Paraquat 250 Herbicide</w:t>
            </w:r>
          </w:p>
        </w:tc>
        <w:tc>
          <w:tcPr>
            <w:tcW w:w="1926" w:type="dxa"/>
            <w:vAlign w:val="center"/>
          </w:tcPr>
          <w:p w14:paraId="59CD50FE" w14:textId="73CFE904" w:rsidR="00E76EDA" w:rsidRPr="00D63217" w:rsidRDefault="00E76EDA" w:rsidP="00E76EDA">
            <w:pPr>
              <w:pStyle w:val="TableText"/>
            </w:pPr>
            <w:r w:rsidRPr="00D63217">
              <w:t>Titan Ag Pty Ltd</w:t>
            </w:r>
          </w:p>
        </w:tc>
        <w:tc>
          <w:tcPr>
            <w:tcW w:w="1926" w:type="dxa"/>
            <w:vAlign w:val="center"/>
          </w:tcPr>
          <w:p w14:paraId="34A91816" w14:textId="7B68FE52" w:rsidR="00E76EDA" w:rsidRPr="00D63217" w:rsidRDefault="00E76EDA" w:rsidP="00E76EDA">
            <w:pPr>
              <w:pStyle w:val="TableText"/>
            </w:pPr>
            <w:r w:rsidRPr="00D63217">
              <w:t>Paraquat 250 g/L</w:t>
            </w:r>
          </w:p>
        </w:tc>
        <w:tc>
          <w:tcPr>
            <w:tcW w:w="1926" w:type="dxa"/>
          </w:tcPr>
          <w:p w14:paraId="560DC87A" w14:textId="5C758FCD" w:rsidR="00E76EDA" w:rsidRPr="00D63217" w:rsidRDefault="00E76EDA" w:rsidP="00E76EDA">
            <w:pPr>
              <w:pStyle w:val="TableText"/>
            </w:pPr>
            <w:r w:rsidRPr="00D63217">
              <w:t>1a</w:t>
            </w:r>
          </w:p>
        </w:tc>
      </w:tr>
      <w:tr w:rsidR="00E76EDA" w:rsidRPr="00D63217" w14:paraId="454E50EA" w14:textId="77777777" w:rsidTr="00AD2FF8">
        <w:tc>
          <w:tcPr>
            <w:tcW w:w="1925" w:type="dxa"/>
            <w:vAlign w:val="center"/>
          </w:tcPr>
          <w:p w14:paraId="13C0511C" w14:textId="0A2B2D33" w:rsidR="00E76EDA" w:rsidRPr="00D63217" w:rsidRDefault="00E76EDA" w:rsidP="00E76EDA">
            <w:pPr>
              <w:pStyle w:val="TableText"/>
            </w:pPr>
            <w:r w:rsidRPr="00D63217">
              <w:t>66249</w:t>
            </w:r>
          </w:p>
        </w:tc>
        <w:tc>
          <w:tcPr>
            <w:tcW w:w="1925" w:type="dxa"/>
            <w:vAlign w:val="center"/>
          </w:tcPr>
          <w:p w14:paraId="53F44D1A" w14:textId="3571C2FD" w:rsidR="00E76EDA" w:rsidRPr="00D63217" w:rsidRDefault="00E76EDA" w:rsidP="00E76EDA">
            <w:pPr>
              <w:pStyle w:val="TableText"/>
            </w:pPr>
            <w:r w:rsidRPr="00D63217">
              <w:t>AW Putout 250 Herbicide</w:t>
            </w:r>
          </w:p>
        </w:tc>
        <w:tc>
          <w:tcPr>
            <w:tcW w:w="1926" w:type="dxa"/>
            <w:vAlign w:val="center"/>
          </w:tcPr>
          <w:p w14:paraId="5E3EC58C" w14:textId="685225FF" w:rsidR="00E76EDA" w:rsidRPr="00D63217" w:rsidRDefault="00E76EDA" w:rsidP="00E76EDA">
            <w:pPr>
              <w:pStyle w:val="TableText"/>
            </w:pPr>
            <w:r w:rsidRPr="00D63217">
              <w:t>Agri West Pty Limited</w:t>
            </w:r>
          </w:p>
        </w:tc>
        <w:tc>
          <w:tcPr>
            <w:tcW w:w="1926" w:type="dxa"/>
            <w:vAlign w:val="center"/>
          </w:tcPr>
          <w:p w14:paraId="292D634D" w14:textId="5286D415" w:rsidR="00E76EDA" w:rsidRPr="00D63217" w:rsidRDefault="00E76EDA" w:rsidP="00E76EDA">
            <w:pPr>
              <w:pStyle w:val="TableText"/>
            </w:pPr>
            <w:r w:rsidRPr="00D63217">
              <w:t>Paraquat 250 g/L</w:t>
            </w:r>
          </w:p>
        </w:tc>
        <w:tc>
          <w:tcPr>
            <w:tcW w:w="1926" w:type="dxa"/>
          </w:tcPr>
          <w:p w14:paraId="4D4759D6" w14:textId="066A94E0" w:rsidR="00E76EDA" w:rsidRPr="00D63217" w:rsidRDefault="00E76EDA" w:rsidP="00E76EDA">
            <w:pPr>
              <w:pStyle w:val="TableText"/>
            </w:pPr>
            <w:r w:rsidRPr="00D63217">
              <w:t>1a</w:t>
            </w:r>
          </w:p>
        </w:tc>
      </w:tr>
      <w:tr w:rsidR="00E76EDA" w:rsidRPr="00D63217" w14:paraId="1C4828D6" w14:textId="77777777" w:rsidTr="00AD2FF8">
        <w:tc>
          <w:tcPr>
            <w:tcW w:w="1925" w:type="dxa"/>
            <w:vAlign w:val="center"/>
          </w:tcPr>
          <w:p w14:paraId="35D76429" w14:textId="4526487A" w:rsidR="00E76EDA" w:rsidRPr="00D63217" w:rsidRDefault="00E76EDA" w:rsidP="00E76EDA">
            <w:pPr>
              <w:pStyle w:val="TableText"/>
            </w:pPr>
            <w:r w:rsidRPr="00D63217">
              <w:t>66531</w:t>
            </w:r>
          </w:p>
        </w:tc>
        <w:tc>
          <w:tcPr>
            <w:tcW w:w="1925" w:type="dxa"/>
            <w:vAlign w:val="center"/>
          </w:tcPr>
          <w:p w14:paraId="232A4F97" w14:textId="68B74690" w:rsidR="00E76EDA" w:rsidRPr="00D63217" w:rsidRDefault="00E76EDA" w:rsidP="00E76EDA">
            <w:pPr>
              <w:pStyle w:val="TableText"/>
            </w:pPr>
            <w:r w:rsidRPr="00D63217">
              <w:t>ACP Paraquat 250 Herbicide</w:t>
            </w:r>
          </w:p>
        </w:tc>
        <w:tc>
          <w:tcPr>
            <w:tcW w:w="1926" w:type="dxa"/>
            <w:vAlign w:val="center"/>
          </w:tcPr>
          <w:p w14:paraId="293C0D67" w14:textId="5A1ADEC6" w:rsidR="00E76EDA" w:rsidRPr="00D63217" w:rsidRDefault="00E76EDA" w:rsidP="00E76EDA">
            <w:pPr>
              <w:pStyle w:val="TableText"/>
            </w:pPr>
            <w:r w:rsidRPr="00D63217">
              <w:t>Australis Crop Protection Pty Ltd</w:t>
            </w:r>
          </w:p>
        </w:tc>
        <w:tc>
          <w:tcPr>
            <w:tcW w:w="1926" w:type="dxa"/>
            <w:vAlign w:val="center"/>
          </w:tcPr>
          <w:p w14:paraId="7FDAEF12" w14:textId="57917EE2" w:rsidR="00E76EDA" w:rsidRPr="00D63217" w:rsidRDefault="00E76EDA" w:rsidP="00E76EDA">
            <w:pPr>
              <w:pStyle w:val="TableText"/>
            </w:pPr>
            <w:r w:rsidRPr="00D63217">
              <w:t>Paraquat 250 g/L</w:t>
            </w:r>
          </w:p>
        </w:tc>
        <w:tc>
          <w:tcPr>
            <w:tcW w:w="1926" w:type="dxa"/>
          </w:tcPr>
          <w:p w14:paraId="0D1290C2" w14:textId="5EBE1448" w:rsidR="00E76EDA" w:rsidRPr="00D63217" w:rsidRDefault="00E76EDA" w:rsidP="00E76EDA">
            <w:pPr>
              <w:pStyle w:val="TableText"/>
            </w:pPr>
            <w:r w:rsidRPr="00D63217">
              <w:t>1a</w:t>
            </w:r>
          </w:p>
        </w:tc>
      </w:tr>
      <w:tr w:rsidR="00E76EDA" w:rsidRPr="00D63217" w14:paraId="7ED0B1D0" w14:textId="77777777" w:rsidTr="00AD2FF8">
        <w:tc>
          <w:tcPr>
            <w:tcW w:w="1925" w:type="dxa"/>
            <w:vAlign w:val="center"/>
          </w:tcPr>
          <w:p w14:paraId="3714F0FF" w14:textId="53E13150" w:rsidR="00E76EDA" w:rsidRPr="00D63217" w:rsidRDefault="00E76EDA" w:rsidP="00E76EDA">
            <w:pPr>
              <w:pStyle w:val="TableText"/>
            </w:pPr>
            <w:r w:rsidRPr="00D63217">
              <w:t>66548</w:t>
            </w:r>
          </w:p>
        </w:tc>
        <w:tc>
          <w:tcPr>
            <w:tcW w:w="1925" w:type="dxa"/>
            <w:vAlign w:val="center"/>
          </w:tcPr>
          <w:p w14:paraId="396E2A73" w14:textId="012DACAC" w:rsidR="00E76EDA" w:rsidRPr="00D63217" w:rsidRDefault="00E76EDA" w:rsidP="00E76EDA">
            <w:pPr>
              <w:pStyle w:val="TableText"/>
            </w:pPr>
            <w:r w:rsidRPr="00D63217">
              <w:t>Echem Paraquat 250 Herbicide</w:t>
            </w:r>
          </w:p>
        </w:tc>
        <w:tc>
          <w:tcPr>
            <w:tcW w:w="1926" w:type="dxa"/>
            <w:vAlign w:val="center"/>
          </w:tcPr>
          <w:p w14:paraId="525F4003" w14:textId="5045F775" w:rsidR="00E76EDA" w:rsidRPr="00D63217" w:rsidRDefault="00E76EDA" w:rsidP="00E76EDA">
            <w:pPr>
              <w:pStyle w:val="TableText"/>
            </w:pPr>
            <w:r w:rsidRPr="00D63217">
              <w:t>Echem (Aust) Pty Limited</w:t>
            </w:r>
          </w:p>
        </w:tc>
        <w:tc>
          <w:tcPr>
            <w:tcW w:w="1926" w:type="dxa"/>
            <w:vAlign w:val="center"/>
          </w:tcPr>
          <w:p w14:paraId="2B27A2CF" w14:textId="620B4167" w:rsidR="00E76EDA" w:rsidRPr="00D63217" w:rsidRDefault="00E76EDA" w:rsidP="00E76EDA">
            <w:pPr>
              <w:pStyle w:val="TableText"/>
            </w:pPr>
            <w:r w:rsidRPr="00D63217">
              <w:t>Paraquat 250 g/L</w:t>
            </w:r>
          </w:p>
        </w:tc>
        <w:tc>
          <w:tcPr>
            <w:tcW w:w="1926" w:type="dxa"/>
          </w:tcPr>
          <w:p w14:paraId="2A9DB25F" w14:textId="1BABF467" w:rsidR="00E76EDA" w:rsidRPr="00D63217" w:rsidRDefault="00E76EDA" w:rsidP="00E76EDA">
            <w:pPr>
              <w:pStyle w:val="TableText"/>
            </w:pPr>
            <w:r w:rsidRPr="00D63217">
              <w:t>1a</w:t>
            </w:r>
          </w:p>
        </w:tc>
      </w:tr>
      <w:tr w:rsidR="00E76EDA" w:rsidRPr="00D63217" w14:paraId="53ADEBEC" w14:textId="77777777" w:rsidTr="00AD2FF8">
        <w:tc>
          <w:tcPr>
            <w:tcW w:w="1925" w:type="dxa"/>
            <w:vAlign w:val="center"/>
          </w:tcPr>
          <w:p w14:paraId="00938EE3" w14:textId="27332D75" w:rsidR="00E76EDA" w:rsidRPr="00D63217" w:rsidRDefault="00E76EDA" w:rsidP="00E76EDA">
            <w:pPr>
              <w:pStyle w:val="TableText"/>
            </w:pPr>
            <w:r w:rsidRPr="00D63217">
              <w:t>67163</w:t>
            </w:r>
          </w:p>
        </w:tc>
        <w:tc>
          <w:tcPr>
            <w:tcW w:w="1925" w:type="dxa"/>
            <w:vAlign w:val="center"/>
          </w:tcPr>
          <w:p w14:paraId="37DD5343" w14:textId="71639A4C" w:rsidR="00E76EDA" w:rsidRPr="00D63217" w:rsidRDefault="00E76EDA" w:rsidP="00E76EDA">
            <w:pPr>
              <w:pStyle w:val="TableText"/>
            </w:pPr>
            <w:r w:rsidRPr="00D63217">
              <w:t>Easyfarm Paraquat 250 SL Herbicide</w:t>
            </w:r>
          </w:p>
        </w:tc>
        <w:tc>
          <w:tcPr>
            <w:tcW w:w="1926" w:type="dxa"/>
            <w:vAlign w:val="center"/>
          </w:tcPr>
          <w:p w14:paraId="40CFFF0B" w14:textId="152349AD" w:rsidR="00E76EDA" w:rsidRPr="00D63217" w:rsidRDefault="00E76EDA" w:rsidP="00E76EDA">
            <w:pPr>
              <w:pStyle w:val="TableText"/>
            </w:pPr>
            <w:r w:rsidRPr="00D63217">
              <w:t>Easyfarm Pty Ltd</w:t>
            </w:r>
          </w:p>
        </w:tc>
        <w:tc>
          <w:tcPr>
            <w:tcW w:w="1926" w:type="dxa"/>
            <w:vAlign w:val="center"/>
          </w:tcPr>
          <w:p w14:paraId="067815CD" w14:textId="738F3574" w:rsidR="00E76EDA" w:rsidRPr="00D63217" w:rsidRDefault="00E76EDA" w:rsidP="00E76EDA">
            <w:pPr>
              <w:pStyle w:val="TableText"/>
            </w:pPr>
            <w:r w:rsidRPr="00D63217">
              <w:t>Paraquat 250 g/L</w:t>
            </w:r>
          </w:p>
        </w:tc>
        <w:tc>
          <w:tcPr>
            <w:tcW w:w="1926" w:type="dxa"/>
          </w:tcPr>
          <w:p w14:paraId="47E913EB" w14:textId="5C68DC0A" w:rsidR="00E76EDA" w:rsidRPr="00D63217" w:rsidRDefault="00E76EDA" w:rsidP="00E76EDA">
            <w:pPr>
              <w:pStyle w:val="TableText"/>
            </w:pPr>
            <w:r w:rsidRPr="00D63217">
              <w:t>1a</w:t>
            </w:r>
          </w:p>
        </w:tc>
      </w:tr>
      <w:tr w:rsidR="00E76EDA" w:rsidRPr="00D63217" w14:paraId="3E650726" w14:textId="77777777" w:rsidTr="00AD2FF8">
        <w:tc>
          <w:tcPr>
            <w:tcW w:w="1925" w:type="dxa"/>
            <w:vAlign w:val="center"/>
          </w:tcPr>
          <w:p w14:paraId="3D233D20" w14:textId="05CE3344" w:rsidR="00E76EDA" w:rsidRPr="00D63217" w:rsidRDefault="00E76EDA" w:rsidP="00E76EDA">
            <w:pPr>
              <w:pStyle w:val="TableText"/>
            </w:pPr>
            <w:r w:rsidRPr="00D63217">
              <w:t>67307</w:t>
            </w:r>
          </w:p>
        </w:tc>
        <w:tc>
          <w:tcPr>
            <w:tcW w:w="1925" w:type="dxa"/>
            <w:vAlign w:val="center"/>
          </w:tcPr>
          <w:p w14:paraId="0BECBE48" w14:textId="52915AC5" w:rsidR="00E76EDA" w:rsidRPr="00D63217" w:rsidRDefault="00E76EDA" w:rsidP="00E76EDA">
            <w:pPr>
              <w:pStyle w:val="TableText"/>
            </w:pPr>
            <w:r w:rsidRPr="00D63217">
              <w:t>AC Piston 250 Herbicide</w:t>
            </w:r>
          </w:p>
        </w:tc>
        <w:tc>
          <w:tcPr>
            <w:tcW w:w="1926" w:type="dxa"/>
            <w:vAlign w:val="center"/>
          </w:tcPr>
          <w:p w14:paraId="144C98D7" w14:textId="2D5411B5" w:rsidR="00E76EDA" w:rsidRPr="00D63217" w:rsidRDefault="00E76EDA" w:rsidP="00E76EDA">
            <w:pPr>
              <w:pStyle w:val="TableText"/>
            </w:pPr>
            <w:r w:rsidRPr="00D63217">
              <w:t>Axichem Pty Ltd</w:t>
            </w:r>
          </w:p>
        </w:tc>
        <w:tc>
          <w:tcPr>
            <w:tcW w:w="1926" w:type="dxa"/>
            <w:vAlign w:val="center"/>
          </w:tcPr>
          <w:p w14:paraId="59902AEC" w14:textId="0CF2585C" w:rsidR="00E76EDA" w:rsidRPr="00D63217" w:rsidRDefault="00E76EDA" w:rsidP="00E76EDA">
            <w:pPr>
              <w:pStyle w:val="TableText"/>
            </w:pPr>
            <w:r w:rsidRPr="00D63217">
              <w:t>Paraquat 250 g/L</w:t>
            </w:r>
          </w:p>
        </w:tc>
        <w:tc>
          <w:tcPr>
            <w:tcW w:w="1926" w:type="dxa"/>
          </w:tcPr>
          <w:p w14:paraId="0ACB9021" w14:textId="314876B8" w:rsidR="00E76EDA" w:rsidRPr="00D63217" w:rsidRDefault="00E76EDA" w:rsidP="00E76EDA">
            <w:pPr>
              <w:pStyle w:val="TableText"/>
            </w:pPr>
            <w:r w:rsidRPr="00D63217">
              <w:t>1a</w:t>
            </w:r>
          </w:p>
        </w:tc>
      </w:tr>
      <w:tr w:rsidR="00E76EDA" w:rsidRPr="00D63217" w14:paraId="3DC3FB91" w14:textId="77777777" w:rsidTr="00AD2FF8">
        <w:tc>
          <w:tcPr>
            <w:tcW w:w="1925" w:type="dxa"/>
            <w:vAlign w:val="center"/>
          </w:tcPr>
          <w:p w14:paraId="65F2A96C" w14:textId="0D3813F0" w:rsidR="00E76EDA" w:rsidRPr="00D63217" w:rsidRDefault="00E76EDA" w:rsidP="00E76EDA">
            <w:pPr>
              <w:pStyle w:val="TableText"/>
            </w:pPr>
            <w:r w:rsidRPr="00D63217">
              <w:t>67437</w:t>
            </w:r>
          </w:p>
        </w:tc>
        <w:tc>
          <w:tcPr>
            <w:tcW w:w="1925" w:type="dxa"/>
            <w:vAlign w:val="center"/>
          </w:tcPr>
          <w:p w14:paraId="295A8F0B" w14:textId="3B61A718" w:rsidR="00E76EDA" w:rsidRPr="00D63217" w:rsidRDefault="00E76EDA" w:rsidP="00E76EDA">
            <w:pPr>
              <w:pStyle w:val="TableText"/>
            </w:pPr>
            <w:r w:rsidRPr="00D63217">
              <w:t>Agroquat 250 Herbicide</w:t>
            </w:r>
          </w:p>
        </w:tc>
        <w:tc>
          <w:tcPr>
            <w:tcW w:w="1926" w:type="dxa"/>
            <w:vAlign w:val="center"/>
          </w:tcPr>
          <w:p w14:paraId="122E67AD" w14:textId="2C541372" w:rsidR="00E76EDA" w:rsidRPr="00D63217" w:rsidRDefault="00E76EDA" w:rsidP="00E76EDA">
            <w:pPr>
              <w:pStyle w:val="TableText"/>
            </w:pPr>
            <w:r w:rsidRPr="00D63217">
              <w:t>Agrogill Chemicals Pty Ltd</w:t>
            </w:r>
          </w:p>
        </w:tc>
        <w:tc>
          <w:tcPr>
            <w:tcW w:w="1926" w:type="dxa"/>
            <w:vAlign w:val="center"/>
          </w:tcPr>
          <w:p w14:paraId="194C00B0" w14:textId="202D4C88" w:rsidR="00E76EDA" w:rsidRPr="00D63217" w:rsidRDefault="00E76EDA" w:rsidP="00E76EDA">
            <w:pPr>
              <w:pStyle w:val="TableText"/>
            </w:pPr>
            <w:r w:rsidRPr="00D63217">
              <w:t>Paraquat 250 g/L</w:t>
            </w:r>
          </w:p>
        </w:tc>
        <w:tc>
          <w:tcPr>
            <w:tcW w:w="1926" w:type="dxa"/>
          </w:tcPr>
          <w:p w14:paraId="13C31331" w14:textId="330956F2" w:rsidR="00E76EDA" w:rsidRPr="00D63217" w:rsidRDefault="00E76EDA" w:rsidP="00E76EDA">
            <w:pPr>
              <w:pStyle w:val="TableText"/>
            </w:pPr>
            <w:r w:rsidRPr="00D63217">
              <w:t>1a</w:t>
            </w:r>
          </w:p>
        </w:tc>
      </w:tr>
      <w:tr w:rsidR="00E76EDA" w:rsidRPr="00D63217" w14:paraId="1022DC7C" w14:textId="77777777" w:rsidTr="00AD2FF8">
        <w:tc>
          <w:tcPr>
            <w:tcW w:w="1925" w:type="dxa"/>
            <w:vAlign w:val="center"/>
          </w:tcPr>
          <w:p w14:paraId="73541007" w14:textId="307ABA15" w:rsidR="00E76EDA" w:rsidRPr="00D63217" w:rsidRDefault="00E76EDA" w:rsidP="00E76EDA">
            <w:pPr>
              <w:pStyle w:val="TableText"/>
            </w:pPr>
            <w:r w:rsidRPr="00D63217">
              <w:t>67888</w:t>
            </w:r>
          </w:p>
        </w:tc>
        <w:tc>
          <w:tcPr>
            <w:tcW w:w="1925" w:type="dxa"/>
            <w:vAlign w:val="center"/>
          </w:tcPr>
          <w:p w14:paraId="7AF7C2BE" w14:textId="6F417DE9" w:rsidR="00E76EDA" w:rsidRPr="00D63217" w:rsidRDefault="00E76EDA" w:rsidP="00E76EDA">
            <w:pPr>
              <w:pStyle w:val="TableText"/>
            </w:pPr>
            <w:r w:rsidRPr="00D63217">
              <w:t>Spalding Paraquat 250 Herbicide</w:t>
            </w:r>
          </w:p>
        </w:tc>
        <w:tc>
          <w:tcPr>
            <w:tcW w:w="1926" w:type="dxa"/>
            <w:vAlign w:val="center"/>
          </w:tcPr>
          <w:p w14:paraId="0DF6E9F0" w14:textId="3E883C05" w:rsidR="00E76EDA" w:rsidRPr="00D63217" w:rsidRDefault="00E76EDA" w:rsidP="00E76EDA">
            <w:pPr>
              <w:pStyle w:val="TableText"/>
            </w:pPr>
            <w:r w:rsidRPr="00D63217">
              <w:t>DGL Environmental Pty Ltd</w:t>
            </w:r>
          </w:p>
        </w:tc>
        <w:tc>
          <w:tcPr>
            <w:tcW w:w="1926" w:type="dxa"/>
            <w:vAlign w:val="center"/>
          </w:tcPr>
          <w:p w14:paraId="547959DA" w14:textId="16C3BFD9" w:rsidR="00E76EDA" w:rsidRPr="00D63217" w:rsidRDefault="00E76EDA" w:rsidP="00E76EDA">
            <w:pPr>
              <w:pStyle w:val="TableText"/>
            </w:pPr>
            <w:r w:rsidRPr="00D63217">
              <w:t>Paraquat 250 g/L</w:t>
            </w:r>
          </w:p>
        </w:tc>
        <w:tc>
          <w:tcPr>
            <w:tcW w:w="1926" w:type="dxa"/>
          </w:tcPr>
          <w:p w14:paraId="4E78ECD7" w14:textId="6763E9CF" w:rsidR="00E76EDA" w:rsidRPr="00D63217" w:rsidRDefault="00E76EDA" w:rsidP="00E76EDA">
            <w:pPr>
              <w:pStyle w:val="TableText"/>
            </w:pPr>
            <w:r w:rsidRPr="00D63217">
              <w:t>1a</w:t>
            </w:r>
          </w:p>
        </w:tc>
      </w:tr>
      <w:tr w:rsidR="00E76EDA" w:rsidRPr="00D63217" w14:paraId="52019BB3" w14:textId="77777777" w:rsidTr="00AD2FF8">
        <w:tc>
          <w:tcPr>
            <w:tcW w:w="1925" w:type="dxa"/>
            <w:vAlign w:val="center"/>
          </w:tcPr>
          <w:p w14:paraId="12BA20D1" w14:textId="0B7366B5" w:rsidR="00E76EDA" w:rsidRPr="00D63217" w:rsidRDefault="00E76EDA" w:rsidP="00E76EDA">
            <w:pPr>
              <w:pStyle w:val="TableText"/>
            </w:pPr>
            <w:r w:rsidRPr="00D63217">
              <w:lastRenderedPageBreak/>
              <w:t>67977</w:t>
            </w:r>
          </w:p>
        </w:tc>
        <w:tc>
          <w:tcPr>
            <w:tcW w:w="1925" w:type="dxa"/>
            <w:vAlign w:val="center"/>
          </w:tcPr>
          <w:p w14:paraId="0989AB2D" w14:textId="6537EDE4" w:rsidR="00E76EDA" w:rsidRPr="00D63217" w:rsidRDefault="00E76EDA" w:rsidP="00E76EDA">
            <w:pPr>
              <w:pStyle w:val="TableText"/>
            </w:pPr>
            <w:r w:rsidRPr="00D63217">
              <w:t>Ezycrop Paraquat 250 SL Herbicide</w:t>
            </w:r>
          </w:p>
        </w:tc>
        <w:tc>
          <w:tcPr>
            <w:tcW w:w="1926" w:type="dxa"/>
            <w:vAlign w:val="center"/>
          </w:tcPr>
          <w:p w14:paraId="01788823" w14:textId="2DAE3040" w:rsidR="00E76EDA" w:rsidRPr="00D63217" w:rsidRDefault="00E76EDA" w:rsidP="00E76EDA">
            <w:pPr>
              <w:pStyle w:val="TableText"/>
            </w:pPr>
            <w:r w:rsidRPr="00D63217">
              <w:t>Ezycrop Pty Ltd</w:t>
            </w:r>
          </w:p>
        </w:tc>
        <w:tc>
          <w:tcPr>
            <w:tcW w:w="1926" w:type="dxa"/>
            <w:vAlign w:val="center"/>
          </w:tcPr>
          <w:p w14:paraId="080B4F54" w14:textId="53098862" w:rsidR="00E76EDA" w:rsidRPr="00D63217" w:rsidRDefault="00E76EDA" w:rsidP="00E76EDA">
            <w:pPr>
              <w:pStyle w:val="TableText"/>
            </w:pPr>
            <w:r w:rsidRPr="00D63217">
              <w:t>Paraquat 250 g/L</w:t>
            </w:r>
          </w:p>
        </w:tc>
        <w:tc>
          <w:tcPr>
            <w:tcW w:w="1926" w:type="dxa"/>
          </w:tcPr>
          <w:p w14:paraId="34EF0E3A" w14:textId="47890308" w:rsidR="00E76EDA" w:rsidRPr="00D63217" w:rsidRDefault="00E76EDA" w:rsidP="00E76EDA">
            <w:pPr>
              <w:pStyle w:val="TableText"/>
            </w:pPr>
            <w:r w:rsidRPr="00D63217">
              <w:t>1a</w:t>
            </w:r>
          </w:p>
        </w:tc>
      </w:tr>
      <w:tr w:rsidR="00E76EDA" w:rsidRPr="00D63217" w14:paraId="1FC33CD5" w14:textId="77777777" w:rsidTr="00AD2FF8">
        <w:tc>
          <w:tcPr>
            <w:tcW w:w="1925" w:type="dxa"/>
            <w:vAlign w:val="center"/>
          </w:tcPr>
          <w:p w14:paraId="7262C2B6" w14:textId="0E7DDAB9" w:rsidR="00E76EDA" w:rsidRPr="00D63217" w:rsidRDefault="00E76EDA" w:rsidP="00E76EDA">
            <w:pPr>
              <w:pStyle w:val="TableText"/>
            </w:pPr>
            <w:r w:rsidRPr="00D63217">
              <w:t>68196</w:t>
            </w:r>
          </w:p>
        </w:tc>
        <w:tc>
          <w:tcPr>
            <w:tcW w:w="1925" w:type="dxa"/>
            <w:vAlign w:val="center"/>
          </w:tcPr>
          <w:p w14:paraId="51D4B827" w14:textId="0D3CAC06" w:rsidR="00E76EDA" w:rsidRPr="00D63217" w:rsidRDefault="00E76EDA" w:rsidP="00E76EDA">
            <w:pPr>
              <w:pStyle w:val="TableText"/>
            </w:pPr>
            <w:r w:rsidRPr="00D63217">
              <w:t>Novaguard Paraquat 250 SL Herbicide</w:t>
            </w:r>
          </w:p>
        </w:tc>
        <w:tc>
          <w:tcPr>
            <w:tcW w:w="1926" w:type="dxa"/>
            <w:vAlign w:val="center"/>
          </w:tcPr>
          <w:p w14:paraId="68A989B5" w14:textId="6BA01A39" w:rsidR="00E76EDA" w:rsidRPr="00D63217" w:rsidRDefault="00E76EDA" w:rsidP="00E76EDA">
            <w:pPr>
              <w:pStyle w:val="TableText"/>
            </w:pPr>
            <w:r w:rsidRPr="00D63217">
              <w:t>Novaguard Pty Ltd</w:t>
            </w:r>
          </w:p>
        </w:tc>
        <w:tc>
          <w:tcPr>
            <w:tcW w:w="1926" w:type="dxa"/>
            <w:vAlign w:val="center"/>
          </w:tcPr>
          <w:p w14:paraId="4B14C0EA" w14:textId="6BBE584C" w:rsidR="00E76EDA" w:rsidRPr="00D63217" w:rsidRDefault="00E76EDA" w:rsidP="00E76EDA">
            <w:pPr>
              <w:pStyle w:val="TableText"/>
            </w:pPr>
            <w:r w:rsidRPr="00D63217">
              <w:t>Paraquat 250 g/L</w:t>
            </w:r>
          </w:p>
        </w:tc>
        <w:tc>
          <w:tcPr>
            <w:tcW w:w="1926" w:type="dxa"/>
          </w:tcPr>
          <w:p w14:paraId="7639BAE1" w14:textId="16D88567" w:rsidR="00E76EDA" w:rsidRPr="00D63217" w:rsidRDefault="00E76EDA" w:rsidP="00E76EDA">
            <w:pPr>
              <w:pStyle w:val="TableText"/>
            </w:pPr>
            <w:r w:rsidRPr="00D63217">
              <w:t>1a</w:t>
            </w:r>
          </w:p>
        </w:tc>
      </w:tr>
      <w:tr w:rsidR="00E76EDA" w:rsidRPr="00D63217" w14:paraId="3A2730AF" w14:textId="77777777" w:rsidTr="00AD2FF8">
        <w:tc>
          <w:tcPr>
            <w:tcW w:w="1925" w:type="dxa"/>
            <w:vAlign w:val="center"/>
          </w:tcPr>
          <w:p w14:paraId="74192502" w14:textId="781AF7D0" w:rsidR="00E76EDA" w:rsidRPr="00D63217" w:rsidRDefault="00E76EDA" w:rsidP="00E76EDA">
            <w:pPr>
              <w:pStyle w:val="TableText"/>
            </w:pPr>
            <w:r w:rsidRPr="00D63217">
              <w:t>68477</w:t>
            </w:r>
          </w:p>
        </w:tc>
        <w:tc>
          <w:tcPr>
            <w:tcW w:w="1925" w:type="dxa"/>
            <w:vAlign w:val="center"/>
          </w:tcPr>
          <w:p w14:paraId="03ADA971" w14:textId="3DA1D130" w:rsidR="00E76EDA" w:rsidRPr="00D63217" w:rsidRDefault="00E76EDA" w:rsidP="00E76EDA">
            <w:pPr>
              <w:pStyle w:val="TableText"/>
            </w:pPr>
            <w:r w:rsidRPr="00D63217">
              <w:t>Agmate Paraquat 250 SL Herbicide</w:t>
            </w:r>
          </w:p>
        </w:tc>
        <w:tc>
          <w:tcPr>
            <w:tcW w:w="1926" w:type="dxa"/>
            <w:vAlign w:val="center"/>
          </w:tcPr>
          <w:p w14:paraId="3849F88B" w14:textId="03E2E433" w:rsidR="00E76EDA" w:rsidRPr="00D63217" w:rsidRDefault="00E76EDA" w:rsidP="00E76EDA">
            <w:pPr>
              <w:pStyle w:val="TableText"/>
            </w:pPr>
            <w:r w:rsidRPr="00D63217">
              <w:t>Agcare Pty Ltd</w:t>
            </w:r>
          </w:p>
        </w:tc>
        <w:tc>
          <w:tcPr>
            <w:tcW w:w="1926" w:type="dxa"/>
            <w:vAlign w:val="center"/>
          </w:tcPr>
          <w:p w14:paraId="08D0B195" w14:textId="12E0ED7D" w:rsidR="00E76EDA" w:rsidRPr="00D63217" w:rsidRDefault="00E76EDA" w:rsidP="00E76EDA">
            <w:pPr>
              <w:pStyle w:val="TableText"/>
            </w:pPr>
            <w:r w:rsidRPr="00D63217">
              <w:t>Paraquat 250 g/L</w:t>
            </w:r>
          </w:p>
        </w:tc>
        <w:tc>
          <w:tcPr>
            <w:tcW w:w="1926" w:type="dxa"/>
          </w:tcPr>
          <w:p w14:paraId="493966BD" w14:textId="27CFDC6A" w:rsidR="00E76EDA" w:rsidRPr="00D63217" w:rsidRDefault="00E76EDA" w:rsidP="00E76EDA">
            <w:pPr>
              <w:pStyle w:val="TableText"/>
            </w:pPr>
            <w:r w:rsidRPr="00D63217">
              <w:t>1a</w:t>
            </w:r>
          </w:p>
        </w:tc>
      </w:tr>
      <w:tr w:rsidR="00E76EDA" w:rsidRPr="00D63217" w14:paraId="292E58B1" w14:textId="77777777" w:rsidTr="00AD2FF8">
        <w:tc>
          <w:tcPr>
            <w:tcW w:w="1925" w:type="dxa"/>
            <w:vAlign w:val="center"/>
          </w:tcPr>
          <w:p w14:paraId="04774B2A" w14:textId="32593020" w:rsidR="00E76EDA" w:rsidRPr="00D63217" w:rsidRDefault="00E76EDA" w:rsidP="00E76EDA">
            <w:pPr>
              <w:pStyle w:val="TableText"/>
            </w:pPr>
            <w:r w:rsidRPr="00D63217">
              <w:t>69274</w:t>
            </w:r>
          </w:p>
        </w:tc>
        <w:tc>
          <w:tcPr>
            <w:tcW w:w="1925" w:type="dxa"/>
            <w:vAlign w:val="center"/>
          </w:tcPr>
          <w:p w14:paraId="6F8B344A" w14:textId="22980CED" w:rsidR="00E76EDA" w:rsidRPr="00D63217" w:rsidRDefault="00E76EDA" w:rsidP="00E76EDA">
            <w:pPr>
              <w:pStyle w:val="TableText"/>
            </w:pPr>
            <w:r w:rsidRPr="00D63217">
              <w:t>Sabakem Paraquat 250SL Herbicide</w:t>
            </w:r>
          </w:p>
        </w:tc>
        <w:tc>
          <w:tcPr>
            <w:tcW w:w="1926" w:type="dxa"/>
            <w:vAlign w:val="center"/>
          </w:tcPr>
          <w:p w14:paraId="4A61F743" w14:textId="3E3496A5" w:rsidR="00E76EDA" w:rsidRPr="00D63217" w:rsidRDefault="00E76EDA" w:rsidP="00E76EDA">
            <w:pPr>
              <w:pStyle w:val="TableText"/>
            </w:pPr>
            <w:r w:rsidRPr="00D63217">
              <w:t>Sabakem Pty Ltd</w:t>
            </w:r>
          </w:p>
        </w:tc>
        <w:tc>
          <w:tcPr>
            <w:tcW w:w="1926" w:type="dxa"/>
            <w:vAlign w:val="center"/>
          </w:tcPr>
          <w:p w14:paraId="2B57B343" w14:textId="6A453B84" w:rsidR="00E76EDA" w:rsidRPr="00D63217" w:rsidRDefault="00E76EDA" w:rsidP="00E76EDA">
            <w:pPr>
              <w:pStyle w:val="TableText"/>
            </w:pPr>
            <w:r w:rsidRPr="00D63217">
              <w:t>Paraquat 250 g/L</w:t>
            </w:r>
          </w:p>
        </w:tc>
        <w:tc>
          <w:tcPr>
            <w:tcW w:w="1926" w:type="dxa"/>
          </w:tcPr>
          <w:p w14:paraId="5E84D6B9" w14:textId="1303FC2A" w:rsidR="00E76EDA" w:rsidRPr="00D63217" w:rsidRDefault="00E76EDA" w:rsidP="00E76EDA">
            <w:pPr>
              <w:pStyle w:val="TableText"/>
            </w:pPr>
            <w:r w:rsidRPr="00D63217">
              <w:t>1a</w:t>
            </w:r>
          </w:p>
        </w:tc>
      </w:tr>
      <w:tr w:rsidR="00E76EDA" w:rsidRPr="00D63217" w14:paraId="6B2559DB" w14:textId="77777777" w:rsidTr="00AD2FF8">
        <w:tc>
          <w:tcPr>
            <w:tcW w:w="1925" w:type="dxa"/>
            <w:vAlign w:val="center"/>
          </w:tcPr>
          <w:p w14:paraId="5B110F6D" w14:textId="02841AC7" w:rsidR="00E76EDA" w:rsidRPr="00D63217" w:rsidRDefault="00E76EDA" w:rsidP="00E76EDA">
            <w:pPr>
              <w:pStyle w:val="TableText"/>
            </w:pPr>
            <w:r w:rsidRPr="00D63217">
              <w:t>69712</w:t>
            </w:r>
          </w:p>
        </w:tc>
        <w:tc>
          <w:tcPr>
            <w:tcW w:w="1925" w:type="dxa"/>
            <w:vAlign w:val="center"/>
          </w:tcPr>
          <w:p w14:paraId="3889A775" w14:textId="2103E7D0" w:rsidR="00E76EDA" w:rsidRPr="00D63217" w:rsidRDefault="00E76EDA" w:rsidP="00E76EDA">
            <w:pPr>
              <w:pStyle w:val="TableText"/>
            </w:pPr>
            <w:r w:rsidRPr="00D63217">
              <w:t>Paradox 250 Herbicide</w:t>
            </w:r>
          </w:p>
        </w:tc>
        <w:tc>
          <w:tcPr>
            <w:tcW w:w="1926" w:type="dxa"/>
            <w:vAlign w:val="center"/>
          </w:tcPr>
          <w:p w14:paraId="13EA0BB3" w14:textId="2DE0CDCA" w:rsidR="00E76EDA" w:rsidRPr="00D63217" w:rsidRDefault="00E76EDA" w:rsidP="00E76EDA">
            <w:pPr>
              <w:pStyle w:val="TableText"/>
            </w:pPr>
            <w:r w:rsidRPr="00D63217">
              <w:t>Sinon Australia Pty Limited</w:t>
            </w:r>
          </w:p>
        </w:tc>
        <w:tc>
          <w:tcPr>
            <w:tcW w:w="1926" w:type="dxa"/>
            <w:vAlign w:val="center"/>
          </w:tcPr>
          <w:p w14:paraId="14CF7D7D" w14:textId="73F11C1A" w:rsidR="00E76EDA" w:rsidRPr="00D63217" w:rsidRDefault="00E76EDA" w:rsidP="00E76EDA">
            <w:pPr>
              <w:pStyle w:val="TableText"/>
            </w:pPr>
            <w:r w:rsidRPr="00D63217">
              <w:t>Paraquat 250 g/L</w:t>
            </w:r>
          </w:p>
        </w:tc>
        <w:tc>
          <w:tcPr>
            <w:tcW w:w="1926" w:type="dxa"/>
          </w:tcPr>
          <w:p w14:paraId="770DE55F" w14:textId="266E9A48" w:rsidR="00E76EDA" w:rsidRPr="00D63217" w:rsidRDefault="00E76EDA" w:rsidP="00E76EDA">
            <w:pPr>
              <w:pStyle w:val="TableText"/>
            </w:pPr>
            <w:r w:rsidRPr="00D63217">
              <w:t>1a</w:t>
            </w:r>
          </w:p>
        </w:tc>
      </w:tr>
      <w:tr w:rsidR="00E76EDA" w:rsidRPr="00D63217" w14:paraId="23F7B740" w14:textId="77777777" w:rsidTr="00AD2FF8">
        <w:tc>
          <w:tcPr>
            <w:tcW w:w="1925" w:type="dxa"/>
            <w:vAlign w:val="center"/>
          </w:tcPr>
          <w:p w14:paraId="7051E535" w14:textId="244383D8" w:rsidR="00E76EDA" w:rsidRPr="00D63217" w:rsidRDefault="00E76EDA" w:rsidP="00E76EDA">
            <w:pPr>
              <w:pStyle w:val="TableText"/>
            </w:pPr>
            <w:r w:rsidRPr="00D63217">
              <w:t>81797</w:t>
            </w:r>
          </w:p>
        </w:tc>
        <w:tc>
          <w:tcPr>
            <w:tcW w:w="1925" w:type="dxa"/>
            <w:vAlign w:val="center"/>
          </w:tcPr>
          <w:p w14:paraId="10D327B4" w14:textId="4D25B78E" w:rsidR="00E76EDA" w:rsidRPr="00D63217" w:rsidRDefault="00E76EDA" w:rsidP="00E76EDA">
            <w:pPr>
              <w:pStyle w:val="TableText"/>
            </w:pPr>
            <w:r w:rsidRPr="00D63217">
              <w:t>Relyon Paraquat 250 Herbicide</w:t>
            </w:r>
          </w:p>
        </w:tc>
        <w:tc>
          <w:tcPr>
            <w:tcW w:w="1926" w:type="dxa"/>
            <w:vAlign w:val="center"/>
          </w:tcPr>
          <w:p w14:paraId="0FA6EB33" w14:textId="3AFFA45E" w:rsidR="00E76EDA" w:rsidRPr="00D63217" w:rsidRDefault="00E76EDA" w:rsidP="00E76EDA">
            <w:pPr>
              <w:pStyle w:val="TableText"/>
            </w:pPr>
            <w:r w:rsidRPr="00D63217">
              <w:t>Nutrien Ag Solutions Limited</w:t>
            </w:r>
          </w:p>
        </w:tc>
        <w:tc>
          <w:tcPr>
            <w:tcW w:w="1926" w:type="dxa"/>
            <w:vAlign w:val="center"/>
          </w:tcPr>
          <w:p w14:paraId="1199CFF5" w14:textId="72F5EF8E" w:rsidR="00E76EDA" w:rsidRPr="00D63217" w:rsidRDefault="00E76EDA" w:rsidP="00E76EDA">
            <w:pPr>
              <w:pStyle w:val="TableText"/>
            </w:pPr>
            <w:r w:rsidRPr="00D63217">
              <w:t>Paraquat 250 g/L</w:t>
            </w:r>
          </w:p>
        </w:tc>
        <w:tc>
          <w:tcPr>
            <w:tcW w:w="1926" w:type="dxa"/>
          </w:tcPr>
          <w:p w14:paraId="54CBA7F8" w14:textId="2B459A32" w:rsidR="00E76EDA" w:rsidRPr="00D63217" w:rsidRDefault="00E76EDA" w:rsidP="00E76EDA">
            <w:pPr>
              <w:pStyle w:val="TableText"/>
            </w:pPr>
            <w:r w:rsidRPr="00D63217">
              <w:t>1a</w:t>
            </w:r>
          </w:p>
        </w:tc>
      </w:tr>
      <w:tr w:rsidR="00E76EDA" w:rsidRPr="00D63217" w14:paraId="023E765A" w14:textId="77777777" w:rsidTr="00AD2FF8">
        <w:tc>
          <w:tcPr>
            <w:tcW w:w="1925" w:type="dxa"/>
            <w:vAlign w:val="center"/>
          </w:tcPr>
          <w:p w14:paraId="38BB5FC1" w14:textId="5DAEEBAB" w:rsidR="00E76EDA" w:rsidRPr="00D63217" w:rsidRDefault="00E76EDA" w:rsidP="00E76EDA">
            <w:pPr>
              <w:pStyle w:val="TableText"/>
            </w:pPr>
            <w:r w:rsidRPr="00D63217">
              <w:t>83115</w:t>
            </w:r>
          </w:p>
        </w:tc>
        <w:tc>
          <w:tcPr>
            <w:tcW w:w="1925" w:type="dxa"/>
            <w:vAlign w:val="center"/>
          </w:tcPr>
          <w:p w14:paraId="075530AE" w14:textId="1A93EFE4" w:rsidR="00E76EDA" w:rsidRPr="00D63217" w:rsidRDefault="00E76EDA" w:rsidP="00E76EDA">
            <w:pPr>
              <w:pStyle w:val="TableText"/>
            </w:pPr>
            <w:r w:rsidRPr="00D63217">
              <w:t>Kelpie Par-Q 250 Herbicide</w:t>
            </w:r>
          </w:p>
        </w:tc>
        <w:tc>
          <w:tcPr>
            <w:tcW w:w="1926" w:type="dxa"/>
            <w:vAlign w:val="center"/>
          </w:tcPr>
          <w:p w14:paraId="6A393436" w14:textId="3866BF77" w:rsidR="00E76EDA" w:rsidRPr="00D63217" w:rsidRDefault="00E76EDA" w:rsidP="00E76EDA">
            <w:pPr>
              <w:pStyle w:val="TableText"/>
            </w:pPr>
            <w:r w:rsidRPr="00D63217">
              <w:t>Sinochem International Australia Pty Ltd</w:t>
            </w:r>
          </w:p>
        </w:tc>
        <w:tc>
          <w:tcPr>
            <w:tcW w:w="1926" w:type="dxa"/>
            <w:vAlign w:val="center"/>
          </w:tcPr>
          <w:p w14:paraId="2F94F3E1" w14:textId="14288610" w:rsidR="00E76EDA" w:rsidRPr="00D63217" w:rsidRDefault="00E76EDA" w:rsidP="00E76EDA">
            <w:pPr>
              <w:pStyle w:val="TableText"/>
            </w:pPr>
            <w:r w:rsidRPr="00D63217">
              <w:t>Paraquat 250 g/L</w:t>
            </w:r>
          </w:p>
        </w:tc>
        <w:tc>
          <w:tcPr>
            <w:tcW w:w="1926" w:type="dxa"/>
          </w:tcPr>
          <w:p w14:paraId="005CC6AC" w14:textId="3DEE4B72" w:rsidR="00E76EDA" w:rsidRPr="00D63217" w:rsidRDefault="00E76EDA" w:rsidP="00E76EDA">
            <w:pPr>
              <w:pStyle w:val="TableText"/>
            </w:pPr>
            <w:r w:rsidRPr="00D63217">
              <w:t>1a</w:t>
            </w:r>
          </w:p>
        </w:tc>
      </w:tr>
      <w:tr w:rsidR="00E76EDA" w:rsidRPr="00D63217" w14:paraId="30CFEC1F" w14:textId="77777777" w:rsidTr="00AD2FF8">
        <w:tc>
          <w:tcPr>
            <w:tcW w:w="1925" w:type="dxa"/>
            <w:vAlign w:val="center"/>
          </w:tcPr>
          <w:p w14:paraId="149A8190" w14:textId="0300721F" w:rsidR="00E76EDA" w:rsidRPr="00D63217" w:rsidRDefault="00E76EDA" w:rsidP="00E76EDA">
            <w:pPr>
              <w:pStyle w:val="TableText"/>
            </w:pPr>
            <w:r w:rsidRPr="00D63217">
              <w:t>84794</w:t>
            </w:r>
          </w:p>
        </w:tc>
        <w:tc>
          <w:tcPr>
            <w:tcW w:w="1925" w:type="dxa"/>
            <w:vAlign w:val="center"/>
          </w:tcPr>
          <w:p w14:paraId="06693DAB" w14:textId="4326C788" w:rsidR="00E76EDA" w:rsidRPr="00D63217" w:rsidRDefault="00E76EDA" w:rsidP="00E76EDA">
            <w:pPr>
              <w:pStyle w:val="TableText"/>
            </w:pPr>
            <w:r w:rsidRPr="00D63217">
              <w:t>Agmerch Paraquat 250 SL Herbicide</w:t>
            </w:r>
          </w:p>
        </w:tc>
        <w:tc>
          <w:tcPr>
            <w:tcW w:w="1926" w:type="dxa"/>
            <w:vAlign w:val="center"/>
          </w:tcPr>
          <w:p w14:paraId="0E6F801F" w14:textId="41C1960F" w:rsidR="00E76EDA" w:rsidRPr="00D63217" w:rsidRDefault="00E76EDA" w:rsidP="00E76EDA">
            <w:pPr>
              <w:pStyle w:val="TableText"/>
            </w:pPr>
            <w:r w:rsidRPr="00D63217">
              <w:t>Agmerch Pty Ltd</w:t>
            </w:r>
          </w:p>
        </w:tc>
        <w:tc>
          <w:tcPr>
            <w:tcW w:w="1926" w:type="dxa"/>
            <w:vAlign w:val="center"/>
          </w:tcPr>
          <w:p w14:paraId="6692E52C" w14:textId="04253ED3" w:rsidR="00E76EDA" w:rsidRPr="00D63217" w:rsidRDefault="00E76EDA" w:rsidP="00E76EDA">
            <w:pPr>
              <w:pStyle w:val="TableText"/>
            </w:pPr>
            <w:r w:rsidRPr="00D63217">
              <w:t>Paraquat 250 g/L</w:t>
            </w:r>
          </w:p>
        </w:tc>
        <w:tc>
          <w:tcPr>
            <w:tcW w:w="1926" w:type="dxa"/>
          </w:tcPr>
          <w:p w14:paraId="2C6EC6DE" w14:textId="0142CE3A" w:rsidR="00E76EDA" w:rsidRPr="00D63217" w:rsidRDefault="00E76EDA" w:rsidP="00E76EDA">
            <w:pPr>
              <w:pStyle w:val="TableText"/>
            </w:pPr>
            <w:r w:rsidRPr="00D63217">
              <w:t>1a</w:t>
            </w:r>
          </w:p>
        </w:tc>
      </w:tr>
      <w:tr w:rsidR="00E76EDA" w:rsidRPr="00D63217" w14:paraId="363E58A7" w14:textId="77777777" w:rsidTr="00AD2FF8">
        <w:tc>
          <w:tcPr>
            <w:tcW w:w="1925" w:type="dxa"/>
            <w:vAlign w:val="center"/>
          </w:tcPr>
          <w:p w14:paraId="44B6DF5B" w14:textId="3AA68C46" w:rsidR="00E76EDA" w:rsidRPr="00D63217" w:rsidRDefault="00E76EDA" w:rsidP="00E76EDA">
            <w:pPr>
              <w:pStyle w:val="TableText"/>
            </w:pPr>
            <w:r w:rsidRPr="00D63217">
              <w:t>85420</w:t>
            </w:r>
          </w:p>
        </w:tc>
        <w:tc>
          <w:tcPr>
            <w:tcW w:w="1925" w:type="dxa"/>
            <w:vAlign w:val="center"/>
          </w:tcPr>
          <w:p w14:paraId="36A39062" w14:textId="22603691" w:rsidR="00E76EDA" w:rsidRPr="00D63217" w:rsidRDefault="00E76EDA" w:rsidP="00E76EDA">
            <w:pPr>
              <w:pStyle w:val="TableText"/>
            </w:pPr>
            <w:r w:rsidRPr="00D63217">
              <w:t>Hemani Paraquat 250 SL Herbicide</w:t>
            </w:r>
          </w:p>
        </w:tc>
        <w:tc>
          <w:tcPr>
            <w:tcW w:w="1926" w:type="dxa"/>
            <w:vAlign w:val="center"/>
          </w:tcPr>
          <w:p w14:paraId="3BE6CFC7" w14:textId="601A2A0C" w:rsidR="00E76EDA" w:rsidRPr="00D63217" w:rsidRDefault="00E76EDA" w:rsidP="00E76EDA">
            <w:pPr>
              <w:pStyle w:val="TableText"/>
            </w:pPr>
            <w:r w:rsidRPr="00D63217">
              <w:t>Hemani Australia Pty Ltd</w:t>
            </w:r>
          </w:p>
        </w:tc>
        <w:tc>
          <w:tcPr>
            <w:tcW w:w="1926" w:type="dxa"/>
            <w:vAlign w:val="center"/>
          </w:tcPr>
          <w:p w14:paraId="20BDC668" w14:textId="594A55E9" w:rsidR="00E76EDA" w:rsidRPr="00D63217" w:rsidRDefault="00E76EDA" w:rsidP="00E76EDA">
            <w:pPr>
              <w:pStyle w:val="TableText"/>
            </w:pPr>
            <w:r w:rsidRPr="00D63217">
              <w:t>Paraquat 250 g/L</w:t>
            </w:r>
          </w:p>
        </w:tc>
        <w:tc>
          <w:tcPr>
            <w:tcW w:w="1926" w:type="dxa"/>
          </w:tcPr>
          <w:p w14:paraId="2B7157B4" w14:textId="21D58CB0" w:rsidR="00E76EDA" w:rsidRPr="00D63217" w:rsidRDefault="00E76EDA" w:rsidP="00E76EDA">
            <w:pPr>
              <w:pStyle w:val="TableText"/>
            </w:pPr>
            <w:r w:rsidRPr="00D63217">
              <w:t>1a</w:t>
            </w:r>
          </w:p>
        </w:tc>
      </w:tr>
      <w:tr w:rsidR="00E76EDA" w:rsidRPr="00D63217" w14:paraId="7831D116" w14:textId="77777777" w:rsidTr="00AD2FF8">
        <w:tc>
          <w:tcPr>
            <w:tcW w:w="1925" w:type="dxa"/>
            <w:vAlign w:val="center"/>
          </w:tcPr>
          <w:p w14:paraId="0ECB79E8" w14:textId="66CBF23D" w:rsidR="00E76EDA" w:rsidRPr="00D63217" w:rsidRDefault="00E76EDA" w:rsidP="00E76EDA">
            <w:pPr>
              <w:pStyle w:val="TableText"/>
            </w:pPr>
            <w:r w:rsidRPr="00D63217">
              <w:t>87370</w:t>
            </w:r>
          </w:p>
        </w:tc>
        <w:tc>
          <w:tcPr>
            <w:tcW w:w="1925" w:type="dxa"/>
            <w:vAlign w:val="center"/>
          </w:tcPr>
          <w:p w14:paraId="2F10602C" w14:textId="3918ECDF" w:rsidR="00E76EDA" w:rsidRPr="00D63217" w:rsidRDefault="00E76EDA" w:rsidP="00E76EDA">
            <w:pPr>
              <w:pStyle w:val="TableText"/>
            </w:pPr>
            <w:r w:rsidRPr="00D63217">
              <w:t>Kelpie P-Quat 250 SL Herbicide</w:t>
            </w:r>
          </w:p>
        </w:tc>
        <w:tc>
          <w:tcPr>
            <w:tcW w:w="1926" w:type="dxa"/>
            <w:vAlign w:val="center"/>
          </w:tcPr>
          <w:p w14:paraId="224635E1" w14:textId="0C43F145" w:rsidR="00E76EDA" w:rsidRPr="00D63217" w:rsidRDefault="00E76EDA" w:rsidP="00E76EDA">
            <w:pPr>
              <w:pStyle w:val="TableText"/>
            </w:pPr>
            <w:r w:rsidRPr="00D63217">
              <w:t>Sinochem International Australia Pty Ltd</w:t>
            </w:r>
          </w:p>
        </w:tc>
        <w:tc>
          <w:tcPr>
            <w:tcW w:w="1926" w:type="dxa"/>
            <w:vAlign w:val="center"/>
          </w:tcPr>
          <w:p w14:paraId="7A8DAD8F" w14:textId="4F4169B7" w:rsidR="00E76EDA" w:rsidRPr="00D63217" w:rsidRDefault="00E76EDA" w:rsidP="00E76EDA">
            <w:pPr>
              <w:pStyle w:val="TableText"/>
            </w:pPr>
            <w:r w:rsidRPr="00D63217">
              <w:t>Paraquat 250 g/L</w:t>
            </w:r>
          </w:p>
        </w:tc>
        <w:tc>
          <w:tcPr>
            <w:tcW w:w="1926" w:type="dxa"/>
          </w:tcPr>
          <w:p w14:paraId="28484954" w14:textId="74D3A866" w:rsidR="00E76EDA" w:rsidRPr="00D63217" w:rsidRDefault="00E76EDA" w:rsidP="00E76EDA">
            <w:pPr>
              <w:pStyle w:val="TableText"/>
            </w:pPr>
            <w:r w:rsidRPr="00D63217">
              <w:t>1a</w:t>
            </w:r>
          </w:p>
        </w:tc>
      </w:tr>
      <w:tr w:rsidR="00E76EDA" w:rsidRPr="00D63217" w14:paraId="3094371F" w14:textId="77777777" w:rsidTr="00AD2FF8">
        <w:tc>
          <w:tcPr>
            <w:tcW w:w="1925" w:type="dxa"/>
            <w:vAlign w:val="center"/>
          </w:tcPr>
          <w:p w14:paraId="15E12FC5" w14:textId="258B97C5" w:rsidR="00E76EDA" w:rsidRPr="00D63217" w:rsidRDefault="00E76EDA" w:rsidP="00E76EDA">
            <w:pPr>
              <w:pStyle w:val="TableText"/>
            </w:pPr>
            <w:r w:rsidRPr="00D63217">
              <w:t>88941</w:t>
            </w:r>
          </w:p>
        </w:tc>
        <w:tc>
          <w:tcPr>
            <w:tcW w:w="1925" w:type="dxa"/>
            <w:vAlign w:val="center"/>
          </w:tcPr>
          <w:p w14:paraId="7AF25C60" w14:textId="774A20C7" w:rsidR="00E76EDA" w:rsidRPr="00D63217" w:rsidRDefault="00E76EDA" w:rsidP="00E76EDA">
            <w:pPr>
              <w:pStyle w:val="TableText"/>
            </w:pPr>
            <w:r w:rsidRPr="00D63217">
              <w:t>Genfarm Paraquat 250 SL Herbicide</w:t>
            </w:r>
          </w:p>
        </w:tc>
        <w:tc>
          <w:tcPr>
            <w:tcW w:w="1926" w:type="dxa"/>
            <w:vAlign w:val="center"/>
          </w:tcPr>
          <w:p w14:paraId="3ECEB77A" w14:textId="71D865AE" w:rsidR="00E76EDA" w:rsidRPr="00D63217" w:rsidRDefault="00E76EDA" w:rsidP="00E76EDA">
            <w:pPr>
              <w:pStyle w:val="TableText"/>
            </w:pPr>
            <w:r w:rsidRPr="00D63217">
              <w:t>Nutrien Ag Solutions Limited</w:t>
            </w:r>
          </w:p>
        </w:tc>
        <w:tc>
          <w:tcPr>
            <w:tcW w:w="1926" w:type="dxa"/>
            <w:vAlign w:val="center"/>
          </w:tcPr>
          <w:p w14:paraId="1B618CAD" w14:textId="5841C58B" w:rsidR="00E76EDA" w:rsidRPr="00D63217" w:rsidRDefault="00E76EDA" w:rsidP="00E76EDA">
            <w:pPr>
              <w:pStyle w:val="TableText"/>
            </w:pPr>
            <w:r w:rsidRPr="00D63217">
              <w:t>Paraquat 250 g/L</w:t>
            </w:r>
          </w:p>
        </w:tc>
        <w:tc>
          <w:tcPr>
            <w:tcW w:w="1926" w:type="dxa"/>
          </w:tcPr>
          <w:p w14:paraId="085E9C06" w14:textId="79174900" w:rsidR="00E76EDA" w:rsidRPr="00D63217" w:rsidRDefault="00E76EDA" w:rsidP="00E76EDA">
            <w:pPr>
              <w:pStyle w:val="TableText"/>
            </w:pPr>
            <w:r w:rsidRPr="00D63217">
              <w:t>1a</w:t>
            </w:r>
          </w:p>
        </w:tc>
      </w:tr>
      <w:tr w:rsidR="00E76EDA" w:rsidRPr="00D63217" w14:paraId="5EF256F9" w14:textId="77777777" w:rsidTr="00AD2FF8">
        <w:tc>
          <w:tcPr>
            <w:tcW w:w="1925" w:type="dxa"/>
            <w:vAlign w:val="center"/>
          </w:tcPr>
          <w:p w14:paraId="2EE826F9" w14:textId="15C1B9ED" w:rsidR="00E76EDA" w:rsidRPr="00D63217" w:rsidRDefault="00E76EDA" w:rsidP="00E76EDA">
            <w:pPr>
              <w:pStyle w:val="TableText"/>
            </w:pPr>
            <w:r w:rsidRPr="00D63217">
              <w:t>89076</w:t>
            </w:r>
          </w:p>
        </w:tc>
        <w:tc>
          <w:tcPr>
            <w:tcW w:w="1925" w:type="dxa"/>
            <w:vAlign w:val="center"/>
          </w:tcPr>
          <w:p w14:paraId="1B2BF706" w14:textId="44067A5C" w:rsidR="00E76EDA" w:rsidRPr="00D63217" w:rsidRDefault="00E76EDA" w:rsidP="00E76EDA">
            <w:pPr>
              <w:pStyle w:val="TableText"/>
            </w:pPr>
            <w:r w:rsidRPr="00D63217">
              <w:t>F.S.A. Paraquat 250 Herbicide</w:t>
            </w:r>
          </w:p>
        </w:tc>
        <w:tc>
          <w:tcPr>
            <w:tcW w:w="1926" w:type="dxa"/>
            <w:vAlign w:val="center"/>
          </w:tcPr>
          <w:p w14:paraId="00B06F7C" w14:textId="4790FD47" w:rsidR="00E76EDA" w:rsidRPr="00D63217" w:rsidRDefault="00E76EDA" w:rsidP="00E76EDA">
            <w:pPr>
              <w:pStyle w:val="TableText"/>
            </w:pPr>
            <w:r w:rsidRPr="00D63217">
              <w:t>Four Seasons Agribusiness Pty Ltd</w:t>
            </w:r>
          </w:p>
        </w:tc>
        <w:tc>
          <w:tcPr>
            <w:tcW w:w="1926" w:type="dxa"/>
            <w:vAlign w:val="center"/>
          </w:tcPr>
          <w:p w14:paraId="0BB19468" w14:textId="2F96C3E9" w:rsidR="00E76EDA" w:rsidRPr="00D63217" w:rsidRDefault="00E76EDA" w:rsidP="00E76EDA">
            <w:pPr>
              <w:pStyle w:val="TableText"/>
            </w:pPr>
            <w:r w:rsidRPr="00D63217">
              <w:t>Paraquat 250 g/L</w:t>
            </w:r>
          </w:p>
        </w:tc>
        <w:tc>
          <w:tcPr>
            <w:tcW w:w="1926" w:type="dxa"/>
          </w:tcPr>
          <w:p w14:paraId="369721A4" w14:textId="17CCEFB6" w:rsidR="00E76EDA" w:rsidRPr="00D63217" w:rsidRDefault="00E76EDA" w:rsidP="00E76EDA">
            <w:pPr>
              <w:pStyle w:val="TableText"/>
            </w:pPr>
            <w:r w:rsidRPr="00D63217">
              <w:t>1a</w:t>
            </w:r>
          </w:p>
        </w:tc>
      </w:tr>
      <w:tr w:rsidR="00E76EDA" w:rsidRPr="00D63217" w14:paraId="18C0E915" w14:textId="77777777" w:rsidTr="00AD2FF8">
        <w:tc>
          <w:tcPr>
            <w:tcW w:w="1925" w:type="dxa"/>
            <w:vAlign w:val="center"/>
          </w:tcPr>
          <w:p w14:paraId="350BBBA3" w14:textId="20516F2D" w:rsidR="00E76EDA" w:rsidRPr="00D63217" w:rsidRDefault="00E76EDA" w:rsidP="00E76EDA">
            <w:pPr>
              <w:pStyle w:val="TableText"/>
            </w:pPr>
            <w:r w:rsidRPr="00D63217">
              <w:t>89808</w:t>
            </w:r>
          </w:p>
        </w:tc>
        <w:tc>
          <w:tcPr>
            <w:tcW w:w="1925" w:type="dxa"/>
            <w:vAlign w:val="center"/>
          </w:tcPr>
          <w:p w14:paraId="1E2A2CB1" w14:textId="6F22D7C7" w:rsidR="00E76EDA" w:rsidRPr="00D63217" w:rsidRDefault="00E76EDA" w:rsidP="00E76EDA">
            <w:pPr>
              <w:pStyle w:val="TableText"/>
            </w:pPr>
            <w:r w:rsidRPr="00D63217">
              <w:t>Genfarm Para 250 SL Herbicide</w:t>
            </w:r>
          </w:p>
        </w:tc>
        <w:tc>
          <w:tcPr>
            <w:tcW w:w="1926" w:type="dxa"/>
            <w:vAlign w:val="center"/>
          </w:tcPr>
          <w:p w14:paraId="530138EC" w14:textId="26BCE39B" w:rsidR="00E76EDA" w:rsidRPr="00D63217" w:rsidRDefault="00E76EDA" w:rsidP="00E76EDA">
            <w:pPr>
              <w:pStyle w:val="TableText"/>
            </w:pPr>
            <w:r w:rsidRPr="00D63217">
              <w:t>Nutrien Ag Solutions Limited</w:t>
            </w:r>
          </w:p>
        </w:tc>
        <w:tc>
          <w:tcPr>
            <w:tcW w:w="1926" w:type="dxa"/>
            <w:vAlign w:val="center"/>
          </w:tcPr>
          <w:p w14:paraId="70F19F88" w14:textId="269C01DC" w:rsidR="00E76EDA" w:rsidRPr="00D63217" w:rsidRDefault="00E76EDA" w:rsidP="00E76EDA">
            <w:pPr>
              <w:pStyle w:val="TableText"/>
            </w:pPr>
            <w:r w:rsidRPr="00D63217">
              <w:t>Paraquat 250 g/L</w:t>
            </w:r>
          </w:p>
        </w:tc>
        <w:tc>
          <w:tcPr>
            <w:tcW w:w="1926" w:type="dxa"/>
          </w:tcPr>
          <w:p w14:paraId="00821088" w14:textId="3455DC43" w:rsidR="00E76EDA" w:rsidRPr="00D63217" w:rsidRDefault="00E76EDA" w:rsidP="00E76EDA">
            <w:pPr>
              <w:pStyle w:val="TableText"/>
            </w:pPr>
            <w:r w:rsidRPr="00D63217">
              <w:t>1a</w:t>
            </w:r>
          </w:p>
        </w:tc>
      </w:tr>
      <w:tr w:rsidR="00E76EDA" w:rsidRPr="00D63217" w14:paraId="56D0A3D3" w14:textId="77777777" w:rsidTr="00AD2FF8">
        <w:tc>
          <w:tcPr>
            <w:tcW w:w="1925" w:type="dxa"/>
            <w:vAlign w:val="center"/>
          </w:tcPr>
          <w:p w14:paraId="2280F617" w14:textId="377483F5" w:rsidR="00E76EDA" w:rsidRPr="00D63217" w:rsidRDefault="00E76EDA" w:rsidP="00E76EDA">
            <w:pPr>
              <w:pStyle w:val="TableText"/>
            </w:pPr>
            <w:r w:rsidRPr="00D63217">
              <w:t>90155</w:t>
            </w:r>
          </w:p>
        </w:tc>
        <w:tc>
          <w:tcPr>
            <w:tcW w:w="1925" w:type="dxa"/>
            <w:vAlign w:val="center"/>
          </w:tcPr>
          <w:p w14:paraId="486D9B6F" w14:textId="0BF70EE5" w:rsidR="00E76EDA" w:rsidRPr="00D63217" w:rsidRDefault="00E76EDA" w:rsidP="00E76EDA">
            <w:pPr>
              <w:pStyle w:val="TableText"/>
            </w:pPr>
            <w:r w:rsidRPr="00D63217">
              <w:t>Cropsure Parashot 250 Herbicide</w:t>
            </w:r>
          </w:p>
        </w:tc>
        <w:tc>
          <w:tcPr>
            <w:tcW w:w="1926" w:type="dxa"/>
            <w:vAlign w:val="center"/>
          </w:tcPr>
          <w:p w14:paraId="2FF0CB50" w14:textId="20032635" w:rsidR="00E76EDA" w:rsidRPr="00D63217" w:rsidRDefault="00E76EDA" w:rsidP="00E76EDA">
            <w:pPr>
              <w:pStyle w:val="TableText"/>
            </w:pPr>
            <w:r w:rsidRPr="00D63217">
              <w:t>Cropsure Pty Ltd</w:t>
            </w:r>
          </w:p>
        </w:tc>
        <w:tc>
          <w:tcPr>
            <w:tcW w:w="1926" w:type="dxa"/>
            <w:vAlign w:val="center"/>
          </w:tcPr>
          <w:p w14:paraId="43B49BAC" w14:textId="6A13AA39" w:rsidR="00E76EDA" w:rsidRPr="00D63217" w:rsidRDefault="00E76EDA" w:rsidP="00E76EDA">
            <w:pPr>
              <w:pStyle w:val="TableText"/>
            </w:pPr>
            <w:r w:rsidRPr="00D63217">
              <w:t>Paraquat 250 g/L</w:t>
            </w:r>
          </w:p>
        </w:tc>
        <w:tc>
          <w:tcPr>
            <w:tcW w:w="1926" w:type="dxa"/>
          </w:tcPr>
          <w:p w14:paraId="02C4E6A3" w14:textId="77B61F02" w:rsidR="00E76EDA" w:rsidRPr="00D63217" w:rsidRDefault="00E76EDA" w:rsidP="00E76EDA">
            <w:pPr>
              <w:pStyle w:val="TableText"/>
            </w:pPr>
            <w:r w:rsidRPr="00D63217">
              <w:t>1a</w:t>
            </w:r>
          </w:p>
        </w:tc>
      </w:tr>
      <w:tr w:rsidR="00E76EDA" w:rsidRPr="00D63217" w14:paraId="782CA762" w14:textId="77777777" w:rsidTr="00AD2FF8">
        <w:tc>
          <w:tcPr>
            <w:tcW w:w="1925" w:type="dxa"/>
            <w:vAlign w:val="center"/>
          </w:tcPr>
          <w:p w14:paraId="5CEDCD08" w14:textId="33DD8FE1" w:rsidR="00E76EDA" w:rsidRPr="00D63217" w:rsidRDefault="00E76EDA" w:rsidP="00E76EDA">
            <w:pPr>
              <w:pStyle w:val="TableText"/>
            </w:pPr>
            <w:r w:rsidRPr="00D63217">
              <w:t>91098</w:t>
            </w:r>
          </w:p>
        </w:tc>
        <w:tc>
          <w:tcPr>
            <w:tcW w:w="1925" w:type="dxa"/>
            <w:vAlign w:val="center"/>
          </w:tcPr>
          <w:p w14:paraId="29DFA358" w14:textId="55E56F4C" w:rsidR="00E76EDA" w:rsidRPr="00D63217" w:rsidRDefault="00E76EDA" w:rsidP="00E76EDA">
            <w:pPr>
              <w:pStyle w:val="TableText"/>
            </w:pPr>
            <w:r w:rsidRPr="00D63217">
              <w:t>Sanonda Paraquat 250 Herbicide</w:t>
            </w:r>
          </w:p>
        </w:tc>
        <w:tc>
          <w:tcPr>
            <w:tcW w:w="1926" w:type="dxa"/>
            <w:vAlign w:val="center"/>
          </w:tcPr>
          <w:p w14:paraId="038A2EFB" w14:textId="5DEB982A" w:rsidR="00E76EDA" w:rsidRPr="00D63217" w:rsidRDefault="00E76EDA" w:rsidP="00E76EDA">
            <w:pPr>
              <w:pStyle w:val="TableText"/>
            </w:pPr>
            <w:r w:rsidRPr="00D63217">
              <w:t>Sanonda (Australia) Pty Ltd</w:t>
            </w:r>
          </w:p>
        </w:tc>
        <w:tc>
          <w:tcPr>
            <w:tcW w:w="1926" w:type="dxa"/>
            <w:vAlign w:val="center"/>
          </w:tcPr>
          <w:p w14:paraId="6738F5A6" w14:textId="0538EA0A" w:rsidR="00E76EDA" w:rsidRPr="00D63217" w:rsidRDefault="00E76EDA" w:rsidP="00E76EDA">
            <w:pPr>
              <w:pStyle w:val="TableText"/>
            </w:pPr>
            <w:r w:rsidRPr="00D63217">
              <w:t>Paraquat 250 g/L</w:t>
            </w:r>
          </w:p>
        </w:tc>
        <w:tc>
          <w:tcPr>
            <w:tcW w:w="1926" w:type="dxa"/>
          </w:tcPr>
          <w:p w14:paraId="0F34D06D" w14:textId="7B681834" w:rsidR="00E76EDA" w:rsidRPr="00D63217" w:rsidRDefault="00E76EDA" w:rsidP="00E76EDA">
            <w:pPr>
              <w:pStyle w:val="TableText"/>
            </w:pPr>
            <w:r w:rsidRPr="00D63217">
              <w:t>1a</w:t>
            </w:r>
          </w:p>
        </w:tc>
      </w:tr>
      <w:tr w:rsidR="00E76EDA" w:rsidRPr="00D63217" w14:paraId="3B49C18A" w14:textId="77777777" w:rsidTr="008E5A3A">
        <w:tc>
          <w:tcPr>
            <w:tcW w:w="1925" w:type="dxa"/>
          </w:tcPr>
          <w:p w14:paraId="44FBAA74" w14:textId="32397021" w:rsidR="00E76EDA" w:rsidRPr="00D63217" w:rsidRDefault="00E76EDA" w:rsidP="00E76EDA">
            <w:pPr>
              <w:pStyle w:val="TableText"/>
            </w:pPr>
            <w:r w:rsidRPr="00D63217">
              <w:t>91833</w:t>
            </w:r>
          </w:p>
        </w:tc>
        <w:tc>
          <w:tcPr>
            <w:tcW w:w="1925" w:type="dxa"/>
          </w:tcPr>
          <w:p w14:paraId="05C6F405" w14:textId="608F78E7" w:rsidR="00E76EDA" w:rsidRPr="00D63217" w:rsidRDefault="00E76EDA" w:rsidP="00E76EDA">
            <w:pPr>
              <w:pStyle w:val="TableText"/>
            </w:pPr>
            <w:r w:rsidRPr="00D63217">
              <w:t>JN PARAQUAT 250 HERBICIDE</w:t>
            </w:r>
          </w:p>
        </w:tc>
        <w:tc>
          <w:tcPr>
            <w:tcW w:w="1926" w:type="dxa"/>
          </w:tcPr>
          <w:p w14:paraId="3C8C090E" w14:textId="7B1E2ABA" w:rsidR="00E76EDA" w:rsidRPr="00D63217" w:rsidRDefault="00E76EDA" w:rsidP="00E76EDA">
            <w:pPr>
              <w:pStyle w:val="TableText"/>
            </w:pPr>
            <w:r w:rsidRPr="00D63217">
              <w:t>JIANGSU NOON CROP SCIENCE CO., LTD</w:t>
            </w:r>
          </w:p>
        </w:tc>
        <w:tc>
          <w:tcPr>
            <w:tcW w:w="1926" w:type="dxa"/>
            <w:vAlign w:val="center"/>
          </w:tcPr>
          <w:p w14:paraId="6344427D" w14:textId="15E296EC" w:rsidR="00E76EDA" w:rsidRPr="00D63217" w:rsidRDefault="00E76EDA" w:rsidP="00E76EDA">
            <w:pPr>
              <w:pStyle w:val="TableText"/>
            </w:pPr>
            <w:r w:rsidRPr="00D63217">
              <w:t>Paraquat 250 g/L</w:t>
            </w:r>
          </w:p>
        </w:tc>
        <w:tc>
          <w:tcPr>
            <w:tcW w:w="1926" w:type="dxa"/>
          </w:tcPr>
          <w:p w14:paraId="4CB79E89" w14:textId="2CD73131" w:rsidR="00E76EDA" w:rsidRPr="00D63217" w:rsidRDefault="00E76EDA" w:rsidP="00E76EDA">
            <w:pPr>
              <w:pStyle w:val="TableText"/>
            </w:pPr>
            <w:r w:rsidRPr="00D63217">
              <w:t>1a</w:t>
            </w:r>
          </w:p>
        </w:tc>
      </w:tr>
      <w:tr w:rsidR="00BB6AE5" w:rsidRPr="00D63217" w14:paraId="3E23AB35" w14:textId="77777777" w:rsidTr="00BB6AE5">
        <w:tc>
          <w:tcPr>
            <w:tcW w:w="1925" w:type="dxa"/>
          </w:tcPr>
          <w:p w14:paraId="76F9C441" w14:textId="526291D5" w:rsidR="00BB6AE5" w:rsidRPr="00BB6AE5" w:rsidRDefault="00BB6AE5" w:rsidP="00BB6AE5">
            <w:pPr>
              <w:pStyle w:val="TableText"/>
            </w:pPr>
            <w:r>
              <w:rPr>
                <w:lang w:val="en-GB"/>
              </w:rPr>
              <w:t>92586</w:t>
            </w:r>
          </w:p>
        </w:tc>
        <w:tc>
          <w:tcPr>
            <w:tcW w:w="1925" w:type="dxa"/>
          </w:tcPr>
          <w:p w14:paraId="66EAE72C" w14:textId="2A818BFF" w:rsidR="00BB6AE5" w:rsidRPr="00BB6AE5" w:rsidRDefault="00BB6AE5" w:rsidP="00BB6AE5">
            <w:pPr>
              <w:pStyle w:val="TableText"/>
            </w:pPr>
            <w:r>
              <w:rPr>
                <w:lang w:val="en-GB"/>
              </w:rPr>
              <w:t xml:space="preserve">Weed Force Dagger 250 Knockdown Herbicide </w:t>
            </w:r>
          </w:p>
        </w:tc>
        <w:tc>
          <w:tcPr>
            <w:tcW w:w="1926" w:type="dxa"/>
          </w:tcPr>
          <w:p w14:paraId="5CB38309" w14:textId="46E47387" w:rsidR="00BB6AE5" w:rsidRPr="00BB6AE5" w:rsidRDefault="00BB6AE5" w:rsidP="00BB6AE5">
            <w:pPr>
              <w:pStyle w:val="TableText"/>
            </w:pPr>
            <w:r>
              <w:rPr>
                <w:lang w:val="en-GB"/>
              </w:rPr>
              <w:t>WEED FORCE PTY LTD</w:t>
            </w:r>
          </w:p>
        </w:tc>
        <w:tc>
          <w:tcPr>
            <w:tcW w:w="1926" w:type="dxa"/>
            <w:vAlign w:val="center"/>
          </w:tcPr>
          <w:p w14:paraId="6DB6DA5E" w14:textId="61354170" w:rsidR="00BB6AE5" w:rsidRPr="00BB6AE5" w:rsidRDefault="00BB6AE5" w:rsidP="00BB6AE5">
            <w:pPr>
              <w:pStyle w:val="TableText"/>
            </w:pPr>
            <w:r w:rsidRPr="00D63217">
              <w:t>Paraquat 250 g/L</w:t>
            </w:r>
          </w:p>
        </w:tc>
        <w:tc>
          <w:tcPr>
            <w:tcW w:w="1926" w:type="dxa"/>
          </w:tcPr>
          <w:p w14:paraId="1AE429C8" w14:textId="531C5003" w:rsidR="00BB6AE5" w:rsidRPr="00BB6AE5" w:rsidRDefault="00BB6AE5" w:rsidP="00BB6AE5">
            <w:pPr>
              <w:pStyle w:val="TableText"/>
            </w:pPr>
            <w:r w:rsidRPr="00D63217">
              <w:t>1a</w:t>
            </w:r>
          </w:p>
        </w:tc>
      </w:tr>
      <w:tr w:rsidR="00BB6AE5" w:rsidRPr="00D63217" w14:paraId="3C4A0926" w14:textId="77777777" w:rsidTr="00BB6AE5">
        <w:tc>
          <w:tcPr>
            <w:tcW w:w="1925" w:type="dxa"/>
            <w:vAlign w:val="center"/>
          </w:tcPr>
          <w:p w14:paraId="4AD7338E" w14:textId="030334E4" w:rsidR="00BB6AE5" w:rsidRPr="00D63217" w:rsidRDefault="00BB6AE5" w:rsidP="00BB6AE5">
            <w:pPr>
              <w:pStyle w:val="TableText"/>
            </w:pPr>
            <w:r w:rsidRPr="00BB6AE5">
              <w:lastRenderedPageBreak/>
              <w:t>92841</w:t>
            </w:r>
          </w:p>
        </w:tc>
        <w:tc>
          <w:tcPr>
            <w:tcW w:w="1925" w:type="dxa"/>
            <w:vAlign w:val="center"/>
          </w:tcPr>
          <w:p w14:paraId="3CE1BB9B" w14:textId="2D10B126" w:rsidR="00BB6AE5" w:rsidRPr="00D63217" w:rsidRDefault="00BB6AE5" w:rsidP="00BB6AE5">
            <w:pPr>
              <w:pStyle w:val="TableText"/>
            </w:pPr>
            <w:r w:rsidRPr="00BB6AE5">
              <w:t>Submarino Paraquat 250 SL Herbicide</w:t>
            </w:r>
          </w:p>
        </w:tc>
        <w:tc>
          <w:tcPr>
            <w:tcW w:w="1926" w:type="dxa"/>
            <w:vAlign w:val="center"/>
          </w:tcPr>
          <w:p w14:paraId="3AE70E2A" w14:textId="7468B99F" w:rsidR="00BB6AE5" w:rsidRPr="00D63217" w:rsidRDefault="00BB6AE5" w:rsidP="00BB6AE5">
            <w:pPr>
              <w:pStyle w:val="TableText"/>
            </w:pPr>
            <w:r w:rsidRPr="00BB6AE5">
              <w:t>SUBMARINO PTY LTD</w:t>
            </w:r>
          </w:p>
        </w:tc>
        <w:tc>
          <w:tcPr>
            <w:tcW w:w="1926" w:type="dxa"/>
            <w:vAlign w:val="center"/>
          </w:tcPr>
          <w:p w14:paraId="4D172777" w14:textId="18026708" w:rsidR="00BB6AE5" w:rsidRPr="00BB6AE5" w:rsidRDefault="00BB6AE5" w:rsidP="00BB6AE5">
            <w:pPr>
              <w:pStyle w:val="TableText"/>
            </w:pPr>
            <w:r w:rsidRPr="00BB6AE5">
              <w:t>Paraquat 250 g/L</w:t>
            </w:r>
          </w:p>
        </w:tc>
        <w:tc>
          <w:tcPr>
            <w:tcW w:w="1926" w:type="dxa"/>
          </w:tcPr>
          <w:p w14:paraId="0C51E1A4" w14:textId="1C6E360C" w:rsidR="00BB6AE5" w:rsidRPr="00BB6AE5" w:rsidRDefault="00BB6AE5" w:rsidP="00BB6AE5">
            <w:pPr>
              <w:pStyle w:val="TableText"/>
            </w:pPr>
            <w:r w:rsidRPr="00BB6AE5">
              <w:t>1a</w:t>
            </w:r>
          </w:p>
        </w:tc>
      </w:tr>
      <w:tr w:rsidR="00BB6AE5" w:rsidRPr="00D63217" w14:paraId="084F2D60" w14:textId="77777777" w:rsidTr="00BB6AE5">
        <w:tc>
          <w:tcPr>
            <w:tcW w:w="1925" w:type="dxa"/>
            <w:vAlign w:val="center"/>
          </w:tcPr>
          <w:p w14:paraId="255AD2DB" w14:textId="42F4FCF4" w:rsidR="00BB6AE5" w:rsidRPr="00D63217" w:rsidRDefault="00BB6AE5" w:rsidP="00BB6AE5">
            <w:pPr>
              <w:pStyle w:val="TableText"/>
            </w:pPr>
            <w:r w:rsidRPr="00BB6AE5">
              <w:t>93958</w:t>
            </w:r>
          </w:p>
        </w:tc>
        <w:tc>
          <w:tcPr>
            <w:tcW w:w="1925" w:type="dxa"/>
            <w:vAlign w:val="center"/>
          </w:tcPr>
          <w:p w14:paraId="2857D76E" w14:textId="4B98FECC" w:rsidR="00BB6AE5" w:rsidRPr="00D63217" w:rsidRDefault="00BB6AE5" w:rsidP="00BB6AE5">
            <w:pPr>
              <w:pStyle w:val="TableText"/>
            </w:pPr>
            <w:r w:rsidRPr="00BB6AE5">
              <w:t>Swan Paraquat 250 Herbicide</w:t>
            </w:r>
          </w:p>
        </w:tc>
        <w:tc>
          <w:tcPr>
            <w:tcW w:w="1926" w:type="dxa"/>
            <w:vAlign w:val="center"/>
          </w:tcPr>
          <w:p w14:paraId="4CF04F75" w14:textId="4773B000" w:rsidR="00BB6AE5" w:rsidRPr="00D63217" w:rsidRDefault="00BB6AE5" w:rsidP="00BB6AE5">
            <w:pPr>
              <w:pStyle w:val="TableText"/>
            </w:pPr>
            <w:r w:rsidRPr="00BB6AE5">
              <w:t>SWAN CHEMICAL HOLDINGS PTY LTD</w:t>
            </w:r>
          </w:p>
        </w:tc>
        <w:tc>
          <w:tcPr>
            <w:tcW w:w="1926" w:type="dxa"/>
            <w:vAlign w:val="center"/>
          </w:tcPr>
          <w:p w14:paraId="3A2513B2" w14:textId="67122A80" w:rsidR="00BB6AE5" w:rsidRPr="00D63217" w:rsidRDefault="00BB6AE5" w:rsidP="00BB6AE5">
            <w:pPr>
              <w:pStyle w:val="TableText"/>
            </w:pPr>
            <w:r w:rsidRPr="00D63217">
              <w:t>Paraquat 250 g/L</w:t>
            </w:r>
          </w:p>
        </w:tc>
        <w:tc>
          <w:tcPr>
            <w:tcW w:w="1926" w:type="dxa"/>
          </w:tcPr>
          <w:p w14:paraId="3B71657D" w14:textId="3EF55D4C" w:rsidR="00BB6AE5" w:rsidRPr="00D63217" w:rsidRDefault="00BB6AE5" w:rsidP="00BB6AE5">
            <w:pPr>
              <w:pStyle w:val="TableText"/>
            </w:pPr>
            <w:r w:rsidRPr="00D63217">
              <w:t>1a</w:t>
            </w:r>
          </w:p>
        </w:tc>
      </w:tr>
      <w:tr w:rsidR="00BB6AE5" w:rsidRPr="00D63217" w14:paraId="00438404" w14:textId="77777777" w:rsidTr="008E5A3A">
        <w:tc>
          <w:tcPr>
            <w:tcW w:w="1925" w:type="dxa"/>
          </w:tcPr>
          <w:p w14:paraId="0043A2B0" w14:textId="392C4B0C" w:rsidR="00BB6AE5" w:rsidRPr="00D63217" w:rsidRDefault="00BB6AE5" w:rsidP="00BB6AE5">
            <w:pPr>
              <w:pStyle w:val="TableText"/>
            </w:pPr>
            <w:r w:rsidRPr="00D63217">
              <w:t>69502</w:t>
            </w:r>
          </w:p>
        </w:tc>
        <w:tc>
          <w:tcPr>
            <w:tcW w:w="1925" w:type="dxa"/>
          </w:tcPr>
          <w:p w14:paraId="3DC4E3D3" w14:textId="7347CAAC" w:rsidR="00BB6AE5" w:rsidRPr="00D63217" w:rsidRDefault="00BB6AE5" w:rsidP="00BB6AE5">
            <w:pPr>
              <w:pStyle w:val="TableText"/>
            </w:pPr>
            <w:r w:rsidRPr="00D63217">
              <w:t>Cruze 300 Herbicide</w:t>
            </w:r>
          </w:p>
        </w:tc>
        <w:tc>
          <w:tcPr>
            <w:tcW w:w="1926" w:type="dxa"/>
          </w:tcPr>
          <w:p w14:paraId="4564DDBC" w14:textId="2437235E" w:rsidR="00BB6AE5" w:rsidRPr="00D63217" w:rsidRDefault="00BB6AE5" w:rsidP="00BB6AE5">
            <w:pPr>
              <w:pStyle w:val="TableText"/>
            </w:pPr>
            <w:r w:rsidRPr="00D63217">
              <w:t>DGL Environmental Pty Ltd</w:t>
            </w:r>
          </w:p>
        </w:tc>
        <w:tc>
          <w:tcPr>
            <w:tcW w:w="1926" w:type="dxa"/>
            <w:vAlign w:val="center"/>
          </w:tcPr>
          <w:p w14:paraId="499B537B" w14:textId="149DA232" w:rsidR="00BB6AE5" w:rsidRPr="00D63217" w:rsidRDefault="00BB6AE5" w:rsidP="00BB6AE5">
            <w:pPr>
              <w:pStyle w:val="TableText"/>
            </w:pPr>
            <w:r w:rsidRPr="00D63217">
              <w:t>Paraquat 300 g/L</w:t>
            </w:r>
          </w:p>
        </w:tc>
        <w:tc>
          <w:tcPr>
            <w:tcW w:w="1926" w:type="dxa"/>
          </w:tcPr>
          <w:p w14:paraId="66DE7BE2" w14:textId="603EC8C7" w:rsidR="00BB6AE5" w:rsidRPr="00D63217" w:rsidRDefault="00BB6AE5" w:rsidP="00BB6AE5">
            <w:pPr>
              <w:pStyle w:val="TableText"/>
            </w:pPr>
            <w:r w:rsidRPr="00D63217">
              <w:t>1b</w:t>
            </w:r>
          </w:p>
        </w:tc>
      </w:tr>
      <w:tr w:rsidR="00BB6AE5" w:rsidRPr="00D63217" w14:paraId="7A6A63EE" w14:textId="77777777" w:rsidTr="008E5A3A">
        <w:tc>
          <w:tcPr>
            <w:tcW w:w="1925" w:type="dxa"/>
          </w:tcPr>
          <w:p w14:paraId="41B9A1B6" w14:textId="5E88A0C3" w:rsidR="00BB6AE5" w:rsidRPr="00D63217" w:rsidRDefault="00BB6AE5" w:rsidP="00BB6AE5">
            <w:pPr>
              <w:pStyle w:val="TableText"/>
            </w:pPr>
            <w:r w:rsidRPr="00D63217">
              <w:t>70143</w:t>
            </w:r>
          </w:p>
        </w:tc>
        <w:tc>
          <w:tcPr>
            <w:tcW w:w="1925" w:type="dxa"/>
          </w:tcPr>
          <w:p w14:paraId="097DAB6C" w14:textId="3A8C4A0F" w:rsidR="00BB6AE5" w:rsidRPr="00D63217" w:rsidRDefault="00BB6AE5" w:rsidP="00BB6AE5">
            <w:pPr>
              <w:pStyle w:val="TableText"/>
            </w:pPr>
            <w:r w:rsidRPr="00D63217">
              <w:t>Farmalinx Powerquat 300 SL Herbicide</w:t>
            </w:r>
          </w:p>
        </w:tc>
        <w:tc>
          <w:tcPr>
            <w:tcW w:w="1926" w:type="dxa"/>
          </w:tcPr>
          <w:p w14:paraId="3525FBB8" w14:textId="3301E689" w:rsidR="00BB6AE5" w:rsidRPr="00D63217" w:rsidRDefault="00BB6AE5" w:rsidP="00BB6AE5">
            <w:pPr>
              <w:pStyle w:val="TableText"/>
            </w:pPr>
            <w:r w:rsidRPr="00D63217">
              <w:t>Farmalinx Pty Ltd</w:t>
            </w:r>
          </w:p>
        </w:tc>
        <w:tc>
          <w:tcPr>
            <w:tcW w:w="1926" w:type="dxa"/>
            <w:vAlign w:val="center"/>
          </w:tcPr>
          <w:p w14:paraId="0D367F23" w14:textId="00C7130D" w:rsidR="00BB6AE5" w:rsidRPr="00D63217" w:rsidRDefault="00BB6AE5" w:rsidP="00BB6AE5">
            <w:pPr>
              <w:pStyle w:val="TableText"/>
            </w:pPr>
            <w:r w:rsidRPr="00D63217">
              <w:t>Paraquat 300 g/L</w:t>
            </w:r>
          </w:p>
        </w:tc>
        <w:tc>
          <w:tcPr>
            <w:tcW w:w="1926" w:type="dxa"/>
          </w:tcPr>
          <w:p w14:paraId="7EB82B84" w14:textId="73ED786C" w:rsidR="00BB6AE5" w:rsidRPr="00D63217" w:rsidRDefault="00BB6AE5" w:rsidP="00BB6AE5">
            <w:pPr>
              <w:pStyle w:val="TableText"/>
            </w:pPr>
            <w:r w:rsidRPr="00D63217">
              <w:t>1b</w:t>
            </w:r>
          </w:p>
        </w:tc>
      </w:tr>
      <w:tr w:rsidR="00BB6AE5" w:rsidRPr="00D63217" w14:paraId="7B45274D" w14:textId="77777777" w:rsidTr="008E5A3A">
        <w:tc>
          <w:tcPr>
            <w:tcW w:w="1925" w:type="dxa"/>
          </w:tcPr>
          <w:p w14:paraId="2B266F56" w14:textId="2701B70D" w:rsidR="00BB6AE5" w:rsidRPr="00D63217" w:rsidRDefault="00BB6AE5" w:rsidP="00BB6AE5">
            <w:pPr>
              <w:pStyle w:val="TableText"/>
            </w:pPr>
            <w:r w:rsidRPr="00D63217">
              <w:t>83185</w:t>
            </w:r>
          </w:p>
        </w:tc>
        <w:tc>
          <w:tcPr>
            <w:tcW w:w="1925" w:type="dxa"/>
          </w:tcPr>
          <w:p w14:paraId="7C89FB19" w14:textId="07D82DCA" w:rsidR="00BB6AE5" w:rsidRPr="00D63217" w:rsidRDefault="00BB6AE5" w:rsidP="00BB6AE5">
            <w:pPr>
              <w:pStyle w:val="TableText"/>
            </w:pPr>
            <w:r w:rsidRPr="00D63217">
              <w:t>Accensi Paraquat 300 Herbicide</w:t>
            </w:r>
          </w:p>
        </w:tc>
        <w:tc>
          <w:tcPr>
            <w:tcW w:w="1926" w:type="dxa"/>
          </w:tcPr>
          <w:p w14:paraId="5472EB83" w14:textId="0B615D7A" w:rsidR="00BB6AE5" w:rsidRPr="00D63217" w:rsidRDefault="00BB6AE5" w:rsidP="00BB6AE5">
            <w:pPr>
              <w:pStyle w:val="TableText"/>
            </w:pPr>
            <w:r w:rsidRPr="00D63217">
              <w:t>Accensi Pty Ltd</w:t>
            </w:r>
          </w:p>
        </w:tc>
        <w:tc>
          <w:tcPr>
            <w:tcW w:w="1926" w:type="dxa"/>
            <w:vAlign w:val="center"/>
          </w:tcPr>
          <w:p w14:paraId="57C1DD20" w14:textId="1CB2580A" w:rsidR="00BB6AE5" w:rsidRPr="00D63217" w:rsidRDefault="00BB6AE5" w:rsidP="00BB6AE5">
            <w:pPr>
              <w:pStyle w:val="TableText"/>
            </w:pPr>
            <w:r w:rsidRPr="00D63217">
              <w:t>Paraquat 300 g/L</w:t>
            </w:r>
          </w:p>
        </w:tc>
        <w:tc>
          <w:tcPr>
            <w:tcW w:w="1926" w:type="dxa"/>
          </w:tcPr>
          <w:p w14:paraId="434CFAFA" w14:textId="2904C221" w:rsidR="00BB6AE5" w:rsidRPr="00D63217" w:rsidRDefault="00BB6AE5" w:rsidP="00BB6AE5">
            <w:pPr>
              <w:pStyle w:val="TableText"/>
            </w:pPr>
            <w:r w:rsidRPr="00D63217">
              <w:t>1b</w:t>
            </w:r>
          </w:p>
        </w:tc>
      </w:tr>
      <w:tr w:rsidR="00BB6AE5" w:rsidRPr="00D63217" w14:paraId="4D8445ED" w14:textId="77777777" w:rsidTr="008E5A3A">
        <w:tc>
          <w:tcPr>
            <w:tcW w:w="1925" w:type="dxa"/>
          </w:tcPr>
          <w:p w14:paraId="0D0C0273" w14:textId="667B6844" w:rsidR="00BB6AE5" w:rsidRPr="00D63217" w:rsidRDefault="00BB6AE5" w:rsidP="00BB6AE5">
            <w:pPr>
              <w:pStyle w:val="TableText"/>
            </w:pPr>
            <w:r w:rsidRPr="00D63217">
              <w:t>85110</w:t>
            </w:r>
          </w:p>
        </w:tc>
        <w:tc>
          <w:tcPr>
            <w:tcW w:w="1925" w:type="dxa"/>
          </w:tcPr>
          <w:p w14:paraId="20C6BAF0" w14:textId="275BEA5F" w:rsidR="00BB6AE5" w:rsidRPr="00D63217" w:rsidRDefault="00BB6AE5" w:rsidP="00BB6AE5">
            <w:pPr>
              <w:pStyle w:val="TableText"/>
            </w:pPr>
            <w:r w:rsidRPr="00D63217">
              <w:t>Kelpie P-Quat 300 SL Herbicide</w:t>
            </w:r>
          </w:p>
        </w:tc>
        <w:tc>
          <w:tcPr>
            <w:tcW w:w="1926" w:type="dxa"/>
          </w:tcPr>
          <w:p w14:paraId="02FE55C5" w14:textId="0C3B070C" w:rsidR="00BB6AE5" w:rsidRPr="00D63217" w:rsidRDefault="00BB6AE5" w:rsidP="00BB6AE5">
            <w:pPr>
              <w:pStyle w:val="TableText"/>
            </w:pPr>
            <w:r w:rsidRPr="00D63217">
              <w:t>Sinochem International Australia Pty Ltd</w:t>
            </w:r>
          </w:p>
        </w:tc>
        <w:tc>
          <w:tcPr>
            <w:tcW w:w="1926" w:type="dxa"/>
            <w:vAlign w:val="center"/>
          </w:tcPr>
          <w:p w14:paraId="722D0C1A" w14:textId="6F2377A3" w:rsidR="00BB6AE5" w:rsidRPr="00D63217" w:rsidRDefault="00BB6AE5" w:rsidP="00BB6AE5">
            <w:pPr>
              <w:pStyle w:val="TableText"/>
            </w:pPr>
            <w:r w:rsidRPr="00D63217">
              <w:t>Paraquat 300 g/L</w:t>
            </w:r>
          </w:p>
        </w:tc>
        <w:tc>
          <w:tcPr>
            <w:tcW w:w="1926" w:type="dxa"/>
          </w:tcPr>
          <w:p w14:paraId="453641BA" w14:textId="06BC55BB" w:rsidR="00BB6AE5" w:rsidRPr="00D63217" w:rsidRDefault="00BB6AE5" w:rsidP="00BB6AE5">
            <w:pPr>
              <w:pStyle w:val="TableText"/>
            </w:pPr>
            <w:r w:rsidRPr="00D63217">
              <w:t>1b</w:t>
            </w:r>
          </w:p>
        </w:tc>
      </w:tr>
      <w:tr w:rsidR="00BB6AE5" w:rsidRPr="00D63217" w14:paraId="044B3E99" w14:textId="77777777" w:rsidTr="008E5A3A">
        <w:tc>
          <w:tcPr>
            <w:tcW w:w="1925" w:type="dxa"/>
          </w:tcPr>
          <w:p w14:paraId="63D88118" w14:textId="55AD19A5" w:rsidR="00BB6AE5" w:rsidRPr="00D63217" w:rsidRDefault="00BB6AE5" w:rsidP="00BB6AE5">
            <w:pPr>
              <w:pStyle w:val="TableText"/>
            </w:pPr>
            <w:r w:rsidRPr="00D63217">
              <w:t>85169</w:t>
            </w:r>
          </w:p>
        </w:tc>
        <w:tc>
          <w:tcPr>
            <w:tcW w:w="1925" w:type="dxa"/>
          </w:tcPr>
          <w:p w14:paraId="03DD69C9" w14:textId="6CBDB345" w:rsidR="00BB6AE5" w:rsidRPr="00D63217" w:rsidRDefault="00BB6AE5" w:rsidP="00BB6AE5">
            <w:pPr>
              <w:pStyle w:val="TableText"/>
            </w:pPr>
            <w:r w:rsidRPr="00D63217">
              <w:t>Conquest Explode 300 Plus Herbicide</w:t>
            </w:r>
          </w:p>
        </w:tc>
        <w:tc>
          <w:tcPr>
            <w:tcW w:w="1926" w:type="dxa"/>
          </w:tcPr>
          <w:p w14:paraId="6030055B" w14:textId="44934039" w:rsidR="00BB6AE5" w:rsidRPr="00D63217" w:rsidRDefault="00BB6AE5" w:rsidP="00BB6AE5">
            <w:pPr>
              <w:pStyle w:val="TableText"/>
            </w:pPr>
            <w:r w:rsidRPr="00D63217">
              <w:t>Conquest Crop Protection Pty Ltd</w:t>
            </w:r>
          </w:p>
        </w:tc>
        <w:tc>
          <w:tcPr>
            <w:tcW w:w="1926" w:type="dxa"/>
            <w:vAlign w:val="center"/>
          </w:tcPr>
          <w:p w14:paraId="2D4A5CE2" w14:textId="603987E9" w:rsidR="00BB6AE5" w:rsidRPr="00D63217" w:rsidRDefault="00BB6AE5" w:rsidP="00BB6AE5">
            <w:pPr>
              <w:pStyle w:val="TableText"/>
            </w:pPr>
            <w:r w:rsidRPr="00D63217">
              <w:t>Paraquat 300 g/L</w:t>
            </w:r>
          </w:p>
        </w:tc>
        <w:tc>
          <w:tcPr>
            <w:tcW w:w="1926" w:type="dxa"/>
          </w:tcPr>
          <w:p w14:paraId="18DA285D" w14:textId="4550B08E" w:rsidR="00BB6AE5" w:rsidRPr="00D63217" w:rsidRDefault="00BB6AE5" w:rsidP="00BB6AE5">
            <w:pPr>
              <w:pStyle w:val="TableText"/>
            </w:pPr>
            <w:r w:rsidRPr="00D63217">
              <w:t>1b</w:t>
            </w:r>
          </w:p>
        </w:tc>
      </w:tr>
      <w:tr w:rsidR="00BB6AE5" w:rsidRPr="00D63217" w14:paraId="2B285FFC" w14:textId="77777777" w:rsidTr="008E5A3A">
        <w:tc>
          <w:tcPr>
            <w:tcW w:w="1925" w:type="dxa"/>
          </w:tcPr>
          <w:p w14:paraId="6C0F3C32" w14:textId="46F721F6" w:rsidR="00BB6AE5" w:rsidRPr="00D63217" w:rsidRDefault="00BB6AE5" w:rsidP="00BB6AE5">
            <w:pPr>
              <w:pStyle w:val="TableText"/>
            </w:pPr>
            <w:r w:rsidRPr="00D63217">
              <w:t>87191</w:t>
            </w:r>
          </w:p>
        </w:tc>
        <w:tc>
          <w:tcPr>
            <w:tcW w:w="1925" w:type="dxa"/>
          </w:tcPr>
          <w:p w14:paraId="1F853FE1" w14:textId="11DEA4ED" w:rsidR="00BB6AE5" w:rsidRPr="00D63217" w:rsidRDefault="00BB6AE5" w:rsidP="00BB6AE5">
            <w:pPr>
              <w:pStyle w:val="TableText"/>
            </w:pPr>
            <w:r w:rsidRPr="00D63217">
              <w:t xml:space="preserve">4Farmers Paraquat 300 Herbicide </w:t>
            </w:r>
          </w:p>
        </w:tc>
        <w:tc>
          <w:tcPr>
            <w:tcW w:w="1926" w:type="dxa"/>
          </w:tcPr>
          <w:p w14:paraId="55F05C00" w14:textId="2569C14F" w:rsidR="00BB6AE5" w:rsidRPr="00D63217" w:rsidRDefault="00BB6AE5" w:rsidP="00BB6AE5">
            <w:pPr>
              <w:pStyle w:val="TableText"/>
            </w:pPr>
            <w:r w:rsidRPr="00D63217">
              <w:t>4 Farmers Australia Pty Ltd</w:t>
            </w:r>
          </w:p>
        </w:tc>
        <w:tc>
          <w:tcPr>
            <w:tcW w:w="1926" w:type="dxa"/>
            <w:vAlign w:val="center"/>
          </w:tcPr>
          <w:p w14:paraId="01064DDC" w14:textId="4C64B296" w:rsidR="00BB6AE5" w:rsidRPr="00D63217" w:rsidRDefault="00BB6AE5" w:rsidP="00BB6AE5">
            <w:pPr>
              <w:pStyle w:val="TableText"/>
            </w:pPr>
            <w:r w:rsidRPr="00D63217">
              <w:t>Paraquat 300 g/L</w:t>
            </w:r>
          </w:p>
        </w:tc>
        <w:tc>
          <w:tcPr>
            <w:tcW w:w="1926" w:type="dxa"/>
          </w:tcPr>
          <w:p w14:paraId="69E5ACF0" w14:textId="577F5694" w:rsidR="00BB6AE5" w:rsidRPr="00D63217" w:rsidRDefault="00BB6AE5" w:rsidP="00BB6AE5">
            <w:pPr>
              <w:pStyle w:val="TableText"/>
            </w:pPr>
            <w:r w:rsidRPr="00D63217">
              <w:t>1b</w:t>
            </w:r>
          </w:p>
        </w:tc>
      </w:tr>
      <w:tr w:rsidR="00BB6AE5" w:rsidRPr="00D63217" w14:paraId="18CBA620" w14:textId="77777777" w:rsidTr="008E5A3A">
        <w:tc>
          <w:tcPr>
            <w:tcW w:w="1925" w:type="dxa"/>
          </w:tcPr>
          <w:p w14:paraId="42BBD992" w14:textId="57B0DE42" w:rsidR="00BB6AE5" w:rsidRPr="00D63217" w:rsidRDefault="00BB6AE5" w:rsidP="00BB6AE5">
            <w:pPr>
              <w:pStyle w:val="TableText"/>
            </w:pPr>
            <w:r w:rsidRPr="00D63217">
              <w:t>89981</w:t>
            </w:r>
          </w:p>
        </w:tc>
        <w:tc>
          <w:tcPr>
            <w:tcW w:w="1925" w:type="dxa"/>
          </w:tcPr>
          <w:p w14:paraId="3B969653" w14:textId="374B7281" w:rsidR="00BB6AE5" w:rsidRPr="00D63217" w:rsidRDefault="00BB6AE5" w:rsidP="00BB6AE5">
            <w:pPr>
              <w:pStyle w:val="TableText"/>
            </w:pPr>
            <w:r w:rsidRPr="00D63217">
              <w:t>Smart Paraquat 300 Herbicide</w:t>
            </w:r>
          </w:p>
        </w:tc>
        <w:tc>
          <w:tcPr>
            <w:tcW w:w="1926" w:type="dxa"/>
          </w:tcPr>
          <w:p w14:paraId="1B11B14A" w14:textId="6474813F" w:rsidR="00BB6AE5" w:rsidRPr="00D63217" w:rsidRDefault="00BB6AE5" w:rsidP="00BB6AE5">
            <w:pPr>
              <w:pStyle w:val="TableText"/>
            </w:pPr>
            <w:r w:rsidRPr="00D63217">
              <w:t>Crop Smart Pty Ltd</w:t>
            </w:r>
          </w:p>
        </w:tc>
        <w:tc>
          <w:tcPr>
            <w:tcW w:w="1926" w:type="dxa"/>
            <w:vAlign w:val="center"/>
          </w:tcPr>
          <w:p w14:paraId="10CB3422" w14:textId="55D2D711" w:rsidR="00BB6AE5" w:rsidRPr="00D63217" w:rsidRDefault="00BB6AE5" w:rsidP="00BB6AE5">
            <w:pPr>
              <w:pStyle w:val="TableText"/>
            </w:pPr>
            <w:r w:rsidRPr="00D63217">
              <w:t>Paraquat 300 g/L</w:t>
            </w:r>
          </w:p>
        </w:tc>
        <w:tc>
          <w:tcPr>
            <w:tcW w:w="1926" w:type="dxa"/>
          </w:tcPr>
          <w:p w14:paraId="5E9BC46E" w14:textId="0C9ED79C" w:rsidR="00BB6AE5" w:rsidRPr="00D63217" w:rsidRDefault="00BB6AE5" w:rsidP="00BB6AE5">
            <w:pPr>
              <w:pStyle w:val="TableText"/>
            </w:pPr>
            <w:r w:rsidRPr="00D63217">
              <w:t>1b</w:t>
            </w:r>
          </w:p>
        </w:tc>
      </w:tr>
      <w:tr w:rsidR="00BB6AE5" w:rsidRPr="00D63217" w14:paraId="1F6BBB79" w14:textId="77777777" w:rsidTr="008E5A3A">
        <w:tc>
          <w:tcPr>
            <w:tcW w:w="1925" w:type="dxa"/>
          </w:tcPr>
          <w:p w14:paraId="1535B6E9" w14:textId="0303C9C2" w:rsidR="00BB6AE5" w:rsidRPr="00D63217" w:rsidRDefault="00BB6AE5" w:rsidP="00BB6AE5">
            <w:pPr>
              <w:pStyle w:val="TableText"/>
            </w:pPr>
            <w:r w:rsidRPr="00D63217">
              <w:t>90742</w:t>
            </w:r>
          </w:p>
        </w:tc>
        <w:tc>
          <w:tcPr>
            <w:tcW w:w="1925" w:type="dxa"/>
          </w:tcPr>
          <w:p w14:paraId="48B6CF4D" w14:textId="435FBED0" w:rsidR="00BB6AE5" w:rsidRPr="00D63217" w:rsidRDefault="00BB6AE5" w:rsidP="00BB6AE5">
            <w:pPr>
              <w:pStyle w:val="TableText"/>
            </w:pPr>
            <w:r w:rsidRPr="00D63217">
              <w:t>Agro-Essence Paraquat 300 Herbicide</w:t>
            </w:r>
          </w:p>
        </w:tc>
        <w:tc>
          <w:tcPr>
            <w:tcW w:w="1926" w:type="dxa"/>
          </w:tcPr>
          <w:p w14:paraId="283BA1D4" w14:textId="4B281944" w:rsidR="00BB6AE5" w:rsidRPr="00D63217" w:rsidRDefault="00BB6AE5" w:rsidP="00BB6AE5">
            <w:pPr>
              <w:pStyle w:val="TableText"/>
            </w:pPr>
            <w:r w:rsidRPr="00D63217">
              <w:t>Agro-Alliance (Australia) Pty Ltd</w:t>
            </w:r>
          </w:p>
        </w:tc>
        <w:tc>
          <w:tcPr>
            <w:tcW w:w="1926" w:type="dxa"/>
            <w:vAlign w:val="center"/>
          </w:tcPr>
          <w:p w14:paraId="12BC083A" w14:textId="72F4D337" w:rsidR="00BB6AE5" w:rsidRPr="00D63217" w:rsidRDefault="00BB6AE5" w:rsidP="00BB6AE5">
            <w:pPr>
              <w:pStyle w:val="TableText"/>
            </w:pPr>
            <w:r w:rsidRPr="00D63217">
              <w:t>Paraquat 300 g/L</w:t>
            </w:r>
          </w:p>
        </w:tc>
        <w:tc>
          <w:tcPr>
            <w:tcW w:w="1926" w:type="dxa"/>
          </w:tcPr>
          <w:p w14:paraId="5294541D" w14:textId="68443A3A" w:rsidR="00BB6AE5" w:rsidRPr="00D63217" w:rsidRDefault="00BB6AE5" w:rsidP="00BB6AE5">
            <w:pPr>
              <w:pStyle w:val="TableText"/>
            </w:pPr>
            <w:r w:rsidRPr="00D63217">
              <w:t>1b</w:t>
            </w:r>
          </w:p>
        </w:tc>
      </w:tr>
      <w:tr w:rsidR="00BB6AE5" w:rsidRPr="00D63217" w14:paraId="2D108089" w14:textId="77777777" w:rsidTr="008E5A3A">
        <w:tc>
          <w:tcPr>
            <w:tcW w:w="1925" w:type="dxa"/>
          </w:tcPr>
          <w:p w14:paraId="0DE29866" w14:textId="6D1FC80E" w:rsidR="00BB6AE5" w:rsidRPr="00D63217" w:rsidRDefault="00BB6AE5" w:rsidP="00BB6AE5">
            <w:pPr>
              <w:pStyle w:val="TableText"/>
            </w:pPr>
            <w:r w:rsidRPr="00D63217">
              <w:t>87665</w:t>
            </w:r>
          </w:p>
        </w:tc>
        <w:tc>
          <w:tcPr>
            <w:tcW w:w="1925" w:type="dxa"/>
          </w:tcPr>
          <w:p w14:paraId="48FD3D39" w14:textId="774ABB71" w:rsidR="00BB6AE5" w:rsidRPr="00D63217" w:rsidRDefault="00BB6AE5" w:rsidP="00BB6AE5">
            <w:pPr>
              <w:pStyle w:val="TableText"/>
            </w:pPr>
            <w:r w:rsidRPr="00D63217">
              <w:t>Spraytop 330 Herbicide</w:t>
            </w:r>
          </w:p>
        </w:tc>
        <w:tc>
          <w:tcPr>
            <w:tcW w:w="1926" w:type="dxa"/>
          </w:tcPr>
          <w:p w14:paraId="36228814" w14:textId="0905CFB8" w:rsidR="00BB6AE5" w:rsidRPr="00D63217" w:rsidRDefault="00BB6AE5" w:rsidP="00BB6AE5">
            <w:pPr>
              <w:pStyle w:val="TableText"/>
            </w:pPr>
            <w:r w:rsidRPr="00D63217">
              <w:t>ADAMA Australia Pty Limited</w:t>
            </w:r>
          </w:p>
        </w:tc>
        <w:tc>
          <w:tcPr>
            <w:tcW w:w="1926" w:type="dxa"/>
            <w:vAlign w:val="center"/>
          </w:tcPr>
          <w:p w14:paraId="65CB2EF8" w14:textId="3FD7F72E" w:rsidR="00BB6AE5" w:rsidRPr="00D63217" w:rsidRDefault="00BB6AE5" w:rsidP="00BB6AE5">
            <w:pPr>
              <w:pStyle w:val="TableText"/>
            </w:pPr>
            <w:r w:rsidRPr="00D63217">
              <w:t>Paraquat 330 g/L</w:t>
            </w:r>
          </w:p>
        </w:tc>
        <w:tc>
          <w:tcPr>
            <w:tcW w:w="1926" w:type="dxa"/>
          </w:tcPr>
          <w:p w14:paraId="3ED5D9C7" w14:textId="46ABABFE" w:rsidR="00BB6AE5" w:rsidRPr="00D63217" w:rsidRDefault="00BB6AE5" w:rsidP="00BB6AE5">
            <w:pPr>
              <w:pStyle w:val="TableText"/>
            </w:pPr>
            <w:r w:rsidRPr="00D63217">
              <w:t>1c</w:t>
            </w:r>
          </w:p>
        </w:tc>
      </w:tr>
      <w:tr w:rsidR="00BB6AE5" w:rsidRPr="00D63217" w14:paraId="518031A5" w14:textId="77777777" w:rsidTr="008E5A3A">
        <w:tc>
          <w:tcPr>
            <w:tcW w:w="1925" w:type="dxa"/>
          </w:tcPr>
          <w:p w14:paraId="0684EB74" w14:textId="3DFD57F0" w:rsidR="00BB6AE5" w:rsidRPr="00D63217" w:rsidRDefault="00BB6AE5" w:rsidP="00BB6AE5">
            <w:pPr>
              <w:pStyle w:val="TableText"/>
            </w:pPr>
            <w:r w:rsidRPr="00D63217">
              <w:t>64430</w:t>
            </w:r>
          </w:p>
        </w:tc>
        <w:tc>
          <w:tcPr>
            <w:tcW w:w="1925" w:type="dxa"/>
          </w:tcPr>
          <w:p w14:paraId="344963FC" w14:textId="3B237997" w:rsidR="00BB6AE5" w:rsidRPr="00D63217" w:rsidRDefault="00BB6AE5" w:rsidP="00BB6AE5">
            <w:pPr>
              <w:pStyle w:val="TableText"/>
            </w:pPr>
            <w:r w:rsidRPr="00D63217">
              <w:t>Kenso Agcare Para-Ken 334 Herbicide</w:t>
            </w:r>
          </w:p>
        </w:tc>
        <w:tc>
          <w:tcPr>
            <w:tcW w:w="1926" w:type="dxa"/>
          </w:tcPr>
          <w:p w14:paraId="7E8D7FC7" w14:textId="5AFC62CE" w:rsidR="00BB6AE5" w:rsidRPr="00D63217" w:rsidRDefault="00BB6AE5" w:rsidP="00BB6AE5">
            <w:pPr>
              <w:pStyle w:val="TableText"/>
            </w:pPr>
            <w:r w:rsidRPr="00D63217">
              <w:t>Kenso Corporation (M) Sdn. Bhd.</w:t>
            </w:r>
          </w:p>
        </w:tc>
        <w:tc>
          <w:tcPr>
            <w:tcW w:w="1926" w:type="dxa"/>
            <w:vAlign w:val="center"/>
          </w:tcPr>
          <w:p w14:paraId="156BEF34" w14:textId="5B3277AD" w:rsidR="00BB6AE5" w:rsidRPr="00D63217" w:rsidRDefault="00BB6AE5" w:rsidP="00BB6AE5">
            <w:pPr>
              <w:pStyle w:val="TableText"/>
            </w:pPr>
            <w:r w:rsidRPr="00D63217">
              <w:t>Paraquat 334 g/L</w:t>
            </w:r>
          </w:p>
        </w:tc>
        <w:tc>
          <w:tcPr>
            <w:tcW w:w="1926" w:type="dxa"/>
          </w:tcPr>
          <w:p w14:paraId="68C465BF" w14:textId="5CFD8470" w:rsidR="00BB6AE5" w:rsidRPr="00D63217" w:rsidRDefault="00BB6AE5" w:rsidP="00BB6AE5">
            <w:pPr>
              <w:pStyle w:val="TableText"/>
            </w:pPr>
            <w:r w:rsidRPr="00D63217">
              <w:t>1d</w:t>
            </w:r>
          </w:p>
        </w:tc>
      </w:tr>
      <w:tr w:rsidR="00BB6AE5" w:rsidRPr="00D63217" w14:paraId="2B4C0E6B" w14:textId="77777777" w:rsidTr="008E5A3A">
        <w:tc>
          <w:tcPr>
            <w:tcW w:w="1925" w:type="dxa"/>
          </w:tcPr>
          <w:p w14:paraId="2985AE04" w14:textId="1FD1F2A5" w:rsidR="00BB6AE5" w:rsidRPr="00D63217" w:rsidRDefault="00BB6AE5" w:rsidP="00BB6AE5">
            <w:pPr>
              <w:pStyle w:val="TableText"/>
            </w:pPr>
            <w:r w:rsidRPr="00D63217">
              <w:t>83010</w:t>
            </w:r>
          </w:p>
        </w:tc>
        <w:tc>
          <w:tcPr>
            <w:tcW w:w="1925" w:type="dxa"/>
          </w:tcPr>
          <w:p w14:paraId="087196B7" w14:textId="54565A43" w:rsidR="00BB6AE5" w:rsidRPr="00D63217" w:rsidRDefault="00BB6AE5" w:rsidP="00BB6AE5">
            <w:pPr>
              <w:pStyle w:val="TableText"/>
            </w:pPr>
            <w:r w:rsidRPr="00D63217">
              <w:t>Paraquick Force 350 Herbicide</w:t>
            </w:r>
          </w:p>
        </w:tc>
        <w:tc>
          <w:tcPr>
            <w:tcW w:w="1926" w:type="dxa"/>
          </w:tcPr>
          <w:p w14:paraId="08AF93FF" w14:textId="0FD1B0A2" w:rsidR="00BB6AE5" w:rsidRPr="00D63217" w:rsidRDefault="00BB6AE5" w:rsidP="00BB6AE5">
            <w:pPr>
              <w:pStyle w:val="TableText"/>
            </w:pPr>
            <w:r w:rsidRPr="00D63217">
              <w:t>Nutrien Ag Solutions Limited</w:t>
            </w:r>
          </w:p>
        </w:tc>
        <w:tc>
          <w:tcPr>
            <w:tcW w:w="1926" w:type="dxa"/>
            <w:vAlign w:val="center"/>
          </w:tcPr>
          <w:p w14:paraId="52CD42E0" w14:textId="6F91A5C3" w:rsidR="00BB6AE5" w:rsidRPr="00D63217" w:rsidRDefault="00BB6AE5" w:rsidP="00BB6AE5">
            <w:pPr>
              <w:pStyle w:val="TableText"/>
            </w:pPr>
            <w:r w:rsidRPr="00D63217">
              <w:t>Paraquat 350 g/L</w:t>
            </w:r>
          </w:p>
        </w:tc>
        <w:tc>
          <w:tcPr>
            <w:tcW w:w="1926" w:type="dxa"/>
          </w:tcPr>
          <w:p w14:paraId="278B6FC8" w14:textId="7EAD7064" w:rsidR="00BB6AE5" w:rsidRPr="00D63217" w:rsidRDefault="00BB6AE5" w:rsidP="00BB6AE5">
            <w:pPr>
              <w:pStyle w:val="TableText"/>
            </w:pPr>
            <w:r w:rsidRPr="00D63217">
              <w:t>1e</w:t>
            </w:r>
          </w:p>
        </w:tc>
      </w:tr>
      <w:tr w:rsidR="00BB6AE5" w:rsidRPr="00D63217" w14:paraId="330E5F90" w14:textId="77777777" w:rsidTr="008E5A3A">
        <w:tc>
          <w:tcPr>
            <w:tcW w:w="1925" w:type="dxa"/>
          </w:tcPr>
          <w:p w14:paraId="2F15432C" w14:textId="4974D820" w:rsidR="00BB6AE5" w:rsidRPr="00D63217" w:rsidRDefault="00BB6AE5" w:rsidP="00BB6AE5">
            <w:pPr>
              <w:pStyle w:val="TableText"/>
            </w:pPr>
            <w:r w:rsidRPr="00D63217">
              <w:t>68577</w:t>
            </w:r>
          </w:p>
        </w:tc>
        <w:tc>
          <w:tcPr>
            <w:tcW w:w="1925" w:type="dxa"/>
          </w:tcPr>
          <w:p w14:paraId="5DBEB02C" w14:textId="22942209" w:rsidR="00BB6AE5" w:rsidRPr="00D63217" w:rsidRDefault="00BB6AE5" w:rsidP="00BB6AE5">
            <w:pPr>
              <w:pStyle w:val="TableText"/>
            </w:pPr>
            <w:r w:rsidRPr="00D63217">
              <w:t>Gramoxone 360 Pro Herbicide</w:t>
            </w:r>
          </w:p>
        </w:tc>
        <w:tc>
          <w:tcPr>
            <w:tcW w:w="1926" w:type="dxa"/>
          </w:tcPr>
          <w:p w14:paraId="777962DF" w14:textId="27EA8804" w:rsidR="00BB6AE5" w:rsidRPr="00D63217" w:rsidRDefault="00BB6AE5" w:rsidP="00BB6AE5">
            <w:pPr>
              <w:pStyle w:val="TableText"/>
            </w:pPr>
            <w:r w:rsidRPr="00D63217">
              <w:t>Syngenta Australia Pty Ltd</w:t>
            </w:r>
          </w:p>
        </w:tc>
        <w:tc>
          <w:tcPr>
            <w:tcW w:w="1926" w:type="dxa"/>
            <w:vAlign w:val="center"/>
          </w:tcPr>
          <w:p w14:paraId="06D2EB84" w14:textId="34A0F074" w:rsidR="00BB6AE5" w:rsidRPr="00D63217" w:rsidRDefault="00BB6AE5" w:rsidP="00BB6AE5">
            <w:pPr>
              <w:pStyle w:val="TableText"/>
            </w:pPr>
            <w:r w:rsidRPr="00D63217">
              <w:t>Paraquat 360 g/L</w:t>
            </w:r>
          </w:p>
        </w:tc>
        <w:tc>
          <w:tcPr>
            <w:tcW w:w="1926" w:type="dxa"/>
          </w:tcPr>
          <w:p w14:paraId="64A1ED02" w14:textId="11F60351" w:rsidR="00BB6AE5" w:rsidRPr="00D63217" w:rsidRDefault="00BB6AE5" w:rsidP="00BB6AE5">
            <w:pPr>
              <w:pStyle w:val="TableText"/>
            </w:pPr>
            <w:r w:rsidRPr="00D63217">
              <w:t>1f</w:t>
            </w:r>
          </w:p>
        </w:tc>
      </w:tr>
      <w:tr w:rsidR="00BB6AE5" w:rsidRPr="00D63217" w14:paraId="722AEF9F" w14:textId="77777777" w:rsidTr="008E5A3A">
        <w:tc>
          <w:tcPr>
            <w:tcW w:w="1925" w:type="dxa"/>
          </w:tcPr>
          <w:p w14:paraId="0DD4C7D4" w14:textId="7437A490" w:rsidR="00BB6AE5" w:rsidRPr="00D63217" w:rsidRDefault="00BB6AE5" w:rsidP="00BB6AE5">
            <w:pPr>
              <w:pStyle w:val="TableText"/>
            </w:pPr>
            <w:r w:rsidRPr="00D63217">
              <w:t>83835</w:t>
            </w:r>
          </w:p>
        </w:tc>
        <w:tc>
          <w:tcPr>
            <w:tcW w:w="1925" w:type="dxa"/>
          </w:tcPr>
          <w:p w14:paraId="3702D89F" w14:textId="15B1279E" w:rsidR="00BB6AE5" w:rsidRPr="00D63217" w:rsidRDefault="00BB6AE5" w:rsidP="00BB6AE5">
            <w:pPr>
              <w:pStyle w:val="TableText"/>
            </w:pPr>
            <w:r w:rsidRPr="00D63217">
              <w:t>Rainquat Full Herbicide</w:t>
            </w:r>
          </w:p>
        </w:tc>
        <w:tc>
          <w:tcPr>
            <w:tcW w:w="1926" w:type="dxa"/>
          </w:tcPr>
          <w:p w14:paraId="033D25FB" w14:textId="4849A340" w:rsidR="00BB6AE5" w:rsidRPr="00D63217" w:rsidRDefault="00BB6AE5" w:rsidP="00BB6AE5">
            <w:pPr>
              <w:pStyle w:val="TableText"/>
            </w:pPr>
            <w:r w:rsidRPr="00D63217">
              <w:t>Shandong Rainbow International Co Ltd</w:t>
            </w:r>
          </w:p>
        </w:tc>
        <w:tc>
          <w:tcPr>
            <w:tcW w:w="1926" w:type="dxa"/>
          </w:tcPr>
          <w:p w14:paraId="5BE6B5F8" w14:textId="32C16A6D" w:rsidR="00BB6AE5" w:rsidRPr="00D63217" w:rsidRDefault="00BB6AE5" w:rsidP="00BB6AE5">
            <w:pPr>
              <w:pStyle w:val="TableText"/>
            </w:pPr>
            <w:r w:rsidRPr="00D63217">
              <w:t>Paraquat 360 g/L</w:t>
            </w:r>
          </w:p>
        </w:tc>
        <w:tc>
          <w:tcPr>
            <w:tcW w:w="1926" w:type="dxa"/>
          </w:tcPr>
          <w:p w14:paraId="3CDFD63E" w14:textId="2F626ACE" w:rsidR="00BB6AE5" w:rsidRPr="00D63217" w:rsidRDefault="00BB6AE5" w:rsidP="00BB6AE5">
            <w:pPr>
              <w:pStyle w:val="TableText"/>
            </w:pPr>
            <w:r w:rsidRPr="00D63217">
              <w:t>1f</w:t>
            </w:r>
          </w:p>
        </w:tc>
      </w:tr>
      <w:tr w:rsidR="00BB6AE5" w:rsidRPr="00D63217" w14:paraId="39EA8EEE" w14:textId="77777777" w:rsidTr="008E5A3A">
        <w:tc>
          <w:tcPr>
            <w:tcW w:w="1925" w:type="dxa"/>
          </w:tcPr>
          <w:p w14:paraId="646BAD17" w14:textId="767A0FBB" w:rsidR="00BB6AE5" w:rsidRPr="00D63217" w:rsidRDefault="00BB6AE5" w:rsidP="00BB6AE5">
            <w:pPr>
              <w:pStyle w:val="TableText"/>
            </w:pPr>
            <w:r w:rsidRPr="00D63217">
              <w:t>86364</w:t>
            </w:r>
          </w:p>
        </w:tc>
        <w:tc>
          <w:tcPr>
            <w:tcW w:w="1925" w:type="dxa"/>
          </w:tcPr>
          <w:p w14:paraId="11DC3F46" w14:textId="43BA7FE1" w:rsidR="00BB6AE5" w:rsidRPr="00D63217" w:rsidRDefault="00BB6AE5" w:rsidP="00BB6AE5">
            <w:pPr>
              <w:pStyle w:val="TableText"/>
            </w:pPr>
            <w:r w:rsidRPr="00D63217">
              <w:t>Genfarm Paraquat 360 Herbicide</w:t>
            </w:r>
          </w:p>
        </w:tc>
        <w:tc>
          <w:tcPr>
            <w:tcW w:w="1926" w:type="dxa"/>
          </w:tcPr>
          <w:p w14:paraId="497413D5" w14:textId="64C8B9D2" w:rsidR="00BB6AE5" w:rsidRPr="00D63217" w:rsidRDefault="00BB6AE5" w:rsidP="00BB6AE5">
            <w:pPr>
              <w:pStyle w:val="TableText"/>
            </w:pPr>
            <w:r w:rsidRPr="00D63217">
              <w:t>Nutrien Ag Solutions Limited</w:t>
            </w:r>
          </w:p>
        </w:tc>
        <w:tc>
          <w:tcPr>
            <w:tcW w:w="1926" w:type="dxa"/>
          </w:tcPr>
          <w:p w14:paraId="05299D16" w14:textId="5D1AB5B5" w:rsidR="00BB6AE5" w:rsidRPr="00D63217" w:rsidRDefault="00BB6AE5" w:rsidP="00BB6AE5">
            <w:pPr>
              <w:pStyle w:val="TableText"/>
            </w:pPr>
            <w:r w:rsidRPr="00D63217">
              <w:t>Paraquat 360 g/L</w:t>
            </w:r>
          </w:p>
        </w:tc>
        <w:tc>
          <w:tcPr>
            <w:tcW w:w="1926" w:type="dxa"/>
          </w:tcPr>
          <w:p w14:paraId="287C0C24" w14:textId="668CF6CC" w:rsidR="00BB6AE5" w:rsidRPr="00D63217" w:rsidRDefault="00BB6AE5" w:rsidP="00BB6AE5">
            <w:pPr>
              <w:pStyle w:val="TableText"/>
            </w:pPr>
            <w:r w:rsidRPr="00D63217">
              <w:t>1f</w:t>
            </w:r>
          </w:p>
        </w:tc>
      </w:tr>
      <w:tr w:rsidR="00BB6AE5" w:rsidRPr="00D63217" w14:paraId="189037F1" w14:textId="77777777" w:rsidTr="008E5A3A">
        <w:tc>
          <w:tcPr>
            <w:tcW w:w="1925" w:type="dxa"/>
          </w:tcPr>
          <w:p w14:paraId="057C0B81" w14:textId="6FBEC6B4" w:rsidR="00BB6AE5" w:rsidRPr="00D63217" w:rsidRDefault="00BB6AE5" w:rsidP="00BB6AE5">
            <w:pPr>
              <w:pStyle w:val="TableText"/>
            </w:pPr>
            <w:r w:rsidRPr="00D63217">
              <w:t>86801</w:t>
            </w:r>
          </w:p>
        </w:tc>
        <w:tc>
          <w:tcPr>
            <w:tcW w:w="1925" w:type="dxa"/>
          </w:tcPr>
          <w:p w14:paraId="02D209F7" w14:textId="04D9E367" w:rsidR="00BB6AE5" w:rsidRPr="00D63217" w:rsidRDefault="00BB6AE5" w:rsidP="00BB6AE5">
            <w:pPr>
              <w:pStyle w:val="TableText"/>
            </w:pPr>
            <w:r w:rsidRPr="00D63217">
              <w:t>Ozcrop Paraquat 360 SL Herbicide</w:t>
            </w:r>
          </w:p>
        </w:tc>
        <w:tc>
          <w:tcPr>
            <w:tcW w:w="1926" w:type="dxa"/>
          </w:tcPr>
          <w:p w14:paraId="4ED501C0" w14:textId="35F58B35" w:rsidR="00BB6AE5" w:rsidRPr="00D63217" w:rsidRDefault="00BB6AE5" w:rsidP="00BB6AE5">
            <w:pPr>
              <w:pStyle w:val="TableText"/>
            </w:pPr>
            <w:r w:rsidRPr="00D63217">
              <w:t>Oz Crop Pty Ltd</w:t>
            </w:r>
          </w:p>
        </w:tc>
        <w:tc>
          <w:tcPr>
            <w:tcW w:w="1926" w:type="dxa"/>
          </w:tcPr>
          <w:p w14:paraId="5CB1055B" w14:textId="2D046FBD" w:rsidR="00BB6AE5" w:rsidRPr="00D63217" w:rsidRDefault="00BB6AE5" w:rsidP="00BB6AE5">
            <w:pPr>
              <w:pStyle w:val="TableText"/>
            </w:pPr>
            <w:r w:rsidRPr="00D63217">
              <w:t>Paraquat 360 g/L</w:t>
            </w:r>
          </w:p>
        </w:tc>
        <w:tc>
          <w:tcPr>
            <w:tcW w:w="1926" w:type="dxa"/>
          </w:tcPr>
          <w:p w14:paraId="0E276667" w14:textId="10AD8CB4" w:rsidR="00BB6AE5" w:rsidRPr="00D63217" w:rsidRDefault="00BB6AE5" w:rsidP="00BB6AE5">
            <w:pPr>
              <w:pStyle w:val="TableText"/>
            </w:pPr>
            <w:r w:rsidRPr="00D63217">
              <w:t>1f</w:t>
            </w:r>
          </w:p>
        </w:tc>
      </w:tr>
      <w:tr w:rsidR="00BB6AE5" w:rsidRPr="00D63217" w14:paraId="477F1665" w14:textId="77777777" w:rsidTr="008E5A3A">
        <w:tc>
          <w:tcPr>
            <w:tcW w:w="1925" w:type="dxa"/>
          </w:tcPr>
          <w:p w14:paraId="2BD9B4F1" w14:textId="718B010C" w:rsidR="00BB6AE5" w:rsidRPr="00D63217" w:rsidRDefault="00BB6AE5" w:rsidP="00BB6AE5">
            <w:pPr>
              <w:pStyle w:val="TableText"/>
            </w:pPr>
            <w:r w:rsidRPr="00D63217">
              <w:lastRenderedPageBreak/>
              <w:t>87228</w:t>
            </w:r>
          </w:p>
        </w:tc>
        <w:tc>
          <w:tcPr>
            <w:tcW w:w="1925" w:type="dxa"/>
          </w:tcPr>
          <w:p w14:paraId="59FF4E33" w14:textId="7CB419D3" w:rsidR="00BB6AE5" w:rsidRPr="00D63217" w:rsidRDefault="00BB6AE5" w:rsidP="00BB6AE5">
            <w:pPr>
              <w:pStyle w:val="TableText"/>
            </w:pPr>
            <w:r w:rsidRPr="00D63217">
              <w:t>Relyon Paraquat 360 Herbicide</w:t>
            </w:r>
          </w:p>
        </w:tc>
        <w:tc>
          <w:tcPr>
            <w:tcW w:w="1926" w:type="dxa"/>
          </w:tcPr>
          <w:p w14:paraId="3267F3C3" w14:textId="244FA638" w:rsidR="00BB6AE5" w:rsidRPr="00D63217" w:rsidRDefault="00BB6AE5" w:rsidP="00BB6AE5">
            <w:pPr>
              <w:pStyle w:val="TableText"/>
            </w:pPr>
            <w:r w:rsidRPr="00D63217">
              <w:t>Nutrien Ag Solutions Limited</w:t>
            </w:r>
          </w:p>
        </w:tc>
        <w:tc>
          <w:tcPr>
            <w:tcW w:w="1926" w:type="dxa"/>
          </w:tcPr>
          <w:p w14:paraId="58FF55A2" w14:textId="42FEC98D" w:rsidR="00BB6AE5" w:rsidRPr="00D63217" w:rsidRDefault="00BB6AE5" w:rsidP="00BB6AE5">
            <w:pPr>
              <w:pStyle w:val="TableText"/>
            </w:pPr>
            <w:r w:rsidRPr="00D63217">
              <w:t>Paraquat 360 g/L</w:t>
            </w:r>
          </w:p>
        </w:tc>
        <w:tc>
          <w:tcPr>
            <w:tcW w:w="1926" w:type="dxa"/>
          </w:tcPr>
          <w:p w14:paraId="568500DE" w14:textId="0C229744" w:rsidR="00BB6AE5" w:rsidRPr="00D63217" w:rsidRDefault="00BB6AE5" w:rsidP="00BB6AE5">
            <w:pPr>
              <w:pStyle w:val="TableText"/>
            </w:pPr>
            <w:r w:rsidRPr="00D63217">
              <w:t>1f</w:t>
            </w:r>
          </w:p>
        </w:tc>
      </w:tr>
      <w:tr w:rsidR="00BB6AE5" w:rsidRPr="00D63217" w14:paraId="01D9A867" w14:textId="77777777" w:rsidTr="008E5A3A">
        <w:tc>
          <w:tcPr>
            <w:tcW w:w="1925" w:type="dxa"/>
          </w:tcPr>
          <w:p w14:paraId="0912F6E0" w14:textId="161E3310" w:rsidR="00BB6AE5" w:rsidRPr="00D63217" w:rsidRDefault="00BB6AE5" w:rsidP="00BB6AE5">
            <w:pPr>
              <w:pStyle w:val="TableText"/>
            </w:pPr>
            <w:r w:rsidRPr="00D63217">
              <w:t>87259</w:t>
            </w:r>
          </w:p>
        </w:tc>
        <w:tc>
          <w:tcPr>
            <w:tcW w:w="1925" w:type="dxa"/>
          </w:tcPr>
          <w:p w14:paraId="3795B5E2" w14:textId="1F99B6C5" w:rsidR="00BB6AE5" w:rsidRPr="00D63217" w:rsidRDefault="00BB6AE5" w:rsidP="00BB6AE5">
            <w:pPr>
              <w:pStyle w:val="TableText"/>
            </w:pPr>
            <w:r w:rsidRPr="00D63217">
              <w:t>Conquest Explode 360 Herbicide</w:t>
            </w:r>
          </w:p>
        </w:tc>
        <w:tc>
          <w:tcPr>
            <w:tcW w:w="1926" w:type="dxa"/>
          </w:tcPr>
          <w:p w14:paraId="056F7606" w14:textId="670578C2" w:rsidR="00BB6AE5" w:rsidRPr="00D63217" w:rsidRDefault="00BB6AE5" w:rsidP="00BB6AE5">
            <w:pPr>
              <w:pStyle w:val="TableText"/>
            </w:pPr>
            <w:r w:rsidRPr="00D63217">
              <w:t>Conquest Crop Protection Pty Ltd</w:t>
            </w:r>
          </w:p>
        </w:tc>
        <w:tc>
          <w:tcPr>
            <w:tcW w:w="1926" w:type="dxa"/>
          </w:tcPr>
          <w:p w14:paraId="200F6C45" w14:textId="1A0BCEFC" w:rsidR="00BB6AE5" w:rsidRPr="00D63217" w:rsidRDefault="00BB6AE5" w:rsidP="00BB6AE5">
            <w:pPr>
              <w:pStyle w:val="TableText"/>
            </w:pPr>
            <w:r w:rsidRPr="00D63217">
              <w:t>Paraquat 360 g/L</w:t>
            </w:r>
          </w:p>
        </w:tc>
        <w:tc>
          <w:tcPr>
            <w:tcW w:w="1926" w:type="dxa"/>
          </w:tcPr>
          <w:p w14:paraId="0AB94D5D" w14:textId="1504F52D" w:rsidR="00BB6AE5" w:rsidRPr="00D63217" w:rsidRDefault="00BB6AE5" w:rsidP="00BB6AE5">
            <w:pPr>
              <w:pStyle w:val="TableText"/>
            </w:pPr>
            <w:r w:rsidRPr="00D63217">
              <w:t>1f</w:t>
            </w:r>
          </w:p>
        </w:tc>
      </w:tr>
      <w:tr w:rsidR="00BB6AE5" w:rsidRPr="00D63217" w14:paraId="67FF86BA" w14:textId="77777777" w:rsidTr="008E5A3A">
        <w:tc>
          <w:tcPr>
            <w:tcW w:w="1925" w:type="dxa"/>
          </w:tcPr>
          <w:p w14:paraId="24F6BB5E" w14:textId="50E06935" w:rsidR="00BB6AE5" w:rsidRPr="00D63217" w:rsidRDefault="00BB6AE5" w:rsidP="00BB6AE5">
            <w:pPr>
              <w:pStyle w:val="TableText"/>
            </w:pPr>
            <w:r w:rsidRPr="00D63217">
              <w:t>87271</w:t>
            </w:r>
          </w:p>
        </w:tc>
        <w:tc>
          <w:tcPr>
            <w:tcW w:w="1925" w:type="dxa"/>
          </w:tcPr>
          <w:p w14:paraId="287ECAFC" w14:textId="4C30F5B6" w:rsidR="00BB6AE5" w:rsidRPr="00D63217" w:rsidRDefault="00BB6AE5" w:rsidP="00BB6AE5">
            <w:pPr>
              <w:pStyle w:val="TableText"/>
            </w:pPr>
            <w:r w:rsidRPr="00D63217">
              <w:t>ACP Paraquat 360 Herbicide</w:t>
            </w:r>
          </w:p>
        </w:tc>
        <w:tc>
          <w:tcPr>
            <w:tcW w:w="1926" w:type="dxa"/>
          </w:tcPr>
          <w:p w14:paraId="233DE41D" w14:textId="0D4F30B2" w:rsidR="00BB6AE5" w:rsidRPr="00D63217" w:rsidRDefault="00BB6AE5" w:rsidP="00BB6AE5">
            <w:pPr>
              <w:pStyle w:val="TableText"/>
            </w:pPr>
            <w:r w:rsidRPr="00D63217">
              <w:t>Australis Crop Protection Pty Ltd</w:t>
            </w:r>
          </w:p>
        </w:tc>
        <w:tc>
          <w:tcPr>
            <w:tcW w:w="1926" w:type="dxa"/>
          </w:tcPr>
          <w:p w14:paraId="1864F9B7" w14:textId="39E665CD" w:rsidR="00BB6AE5" w:rsidRPr="00D63217" w:rsidRDefault="00BB6AE5" w:rsidP="00BB6AE5">
            <w:pPr>
              <w:pStyle w:val="TableText"/>
            </w:pPr>
            <w:r w:rsidRPr="00D63217">
              <w:t>Paraquat 360 g/L</w:t>
            </w:r>
          </w:p>
        </w:tc>
        <w:tc>
          <w:tcPr>
            <w:tcW w:w="1926" w:type="dxa"/>
          </w:tcPr>
          <w:p w14:paraId="74CC9866" w14:textId="4843A046" w:rsidR="00BB6AE5" w:rsidRPr="00D63217" w:rsidRDefault="00BB6AE5" w:rsidP="00BB6AE5">
            <w:pPr>
              <w:pStyle w:val="TableText"/>
            </w:pPr>
            <w:r w:rsidRPr="00D63217">
              <w:t>1f</w:t>
            </w:r>
          </w:p>
        </w:tc>
      </w:tr>
      <w:tr w:rsidR="00BB6AE5" w:rsidRPr="00D63217" w14:paraId="4595F57D" w14:textId="77777777" w:rsidTr="008E5A3A">
        <w:tc>
          <w:tcPr>
            <w:tcW w:w="1925" w:type="dxa"/>
          </w:tcPr>
          <w:p w14:paraId="2CFEB80D" w14:textId="24F7A2D7" w:rsidR="00BB6AE5" w:rsidRPr="00D63217" w:rsidRDefault="00BB6AE5" w:rsidP="00BB6AE5">
            <w:pPr>
              <w:pStyle w:val="TableText"/>
            </w:pPr>
            <w:r w:rsidRPr="00D63217">
              <w:t>87424</w:t>
            </w:r>
          </w:p>
        </w:tc>
        <w:tc>
          <w:tcPr>
            <w:tcW w:w="1925" w:type="dxa"/>
          </w:tcPr>
          <w:p w14:paraId="42E7A024" w14:textId="4B2ED132" w:rsidR="00BB6AE5" w:rsidRPr="00D63217" w:rsidRDefault="00BB6AE5" w:rsidP="00BB6AE5">
            <w:pPr>
              <w:pStyle w:val="TableText"/>
            </w:pPr>
            <w:r w:rsidRPr="00D63217">
              <w:t>Titan Paraquat 360 Herbicide</w:t>
            </w:r>
          </w:p>
        </w:tc>
        <w:tc>
          <w:tcPr>
            <w:tcW w:w="1926" w:type="dxa"/>
          </w:tcPr>
          <w:p w14:paraId="4AF7619D" w14:textId="5E1C42C1" w:rsidR="00BB6AE5" w:rsidRPr="00D63217" w:rsidRDefault="00BB6AE5" w:rsidP="00BB6AE5">
            <w:pPr>
              <w:pStyle w:val="TableText"/>
            </w:pPr>
            <w:r w:rsidRPr="00D63217">
              <w:t>Titan Ag Pty Ltd</w:t>
            </w:r>
          </w:p>
        </w:tc>
        <w:tc>
          <w:tcPr>
            <w:tcW w:w="1926" w:type="dxa"/>
          </w:tcPr>
          <w:p w14:paraId="0F68AA64" w14:textId="59F3D986" w:rsidR="00BB6AE5" w:rsidRPr="00D63217" w:rsidRDefault="00BB6AE5" w:rsidP="00BB6AE5">
            <w:pPr>
              <w:pStyle w:val="TableText"/>
            </w:pPr>
            <w:r w:rsidRPr="00D63217">
              <w:t>Paraquat 360 g/L</w:t>
            </w:r>
          </w:p>
        </w:tc>
        <w:tc>
          <w:tcPr>
            <w:tcW w:w="1926" w:type="dxa"/>
          </w:tcPr>
          <w:p w14:paraId="3D5D7673" w14:textId="734CE864" w:rsidR="00BB6AE5" w:rsidRPr="00D63217" w:rsidRDefault="00BB6AE5" w:rsidP="00BB6AE5">
            <w:pPr>
              <w:pStyle w:val="TableText"/>
            </w:pPr>
            <w:r w:rsidRPr="00D63217">
              <w:t>1f</w:t>
            </w:r>
          </w:p>
        </w:tc>
      </w:tr>
      <w:tr w:rsidR="00BB6AE5" w:rsidRPr="00D63217" w14:paraId="617F78F9" w14:textId="77777777" w:rsidTr="008E5A3A">
        <w:tc>
          <w:tcPr>
            <w:tcW w:w="1925" w:type="dxa"/>
          </w:tcPr>
          <w:p w14:paraId="61F19B24" w14:textId="7250D639" w:rsidR="00BB6AE5" w:rsidRPr="00D63217" w:rsidRDefault="00BB6AE5" w:rsidP="00BB6AE5">
            <w:pPr>
              <w:pStyle w:val="TableText"/>
            </w:pPr>
            <w:r w:rsidRPr="00D63217">
              <w:t>91705</w:t>
            </w:r>
          </w:p>
        </w:tc>
        <w:tc>
          <w:tcPr>
            <w:tcW w:w="1925" w:type="dxa"/>
          </w:tcPr>
          <w:p w14:paraId="0CD9A96B" w14:textId="22374CE2" w:rsidR="00BB6AE5" w:rsidRPr="00D63217" w:rsidRDefault="00BB6AE5" w:rsidP="00BB6AE5">
            <w:pPr>
              <w:pStyle w:val="TableText"/>
            </w:pPr>
            <w:r w:rsidRPr="00D63217">
              <w:t xml:space="preserve">CropSure Parashot Plus 360 Herbicide </w:t>
            </w:r>
          </w:p>
        </w:tc>
        <w:tc>
          <w:tcPr>
            <w:tcW w:w="1926" w:type="dxa"/>
          </w:tcPr>
          <w:p w14:paraId="15453295" w14:textId="3E8D3D76" w:rsidR="00BB6AE5" w:rsidRPr="00D63217" w:rsidRDefault="00BB6AE5" w:rsidP="00BB6AE5">
            <w:pPr>
              <w:pStyle w:val="TableText"/>
            </w:pPr>
            <w:r w:rsidRPr="00D63217">
              <w:t>Cropsure Pty Ltd</w:t>
            </w:r>
          </w:p>
        </w:tc>
        <w:tc>
          <w:tcPr>
            <w:tcW w:w="1926" w:type="dxa"/>
          </w:tcPr>
          <w:p w14:paraId="1AB24743" w14:textId="69BFBFBD" w:rsidR="00BB6AE5" w:rsidRPr="00D63217" w:rsidRDefault="00BB6AE5" w:rsidP="00BB6AE5">
            <w:pPr>
              <w:pStyle w:val="TableText"/>
            </w:pPr>
            <w:r w:rsidRPr="00D63217">
              <w:t>Paraquat 360 g/L</w:t>
            </w:r>
          </w:p>
        </w:tc>
        <w:tc>
          <w:tcPr>
            <w:tcW w:w="1926" w:type="dxa"/>
          </w:tcPr>
          <w:p w14:paraId="4464939B" w14:textId="4C740D25" w:rsidR="00BB6AE5" w:rsidRPr="00D63217" w:rsidRDefault="00BB6AE5" w:rsidP="00BB6AE5">
            <w:pPr>
              <w:pStyle w:val="TableText"/>
            </w:pPr>
            <w:r w:rsidRPr="00D63217">
              <w:t>1f</w:t>
            </w:r>
          </w:p>
        </w:tc>
      </w:tr>
      <w:tr w:rsidR="00BB6AE5" w:rsidRPr="00D63217" w14:paraId="58798AA6" w14:textId="77777777" w:rsidTr="00BB6AE5">
        <w:tc>
          <w:tcPr>
            <w:tcW w:w="1925" w:type="dxa"/>
            <w:vAlign w:val="center"/>
          </w:tcPr>
          <w:p w14:paraId="2F91271B" w14:textId="2FD9CE82" w:rsidR="00BB6AE5" w:rsidRPr="00D63217" w:rsidRDefault="00BB6AE5" w:rsidP="00BB6AE5">
            <w:pPr>
              <w:pStyle w:val="TableText"/>
            </w:pPr>
            <w:r>
              <w:rPr>
                <w:color w:val="000000"/>
                <w:sz w:val="16"/>
                <w:szCs w:val="16"/>
                <w:lang w:val="en-GB"/>
              </w:rPr>
              <w:t>93182</w:t>
            </w:r>
          </w:p>
        </w:tc>
        <w:tc>
          <w:tcPr>
            <w:tcW w:w="1925" w:type="dxa"/>
            <w:vAlign w:val="center"/>
          </w:tcPr>
          <w:p w14:paraId="6E95F17A" w14:textId="51D424EC" w:rsidR="00BB6AE5" w:rsidRPr="00D63217" w:rsidRDefault="00BB6AE5" w:rsidP="00BB6AE5">
            <w:pPr>
              <w:pStyle w:val="TableText"/>
            </w:pPr>
            <w:r>
              <w:rPr>
                <w:color w:val="000000"/>
                <w:sz w:val="16"/>
                <w:szCs w:val="16"/>
                <w:lang w:val="en-GB"/>
              </w:rPr>
              <w:t>Sabakem Paraquat 360SL Herbicide</w:t>
            </w:r>
          </w:p>
        </w:tc>
        <w:tc>
          <w:tcPr>
            <w:tcW w:w="1926" w:type="dxa"/>
            <w:vAlign w:val="center"/>
          </w:tcPr>
          <w:p w14:paraId="095DB7C8" w14:textId="52994774" w:rsidR="00BB6AE5" w:rsidRPr="00D63217" w:rsidRDefault="00BB6AE5" w:rsidP="00BB6AE5">
            <w:pPr>
              <w:pStyle w:val="TableText"/>
            </w:pPr>
            <w:r>
              <w:rPr>
                <w:color w:val="000000"/>
                <w:sz w:val="16"/>
                <w:szCs w:val="16"/>
                <w:lang w:val="en-GB"/>
              </w:rPr>
              <w:t>SABAKEM PTY LTD</w:t>
            </w:r>
          </w:p>
        </w:tc>
        <w:tc>
          <w:tcPr>
            <w:tcW w:w="1926" w:type="dxa"/>
          </w:tcPr>
          <w:p w14:paraId="6B601AD7" w14:textId="299B2B6B" w:rsidR="00BB6AE5" w:rsidRPr="00D63217" w:rsidRDefault="00BB6AE5" w:rsidP="00BB6AE5">
            <w:pPr>
              <w:pStyle w:val="TableText"/>
            </w:pPr>
            <w:r w:rsidRPr="00D63217">
              <w:t>Paraquat 360 g/L</w:t>
            </w:r>
          </w:p>
        </w:tc>
        <w:tc>
          <w:tcPr>
            <w:tcW w:w="1926" w:type="dxa"/>
          </w:tcPr>
          <w:p w14:paraId="60F2AA3B" w14:textId="40DD8109" w:rsidR="00BB6AE5" w:rsidRPr="00D63217" w:rsidRDefault="00BB6AE5" w:rsidP="00BB6AE5">
            <w:pPr>
              <w:pStyle w:val="TableText"/>
            </w:pPr>
            <w:r w:rsidRPr="00D63217">
              <w:t>1f</w:t>
            </w:r>
          </w:p>
        </w:tc>
      </w:tr>
      <w:tr w:rsidR="00BB6AE5" w:rsidRPr="00D63217" w14:paraId="067A0C6F" w14:textId="77777777" w:rsidTr="00BB6AE5">
        <w:tc>
          <w:tcPr>
            <w:tcW w:w="1925" w:type="dxa"/>
            <w:vAlign w:val="center"/>
          </w:tcPr>
          <w:p w14:paraId="5FE5E5B5" w14:textId="5D56FF30" w:rsidR="00BB6AE5" w:rsidRPr="00D63217" w:rsidRDefault="00BB6AE5" w:rsidP="00BB6AE5">
            <w:pPr>
              <w:pStyle w:val="TableText"/>
            </w:pPr>
            <w:r>
              <w:rPr>
                <w:color w:val="000000"/>
                <w:sz w:val="16"/>
                <w:szCs w:val="16"/>
                <w:lang w:val="en-GB"/>
              </w:rPr>
              <w:t>93444</w:t>
            </w:r>
          </w:p>
        </w:tc>
        <w:tc>
          <w:tcPr>
            <w:tcW w:w="1925" w:type="dxa"/>
            <w:vAlign w:val="center"/>
          </w:tcPr>
          <w:p w14:paraId="11AA323D" w14:textId="6D88AA4E" w:rsidR="00BB6AE5" w:rsidRPr="00D63217" w:rsidRDefault="00BB6AE5" w:rsidP="00BB6AE5">
            <w:pPr>
              <w:pStyle w:val="TableText"/>
            </w:pPr>
            <w:r>
              <w:rPr>
                <w:color w:val="000000"/>
                <w:sz w:val="16"/>
                <w:szCs w:val="16"/>
                <w:lang w:val="en-GB"/>
              </w:rPr>
              <w:t>eChem Paraquat 360 Herbicide</w:t>
            </w:r>
          </w:p>
        </w:tc>
        <w:tc>
          <w:tcPr>
            <w:tcW w:w="1926" w:type="dxa"/>
            <w:vAlign w:val="center"/>
          </w:tcPr>
          <w:p w14:paraId="49560DB3" w14:textId="2EFA5252" w:rsidR="00BB6AE5" w:rsidRPr="00D63217" w:rsidRDefault="00BB6AE5" w:rsidP="00BB6AE5">
            <w:pPr>
              <w:pStyle w:val="TableText"/>
            </w:pPr>
            <w:r>
              <w:rPr>
                <w:color w:val="000000"/>
                <w:sz w:val="16"/>
                <w:szCs w:val="16"/>
                <w:lang w:val="en-GB"/>
              </w:rPr>
              <w:t>ECHEM (AUST) PTY LIMITED</w:t>
            </w:r>
          </w:p>
        </w:tc>
        <w:tc>
          <w:tcPr>
            <w:tcW w:w="1926" w:type="dxa"/>
          </w:tcPr>
          <w:p w14:paraId="05586712" w14:textId="0CAC15F5" w:rsidR="00BB6AE5" w:rsidRPr="00D63217" w:rsidRDefault="00BB6AE5" w:rsidP="00BB6AE5">
            <w:pPr>
              <w:pStyle w:val="TableText"/>
            </w:pPr>
            <w:r w:rsidRPr="00D63217">
              <w:t>Paraquat 360 g/L</w:t>
            </w:r>
          </w:p>
        </w:tc>
        <w:tc>
          <w:tcPr>
            <w:tcW w:w="1926" w:type="dxa"/>
          </w:tcPr>
          <w:p w14:paraId="2B76C541" w14:textId="40D309C2" w:rsidR="00BB6AE5" w:rsidRPr="00D63217" w:rsidRDefault="00BB6AE5" w:rsidP="00BB6AE5">
            <w:pPr>
              <w:pStyle w:val="TableText"/>
            </w:pPr>
            <w:r w:rsidRPr="00D63217">
              <w:t>1f</w:t>
            </w:r>
          </w:p>
        </w:tc>
      </w:tr>
      <w:tr w:rsidR="00BB6AE5" w:rsidRPr="00D63217" w14:paraId="63BCCB09" w14:textId="77777777" w:rsidTr="00BB6AE5">
        <w:tc>
          <w:tcPr>
            <w:tcW w:w="1925" w:type="dxa"/>
            <w:vAlign w:val="center"/>
          </w:tcPr>
          <w:p w14:paraId="27A11A37" w14:textId="5434E17D" w:rsidR="00BB6AE5" w:rsidRPr="00D63217" w:rsidRDefault="00BB6AE5" w:rsidP="00BB6AE5">
            <w:pPr>
              <w:pStyle w:val="TableText"/>
            </w:pPr>
            <w:r>
              <w:rPr>
                <w:color w:val="000000"/>
                <w:sz w:val="16"/>
                <w:szCs w:val="16"/>
                <w:lang w:val="en-GB"/>
              </w:rPr>
              <w:t>94216</w:t>
            </w:r>
          </w:p>
        </w:tc>
        <w:tc>
          <w:tcPr>
            <w:tcW w:w="1925" w:type="dxa"/>
            <w:vAlign w:val="center"/>
          </w:tcPr>
          <w:p w14:paraId="6A778998" w14:textId="0BBB601D" w:rsidR="00BB6AE5" w:rsidRPr="00D63217" w:rsidRDefault="00BB6AE5" w:rsidP="00BB6AE5">
            <w:pPr>
              <w:pStyle w:val="TableText"/>
            </w:pPr>
            <w:r>
              <w:rPr>
                <w:color w:val="000000"/>
                <w:sz w:val="16"/>
                <w:szCs w:val="16"/>
                <w:lang w:val="en-GB"/>
              </w:rPr>
              <w:t>F.S.A. Paraquat 360 Herbicide</w:t>
            </w:r>
          </w:p>
        </w:tc>
        <w:tc>
          <w:tcPr>
            <w:tcW w:w="1926" w:type="dxa"/>
            <w:vAlign w:val="center"/>
          </w:tcPr>
          <w:p w14:paraId="06E66F5A" w14:textId="2E62FAFF" w:rsidR="00BB6AE5" w:rsidRPr="00D63217" w:rsidRDefault="00BB6AE5" w:rsidP="00BB6AE5">
            <w:pPr>
              <w:pStyle w:val="TableText"/>
            </w:pPr>
            <w:r>
              <w:rPr>
                <w:color w:val="000000"/>
                <w:sz w:val="16"/>
                <w:szCs w:val="16"/>
                <w:lang w:val="en-GB"/>
              </w:rPr>
              <w:t>FOUR SEASONS AGRIBUSINESS PTY LTD</w:t>
            </w:r>
          </w:p>
        </w:tc>
        <w:tc>
          <w:tcPr>
            <w:tcW w:w="1926" w:type="dxa"/>
          </w:tcPr>
          <w:p w14:paraId="514A8F15" w14:textId="7B2A2254" w:rsidR="00BB6AE5" w:rsidRPr="00D63217" w:rsidRDefault="00BB6AE5" w:rsidP="00BB6AE5">
            <w:pPr>
              <w:pStyle w:val="TableText"/>
            </w:pPr>
            <w:r w:rsidRPr="00D63217">
              <w:t>Paraquat 360 g/L</w:t>
            </w:r>
          </w:p>
        </w:tc>
        <w:tc>
          <w:tcPr>
            <w:tcW w:w="1926" w:type="dxa"/>
          </w:tcPr>
          <w:p w14:paraId="34600C18" w14:textId="1A73DBF7" w:rsidR="00BB6AE5" w:rsidRPr="00D63217" w:rsidRDefault="00BB6AE5" w:rsidP="00BB6AE5">
            <w:pPr>
              <w:pStyle w:val="TableText"/>
            </w:pPr>
            <w:r w:rsidRPr="00D63217">
              <w:t>1f</w:t>
            </w:r>
          </w:p>
        </w:tc>
      </w:tr>
      <w:tr w:rsidR="00BB6AE5" w:rsidRPr="00D63217" w14:paraId="73909EAF" w14:textId="77777777" w:rsidTr="0057207A">
        <w:tc>
          <w:tcPr>
            <w:tcW w:w="9628" w:type="dxa"/>
            <w:gridSpan w:val="5"/>
          </w:tcPr>
          <w:p w14:paraId="18619B54" w14:textId="4C111CD1" w:rsidR="00BB6AE5" w:rsidRPr="00D63217" w:rsidRDefault="00BB6AE5" w:rsidP="0057207A">
            <w:pPr>
              <w:pStyle w:val="TableSubHead0"/>
            </w:pPr>
            <w:r w:rsidRPr="00D63217">
              <w:t>Soluble concentrate (SL) formulation containing paraquat as paraquat dichloride and diquat as diquat dibromide</w:t>
            </w:r>
          </w:p>
        </w:tc>
      </w:tr>
      <w:tr w:rsidR="00BB6AE5" w:rsidRPr="00D63217" w14:paraId="69144DC1" w14:textId="77777777" w:rsidTr="00D7782F">
        <w:tc>
          <w:tcPr>
            <w:tcW w:w="1925" w:type="dxa"/>
            <w:vAlign w:val="center"/>
          </w:tcPr>
          <w:p w14:paraId="7A76F835" w14:textId="7D05EDB5" w:rsidR="00BB6AE5" w:rsidRPr="00D63217" w:rsidRDefault="00BB6AE5" w:rsidP="00BB6AE5">
            <w:pPr>
              <w:pStyle w:val="TableText"/>
            </w:pPr>
            <w:r w:rsidRPr="00D63217">
              <w:t>46516</w:t>
            </w:r>
          </w:p>
        </w:tc>
        <w:tc>
          <w:tcPr>
            <w:tcW w:w="1925" w:type="dxa"/>
            <w:vAlign w:val="center"/>
          </w:tcPr>
          <w:p w14:paraId="411D0543" w14:textId="677D428C" w:rsidR="00BB6AE5" w:rsidRPr="00D63217" w:rsidRDefault="00BB6AE5" w:rsidP="00BB6AE5">
            <w:pPr>
              <w:pStyle w:val="TableText"/>
            </w:pPr>
            <w:r w:rsidRPr="00D63217">
              <w:t>Spray.Seed 250 Herbicide</w:t>
            </w:r>
          </w:p>
        </w:tc>
        <w:tc>
          <w:tcPr>
            <w:tcW w:w="1926" w:type="dxa"/>
            <w:vAlign w:val="center"/>
          </w:tcPr>
          <w:p w14:paraId="115FA67F" w14:textId="4B6ED032" w:rsidR="00BB6AE5" w:rsidRPr="00D63217" w:rsidRDefault="00BB6AE5" w:rsidP="00BB6AE5">
            <w:pPr>
              <w:pStyle w:val="TableText"/>
            </w:pPr>
            <w:r w:rsidRPr="00D63217">
              <w:t>Syngenta Australia Pty Ltd</w:t>
            </w:r>
          </w:p>
        </w:tc>
        <w:tc>
          <w:tcPr>
            <w:tcW w:w="1926" w:type="dxa"/>
          </w:tcPr>
          <w:p w14:paraId="1D8310BC" w14:textId="7535F81C" w:rsidR="00BB6AE5" w:rsidRPr="00D63217" w:rsidRDefault="00BB6AE5" w:rsidP="00BB6AE5">
            <w:pPr>
              <w:pStyle w:val="TableText"/>
            </w:pPr>
            <w:r w:rsidRPr="00D63217">
              <w:t>Diquat 115g/L paraquat 135g/L</w:t>
            </w:r>
          </w:p>
        </w:tc>
        <w:tc>
          <w:tcPr>
            <w:tcW w:w="1926" w:type="dxa"/>
          </w:tcPr>
          <w:p w14:paraId="4825B16C" w14:textId="327C443B" w:rsidR="00BB6AE5" w:rsidRPr="00D63217" w:rsidRDefault="00BB6AE5" w:rsidP="00BB6AE5">
            <w:pPr>
              <w:pStyle w:val="TableText"/>
            </w:pPr>
            <w:r w:rsidRPr="00D63217">
              <w:t>2</w:t>
            </w:r>
          </w:p>
        </w:tc>
      </w:tr>
      <w:tr w:rsidR="00BB6AE5" w:rsidRPr="00D63217" w14:paraId="510B6E42" w14:textId="77777777" w:rsidTr="00D7782F">
        <w:tc>
          <w:tcPr>
            <w:tcW w:w="1925" w:type="dxa"/>
            <w:vAlign w:val="center"/>
          </w:tcPr>
          <w:p w14:paraId="16DDCB29" w14:textId="64526139" w:rsidR="00BB6AE5" w:rsidRPr="00D63217" w:rsidRDefault="00BB6AE5" w:rsidP="00BB6AE5">
            <w:pPr>
              <w:pStyle w:val="TableText"/>
            </w:pPr>
            <w:r w:rsidRPr="00D63217">
              <w:t>58336</w:t>
            </w:r>
          </w:p>
        </w:tc>
        <w:tc>
          <w:tcPr>
            <w:tcW w:w="1925" w:type="dxa"/>
            <w:vAlign w:val="center"/>
          </w:tcPr>
          <w:p w14:paraId="55C7A561" w14:textId="4768C716" w:rsidR="00BB6AE5" w:rsidRPr="00D63217" w:rsidRDefault="00BB6AE5" w:rsidP="00BB6AE5">
            <w:pPr>
              <w:pStyle w:val="TableText"/>
            </w:pPr>
            <w:r w:rsidRPr="00D63217">
              <w:t>Halley Premier 250 Herbicide</w:t>
            </w:r>
          </w:p>
        </w:tc>
        <w:tc>
          <w:tcPr>
            <w:tcW w:w="1926" w:type="dxa"/>
            <w:vAlign w:val="center"/>
          </w:tcPr>
          <w:p w14:paraId="672070FF" w14:textId="19AA68BE" w:rsidR="00BB6AE5" w:rsidRPr="00D63217" w:rsidRDefault="00BB6AE5" w:rsidP="00BB6AE5">
            <w:pPr>
              <w:pStyle w:val="TableText"/>
            </w:pPr>
            <w:r w:rsidRPr="00D63217">
              <w:t>Halley International Enterprise (Australia) Pty Ltd</w:t>
            </w:r>
          </w:p>
        </w:tc>
        <w:tc>
          <w:tcPr>
            <w:tcW w:w="1926" w:type="dxa"/>
          </w:tcPr>
          <w:p w14:paraId="629BE304" w14:textId="3980FB05" w:rsidR="00BB6AE5" w:rsidRPr="00D63217" w:rsidRDefault="00BB6AE5" w:rsidP="00BB6AE5">
            <w:pPr>
              <w:pStyle w:val="TableText"/>
            </w:pPr>
            <w:r w:rsidRPr="00D63217">
              <w:t>Diquat 115g/L paraquat 135g/L</w:t>
            </w:r>
          </w:p>
        </w:tc>
        <w:tc>
          <w:tcPr>
            <w:tcW w:w="1926" w:type="dxa"/>
          </w:tcPr>
          <w:p w14:paraId="1160FE60" w14:textId="242AB8EC" w:rsidR="00BB6AE5" w:rsidRPr="00D63217" w:rsidRDefault="00BB6AE5" w:rsidP="00BB6AE5">
            <w:pPr>
              <w:pStyle w:val="TableText"/>
            </w:pPr>
            <w:r w:rsidRPr="00D63217">
              <w:t>2</w:t>
            </w:r>
          </w:p>
        </w:tc>
      </w:tr>
      <w:tr w:rsidR="00BB6AE5" w:rsidRPr="00D63217" w14:paraId="283E2DBD" w14:textId="77777777" w:rsidTr="00D7782F">
        <w:tc>
          <w:tcPr>
            <w:tcW w:w="1925" w:type="dxa"/>
            <w:vAlign w:val="center"/>
          </w:tcPr>
          <w:p w14:paraId="6F5369A0" w14:textId="160501DD" w:rsidR="00BB6AE5" w:rsidRPr="00D63217" w:rsidRDefault="00BB6AE5" w:rsidP="00BB6AE5">
            <w:pPr>
              <w:pStyle w:val="TableText"/>
            </w:pPr>
            <w:r w:rsidRPr="00D63217">
              <w:t>58412</w:t>
            </w:r>
          </w:p>
        </w:tc>
        <w:tc>
          <w:tcPr>
            <w:tcW w:w="1925" w:type="dxa"/>
            <w:vAlign w:val="center"/>
          </w:tcPr>
          <w:p w14:paraId="6E08125D" w14:textId="592543BD" w:rsidR="00BB6AE5" w:rsidRPr="00D63217" w:rsidRDefault="00BB6AE5" w:rsidP="00BB6AE5">
            <w:pPr>
              <w:pStyle w:val="TableText"/>
            </w:pPr>
            <w:r w:rsidRPr="00D63217">
              <w:t>Imtrade Spraykill 250 Herbicide</w:t>
            </w:r>
          </w:p>
        </w:tc>
        <w:tc>
          <w:tcPr>
            <w:tcW w:w="1926" w:type="dxa"/>
            <w:vAlign w:val="center"/>
          </w:tcPr>
          <w:p w14:paraId="46B561B6" w14:textId="05A49C4E" w:rsidR="00BB6AE5" w:rsidRPr="00D63217" w:rsidRDefault="00BB6AE5" w:rsidP="00BB6AE5">
            <w:pPr>
              <w:pStyle w:val="TableText"/>
            </w:pPr>
            <w:r w:rsidRPr="00D63217">
              <w:t>Imtrade Australia Pty Ltd</w:t>
            </w:r>
          </w:p>
        </w:tc>
        <w:tc>
          <w:tcPr>
            <w:tcW w:w="1926" w:type="dxa"/>
          </w:tcPr>
          <w:p w14:paraId="37725A8F" w14:textId="170D0C5E" w:rsidR="00BB6AE5" w:rsidRPr="00D63217" w:rsidRDefault="00BB6AE5" w:rsidP="00BB6AE5">
            <w:pPr>
              <w:pStyle w:val="TableText"/>
            </w:pPr>
            <w:r w:rsidRPr="00D63217">
              <w:t>Diquat 115g/L paraquat 135g/L</w:t>
            </w:r>
          </w:p>
        </w:tc>
        <w:tc>
          <w:tcPr>
            <w:tcW w:w="1926" w:type="dxa"/>
          </w:tcPr>
          <w:p w14:paraId="3908F8D1" w14:textId="6AA0362E" w:rsidR="00BB6AE5" w:rsidRPr="00D63217" w:rsidRDefault="00BB6AE5" w:rsidP="00BB6AE5">
            <w:pPr>
              <w:pStyle w:val="TableText"/>
            </w:pPr>
            <w:r w:rsidRPr="00D63217">
              <w:t>2</w:t>
            </w:r>
          </w:p>
        </w:tc>
      </w:tr>
      <w:tr w:rsidR="00BB6AE5" w:rsidRPr="00D63217" w14:paraId="7CE3F1D2" w14:textId="77777777" w:rsidTr="00D7782F">
        <w:tc>
          <w:tcPr>
            <w:tcW w:w="1925" w:type="dxa"/>
            <w:vAlign w:val="center"/>
          </w:tcPr>
          <w:p w14:paraId="1002C122" w14:textId="1F4B8038" w:rsidR="00BB6AE5" w:rsidRPr="00D63217" w:rsidRDefault="00BB6AE5" w:rsidP="00BB6AE5">
            <w:pPr>
              <w:pStyle w:val="TableText"/>
            </w:pPr>
            <w:r w:rsidRPr="00D63217">
              <w:t>58470</w:t>
            </w:r>
          </w:p>
        </w:tc>
        <w:tc>
          <w:tcPr>
            <w:tcW w:w="1925" w:type="dxa"/>
            <w:vAlign w:val="center"/>
          </w:tcPr>
          <w:p w14:paraId="54B7FC88" w14:textId="2E82A156" w:rsidR="00BB6AE5" w:rsidRPr="00D63217" w:rsidRDefault="00BB6AE5" w:rsidP="00BB6AE5">
            <w:pPr>
              <w:pStyle w:val="TableText"/>
            </w:pPr>
            <w:r w:rsidRPr="00D63217">
              <w:t>Conquest Scorcher 250 Herbicide</w:t>
            </w:r>
          </w:p>
        </w:tc>
        <w:tc>
          <w:tcPr>
            <w:tcW w:w="1926" w:type="dxa"/>
            <w:vAlign w:val="center"/>
          </w:tcPr>
          <w:p w14:paraId="315FDCAD" w14:textId="64743489" w:rsidR="00BB6AE5" w:rsidRPr="00D63217" w:rsidRDefault="00BB6AE5" w:rsidP="00BB6AE5">
            <w:pPr>
              <w:pStyle w:val="TableText"/>
            </w:pPr>
            <w:r w:rsidRPr="00D63217">
              <w:t>Conquest Crop Protection Pty Ltd</w:t>
            </w:r>
          </w:p>
        </w:tc>
        <w:tc>
          <w:tcPr>
            <w:tcW w:w="1926" w:type="dxa"/>
          </w:tcPr>
          <w:p w14:paraId="45A1A892" w14:textId="591052DF" w:rsidR="00BB6AE5" w:rsidRPr="00D63217" w:rsidRDefault="00BB6AE5" w:rsidP="00BB6AE5">
            <w:pPr>
              <w:pStyle w:val="TableText"/>
            </w:pPr>
            <w:r w:rsidRPr="00D63217">
              <w:t>Diquat 115g/L paraquat 135g/L</w:t>
            </w:r>
          </w:p>
        </w:tc>
        <w:tc>
          <w:tcPr>
            <w:tcW w:w="1926" w:type="dxa"/>
          </w:tcPr>
          <w:p w14:paraId="65CCCD11" w14:textId="62480C74" w:rsidR="00BB6AE5" w:rsidRPr="00D63217" w:rsidRDefault="00BB6AE5" w:rsidP="00BB6AE5">
            <w:pPr>
              <w:pStyle w:val="TableText"/>
            </w:pPr>
            <w:r w:rsidRPr="00D63217">
              <w:t>2</w:t>
            </w:r>
          </w:p>
        </w:tc>
      </w:tr>
      <w:tr w:rsidR="00BB6AE5" w:rsidRPr="00D63217" w14:paraId="7409644C" w14:textId="77777777" w:rsidTr="00D7782F">
        <w:tc>
          <w:tcPr>
            <w:tcW w:w="1925" w:type="dxa"/>
            <w:vAlign w:val="center"/>
          </w:tcPr>
          <w:p w14:paraId="05E572E0" w14:textId="01129702" w:rsidR="00BB6AE5" w:rsidRPr="00D63217" w:rsidRDefault="00BB6AE5" w:rsidP="00BB6AE5">
            <w:pPr>
              <w:pStyle w:val="TableText"/>
            </w:pPr>
            <w:r w:rsidRPr="00D63217">
              <w:t>58733</w:t>
            </w:r>
          </w:p>
        </w:tc>
        <w:tc>
          <w:tcPr>
            <w:tcW w:w="1925" w:type="dxa"/>
            <w:vAlign w:val="center"/>
          </w:tcPr>
          <w:p w14:paraId="4E74BC30" w14:textId="4137EB89" w:rsidR="00BB6AE5" w:rsidRPr="00D63217" w:rsidRDefault="00BB6AE5" w:rsidP="00BB6AE5">
            <w:pPr>
              <w:pStyle w:val="TableText"/>
            </w:pPr>
            <w:r w:rsidRPr="00D63217">
              <w:t>4Farmers Brown Out 250 Herbicide</w:t>
            </w:r>
          </w:p>
        </w:tc>
        <w:tc>
          <w:tcPr>
            <w:tcW w:w="1926" w:type="dxa"/>
            <w:vAlign w:val="center"/>
          </w:tcPr>
          <w:p w14:paraId="6F645BD8" w14:textId="1953CF60" w:rsidR="00BB6AE5" w:rsidRPr="00D63217" w:rsidRDefault="00BB6AE5" w:rsidP="00BB6AE5">
            <w:pPr>
              <w:pStyle w:val="TableText"/>
            </w:pPr>
            <w:r w:rsidRPr="00D63217">
              <w:t>4 Farmers Australia Pty Ltd</w:t>
            </w:r>
          </w:p>
        </w:tc>
        <w:tc>
          <w:tcPr>
            <w:tcW w:w="1926" w:type="dxa"/>
          </w:tcPr>
          <w:p w14:paraId="78246893" w14:textId="3F474455" w:rsidR="00BB6AE5" w:rsidRPr="00D63217" w:rsidRDefault="00BB6AE5" w:rsidP="00BB6AE5">
            <w:pPr>
              <w:pStyle w:val="TableText"/>
            </w:pPr>
            <w:r w:rsidRPr="00D63217">
              <w:t>Diquat 115g/L paraquat 135g/L</w:t>
            </w:r>
          </w:p>
        </w:tc>
        <w:tc>
          <w:tcPr>
            <w:tcW w:w="1926" w:type="dxa"/>
          </w:tcPr>
          <w:p w14:paraId="27CCBA07" w14:textId="2C153C09" w:rsidR="00BB6AE5" w:rsidRPr="00D63217" w:rsidRDefault="00BB6AE5" w:rsidP="00BB6AE5">
            <w:pPr>
              <w:pStyle w:val="TableText"/>
            </w:pPr>
            <w:r w:rsidRPr="00D63217">
              <w:t>2</w:t>
            </w:r>
          </w:p>
        </w:tc>
      </w:tr>
      <w:tr w:rsidR="00BB6AE5" w:rsidRPr="00D63217" w14:paraId="43397F8F" w14:textId="77777777" w:rsidTr="00D7782F">
        <w:tc>
          <w:tcPr>
            <w:tcW w:w="1925" w:type="dxa"/>
            <w:vAlign w:val="center"/>
          </w:tcPr>
          <w:p w14:paraId="3129D770" w14:textId="45ACDFDD" w:rsidR="00BB6AE5" w:rsidRPr="00D63217" w:rsidRDefault="00BB6AE5" w:rsidP="00BB6AE5">
            <w:pPr>
              <w:pStyle w:val="TableText"/>
            </w:pPr>
            <w:r w:rsidRPr="00D63217">
              <w:t>59098</w:t>
            </w:r>
          </w:p>
        </w:tc>
        <w:tc>
          <w:tcPr>
            <w:tcW w:w="1925" w:type="dxa"/>
            <w:vAlign w:val="center"/>
          </w:tcPr>
          <w:p w14:paraId="2D3ABEE0" w14:textId="1414FCC7" w:rsidR="00BB6AE5" w:rsidRPr="00D63217" w:rsidRDefault="00BB6AE5" w:rsidP="00BB6AE5">
            <w:pPr>
              <w:pStyle w:val="TableText"/>
            </w:pPr>
            <w:r w:rsidRPr="00D63217">
              <w:t>Spray-Plant 250 Herbicide</w:t>
            </w:r>
          </w:p>
        </w:tc>
        <w:tc>
          <w:tcPr>
            <w:tcW w:w="1926" w:type="dxa"/>
            <w:vAlign w:val="center"/>
          </w:tcPr>
          <w:p w14:paraId="41B97363" w14:textId="04320975" w:rsidR="00BB6AE5" w:rsidRPr="00D63217" w:rsidRDefault="00BB6AE5" w:rsidP="00BB6AE5">
            <w:pPr>
              <w:pStyle w:val="TableText"/>
            </w:pPr>
            <w:r w:rsidRPr="00D63217">
              <w:t>Sipcam Pacific Australia Pty Ltd</w:t>
            </w:r>
          </w:p>
        </w:tc>
        <w:tc>
          <w:tcPr>
            <w:tcW w:w="1926" w:type="dxa"/>
          </w:tcPr>
          <w:p w14:paraId="028C78E8" w14:textId="0EA17299" w:rsidR="00BB6AE5" w:rsidRPr="00D63217" w:rsidRDefault="00BB6AE5" w:rsidP="00BB6AE5">
            <w:pPr>
              <w:pStyle w:val="TableText"/>
            </w:pPr>
            <w:r w:rsidRPr="00D63217">
              <w:t>Diquat 115g/L paraquat 135g/L</w:t>
            </w:r>
          </w:p>
        </w:tc>
        <w:tc>
          <w:tcPr>
            <w:tcW w:w="1926" w:type="dxa"/>
          </w:tcPr>
          <w:p w14:paraId="62070AE3" w14:textId="62B607AF" w:rsidR="00BB6AE5" w:rsidRPr="00D63217" w:rsidRDefault="00BB6AE5" w:rsidP="00BB6AE5">
            <w:pPr>
              <w:pStyle w:val="TableText"/>
            </w:pPr>
            <w:r w:rsidRPr="00D63217">
              <w:t>2</w:t>
            </w:r>
          </w:p>
        </w:tc>
      </w:tr>
      <w:tr w:rsidR="00BB6AE5" w:rsidRPr="00D63217" w14:paraId="50D72884" w14:textId="77777777" w:rsidTr="00D7782F">
        <w:tc>
          <w:tcPr>
            <w:tcW w:w="1925" w:type="dxa"/>
            <w:vAlign w:val="center"/>
          </w:tcPr>
          <w:p w14:paraId="7941DB01" w14:textId="7C51B5F0" w:rsidR="00BB6AE5" w:rsidRPr="00D63217" w:rsidRDefault="00BB6AE5" w:rsidP="00BB6AE5">
            <w:pPr>
              <w:pStyle w:val="TableText"/>
            </w:pPr>
            <w:r w:rsidRPr="00D63217">
              <w:t>59333</w:t>
            </w:r>
          </w:p>
        </w:tc>
        <w:tc>
          <w:tcPr>
            <w:tcW w:w="1925" w:type="dxa"/>
            <w:vAlign w:val="center"/>
          </w:tcPr>
          <w:p w14:paraId="6E7BA4C7" w14:textId="65BDB192" w:rsidR="00BB6AE5" w:rsidRPr="00D63217" w:rsidRDefault="00BB6AE5" w:rsidP="00BB6AE5">
            <w:pPr>
              <w:pStyle w:val="TableText"/>
            </w:pPr>
            <w:r w:rsidRPr="00D63217">
              <w:t>Kenso Agcare Speedy 250 Herbicide</w:t>
            </w:r>
          </w:p>
        </w:tc>
        <w:tc>
          <w:tcPr>
            <w:tcW w:w="1926" w:type="dxa"/>
            <w:vAlign w:val="center"/>
          </w:tcPr>
          <w:p w14:paraId="186D6A65" w14:textId="395211C5" w:rsidR="00BB6AE5" w:rsidRPr="00D63217" w:rsidRDefault="00BB6AE5" w:rsidP="00BB6AE5">
            <w:pPr>
              <w:pStyle w:val="TableText"/>
            </w:pPr>
            <w:r w:rsidRPr="00D63217">
              <w:t>Kenso Corporation (M) Sdn. Bhd.</w:t>
            </w:r>
          </w:p>
        </w:tc>
        <w:tc>
          <w:tcPr>
            <w:tcW w:w="1926" w:type="dxa"/>
          </w:tcPr>
          <w:p w14:paraId="38976129" w14:textId="1C808357" w:rsidR="00BB6AE5" w:rsidRPr="00D63217" w:rsidRDefault="00BB6AE5" w:rsidP="00BB6AE5">
            <w:pPr>
              <w:pStyle w:val="TableText"/>
            </w:pPr>
            <w:r w:rsidRPr="00D63217">
              <w:t>Diquat 115g/L paraquat 135g/L</w:t>
            </w:r>
          </w:p>
        </w:tc>
        <w:tc>
          <w:tcPr>
            <w:tcW w:w="1926" w:type="dxa"/>
          </w:tcPr>
          <w:p w14:paraId="22772BC7" w14:textId="093B731B" w:rsidR="00BB6AE5" w:rsidRPr="00D63217" w:rsidRDefault="00BB6AE5" w:rsidP="00BB6AE5">
            <w:pPr>
              <w:pStyle w:val="TableText"/>
            </w:pPr>
            <w:r w:rsidRPr="00D63217">
              <w:t>2</w:t>
            </w:r>
          </w:p>
        </w:tc>
      </w:tr>
      <w:tr w:rsidR="00BB6AE5" w:rsidRPr="00D63217" w14:paraId="1A45D266" w14:textId="77777777" w:rsidTr="00D7782F">
        <w:tc>
          <w:tcPr>
            <w:tcW w:w="1925" w:type="dxa"/>
            <w:vAlign w:val="center"/>
          </w:tcPr>
          <w:p w14:paraId="70761D06" w14:textId="48BB85C2" w:rsidR="00BB6AE5" w:rsidRPr="00D63217" w:rsidRDefault="00BB6AE5" w:rsidP="00BB6AE5">
            <w:pPr>
              <w:pStyle w:val="TableText"/>
            </w:pPr>
            <w:r w:rsidRPr="00D63217">
              <w:t>59878</w:t>
            </w:r>
          </w:p>
        </w:tc>
        <w:tc>
          <w:tcPr>
            <w:tcW w:w="1925" w:type="dxa"/>
            <w:vAlign w:val="center"/>
          </w:tcPr>
          <w:p w14:paraId="7E44571A" w14:textId="5D075118" w:rsidR="00BB6AE5" w:rsidRPr="00D63217" w:rsidRDefault="00BB6AE5" w:rsidP="00BB6AE5">
            <w:pPr>
              <w:pStyle w:val="TableText"/>
            </w:pPr>
            <w:r w:rsidRPr="00D63217">
              <w:t>Genfarm Di-Par 250 Herbicide</w:t>
            </w:r>
          </w:p>
        </w:tc>
        <w:tc>
          <w:tcPr>
            <w:tcW w:w="1926" w:type="dxa"/>
            <w:vAlign w:val="center"/>
          </w:tcPr>
          <w:p w14:paraId="1ECE7E41" w14:textId="7CBEFBF4" w:rsidR="00BB6AE5" w:rsidRPr="00D63217" w:rsidRDefault="00BB6AE5" w:rsidP="00BB6AE5">
            <w:pPr>
              <w:pStyle w:val="TableText"/>
            </w:pPr>
            <w:r w:rsidRPr="00D63217">
              <w:t>Nutrien Ag Solutions Limited</w:t>
            </w:r>
          </w:p>
        </w:tc>
        <w:tc>
          <w:tcPr>
            <w:tcW w:w="1926" w:type="dxa"/>
          </w:tcPr>
          <w:p w14:paraId="72CE3630" w14:textId="45D4B19B" w:rsidR="00BB6AE5" w:rsidRPr="00D63217" w:rsidRDefault="00BB6AE5" w:rsidP="00BB6AE5">
            <w:pPr>
              <w:pStyle w:val="TableText"/>
            </w:pPr>
            <w:r w:rsidRPr="00D63217">
              <w:t>Diquat 115g/L paraquat 135g/L</w:t>
            </w:r>
          </w:p>
        </w:tc>
        <w:tc>
          <w:tcPr>
            <w:tcW w:w="1926" w:type="dxa"/>
          </w:tcPr>
          <w:p w14:paraId="6C01C094" w14:textId="0BAE6BCA" w:rsidR="00BB6AE5" w:rsidRPr="00D63217" w:rsidRDefault="00BB6AE5" w:rsidP="00BB6AE5">
            <w:pPr>
              <w:pStyle w:val="TableText"/>
            </w:pPr>
            <w:r w:rsidRPr="00D63217">
              <w:t>2</w:t>
            </w:r>
          </w:p>
        </w:tc>
      </w:tr>
      <w:tr w:rsidR="00BB6AE5" w:rsidRPr="00D63217" w14:paraId="18B4194B" w14:textId="77777777" w:rsidTr="00D7782F">
        <w:tc>
          <w:tcPr>
            <w:tcW w:w="1925" w:type="dxa"/>
            <w:vAlign w:val="center"/>
          </w:tcPr>
          <w:p w14:paraId="03A54470" w14:textId="3D69EE1D" w:rsidR="00BB6AE5" w:rsidRPr="00D63217" w:rsidRDefault="00BB6AE5" w:rsidP="00BB6AE5">
            <w:pPr>
              <w:pStyle w:val="TableText"/>
            </w:pPr>
            <w:r w:rsidRPr="00D63217">
              <w:t>60287</w:t>
            </w:r>
          </w:p>
        </w:tc>
        <w:tc>
          <w:tcPr>
            <w:tcW w:w="1925" w:type="dxa"/>
            <w:vAlign w:val="center"/>
          </w:tcPr>
          <w:p w14:paraId="763F24B2" w14:textId="23E09E30" w:rsidR="00BB6AE5" w:rsidRPr="00D63217" w:rsidRDefault="00BB6AE5" w:rsidP="00BB6AE5">
            <w:pPr>
              <w:pStyle w:val="TableText"/>
            </w:pPr>
            <w:r w:rsidRPr="00D63217">
              <w:t>Combik 250 Herbicide</w:t>
            </w:r>
          </w:p>
        </w:tc>
        <w:tc>
          <w:tcPr>
            <w:tcW w:w="1926" w:type="dxa"/>
            <w:vAlign w:val="center"/>
          </w:tcPr>
          <w:p w14:paraId="6F6FC0B7" w14:textId="7B214E22" w:rsidR="00BB6AE5" w:rsidRPr="00D63217" w:rsidRDefault="00BB6AE5" w:rsidP="00BB6AE5">
            <w:pPr>
              <w:pStyle w:val="TableText"/>
            </w:pPr>
            <w:r w:rsidRPr="00D63217">
              <w:t>Sinon Australia Pty Limited</w:t>
            </w:r>
          </w:p>
        </w:tc>
        <w:tc>
          <w:tcPr>
            <w:tcW w:w="1926" w:type="dxa"/>
          </w:tcPr>
          <w:p w14:paraId="2D4116A8" w14:textId="47BF5F1E" w:rsidR="00BB6AE5" w:rsidRPr="00D63217" w:rsidRDefault="00BB6AE5" w:rsidP="00BB6AE5">
            <w:pPr>
              <w:pStyle w:val="TableText"/>
            </w:pPr>
            <w:r w:rsidRPr="00D63217">
              <w:t>Diquat 115g/L paraquat 135g/L</w:t>
            </w:r>
          </w:p>
        </w:tc>
        <w:tc>
          <w:tcPr>
            <w:tcW w:w="1926" w:type="dxa"/>
          </w:tcPr>
          <w:p w14:paraId="350EED58" w14:textId="13B0E9FA" w:rsidR="00BB6AE5" w:rsidRPr="00D63217" w:rsidRDefault="00BB6AE5" w:rsidP="00BB6AE5">
            <w:pPr>
              <w:pStyle w:val="TableText"/>
            </w:pPr>
            <w:r w:rsidRPr="00D63217">
              <w:t>2</w:t>
            </w:r>
          </w:p>
        </w:tc>
      </w:tr>
      <w:tr w:rsidR="00BB6AE5" w:rsidRPr="00D63217" w14:paraId="6BF24AD8" w14:textId="77777777" w:rsidTr="00D7782F">
        <w:tc>
          <w:tcPr>
            <w:tcW w:w="1925" w:type="dxa"/>
            <w:vAlign w:val="center"/>
          </w:tcPr>
          <w:p w14:paraId="503B214B" w14:textId="050CDAC4" w:rsidR="00BB6AE5" w:rsidRPr="00D63217" w:rsidRDefault="00BB6AE5" w:rsidP="00BB6AE5">
            <w:pPr>
              <w:pStyle w:val="TableText"/>
            </w:pPr>
            <w:r w:rsidRPr="00D63217">
              <w:lastRenderedPageBreak/>
              <w:t>61460</w:t>
            </w:r>
          </w:p>
        </w:tc>
        <w:tc>
          <w:tcPr>
            <w:tcW w:w="1925" w:type="dxa"/>
            <w:vAlign w:val="center"/>
          </w:tcPr>
          <w:p w14:paraId="07792C4A" w14:textId="5931347E" w:rsidR="00BB6AE5" w:rsidRPr="00D63217" w:rsidRDefault="00BB6AE5" w:rsidP="00BB6AE5">
            <w:pPr>
              <w:pStyle w:val="TableText"/>
            </w:pPr>
            <w:r w:rsidRPr="00D63217">
              <w:t>Alarm Herbicide</w:t>
            </w:r>
          </w:p>
        </w:tc>
        <w:tc>
          <w:tcPr>
            <w:tcW w:w="1926" w:type="dxa"/>
            <w:vAlign w:val="center"/>
          </w:tcPr>
          <w:p w14:paraId="4EA4D7E4" w14:textId="4FB7B4D1" w:rsidR="00BB6AE5" w:rsidRPr="00D63217" w:rsidRDefault="00BB6AE5" w:rsidP="00BB6AE5">
            <w:pPr>
              <w:pStyle w:val="TableText"/>
            </w:pPr>
            <w:r w:rsidRPr="00D63217">
              <w:t>Sipcam Pacific Australia Pty Ltd</w:t>
            </w:r>
          </w:p>
        </w:tc>
        <w:tc>
          <w:tcPr>
            <w:tcW w:w="1926" w:type="dxa"/>
          </w:tcPr>
          <w:p w14:paraId="24FB2AD5" w14:textId="55A0971B" w:rsidR="00BB6AE5" w:rsidRPr="00D63217" w:rsidRDefault="00BB6AE5" w:rsidP="00BB6AE5">
            <w:pPr>
              <w:pStyle w:val="TableText"/>
            </w:pPr>
            <w:r w:rsidRPr="00D63217">
              <w:t>Diquat 115g/L paraquat 135g/L</w:t>
            </w:r>
          </w:p>
        </w:tc>
        <w:tc>
          <w:tcPr>
            <w:tcW w:w="1926" w:type="dxa"/>
          </w:tcPr>
          <w:p w14:paraId="52A70186" w14:textId="0CD1D734" w:rsidR="00BB6AE5" w:rsidRPr="00D63217" w:rsidRDefault="00BB6AE5" w:rsidP="00BB6AE5">
            <w:pPr>
              <w:pStyle w:val="TableText"/>
            </w:pPr>
            <w:r w:rsidRPr="00D63217">
              <w:t>2</w:t>
            </w:r>
          </w:p>
        </w:tc>
      </w:tr>
      <w:tr w:rsidR="00BB6AE5" w:rsidRPr="00D63217" w14:paraId="7ED78E36" w14:textId="77777777" w:rsidTr="00D7782F">
        <w:tc>
          <w:tcPr>
            <w:tcW w:w="1925" w:type="dxa"/>
            <w:vAlign w:val="center"/>
          </w:tcPr>
          <w:p w14:paraId="492E2027" w14:textId="6939AB0C" w:rsidR="00BB6AE5" w:rsidRPr="00D63217" w:rsidRDefault="00BB6AE5" w:rsidP="00BB6AE5">
            <w:pPr>
              <w:pStyle w:val="TableText"/>
            </w:pPr>
            <w:r w:rsidRPr="00D63217">
              <w:t>61860</w:t>
            </w:r>
          </w:p>
        </w:tc>
        <w:tc>
          <w:tcPr>
            <w:tcW w:w="1925" w:type="dxa"/>
            <w:vAlign w:val="center"/>
          </w:tcPr>
          <w:p w14:paraId="0994505D" w14:textId="6463DE4C" w:rsidR="00BB6AE5" w:rsidRPr="00D63217" w:rsidRDefault="00BB6AE5" w:rsidP="00BB6AE5">
            <w:pPr>
              <w:pStyle w:val="TableText"/>
            </w:pPr>
            <w:r w:rsidRPr="00D63217">
              <w:t>Titan Eos Herbicide</w:t>
            </w:r>
          </w:p>
        </w:tc>
        <w:tc>
          <w:tcPr>
            <w:tcW w:w="1926" w:type="dxa"/>
            <w:vAlign w:val="center"/>
          </w:tcPr>
          <w:p w14:paraId="19DBAB3F" w14:textId="6653FBDF" w:rsidR="00BB6AE5" w:rsidRPr="00D63217" w:rsidRDefault="00BB6AE5" w:rsidP="00BB6AE5">
            <w:pPr>
              <w:pStyle w:val="TableText"/>
            </w:pPr>
            <w:r w:rsidRPr="00D63217">
              <w:t>Titan Ag Pty Ltd</w:t>
            </w:r>
          </w:p>
        </w:tc>
        <w:tc>
          <w:tcPr>
            <w:tcW w:w="1926" w:type="dxa"/>
          </w:tcPr>
          <w:p w14:paraId="1B4550DA" w14:textId="3EF29A4A" w:rsidR="00BB6AE5" w:rsidRPr="00D63217" w:rsidRDefault="00BB6AE5" w:rsidP="00BB6AE5">
            <w:pPr>
              <w:pStyle w:val="TableText"/>
            </w:pPr>
            <w:r w:rsidRPr="00D63217">
              <w:t>Diquat 115g/L paraquat 135g/L</w:t>
            </w:r>
          </w:p>
        </w:tc>
        <w:tc>
          <w:tcPr>
            <w:tcW w:w="1926" w:type="dxa"/>
          </w:tcPr>
          <w:p w14:paraId="4D3B812E" w14:textId="7C15E185" w:rsidR="00BB6AE5" w:rsidRPr="00D63217" w:rsidRDefault="00BB6AE5" w:rsidP="00BB6AE5">
            <w:pPr>
              <w:pStyle w:val="TableText"/>
            </w:pPr>
            <w:r w:rsidRPr="00D63217">
              <w:t>2</w:t>
            </w:r>
          </w:p>
        </w:tc>
      </w:tr>
      <w:tr w:rsidR="00BB6AE5" w:rsidRPr="00D63217" w14:paraId="55172D85" w14:textId="77777777" w:rsidTr="00D7782F">
        <w:tc>
          <w:tcPr>
            <w:tcW w:w="1925" w:type="dxa"/>
            <w:vAlign w:val="center"/>
          </w:tcPr>
          <w:p w14:paraId="2E7798EA" w14:textId="6E79A6F2" w:rsidR="00BB6AE5" w:rsidRPr="00D63217" w:rsidRDefault="00BB6AE5" w:rsidP="00BB6AE5">
            <w:pPr>
              <w:pStyle w:val="TableText"/>
            </w:pPr>
            <w:r w:rsidRPr="00D63217">
              <w:t>62495</w:t>
            </w:r>
          </w:p>
        </w:tc>
        <w:tc>
          <w:tcPr>
            <w:tcW w:w="1925" w:type="dxa"/>
            <w:vAlign w:val="center"/>
          </w:tcPr>
          <w:p w14:paraId="3D32270B" w14:textId="4C068707" w:rsidR="00BB6AE5" w:rsidRPr="00D63217" w:rsidRDefault="00BB6AE5" w:rsidP="00BB6AE5">
            <w:pPr>
              <w:pStyle w:val="TableText"/>
            </w:pPr>
            <w:r w:rsidRPr="00D63217">
              <w:t>Sanonda Paraquat/Diquat Herbicide</w:t>
            </w:r>
          </w:p>
        </w:tc>
        <w:tc>
          <w:tcPr>
            <w:tcW w:w="1926" w:type="dxa"/>
            <w:vAlign w:val="center"/>
          </w:tcPr>
          <w:p w14:paraId="4810A943" w14:textId="3176EDC9" w:rsidR="00BB6AE5" w:rsidRPr="00D63217" w:rsidRDefault="00BB6AE5" w:rsidP="00BB6AE5">
            <w:pPr>
              <w:pStyle w:val="TableText"/>
            </w:pPr>
            <w:r w:rsidRPr="00D63217">
              <w:t>Sanonda (Australia) Pty Ltd</w:t>
            </w:r>
          </w:p>
        </w:tc>
        <w:tc>
          <w:tcPr>
            <w:tcW w:w="1926" w:type="dxa"/>
          </w:tcPr>
          <w:p w14:paraId="423A4821" w14:textId="3A8D147B" w:rsidR="00BB6AE5" w:rsidRPr="00D63217" w:rsidRDefault="00BB6AE5" w:rsidP="00BB6AE5">
            <w:pPr>
              <w:pStyle w:val="TableText"/>
            </w:pPr>
            <w:r w:rsidRPr="00D63217">
              <w:t>Diquat 115g/L paraquat 135g/L</w:t>
            </w:r>
          </w:p>
        </w:tc>
        <w:tc>
          <w:tcPr>
            <w:tcW w:w="1926" w:type="dxa"/>
          </w:tcPr>
          <w:p w14:paraId="50EDFD31" w14:textId="51579211" w:rsidR="00BB6AE5" w:rsidRPr="00D63217" w:rsidRDefault="00BB6AE5" w:rsidP="00BB6AE5">
            <w:pPr>
              <w:pStyle w:val="TableText"/>
            </w:pPr>
            <w:r w:rsidRPr="00D63217">
              <w:t>2</w:t>
            </w:r>
          </w:p>
        </w:tc>
      </w:tr>
      <w:tr w:rsidR="00BB6AE5" w:rsidRPr="00D63217" w14:paraId="73A75976" w14:textId="77777777" w:rsidTr="00D7782F">
        <w:tc>
          <w:tcPr>
            <w:tcW w:w="1925" w:type="dxa"/>
            <w:vAlign w:val="center"/>
          </w:tcPr>
          <w:p w14:paraId="753A36A8" w14:textId="278B78C9" w:rsidR="00BB6AE5" w:rsidRPr="00D63217" w:rsidRDefault="00BB6AE5" w:rsidP="00BB6AE5">
            <w:pPr>
              <w:pStyle w:val="TableText"/>
            </w:pPr>
            <w:r w:rsidRPr="00D63217">
              <w:t>62631</w:t>
            </w:r>
          </w:p>
        </w:tc>
        <w:tc>
          <w:tcPr>
            <w:tcW w:w="1925" w:type="dxa"/>
            <w:vAlign w:val="center"/>
          </w:tcPr>
          <w:p w14:paraId="554FC816" w14:textId="2CA56BFF" w:rsidR="00BB6AE5" w:rsidRPr="00D63217" w:rsidRDefault="00BB6AE5" w:rsidP="00BB6AE5">
            <w:pPr>
              <w:pStyle w:val="TableText"/>
            </w:pPr>
            <w:r w:rsidRPr="00D63217">
              <w:t>Accensi Paraquat/Diquat 250 Herbicide</w:t>
            </w:r>
          </w:p>
        </w:tc>
        <w:tc>
          <w:tcPr>
            <w:tcW w:w="1926" w:type="dxa"/>
            <w:vAlign w:val="center"/>
          </w:tcPr>
          <w:p w14:paraId="70BBD3F9" w14:textId="612CD938" w:rsidR="00BB6AE5" w:rsidRPr="00D63217" w:rsidRDefault="00BB6AE5" w:rsidP="00BB6AE5">
            <w:pPr>
              <w:pStyle w:val="TableText"/>
            </w:pPr>
            <w:r w:rsidRPr="00D63217">
              <w:t>Accensi Pty Ltd</w:t>
            </w:r>
          </w:p>
        </w:tc>
        <w:tc>
          <w:tcPr>
            <w:tcW w:w="1926" w:type="dxa"/>
          </w:tcPr>
          <w:p w14:paraId="70BFEB72" w14:textId="10963368" w:rsidR="00BB6AE5" w:rsidRPr="00D63217" w:rsidRDefault="00BB6AE5" w:rsidP="00BB6AE5">
            <w:pPr>
              <w:pStyle w:val="TableText"/>
            </w:pPr>
            <w:r w:rsidRPr="00D63217">
              <w:t>Diquat 115g/L paraquat 135g/L</w:t>
            </w:r>
          </w:p>
        </w:tc>
        <w:tc>
          <w:tcPr>
            <w:tcW w:w="1926" w:type="dxa"/>
          </w:tcPr>
          <w:p w14:paraId="0DB85526" w14:textId="6D3ECC22" w:rsidR="00BB6AE5" w:rsidRPr="00D63217" w:rsidRDefault="00BB6AE5" w:rsidP="00BB6AE5">
            <w:pPr>
              <w:pStyle w:val="TableText"/>
            </w:pPr>
            <w:r w:rsidRPr="00D63217">
              <w:t>2</w:t>
            </w:r>
          </w:p>
        </w:tc>
      </w:tr>
      <w:tr w:rsidR="00BB6AE5" w:rsidRPr="00D63217" w14:paraId="38CD0435" w14:textId="77777777" w:rsidTr="00D7782F">
        <w:tc>
          <w:tcPr>
            <w:tcW w:w="1925" w:type="dxa"/>
            <w:vAlign w:val="center"/>
          </w:tcPr>
          <w:p w14:paraId="7B741E3C" w14:textId="1C2D6180" w:rsidR="00BB6AE5" w:rsidRPr="00D63217" w:rsidRDefault="00BB6AE5" w:rsidP="00BB6AE5">
            <w:pPr>
              <w:pStyle w:val="TableText"/>
            </w:pPr>
            <w:r w:rsidRPr="00D63217">
              <w:t>63565</w:t>
            </w:r>
          </w:p>
        </w:tc>
        <w:tc>
          <w:tcPr>
            <w:tcW w:w="1925" w:type="dxa"/>
            <w:vAlign w:val="center"/>
          </w:tcPr>
          <w:p w14:paraId="30B8E98C" w14:textId="14021D1B" w:rsidR="00BB6AE5" w:rsidRPr="00D63217" w:rsidRDefault="00BB6AE5" w:rsidP="00BB6AE5">
            <w:pPr>
              <w:pStyle w:val="TableText"/>
            </w:pPr>
            <w:r w:rsidRPr="00D63217">
              <w:t>Ozcrop Blowout Herbicide</w:t>
            </w:r>
          </w:p>
        </w:tc>
        <w:tc>
          <w:tcPr>
            <w:tcW w:w="1926" w:type="dxa"/>
            <w:vAlign w:val="center"/>
          </w:tcPr>
          <w:p w14:paraId="40E45C2D" w14:textId="302351BA" w:rsidR="00BB6AE5" w:rsidRPr="00D63217" w:rsidRDefault="00BB6AE5" w:rsidP="00BB6AE5">
            <w:pPr>
              <w:pStyle w:val="TableText"/>
            </w:pPr>
            <w:r w:rsidRPr="00D63217">
              <w:t>Oz Crop Pty Ltd</w:t>
            </w:r>
          </w:p>
        </w:tc>
        <w:tc>
          <w:tcPr>
            <w:tcW w:w="1926" w:type="dxa"/>
          </w:tcPr>
          <w:p w14:paraId="13B10CA8" w14:textId="560319E5" w:rsidR="00BB6AE5" w:rsidRPr="00D63217" w:rsidRDefault="00BB6AE5" w:rsidP="00BB6AE5">
            <w:pPr>
              <w:pStyle w:val="TableText"/>
            </w:pPr>
            <w:r w:rsidRPr="00D63217">
              <w:t>Diquat 115g/L paraquat 135g/L</w:t>
            </w:r>
          </w:p>
        </w:tc>
        <w:tc>
          <w:tcPr>
            <w:tcW w:w="1926" w:type="dxa"/>
          </w:tcPr>
          <w:p w14:paraId="0A3F4880" w14:textId="5005516A" w:rsidR="00BB6AE5" w:rsidRPr="00D63217" w:rsidRDefault="00BB6AE5" w:rsidP="00BB6AE5">
            <w:pPr>
              <w:pStyle w:val="TableText"/>
            </w:pPr>
            <w:r w:rsidRPr="00D63217">
              <w:t>2</w:t>
            </w:r>
          </w:p>
        </w:tc>
      </w:tr>
      <w:tr w:rsidR="00BB6AE5" w:rsidRPr="00D63217" w14:paraId="09D8B2BA" w14:textId="77777777" w:rsidTr="00D7782F">
        <w:tc>
          <w:tcPr>
            <w:tcW w:w="1925" w:type="dxa"/>
            <w:vAlign w:val="center"/>
          </w:tcPr>
          <w:p w14:paraId="78FE5839" w14:textId="77112692" w:rsidR="00BB6AE5" w:rsidRPr="00D63217" w:rsidRDefault="00BB6AE5" w:rsidP="00BB6AE5">
            <w:pPr>
              <w:pStyle w:val="TableText"/>
            </w:pPr>
            <w:r w:rsidRPr="00D63217">
              <w:t>64325</w:t>
            </w:r>
          </w:p>
        </w:tc>
        <w:tc>
          <w:tcPr>
            <w:tcW w:w="1925" w:type="dxa"/>
            <w:vAlign w:val="center"/>
          </w:tcPr>
          <w:p w14:paraId="508B7F89" w14:textId="6801B1C9" w:rsidR="00BB6AE5" w:rsidRPr="00D63217" w:rsidRDefault="00BB6AE5" w:rsidP="00BB6AE5">
            <w:pPr>
              <w:pStyle w:val="TableText"/>
            </w:pPr>
            <w:r w:rsidRPr="00D63217">
              <w:t>Farmalinx Paradat Herbicide</w:t>
            </w:r>
          </w:p>
        </w:tc>
        <w:tc>
          <w:tcPr>
            <w:tcW w:w="1926" w:type="dxa"/>
            <w:vAlign w:val="center"/>
          </w:tcPr>
          <w:p w14:paraId="12A89C4A" w14:textId="240E6AE0" w:rsidR="00BB6AE5" w:rsidRPr="00D63217" w:rsidRDefault="00BB6AE5" w:rsidP="00BB6AE5">
            <w:pPr>
              <w:pStyle w:val="TableText"/>
            </w:pPr>
            <w:r w:rsidRPr="00D63217">
              <w:t>Farmalinx Pty Ltd</w:t>
            </w:r>
          </w:p>
        </w:tc>
        <w:tc>
          <w:tcPr>
            <w:tcW w:w="1926" w:type="dxa"/>
          </w:tcPr>
          <w:p w14:paraId="69807D79" w14:textId="5826DAB5" w:rsidR="00BB6AE5" w:rsidRPr="00D63217" w:rsidRDefault="00BB6AE5" w:rsidP="00BB6AE5">
            <w:pPr>
              <w:pStyle w:val="TableText"/>
            </w:pPr>
            <w:r w:rsidRPr="00D63217">
              <w:t>Diquat 115g/L paraquat 135g/L</w:t>
            </w:r>
          </w:p>
        </w:tc>
        <w:tc>
          <w:tcPr>
            <w:tcW w:w="1926" w:type="dxa"/>
          </w:tcPr>
          <w:p w14:paraId="015A8CD0" w14:textId="65A12898" w:rsidR="00BB6AE5" w:rsidRPr="00D63217" w:rsidRDefault="00BB6AE5" w:rsidP="00BB6AE5">
            <w:pPr>
              <w:pStyle w:val="TableText"/>
            </w:pPr>
            <w:r w:rsidRPr="00D63217">
              <w:t>2</w:t>
            </w:r>
          </w:p>
        </w:tc>
      </w:tr>
      <w:tr w:rsidR="00BB6AE5" w:rsidRPr="00D63217" w14:paraId="7D524F29" w14:textId="77777777" w:rsidTr="00D7782F">
        <w:tc>
          <w:tcPr>
            <w:tcW w:w="1925" w:type="dxa"/>
            <w:vAlign w:val="center"/>
          </w:tcPr>
          <w:p w14:paraId="66C2D02F" w14:textId="729F3D10" w:rsidR="00BB6AE5" w:rsidRPr="00D63217" w:rsidRDefault="00BB6AE5" w:rsidP="00BB6AE5">
            <w:pPr>
              <w:pStyle w:val="TableText"/>
            </w:pPr>
            <w:r w:rsidRPr="00D63217">
              <w:t>64704</w:t>
            </w:r>
          </w:p>
        </w:tc>
        <w:tc>
          <w:tcPr>
            <w:tcW w:w="1925" w:type="dxa"/>
            <w:vAlign w:val="center"/>
          </w:tcPr>
          <w:p w14:paraId="5AB99821" w14:textId="61F67397" w:rsidR="00BB6AE5" w:rsidRPr="00D63217" w:rsidRDefault="00BB6AE5" w:rsidP="00BB6AE5">
            <w:pPr>
              <w:pStyle w:val="TableText"/>
            </w:pPr>
            <w:r w:rsidRPr="00D63217">
              <w:t>Fosterra Paraquat / Diquat Herbicide</w:t>
            </w:r>
          </w:p>
        </w:tc>
        <w:tc>
          <w:tcPr>
            <w:tcW w:w="1926" w:type="dxa"/>
            <w:vAlign w:val="center"/>
          </w:tcPr>
          <w:p w14:paraId="1D0E09E6" w14:textId="46BD4D88" w:rsidR="00BB6AE5" w:rsidRPr="00D63217" w:rsidRDefault="00BB6AE5" w:rsidP="00BB6AE5">
            <w:pPr>
              <w:pStyle w:val="TableText"/>
            </w:pPr>
            <w:r w:rsidRPr="00D63217">
              <w:t>Fosterra Pty Ltd</w:t>
            </w:r>
          </w:p>
        </w:tc>
        <w:tc>
          <w:tcPr>
            <w:tcW w:w="1926" w:type="dxa"/>
          </w:tcPr>
          <w:p w14:paraId="3E9E8336" w14:textId="675446E6" w:rsidR="00BB6AE5" w:rsidRPr="00D63217" w:rsidRDefault="00BB6AE5" w:rsidP="00BB6AE5">
            <w:pPr>
              <w:pStyle w:val="TableText"/>
            </w:pPr>
            <w:r w:rsidRPr="00D63217">
              <w:t>Diquat 115g/L paraquat 135g/L</w:t>
            </w:r>
          </w:p>
        </w:tc>
        <w:tc>
          <w:tcPr>
            <w:tcW w:w="1926" w:type="dxa"/>
          </w:tcPr>
          <w:p w14:paraId="621C9378" w14:textId="2730E65C" w:rsidR="00BB6AE5" w:rsidRPr="00D63217" w:rsidRDefault="00BB6AE5" w:rsidP="00BB6AE5">
            <w:pPr>
              <w:pStyle w:val="TableText"/>
            </w:pPr>
            <w:r w:rsidRPr="00D63217">
              <w:t>2</w:t>
            </w:r>
          </w:p>
        </w:tc>
      </w:tr>
      <w:tr w:rsidR="00BB6AE5" w:rsidRPr="00D63217" w14:paraId="47F5E073" w14:textId="77777777" w:rsidTr="00D7782F">
        <w:tc>
          <w:tcPr>
            <w:tcW w:w="1925" w:type="dxa"/>
            <w:vAlign w:val="center"/>
          </w:tcPr>
          <w:p w14:paraId="02A0C5B7" w14:textId="1A02141E" w:rsidR="00BB6AE5" w:rsidRPr="00D63217" w:rsidRDefault="00BB6AE5" w:rsidP="00BB6AE5">
            <w:pPr>
              <w:pStyle w:val="TableText"/>
            </w:pPr>
            <w:r w:rsidRPr="00D63217">
              <w:t>64802</w:t>
            </w:r>
          </w:p>
        </w:tc>
        <w:tc>
          <w:tcPr>
            <w:tcW w:w="1925" w:type="dxa"/>
            <w:vAlign w:val="center"/>
          </w:tcPr>
          <w:p w14:paraId="6CCDAF01" w14:textId="5CCA7B51" w:rsidR="00BB6AE5" w:rsidRPr="00D63217" w:rsidRDefault="00BB6AE5" w:rsidP="00BB6AE5">
            <w:pPr>
              <w:pStyle w:val="TableText"/>
            </w:pPr>
            <w:r w:rsidRPr="00D63217">
              <w:t>Kwicknock 250 Herbicide</w:t>
            </w:r>
          </w:p>
        </w:tc>
        <w:tc>
          <w:tcPr>
            <w:tcW w:w="1926" w:type="dxa"/>
            <w:vAlign w:val="center"/>
          </w:tcPr>
          <w:p w14:paraId="29BFBC0B" w14:textId="5EE9CA03" w:rsidR="00BB6AE5" w:rsidRPr="00D63217" w:rsidRDefault="00BB6AE5" w:rsidP="00BB6AE5">
            <w:pPr>
              <w:pStyle w:val="TableText"/>
            </w:pPr>
            <w:r w:rsidRPr="00D63217">
              <w:t>Grow Choice Pty Limited</w:t>
            </w:r>
          </w:p>
        </w:tc>
        <w:tc>
          <w:tcPr>
            <w:tcW w:w="1926" w:type="dxa"/>
          </w:tcPr>
          <w:p w14:paraId="3B9DB429" w14:textId="49F7AB08" w:rsidR="00BB6AE5" w:rsidRPr="00D63217" w:rsidRDefault="00BB6AE5" w:rsidP="00BB6AE5">
            <w:pPr>
              <w:pStyle w:val="TableText"/>
            </w:pPr>
            <w:r w:rsidRPr="00D63217">
              <w:t>Diquat 115g/L paraquat 135g/L</w:t>
            </w:r>
          </w:p>
        </w:tc>
        <w:tc>
          <w:tcPr>
            <w:tcW w:w="1926" w:type="dxa"/>
          </w:tcPr>
          <w:p w14:paraId="2C154B48" w14:textId="3D6938DC" w:rsidR="00BB6AE5" w:rsidRPr="00D63217" w:rsidRDefault="00BB6AE5" w:rsidP="00BB6AE5">
            <w:pPr>
              <w:pStyle w:val="TableText"/>
            </w:pPr>
            <w:r w:rsidRPr="00D63217">
              <w:t>2</w:t>
            </w:r>
          </w:p>
        </w:tc>
      </w:tr>
      <w:tr w:rsidR="00BB6AE5" w:rsidRPr="00D63217" w14:paraId="412C64BD" w14:textId="77777777" w:rsidTr="00D7782F">
        <w:tc>
          <w:tcPr>
            <w:tcW w:w="1925" w:type="dxa"/>
            <w:vAlign w:val="center"/>
          </w:tcPr>
          <w:p w14:paraId="392FE65B" w14:textId="08B7196E" w:rsidR="00BB6AE5" w:rsidRPr="00D63217" w:rsidRDefault="00BB6AE5" w:rsidP="00BB6AE5">
            <w:pPr>
              <w:pStyle w:val="TableText"/>
            </w:pPr>
            <w:r w:rsidRPr="00D63217">
              <w:t>65295</w:t>
            </w:r>
          </w:p>
        </w:tc>
        <w:tc>
          <w:tcPr>
            <w:tcW w:w="1925" w:type="dxa"/>
            <w:vAlign w:val="center"/>
          </w:tcPr>
          <w:p w14:paraId="7DA50473" w14:textId="73574BB4" w:rsidR="00BB6AE5" w:rsidRPr="00D63217" w:rsidRDefault="00BB6AE5" w:rsidP="00BB6AE5">
            <w:pPr>
              <w:pStyle w:val="TableText"/>
            </w:pPr>
            <w:r w:rsidRPr="00D63217">
              <w:t>Rainbow Diqu-Para 250 Herbicide</w:t>
            </w:r>
          </w:p>
        </w:tc>
        <w:tc>
          <w:tcPr>
            <w:tcW w:w="1926" w:type="dxa"/>
            <w:vAlign w:val="center"/>
          </w:tcPr>
          <w:p w14:paraId="3EA8B659" w14:textId="770021D0" w:rsidR="00BB6AE5" w:rsidRPr="00D63217" w:rsidRDefault="00BB6AE5" w:rsidP="00BB6AE5">
            <w:pPr>
              <w:pStyle w:val="TableText"/>
            </w:pPr>
            <w:r w:rsidRPr="00D63217">
              <w:t>Shandong Rainbow International Co Ltd</w:t>
            </w:r>
          </w:p>
        </w:tc>
        <w:tc>
          <w:tcPr>
            <w:tcW w:w="1926" w:type="dxa"/>
          </w:tcPr>
          <w:p w14:paraId="696856DC" w14:textId="5B1E1847" w:rsidR="00BB6AE5" w:rsidRPr="00D63217" w:rsidRDefault="00BB6AE5" w:rsidP="00BB6AE5">
            <w:pPr>
              <w:pStyle w:val="TableText"/>
            </w:pPr>
            <w:r w:rsidRPr="00D63217">
              <w:t>Diquat 115g/L paraquat 135g/L</w:t>
            </w:r>
          </w:p>
        </w:tc>
        <w:tc>
          <w:tcPr>
            <w:tcW w:w="1926" w:type="dxa"/>
          </w:tcPr>
          <w:p w14:paraId="62D930A7" w14:textId="2C965567" w:rsidR="00BB6AE5" w:rsidRPr="00D63217" w:rsidRDefault="00BB6AE5" w:rsidP="00BB6AE5">
            <w:pPr>
              <w:pStyle w:val="TableText"/>
            </w:pPr>
            <w:r w:rsidRPr="00D63217">
              <w:t>2</w:t>
            </w:r>
          </w:p>
        </w:tc>
      </w:tr>
      <w:tr w:rsidR="00BB6AE5" w:rsidRPr="00D63217" w14:paraId="65AA4C4F" w14:textId="77777777" w:rsidTr="00D7782F">
        <w:tc>
          <w:tcPr>
            <w:tcW w:w="1925" w:type="dxa"/>
            <w:vAlign w:val="center"/>
          </w:tcPr>
          <w:p w14:paraId="27E73FE1" w14:textId="1E5722B1" w:rsidR="00BB6AE5" w:rsidRPr="00D63217" w:rsidRDefault="00BB6AE5" w:rsidP="00BB6AE5">
            <w:pPr>
              <w:pStyle w:val="TableText"/>
            </w:pPr>
            <w:r w:rsidRPr="00D63217">
              <w:t>65708</w:t>
            </w:r>
          </w:p>
        </w:tc>
        <w:tc>
          <w:tcPr>
            <w:tcW w:w="1925" w:type="dxa"/>
            <w:vAlign w:val="center"/>
          </w:tcPr>
          <w:p w14:paraId="6D8A631E" w14:textId="0FDAA4B7" w:rsidR="00BB6AE5" w:rsidRPr="00D63217" w:rsidRDefault="00BB6AE5" w:rsidP="00BB6AE5">
            <w:pPr>
              <w:pStyle w:val="TableText"/>
            </w:pPr>
            <w:r w:rsidRPr="00D63217">
              <w:t>Pacific Diquat/Paraquat 250 Herbicide</w:t>
            </w:r>
          </w:p>
        </w:tc>
        <w:tc>
          <w:tcPr>
            <w:tcW w:w="1926" w:type="dxa"/>
            <w:vAlign w:val="center"/>
          </w:tcPr>
          <w:p w14:paraId="71096191" w14:textId="51EDADBD" w:rsidR="00BB6AE5" w:rsidRPr="00D63217" w:rsidRDefault="00BB6AE5" w:rsidP="00BB6AE5">
            <w:pPr>
              <w:pStyle w:val="TableText"/>
            </w:pPr>
            <w:r w:rsidRPr="00D63217">
              <w:t>Pacific Agriscience Pty Ltd</w:t>
            </w:r>
          </w:p>
        </w:tc>
        <w:tc>
          <w:tcPr>
            <w:tcW w:w="1926" w:type="dxa"/>
          </w:tcPr>
          <w:p w14:paraId="0FF0F8A1" w14:textId="262EFA69" w:rsidR="00BB6AE5" w:rsidRPr="00D63217" w:rsidRDefault="00BB6AE5" w:rsidP="00BB6AE5">
            <w:pPr>
              <w:pStyle w:val="TableText"/>
            </w:pPr>
            <w:r w:rsidRPr="00D63217">
              <w:t>Diquat 115g/L paraquat 135g/L</w:t>
            </w:r>
          </w:p>
        </w:tc>
        <w:tc>
          <w:tcPr>
            <w:tcW w:w="1926" w:type="dxa"/>
          </w:tcPr>
          <w:p w14:paraId="2A7F0332" w14:textId="7349644F" w:rsidR="00BB6AE5" w:rsidRPr="00D63217" w:rsidRDefault="00BB6AE5" w:rsidP="00BB6AE5">
            <w:pPr>
              <w:pStyle w:val="TableText"/>
            </w:pPr>
            <w:r w:rsidRPr="00D63217">
              <w:t>2</w:t>
            </w:r>
          </w:p>
        </w:tc>
      </w:tr>
      <w:tr w:rsidR="00BB6AE5" w:rsidRPr="00D63217" w14:paraId="5374B374" w14:textId="77777777" w:rsidTr="00D7782F">
        <w:tc>
          <w:tcPr>
            <w:tcW w:w="1925" w:type="dxa"/>
            <w:vAlign w:val="center"/>
          </w:tcPr>
          <w:p w14:paraId="63C04227" w14:textId="600EFFA7" w:rsidR="00BB6AE5" w:rsidRPr="00D63217" w:rsidRDefault="00BB6AE5" w:rsidP="00BB6AE5">
            <w:pPr>
              <w:pStyle w:val="TableText"/>
            </w:pPr>
            <w:r w:rsidRPr="00D63217">
              <w:t>66327</w:t>
            </w:r>
          </w:p>
        </w:tc>
        <w:tc>
          <w:tcPr>
            <w:tcW w:w="1925" w:type="dxa"/>
            <w:vAlign w:val="center"/>
          </w:tcPr>
          <w:p w14:paraId="61B6B55F" w14:textId="3A72A2C1" w:rsidR="00BB6AE5" w:rsidRPr="00D63217" w:rsidRDefault="00BB6AE5" w:rsidP="00BB6AE5">
            <w:pPr>
              <w:pStyle w:val="TableText"/>
            </w:pPr>
            <w:r w:rsidRPr="00D63217">
              <w:t>AW Dismantle Herbicide</w:t>
            </w:r>
          </w:p>
        </w:tc>
        <w:tc>
          <w:tcPr>
            <w:tcW w:w="1926" w:type="dxa"/>
            <w:vAlign w:val="center"/>
          </w:tcPr>
          <w:p w14:paraId="3958EA3C" w14:textId="5ADA8DF8" w:rsidR="00BB6AE5" w:rsidRPr="00D63217" w:rsidRDefault="00BB6AE5" w:rsidP="00BB6AE5">
            <w:pPr>
              <w:pStyle w:val="TableText"/>
            </w:pPr>
            <w:r w:rsidRPr="00D63217">
              <w:t>Agri West Pty Limited</w:t>
            </w:r>
          </w:p>
        </w:tc>
        <w:tc>
          <w:tcPr>
            <w:tcW w:w="1926" w:type="dxa"/>
          </w:tcPr>
          <w:p w14:paraId="231EC8C7" w14:textId="0D85445B" w:rsidR="00BB6AE5" w:rsidRPr="00D63217" w:rsidRDefault="00BB6AE5" w:rsidP="00BB6AE5">
            <w:pPr>
              <w:pStyle w:val="TableText"/>
            </w:pPr>
            <w:r w:rsidRPr="00D63217">
              <w:t>Diquat 115g/L paraquat 135g/L</w:t>
            </w:r>
          </w:p>
        </w:tc>
        <w:tc>
          <w:tcPr>
            <w:tcW w:w="1926" w:type="dxa"/>
          </w:tcPr>
          <w:p w14:paraId="6F0950FC" w14:textId="4C9C01B1" w:rsidR="00BB6AE5" w:rsidRPr="00D63217" w:rsidRDefault="00BB6AE5" w:rsidP="00BB6AE5">
            <w:pPr>
              <w:pStyle w:val="TableText"/>
            </w:pPr>
            <w:r w:rsidRPr="00D63217">
              <w:t>2</w:t>
            </w:r>
          </w:p>
        </w:tc>
      </w:tr>
      <w:tr w:rsidR="00BB6AE5" w:rsidRPr="00D63217" w14:paraId="54D28C5A" w14:textId="77777777" w:rsidTr="00D7782F">
        <w:tc>
          <w:tcPr>
            <w:tcW w:w="1925" w:type="dxa"/>
            <w:vAlign w:val="center"/>
          </w:tcPr>
          <w:p w14:paraId="1A6F157B" w14:textId="17F9CAB4" w:rsidR="00BB6AE5" w:rsidRPr="00D63217" w:rsidRDefault="00BB6AE5" w:rsidP="00BB6AE5">
            <w:pPr>
              <w:pStyle w:val="TableText"/>
            </w:pPr>
            <w:r w:rsidRPr="00D63217">
              <w:t>66788</w:t>
            </w:r>
          </w:p>
        </w:tc>
        <w:tc>
          <w:tcPr>
            <w:tcW w:w="1925" w:type="dxa"/>
            <w:vAlign w:val="center"/>
          </w:tcPr>
          <w:p w14:paraId="3297CD5A" w14:textId="64E22857" w:rsidR="00BB6AE5" w:rsidRPr="00D63217" w:rsidRDefault="00BB6AE5" w:rsidP="00BB6AE5">
            <w:pPr>
              <w:pStyle w:val="TableText"/>
            </w:pPr>
            <w:r w:rsidRPr="00D63217">
              <w:t>Agro-Essence Paraquat+Diquat 250 Herbicide</w:t>
            </w:r>
          </w:p>
        </w:tc>
        <w:tc>
          <w:tcPr>
            <w:tcW w:w="1926" w:type="dxa"/>
            <w:vAlign w:val="center"/>
          </w:tcPr>
          <w:p w14:paraId="04ADBBFB" w14:textId="53328059" w:rsidR="00BB6AE5" w:rsidRPr="00D63217" w:rsidRDefault="00BB6AE5" w:rsidP="00BB6AE5">
            <w:pPr>
              <w:pStyle w:val="TableText"/>
            </w:pPr>
            <w:r w:rsidRPr="00D63217">
              <w:t>Agro-Alliance (Australia) Pty Ltd</w:t>
            </w:r>
          </w:p>
        </w:tc>
        <w:tc>
          <w:tcPr>
            <w:tcW w:w="1926" w:type="dxa"/>
          </w:tcPr>
          <w:p w14:paraId="18114E33" w14:textId="5372C201" w:rsidR="00BB6AE5" w:rsidRPr="00D63217" w:rsidRDefault="00BB6AE5" w:rsidP="00BB6AE5">
            <w:pPr>
              <w:pStyle w:val="TableText"/>
            </w:pPr>
            <w:r w:rsidRPr="00D63217">
              <w:t>Diquat 115g/L paraquat 135g/L</w:t>
            </w:r>
          </w:p>
        </w:tc>
        <w:tc>
          <w:tcPr>
            <w:tcW w:w="1926" w:type="dxa"/>
          </w:tcPr>
          <w:p w14:paraId="6AF1AEFA" w14:textId="74897AE0" w:rsidR="00BB6AE5" w:rsidRPr="00D63217" w:rsidRDefault="00BB6AE5" w:rsidP="00BB6AE5">
            <w:pPr>
              <w:pStyle w:val="TableText"/>
            </w:pPr>
            <w:r w:rsidRPr="00D63217">
              <w:t>2</w:t>
            </w:r>
          </w:p>
        </w:tc>
      </w:tr>
      <w:tr w:rsidR="00BB6AE5" w:rsidRPr="00D63217" w14:paraId="2E45A9C8" w14:textId="77777777" w:rsidTr="00D7782F">
        <w:tc>
          <w:tcPr>
            <w:tcW w:w="1925" w:type="dxa"/>
            <w:vAlign w:val="center"/>
          </w:tcPr>
          <w:p w14:paraId="68CD2AB9" w14:textId="593BCD66" w:rsidR="00BB6AE5" w:rsidRPr="00D63217" w:rsidRDefault="00BB6AE5" w:rsidP="00BB6AE5">
            <w:pPr>
              <w:pStyle w:val="TableText"/>
            </w:pPr>
            <w:r w:rsidRPr="00D63217">
              <w:t>67399</w:t>
            </w:r>
          </w:p>
        </w:tc>
        <w:tc>
          <w:tcPr>
            <w:tcW w:w="1925" w:type="dxa"/>
            <w:vAlign w:val="center"/>
          </w:tcPr>
          <w:p w14:paraId="21ECFA10" w14:textId="66439CCA" w:rsidR="00BB6AE5" w:rsidRPr="00D63217" w:rsidRDefault="00BB6AE5" w:rsidP="00BB6AE5">
            <w:pPr>
              <w:pStyle w:val="TableText"/>
            </w:pPr>
            <w:r w:rsidRPr="00D63217">
              <w:t>Easyfarm Paraquat-Diquat 250 Herbicide</w:t>
            </w:r>
          </w:p>
        </w:tc>
        <w:tc>
          <w:tcPr>
            <w:tcW w:w="1926" w:type="dxa"/>
            <w:vAlign w:val="center"/>
          </w:tcPr>
          <w:p w14:paraId="1B41FF26" w14:textId="4AE2F050" w:rsidR="00BB6AE5" w:rsidRPr="00D63217" w:rsidRDefault="00BB6AE5" w:rsidP="00BB6AE5">
            <w:pPr>
              <w:pStyle w:val="TableText"/>
            </w:pPr>
            <w:r w:rsidRPr="00D63217">
              <w:t>Easyfarm Pty Ltd</w:t>
            </w:r>
          </w:p>
        </w:tc>
        <w:tc>
          <w:tcPr>
            <w:tcW w:w="1926" w:type="dxa"/>
          </w:tcPr>
          <w:p w14:paraId="4DE60548" w14:textId="7F29FB5C" w:rsidR="00BB6AE5" w:rsidRPr="00D63217" w:rsidRDefault="00BB6AE5" w:rsidP="00BB6AE5">
            <w:pPr>
              <w:pStyle w:val="TableText"/>
            </w:pPr>
            <w:r w:rsidRPr="00D63217">
              <w:t>Diquat 115g/L paraquat 135g/L</w:t>
            </w:r>
          </w:p>
        </w:tc>
        <w:tc>
          <w:tcPr>
            <w:tcW w:w="1926" w:type="dxa"/>
          </w:tcPr>
          <w:p w14:paraId="0C658901" w14:textId="089CF182" w:rsidR="00BB6AE5" w:rsidRPr="00D63217" w:rsidRDefault="00BB6AE5" w:rsidP="00BB6AE5">
            <w:pPr>
              <w:pStyle w:val="TableText"/>
            </w:pPr>
            <w:r w:rsidRPr="00D63217">
              <w:t>2</w:t>
            </w:r>
          </w:p>
        </w:tc>
      </w:tr>
      <w:tr w:rsidR="00BB6AE5" w:rsidRPr="00D63217" w14:paraId="3CD85433" w14:textId="77777777" w:rsidTr="00D7782F">
        <w:tc>
          <w:tcPr>
            <w:tcW w:w="1925" w:type="dxa"/>
            <w:vAlign w:val="center"/>
          </w:tcPr>
          <w:p w14:paraId="64E46A05" w14:textId="07E9D016" w:rsidR="00BB6AE5" w:rsidRPr="00D63217" w:rsidRDefault="00BB6AE5" w:rsidP="00BB6AE5">
            <w:pPr>
              <w:pStyle w:val="TableText"/>
            </w:pPr>
            <w:r w:rsidRPr="00D63217">
              <w:t>67627</w:t>
            </w:r>
          </w:p>
        </w:tc>
        <w:tc>
          <w:tcPr>
            <w:tcW w:w="1925" w:type="dxa"/>
            <w:vAlign w:val="center"/>
          </w:tcPr>
          <w:p w14:paraId="29C4417F" w14:textId="2FE096E3" w:rsidR="00BB6AE5" w:rsidRPr="00D63217" w:rsidRDefault="00BB6AE5" w:rsidP="00BB6AE5">
            <w:pPr>
              <w:pStyle w:val="TableText"/>
            </w:pPr>
            <w:r w:rsidRPr="00D63217">
              <w:t>Apparent Weedy Seedy 250 Herbicide</w:t>
            </w:r>
          </w:p>
        </w:tc>
        <w:tc>
          <w:tcPr>
            <w:tcW w:w="1926" w:type="dxa"/>
            <w:vAlign w:val="center"/>
          </w:tcPr>
          <w:p w14:paraId="69116C64" w14:textId="56095376" w:rsidR="00BB6AE5" w:rsidRPr="00D63217" w:rsidRDefault="00BB6AE5" w:rsidP="00BB6AE5">
            <w:pPr>
              <w:pStyle w:val="TableText"/>
            </w:pPr>
            <w:r w:rsidRPr="00D63217">
              <w:t>Titan Ag Pty Ltd</w:t>
            </w:r>
          </w:p>
        </w:tc>
        <w:tc>
          <w:tcPr>
            <w:tcW w:w="1926" w:type="dxa"/>
          </w:tcPr>
          <w:p w14:paraId="5C782E90" w14:textId="3ED3BD45" w:rsidR="00BB6AE5" w:rsidRPr="00D63217" w:rsidRDefault="00BB6AE5" w:rsidP="00BB6AE5">
            <w:pPr>
              <w:pStyle w:val="TableText"/>
            </w:pPr>
            <w:r w:rsidRPr="00D63217">
              <w:t>Diquat 115g/L paraquat 135g/L</w:t>
            </w:r>
          </w:p>
        </w:tc>
        <w:tc>
          <w:tcPr>
            <w:tcW w:w="1926" w:type="dxa"/>
          </w:tcPr>
          <w:p w14:paraId="099F3C48" w14:textId="5C10CD04" w:rsidR="00BB6AE5" w:rsidRPr="00D63217" w:rsidRDefault="00BB6AE5" w:rsidP="00BB6AE5">
            <w:pPr>
              <w:pStyle w:val="TableText"/>
            </w:pPr>
            <w:r w:rsidRPr="00D63217">
              <w:t>2</w:t>
            </w:r>
          </w:p>
        </w:tc>
      </w:tr>
      <w:tr w:rsidR="00BB6AE5" w:rsidRPr="00D63217" w14:paraId="3EC31A3B" w14:textId="77777777" w:rsidTr="00D7782F">
        <w:tc>
          <w:tcPr>
            <w:tcW w:w="1925" w:type="dxa"/>
            <w:vAlign w:val="center"/>
          </w:tcPr>
          <w:p w14:paraId="3B93B7B4" w14:textId="0B960133" w:rsidR="00BB6AE5" w:rsidRPr="00D63217" w:rsidRDefault="00BB6AE5" w:rsidP="00BB6AE5">
            <w:pPr>
              <w:pStyle w:val="TableText"/>
            </w:pPr>
            <w:r w:rsidRPr="00D63217">
              <w:t>67707</w:t>
            </w:r>
          </w:p>
        </w:tc>
        <w:tc>
          <w:tcPr>
            <w:tcW w:w="1925" w:type="dxa"/>
            <w:vAlign w:val="center"/>
          </w:tcPr>
          <w:p w14:paraId="2CFB4697" w14:textId="14B8C6D7" w:rsidR="00BB6AE5" w:rsidRPr="00D63217" w:rsidRDefault="00BB6AE5" w:rsidP="00BB6AE5">
            <w:pPr>
              <w:pStyle w:val="TableText"/>
            </w:pPr>
            <w:r w:rsidRPr="00D63217">
              <w:t>Smart Combination 250 Herbicide</w:t>
            </w:r>
          </w:p>
        </w:tc>
        <w:tc>
          <w:tcPr>
            <w:tcW w:w="1926" w:type="dxa"/>
            <w:vAlign w:val="center"/>
          </w:tcPr>
          <w:p w14:paraId="3ECFCC4C" w14:textId="0FB0DA42" w:rsidR="00BB6AE5" w:rsidRPr="00D63217" w:rsidRDefault="00BB6AE5" w:rsidP="00BB6AE5">
            <w:pPr>
              <w:pStyle w:val="TableText"/>
            </w:pPr>
            <w:r w:rsidRPr="00D63217">
              <w:t>Crop Smart Pty Ltd</w:t>
            </w:r>
          </w:p>
        </w:tc>
        <w:tc>
          <w:tcPr>
            <w:tcW w:w="1926" w:type="dxa"/>
          </w:tcPr>
          <w:p w14:paraId="44DD575A" w14:textId="0EB1D9A4" w:rsidR="00BB6AE5" w:rsidRPr="00D63217" w:rsidRDefault="00BB6AE5" w:rsidP="00BB6AE5">
            <w:pPr>
              <w:pStyle w:val="TableText"/>
            </w:pPr>
            <w:r w:rsidRPr="00D63217">
              <w:t>Diquat 115g/L paraquat 135g/L</w:t>
            </w:r>
          </w:p>
        </w:tc>
        <w:tc>
          <w:tcPr>
            <w:tcW w:w="1926" w:type="dxa"/>
          </w:tcPr>
          <w:p w14:paraId="7A6CE611" w14:textId="57F71CE0" w:rsidR="00BB6AE5" w:rsidRPr="00D63217" w:rsidRDefault="00BB6AE5" w:rsidP="00BB6AE5">
            <w:pPr>
              <w:pStyle w:val="TableText"/>
            </w:pPr>
            <w:r w:rsidRPr="00D63217">
              <w:t>2</w:t>
            </w:r>
          </w:p>
        </w:tc>
      </w:tr>
      <w:tr w:rsidR="00BB6AE5" w:rsidRPr="00D63217" w14:paraId="4AA5F30B" w14:textId="77777777" w:rsidTr="00D7782F">
        <w:tc>
          <w:tcPr>
            <w:tcW w:w="1925" w:type="dxa"/>
            <w:vAlign w:val="center"/>
          </w:tcPr>
          <w:p w14:paraId="45E6FCBE" w14:textId="3E1BB556" w:rsidR="00BB6AE5" w:rsidRPr="00D63217" w:rsidRDefault="00BB6AE5" w:rsidP="00BB6AE5">
            <w:pPr>
              <w:pStyle w:val="TableText"/>
            </w:pPr>
            <w:r w:rsidRPr="00D63217">
              <w:t>67891</w:t>
            </w:r>
          </w:p>
        </w:tc>
        <w:tc>
          <w:tcPr>
            <w:tcW w:w="1925" w:type="dxa"/>
            <w:vAlign w:val="center"/>
          </w:tcPr>
          <w:p w14:paraId="497ADB31" w14:textId="480876AA" w:rsidR="00BB6AE5" w:rsidRPr="00D63217" w:rsidRDefault="00BB6AE5" w:rsidP="00BB6AE5">
            <w:pPr>
              <w:pStyle w:val="TableText"/>
            </w:pPr>
            <w:r w:rsidRPr="00D63217">
              <w:t>Spalding Exocet 250 Herbicide</w:t>
            </w:r>
          </w:p>
        </w:tc>
        <w:tc>
          <w:tcPr>
            <w:tcW w:w="1926" w:type="dxa"/>
            <w:vAlign w:val="center"/>
          </w:tcPr>
          <w:p w14:paraId="0937BC4C" w14:textId="07BD2A1C" w:rsidR="00BB6AE5" w:rsidRPr="00D63217" w:rsidRDefault="00BB6AE5" w:rsidP="00BB6AE5">
            <w:pPr>
              <w:pStyle w:val="TableText"/>
            </w:pPr>
            <w:r w:rsidRPr="00D63217">
              <w:t>DGL Environmental Pty Ltd</w:t>
            </w:r>
          </w:p>
        </w:tc>
        <w:tc>
          <w:tcPr>
            <w:tcW w:w="1926" w:type="dxa"/>
          </w:tcPr>
          <w:p w14:paraId="3A3F6CC0" w14:textId="7F05192F" w:rsidR="00BB6AE5" w:rsidRPr="00D63217" w:rsidRDefault="00BB6AE5" w:rsidP="00BB6AE5">
            <w:pPr>
              <w:pStyle w:val="TableText"/>
            </w:pPr>
            <w:r w:rsidRPr="00D63217">
              <w:t>Diquat 115g/L paraquat 135g/L</w:t>
            </w:r>
          </w:p>
        </w:tc>
        <w:tc>
          <w:tcPr>
            <w:tcW w:w="1926" w:type="dxa"/>
          </w:tcPr>
          <w:p w14:paraId="2E3BE3FB" w14:textId="01A415F1" w:rsidR="00BB6AE5" w:rsidRPr="00D63217" w:rsidRDefault="00BB6AE5" w:rsidP="00BB6AE5">
            <w:pPr>
              <w:pStyle w:val="TableText"/>
            </w:pPr>
            <w:r w:rsidRPr="00D63217">
              <w:t>2</w:t>
            </w:r>
          </w:p>
        </w:tc>
      </w:tr>
      <w:tr w:rsidR="00BB6AE5" w:rsidRPr="00D63217" w14:paraId="019C6127" w14:textId="77777777" w:rsidTr="00D7782F">
        <w:tc>
          <w:tcPr>
            <w:tcW w:w="1925" w:type="dxa"/>
            <w:vAlign w:val="center"/>
          </w:tcPr>
          <w:p w14:paraId="70B5A4AD" w14:textId="0EEA6764" w:rsidR="00BB6AE5" w:rsidRPr="00D63217" w:rsidRDefault="00BB6AE5" w:rsidP="00BB6AE5">
            <w:pPr>
              <w:pStyle w:val="TableText"/>
            </w:pPr>
            <w:r w:rsidRPr="00D63217">
              <w:t>68075</w:t>
            </w:r>
          </w:p>
        </w:tc>
        <w:tc>
          <w:tcPr>
            <w:tcW w:w="1925" w:type="dxa"/>
            <w:vAlign w:val="center"/>
          </w:tcPr>
          <w:p w14:paraId="037B6CAC" w14:textId="518D1A94" w:rsidR="00BB6AE5" w:rsidRPr="00D63217" w:rsidRDefault="00BB6AE5" w:rsidP="00BB6AE5">
            <w:pPr>
              <w:pStyle w:val="TableText"/>
            </w:pPr>
            <w:r w:rsidRPr="00D63217">
              <w:t>Ezycrop Paraquat-Diquat 250 Herbicide</w:t>
            </w:r>
          </w:p>
        </w:tc>
        <w:tc>
          <w:tcPr>
            <w:tcW w:w="1926" w:type="dxa"/>
            <w:vAlign w:val="center"/>
          </w:tcPr>
          <w:p w14:paraId="3104C4A6" w14:textId="2D418E66" w:rsidR="00BB6AE5" w:rsidRPr="00D63217" w:rsidRDefault="00BB6AE5" w:rsidP="00BB6AE5">
            <w:pPr>
              <w:pStyle w:val="TableText"/>
            </w:pPr>
            <w:r w:rsidRPr="00D63217">
              <w:t>Ezycrop Pty Ltd</w:t>
            </w:r>
          </w:p>
        </w:tc>
        <w:tc>
          <w:tcPr>
            <w:tcW w:w="1926" w:type="dxa"/>
          </w:tcPr>
          <w:p w14:paraId="1EF8D6B2" w14:textId="4700AD21" w:rsidR="00BB6AE5" w:rsidRPr="00D63217" w:rsidRDefault="00BB6AE5" w:rsidP="00BB6AE5">
            <w:pPr>
              <w:pStyle w:val="TableText"/>
            </w:pPr>
            <w:r w:rsidRPr="00D63217">
              <w:t>Diquat 115g/L paraquat 135g/L</w:t>
            </w:r>
          </w:p>
        </w:tc>
        <w:tc>
          <w:tcPr>
            <w:tcW w:w="1926" w:type="dxa"/>
          </w:tcPr>
          <w:p w14:paraId="4B511B98" w14:textId="7FFEAF2A" w:rsidR="00BB6AE5" w:rsidRPr="00D63217" w:rsidRDefault="00BB6AE5" w:rsidP="00BB6AE5">
            <w:pPr>
              <w:pStyle w:val="TableText"/>
            </w:pPr>
            <w:r w:rsidRPr="00D63217">
              <w:t>2</w:t>
            </w:r>
          </w:p>
        </w:tc>
      </w:tr>
      <w:tr w:rsidR="00BB6AE5" w:rsidRPr="00D63217" w14:paraId="2E31CACE" w14:textId="77777777" w:rsidTr="00D7782F">
        <w:tc>
          <w:tcPr>
            <w:tcW w:w="1925" w:type="dxa"/>
            <w:vAlign w:val="center"/>
          </w:tcPr>
          <w:p w14:paraId="541E9373" w14:textId="6892D8D7" w:rsidR="00BB6AE5" w:rsidRPr="00D63217" w:rsidRDefault="00BB6AE5" w:rsidP="00BB6AE5">
            <w:pPr>
              <w:pStyle w:val="TableText"/>
            </w:pPr>
            <w:r w:rsidRPr="00D63217">
              <w:lastRenderedPageBreak/>
              <w:t>68202</w:t>
            </w:r>
          </w:p>
        </w:tc>
        <w:tc>
          <w:tcPr>
            <w:tcW w:w="1925" w:type="dxa"/>
            <w:vAlign w:val="center"/>
          </w:tcPr>
          <w:p w14:paraId="340B848F" w14:textId="6495903D" w:rsidR="00BB6AE5" w:rsidRPr="00D63217" w:rsidRDefault="00BB6AE5" w:rsidP="00BB6AE5">
            <w:pPr>
              <w:pStyle w:val="TableText"/>
            </w:pPr>
            <w:r w:rsidRPr="00D63217">
              <w:t>Novaguard Paraquat-Diquat 250 Herbicide</w:t>
            </w:r>
          </w:p>
        </w:tc>
        <w:tc>
          <w:tcPr>
            <w:tcW w:w="1926" w:type="dxa"/>
            <w:vAlign w:val="center"/>
          </w:tcPr>
          <w:p w14:paraId="38E93D5D" w14:textId="58CB4FB9" w:rsidR="00BB6AE5" w:rsidRPr="00D63217" w:rsidRDefault="00BB6AE5" w:rsidP="00BB6AE5">
            <w:pPr>
              <w:pStyle w:val="TableText"/>
            </w:pPr>
            <w:r w:rsidRPr="00D63217">
              <w:t>Novaguard Pty Ltd</w:t>
            </w:r>
          </w:p>
        </w:tc>
        <w:tc>
          <w:tcPr>
            <w:tcW w:w="1926" w:type="dxa"/>
          </w:tcPr>
          <w:p w14:paraId="66E3E356" w14:textId="0ABE44B3" w:rsidR="00BB6AE5" w:rsidRPr="00D63217" w:rsidRDefault="00BB6AE5" w:rsidP="00BB6AE5">
            <w:pPr>
              <w:pStyle w:val="TableText"/>
            </w:pPr>
            <w:r w:rsidRPr="00D63217">
              <w:t>Diquat 115g/L paraquat 135g/L</w:t>
            </w:r>
          </w:p>
        </w:tc>
        <w:tc>
          <w:tcPr>
            <w:tcW w:w="1926" w:type="dxa"/>
          </w:tcPr>
          <w:p w14:paraId="4F95502E" w14:textId="405E4E5C" w:rsidR="00BB6AE5" w:rsidRPr="00D63217" w:rsidRDefault="00BB6AE5" w:rsidP="00BB6AE5">
            <w:pPr>
              <w:pStyle w:val="TableText"/>
            </w:pPr>
            <w:r w:rsidRPr="00D63217">
              <w:t>2</w:t>
            </w:r>
          </w:p>
        </w:tc>
      </w:tr>
      <w:tr w:rsidR="00BB6AE5" w:rsidRPr="00D63217" w14:paraId="2871AF9E" w14:textId="77777777" w:rsidTr="00D7782F">
        <w:tc>
          <w:tcPr>
            <w:tcW w:w="1925" w:type="dxa"/>
            <w:vAlign w:val="center"/>
          </w:tcPr>
          <w:p w14:paraId="6ADCF2F0" w14:textId="7CF0F643" w:rsidR="00BB6AE5" w:rsidRPr="00D63217" w:rsidRDefault="00BB6AE5" w:rsidP="00BB6AE5">
            <w:pPr>
              <w:pStyle w:val="TableText"/>
            </w:pPr>
            <w:r w:rsidRPr="00D63217">
              <w:t>68280</w:t>
            </w:r>
          </w:p>
        </w:tc>
        <w:tc>
          <w:tcPr>
            <w:tcW w:w="1925" w:type="dxa"/>
            <w:vAlign w:val="center"/>
          </w:tcPr>
          <w:p w14:paraId="3960DE52" w14:textId="4324562F" w:rsidR="00BB6AE5" w:rsidRPr="00D63217" w:rsidRDefault="00BB6AE5" w:rsidP="00BB6AE5">
            <w:pPr>
              <w:pStyle w:val="TableText"/>
            </w:pPr>
            <w:r w:rsidRPr="00D63217">
              <w:t>Agro Burner 250 Herbicide</w:t>
            </w:r>
          </w:p>
        </w:tc>
        <w:tc>
          <w:tcPr>
            <w:tcW w:w="1926" w:type="dxa"/>
            <w:vAlign w:val="center"/>
          </w:tcPr>
          <w:p w14:paraId="543DB074" w14:textId="640B2E00" w:rsidR="00BB6AE5" w:rsidRPr="00D63217" w:rsidRDefault="00BB6AE5" w:rsidP="00BB6AE5">
            <w:pPr>
              <w:pStyle w:val="TableText"/>
            </w:pPr>
            <w:r w:rsidRPr="00D63217">
              <w:t>Agrogill Chemicals Pty Ltd</w:t>
            </w:r>
          </w:p>
        </w:tc>
        <w:tc>
          <w:tcPr>
            <w:tcW w:w="1926" w:type="dxa"/>
          </w:tcPr>
          <w:p w14:paraId="5DA7229D" w14:textId="1BF0A98B" w:rsidR="00BB6AE5" w:rsidRPr="00D63217" w:rsidRDefault="00BB6AE5" w:rsidP="00BB6AE5">
            <w:pPr>
              <w:pStyle w:val="TableText"/>
            </w:pPr>
            <w:r w:rsidRPr="00D63217">
              <w:t>Diquat 115g/L paraquat 135g/L</w:t>
            </w:r>
          </w:p>
        </w:tc>
        <w:tc>
          <w:tcPr>
            <w:tcW w:w="1926" w:type="dxa"/>
          </w:tcPr>
          <w:p w14:paraId="6FE7BE05" w14:textId="7AA4F06A" w:rsidR="00BB6AE5" w:rsidRPr="00D63217" w:rsidRDefault="00BB6AE5" w:rsidP="00BB6AE5">
            <w:pPr>
              <w:pStyle w:val="TableText"/>
            </w:pPr>
            <w:r w:rsidRPr="00D63217">
              <w:t>2</w:t>
            </w:r>
          </w:p>
        </w:tc>
      </w:tr>
      <w:tr w:rsidR="00BB6AE5" w:rsidRPr="00D63217" w14:paraId="09CE8072" w14:textId="77777777" w:rsidTr="00D7782F">
        <w:tc>
          <w:tcPr>
            <w:tcW w:w="1925" w:type="dxa"/>
            <w:vAlign w:val="center"/>
          </w:tcPr>
          <w:p w14:paraId="63EFC735" w14:textId="24A8182F" w:rsidR="00BB6AE5" w:rsidRPr="00D63217" w:rsidRDefault="00BB6AE5" w:rsidP="00BB6AE5">
            <w:pPr>
              <w:pStyle w:val="TableText"/>
            </w:pPr>
            <w:r w:rsidRPr="00D63217">
              <w:t>68479</w:t>
            </w:r>
          </w:p>
        </w:tc>
        <w:tc>
          <w:tcPr>
            <w:tcW w:w="1925" w:type="dxa"/>
            <w:vAlign w:val="center"/>
          </w:tcPr>
          <w:p w14:paraId="00BA3425" w14:textId="5FB47859" w:rsidR="00BB6AE5" w:rsidRPr="00D63217" w:rsidRDefault="00BB6AE5" w:rsidP="00BB6AE5">
            <w:pPr>
              <w:pStyle w:val="TableText"/>
            </w:pPr>
            <w:r w:rsidRPr="00D63217">
              <w:t>Agmate Paraquat &amp; Diquat 250 SL Herbicide</w:t>
            </w:r>
          </w:p>
        </w:tc>
        <w:tc>
          <w:tcPr>
            <w:tcW w:w="1926" w:type="dxa"/>
            <w:vAlign w:val="center"/>
          </w:tcPr>
          <w:p w14:paraId="026F1489" w14:textId="2979CDCB" w:rsidR="00BB6AE5" w:rsidRPr="00D63217" w:rsidRDefault="00BB6AE5" w:rsidP="00BB6AE5">
            <w:pPr>
              <w:pStyle w:val="TableText"/>
            </w:pPr>
            <w:r w:rsidRPr="00D63217">
              <w:t>Agcare Pty Ltd</w:t>
            </w:r>
          </w:p>
        </w:tc>
        <w:tc>
          <w:tcPr>
            <w:tcW w:w="1926" w:type="dxa"/>
          </w:tcPr>
          <w:p w14:paraId="7A737BDF" w14:textId="40D8A7F5" w:rsidR="00BB6AE5" w:rsidRPr="00D63217" w:rsidRDefault="00BB6AE5" w:rsidP="00BB6AE5">
            <w:pPr>
              <w:pStyle w:val="TableText"/>
            </w:pPr>
            <w:r w:rsidRPr="00D63217">
              <w:t>Diquat 115g/L paraquat 135g/L</w:t>
            </w:r>
          </w:p>
        </w:tc>
        <w:tc>
          <w:tcPr>
            <w:tcW w:w="1926" w:type="dxa"/>
          </w:tcPr>
          <w:p w14:paraId="3B6416E1" w14:textId="52B03938" w:rsidR="00BB6AE5" w:rsidRPr="00D63217" w:rsidRDefault="00BB6AE5" w:rsidP="00BB6AE5">
            <w:pPr>
              <w:pStyle w:val="TableText"/>
            </w:pPr>
            <w:r w:rsidRPr="00D63217">
              <w:t>2</w:t>
            </w:r>
          </w:p>
        </w:tc>
      </w:tr>
      <w:tr w:rsidR="00BB6AE5" w:rsidRPr="00D63217" w14:paraId="5779F9DD" w14:textId="77777777" w:rsidTr="00D7782F">
        <w:tc>
          <w:tcPr>
            <w:tcW w:w="1925" w:type="dxa"/>
            <w:vAlign w:val="center"/>
          </w:tcPr>
          <w:p w14:paraId="5C17A5A7" w14:textId="4D9003AB" w:rsidR="00BB6AE5" w:rsidRPr="00D63217" w:rsidRDefault="00BB6AE5" w:rsidP="00BB6AE5">
            <w:pPr>
              <w:pStyle w:val="TableText"/>
            </w:pPr>
            <w:r w:rsidRPr="00D63217">
              <w:t>81790</w:t>
            </w:r>
          </w:p>
        </w:tc>
        <w:tc>
          <w:tcPr>
            <w:tcW w:w="1925" w:type="dxa"/>
            <w:vAlign w:val="center"/>
          </w:tcPr>
          <w:p w14:paraId="123AD8DA" w14:textId="28E9874C" w:rsidR="00BB6AE5" w:rsidRPr="00D63217" w:rsidRDefault="00BB6AE5" w:rsidP="00BB6AE5">
            <w:pPr>
              <w:pStyle w:val="TableText"/>
            </w:pPr>
            <w:r w:rsidRPr="00D63217">
              <w:t>Relyon Di-Par 250 SC Herbicide</w:t>
            </w:r>
          </w:p>
        </w:tc>
        <w:tc>
          <w:tcPr>
            <w:tcW w:w="1926" w:type="dxa"/>
            <w:vAlign w:val="center"/>
          </w:tcPr>
          <w:p w14:paraId="769DED39" w14:textId="21F82FB9" w:rsidR="00BB6AE5" w:rsidRPr="00D63217" w:rsidRDefault="00BB6AE5" w:rsidP="00BB6AE5">
            <w:pPr>
              <w:pStyle w:val="TableText"/>
            </w:pPr>
            <w:r w:rsidRPr="00D63217">
              <w:t>Nutrien Ag Solutions Limited</w:t>
            </w:r>
          </w:p>
        </w:tc>
        <w:tc>
          <w:tcPr>
            <w:tcW w:w="1926" w:type="dxa"/>
          </w:tcPr>
          <w:p w14:paraId="23A28F3B" w14:textId="494BA020" w:rsidR="00BB6AE5" w:rsidRPr="00D63217" w:rsidRDefault="00BB6AE5" w:rsidP="00BB6AE5">
            <w:pPr>
              <w:pStyle w:val="TableText"/>
            </w:pPr>
            <w:r w:rsidRPr="00D63217">
              <w:t>Diquat 115g/L paraquat 135g/L</w:t>
            </w:r>
          </w:p>
        </w:tc>
        <w:tc>
          <w:tcPr>
            <w:tcW w:w="1926" w:type="dxa"/>
          </w:tcPr>
          <w:p w14:paraId="2E5D9716" w14:textId="754AD63F" w:rsidR="00BB6AE5" w:rsidRPr="00D63217" w:rsidRDefault="00BB6AE5" w:rsidP="00BB6AE5">
            <w:pPr>
              <w:pStyle w:val="TableText"/>
            </w:pPr>
            <w:r w:rsidRPr="00D63217">
              <w:t>2</w:t>
            </w:r>
          </w:p>
        </w:tc>
      </w:tr>
      <w:tr w:rsidR="00BB6AE5" w:rsidRPr="00D63217" w14:paraId="75414473" w14:textId="77777777" w:rsidTr="00D7782F">
        <w:tc>
          <w:tcPr>
            <w:tcW w:w="1925" w:type="dxa"/>
            <w:vAlign w:val="center"/>
          </w:tcPr>
          <w:p w14:paraId="211B5529" w14:textId="0ACDD235" w:rsidR="00BB6AE5" w:rsidRPr="00D63217" w:rsidRDefault="00BB6AE5" w:rsidP="00BB6AE5">
            <w:pPr>
              <w:pStyle w:val="TableText"/>
            </w:pPr>
            <w:r w:rsidRPr="00D63217">
              <w:t>83923</w:t>
            </w:r>
          </w:p>
        </w:tc>
        <w:tc>
          <w:tcPr>
            <w:tcW w:w="1925" w:type="dxa"/>
            <w:vAlign w:val="center"/>
          </w:tcPr>
          <w:p w14:paraId="309EC4FC" w14:textId="1505EDC2" w:rsidR="00BB6AE5" w:rsidRPr="00D63217" w:rsidRDefault="00BB6AE5" w:rsidP="00BB6AE5">
            <w:pPr>
              <w:pStyle w:val="TableText"/>
            </w:pPr>
            <w:r w:rsidRPr="00D63217">
              <w:t>Accensi Paraquat / Diquat Prime 250 Herbicide</w:t>
            </w:r>
          </w:p>
        </w:tc>
        <w:tc>
          <w:tcPr>
            <w:tcW w:w="1926" w:type="dxa"/>
            <w:vAlign w:val="center"/>
          </w:tcPr>
          <w:p w14:paraId="55F7CF23" w14:textId="1F7EEF4A" w:rsidR="00BB6AE5" w:rsidRPr="00D63217" w:rsidRDefault="00BB6AE5" w:rsidP="00BB6AE5">
            <w:pPr>
              <w:pStyle w:val="TableText"/>
            </w:pPr>
            <w:r w:rsidRPr="00D63217">
              <w:t>Accensi Pty Ltd</w:t>
            </w:r>
          </w:p>
        </w:tc>
        <w:tc>
          <w:tcPr>
            <w:tcW w:w="1926" w:type="dxa"/>
          </w:tcPr>
          <w:p w14:paraId="1ED25885" w14:textId="63AEAC1E" w:rsidR="00BB6AE5" w:rsidRPr="00D63217" w:rsidRDefault="00BB6AE5" w:rsidP="00BB6AE5">
            <w:pPr>
              <w:pStyle w:val="TableText"/>
            </w:pPr>
            <w:r w:rsidRPr="00D63217">
              <w:t>Diquat 115g/L paraquat 135g/L</w:t>
            </w:r>
          </w:p>
        </w:tc>
        <w:tc>
          <w:tcPr>
            <w:tcW w:w="1926" w:type="dxa"/>
          </w:tcPr>
          <w:p w14:paraId="069AA1E3" w14:textId="3F0DEA9E" w:rsidR="00BB6AE5" w:rsidRPr="00D63217" w:rsidRDefault="00BB6AE5" w:rsidP="00BB6AE5">
            <w:pPr>
              <w:pStyle w:val="TableText"/>
            </w:pPr>
            <w:r w:rsidRPr="00D63217">
              <w:t>2</w:t>
            </w:r>
          </w:p>
        </w:tc>
      </w:tr>
      <w:tr w:rsidR="00BB6AE5" w:rsidRPr="00D63217" w14:paraId="375F205F" w14:textId="77777777" w:rsidTr="00D7782F">
        <w:tc>
          <w:tcPr>
            <w:tcW w:w="1925" w:type="dxa"/>
            <w:vAlign w:val="center"/>
          </w:tcPr>
          <w:p w14:paraId="46225A13" w14:textId="13EE8292" w:rsidR="00BB6AE5" w:rsidRPr="00D63217" w:rsidRDefault="00BB6AE5" w:rsidP="00BB6AE5">
            <w:pPr>
              <w:pStyle w:val="TableText"/>
            </w:pPr>
            <w:r w:rsidRPr="00D63217">
              <w:t>85112</w:t>
            </w:r>
          </w:p>
        </w:tc>
        <w:tc>
          <w:tcPr>
            <w:tcW w:w="1925" w:type="dxa"/>
            <w:vAlign w:val="center"/>
          </w:tcPr>
          <w:p w14:paraId="2EE662CB" w14:textId="4013E658" w:rsidR="00BB6AE5" w:rsidRPr="00D63217" w:rsidRDefault="00BB6AE5" w:rsidP="00BB6AE5">
            <w:pPr>
              <w:pStyle w:val="TableText"/>
            </w:pPr>
            <w:r w:rsidRPr="00D63217">
              <w:t>Raystar Paraquat Diquat SL Herbicide</w:t>
            </w:r>
          </w:p>
        </w:tc>
        <w:tc>
          <w:tcPr>
            <w:tcW w:w="1926" w:type="dxa"/>
            <w:vAlign w:val="center"/>
          </w:tcPr>
          <w:p w14:paraId="5768E20F" w14:textId="56788680" w:rsidR="00BB6AE5" w:rsidRPr="00D63217" w:rsidRDefault="00BB6AE5" w:rsidP="00BB6AE5">
            <w:pPr>
              <w:pStyle w:val="TableText"/>
            </w:pPr>
            <w:r w:rsidRPr="00D63217">
              <w:t>Raystar Cropprotection Pty Ltd</w:t>
            </w:r>
          </w:p>
        </w:tc>
        <w:tc>
          <w:tcPr>
            <w:tcW w:w="1926" w:type="dxa"/>
          </w:tcPr>
          <w:p w14:paraId="6DB52AE5" w14:textId="68CCAFBE" w:rsidR="00BB6AE5" w:rsidRPr="00D63217" w:rsidRDefault="00BB6AE5" w:rsidP="00BB6AE5">
            <w:pPr>
              <w:pStyle w:val="TableText"/>
            </w:pPr>
            <w:r w:rsidRPr="00D63217">
              <w:t>Diquat 115g/L paraquat 135g/L</w:t>
            </w:r>
          </w:p>
        </w:tc>
        <w:tc>
          <w:tcPr>
            <w:tcW w:w="1926" w:type="dxa"/>
          </w:tcPr>
          <w:p w14:paraId="5A3B7E0A" w14:textId="0F7F04A9" w:rsidR="00BB6AE5" w:rsidRPr="00D63217" w:rsidRDefault="00BB6AE5" w:rsidP="00BB6AE5">
            <w:pPr>
              <w:pStyle w:val="TableText"/>
            </w:pPr>
            <w:r w:rsidRPr="00D63217">
              <w:t>2</w:t>
            </w:r>
          </w:p>
        </w:tc>
      </w:tr>
      <w:tr w:rsidR="00BB6AE5" w:rsidRPr="00D63217" w14:paraId="19996D7C" w14:textId="77777777" w:rsidTr="00D7782F">
        <w:tc>
          <w:tcPr>
            <w:tcW w:w="1925" w:type="dxa"/>
            <w:vAlign w:val="center"/>
          </w:tcPr>
          <w:p w14:paraId="5A397513" w14:textId="16E28BCF" w:rsidR="00BB6AE5" w:rsidRPr="00D63217" w:rsidRDefault="00BB6AE5" w:rsidP="00BB6AE5">
            <w:pPr>
              <w:pStyle w:val="TableText"/>
            </w:pPr>
            <w:r w:rsidRPr="00D63217">
              <w:t>89832</w:t>
            </w:r>
          </w:p>
        </w:tc>
        <w:tc>
          <w:tcPr>
            <w:tcW w:w="1925" w:type="dxa"/>
            <w:vAlign w:val="center"/>
          </w:tcPr>
          <w:p w14:paraId="694D45F2" w14:textId="0C1A3176" w:rsidR="00BB6AE5" w:rsidRPr="00D63217" w:rsidRDefault="00BB6AE5" w:rsidP="00BB6AE5">
            <w:pPr>
              <w:pStyle w:val="TableText"/>
            </w:pPr>
            <w:r w:rsidRPr="00D63217">
              <w:t>Genfarm  Di-Par 250 SC Herbicide</w:t>
            </w:r>
          </w:p>
        </w:tc>
        <w:tc>
          <w:tcPr>
            <w:tcW w:w="1926" w:type="dxa"/>
            <w:vAlign w:val="center"/>
          </w:tcPr>
          <w:p w14:paraId="54815245" w14:textId="63E82440" w:rsidR="00BB6AE5" w:rsidRPr="00D63217" w:rsidRDefault="00BB6AE5" w:rsidP="00BB6AE5">
            <w:pPr>
              <w:pStyle w:val="TableText"/>
            </w:pPr>
            <w:r w:rsidRPr="00D63217">
              <w:t>Nutrien Ag Solutions Limited</w:t>
            </w:r>
          </w:p>
        </w:tc>
        <w:tc>
          <w:tcPr>
            <w:tcW w:w="1926" w:type="dxa"/>
          </w:tcPr>
          <w:p w14:paraId="003DF67D" w14:textId="5BC3A7C8" w:rsidR="00BB6AE5" w:rsidRPr="00D63217" w:rsidRDefault="00BB6AE5" w:rsidP="00BB6AE5">
            <w:pPr>
              <w:pStyle w:val="TableText"/>
            </w:pPr>
            <w:r w:rsidRPr="00D63217">
              <w:t>Diquat 115g/L paraquat 135g/L</w:t>
            </w:r>
          </w:p>
        </w:tc>
        <w:tc>
          <w:tcPr>
            <w:tcW w:w="1926" w:type="dxa"/>
          </w:tcPr>
          <w:p w14:paraId="6425CF95" w14:textId="7C087925" w:rsidR="00BB6AE5" w:rsidRPr="00D63217" w:rsidRDefault="00BB6AE5" w:rsidP="00BB6AE5">
            <w:pPr>
              <w:pStyle w:val="TableText"/>
            </w:pPr>
            <w:r w:rsidRPr="00D63217">
              <w:t>2</w:t>
            </w:r>
          </w:p>
        </w:tc>
      </w:tr>
      <w:tr w:rsidR="00BB6AE5" w:rsidRPr="00D63217" w14:paraId="3C8F4677" w14:textId="77777777" w:rsidTr="00D7782F">
        <w:tc>
          <w:tcPr>
            <w:tcW w:w="1925" w:type="dxa"/>
            <w:vAlign w:val="center"/>
          </w:tcPr>
          <w:p w14:paraId="60D0AD6E" w14:textId="363240E5" w:rsidR="00BB6AE5" w:rsidRPr="00D63217" w:rsidRDefault="00BB6AE5" w:rsidP="00BB6AE5">
            <w:pPr>
              <w:pStyle w:val="TableText"/>
            </w:pPr>
            <w:r w:rsidRPr="00D63217">
              <w:t>90172</w:t>
            </w:r>
          </w:p>
        </w:tc>
        <w:tc>
          <w:tcPr>
            <w:tcW w:w="1925" w:type="dxa"/>
            <w:vAlign w:val="center"/>
          </w:tcPr>
          <w:p w14:paraId="409A4B59" w14:textId="40F053A7" w:rsidR="00BB6AE5" w:rsidRPr="00D63217" w:rsidRDefault="00BB6AE5" w:rsidP="00BB6AE5">
            <w:pPr>
              <w:pStyle w:val="TableText"/>
            </w:pPr>
            <w:r w:rsidRPr="00D63217">
              <w:t>Cropsure Squadron 250 Herbicide</w:t>
            </w:r>
          </w:p>
        </w:tc>
        <w:tc>
          <w:tcPr>
            <w:tcW w:w="1926" w:type="dxa"/>
            <w:vAlign w:val="center"/>
          </w:tcPr>
          <w:p w14:paraId="7A496EDE" w14:textId="5EC60BED" w:rsidR="00BB6AE5" w:rsidRPr="00D63217" w:rsidRDefault="00BB6AE5" w:rsidP="00BB6AE5">
            <w:pPr>
              <w:pStyle w:val="TableText"/>
            </w:pPr>
            <w:r w:rsidRPr="00D63217">
              <w:t>Cropsure Pty Ltd</w:t>
            </w:r>
          </w:p>
        </w:tc>
        <w:tc>
          <w:tcPr>
            <w:tcW w:w="1926" w:type="dxa"/>
          </w:tcPr>
          <w:p w14:paraId="6E2F3D2C" w14:textId="6EC47044" w:rsidR="00BB6AE5" w:rsidRPr="00D63217" w:rsidRDefault="00BB6AE5" w:rsidP="00BB6AE5">
            <w:pPr>
              <w:pStyle w:val="TableText"/>
            </w:pPr>
            <w:r w:rsidRPr="00D63217">
              <w:t>Diquat 115g/L paraquat 135g/L</w:t>
            </w:r>
          </w:p>
        </w:tc>
        <w:tc>
          <w:tcPr>
            <w:tcW w:w="1926" w:type="dxa"/>
          </w:tcPr>
          <w:p w14:paraId="254AAB03" w14:textId="0113D37F" w:rsidR="00BB6AE5" w:rsidRPr="00D63217" w:rsidRDefault="00BB6AE5" w:rsidP="00BB6AE5">
            <w:pPr>
              <w:pStyle w:val="TableText"/>
            </w:pPr>
            <w:r w:rsidRPr="00D63217">
              <w:t>2</w:t>
            </w:r>
          </w:p>
        </w:tc>
      </w:tr>
      <w:tr w:rsidR="00BB6AE5" w:rsidRPr="00D63217" w14:paraId="5289C554" w14:textId="77777777" w:rsidTr="00D7782F">
        <w:tc>
          <w:tcPr>
            <w:tcW w:w="1925" w:type="dxa"/>
            <w:vAlign w:val="center"/>
          </w:tcPr>
          <w:p w14:paraId="6D356430" w14:textId="70A56D1A" w:rsidR="00BB6AE5" w:rsidRPr="00D63217" w:rsidRDefault="00BB6AE5" w:rsidP="00BB6AE5">
            <w:pPr>
              <w:pStyle w:val="TableText"/>
            </w:pPr>
            <w:r w:rsidRPr="00D63217">
              <w:t>91135</w:t>
            </w:r>
          </w:p>
        </w:tc>
        <w:tc>
          <w:tcPr>
            <w:tcW w:w="1925" w:type="dxa"/>
            <w:vAlign w:val="center"/>
          </w:tcPr>
          <w:p w14:paraId="34517681" w14:textId="695FF947" w:rsidR="00BB6AE5" w:rsidRPr="00D63217" w:rsidRDefault="006B255B" w:rsidP="00BB6AE5">
            <w:pPr>
              <w:pStyle w:val="TableText"/>
            </w:pPr>
            <w:r w:rsidRPr="006B255B">
              <w:t xml:space="preserve">QA Paraquat/Diquat 250 SL Herbicide </w:t>
            </w:r>
            <w:r>
              <w:t xml:space="preserve"> (previously </w:t>
            </w:r>
            <w:r w:rsidR="00BB6AE5" w:rsidRPr="00D63217">
              <w:t>Agmerch Paraquat 135 &amp; Diquat 115 Herbicide</w:t>
            </w:r>
            <w:r>
              <w:t>)</w:t>
            </w:r>
          </w:p>
        </w:tc>
        <w:tc>
          <w:tcPr>
            <w:tcW w:w="1926" w:type="dxa"/>
            <w:vAlign w:val="center"/>
          </w:tcPr>
          <w:p w14:paraId="343C1073" w14:textId="5421D760" w:rsidR="00BB6AE5" w:rsidRPr="00D63217" w:rsidRDefault="00BB6AE5" w:rsidP="00BB6AE5">
            <w:pPr>
              <w:pStyle w:val="TableText"/>
            </w:pPr>
            <w:r w:rsidRPr="00D63217">
              <w:t>Agmerch Pty Ltd</w:t>
            </w:r>
          </w:p>
        </w:tc>
        <w:tc>
          <w:tcPr>
            <w:tcW w:w="1926" w:type="dxa"/>
          </w:tcPr>
          <w:p w14:paraId="7F4FE098" w14:textId="31505924" w:rsidR="00BB6AE5" w:rsidRPr="00D63217" w:rsidRDefault="00BB6AE5" w:rsidP="00BB6AE5">
            <w:pPr>
              <w:pStyle w:val="TableText"/>
            </w:pPr>
            <w:r w:rsidRPr="00D63217">
              <w:t>Diquat 115g/L paraquat 135g/L</w:t>
            </w:r>
          </w:p>
        </w:tc>
        <w:tc>
          <w:tcPr>
            <w:tcW w:w="1926" w:type="dxa"/>
          </w:tcPr>
          <w:p w14:paraId="366818BC" w14:textId="727876B1" w:rsidR="00BB6AE5" w:rsidRPr="00D63217" w:rsidRDefault="00BB6AE5" w:rsidP="00BB6AE5">
            <w:pPr>
              <w:pStyle w:val="TableText"/>
            </w:pPr>
            <w:r w:rsidRPr="00D63217">
              <w:t>2</w:t>
            </w:r>
          </w:p>
        </w:tc>
      </w:tr>
      <w:tr w:rsidR="00BB6AE5" w:rsidRPr="00D63217" w14:paraId="3B44D34D" w14:textId="77777777" w:rsidTr="0057207A">
        <w:tc>
          <w:tcPr>
            <w:tcW w:w="9628" w:type="dxa"/>
            <w:gridSpan w:val="5"/>
          </w:tcPr>
          <w:p w14:paraId="1AE76CC7" w14:textId="6D1873F0" w:rsidR="00BB6AE5" w:rsidRPr="00D63217" w:rsidRDefault="00BB6AE5" w:rsidP="0057207A">
            <w:pPr>
              <w:pStyle w:val="TableSubHead0"/>
            </w:pPr>
            <w:r w:rsidRPr="00D63217">
              <w:t>Soluble concentrate products containing paraquat and amitrole</w:t>
            </w:r>
          </w:p>
        </w:tc>
      </w:tr>
      <w:tr w:rsidR="00BB6AE5" w:rsidRPr="00D63217" w14:paraId="6842339F" w14:textId="77777777" w:rsidTr="008E5A3A">
        <w:tc>
          <w:tcPr>
            <w:tcW w:w="1925" w:type="dxa"/>
          </w:tcPr>
          <w:p w14:paraId="11A2D98C" w14:textId="4EC33FB1" w:rsidR="00BB6AE5" w:rsidRPr="00D63217" w:rsidRDefault="00BB6AE5" w:rsidP="00BB6AE5">
            <w:pPr>
              <w:pStyle w:val="TableText"/>
            </w:pPr>
            <w:r w:rsidRPr="00D63217">
              <w:t>67344</w:t>
            </w:r>
          </w:p>
        </w:tc>
        <w:tc>
          <w:tcPr>
            <w:tcW w:w="1925" w:type="dxa"/>
          </w:tcPr>
          <w:p w14:paraId="2F809804" w14:textId="336F41F1" w:rsidR="00BB6AE5" w:rsidRPr="00D63217" w:rsidRDefault="00BB6AE5" w:rsidP="00BB6AE5">
            <w:pPr>
              <w:pStyle w:val="TableText"/>
            </w:pPr>
            <w:r w:rsidRPr="00D63217">
              <w:t>Imtrade Para-Trooper Herbicide</w:t>
            </w:r>
          </w:p>
        </w:tc>
        <w:tc>
          <w:tcPr>
            <w:tcW w:w="1926" w:type="dxa"/>
          </w:tcPr>
          <w:p w14:paraId="7354A838" w14:textId="4E418FD2" w:rsidR="00BB6AE5" w:rsidRPr="00D63217" w:rsidRDefault="00BB6AE5" w:rsidP="00BB6AE5">
            <w:pPr>
              <w:pStyle w:val="TableText"/>
            </w:pPr>
            <w:r w:rsidRPr="00D63217">
              <w:t>Imtrade Australia Pty Ltd</w:t>
            </w:r>
          </w:p>
        </w:tc>
        <w:tc>
          <w:tcPr>
            <w:tcW w:w="1926" w:type="dxa"/>
          </w:tcPr>
          <w:p w14:paraId="11C65339" w14:textId="23B2B35E" w:rsidR="00BB6AE5" w:rsidRPr="00D63217" w:rsidRDefault="00BB6AE5" w:rsidP="00BB6AE5">
            <w:pPr>
              <w:pStyle w:val="TableText"/>
            </w:pPr>
            <w:r w:rsidRPr="00D63217">
              <w:t>250 g/L paraquat, 10 g/L amitrole</w:t>
            </w:r>
          </w:p>
        </w:tc>
        <w:tc>
          <w:tcPr>
            <w:tcW w:w="1926" w:type="dxa"/>
          </w:tcPr>
          <w:p w14:paraId="00737453" w14:textId="10BA926F" w:rsidR="00BB6AE5" w:rsidRPr="00D63217" w:rsidRDefault="00BB6AE5" w:rsidP="00BB6AE5">
            <w:pPr>
              <w:pStyle w:val="TableText"/>
            </w:pPr>
            <w:r w:rsidRPr="00D63217">
              <w:t>3a</w:t>
            </w:r>
          </w:p>
        </w:tc>
      </w:tr>
      <w:tr w:rsidR="00BB6AE5" w:rsidRPr="00D63217" w14:paraId="7CF37E1B" w14:textId="77777777" w:rsidTr="008E5A3A">
        <w:tc>
          <w:tcPr>
            <w:tcW w:w="1925" w:type="dxa"/>
          </w:tcPr>
          <w:p w14:paraId="658E5D0F" w14:textId="2439BFA8" w:rsidR="00BB6AE5" w:rsidRPr="00D63217" w:rsidRDefault="00BB6AE5" w:rsidP="00BB6AE5">
            <w:pPr>
              <w:pStyle w:val="TableText"/>
            </w:pPr>
            <w:r w:rsidRPr="00D63217">
              <w:t>89484</w:t>
            </w:r>
          </w:p>
        </w:tc>
        <w:tc>
          <w:tcPr>
            <w:tcW w:w="1925" w:type="dxa"/>
          </w:tcPr>
          <w:p w14:paraId="2194E896" w14:textId="567A4E98" w:rsidR="00BB6AE5" w:rsidRPr="00D63217" w:rsidRDefault="00BB6AE5" w:rsidP="00BB6AE5">
            <w:pPr>
              <w:pStyle w:val="TableText"/>
            </w:pPr>
            <w:r w:rsidRPr="00D63217">
              <w:t>Imtrade Guerrilla Herbicide</w:t>
            </w:r>
          </w:p>
        </w:tc>
        <w:tc>
          <w:tcPr>
            <w:tcW w:w="1926" w:type="dxa"/>
          </w:tcPr>
          <w:p w14:paraId="68AB77B0" w14:textId="2D2610C2" w:rsidR="00BB6AE5" w:rsidRPr="00D63217" w:rsidRDefault="00BB6AE5" w:rsidP="00BB6AE5">
            <w:pPr>
              <w:pStyle w:val="TableText"/>
            </w:pPr>
            <w:r w:rsidRPr="00D63217">
              <w:t>Imtrade Australia Pty Ltd</w:t>
            </w:r>
          </w:p>
        </w:tc>
        <w:tc>
          <w:tcPr>
            <w:tcW w:w="1926" w:type="dxa"/>
          </w:tcPr>
          <w:p w14:paraId="151B99CB" w14:textId="50C4AA4D" w:rsidR="00BB6AE5" w:rsidRPr="00D63217" w:rsidRDefault="00BB6AE5" w:rsidP="00BB6AE5">
            <w:pPr>
              <w:pStyle w:val="TableText"/>
            </w:pPr>
            <w:r w:rsidRPr="00D63217">
              <w:t>300 g/L paraquat, 12 g/L amitrole</w:t>
            </w:r>
          </w:p>
        </w:tc>
        <w:tc>
          <w:tcPr>
            <w:tcW w:w="1926" w:type="dxa"/>
          </w:tcPr>
          <w:p w14:paraId="5EE7C814" w14:textId="1F617A02" w:rsidR="00BB6AE5" w:rsidRPr="00D63217" w:rsidRDefault="00BB6AE5" w:rsidP="00BB6AE5">
            <w:pPr>
              <w:pStyle w:val="TableText"/>
            </w:pPr>
            <w:r w:rsidRPr="00D63217">
              <w:t>3b</w:t>
            </w:r>
          </w:p>
        </w:tc>
      </w:tr>
    </w:tbl>
    <w:p w14:paraId="3998A28A" w14:textId="3A4E44F4" w:rsidR="00EA44BF" w:rsidRPr="007A49D1" w:rsidRDefault="00530242" w:rsidP="007A49D1">
      <w:pPr>
        <w:pStyle w:val="Heading2"/>
      </w:pPr>
      <w:bookmarkStart w:id="66" w:name="_Toc231480825"/>
      <w:bookmarkStart w:id="67" w:name="_Toc233036377"/>
      <w:r w:rsidRPr="007A49D1">
        <w:t>Statutory considerations under the safety criteria – formulated products</w:t>
      </w:r>
      <w:bookmarkEnd w:id="66"/>
      <w:bookmarkEnd w:id="67"/>
    </w:p>
    <w:p w14:paraId="44FBCB4A" w14:textId="16070249" w:rsidR="00EA44BF" w:rsidRPr="00D63217" w:rsidRDefault="00F867AE" w:rsidP="008542FD">
      <w:pPr>
        <w:pStyle w:val="NormalText"/>
      </w:pPr>
      <w:r w:rsidRPr="00D63217">
        <w:t>Under section 5A of the Agvet Code, when determining whether a chemical product satisfies the safety criteria, the APVMA must (among other matters) have regard to:</w:t>
      </w:r>
    </w:p>
    <w:p w14:paraId="482A2378" w14:textId="14DCEA05" w:rsidR="00E545C6" w:rsidRPr="00D63217" w:rsidRDefault="005B53F9" w:rsidP="005B53F9">
      <w:pPr>
        <w:pStyle w:val="Bullet1"/>
      </w:pPr>
      <w:r w:rsidRPr="00D63217">
        <w:t>h</w:t>
      </w:r>
      <w:r w:rsidR="00E545C6" w:rsidRPr="00D63217">
        <w:t>ow the product is formulated</w:t>
      </w:r>
    </w:p>
    <w:p w14:paraId="2BD4DDA2" w14:textId="7A0A7297" w:rsidR="00E545C6" w:rsidRPr="00D63217" w:rsidRDefault="005B53F9" w:rsidP="005B53F9">
      <w:pPr>
        <w:pStyle w:val="Bullet1"/>
      </w:pPr>
      <w:r w:rsidRPr="00D63217">
        <w:t>t</w:t>
      </w:r>
      <w:r w:rsidR="00E545C6" w:rsidRPr="00D63217">
        <w:t>he composition and form of the constituents of the product</w:t>
      </w:r>
    </w:p>
    <w:p w14:paraId="555A9935" w14:textId="58B11FD8" w:rsidR="00E545C6" w:rsidRPr="00D63217" w:rsidRDefault="005B53F9" w:rsidP="005B53F9">
      <w:pPr>
        <w:pStyle w:val="Bullet1"/>
      </w:pPr>
      <w:r w:rsidRPr="00D63217">
        <w:t>a</w:t>
      </w:r>
      <w:r w:rsidR="00E545C6" w:rsidRPr="00D63217">
        <w:t xml:space="preserve">ny relevant particulars entered into the </w:t>
      </w:r>
      <w:r w:rsidR="000D6B69" w:rsidRPr="00D63217">
        <w:t>r</w:t>
      </w:r>
      <w:r w:rsidR="00E545C6" w:rsidRPr="00D63217">
        <w:t>egister for the product</w:t>
      </w:r>
      <w:r w:rsidRPr="00D63217">
        <w:t>.</w:t>
      </w:r>
    </w:p>
    <w:p w14:paraId="42A18C8E" w14:textId="1E1F9696" w:rsidR="00E545C6" w:rsidRPr="00D63217" w:rsidRDefault="005B53F9" w:rsidP="005B53F9">
      <w:pPr>
        <w:pStyle w:val="NormalText"/>
      </w:pPr>
      <w:r w:rsidRPr="00D63217">
        <w:lastRenderedPageBreak/>
        <w:t>T</w:t>
      </w:r>
      <w:r w:rsidR="00E545C6" w:rsidRPr="00D63217">
        <w:t>he APVMA may have regard to:</w:t>
      </w:r>
    </w:p>
    <w:p w14:paraId="4E415452" w14:textId="7C37B375" w:rsidR="00E545C6" w:rsidRPr="00D63217" w:rsidRDefault="005B53F9" w:rsidP="005B53F9">
      <w:pPr>
        <w:pStyle w:val="Bullet1"/>
      </w:pPr>
      <w:r w:rsidRPr="00D63217">
        <w:t>t</w:t>
      </w:r>
      <w:r w:rsidR="00E545C6" w:rsidRPr="00D63217">
        <w:t>he stability of the product</w:t>
      </w:r>
    </w:p>
    <w:p w14:paraId="65AA3934" w14:textId="076BBCB8" w:rsidR="00E545C6" w:rsidRPr="00D63217" w:rsidRDefault="005B53F9" w:rsidP="005B53F9">
      <w:pPr>
        <w:pStyle w:val="Bullet1"/>
      </w:pPr>
      <w:r w:rsidRPr="00D63217">
        <w:t>s</w:t>
      </w:r>
      <w:r w:rsidR="00E545C6" w:rsidRPr="00D63217">
        <w:t>pecifications for containers for the product</w:t>
      </w:r>
      <w:r w:rsidRPr="00D63217">
        <w:t>.</w:t>
      </w:r>
    </w:p>
    <w:p w14:paraId="3D23490B" w14:textId="340BE325" w:rsidR="00CB245F" w:rsidRPr="00A179E8" w:rsidRDefault="00CB245F" w:rsidP="00A179E8">
      <w:pPr>
        <w:pStyle w:val="NormalText"/>
      </w:pPr>
      <w:r w:rsidRPr="00A179E8">
        <w:t>The APVMA has previously assessed the formulation details, constituent specifications, formulation type, manufacturing process (how the product is formulated), stability and containers of each proposed product prior to registration</w:t>
      </w:r>
      <w:r w:rsidR="00E45567">
        <w:t xml:space="preserve">. </w:t>
      </w:r>
      <w:r w:rsidR="00E45567" w:rsidRPr="00E45567">
        <w:t xml:space="preserve">Noting that these assessments include </w:t>
      </w:r>
      <w:r w:rsidR="00E45567">
        <w:t>confidential commercial information</w:t>
      </w:r>
      <w:r w:rsidR="00E45567" w:rsidRPr="00E45567">
        <w:t>, further details are not discussed in this report</w:t>
      </w:r>
      <w:r w:rsidRPr="00A179E8">
        <w:t xml:space="preserve">. In the case of paraquat products, this included the requirement under the </w:t>
      </w:r>
      <w:r w:rsidR="001711E8" w:rsidRPr="001711E8">
        <w:t>Therapeutic Goods (Poisons Standard—February 2026) Instrument 2026</w:t>
      </w:r>
      <w:r w:rsidR="001711E8" w:rsidRPr="001711E8" w:rsidDel="001711E8">
        <w:t xml:space="preserve"> </w:t>
      </w:r>
      <w:r w:rsidR="007B6688" w:rsidRPr="00A179E8">
        <w:t>(</w:t>
      </w:r>
      <w:r w:rsidRPr="00A179E8">
        <w:t>Poison</w:t>
      </w:r>
      <w:r w:rsidR="007B6688" w:rsidRPr="00A179E8">
        <w:t>s</w:t>
      </w:r>
      <w:r w:rsidRPr="00A179E8">
        <w:t xml:space="preserve"> Standard</w:t>
      </w:r>
      <w:r w:rsidR="007B6688" w:rsidRPr="00A179E8">
        <w:t>) and preceding instruments</w:t>
      </w:r>
      <w:r w:rsidRPr="00A179E8">
        <w:t xml:space="preserve"> for products containing paraquat to contain a blue or green dye and sufficient stenching agent to give the product an offensive smell. Based on the information provided and assessed at the time of registration, </w:t>
      </w:r>
      <w:r w:rsidR="00D73A53">
        <w:t xml:space="preserve">it </w:t>
      </w:r>
      <w:r w:rsidR="001711E8">
        <w:t>is recommended that the APVMA</w:t>
      </w:r>
      <w:r w:rsidRPr="00A179E8">
        <w:t xml:space="preserve"> remain satisfied with respect to the chemistry related aspects of the safety criteria for products containing paraquat dichloride as the active constituent in relation to how the product is formulated, the composition and form of the constituents of the products and product stability. Additional excipients and manufacturing impurities from the active constituent up to the levels declared in the declarations of composition are considered acceptable and do not present any additional toxicological concern.</w:t>
      </w:r>
    </w:p>
    <w:p w14:paraId="0DB5FE05" w14:textId="1A312052" w:rsidR="00CB245F" w:rsidRPr="00A179E8" w:rsidRDefault="00236E16" w:rsidP="00A179E8">
      <w:pPr>
        <w:pStyle w:val="NormalText"/>
      </w:pPr>
      <w:r w:rsidRPr="00A179E8">
        <w:t>The APVMA was satisfied at the time of registration that</w:t>
      </w:r>
      <w:r w:rsidR="00CB245F" w:rsidRPr="00A179E8">
        <w:t xml:space="preserve"> containers for product</w:t>
      </w:r>
      <w:r w:rsidRPr="00A179E8">
        <w:t>s</w:t>
      </w:r>
      <w:r w:rsidR="00CB245F" w:rsidRPr="00A179E8">
        <w:t xml:space="preserve"> met the </w:t>
      </w:r>
      <w:r w:rsidRPr="00A179E8">
        <w:t xml:space="preserve">relevant </w:t>
      </w:r>
      <w:r w:rsidR="00CB245F" w:rsidRPr="00A179E8">
        <w:t xml:space="preserve">safety criteria. </w:t>
      </w:r>
    </w:p>
    <w:p w14:paraId="36A865F6" w14:textId="28A5CD58" w:rsidR="006C3D20" w:rsidRPr="00A179E8" w:rsidRDefault="003A3788" w:rsidP="00A179E8">
      <w:pPr>
        <w:pStyle w:val="NormalText"/>
      </w:pPr>
      <w:r w:rsidRPr="00A179E8">
        <w:t>A</w:t>
      </w:r>
      <w:r w:rsidR="008542FD" w:rsidRPr="00A179E8">
        <w:t xml:space="preserve">ll </w:t>
      </w:r>
      <w:r w:rsidRPr="00A179E8">
        <w:t xml:space="preserve">currently registered </w:t>
      </w:r>
      <w:r w:rsidR="008542FD" w:rsidRPr="00A179E8">
        <w:t xml:space="preserve">paraquat products are soluble concentrates. The formulation type </w:t>
      </w:r>
      <w:r w:rsidRPr="00A179E8">
        <w:t xml:space="preserve">for currently registered products </w:t>
      </w:r>
      <w:r w:rsidR="008542FD" w:rsidRPr="00A179E8">
        <w:t xml:space="preserve">should </w:t>
      </w:r>
      <w:r w:rsidRPr="00A179E8">
        <w:t>be</w:t>
      </w:r>
      <w:r w:rsidR="008542FD" w:rsidRPr="00A179E8">
        <w:t xml:space="preserve"> recorded as soluble concentrate (SL)</w:t>
      </w:r>
      <w:r w:rsidRPr="00A179E8">
        <w:t xml:space="preserve"> and the register corrected if required</w:t>
      </w:r>
      <w:r w:rsidR="008542FD" w:rsidRPr="00A179E8">
        <w:t>.</w:t>
      </w:r>
    </w:p>
    <w:p w14:paraId="691F3EA3" w14:textId="1C3A4863" w:rsidR="008542FD" w:rsidRPr="00D63217" w:rsidRDefault="008542FD" w:rsidP="007A49D1">
      <w:pPr>
        <w:pStyle w:val="Heading2"/>
      </w:pPr>
      <w:bookmarkStart w:id="68" w:name="_Toc231480826"/>
      <w:bookmarkStart w:id="69" w:name="_Toc233036378"/>
      <w:r w:rsidRPr="007A49D1">
        <w:t>Recommendations</w:t>
      </w:r>
      <w:bookmarkEnd w:id="68"/>
      <w:bookmarkEnd w:id="69"/>
    </w:p>
    <w:p w14:paraId="20BDCDBD" w14:textId="3BD6ACF9" w:rsidR="00FF1066" w:rsidRPr="00D63217" w:rsidRDefault="008542FD" w:rsidP="008542FD">
      <w:pPr>
        <w:pStyle w:val="NormalText"/>
      </w:pPr>
      <w:r w:rsidRPr="00D63217">
        <w:t>The</w:t>
      </w:r>
      <w:r w:rsidR="00FF1066" w:rsidRPr="00D63217">
        <w:t xml:space="preserve"> recommendations of the c</w:t>
      </w:r>
      <w:r w:rsidRPr="00D63217">
        <w:t xml:space="preserve">hemistry </w:t>
      </w:r>
      <w:r w:rsidR="00FF1066" w:rsidRPr="00D63217">
        <w:t>assessment of paraquat are that</w:t>
      </w:r>
      <w:r w:rsidRPr="00D63217">
        <w:t xml:space="preserve"> the APVMA</w:t>
      </w:r>
      <w:r w:rsidR="00FF1066" w:rsidRPr="00D63217">
        <w:t>:</w:t>
      </w:r>
    </w:p>
    <w:p w14:paraId="6EB2E481" w14:textId="04CF905E" w:rsidR="008542FD" w:rsidRPr="00D63217" w:rsidRDefault="007A49D1" w:rsidP="00304E9C">
      <w:pPr>
        <w:pStyle w:val="Bullet1"/>
      </w:pPr>
      <w:r>
        <w:t>B</w:t>
      </w:r>
      <w:r w:rsidR="00FF1066" w:rsidRPr="00D63217">
        <w:t>e</w:t>
      </w:r>
      <w:r w:rsidR="008542FD" w:rsidRPr="00D63217">
        <w:t xml:space="preserve"> satisfied that the paraquat dichloride </w:t>
      </w:r>
      <w:r w:rsidR="000E15B1" w:rsidRPr="00D63217">
        <w:t>active constituents (manufacturing concentrates)</w:t>
      </w:r>
      <w:r w:rsidR="00FF1066" w:rsidRPr="00D63217">
        <w:t xml:space="preserve"> with the approval numbers 69493, 87171, 89426 and 91420 continue to meet the safety criteria from a Chemistry and Manufacture </w:t>
      </w:r>
      <w:r w:rsidR="00541FEC" w:rsidRPr="00D63217">
        <w:t>perspective</w:t>
      </w:r>
      <w:r>
        <w:t>.</w:t>
      </w:r>
    </w:p>
    <w:p w14:paraId="198CF6F1" w14:textId="16EBA9C4" w:rsidR="00CE6B92" w:rsidRPr="00D63217" w:rsidRDefault="007A49D1" w:rsidP="00304E9C">
      <w:pPr>
        <w:pStyle w:val="Bullet1"/>
      </w:pPr>
      <w:bookmarkStart w:id="70" w:name="_Hlk166572696"/>
      <w:r>
        <w:t>N</w:t>
      </w:r>
      <w:r w:rsidR="00CE6B92" w:rsidRPr="00D63217">
        <w:t>ot be satisfied that the active constituents with the approval numbers</w:t>
      </w:r>
      <w:r w:rsidR="00EF158E" w:rsidRPr="00D63217">
        <w:t xml:space="preserve"> 44249, 55966 </w:t>
      </w:r>
      <w:r w:rsidR="00CE6B92" w:rsidRPr="00D63217">
        <w:t>meet the safety criteria as the Declaration of Composition provided for those active constituents</w:t>
      </w:r>
      <w:r w:rsidR="00EF158E" w:rsidRPr="00D63217">
        <w:t xml:space="preserve"> do not list all required impurities and components for paraquat dichloride technical concentrates listed in the Agricultural Active Constituent Standards 2022</w:t>
      </w:r>
      <w:r w:rsidR="00CE6B92" w:rsidRPr="00D63217">
        <w:t xml:space="preserve"> or FAO Specification for paraquat </w:t>
      </w:r>
      <w:r w:rsidR="00541FEC" w:rsidRPr="00D63217">
        <w:t>dichloride</w:t>
      </w:r>
      <w:r>
        <w:t>.</w:t>
      </w:r>
    </w:p>
    <w:p w14:paraId="3CD7EF61" w14:textId="31AAFCC8" w:rsidR="007B6688" w:rsidRPr="00D63217" w:rsidRDefault="007A49D1" w:rsidP="00304E9C">
      <w:pPr>
        <w:pStyle w:val="Bullet1"/>
      </w:pPr>
      <w:r>
        <w:t>N</w:t>
      </w:r>
      <w:r w:rsidR="00FF1066" w:rsidRPr="00D63217">
        <w:t xml:space="preserve">ot be satisfied that the </w:t>
      </w:r>
      <w:r w:rsidR="005654A4" w:rsidRPr="00D63217">
        <w:t xml:space="preserve">remaining active constituent approvals </w:t>
      </w:r>
      <w:r w:rsidR="00B94007" w:rsidRPr="00D63217">
        <w:t xml:space="preserve">listed in </w:t>
      </w:r>
      <w:r w:rsidR="00B94007" w:rsidRPr="00D63217">
        <w:fldChar w:fldCharType="begin"/>
      </w:r>
      <w:r w:rsidR="00B94007" w:rsidRPr="00D63217">
        <w:instrText xml:space="preserve"> REF _Ref162264148 \h </w:instrText>
      </w:r>
      <w:r w:rsidR="00304E9C" w:rsidRPr="00D63217">
        <w:instrText xml:space="preserve"> \* MERGEFORMAT </w:instrText>
      </w:r>
      <w:r w:rsidR="00B94007" w:rsidRPr="00D63217">
        <w:fldChar w:fldCharType="separate"/>
      </w:r>
      <w:r w:rsidR="008A397D" w:rsidRPr="00D63217">
        <w:t xml:space="preserve">Table </w:t>
      </w:r>
      <w:r w:rsidR="008A397D">
        <w:t>4</w:t>
      </w:r>
      <w:r w:rsidR="00B94007" w:rsidRPr="00D63217">
        <w:fldChar w:fldCharType="end"/>
      </w:r>
      <w:r w:rsidR="00B94007" w:rsidRPr="00D63217">
        <w:t xml:space="preserve"> meet the safety criteria as the</w:t>
      </w:r>
      <w:r w:rsidR="000E15B1" w:rsidRPr="00D63217">
        <w:t xml:space="preserve"> holders</w:t>
      </w:r>
      <w:r w:rsidR="00B94007" w:rsidRPr="00D63217">
        <w:t xml:space="preserve"> </w:t>
      </w:r>
      <w:r w:rsidR="000E15B1" w:rsidRPr="00D63217">
        <w:t xml:space="preserve">have not demonstrated that the active constituents </w:t>
      </w:r>
      <w:r w:rsidR="00B94007" w:rsidRPr="00D63217">
        <w:t xml:space="preserve">conform </w:t>
      </w:r>
      <w:r w:rsidR="000E15B1" w:rsidRPr="00D63217">
        <w:t>to</w:t>
      </w:r>
      <w:r w:rsidR="00B94007" w:rsidRPr="00D63217">
        <w:t xml:space="preserve"> the </w:t>
      </w:r>
      <w:r w:rsidR="00B9331C" w:rsidRPr="00D63217">
        <w:t xml:space="preserve">Agricultural Active Constituents Standard 2022 or </w:t>
      </w:r>
      <w:r w:rsidR="00B94007" w:rsidRPr="00D63217">
        <w:t xml:space="preserve">FAO Specification for </w:t>
      </w:r>
      <w:bookmarkEnd w:id="70"/>
      <w:r w:rsidR="00B94007" w:rsidRPr="00D63217">
        <w:t xml:space="preserve">paraquat </w:t>
      </w:r>
      <w:r w:rsidR="00541FEC" w:rsidRPr="00D63217">
        <w:t>dichloride</w:t>
      </w:r>
      <w:r>
        <w:t>.</w:t>
      </w:r>
    </w:p>
    <w:p w14:paraId="105593F6" w14:textId="59A784CF" w:rsidR="003548BB" w:rsidRPr="00D63217" w:rsidRDefault="007A49D1" w:rsidP="00304E9C">
      <w:pPr>
        <w:pStyle w:val="Bullet1"/>
      </w:pPr>
      <w:r>
        <w:t>C</w:t>
      </w:r>
      <w:r w:rsidR="003548BB" w:rsidRPr="00D63217">
        <w:t xml:space="preserve">ould be satisfied that all paraquat dichloride </w:t>
      </w:r>
      <w:r w:rsidR="00CE6B92" w:rsidRPr="00D63217">
        <w:t>active constituent</w:t>
      </w:r>
      <w:r w:rsidR="003548BB" w:rsidRPr="00D63217">
        <w:t xml:space="preserve"> approvals listed in Table 4 meet the safety criteria if the holders of those approvals provide an </w:t>
      </w:r>
      <w:r w:rsidR="003548BB" w:rsidRPr="007B7ABA">
        <w:t>u</w:t>
      </w:r>
      <w:r w:rsidR="00CE6B92" w:rsidRPr="007B7ABA">
        <w:t>p</w:t>
      </w:r>
      <w:r w:rsidR="003548BB" w:rsidRPr="007B7ABA">
        <w:t>dated Declaration of Composition</w:t>
      </w:r>
      <w:r w:rsidR="007B7ABA" w:rsidRPr="007B7ABA">
        <w:t xml:space="preserve"> (44249, 55966)</w:t>
      </w:r>
      <w:r w:rsidR="00CE6B92" w:rsidRPr="007B7ABA">
        <w:t>, or an updated Declaration of Composition</w:t>
      </w:r>
      <w:r w:rsidR="003548BB" w:rsidRPr="007B7ABA">
        <w:t xml:space="preserve"> and the results of 5 batch analyses</w:t>
      </w:r>
      <w:r w:rsidR="007B7ABA" w:rsidRPr="007B7ABA">
        <w:t xml:space="preserve"> (44387, 47747,48272, 51041, 51678, 54043, 54131, 55327, 55682, 56809, 58230, 59171, 64565)</w:t>
      </w:r>
      <w:r w:rsidR="00CE6B92" w:rsidRPr="007B7ABA">
        <w:t>,</w:t>
      </w:r>
      <w:r w:rsidR="003548BB" w:rsidRPr="007B7ABA">
        <w:t xml:space="preserve"> </w:t>
      </w:r>
      <w:r w:rsidR="00CE6B92" w:rsidRPr="007B7ABA">
        <w:t xml:space="preserve">as needed, conforming to </w:t>
      </w:r>
      <w:r w:rsidR="003548BB" w:rsidRPr="007B7ABA">
        <w:t>the</w:t>
      </w:r>
      <w:r w:rsidR="00CE6B92" w:rsidRPr="007B7ABA">
        <w:t xml:space="preserve"> Agricultural Active Constituents Standard 2022 and</w:t>
      </w:r>
      <w:r w:rsidR="003548BB" w:rsidRPr="007B7ABA">
        <w:t xml:space="preserve"> FAO Specification for </w:t>
      </w:r>
      <w:r w:rsidR="00CE6B92" w:rsidRPr="007B7ABA">
        <w:t>paraquat dichloride</w:t>
      </w:r>
      <w:r w:rsidR="001711E8" w:rsidRPr="007B7ABA">
        <w:t>,</w:t>
      </w:r>
      <w:r w:rsidR="003548BB" w:rsidRPr="007B7ABA">
        <w:t xml:space="preserve"> to the </w:t>
      </w:r>
      <w:r w:rsidR="00541FEC" w:rsidRPr="007B7ABA">
        <w:t>APVMA</w:t>
      </w:r>
      <w:r>
        <w:t>.</w:t>
      </w:r>
    </w:p>
    <w:p w14:paraId="25C67868" w14:textId="46E01E39" w:rsidR="00256652" w:rsidRPr="00D63217" w:rsidRDefault="007A49D1" w:rsidP="00304E9C">
      <w:pPr>
        <w:pStyle w:val="Bullet1"/>
        <w:sectPr w:rsidR="00256652" w:rsidRPr="00D63217" w:rsidSect="003023C5">
          <w:headerReference w:type="even" r:id="rId35"/>
          <w:pgSz w:w="11906" w:h="16838" w:code="9"/>
          <w:pgMar w:top="2835" w:right="1134" w:bottom="1134" w:left="1134" w:header="1701" w:footer="680" w:gutter="0"/>
          <w:cols w:space="708"/>
          <w:docGrid w:linePitch="360"/>
        </w:sectPr>
      </w:pPr>
      <w:r>
        <w:t>B</w:t>
      </w:r>
      <w:r w:rsidR="00B94007" w:rsidRPr="00D63217">
        <w:t xml:space="preserve">e satisfied that continued registration of agricultural chemical products containing paraquat dichloride, listed in </w:t>
      </w:r>
      <w:r w:rsidR="00B94007" w:rsidRPr="00D63217">
        <w:fldChar w:fldCharType="begin"/>
      </w:r>
      <w:r w:rsidR="00B94007" w:rsidRPr="00D63217">
        <w:instrText xml:space="preserve"> REF _Ref162264308 \h </w:instrText>
      </w:r>
      <w:r w:rsidR="00304E9C" w:rsidRPr="00D63217">
        <w:instrText xml:space="preserve"> \* MERGEFORMAT </w:instrText>
      </w:r>
      <w:r w:rsidR="00B94007" w:rsidRPr="00D63217">
        <w:fldChar w:fldCharType="separate"/>
      </w:r>
      <w:r w:rsidR="008A397D" w:rsidRPr="00D63217">
        <w:t xml:space="preserve">Table </w:t>
      </w:r>
      <w:r w:rsidR="008A397D">
        <w:t>5</w:t>
      </w:r>
      <w:r w:rsidR="00B94007" w:rsidRPr="00D63217">
        <w:fldChar w:fldCharType="end"/>
      </w:r>
      <w:r w:rsidR="00B94007" w:rsidRPr="00D63217">
        <w:t xml:space="preserve">, would meet the safety criteria under section 5A of the Agvet Code from a Chemistry and </w:t>
      </w:r>
      <w:r w:rsidR="00B94007" w:rsidRPr="00D63217">
        <w:lastRenderedPageBreak/>
        <w:t>Manufacture perspective.</w:t>
      </w:r>
      <w:r w:rsidR="00530242" w:rsidRPr="00D63217">
        <w:t xml:space="preserve"> Minor corrections should be made to the </w:t>
      </w:r>
      <w:r w:rsidR="00F867AE" w:rsidRPr="00D63217">
        <w:t xml:space="preserve">recorded </w:t>
      </w:r>
      <w:r w:rsidR="00530242" w:rsidRPr="00D63217">
        <w:t>formulation types of some products, to ensure consistent use of terminology.</w:t>
      </w:r>
    </w:p>
    <w:p w14:paraId="02BCA4AE" w14:textId="6C15FC2A" w:rsidR="00133AC3" w:rsidRPr="007A49D1" w:rsidRDefault="00133AC3" w:rsidP="007A49D1">
      <w:pPr>
        <w:pStyle w:val="Heading1"/>
      </w:pPr>
      <w:bookmarkStart w:id="71" w:name="_Toc46842339"/>
      <w:bookmarkStart w:id="72" w:name="_Toc50644746"/>
      <w:bookmarkStart w:id="73" w:name="_Toc157602748"/>
      <w:bookmarkStart w:id="74" w:name="_Toc231480827"/>
      <w:bookmarkStart w:id="75" w:name="_Toc233036379"/>
      <w:bookmarkEnd w:id="35"/>
      <w:r w:rsidRPr="007A49D1">
        <w:lastRenderedPageBreak/>
        <w:t>Toxicology</w:t>
      </w:r>
      <w:bookmarkEnd w:id="71"/>
      <w:bookmarkEnd w:id="72"/>
      <w:bookmarkEnd w:id="73"/>
      <w:bookmarkEnd w:id="74"/>
      <w:bookmarkEnd w:id="75"/>
    </w:p>
    <w:p w14:paraId="55BFF362" w14:textId="6C9401B0" w:rsidR="002E7306" w:rsidRDefault="00133AC3" w:rsidP="002E7306">
      <w:pPr>
        <w:pStyle w:val="NormalText"/>
      </w:pPr>
      <w:r w:rsidRPr="00D63217">
        <w:t>A large toxicology database is available for paraquat and was considered to be of sufficient breadth and quality for human health risk assessment purposes. The following</w:t>
      </w:r>
      <w:r w:rsidR="00B753F8" w:rsidRPr="00D63217">
        <w:t xml:space="preserve"> toxicology section</w:t>
      </w:r>
      <w:r w:rsidRPr="00D63217">
        <w:t xml:space="preserve"> is a summary of the conclusions of the mammalian toxicology and metabolism / toxicokinetics of paraquat</w:t>
      </w:r>
      <w:r w:rsidR="00B753F8" w:rsidRPr="00D63217">
        <w:t xml:space="preserve"> assessments completed by the APVMA and</w:t>
      </w:r>
      <w:r w:rsidRPr="00D63217">
        <w:t xml:space="preserve"> published  in 2016</w:t>
      </w:r>
      <w:r w:rsidR="00B753F8" w:rsidRPr="00D63217">
        <w:t xml:space="preserve"> as the </w:t>
      </w:r>
      <w:hyperlink r:id="rId36" w:history="1">
        <w:r w:rsidR="00B753F8" w:rsidRPr="00D63217">
          <w:rPr>
            <w:rStyle w:val="Hyperlink"/>
          </w:rPr>
          <w:t>Paraquat toxicology report</w:t>
        </w:r>
      </w:hyperlink>
      <w:r w:rsidR="00B753F8" w:rsidRPr="00D63217">
        <w:t xml:space="preserve"> </w:t>
      </w:r>
      <w:r w:rsidRPr="00D63217">
        <w:t xml:space="preserve">available at </w:t>
      </w:r>
      <w:hyperlink r:id="rId37" w:history="1">
        <w:r w:rsidR="00B753F8" w:rsidRPr="00D63217">
          <w:rPr>
            <w:rStyle w:val="Hyperlink"/>
          </w:rPr>
          <w:t>https://apvma.gov.au/node/12666</w:t>
        </w:r>
      </w:hyperlink>
      <w:r w:rsidRPr="00D63217">
        <w:rPr>
          <w:rStyle w:val="Hyperlink"/>
          <w:color w:val="1A1B1A" w:themeColor="text1" w:themeShade="80"/>
          <w:u w:val="none"/>
        </w:rPr>
        <w:t>.</w:t>
      </w:r>
    </w:p>
    <w:p w14:paraId="5419D02C" w14:textId="0DEA0C14" w:rsidR="00CD7166" w:rsidRDefault="002E7306" w:rsidP="002E7306">
      <w:pPr>
        <w:pStyle w:val="NormalText"/>
      </w:pPr>
      <w:r w:rsidRPr="002E7306">
        <w:t xml:space="preserve">Since the publication of </w:t>
      </w:r>
      <w:r>
        <w:t>this report</w:t>
      </w:r>
      <w:r w:rsidRPr="002E7306">
        <w:t>, the United States Environmental Protection Agency (US EPA) has published detailed and comprehensive reviews of the toxicology and epidemiology of paraquat used as an herbicide (2019</w:t>
      </w:r>
      <w:r w:rsidR="005A7422">
        <w:t xml:space="preserve"> </w:t>
      </w:r>
      <w:r w:rsidR="0074436D">
        <w:t>a,b,c</w:t>
      </w:r>
      <w:r w:rsidRPr="002E7306">
        <w:t xml:space="preserve">). </w:t>
      </w:r>
      <w:r>
        <w:t xml:space="preserve"> </w:t>
      </w:r>
      <w:r w:rsidR="00410B2F">
        <w:t>In addition,</w:t>
      </w:r>
      <w:r>
        <w:t xml:space="preserve"> the APVMA has completed a</w:t>
      </w:r>
      <w:r w:rsidR="00A56D87" w:rsidRPr="00A56D87">
        <w:t xml:space="preserve"> review of submissions received in response to the public consultation on the Proposed Regulatory Decision on paraquat (consultation period 30 July 2024 to 29 October 2024)</w:t>
      </w:r>
      <w:r>
        <w:t>. The</w:t>
      </w:r>
      <w:r w:rsidR="00410B2F">
        <w:t xml:space="preserve"> new studies that were reviewed in these reports build</w:t>
      </w:r>
      <w:r w:rsidR="00410B2F" w:rsidRPr="00410B2F">
        <w:t xml:space="preserve"> upon the toxicological database</w:t>
      </w:r>
      <w:r w:rsidR="00410B2F">
        <w:t xml:space="preserve"> for paraquat but</w:t>
      </w:r>
      <w:r w:rsidR="00410B2F" w:rsidRPr="00410B2F">
        <w:t xml:space="preserve"> </w:t>
      </w:r>
      <w:r w:rsidR="00410B2F">
        <w:t xml:space="preserve">do </w:t>
      </w:r>
      <w:r w:rsidR="00236E16" w:rsidRPr="00D63217">
        <w:t xml:space="preserve">not </w:t>
      </w:r>
      <w:r w:rsidR="00CC6952" w:rsidRPr="00D63217">
        <w:t>change</w:t>
      </w:r>
      <w:r w:rsidR="00236E16" w:rsidRPr="00D63217">
        <w:t xml:space="preserve"> the overall conclusions</w:t>
      </w:r>
      <w:r>
        <w:t xml:space="preserve"> of </w:t>
      </w:r>
      <w:r w:rsidR="00410B2F">
        <w:t xml:space="preserve">the </w:t>
      </w:r>
      <w:r>
        <w:t>paraquat toxicology report (2016)</w:t>
      </w:r>
      <w:r w:rsidR="00236E16" w:rsidRPr="00D63217">
        <w:t xml:space="preserve"> and </w:t>
      </w:r>
      <w:r w:rsidR="00410B2F" w:rsidRPr="00410B2F">
        <w:t xml:space="preserve">do not introduce any </w:t>
      </w:r>
      <w:r w:rsidR="005A7422">
        <w:t xml:space="preserve">new </w:t>
      </w:r>
      <w:r w:rsidR="00410B2F">
        <w:t xml:space="preserve">toxicological </w:t>
      </w:r>
      <w:r w:rsidR="00410B2F" w:rsidRPr="00410B2F">
        <w:t xml:space="preserve">endpoints that would alter the existing </w:t>
      </w:r>
      <w:r w:rsidR="00EB2F45">
        <w:t>health-based</w:t>
      </w:r>
      <w:r w:rsidR="00410B2F">
        <w:t xml:space="preserve"> guidance values and exposure</w:t>
      </w:r>
      <w:r w:rsidR="00410B2F" w:rsidRPr="00410B2F">
        <w:t xml:space="preserve"> assessment</w:t>
      </w:r>
      <w:r w:rsidR="00410B2F">
        <w:t>s</w:t>
      </w:r>
      <w:r w:rsidR="00410B2F" w:rsidRPr="00410B2F">
        <w:t xml:space="preserve"> of </w:t>
      </w:r>
      <w:r w:rsidR="00410B2F">
        <w:t>paraquat.</w:t>
      </w:r>
    </w:p>
    <w:p w14:paraId="7F5394CF" w14:textId="4328D3DB" w:rsidR="00133AC3" w:rsidRPr="00D63217" w:rsidRDefault="00133AC3" w:rsidP="00304E9C">
      <w:pPr>
        <w:pStyle w:val="Heading2"/>
      </w:pPr>
      <w:bookmarkStart w:id="76" w:name="_Toc46842340"/>
      <w:bookmarkStart w:id="77" w:name="_Toc50644747"/>
      <w:bookmarkStart w:id="78" w:name="_Toc157602749"/>
      <w:bookmarkStart w:id="79" w:name="_Toc231480828"/>
      <w:bookmarkStart w:id="80" w:name="_Toc233036380"/>
      <w:r w:rsidRPr="00D63217">
        <w:t>Evaluation of toxicology</w:t>
      </w:r>
      <w:bookmarkEnd w:id="76"/>
      <w:bookmarkEnd w:id="77"/>
      <w:bookmarkEnd w:id="78"/>
      <w:bookmarkEnd w:id="79"/>
      <w:bookmarkEnd w:id="80"/>
    </w:p>
    <w:p w14:paraId="4480C49B" w14:textId="1F73F81C" w:rsidR="00133AC3" w:rsidRPr="00D63217" w:rsidRDefault="00133AC3" w:rsidP="00304E9C">
      <w:pPr>
        <w:pStyle w:val="Heading3"/>
      </w:pPr>
      <w:bookmarkStart w:id="81" w:name="_Toc46842341"/>
      <w:bookmarkStart w:id="82" w:name="_Toc231480829"/>
      <w:bookmarkStart w:id="83" w:name="_Toc233036381"/>
      <w:r w:rsidRPr="00D63217">
        <w:t xml:space="preserve">Biochemical </w:t>
      </w:r>
      <w:r w:rsidR="00304E9C" w:rsidRPr="00D63217">
        <w:t>a</w:t>
      </w:r>
      <w:r w:rsidRPr="00D63217">
        <w:t>spects</w:t>
      </w:r>
      <w:bookmarkEnd w:id="81"/>
      <w:bookmarkEnd w:id="82"/>
      <w:bookmarkEnd w:id="83"/>
    </w:p>
    <w:p w14:paraId="1B034E72" w14:textId="4CBBABFF" w:rsidR="00133AC3" w:rsidRPr="00D63217" w:rsidRDefault="00133AC3" w:rsidP="00133AC3">
      <w:pPr>
        <w:pStyle w:val="NormalText"/>
      </w:pPr>
      <w:bookmarkStart w:id="84" w:name="_Toc46842342"/>
      <w:r w:rsidRPr="00D63217">
        <w:t xml:space="preserve">Paraquat is poorly absorbed following oral dosing in the rat, with only 10 to 18% of an oral dose absorbed. Following absorption, paraquat is widely distributed, with highest initial concentrations in the kidneys and lungs, </w:t>
      </w:r>
      <w:r w:rsidR="009A4562" w:rsidRPr="00D63217">
        <w:t>however,</w:t>
      </w:r>
      <w:r w:rsidRPr="00D63217">
        <w:t xml:space="preserve"> is not extensively metabolised. In rats, more than half of the administered dose is excreted in the faeces (60 – 70%), with smaller amounts (10 – 20%) in the urine. While almost half of the administered dose was excreted within 48 hours of dosing, measurable amounts were detected for up to 21 days after dosing. In rats, the dose, frequency of dosing or sex of study animals did not result in major differences in absorption, distribution or excretion. The active uptake system indicates a potential for accumulation in the rat or rabbit lung.</w:t>
      </w:r>
    </w:p>
    <w:p w14:paraId="68E5209C" w14:textId="356F65BB" w:rsidR="00133AC3" w:rsidRPr="00D63217" w:rsidRDefault="00133AC3" w:rsidP="00133AC3">
      <w:pPr>
        <w:pStyle w:val="NormalText"/>
      </w:pPr>
      <w:r w:rsidRPr="00D63217">
        <w:t xml:space="preserve">In vitro studies conducted on the manufacturing concentrate revealed that absorption across rabbit skin was approximately 1% over 10 h, and 2.5% over 55 h for human skin. In addition, human skin was found to be at least 40 times less permeable than animal skin tested in vitro (including rat, mouse, rabbit and guinea-pig). A single </w:t>
      </w:r>
      <w:r w:rsidRPr="00EA473A">
        <w:rPr>
          <w:i/>
          <w:iCs/>
        </w:rPr>
        <w:t>in vivo</w:t>
      </w:r>
      <w:r w:rsidRPr="00D63217">
        <w:t xml:space="preserve"> study conducted in male </w:t>
      </w:r>
      <w:r w:rsidR="00002FD4">
        <w:t xml:space="preserve">human </w:t>
      </w:r>
      <w:r w:rsidRPr="00D63217">
        <w:t>volunteers determined that approximately 0.3% of an applied dose was absorbed over 120 h.</w:t>
      </w:r>
    </w:p>
    <w:p w14:paraId="5958F30E" w14:textId="796CD7AB" w:rsidR="000744E4" w:rsidRPr="00D63217" w:rsidRDefault="00972C76" w:rsidP="00020F64">
      <w:pPr>
        <w:pStyle w:val="NormalText"/>
      </w:pPr>
      <w:r w:rsidRPr="00D63217">
        <w:t>Percutaneous a</w:t>
      </w:r>
      <w:r w:rsidR="00133AC3" w:rsidRPr="00D63217">
        <w:t xml:space="preserve">bsorption </w:t>
      </w:r>
      <w:r w:rsidRPr="00D63217">
        <w:t>of paraquat in rats</w:t>
      </w:r>
      <w:r w:rsidR="00133AC3" w:rsidRPr="00D63217">
        <w:t xml:space="preserve"> ranged from 0.003-16.54% of the applied dose and was approximately proportional to the amount applied. Human skin or isolated epidermis showed lower levels of absorption (0.0001-1.43%) and was also proportional to the amount of paraquat applied. In most studies, absorption rates were higher after 10-12 hours of administration, possibly due to tissue degradation. Although the composition of these formulations was largely unknown, a number of studies indicated that the presence of diquat </w:t>
      </w:r>
      <w:r w:rsidR="00FE5F77">
        <w:t xml:space="preserve">in the formulation </w:t>
      </w:r>
      <w:r w:rsidR="00133AC3" w:rsidRPr="00D63217">
        <w:t>had no effect on percutaneous paraquat absorption.</w:t>
      </w:r>
    </w:p>
    <w:p w14:paraId="41F7A560" w14:textId="77777777" w:rsidR="00133AC3" w:rsidRPr="00D63217" w:rsidRDefault="00133AC3" w:rsidP="00304E9C">
      <w:pPr>
        <w:pStyle w:val="Heading3"/>
      </w:pPr>
      <w:bookmarkStart w:id="85" w:name="_Toc46842345"/>
      <w:bookmarkStart w:id="86" w:name="_Toc231480830"/>
      <w:bookmarkStart w:id="87" w:name="_Toc233036382"/>
      <w:bookmarkStart w:id="88" w:name="_Hlk161846098"/>
      <w:bookmarkEnd w:id="84"/>
      <w:r w:rsidRPr="00D63217">
        <w:lastRenderedPageBreak/>
        <w:t>Major toxicological mode(s) of action and key events</w:t>
      </w:r>
      <w:bookmarkEnd w:id="85"/>
      <w:bookmarkEnd w:id="86"/>
      <w:bookmarkEnd w:id="87"/>
    </w:p>
    <w:p w14:paraId="54902AB7" w14:textId="4A707466" w:rsidR="00133AC3" w:rsidRPr="00D63217" w:rsidRDefault="00133AC3" w:rsidP="00133AC3">
      <w:pPr>
        <w:pStyle w:val="NormalText"/>
      </w:pPr>
      <w:bookmarkStart w:id="89" w:name="_Hlk161846109"/>
      <w:bookmarkEnd w:id="88"/>
      <w:r w:rsidRPr="00D63217">
        <w:t>The mechanism of mammalian toxicity of paraquat is via the generation of highly reactive free radicals and consequent peroxidation of membrane lipids, sulfhydryl groups, proteins and DNA, leading to membrane damage and cell death.</w:t>
      </w:r>
    </w:p>
    <w:p w14:paraId="39C39C53" w14:textId="6180A99F" w:rsidR="00133AC3" w:rsidRPr="00D63217" w:rsidRDefault="00133AC3" w:rsidP="00070BBD">
      <w:pPr>
        <w:pStyle w:val="Heading3"/>
      </w:pPr>
      <w:bookmarkStart w:id="90" w:name="_Toc46842346"/>
      <w:bookmarkStart w:id="91" w:name="_Toc231480831"/>
      <w:bookmarkStart w:id="92" w:name="_Toc233036383"/>
      <w:bookmarkEnd w:id="89"/>
      <w:r w:rsidRPr="00D63217">
        <w:t>Acute toxicity</w:t>
      </w:r>
      <w:bookmarkEnd w:id="90"/>
      <w:r w:rsidR="005A7422">
        <w:t xml:space="preserve"> in animals</w:t>
      </w:r>
      <w:bookmarkEnd w:id="91"/>
      <w:bookmarkEnd w:id="92"/>
    </w:p>
    <w:p w14:paraId="205100EF" w14:textId="3E375E96" w:rsidR="00133AC3" w:rsidRPr="00D63217" w:rsidRDefault="00133AC3" w:rsidP="00834BE6">
      <w:pPr>
        <w:pStyle w:val="NormalText"/>
      </w:pPr>
      <w:r w:rsidRPr="00D63217">
        <w:t xml:space="preserve">The acute oral toxicity of paraquat is moderate in rodents (LD50 from 100 – 249 mg/kg bw) </w:t>
      </w:r>
      <w:bookmarkStart w:id="93" w:name="_Hlk159332870"/>
      <w:r w:rsidR="00BC0B49" w:rsidRPr="00D63217">
        <w:t xml:space="preserve">(Kimbrough &amp; Gaines, 1970; Duerden, 1994b), </w:t>
      </w:r>
      <w:bookmarkEnd w:id="93"/>
      <w:r w:rsidRPr="00D63217">
        <w:t>and high in guinea pigs, rabbits, dogs and monkeys (LD50=22, 40-50 and 50 mg/</w:t>
      </w:r>
      <w:r w:rsidR="00831ED6" w:rsidRPr="00D63217">
        <w:t>kg </w:t>
      </w:r>
      <w:r w:rsidRPr="00D63217">
        <w:t>bw, respectively)</w:t>
      </w:r>
      <w:r w:rsidR="00BC0B49" w:rsidRPr="00D63217">
        <w:t xml:space="preserve"> </w:t>
      </w:r>
      <w:bookmarkStart w:id="94" w:name="_Hlk159332883"/>
      <w:r w:rsidR="00BC0B49" w:rsidRPr="00D63217">
        <w:t>(Murray &amp; Gibson, 1972; Farnworth et al, 1993)</w:t>
      </w:r>
      <w:r w:rsidRPr="00D63217">
        <w:t xml:space="preserve">. </w:t>
      </w:r>
      <w:bookmarkEnd w:id="94"/>
      <w:r w:rsidRPr="00D63217">
        <w:t>A range of clinical signs have been observed in laboratory animals following acute oral exposures including hypoactivity, dehydration, hypothermia, irregular breathing, reduced faecal output, piloerection, staining around the mouth and upward curvature of the spine.</w:t>
      </w:r>
    </w:p>
    <w:p w14:paraId="5E9D9010" w14:textId="1F2B21C0" w:rsidR="00133AC3" w:rsidRPr="00D63217" w:rsidRDefault="00133AC3" w:rsidP="00834BE6">
      <w:pPr>
        <w:pStyle w:val="NormalText"/>
      </w:pPr>
      <w:r w:rsidRPr="00D63217">
        <w:t xml:space="preserve">In rats, the acute dermal toxicity of paraquat is low (LD50 &gt; 1448 mg/kg bw) </w:t>
      </w:r>
      <w:bookmarkStart w:id="95" w:name="_Hlk159332893"/>
      <w:r w:rsidR="00BC0B49" w:rsidRPr="00D63217">
        <w:t xml:space="preserve">(Duerden, 1994c) </w:t>
      </w:r>
      <w:bookmarkEnd w:id="95"/>
      <w:r w:rsidRPr="00D63217">
        <w:t>and the acute inhalational toxicity extremely high (LC50 = 0.5 mg/m3, whole body exposure, 4-h)</w:t>
      </w:r>
      <w:r w:rsidR="00BC0B49" w:rsidRPr="00D63217">
        <w:t xml:space="preserve"> (</w:t>
      </w:r>
      <w:bookmarkStart w:id="96" w:name="_Hlk159332902"/>
      <w:r w:rsidR="00BC0B49" w:rsidRPr="00D63217">
        <w:t>Hathaway, 1966</w:t>
      </w:r>
      <w:bookmarkEnd w:id="96"/>
      <w:r w:rsidR="00BC0B49" w:rsidRPr="00D63217">
        <w:t>)</w:t>
      </w:r>
      <w:r w:rsidRPr="00D63217">
        <w:t>. The most concentrated aqueous solution of paraquat (33% paraquat cation, w/w) was a severe eye irritant in rabbits</w:t>
      </w:r>
      <w:r w:rsidR="00BC0B49" w:rsidRPr="00D63217">
        <w:t xml:space="preserve"> (</w:t>
      </w:r>
      <w:bookmarkStart w:id="97" w:name="_Hlk159332911"/>
      <w:r w:rsidR="00BC0B49" w:rsidRPr="00D63217">
        <w:t>Bugg &amp; Duerden, 1994</w:t>
      </w:r>
      <w:bookmarkEnd w:id="97"/>
      <w:r w:rsidR="00BC0B49" w:rsidRPr="00D63217">
        <w:t>).</w:t>
      </w:r>
      <w:r w:rsidRPr="00D63217">
        <w:t xml:space="preserve"> A 28.6% (w/w) paraquat solution was a moderate to severe skin irritant in rabbits when tested undiluted or up to 1:25 (v/v) dilution, but a slight irritant from dilutions of 1:50</w:t>
      </w:r>
      <w:r w:rsidR="00BC0B49" w:rsidRPr="00D63217">
        <w:t xml:space="preserve"> (</w:t>
      </w:r>
      <w:bookmarkStart w:id="98" w:name="_Hlk159332922"/>
      <w:r w:rsidR="00BC0B49" w:rsidRPr="00D63217">
        <w:t>Bullock, 1983</w:t>
      </w:r>
      <w:bookmarkEnd w:id="98"/>
      <w:r w:rsidR="00BC0B49" w:rsidRPr="00D63217">
        <w:t>).</w:t>
      </w:r>
      <w:r w:rsidRPr="00D63217">
        <w:t xml:space="preserve"> Paraquat was not a skin sensitiser in guinea pigs</w:t>
      </w:r>
      <w:r w:rsidR="00BC0B49" w:rsidRPr="00D63217">
        <w:t xml:space="preserve"> (</w:t>
      </w:r>
      <w:bookmarkStart w:id="99" w:name="_Hlk159332933"/>
      <w:r w:rsidR="00BC0B49" w:rsidRPr="00D63217">
        <w:t>Thompson et al, 1985</w:t>
      </w:r>
      <w:bookmarkEnd w:id="99"/>
      <w:r w:rsidR="00BC0B49" w:rsidRPr="00D63217">
        <w:t>).</w:t>
      </w:r>
    </w:p>
    <w:p w14:paraId="5DAC9B57" w14:textId="77777777" w:rsidR="00133AC3" w:rsidRPr="00D63217" w:rsidRDefault="00133AC3" w:rsidP="00831ED6">
      <w:pPr>
        <w:pStyle w:val="Heading3"/>
      </w:pPr>
      <w:bookmarkStart w:id="100" w:name="_Toc46842347"/>
      <w:bookmarkStart w:id="101" w:name="_Toc231480832"/>
      <w:bookmarkStart w:id="102" w:name="_Toc233036384"/>
      <w:r w:rsidRPr="00D63217">
        <w:t>Acute toxicity in humans</w:t>
      </w:r>
      <w:bookmarkEnd w:id="100"/>
      <w:bookmarkEnd w:id="101"/>
      <w:bookmarkEnd w:id="102"/>
    </w:p>
    <w:p w14:paraId="41D0372A" w14:textId="304E697D" w:rsidR="00133AC3" w:rsidRPr="00D63217" w:rsidRDefault="00133AC3" w:rsidP="00133AC3">
      <w:pPr>
        <w:pStyle w:val="NormalText"/>
      </w:pPr>
      <w:r w:rsidRPr="00D63217">
        <w:t>In humans, following oral exposure</w:t>
      </w:r>
      <w:r w:rsidR="005E3C98">
        <w:t xml:space="preserve"> to formulated products</w:t>
      </w:r>
      <w:r w:rsidRPr="00D63217">
        <w:t xml:space="preserve">, vomiting, abdominal pain, nausea, diarrhoea, ulceration of the oral and/or pharyngeal mucosa and gastrointestinal tract, irritability, dyspnoea, and tachycardia have been observed. </w:t>
      </w:r>
      <w:r w:rsidR="005A7422">
        <w:t>T</w:t>
      </w:r>
      <w:r w:rsidRPr="00D63217">
        <w:t>here have been relatively few cases of fatality due to dermal paraquat exposure, although it appears that toxicologically</w:t>
      </w:r>
      <w:r w:rsidR="005A7422">
        <w:t xml:space="preserve"> </w:t>
      </w:r>
      <w:r w:rsidRPr="00D63217">
        <w:t>significant absorption can occur via damaged skin or sensitive skin areas such as the scrotum. Five fatalities were reported in Papua New Guinea as a result of occupational accidents or off-label use (to treat head lice or scabies). Exposure in these cases was via several routes including the skin of the scrotum, back, thighs, scalp, head, face or nose, although in at least one case, oral ingestion was strongly indicated due to ulceration in the mouth and throat. Similar case reports have involved exposure of the scrotum resulting in pulmonary fibrosis, renal and respiratory failure, with eventual recovery of the patients. Other human poisoning cases reported systemic toxicity and death following absorption through scratches and cutaneous lesions (including skin blisters) on the arms and legs</w:t>
      </w:r>
      <w:r w:rsidR="0020575E" w:rsidRPr="00D63217">
        <w:t>.</w:t>
      </w:r>
    </w:p>
    <w:p w14:paraId="6BE128F0" w14:textId="7C9B0BC7" w:rsidR="00133AC3" w:rsidRPr="00D63217" w:rsidRDefault="00133AC3" w:rsidP="00133AC3">
      <w:pPr>
        <w:pStyle w:val="NormalText"/>
      </w:pPr>
      <w:r w:rsidRPr="00D63217">
        <w:t>Most occupational studies have shown that clinical signs or death due to repeated dermal exposure to paraquat are rare. In an occupational setting, the major manifestation of dermal paraquat toxicity appears to be localised skin reactions, rashes, burns and dermatitis at the exposure site/s</w:t>
      </w:r>
      <w:r w:rsidR="00BC0B49" w:rsidRPr="00D63217">
        <w:t>.</w:t>
      </w:r>
    </w:p>
    <w:p w14:paraId="37EC617F" w14:textId="77777777" w:rsidR="00133AC3" w:rsidRPr="00D63217" w:rsidRDefault="00133AC3" w:rsidP="00C25343">
      <w:pPr>
        <w:pStyle w:val="Heading3"/>
      </w:pPr>
      <w:bookmarkStart w:id="103" w:name="_Toc46842348"/>
      <w:bookmarkStart w:id="104" w:name="_Toc231480833"/>
      <w:bookmarkStart w:id="105" w:name="_Toc233036385"/>
      <w:r w:rsidRPr="00D63217">
        <w:t>Repeat dose toxicity</w:t>
      </w:r>
      <w:bookmarkEnd w:id="103"/>
      <w:bookmarkEnd w:id="104"/>
      <w:bookmarkEnd w:id="105"/>
    </w:p>
    <w:p w14:paraId="579E16DF" w14:textId="77777777" w:rsidR="007A49D1" w:rsidRDefault="00133AC3" w:rsidP="00133AC3">
      <w:pPr>
        <w:pStyle w:val="NormalText"/>
      </w:pPr>
      <w:r w:rsidRPr="00D63217">
        <w:t xml:space="preserve">In numerous repeat-dose studies, the toxicological effects of paraquat were dose-related and appeared to be independent of sex, dosing route or duration. Dogs were the most sensitive test species followed by rodents and rabbits. Pulmonary toxicity was the predominant feature of repeated paraquat exposure, while renal damage can also occur. </w:t>
      </w:r>
      <w:r w:rsidR="00D261EB" w:rsidRPr="00D63217">
        <w:t>Gastrointestinal effects, including irritation, mucosal erosion or ulceration were observed in some rat and rabbit studies following oral dosing.</w:t>
      </w:r>
    </w:p>
    <w:p w14:paraId="0265049B" w14:textId="7C9412B1" w:rsidR="00133AC3" w:rsidRPr="00D63217" w:rsidRDefault="00133AC3" w:rsidP="00133AC3">
      <w:pPr>
        <w:pStyle w:val="NormalText"/>
      </w:pPr>
      <w:r w:rsidRPr="00D63217">
        <w:lastRenderedPageBreak/>
        <w:t>At high enough oral doses (~20 mg/kg bw/d in rodents, ~1 mg/kg bw/d in dogs) decreased body weight gain, clinical signs (ataxia, laboured or rapid breathing, general malaise, lethargy, piloerection, weight loss) and mortalities eventuated.</w:t>
      </w:r>
    </w:p>
    <w:p w14:paraId="5EE8ED72" w14:textId="4738361C" w:rsidR="00D261EB" w:rsidRPr="00D63217" w:rsidRDefault="00D261EB" w:rsidP="007A49D1">
      <w:pPr>
        <w:pStyle w:val="Heading4"/>
      </w:pPr>
      <w:r w:rsidRPr="007A49D1">
        <w:t>Pulmonary</w:t>
      </w:r>
      <w:r w:rsidRPr="00D63217">
        <w:t xml:space="preserve"> toxicity</w:t>
      </w:r>
    </w:p>
    <w:p w14:paraId="7E9C3BD1" w14:textId="56F79DC9" w:rsidR="00D261EB" w:rsidRPr="00D63217" w:rsidRDefault="00D261EB" w:rsidP="00D261EB">
      <w:pPr>
        <w:pStyle w:val="NormalText"/>
      </w:pPr>
      <w:r w:rsidRPr="00D63217">
        <w:t>Localised tissue damage was apparent following inhalational or dermal exposure. Short-term inhalational studies conducted in rats revealed damage to the airways and throat, manifesting as metaplasia and/or hyperplasia of the epiglottis and arytenoid projections, and ulceration/necrosis and acute inflammatory cell infiltration in the larynx. Lung damage including loss of cilia and clara cells and the presence of mucous, debris or inflammatory cell infiltrates were also detected.</w:t>
      </w:r>
    </w:p>
    <w:p w14:paraId="786E5C03" w14:textId="73174618" w:rsidR="00133AC3" w:rsidRPr="00D63217" w:rsidRDefault="00133AC3" w:rsidP="00133AC3">
      <w:pPr>
        <w:pStyle w:val="NormalText"/>
      </w:pPr>
      <w:r w:rsidRPr="00D63217">
        <w:t>The types of gross and histopathological lung abnormalities observed in laboratory animals included alveolitis, alveolar wall thickening, congestion, collapse, fibrosis, haemorrhage, macrophage or lymphocyte infiltration, necrosis, oedema, the presence of inflammatory or congestive lesions of various size (a few mm to involvement of most of the lung) and colour (dark red, brown grey or black), and increased lung weight.</w:t>
      </w:r>
    </w:p>
    <w:p w14:paraId="1D8E4AD6" w14:textId="6BDC81EE" w:rsidR="00D261EB" w:rsidRPr="007A49D1" w:rsidRDefault="00D261EB" w:rsidP="007A49D1">
      <w:pPr>
        <w:pStyle w:val="Heading4"/>
      </w:pPr>
      <w:r w:rsidRPr="007A49D1">
        <w:t>Renal toxicity</w:t>
      </w:r>
    </w:p>
    <w:p w14:paraId="3CCCD7A7" w14:textId="7611A25A" w:rsidR="00133AC3" w:rsidRPr="00D63217" w:rsidRDefault="00133AC3" w:rsidP="00133AC3">
      <w:pPr>
        <w:pStyle w:val="NormalText"/>
      </w:pPr>
      <w:r w:rsidRPr="00D63217">
        <w:t>Paraquat-induced renal toxicity was observed, including by the occurrence of congestion, tubular degeneration, hydronephrosis and the urinary shedding of renal cells. Renal function was adversely affected, as shown by the elevation in plasma urea and creatinine, and urinary glucose, protein and albumin. Several studies also showed elevations in haematocrit (Hct) and erythrocyte counts (RBC) which were probably the result of decreased plasma volume due to dehydration.</w:t>
      </w:r>
    </w:p>
    <w:p w14:paraId="7E07110F" w14:textId="4561DAA2" w:rsidR="00D261EB" w:rsidRPr="00D63217" w:rsidRDefault="00D261EB" w:rsidP="00A14847">
      <w:pPr>
        <w:pStyle w:val="Heading4"/>
      </w:pPr>
      <w:r w:rsidRPr="00D63217">
        <w:t>Ocular toxicity</w:t>
      </w:r>
    </w:p>
    <w:p w14:paraId="76E38535" w14:textId="6264534C" w:rsidR="00133AC3" w:rsidRPr="00D63217" w:rsidRDefault="00133AC3" w:rsidP="00133AC3">
      <w:pPr>
        <w:pStyle w:val="NormalText"/>
      </w:pPr>
      <w:r w:rsidRPr="00D63217">
        <w:t>Ocular abnormalities, including retinal engorgement, were detected in dogs at doses from 0.175 – 3 mg/kg bw/day, but were not seen at lower doses (up to 1.25 mg/kg bw/day). In rats, opacity and cataracts were observed at and above 3.75 mg/kg bw/day, and lenticular dege</w:t>
      </w:r>
      <w:r w:rsidR="00BC0B49" w:rsidRPr="00D63217">
        <w:t>ne</w:t>
      </w:r>
      <w:r w:rsidRPr="00D63217">
        <w:t>ration at and above 1.25 mg/kg bw/day. These studies suggest that relatively high oral doses of paraquat can lead to ocular abnormalities in rats and dogs, however the mechanism of their formation has not been further elucidated.</w:t>
      </w:r>
    </w:p>
    <w:p w14:paraId="117A37D2" w14:textId="480C09BD" w:rsidR="00133AC3" w:rsidRPr="00D63217" w:rsidRDefault="00133AC3" w:rsidP="00133AC3">
      <w:pPr>
        <w:pStyle w:val="Heading4"/>
      </w:pPr>
      <w:bookmarkStart w:id="106" w:name="_Toc46842349"/>
      <w:r w:rsidRPr="00D63217">
        <w:t>Gen</w:t>
      </w:r>
      <w:r w:rsidR="008D694B">
        <w:t>otoxicity</w:t>
      </w:r>
      <w:bookmarkEnd w:id="106"/>
    </w:p>
    <w:p w14:paraId="18BC269E" w14:textId="19B039AB" w:rsidR="00133AC3" w:rsidRPr="00D63217" w:rsidRDefault="00133AC3" w:rsidP="00133AC3">
      <w:pPr>
        <w:pStyle w:val="NormalText"/>
      </w:pPr>
      <w:r w:rsidRPr="00D63217">
        <w:t>There was limited activity in mutagenicity studies. While there were occasional findings of clastogenicity, the weight of evidence indicates that paraquat is non-mutagenic.</w:t>
      </w:r>
    </w:p>
    <w:p w14:paraId="05223F23" w14:textId="77777777" w:rsidR="00133AC3" w:rsidRPr="00D63217" w:rsidRDefault="00133AC3" w:rsidP="00133AC3">
      <w:pPr>
        <w:pStyle w:val="Heading4"/>
      </w:pPr>
      <w:bookmarkStart w:id="107" w:name="_Toc46842350"/>
      <w:r w:rsidRPr="00D63217">
        <w:t>Carcinogenicity</w:t>
      </w:r>
      <w:bookmarkEnd w:id="107"/>
    </w:p>
    <w:p w14:paraId="0DDCDCFD" w14:textId="3CAB55CC" w:rsidR="00133AC3" w:rsidRPr="00D63217" w:rsidRDefault="00133AC3" w:rsidP="00133AC3">
      <w:pPr>
        <w:pStyle w:val="NormalText"/>
      </w:pPr>
      <w:r w:rsidRPr="00D63217">
        <w:t>Long-term feeding studies</w:t>
      </w:r>
      <w:r w:rsidR="0041288D">
        <w:t xml:space="preserve"> at a range of doses</w:t>
      </w:r>
      <w:r w:rsidRPr="00D63217">
        <w:t xml:space="preserve"> in mice and rats revealed no evidence that paraquat was carcinogenic.</w:t>
      </w:r>
    </w:p>
    <w:p w14:paraId="6D167D05" w14:textId="77777777" w:rsidR="00133AC3" w:rsidRPr="00D63217" w:rsidRDefault="00133AC3" w:rsidP="00133AC3">
      <w:pPr>
        <w:pStyle w:val="Heading4"/>
      </w:pPr>
      <w:bookmarkStart w:id="108" w:name="_Toc46842351"/>
      <w:r w:rsidRPr="00D63217">
        <w:t>Reproduction studies</w:t>
      </w:r>
      <w:bookmarkEnd w:id="108"/>
    </w:p>
    <w:p w14:paraId="5DF4076B" w14:textId="77777777" w:rsidR="007A49D1" w:rsidRDefault="00133AC3" w:rsidP="00133AC3">
      <w:pPr>
        <w:pStyle w:val="NormalText"/>
      </w:pPr>
      <w:r w:rsidRPr="00D63217">
        <w:t>There was no evidence that paraquat caused reproductive toxicity in rats following dietary administration at up to 14.5 mg/kg bw/day, doses which produced systemic toxicity in parental animals.</w:t>
      </w:r>
    </w:p>
    <w:p w14:paraId="12C721FB" w14:textId="7E27F522" w:rsidR="00133AC3" w:rsidRPr="00D63217" w:rsidRDefault="00133AC3" w:rsidP="00133AC3">
      <w:pPr>
        <w:pStyle w:val="NormalText"/>
      </w:pPr>
      <w:r w:rsidRPr="00D63217">
        <w:lastRenderedPageBreak/>
        <w:t>Signs of toxicity included lung lesions, decreased food consumption and body weight. Offspring showed decreased body weight in addition to hydrourethrosis or perivascular inflammatory cell infiltration in the lungs.</w:t>
      </w:r>
    </w:p>
    <w:p w14:paraId="7C6F42B7" w14:textId="0756DA2A" w:rsidR="00133AC3" w:rsidRPr="00D63217" w:rsidRDefault="00133AC3" w:rsidP="00133AC3">
      <w:pPr>
        <w:pStyle w:val="NormalText"/>
      </w:pPr>
      <w:r w:rsidRPr="00D63217">
        <w:t>Dermal treatment of male rats at doses up to 30 mg/kg bw/day showed weak cytotoxic effects on epididymal sperm and late spermatids. No dose-response was observed, and the significance of this effect are questionable in the absence of demonstrated effects on male fertility in reproduction studies.</w:t>
      </w:r>
    </w:p>
    <w:p w14:paraId="535F70F2" w14:textId="77777777" w:rsidR="00133AC3" w:rsidRPr="00D63217" w:rsidRDefault="00133AC3" w:rsidP="00133AC3">
      <w:pPr>
        <w:pStyle w:val="Heading4"/>
      </w:pPr>
      <w:bookmarkStart w:id="109" w:name="_Toc46842352"/>
      <w:r w:rsidRPr="00D63217">
        <w:t>Developmental studies</w:t>
      </w:r>
      <w:bookmarkEnd w:id="109"/>
    </w:p>
    <w:p w14:paraId="0F7CE788" w14:textId="4B146BE6" w:rsidR="00133AC3" w:rsidRPr="00D63217" w:rsidRDefault="00133AC3" w:rsidP="00133AC3">
      <w:pPr>
        <w:pStyle w:val="NormalText"/>
      </w:pPr>
      <w:r w:rsidRPr="00D63217">
        <w:t>Studies in mice, rats and rabbits did not show evidence that paraquat had potential to adversely affect development. Maternotoxic doses produced minor effects such as delayed or incomplete ossifications, reduced foetal weights and viability, and, in one rabbit study, post-implantation losses. No observed adverse effect levels were 1 mg/kg bw/day for maternal toxicity and foetal effects in rats and rabbits, while in mice the foetal NOAEL was slightly higher.</w:t>
      </w:r>
    </w:p>
    <w:p w14:paraId="45CB0A4C" w14:textId="2515EF39" w:rsidR="00133AC3" w:rsidRPr="00D63217" w:rsidRDefault="00133AC3" w:rsidP="00133AC3">
      <w:pPr>
        <w:pStyle w:val="NormalText"/>
      </w:pPr>
      <w:r w:rsidRPr="00D63217">
        <w:t>In humans, following deliberate ingestion</w:t>
      </w:r>
      <w:r w:rsidR="00281B26">
        <w:t>,</w:t>
      </w:r>
      <w:r w:rsidRPr="00D63217">
        <w:t xml:space="preserve"> paraquat crossed the placenta, and was found in higher levels in foetal tissue than in maternal plasma. At maternally fatal doses, all foetuses died, while in </w:t>
      </w:r>
      <w:r w:rsidR="0004732D" w:rsidRPr="00D63217">
        <w:t>2</w:t>
      </w:r>
      <w:r w:rsidRPr="00D63217">
        <w:t xml:space="preserve"> surviving women the pregnancy proceeded normally with no evidence of teratogenicity.</w:t>
      </w:r>
    </w:p>
    <w:p w14:paraId="1956E0CD" w14:textId="77777777" w:rsidR="00133AC3" w:rsidRPr="00D63217" w:rsidRDefault="00133AC3" w:rsidP="00A14847">
      <w:pPr>
        <w:pStyle w:val="Heading3"/>
      </w:pPr>
      <w:bookmarkStart w:id="110" w:name="_Toc231480834"/>
      <w:bookmarkStart w:id="111" w:name="_Toc233036386"/>
      <w:r w:rsidRPr="00D63217">
        <w:t>Special studies</w:t>
      </w:r>
      <w:bookmarkEnd w:id="110"/>
      <w:bookmarkEnd w:id="111"/>
    </w:p>
    <w:p w14:paraId="34FACE1F" w14:textId="1C155BE5" w:rsidR="00133AC3" w:rsidRPr="007A49D1" w:rsidRDefault="00133AC3" w:rsidP="007A49D1">
      <w:pPr>
        <w:pStyle w:val="Heading4"/>
      </w:pPr>
      <w:r w:rsidRPr="007A49D1">
        <w:t>Neurotoxicity</w:t>
      </w:r>
    </w:p>
    <w:p w14:paraId="6BDFB8E7" w14:textId="4106824E" w:rsidR="002E779A" w:rsidRPr="00EB2F45" w:rsidRDefault="0020575E" w:rsidP="002E779A">
      <w:pPr>
        <w:pStyle w:val="NormalText"/>
      </w:pPr>
      <w:r w:rsidRPr="00D63217">
        <w:t>The APVMA completed a</w:t>
      </w:r>
      <w:r w:rsidR="00B753F8" w:rsidRPr="00D63217">
        <w:t>n</w:t>
      </w:r>
      <w:r w:rsidRPr="00D63217">
        <w:t xml:space="preserve"> assessment of the potential for neurotoxicity mediated by paraquat and published these findings in detail in</w:t>
      </w:r>
      <w:r w:rsidR="00EA473A">
        <w:t xml:space="preserve"> the</w:t>
      </w:r>
      <w:r w:rsidRPr="00D63217">
        <w:t xml:space="preserve"> 2016 report </w:t>
      </w:r>
      <w:hyperlink r:id="rId38" w:history="1">
        <w:r w:rsidRPr="00D63217">
          <w:rPr>
            <w:rStyle w:val="Hyperlink"/>
          </w:rPr>
          <w:t>Paraquat toxicology report – supplement II neurotoxicology</w:t>
        </w:r>
      </w:hyperlink>
      <w:r w:rsidR="00A56D87">
        <w:t xml:space="preserve">. </w:t>
      </w:r>
      <w:r w:rsidR="002E779A">
        <w:t>Since this report, the United States Environmental Protection Agency (US EPA) has published detailed and comprehensive reviews of the toxicology and epidemiology of paraquat used as a herbicide (</w:t>
      </w:r>
      <w:r w:rsidR="00B84833" w:rsidRPr="00604BE6">
        <w:t>US EPA, 2</w:t>
      </w:r>
      <w:r w:rsidR="00B84833" w:rsidRPr="009C2FBC">
        <w:t>019</w:t>
      </w:r>
      <w:r w:rsidR="00BD45ED">
        <w:t>a</w:t>
      </w:r>
      <w:r w:rsidR="00604BE6">
        <w:t>,b</w:t>
      </w:r>
      <w:r w:rsidR="002E779A">
        <w:t xml:space="preserve">) and the APVMA has completed a review of submissions received in response to the public consultation on the Proposed Regulatory Decision on paraquat, which included a number of submissions relevant to the investigation of paraquat and </w:t>
      </w:r>
      <w:r w:rsidR="002E779A" w:rsidRPr="00EB2F45">
        <w:t>Parkinson’s Disease. A summary of the key findings of these reports is provided below.</w:t>
      </w:r>
    </w:p>
    <w:p w14:paraId="00C557DA" w14:textId="3FAAAE10" w:rsidR="007A49D1" w:rsidRDefault="002E779A" w:rsidP="002E779A">
      <w:pPr>
        <w:pStyle w:val="NormalText"/>
      </w:pPr>
      <w:r w:rsidRPr="00EB2F45">
        <w:t>Animal studies</w:t>
      </w:r>
      <w:r w:rsidR="00D8689F" w:rsidRPr="00EB2F45">
        <w:t xml:space="preserve"> submitted as part of the public consultation that were published</w:t>
      </w:r>
      <w:r w:rsidRPr="00EB2F45">
        <w:t xml:space="preserve"> </w:t>
      </w:r>
      <w:r w:rsidR="00D8689F" w:rsidRPr="00EB2F45">
        <w:t>after</w:t>
      </w:r>
      <w:r w:rsidRPr="00EB2F45">
        <w:t xml:space="preserve"> the completion of the APVMA paraquat toxicology report (2016)</w:t>
      </w:r>
      <w:r w:rsidR="00D74D42" w:rsidRPr="00EB2F45">
        <w:t>, or that were identified as part of a</w:t>
      </w:r>
      <w:r w:rsidR="00002FD4">
        <w:t xml:space="preserve"> contemporary</w:t>
      </w:r>
      <w:r w:rsidR="00D74D42" w:rsidRPr="00EB2F45">
        <w:t xml:space="preserve"> literature search</w:t>
      </w:r>
      <w:r w:rsidR="005E3C98">
        <w:t xml:space="preserve"> completed in 2025</w:t>
      </w:r>
      <w:r w:rsidRPr="00EB2F45">
        <w:t xml:space="preserve"> </w:t>
      </w:r>
      <w:r w:rsidR="00B84833" w:rsidRPr="00EB2F45">
        <w:t>(Anderson et al.</w:t>
      </w:r>
      <w:r w:rsidR="0037275F" w:rsidRPr="00EB2F45">
        <w:t xml:space="preserve">, </w:t>
      </w:r>
      <w:r w:rsidR="00B84833" w:rsidRPr="00EB2F45">
        <w:t>2021; Dwyer et al</w:t>
      </w:r>
      <w:r w:rsidR="0037275F" w:rsidRPr="00EB2F45">
        <w:t xml:space="preserve">, </w:t>
      </w:r>
      <w:r w:rsidR="00B84833" w:rsidRPr="00EB2F45">
        <w:t>2021; Milanese et al.</w:t>
      </w:r>
      <w:r w:rsidR="0037275F" w:rsidRPr="00EB2F45">
        <w:t xml:space="preserve">, </w:t>
      </w:r>
      <w:r w:rsidR="00B84833" w:rsidRPr="00EB2F45">
        <w:t>2018; Sun et al.</w:t>
      </w:r>
      <w:r w:rsidR="0037275F" w:rsidRPr="00EB2F45">
        <w:t xml:space="preserve">, </w:t>
      </w:r>
      <w:r w:rsidR="00B84833" w:rsidRPr="00EB2F45">
        <w:t xml:space="preserve">2023; </w:t>
      </w:r>
      <w:r w:rsidR="00E12793" w:rsidRPr="00EB2F45">
        <w:t xml:space="preserve">Smeyne et al., 2016; </w:t>
      </w:r>
      <w:r w:rsidR="001E3285" w:rsidRPr="00EB2F45">
        <w:t xml:space="preserve">Torres-Rojas et al., 2022; </w:t>
      </w:r>
      <w:r w:rsidR="00B84833" w:rsidRPr="00EB2F45">
        <w:t>Wang et al</w:t>
      </w:r>
      <w:r w:rsidR="0037275F" w:rsidRPr="00EB2F45">
        <w:t xml:space="preserve">., </w:t>
      </w:r>
      <w:r w:rsidR="00B84833" w:rsidRPr="00EB2F45">
        <w:t xml:space="preserve">2016) </w:t>
      </w:r>
      <w:r w:rsidRPr="00EB2F45">
        <w:t xml:space="preserve">confirm and reinforce the previous conclusion that available animal data does not provide convincing evidence that paraquat presents a substantive risk of increasing Parkinson’s like disease in humans from likely routes and magnitude of exposure arising from agricultural use. The previous conclusion </w:t>
      </w:r>
      <w:r>
        <w:t>of the APVMA paraquat technical report that paraquat in animal studies “does not induce neurotoxicity via the oral, dermal or intranasal exposure routes” remains appropriate. The 2019 US EPA review of the literature on the relationship between paraquat and Parkinson’s disease concluded that “Overall, the limited, mixed findings in the animal literature were considered weak evidence of a Parkinson’s disease-like response to paraquat exposure.” No data has been identified from public submissions or the available literature that would alter the validity of these conclusions.</w:t>
      </w:r>
      <w:r w:rsidR="007A49D1">
        <w:br w:type="page"/>
      </w:r>
    </w:p>
    <w:p w14:paraId="2DC80942" w14:textId="1E0BC6AE" w:rsidR="002E779A" w:rsidRDefault="002E779A" w:rsidP="002E779A">
      <w:pPr>
        <w:pStyle w:val="NormalText"/>
      </w:pPr>
      <w:r>
        <w:lastRenderedPageBreak/>
        <w:t>Epidemiology</w:t>
      </w:r>
      <w:r w:rsidR="002C653A">
        <w:t xml:space="preserve"> studies</w:t>
      </w:r>
      <w:r>
        <w:t xml:space="preserve"> </w:t>
      </w:r>
      <w:r w:rsidR="00D8689F" w:rsidRPr="00D8689F">
        <w:t xml:space="preserve">submitted as part of the public consultation </w:t>
      </w:r>
      <w:r w:rsidR="00D8689F">
        <w:t>that were</w:t>
      </w:r>
      <w:r w:rsidR="00D8689F" w:rsidRPr="00D8689F">
        <w:t xml:space="preserve"> published after the completion of </w:t>
      </w:r>
      <w:r>
        <w:t xml:space="preserve">the </w:t>
      </w:r>
      <w:r w:rsidR="00D8689F">
        <w:t xml:space="preserve">APVMA </w:t>
      </w:r>
      <w:r w:rsidR="00D8689F" w:rsidRPr="00D8689F">
        <w:t>paraquat toxicology report (</w:t>
      </w:r>
      <w:r w:rsidR="00D8689F" w:rsidRPr="00EB2F45">
        <w:t>2016)</w:t>
      </w:r>
      <w:r w:rsidR="00D74D42" w:rsidRPr="00EB2F45">
        <w:t>,</w:t>
      </w:r>
      <w:r w:rsidRPr="00EB2F45">
        <w:t xml:space="preserve"> </w:t>
      </w:r>
      <w:r w:rsidR="00D74D42" w:rsidRPr="00EB2F45">
        <w:t xml:space="preserve">or that were identified as part of a literature search </w:t>
      </w:r>
      <w:r w:rsidR="00D8689F" w:rsidRPr="00EB2F45">
        <w:t>included studies that</w:t>
      </w:r>
      <w:r w:rsidRPr="00EB2F45">
        <w:t xml:space="preserve"> examined a UK workforce who manufactured paraquat between 1961 and 1995</w:t>
      </w:r>
      <w:r w:rsidR="0037275F" w:rsidRPr="00EB2F45">
        <w:t xml:space="preserve"> (Tomenson &amp; Campbell, 2021)</w:t>
      </w:r>
      <w:r w:rsidR="00D8689F" w:rsidRPr="00EB2F45">
        <w:t xml:space="preserve">, </w:t>
      </w:r>
      <w:r w:rsidRPr="00EB2F45">
        <w:t xml:space="preserve"> </w:t>
      </w:r>
      <w:r w:rsidR="00D8689F" w:rsidRPr="00EB2F45">
        <w:t>dispensing data for Parkinson’s disease medications across 79 Local Government Areas in Victoria</w:t>
      </w:r>
      <w:r w:rsidR="0037275F" w:rsidRPr="00EB2F45">
        <w:t xml:space="preserve"> (Ayton et al., 2019)</w:t>
      </w:r>
      <w:r w:rsidR="00D8689F" w:rsidRPr="00EB2F45">
        <w:t>,</w:t>
      </w:r>
      <w:r w:rsidR="0037275F" w:rsidRPr="00EB2F45">
        <w:t xml:space="preserve"> the Parkinsons Environment and Genes </w:t>
      </w:r>
      <w:r w:rsidR="002C653A" w:rsidRPr="00EB2F45">
        <w:t xml:space="preserve">(PEG) </w:t>
      </w:r>
      <w:r w:rsidR="0037275F" w:rsidRPr="00EB2F45">
        <w:t>study</w:t>
      </w:r>
      <w:r w:rsidR="002C653A" w:rsidRPr="00EB2F45">
        <w:t xml:space="preserve"> </w:t>
      </w:r>
      <w:r w:rsidR="0037275F" w:rsidRPr="00EB2F45">
        <w:t xml:space="preserve">(Paul et al., 2024; Sanders, </w:t>
      </w:r>
      <w:r w:rsidR="00DA3B98" w:rsidRPr="00EB2F45">
        <w:t>et al</w:t>
      </w:r>
      <w:r w:rsidR="0037275F" w:rsidRPr="00EB2F45">
        <w:t>., 2017)</w:t>
      </w:r>
      <w:r w:rsidR="00D8689F" w:rsidRPr="00EB2F45">
        <w:t xml:space="preserve"> </w:t>
      </w:r>
      <w:r w:rsidRPr="00EB2F45">
        <w:t>and the very large US Agricultural Health Survey (AHS) study cohort</w:t>
      </w:r>
      <w:r w:rsidR="0037275F" w:rsidRPr="00EB2F45">
        <w:t xml:space="preserve"> (Shrestha et al., 2019; Shrestha</w:t>
      </w:r>
      <w:r w:rsidR="0037275F" w:rsidRPr="0037275F">
        <w:t xml:space="preserve"> et al.</w:t>
      </w:r>
      <w:r w:rsidR="0037275F">
        <w:t xml:space="preserve">, </w:t>
      </w:r>
      <w:r w:rsidR="0037275F" w:rsidRPr="0037275F">
        <w:t>2020; Yuan et al.</w:t>
      </w:r>
      <w:r w:rsidR="0037275F">
        <w:t>,</w:t>
      </w:r>
      <w:r w:rsidR="0037275F" w:rsidRPr="0037275F">
        <w:t xml:space="preserve"> 2022)</w:t>
      </w:r>
      <w:r w:rsidR="00D8689F">
        <w:t xml:space="preserve">. </w:t>
      </w:r>
      <w:r>
        <w:t>These studies support and strengthen the overall conclusion that cause and effect for paraquat exposure and Parkinson’s disease risk have not been convincingly demonstrated, a conclusion supported by the US EPA reviews (</w:t>
      </w:r>
      <w:r w:rsidRPr="00604BE6">
        <w:t>2019</w:t>
      </w:r>
      <w:r w:rsidR="003F6784">
        <w:t xml:space="preserve"> </w:t>
      </w:r>
      <w:r w:rsidR="00604BE6">
        <w:t>a,b,c</w:t>
      </w:r>
      <w:r>
        <w:t>).</w:t>
      </w:r>
    </w:p>
    <w:p w14:paraId="6E17F241" w14:textId="635CEA09" w:rsidR="002E779A" w:rsidRDefault="002E779A" w:rsidP="002E779A">
      <w:pPr>
        <w:pStyle w:val="NormalText"/>
      </w:pPr>
      <w:r>
        <w:t>The overall conclusions of this report, the 2016 APVMA review of paraquat neurotoxicology and the extensive US EPA (</w:t>
      </w:r>
      <w:r w:rsidRPr="00D90221">
        <w:t>2019</w:t>
      </w:r>
      <w:r w:rsidR="003F6784">
        <w:t xml:space="preserve"> </w:t>
      </w:r>
      <w:r w:rsidR="003C5F23" w:rsidRPr="00D90221">
        <w:t>a,</w:t>
      </w:r>
      <w:r w:rsidR="00D90221">
        <w:t>b,</w:t>
      </w:r>
      <w:r w:rsidR="00D90221" w:rsidRPr="00D90221">
        <w:t>c</w:t>
      </w:r>
      <w:r>
        <w:t>) reviews is that the evidence available to date does not convincingly demonstrate a direct causal association between exposure to paraquat occupationally and/or through residential exposure to pesticides used on nearby land, and an increased risk of developing Parkinson’s disease. As noted by the US EPA (</w:t>
      </w:r>
      <w:r w:rsidRPr="00604BE6">
        <w:t>2019</w:t>
      </w:r>
      <w:r w:rsidR="003F6784">
        <w:t xml:space="preserve"> </w:t>
      </w:r>
      <w:r w:rsidR="00D90221">
        <w:t>a,</w:t>
      </w:r>
      <w:r w:rsidR="00604BE6" w:rsidRPr="00604BE6">
        <w:t>c</w:t>
      </w:r>
      <w:r>
        <w:t>) although Parkinson’s disease-like effects are seen in some animals administered paraquat via injection, given the substantial differences in toxicokinetic behaviour from anticipated routes of exposure and parenteral dosing in animals, toxicity data reported for injection studies is of limited use to assessing human risk from pesticidal uses of paraquat.</w:t>
      </w:r>
    </w:p>
    <w:p w14:paraId="4A3A1650" w14:textId="36147BF1" w:rsidR="00A56D87" w:rsidRDefault="002E779A" w:rsidP="002E779A">
      <w:pPr>
        <w:pStyle w:val="NormalText"/>
      </w:pPr>
      <w:r>
        <w:t>The APVMA will continue to monitor for additional data and regulatory outcomes on paraquat. Any new data that becomes available to the APVMA will be reviewed and addressed as appropriate</w:t>
      </w:r>
      <w:r w:rsidR="00A56D87">
        <w:t>.</w:t>
      </w:r>
    </w:p>
    <w:p w14:paraId="16E59159" w14:textId="77777777" w:rsidR="00133AC3" w:rsidRPr="00D63217" w:rsidRDefault="00133AC3" w:rsidP="009C6C41">
      <w:pPr>
        <w:pStyle w:val="Heading4"/>
      </w:pPr>
      <w:r w:rsidRPr="00D63217">
        <w:t>Human studies</w:t>
      </w:r>
    </w:p>
    <w:p w14:paraId="0005CC51" w14:textId="77777777" w:rsidR="00133AC3" w:rsidRPr="00D63217" w:rsidRDefault="00133AC3" w:rsidP="007A49D1">
      <w:pPr>
        <w:pStyle w:val="Heading5"/>
      </w:pPr>
      <w:r w:rsidRPr="007A49D1">
        <w:t>Occupational</w:t>
      </w:r>
      <w:r w:rsidRPr="00D63217">
        <w:t xml:space="preserve"> exposure</w:t>
      </w:r>
    </w:p>
    <w:p w14:paraId="797BEFC0" w14:textId="372A1680" w:rsidR="00133AC3" w:rsidRPr="00D63217" w:rsidRDefault="00133AC3" w:rsidP="009C6C41">
      <w:pPr>
        <w:pStyle w:val="NormalText"/>
      </w:pPr>
      <w:r w:rsidRPr="00D63217">
        <w:t>Localised skin reactions and damage resulting for unintentional exposure have been reported in overseas workers, typically associated with poor work practices, including faulty equipment and/or the lack of suitable protective equipment.</w:t>
      </w:r>
    </w:p>
    <w:p w14:paraId="396DD8AA" w14:textId="14CE1254" w:rsidR="00BD45ED" w:rsidRDefault="00BD45ED" w:rsidP="00BD45ED">
      <w:pPr>
        <w:pStyle w:val="NormalText"/>
      </w:pPr>
      <w:r w:rsidRPr="00BD45ED">
        <w:t>Epidemiology studies have investigated a possible link between paraquat and an increased risk of developing Parkinson’s disease. Contemporary studies do not indicate a robust association between adverse health effects and exposure to pesticides. A retrospective worker cohort study did not indicate any evidence of an increased risk of Parkinson’s disease in paraquat production facilities, with moderate to high levels of exposure to paraquat</w:t>
      </w:r>
      <w:r>
        <w:t xml:space="preserve"> </w:t>
      </w:r>
      <w:r w:rsidRPr="008647BD">
        <w:t>(Tomenson &amp; Campbell</w:t>
      </w:r>
      <w:r>
        <w:t xml:space="preserve"> (</w:t>
      </w:r>
      <w:r w:rsidRPr="008647BD">
        <w:t>2021)</w:t>
      </w:r>
      <w:r>
        <w:t>)</w:t>
      </w:r>
      <w:r w:rsidRPr="00BD45ED">
        <w:t>. It is concluded that the available epidemiology data is insufficient to conclude any association between paraquat exposure and neurotoxicity (including Parkinson’s disease) in the occupational environment.</w:t>
      </w:r>
    </w:p>
    <w:p w14:paraId="60467DC6" w14:textId="27F2BCA1" w:rsidR="00133AC3" w:rsidRPr="00D63217" w:rsidRDefault="00133AC3" w:rsidP="007E6082">
      <w:pPr>
        <w:pStyle w:val="Heading5"/>
      </w:pPr>
      <w:r w:rsidRPr="00D63217">
        <w:t>Poisoning incidents</w:t>
      </w:r>
    </w:p>
    <w:p w14:paraId="0B53F18B" w14:textId="79E08518" w:rsidR="00133AC3" w:rsidRPr="00D63217" w:rsidRDefault="00134C23" w:rsidP="009C6C41">
      <w:pPr>
        <w:pStyle w:val="NormalText"/>
      </w:pPr>
      <w:r>
        <w:t>Direct</w:t>
      </w:r>
      <w:r w:rsidRPr="00D63217">
        <w:t xml:space="preserve"> </w:t>
      </w:r>
      <w:r w:rsidR="00133AC3" w:rsidRPr="00D63217">
        <w:t>ingestion of commercial paraquat products has resulted in a large number of human poisonings in many parts of the world. Limited data is available in Australia on paraquat poisonings, as these are generally classified under more generic categories (such as herbicide or weed killer). There are currently no effective antidotes or treatment regimes, and treatment is supportive, including gastric lavage, haemodialysis or haemoperfusion. A reliable indicator of the likelihood of survival following poisoning appears to be the dose, as well as how quickly treatment is initiated after exposure.</w:t>
      </w:r>
    </w:p>
    <w:p w14:paraId="7431F617" w14:textId="35ADEE27" w:rsidR="009C6C41" w:rsidRPr="00D63217" w:rsidRDefault="009C6C41" w:rsidP="009C6C41">
      <w:pPr>
        <w:pStyle w:val="Heading2"/>
      </w:pPr>
      <w:bookmarkStart w:id="112" w:name="_Toc46842354"/>
      <w:bookmarkStart w:id="113" w:name="_Toc50644748"/>
      <w:bookmarkStart w:id="114" w:name="_Toc157602750"/>
      <w:bookmarkStart w:id="115" w:name="_Toc231480835"/>
      <w:bookmarkStart w:id="116" w:name="_Toc233036387"/>
      <w:r w:rsidRPr="00D63217">
        <w:lastRenderedPageBreak/>
        <w:t>Health-based guidance values</w:t>
      </w:r>
      <w:bookmarkEnd w:id="112"/>
      <w:bookmarkEnd w:id="113"/>
      <w:bookmarkEnd w:id="114"/>
      <w:bookmarkEnd w:id="115"/>
      <w:bookmarkEnd w:id="116"/>
    </w:p>
    <w:p w14:paraId="105B1B75" w14:textId="55521E25" w:rsidR="004D7709" w:rsidRPr="00D63217" w:rsidRDefault="004D7709" w:rsidP="00025E45">
      <w:pPr>
        <w:pStyle w:val="NormalText"/>
      </w:pPr>
      <w:bookmarkStart w:id="117" w:name="_Ref158977490"/>
      <w:r w:rsidRPr="00D63217">
        <w:t>The p</w:t>
      </w:r>
      <w:bookmarkStart w:id="118" w:name="_Hlk168236744"/>
      <w:r w:rsidR="000D6804" w:rsidRPr="00D63217">
        <w:t>oints of departure established in the Human Health Risk Assessment</w:t>
      </w:r>
      <w:r w:rsidRPr="00D63217">
        <w:t xml:space="preserve"> (APVMA 2016 (a))</w:t>
      </w:r>
      <w:bookmarkEnd w:id="118"/>
      <w:r w:rsidRPr="00D63217">
        <w:t xml:space="preserve"> are detailed in Table 6.</w:t>
      </w:r>
    </w:p>
    <w:p w14:paraId="3BBAD428" w14:textId="2FB56656" w:rsidR="009C6C41" w:rsidRPr="00BC7F18" w:rsidRDefault="009C6C41" w:rsidP="00BC7F18">
      <w:pPr>
        <w:pStyle w:val="Caption"/>
      </w:pPr>
      <w:bookmarkStart w:id="119" w:name="_Toc230692272"/>
      <w:bookmarkStart w:id="120" w:name="_Toc233036493"/>
      <w:r w:rsidRPr="00BC7F18">
        <w:t xml:space="preserve">Table </w:t>
      </w:r>
      <w:fldSimple w:instr=" SEQ Table \* ARABIC ">
        <w:r w:rsidR="00BC7F18">
          <w:rPr>
            <w:noProof/>
          </w:rPr>
          <w:t>6</w:t>
        </w:r>
      </w:fldSimple>
      <w:r w:rsidRPr="00BC7F18">
        <w:t>: Points of Departure for Human Health Risk Assessment</w:t>
      </w:r>
      <w:bookmarkEnd w:id="117"/>
      <w:bookmarkEnd w:id="119"/>
      <w:bookmarkEnd w:id="120"/>
    </w:p>
    <w:tbl>
      <w:tblPr>
        <w:tblW w:w="9638" w:type="dxa"/>
        <w:jc w:val="center"/>
        <w:tblBorders>
          <w:bottom w:val="dotted" w:sz="2" w:space="0" w:color="auto"/>
          <w:insideH w:val="dotted" w:sz="2" w:space="0" w:color="auto"/>
        </w:tblBorders>
        <w:tblLook w:val="01E0" w:firstRow="1" w:lastRow="1" w:firstColumn="1" w:lastColumn="1" w:noHBand="0" w:noVBand="0"/>
      </w:tblPr>
      <w:tblGrid>
        <w:gridCol w:w="2137"/>
        <w:gridCol w:w="2224"/>
        <w:gridCol w:w="1932"/>
        <w:gridCol w:w="1842"/>
        <w:gridCol w:w="1503"/>
      </w:tblGrid>
      <w:tr w:rsidR="001E638F" w:rsidRPr="00D63217" w14:paraId="04777046" w14:textId="60EF2984" w:rsidTr="00FC1605">
        <w:trPr>
          <w:cantSplit/>
          <w:tblHeader/>
          <w:jc w:val="center"/>
        </w:trPr>
        <w:tc>
          <w:tcPr>
            <w:tcW w:w="4361" w:type="dxa"/>
            <w:gridSpan w:val="2"/>
            <w:tcBorders>
              <w:bottom w:val="single" w:sz="4" w:space="0" w:color="auto"/>
            </w:tcBorders>
            <w:shd w:val="clear" w:color="auto" w:fill="5C2946"/>
            <w:vAlign w:val="center"/>
          </w:tcPr>
          <w:p w14:paraId="3A639AC6" w14:textId="3F020597" w:rsidR="001E638F" w:rsidRPr="00D63217" w:rsidRDefault="001E638F" w:rsidP="00025E45">
            <w:pPr>
              <w:pStyle w:val="TableHead"/>
            </w:pPr>
            <w:r w:rsidRPr="00D63217">
              <w:t xml:space="preserve">Study </w:t>
            </w:r>
            <w:r w:rsidR="00025E45" w:rsidRPr="00D63217">
              <w:t>t</w:t>
            </w:r>
            <w:r w:rsidRPr="00D63217">
              <w:t>ype</w:t>
            </w:r>
          </w:p>
        </w:tc>
        <w:tc>
          <w:tcPr>
            <w:tcW w:w="1932" w:type="dxa"/>
            <w:tcBorders>
              <w:bottom w:val="single" w:sz="4" w:space="0" w:color="auto"/>
            </w:tcBorders>
            <w:shd w:val="clear" w:color="auto" w:fill="5C2946"/>
            <w:vAlign w:val="center"/>
          </w:tcPr>
          <w:p w14:paraId="1A357A05" w14:textId="4B9D4D45" w:rsidR="001E638F" w:rsidRPr="00D63217" w:rsidRDefault="001E638F" w:rsidP="00025E45">
            <w:pPr>
              <w:pStyle w:val="TableHead"/>
            </w:pPr>
            <w:r w:rsidRPr="00D63217">
              <w:t xml:space="preserve">Key </w:t>
            </w:r>
            <w:r w:rsidR="00025E45" w:rsidRPr="00D63217">
              <w:t>e</w:t>
            </w:r>
            <w:r w:rsidRPr="00D63217">
              <w:t>ffect</w:t>
            </w:r>
          </w:p>
        </w:tc>
        <w:tc>
          <w:tcPr>
            <w:tcW w:w="1842" w:type="dxa"/>
            <w:tcBorders>
              <w:bottom w:val="single" w:sz="4" w:space="0" w:color="auto"/>
            </w:tcBorders>
            <w:shd w:val="clear" w:color="auto" w:fill="5C2946"/>
            <w:vAlign w:val="center"/>
          </w:tcPr>
          <w:p w14:paraId="1096CE5D" w14:textId="6CAA1A9E" w:rsidR="001E638F" w:rsidRPr="00D63217" w:rsidRDefault="001E638F" w:rsidP="00025E45">
            <w:pPr>
              <w:pStyle w:val="TableHead"/>
            </w:pPr>
            <w:r w:rsidRPr="00D63217">
              <w:t xml:space="preserve">Point of </w:t>
            </w:r>
            <w:r w:rsidR="00025E45" w:rsidRPr="00D63217">
              <w:t>d</w:t>
            </w:r>
            <w:r w:rsidRPr="00D63217">
              <w:t>eparture</w:t>
            </w:r>
          </w:p>
        </w:tc>
        <w:tc>
          <w:tcPr>
            <w:tcW w:w="1503" w:type="dxa"/>
            <w:tcBorders>
              <w:bottom w:val="single" w:sz="4" w:space="0" w:color="auto"/>
            </w:tcBorders>
            <w:shd w:val="clear" w:color="auto" w:fill="5C2946"/>
          </w:tcPr>
          <w:p w14:paraId="52188AFD" w14:textId="71493F20" w:rsidR="001E638F" w:rsidRPr="00D63217" w:rsidRDefault="001E638F" w:rsidP="00025E45">
            <w:pPr>
              <w:pStyle w:val="TableHead"/>
            </w:pPr>
            <w:r w:rsidRPr="00D63217">
              <w:t>Reference</w:t>
            </w:r>
          </w:p>
        </w:tc>
      </w:tr>
      <w:tr w:rsidR="00570F41" w:rsidRPr="00D63217" w14:paraId="2324969A" w14:textId="1298E42E" w:rsidTr="00570F41">
        <w:trPr>
          <w:cantSplit/>
          <w:jc w:val="center"/>
        </w:trPr>
        <w:tc>
          <w:tcPr>
            <w:tcW w:w="9638" w:type="dxa"/>
            <w:gridSpan w:val="5"/>
            <w:tcBorders>
              <w:top w:val="single" w:sz="4" w:space="0" w:color="auto"/>
              <w:bottom w:val="single" w:sz="4" w:space="0" w:color="auto"/>
            </w:tcBorders>
            <w:vAlign w:val="center"/>
          </w:tcPr>
          <w:p w14:paraId="0E766B24" w14:textId="345B5A7C" w:rsidR="00570F41" w:rsidRPr="00D63217" w:rsidRDefault="00570F41" w:rsidP="00570F41">
            <w:pPr>
              <w:pStyle w:val="TableSubHead0"/>
            </w:pPr>
            <w:r w:rsidRPr="00D63217">
              <w:t>Repeat dose exposure</w:t>
            </w:r>
          </w:p>
        </w:tc>
      </w:tr>
      <w:tr w:rsidR="001E638F" w:rsidRPr="00D63217" w14:paraId="0BA23980" w14:textId="6FF900EB" w:rsidTr="00025E45">
        <w:trPr>
          <w:cantSplit/>
          <w:jc w:val="center"/>
        </w:trPr>
        <w:tc>
          <w:tcPr>
            <w:tcW w:w="2137" w:type="dxa"/>
            <w:vMerge w:val="restart"/>
            <w:tcBorders>
              <w:top w:val="single" w:sz="4" w:space="0" w:color="auto"/>
            </w:tcBorders>
          </w:tcPr>
          <w:p w14:paraId="4E262EFD" w14:textId="6DC0E596" w:rsidR="001E638F" w:rsidRPr="00D63217" w:rsidRDefault="001E638F" w:rsidP="00025E45">
            <w:pPr>
              <w:pStyle w:val="TableText"/>
            </w:pPr>
            <w:bookmarkStart w:id="121" w:name="_Hlk159332849"/>
            <w:r w:rsidRPr="00D63217">
              <w:t>Short term oral exposure</w:t>
            </w:r>
          </w:p>
        </w:tc>
        <w:tc>
          <w:tcPr>
            <w:tcW w:w="2224" w:type="dxa"/>
            <w:tcBorders>
              <w:top w:val="single" w:sz="4" w:space="0" w:color="auto"/>
              <w:bottom w:val="single" w:sz="4" w:space="0" w:color="auto"/>
            </w:tcBorders>
          </w:tcPr>
          <w:p w14:paraId="29E57927" w14:textId="77777777" w:rsidR="001E638F" w:rsidRPr="00D63217" w:rsidRDefault="001E638F" w:rsidP="00025E45">
            <w:pPr>
              <w:pStyle w:val="TableText"/>
            </w:pPr>
            <w:r w:rsidRPr="00D63217">
              <w:t>28 day oral (dietary) repeat dose; mouse)</w:t>
            </w:r>
          </w:p>
        </w:tc>
        <w:tc>
          <w:tcPr>
            <w:tcW w:w="1932" w:type="dxa"/>
            <w:tcBorders>
              <w:top w:val="single" w:sz="4" w:space="0" w:color="auto"/>
              <w:bottom w:val="single" w:sz="4" w:space="0" w:color="auto"/>
            </w:tcBorders>
          </w:tcPr>
          <w:p w14:paraId="63658D74" w14:textId="77777777" w:rsidR="001E638F" w:rsidRPr="00D63217" w:rsidRDefault="001E638F" w:rsidP="00025E45">
            <w:pPr>
              <w:pStyle w:val="TableText"/>
            </w:pPr>
            <w:r w:rsidRPr="00D63217">
              <w:t>Histopathological lung abnormalities (alveolar wall thickening, congestion and oedema</w:t>
            </w:r>
          </w:p>
        </w:tc>
        <w:tc>
          <w:tcPr>
            <w:tcW w:w="1842" w:type="dxa"/>
            <w:tcBorders>
              <w:top w:val="single" w:sz="4" w:space="0" w:color="auto"/>
              <w:bottom w:val="single" w:sz="4" w:space="0" w:color="auto"/>
            </w:tcBorders>
          </w:tcPr>
          <w:p w14:paraId="49F09580" w14:textId="77777777" w:rsidR="001E638F" w:rsidRPr="00D63217" w:rsidRDefault="001E638F" w:rsidP="00025E45">
            <w:pPr>
              <w:pStyle w:val="TableText"/>
            </w:pPr>
            <w:r w:rsidRPr="00D63217">
              <w:t>NOEL not established</w:t>
            </w:r>
          </w:p>
          <w:p w14:paraId="2DA41ABB" w14:textId="683B3EA7" w:rsidR="001E638F" w:rsidRPr="00D63217" w:rsidRDefault="001E638F" w:rsidP="00025E45">
            <w:pPr>
              <w:pStyle w:val="TableText"/>
            </w:pPr>
            <w:r w:rsidRPr="00D63217">
              <w:t xml:space="preserve">LOEL </w:t>
            </w:r>
            <w:r w:rsidR="00025E45" w:rsidRPr="00D63217">
              <w:t>15 </w:t>
            </w:r>
            <w:r w:rsidRPr="00D63217">
              <w:t>mg/</w:t>
            </w:r>
            <w:r w:rsidR="00025E45" w:rsidRPr="00D63217">
              <w:t>kg </w:t>
            </w:r>
            <w:r w:rsidRPr="00D63217">
              <w:t>bw/day</w:t>
            </w:r>
          </w:p>
        </w:tc>
        <w:tc>
          <w:tcPr>
            <w:tcW w:w="1503" w:type="dxa"/>
            <w:tcBorders>
              <w:top w:val="single" w:sz="4" w:space="0" w:color="auto"/>
              <w:bottom w:val="single" w:sz="4" w:space="0" w:color="auto"/>
            </w:tcBorders>
          </w:tcPr>
          <w:p w14:paraId="3EA52418" w14:textId="49964C9E" w:rsidR="001E638F" w:rsidRPr="00D63217" w:rsidRDefault="001E638F" w:rsidP="00025E45">
            <w:pPr>
              <w:pStyle w:val="TableText"/>
            </w:pPr>
            <w:r w:rsidRPr="00D63217">
              <w:t xml:space="preserve">Sotheran </w:t>
            </w:r>
            <w:r w:rsidRPr="00D63217">
              <w:rPr>
                <w:i/>
              </w:rPr>
              <w:t>et al</w:t>
            </w:r>
            <w:r w:rsidRPr="00D63217">
              <w:t xml:space="preserve"> (1979)</w:t>
            </w:r>
          </w:p>
        </w:tc>
      </w:tr>
      <w:tr w:rsidR="001E638F" w:rsidRPr="00D63217" w14:paraId="2EB8B28A" w14:textId="606675C6" w:rsidTr="00025E45">
        <w:trPr>
          <w:cantSplit/>
          <w:jc w:val="center"/>
        </w:trPr>
        <w:tc>
          <w:tcPr>
            <w:tcW w:w="2137" w:type="dxa"/>
            <w:vMerge/>
            <w:tcBorders>
              <w:bottom w:val="single" w:sz="4" w:space="0" w:color="auto"/>
            </w:tcBorders>
          </w:tcPr>
          <w:p w14:paraId="69849480" w14:textId="77777777" w:rsidR="001E638F" w:rsidRPr="00D63217" w:rsidRDefault="001E638F" w:rsidP="00025E45">
            <w:pPr>
              <w:pStyle w:val="TableText"/>
            </w:pPr>
          </w:p>
        </w:tc>
        <w:tc>
          <w:tcPr>
            <w:tcW w:w="2224" w:type="dxa"/>
            <w:tcBorders>
              <w:top w:val="single" w:sz="4" w:space="0" w:color="auto"/>
              <w:bottom w:val="single" w:sz="4" w:space="0" w:color="auto"/>
            </w:tcBorders>
          </w:tcPr>
          <w:p w14:paraId="1E41EAC3" w14:textId="77777777" w:rsidR="001E638F" w:rsidRPr="00D63217" w:rsidRDefault="001E638F" w:rsidP="00025E45">
            <w:pPr>
              <w:pStyle w:val="TableText"/>
            </w:pPr>
            <w:r w:rsidRPr="00D63217">
              <w:t>28 day oral (dietary) repeat dose; rat)</w:t>
            </w:r>
          </w:p>
        </w:tc>
        <w:tc>
          <w:tcPr>
            <w:tcW w:w="1932" w:type="dxa"/>
            <w:tcBorders>
              <w:top w:val="single" w:sz="4" w:space="0" w:color="auto"/>
              <w:bottom w:val="single" w:sz="4" w:space="0" w:color="auto"/>
            </w:tcBorders>
          </w:tcPr>
          <w:p w14:paraId="61D802C5" w14:textId="77777777" w:rsidR="001E638F" w:rsidRPr="00D63217" w:rsidRDefault="001E638F" w:rsidP="00025E45">
            <w:pPr>
              <w:pStyle w:val="TableText"/>
            </w:pPr>
            <w:r w:rsidRPr="00D63217">
              <w:t>Decrease body weight gain, decreased food consumption, histopathological lung abnormalities (alveolar wall thickening, congestion and oedema</w:t>
            </w:r>
          </w:p>
        </w:tc>
        <w:tc>
          <w:tcPr>
            <w:tcW w:w="1842" w:type="dxa"/>
            <w:tcBorders>
              <w:top w:val="single" w:sz="4" w:space="0" w:color="auto"/>
              <w:bottom w:val="single" w:sz="4" w:space="0" w:color="auto"/>
            </w:tcBorders>
          </w:tcPr>
          <w:p w14:paraId="36EF27CB" w14:textId="0E24DF45" w:rsidR="001E638F" w:rsidRPr="00D63217" w:rsidRDefault="001E638F" w:rsidP="00025E45">
            <w:pPr>
              <w:pStyle w:val="TableText"/>
            </w:pPr>
            <w:r w:rsidRPr="00D63217">
              <w:t xml:space="preserve">NOEL </w:t>
            </w:r>
            <w:r w:rsidR="003B60F4" w:rsidRPr="00D63217">
              <w:t xml:space="preserve">– </w:t>
            </w:r>
            <w:r w:rsidR="003B60F4" w:rsidRPr="00D63217">
              <w:br/>
            </w:r>
            <w:r w:rsidRPr="00D63217">
              <w:t>not established</w:t>
            </w:r>
          </w:p>
          <w:p w14:paraId="0FD663A0" w14:textId="577F6A88" w:rsidR="001E638F" w:rsidRPr="00D63217" w:rsidRDefault="001E638F" w:rsidP="00025E45">
            <w:pPr>
              <w:pStyle w:val="TableText"/>
            </w:pPr>
            <w:r w:rsidRPr="00D63217">
              <w:t xml:space="preserve">LOEL </w:t>
            </w:r>
            <w:r w:rsidR="003B60F4" w:rsidRPr="00D63217">
              <w:t>–</w:t>
            </w:r>
            <w:r w:rsidR="00025E45" w:rsidRPr="00D63217">
              <w:t>15 </w:t>
            </w:r>
            <w:r w:rsidRPr="00D63217">
              <w:t>mg/</w:t>
            </w:r>
            <w:r w:rsidR="00025E45" w:rsidRPr="00D63217">
              <w:t>kg </w:t>
            </w:r>
            <w:r w:rsidRPr="00D63217">
              <w:t>bw/day</w:t>
            </w:r>
          </w:p>
        </w:tc>
        <w:tc>
          <w:tcPr>
            <w:tcW w:w="1503" w:type="dxa"/>
            <w:tcBorders>
              <w:top w:val="single" w:sz="4" w:space="0" w:color="auto"/>
              <w:bottom w:val="single" w:sz="4" w:space="0" w:color="auto"/>
            </w:tcBorders>
          </w:tcPr>
          <w:p w14:paraId="55C10A97" w14:textId="501B0DA4" w:rsidR="001E638F" w:rsidRPr="00D63217" w:rsidRDefault="001E638F" w:rsidP="00025E45">
            <w:pPr>
              <w:pStyle w:val="TableText"/>
            </w:pPr>
            <w:r w:rsidRPr="00D63217">
              <w:t xml:space="preserve">Hodge </w:t>
            </w:r>
            <w:r w:rsidRPr="00D63217">
              <w:rPr>
                <w:i/>
              </w:rPr>
              <w:t>et al</w:t>
            </w:r>
            <w:r w:rsidRPr="00D63217">
              <w:t xml:space="preserve"> (1980)</w:t>
            </w:r>
          </w:p>
        </w:tc>
      </w:tr>
      <w:tr w:rsidR="001E638F" w:rsidRPr="00D63217" w14:paraId="6DFA2837" w14:textId="69C01EA4" w:rsidTr="00025E45">
        <w:trPr>
          <w:cantSplit/>
          <w:jc w:val="center"/>
        </w:trPr>
        <w:tc>
          <w:tcPr>
            <w:tcW w:w="2137" w:type="dxa"/>
            <w:vMerge w:val="restart"/>
            <w:tcBorders>
              <w:top w:val="single" w:sz="4" w:space="0" w:color="auto"/>
            </w:tcBorders>
          </w:tcPr>
          <w:p w14:paraId="46626B74" w14:textId="64AB81C9" w:rsidR="001E638F" w:rsidRPr="00D63217" w:rsidRDefault="001E638F" w:rsidP="00025E45">
            <w:pPr>
              <w:pStyle w:val="TableText"/>
            </w:pPr>
            <w:r w:rsidRPr="00D63217">
              <w:t>Intermediate term oral exposure</w:t>
            </w:r>
          </w:p>
        </w:tc>
        <w:tc>
          <w:tcPr>
            <w:tcW w:w="2224" w:type="dxa"/>
            <w:tcBorders>
              <w:top w:val="single" w:sz="4" w:space="0" w:color="auto"/>
              <w:bottom w:val="single" w:sz="4" w:space="0" w:color="auto"/>
            </w:tcBorders>
          </w:tcPr>
          <w:p w14:paraId="48C10866" w14:textId="77777777" w:rsidR="001E638F" w:rsidRPr="00D63217" w:rsidRDefault="001E638F" w:rsidP="00025E45">
            <w:pPr>
              <w:pStyle w:val="TableText"/>
            </w:pPr>
            <w:r w:rsidRPr="00D63217">
              <w:t>13 week dietary repeat dose, mouse</w:t>
            </w:r>
          </w:p>
        </w:tc>
        <w:tc>
          <w:tcPr>
            <w:tcW w:w="1932" w:type="dxa"/>
            <w:tcBorders>
              <w:top w:val="single" w:sz="4" w:space="0" w:color="auto"/>
              <w:bottom w:val="single" w:sz="4" w:space="0" w:color="auto"/>
            </w:tcBorders>
          </w:tcPr>
          <w:p w14:paraId="306C00EE" w14:textId="77777777" w:rsidR="001E638F" w:rsidRPr="00D63217" w:rsidRDefault="001E638F" w:rsidP="00025E45">
            <w:pPr>
              <w:pStyle w:val="TableText"/>
            </w:pPr>
            <w:r w:rsidRPr="00D63217">
              <w:t xml:space="preserve">Macroscopic and histopathological lung abnormalities, </w:t>
            </w:r>
          </w:p>
        </w:tc>
        <w:tc>
          <w:tcPr>
            <w:tcW w:w="1842" w:type="dxa"/>
            <w:tcBorders>
              <w:top w:val="single" w:sz="4" w:space="0" w:color="auto"/>
              <w:bottom w:val="single" w:sz="4" w:space="0" w:color="auto"/>
            </w:tcBorders>
          </w:tcPr>
          <w:p w14:paraId="3A6C7610" w14:textId="25EF75F9" w:rsidR="001E638F" w:rsidRPr="00D63217" w:rsidRDefault="001E638F" w:rsidP="00025E45">
            <w:pPr>
              <w:pStyle w:val="TableText"/>
            </w:pPr>
            <w:r w:rsidRPr="00D63217">
              <w:t>NOEL – 11.</w:t>
            </w:r>
            <w:r w:rsidR="00025E45" w:rsidRPr="00D63217">
              <w:t>5 </w:t>
            </w:r>
            <w:r w:rsidRPr="00D63217">
              <w:t>mg/</w:t>
            </w:r>
            <w:r w:rsidR="00025E45" w:rsidRPr="00D63217">
              <w:t>kg </w:t>
            </w:r>
            <w:r w:rsidRPr="00D63217">
              <w:t>bw/day (males</w:t>
            </w:r>
            <w:r w:rsidR="00653723" w:rsidRPr="00D63217">
              <w:t>)</w:t>
            </w:r>
          </w:p>
        </w:tc>
        <w:tc>
          <w:tcPr>
            <w:tcW w:w="1503" w:type="dxa"/>
            <w:tcBorders>
              <w:top w:val="single" w:sz="4" w:space="0" w:color="auto"/>
              <w:bottom w:val="single" w:sz="4" w:space="0" w:color="auto"/>
            </w:tcBorders>
          </w:tcPr>
          <w:p w14:paraId="0A6466FA" w14:textId="6F78F74D" w:rsidR="001E638F" w:rsidRPr="00D63217" w:rsidRDefault="001E638F" w:rsidP="00025E45">
            <w:pPr>
              <w:pStyle w:val="TableText"/>
            </w:pPr>
            <w:r w:rsidRPr="00D63217">
              <w:t>Maita &amp; Saito (1980)</w:t>
            </w:r>
          </w:p>
        </w:tc>
      </w:tr>
      <w:tr w:rsidR="001E638F" w:rsidRPr="00D63217" w14:paraId="4AB8FE5A" w14:textId="48CF3FCA" w:rsidTr="00025E45">
        <w:trPr>
          <w:cantSplit/>
          <w:jc w:val="center"/>
        </w:trPr>
        <w:tc>
          <w:tcPr>
            <w:tcW w:w="2137" w:type="dxa"/>
            <w:vMerge/>
          </w:tcPr>
          <w:p w14:paraId="30E5AF1B" w14:textId="77777777" w:rsidR="001E638F" w:rsidRPr="00D63217" w:rsidRDefault="001E638F" w:rsidP="00025E45">
            <w:pPr>
              <w:pStyle w:val="TableText"/>
            </w:pPr>
          </w:p>
        </w:tc>
        <w:tc>
          <w:tcPr>
            <w:tcW w:w="2224" w:type="dxa"/>
            <w:tcBorders>
              <w:top w:val="single" w:sz="4" w:space="0" w:color="auto"/>
              <w:bottom w:val="single" w:sz="4" w:space="0" w:color="auto"/>
            </w:tcBorders>
          </w:tcPr>
          <w:p w14:paraId="767B72A6" w14:textId="13F68CD8" w:rsidR="001E638F" w:rsidRPr="00D63217" w:rsidRDefault="001E638F" w:rsidP="00025E45">
            <w:pPr>
              <w:pStyle w:val="TableText"/>
            </w:pPr>
            <w:r w:rsidRPr="00D63217">
              <w:t xml:space="preserve">13 week dietary repeat </w:t>
            </w:r>
            <w:r w:rsidR="005F22A6" w:rsidRPr="00D63217">
              <w:t>dose, rat</w:t>
            </w:r>
            <w:r w:rsidRPr="00D63217">
              <w:t xml:space="preserve"> (adult)</w:t>
            </w:r>
          </w:p>
        </w:tc>
        <w:tc>
          <w:tcPr>
            <w:tcW w:w="1932" w:type="dxa"/>
            <w:tcBorders>
              <w:top w:val="single" w:sz="4" w:space="0" w:color="auto"/>
              <w:bottom w:val="single" w:sz="4" w:space="0" w:color="auto"/>
            </w:tcBorders>
          </w:tcPr>
          <w:p w14:paraId="78EA5452" w14:textId="4E1ED482" w:rsidR="001E638F" w:rsidRPr="00D63217" w:rsidRDefault="001E638F" w:rsidP="00025E45">
            <w:pPr>
              <w:pStyle w:val="TableText"/>
            </w:pPr>
            <w:r w:rsidRPr="00D63217">
              <w:t xml:space="preserve">Lung abnormalities (alveolar epithelial hypertrophy in males) and splenic </w:t>
            </w:r>
            <w:r w:rsidR="003F6784" w:rsidRPr="00D63217">
              <w:t>abnormalities</w:t>
            </w:r>
            <w:r w:rsidRPr="00D63217">
              <w:t xml:space="preserve"> (in females</w:t>
            </w:r>
            <w:r w:rsidR="003F6784">
              <w:t>)</w:t>
            </w:r>
          </w:p>
        </w:tc>
        <w:tc>
          <w:tcPr>
            <w:tcW w:w="1842" w:type="dxa"/>
            <w:tcBorders>
              <w:top w:val="single" w:sz="4" w:space="0" w:color="auto"/>
              <w:bottom w:val="single" w:sz="4" w:space="0" w:color="auto"/>
            </w:tcBorders>
          </w:tcPr>
          <w:p w14:paraId="4DD6F670" w14:textId="21547216" w:rsidR="001E638F" w:rsidRPr="00D63217" w:rsidRDefault="001E638F" w:rsidP="00025E45">
            <w:pPr>
              <w:pStyle w:val="TableText"/>
            </w:pPr>
            <w:r w:rsidRPr="00D63217">
              <w:t>NOEL</w:t>
            </w:r>
            <w:r w:rsidR="000D6B69" w:rsidRPr="00D63217">
              <w:t xml:space="preserve"> –</w:t>
            </w:r>
            <w:r w:rsidRPr="00D63217">
              <w:t xml:space="preserve"> 6.6</w:t>
            </w:r>
            <w:r w:rsidR="000D6B69" w:rsidRPr="00D63217">
              <w:t> </w:t>
            </w:r>
            <w:r w:rsidRPr="00D63217">
              <w:t>mg/kg</w:t>
            </w:r>
            <w:r w:rsidR="000D6B69" w:rsidRPr="00D63217">
              <w:t> </w:t>
            </w:r>
            <w:r w:rsidRPr="00D63217">
              <w:t>bw/day (males)</w:t>
            </w:r>
          </w:p>
        </w:tc>
        <w:tc>
          <w:tcPr>
            <w:tcW w:w="1503" w:type="dxa"/>
            <w:tcBorders>
              <w:top w:val="single" w:sz="4" w:space="0" w:color="auto"/>
              <w:bottom w:val="single" w:sz="4" w:space="0" w:color="auto"/>
            </w:tcBorders>
          </w:tcPr>
          <w:p w14:paraId="51CF0059" w14:textId="36F927CB" w:rsidR="001E638F" w:rsidRPr="00D63217" w:rsidRDefault="001E638F" w:rsidP="00025E45">
            <w:pPr>
              <w:pStyle w:val="TableText"/>
            </w:pPr>
            <w:r w:rsidRPr="00D63217">
              <w:t xml:space="preserve">Maita </w:t>
            </w:r>
            <w:r w:rsidRPr="00D63217">
              <w:rPr>
                <w:i/>
              </w:rPr>
              <w:t>et al</w:t>
            </w:r>
            <w:r w:rsidRPr="00D63217">
              <w:t xml:space="preserve"> (1980)</w:t>
            </w:r>
          </w:p>
        </w:tc>
      </w:tr>
      <w:tr w:rsidR="001E638F" w:rsidRPr="00D63217" w14:paraId="563101B3" w14:textId="0D4D399E" w:rsidTr="00025E45">
        <w:trPr>
          <w:cantSplit/>
          <w:jc w:val="center"/>
        </w:trPr>
        <w:tc>
          <w:tcPr>
            <w:tcW w:w="2137" w:type="dxa"/>
            <w:vMerge/>
            <w:tcBorders>
              <w:bottom w:val="single" w:sz="4" w:space="0" w:color="auto"/>
            </w:tcBorders>
          </w:tcPr>
          <w:p w14:paraId="3602B077" w14:textId="77777777" w:rsidR="001E638F" w:rsidRPr="00D63217" w:rsidRDefault="001E638F" w:rsidP="00025E45">
            <w:pPr>
              <w:pStyle w:val="TableText"/>
            </w:pPr>
          </w:p>
        </w:tc>
        <w:tc>
          <w:tcPr>
            <w:tcW w:w="2224" w:type="dxa"/>
            <w:tcBorders>
              <w:top w:val="single" w:sz="4" w:space="0" w:color="auto"/>
              <w:bottom w:val="single" w:sz="4" w:space="0" w:color="auto"/>
            </w:tcBorders>
          </w:tcPr>
          <w:p w14:paraId="2038A30B" w14:textId="77777777" w:rsidR="001E638F" w:rsidRPr="00D63217" w:rsidRDefault="001E638F" w:rsidP="00025E45">
            <w:pPr>
              <w:pStyle w:val="TableText"/>
            </w:pPr>
            <w:r w:rsidRPr="00D63217">
              <w:t>13 week dietary repeat dose, dog</w:t>
            </w:r>
          </w:p>
        </w:tc>
        <w:tc>
          <w:tcPr>
            <w:tcW w:w="1932" w:type="dxa"/>
            <w:tcBorders>
              <w:top w:val="single" w:sz="4" w:space="0" w:color="auto"/>
              <w:bottom w:val="single" w:sz="4" w:space="0" w:color="auto"/>
            </w:tcBorders>
          </w:tcPr>
          <w:p w14:paraId="37D3A05C" w14:textId="77777777" w:rsidR="001E638F" w:rsidRPr="00D63217" w:rsidRDefault="001E638F" w:rsidP="00025E45">
            <w:pPr>
              <w:pStyle w:val="TableText"/>
            </w:pPr>
            <w:r w:rsidRPr="00D63217">
              <w:t>Macroscopic lung lesions and histopathological signs of alveolitis</w:t>
            </w:r>
          </w:p>
        </w:tc>
        <w:tc>
          <w:tcPr>
            <w:tcW w:w="1842" w:type="dxa"/>
            <w:tcBorders>
              <w:top w:val="single" w:sz="4" w:space="0" w:color="auto"/>
              <w:bottom w:val="single" w:sz="4" w:space="0" w:color="auto"/>
            </w:tcBorders>
          </w:tcPr>
          <w:p w14:paraId="4CBBA836" w14:textId="2387312F" w:rsidR="001E638F" w:rsidRPr="00D63217" w:rsidRDefault="001E638F" w:rsidP="00025E45">
            <w:pPr>
              <w:pStyle w:val="TableText"/>
            </w:pPr>
            <w:r w:rsidRPr="00D63217">
              <w:t>NOEL – 0.</w:t>
            </w:r>
            <w:r w:rsidR="00025E45" w:rsidRPr="00D63217">
              <w:t>5 </w:t>
            </w:r>
            <w:r w:rsidRPr="00D63217">
              <w:t>mg/</w:t>
            </w:r>
            <w:r w:rsidR="00025E45" w:rsidRPr="00D63217">
              <w:t>kg </w:t>
            </w:r>
            <w:r w:rsidRPr="00D63217">
              <w:t>bw/day</w:t>
            </w:r>
          </w:p>
        </w:tc>
        <w:tc>
          <w:tcPr>
            <w:tcW w:w="1503" w:type="dxa"/>
            <w:tcBorders>
              <w:top w:val="single" w:sz="4" w:space="0" w:color="auto"/>
              <w:bottom w:val="single" w:sz="4" w:space="0" w:color="auto"/>
            </w:tcBorders>
          </w:tcPr>
          <w:p w14:paraId="66A8095C" w14:textId="214F34AE" w:rsidR="001E638F" w:rsidRPr="00D63217" w:rsidRDefault="001E638F" w:rsidP="00025E45">
            <w:pPr>
              <w:pStyle w:val="TableText"/>
            </w:pPr>
            <w:r w:rsidRPr="00D63217">
              <w:t>Sheppard (1981</w:t>
            </w:r>
            <w:r w:rsidR="00143F5A" w:rsidRPr="00D63217">
              <w:t>(</w:t>
            </w:r>
            <w:r w:rsidRPr="00D63217">
              <w:t>b</w:t>
            </w:r>
            <w:r w:rsidR="00143F5A" w:rsidRPr="00D63217">
              <w:t>)</w:t>
            </w:r>
            <w:r w:rsidRPr="00D63217">
              <w:t>)</w:t>
            </w:r>
          </w:p>
        </w:tc>
      </w:tr>
      <w:tr w:rsidR="001E638F" w:rsidRPr="00D63217" w14:paraId="7E6151C4" w14:textId="577BF9A5" w:rsidTr="00025E45">
        <w:trPr>
          <w:cantSplit/>
          <w:jc w:val="center"/>
        </w:trPr>
        <w:tc>
          <w:tcPr>
            <w:tcW w:w="2137" w:type="dxa"/>
            <w:vMerge/>
            <w:tcBorders>
              <w:bottom w:val="single" w:sz="4" w:space="0" w:color="auto"/>
            </w:tcBorders>
          </w:tcPr>
          <w:p w14:paraId="311B00F3" w14:textId="77777777" w:rsidR="001E638F" w:rsidRPr="00D63217" w:rsidRDefault="001E638F" w:rsidP="00025E45">
            <w:pPr>
              <w:pStyle w:val="TableText"/>
            </w:pPr>
          </w:p>
        </w:tc>
        <w:tc>
          <w:tcPr>
            <w:tcW w:w="2224" w:type="dxa"/>
            <w:tcBorders>
              <w:top w:val="single" w:sz="4" w:space="0" w:color="auto"/>
              <w:bottom w:val="single" w:sz="4" w:space="0" w:color="auto"/>
            </w:tcBorders>
          </w:tcPr>
          <w:p w14:paraId="74004AB5" w14:textId="77777777" w:rsidR="001E638F" w:rsidRPr="00D63217" w:rsidRDefault="001E638F" w:rsidP="00025E45">
            <w:pPr>
              <w:pStyle w:val="TableText"/>
            </w:pPr>
            <w:r w:rsidRPr="00D63217">
              <w:t>1 year dietary repeat dose, dog</w:t>
            </w:r>
          </w:p>
        </w:tc>
        <w:tc>
          <w:tcPr>
            <w:tcW w:w="1932" w:type="dxa"/>
            <w:tcBorders>
              <w:top w:val="single" w:sz="4" w:space="0" w:color="auto"/>
              <w:bottom w:val="single" w:sz="4" w:space="0" w:color="auto"/>
            </w:tcBorders>
          </w:tcPr>
          <w:p w14:paraId="4A3EF930" w14:textId="0FCB6788" w:rsidR="001E638F" w:rsidRPr="00D63217" w:rsidRDefault="001E638F" w:rsidP="00025E45">
            <w:pPr>
              <w:pStyle w:val="TableText"/>
            </w:pPr>
            <w:r w:rsidRPr="00D63217">
              <w:t>Pulmonary lesions associated with chronic pneumonitis</w:t>
            </w:r>
          </w:p>
        </w:tc>
        <w:tc>
          <w:tcPr>
            <w:tcW w:w="1842" w:type="dxa"/>
            <w:tcBorders>
              <w:top w:val="single" w:sz="4" w:space="0" w:color="auto"/>
              <w:bottom w:val="single" w:sz="4" w:space="0" w:color="auto"/>
            </w:tcBorders>
          </w:tcPr>
          <w:p w14:paraId="6CEA94F4" w14:textId="1A182116" w:rsidR="001E638F" w:rsidRPr="00D63217" w:rsidRDefault="001E638F" w:rsidP="00025E45">
            <w:pPr>
              <w:pStyle w:val="TableText"/>
            </w:pPr>
            <w:r w:rsidRPr="00D63217">
              <w:t>NOEL – 0.</w:t>
            </w:r>
            <w:r w:rsidR="00025E45" w:rsidRPr="00D63217">
              <w:t>45 </w:t>
            </w:r>
            <w:r w:rsidRPr="00D63217">
              <w:t>mg/</w:t>
            </w:r>
            <w:r w:rsidR="00025E45" w:rsidRPr="00D63217">
              <w:t>kg </w:t>
            </w:r>
            <w:r w:rsidRPr="00D63217">
              <w:t>bw/day</w:t>
            </w:r>
          </w:p>
        </w:tc>
        <w:tc>
          <w:tcPr>
            <w:tcW w:w="1503" w:type="dxa"/>
            <w:tcBorders>
              <w:top w:val="single" w:sz="4" w:space="0" w:color="auto"/>
              <w:bottom w:val="single" w:sz="4" w:space="0" w:color="auto"/>
            </w:tcBorders>
          </w:tcPr>
          <w:p w14:paraId="4A250602" w14:textId="78E3B91E" w:rsidR="001E638F" w:rsidRPr="00D63217" w:rsidRDefault="001E638F" w:rsidP="00025E45">
            <w:pPr>
              <w:pStyle w:val="TableText"/>
            </w:pPr>
            <w:r w:rsidRPr="00D63217">
              <w:t xml:space="preserve">Kalinowski </w:t>
            </w:r>
            <w:r w:rsidRPr="00D63217">
              <w:rPr>
                <w:i/>
              </w:rPr>
              <w:t>et al</w:t>
            </w:r>
            <w:r w:rsidRPr="00D63217">
              <w:t xml:space="preserve"> </w:t>
            </w:r>
            <w:r w:rsidR="003F6784">
              <w:t>(</w:t>
            </w:r>
            <w:r w:rsidRPr="00D63217">
              <w:t>1983</w:t>
            </w:r>
            <w:r w:rsidR="00143F5A" w:rsidRPr="00D63217">
              <w:t>(</w:t>
            </w:r>
            <w:r w:rsidRPr="00D63217">
              <w:t>a</w:t>
            </w:r>
            <w:r w:rsidR="00E13BA9" w:rsidRPr="00D63217">
              <w:t>, b</w:t>
            </w:r>
            <w:r w:rsidR="00143F5A" w:rsidRPr="00D63217">
              <w:t>)</w:t>
            </w:r>
            <w:r w:rsidR="003F6784">
              <w:t>)</w:t>
            </w:r>
          </w:p>
        </w:tc>
      </w:tr>
      <w:tr w:rsidR="001E638F" w:rsidRPr="00D63217" w14:paraId="30E2B864" w14:textId="0964571E" w:rsidTr="00025E45">
        <w:trPr>
          <w:cantSplit/>
          <w:jc w:val="center"/>
        </w:trPr>
        <w:tc>
          <w:tcPr>
            <w:tcW w:w="2137" w:type="dxa"/>
            <w:tcBorders>
              <w:top w:val="single" w:sz="4" w:space="0" w:color="auto"/>
              <w:bottom w:val="single" w:sz="4" w:space="0" w:color="auto"/>
            </w:tcBorders>
          </w:tcPr>
          <w:p w14:paraId="768AD997" w14:textId="77777777" w:rsidR="001E638F" w:rsidRPr="00D63217" w:rsidRDefault="001E638F" w:rsidP="00025E45">
            <w:pPr>
              <w:pStyle w:val="TableText"/>
            </w:pPr>
            <w:r w:rsidRPr="00D63217">
              <w:lastRenderedPageBreak/>
              <w:t>Long term oral exposure</w:t>
            </w:r>
          </w:p>
        </w:tc>
        <w:tc>
          <w:tcPr>
            <w:tcW w:w="2224" w:type="dxa"/>
            <w:tcBorders>
              <w:top w:val="single" w:sz="4" w:space="0" w:color="auto"/>
              <w:bottom w:val="single" w:sz="4" w:space="0" w:color="auto"/>
            </w:tcBorders>
          </w:tcPr>
          <w:p w14:paraId="47CA6CC4" w14:textId="77777777" w:rsidR="001E638F" w:rsidRPr="00D63217" w:rsidRDefault="001E638F" w:rsidP="00025E45">
            <w:pPr>
              <w:pStyle w:val="TableText"/>
            </w:pPr>
            <w:r w:rsidRPr="00D63217">
              <w:t>2 year oral (dietary repeat dose; rat (adult)</w:t>
            </w:r>
          </w:p>
        </w:tc>
        <w:tc>
          <w:tcPr>
            <w:tcW w:w="1932" w:type="dxa"/>
            <w:tcBorders>
              <w:top w:val="single" w:sz="4" w:space="0" w:color="auto"/>
              <w:bottom w:val="single" w:sz="4" w:space="0" w:color="auto"/>
            </w:tcBorders>
          </w:tcPr>
          <w:p w14:paraId="3BBB7F3C" w14:textId="7EF5B996" w:rsidR="001E638F" w:rsidRPr="00D63217" w:rsidRDefault="001E638F" w:rsidP="00025E45">
            <w:pPr>
              <w:pStyle w:val="TableText"/>
            </w:pPr>
            <w:r w:rsidRPr="00D63217">
              <w:t>Ocular lesions</w:t>
            </w:r>
          </w:p>
        </w:tc>
        <w:tc>
          <w:tcPr>
            <w:tcW w:w="1842" w:type="dxa"/>
            <w:tcBorders>
              <w:top w:val="single" w:sz="4" w:space="0" w:color="auto"/>
              <w:bottom w:val="single" w:sz="4" w:space="0" w:color="auto"/>
            </w:tcBorders>
          </w:tcPr>
          <w:p w14:paraId="230CE715" w14:textId="77777777" w:rsidR="001E638F" w:rsidRPr="00D63217" w:rsidRDefault="001E638F" w:rsidP="00025E45">
            <w:pPr>
              <w:pStyle w:val="TableText"/>
            </w:pPr>
            <w:r w:rsidRPr="00D63217">
              <w:t>NOEL – not established</w:t>
            </w:r>
          </w:p>
          <w:p w14:paraId="4109D2A4" w14:textId="2DD77A1B" w:rsidR="001E638F" w:rsidRPr="00D63217" w:rsidRDefault="001E638F" w:rsidP="00025E45">
            <w:pPr>
              <w:pStyle w:val="TableText"/>
            </w:pPr>
            <w:r w:rsidRPr="00D63217">
              <w:t>LOEL – 1.</w:t>
            </w:r>
            <w:r w:rsidR="00025E45" w:rsidRPr="00D63217">
              <w:t>25 </w:t>
            </w:r>
            <w:r w:rsidRPr="00D63217">
              <w:t>mg/</w:t>
            </w:r>
            <w:r w:rsidR="00025E45" w:rsidRPr="00D63217">
              <w:t>kg </w:t>
            </w:r>
            <w:r w:rsidRPr="00D63217">
              <w:t>bw/day</w:t>
            </w:r>
          </w:p>
        </w:tc>
        <w:tc>
          <w:tcPr>
            <w:tcW w:w="1503" w:type="dxa"/>
            <w:tcBorders>
              <w:top w:val="single" w:sz="4" w:space="0" w:color="auto"/>
              <w:bottom w:val="single" w:sz="4" w:space="0" w:color="auto"/>
            </w:tcBorders>
          </w:tcPr>
          <w:p w14:paraId="696ECBF3" w14:textId="2F2BC3D0" w:rsidR="001E638F" w:rsidRPr="00D63217" w:rsidRDefault="001E638F" w:rsidP="00025E45">
            <w:pPr>
              <w:pStyle w:val="TableText"/>
            </w:pPr>
            <w:r w:rsidRPr="00D63217">
              <w:t>Woolsgrove, 1983; Ashby &amp; Finn, 1983; Ishmael &amp; Godley, 1983; Brown &amp; Whitney, 1984; Woolsgrove &amp; Ashby, 1985; Life Sci Res Inst, 1984; Ishmael, 1987</w:t>
            </w:r>
          </w:p>
        </w:tc>
      </w:tr>
      <w:tr w:rsidR="00570F41" w:rsidRPr="00D63217" w14:paraId="6E27E5A3" w14:textId="6F6B9FA8" w:rsidTr="00570F41">
        <w:trPr>
          <w:cantSplit/>
          <w:jc w:val="center"/>
        </w:trPr>
        <w:tc>
          <w:tcPr>
            <w:tcW w:w="9638" w:type="dxa"/>
            <w:gridSpan w:val="5"/>
            <w:tcBorders>
              <w:top w:val="single" w:sz="4" w:space="0" w:color="auto"/>
              <w:bottom w:val="single" w:sz="4" w:space="0" w:color="auto"/>
            </w:tcBorders>
            <w:vAlign w:val="center"/>
          </w:tcPr>
          <w:p w14:paraId="0ED8D3B0" w14:textId="262016C3" w:rsidR="00570F41" w:rsidRPr="00D63217" w:rsidRDefault="00570F41" w:rsidP="00570F41">
            <w:pPr>
              <w:pStyle w:val="TableSubHead0"/>
            </w:pPr>
            <w:r w:rsidRPr="00D63217">
              <w:t>Reproduction and development</w:t>
            </w:r>
          </w:p>
        </w:tc>
      </w:tr>
      <w:tr w:rsidR="001E638F" w:rsidRPr="00D63217" w14:paraId="666016E6" w14:textId="2F3DD0E5" w:rsidTr="00570F41">
        <w:trPr>
          <w:cantSplit/>
          <w:jc w:val="center"/>
        </w:trPr>
        <w:tc>
          <w:tcPr>
            <w:tcW w:w="2137" w:type="dxa"/>
            <w:tcBorders>
              <w:top w:val="single" w:sz="4" w:space="0" w:color="auto"/>
              <w:bottom w:val="single" w:sz="4" w:space="0" w:color="auto"/>
            </w:tcBorders>
          </w:tcPr>
          <w:p w14:paraId="0BA191E8" w14:textId="77777777" w:rsidR="001E638F" w:rsidRPr="00D63217" w:rsidRDefault="001E638F" w:rsidP="00570F41">
            <w:pPr>
              <w:pStyle w:val="TableText"/>
            </w:pPr>
            <w:r w:rsidRPr="00D63217">
              <w:t>Reproduction</w:t>
            </w:r>
          </w:p>
        </w:tc>
        <w:tc>
          <w:tcPr>
            <w:tcW w:w="2224" w:type="dxa"/>
            <w:tcBorders>
              <w:top w:val="single" w:sz="4" w:space="0" w:color="auto"/>
              <w:bottom w:val="single" w:sz="4" w:space="0" w:color="auto"/>
            </w:tcBorders>
          </w:tcPr>
          <w:p w14:paraId="50673624" w14:textId="77777777" w:rsidR="001E638F" w:rsidRPr="00D63217" w:rsidRDefault="001E638F" w:rsidP="00570F41">
            <w:pPr>
              <w:pStyle w:val="TableText"/>
            </w:pPr>
            <w:r w:rsidRPr="00D63217">
              <w:t>Three-generation reproduction study; rat</w:t>
            </w:r>
          </w:p>
        </w:tc>
        <w:tc>
          <w:tcPr>
            <w:tcW w:w="1932" w:type="dxa"/>
            <w:tcBorders>
              <w:top w:val="single" w:sz="4" w:space="0" w:color="auto"/>
              <w:bottom w:val="single" w:sz="4" w:space="0" w:color="auto"/>
            </w:tcBorders>
          </w:tcPr>
          <w:p w14:paraId="2294DA26" w14:textId="38160417" w:rsidR="001E638F" w:rsidRPr="00D63217" w:rsidRDefault="001E638F" w:rsidP="00570F41">
            <w:pPr>
              <w:pStyle w:val="TableText"/>
              <w:rPr>
                <w:szCs w:val="17"/>
              </w:rPr>
            </w:pPr>
            <w:r w:rsidRPr="00D63217">
              <w:rPr>
                <w:szCs w:val="17"/>
              </w:rPr>
              <w:t>Parents: increase in incidence and severity of focal alveolar histiocytosis</w:t>
            </w:r>
          </w:p>
          <w:p w14:paraId="438199D4" w14:textId="77777777" w:rsidR="001E638F" w:rsidRPr="00D63217" w:rsidRDefault="001E638F" w:rsidP="00570F41">
            <w:pPr>
              <w:pStyle w:val="TableText"/>
              <w:rPr>
                <w:szCs w:val="17"/>
              </w:rPr>
            </w:pPr>
            <w:r w:rsidRPr="00D63217">
              <w:rPr>
                <w:szCs w:val="17"/>
              </w:rPr>
              <w:t>Offspring: perivascular inflammatory cell infiltration</w:t>
            </w:r>
          </w:p>
        </w:tc>
        <w:tc>
          <w:tcPr>
            <w:tcW w:w="1842" w:type="dxa"/>
            <w:tcBorders>
              <w:top w:val="single" w:sz="4" w:space="0" w:color="auto"/>
              <w:bottom w:val="single" w:sz="4" w:space="0" w:color="auto"/>
            </w:tcBorders>
          </w:tcPr>
          <w:p w14:paraId="5DF7326E" w14:textId="69A479DC" w:rsidR="001E638F" w:rsidRPr="00D63217" w:rsidRDefault="001E638F" w:rsidP="00570F41">
            <w:pPr>
              <w:pStyle w:val="TableText"/>
            </w:pPr>
            <w:r w:rsidRPr="00D63217">
              <w:t>Parental: NOAEL 1.</w:t>
            </w:r>
            <w:r w:rsidR="00570F41" w:rsidRPr="00D63217">
              <w:t>25 </w:t>
            </w:r>
            <w:r w:rsidRPr="00D63217">
              <w:t>mg/</w:t>
            </w:r>
            <w:r w:rsidR="00570F41" w:rsidRPr="00D63217">
              <w:t>kg </w:t>
            </w:r>
            <w:r w:rsidRPr="00D63217">
              <w:t>bw/day</w:t>
            </w:r>
          </w:p>
          <w:p w14:paraId="6F568CAF" w14:textId="181528AF" w:rsidR="001E638F" w:rsidRPr="00D63217" w:rsidRDefault="001E638F" w:rsidP="00570F41">
            <w:pPr>
              <w:pStyle w:val="TableText"/>
            </w:pPr>
            <w:r w:rsidRPr="00D63217">
              <w:t>Offspring: NOAEL 7.</w:t>
            </w:r>
            <w:r w:rsidR="00570F41" w:rsidRPr="00D63217">
              <w:t>5 </w:t>
            </w:r>
            <w:r w:rsidRPr="00D63217">
              <w:t>mg/</w:t>
            </w:r>
            <w:r w:rsidR="00570F41" w:rsidRPr="00D63217">
              <w:t>kg </w:t>
            </w:r>
            <w:r w:rsidRPr="00D63217">
              <w:t>bw/day</w:t>
            </w:r>
          </w:p>
        </w:tc>
        <w:tc>
          <w:tcPr>
            <w:tcW w:w="1503" w:type="dxa"/>
            <w:tcBorders>
              <w:top w:val="single" w:sz="4" w:space="0" w:color="auto"/>
              <w:bottom w:val="single" w:sz="4" w:space="0" w:color="auto"/>
            </w:tcBorders>
          </w:tcPr>
          <w:p w14:paraId="71839F61" w14:textId="43256532" w:rsidR="001E638F" w:rsidRPr="00D63217" w:rsidRDefault="001E638F" w:rsidP="00570F41">
            <w:pPr>
              <w:pStyle w:val="TableText"/>
            </w:pPr>
            <w:r w:rsidRPr="00D63217">
              <w:t xml:space="preserve">Lindsay </w:t>
            </w:r>
            <w:r w:rsidRPr="00D63217">
              <w:rPr>
                <w:i/>
              </w:rPr>
              <w:t>et al</w:t>
            </w:r>
            <w:r w:rsidRPr="00D63217">
              <w:t xml:space="preserve"> (1982 </w:t>
            </w:r>
            <w:r w:rsidR="00143F5A" w:rsidRPr="00D63217">
              <w:t>(</w:t>
            </w:r>
            <w:r w:rsidRPr="00D63217">
              <w:t>a,b</w:t>
            </w:r>
            <w:r w:rsidR="00143F5A" w:rsidRPr="00D63217">
              <w:t>)</w:t>
            </w:r>
            <w:r w:rsidRPr="00D63217">
              <w:t>)</w:t>
            </w:r>
          </w:p>
        </w:tc>
      </w:tr>
      <w:tr w:rsidR="00570F41" w:rsidRPr="00D63217" w14:paraId="53CFDC92" w14:textId="6186434C" w:rsidTr="00060CAB">
        <w:trPr>
          <w:cantSplit/>
          <w:jc w:val="center"/>
        </w:trPr>
        <w:tc>
          <w:tcPr>
            <w:tcW w:w="9638" w:type="dxa"/>
            <w:gridSpan w:val="5"/>
            <w:tcBorders>
              <w:top w:val="single" w:sz="4" w:space="0" w:color="auto"/>
              <w:bottom w:val="single" w:sz="4" w:space="0" w:color="auto"/>
            </w:tcBorders>
          </w:tcPr>
          <w:p w14:paraId="76D0AC93" w14:textId="1D3D4CC2" w:rsidR="00570F41" w:rsidRPr="00D63217" w:rsidRDefault="00570F41" w:rsidP="00570F41">
            <w:pPr>
              <w:pStyle w:val="TableSubHead0"/>
            </w:pPr>
            <w:r w:rsidRPr="00D63217">
              <w:t>Development</w:t>
            </w:r>
          </w:p>
        </w:tc>
      </w:tr>
      <w:tr w:rsidR="001E638F" w:rsidRPr="00D63217" w14:paraId="5199EE80" w14:textId="3E7967CF" w:rsidTr="00570F41">
        <w:trPr>
          <w:cantSplit/>
          <w:jc w:val="center"/>
        </w:trPr>
        <w:tc>
          <w:tcPr>
            <w:tcW w:w="2137" w:type="dxa"/>
            <w:tcBorders>
              <w:top w:val="single" w:sz="4" w:space="0" w:color="auto"/>
              <w:bottom w:val="single" w:sz="4" w:space="0" w:color="auto"/>
            </w:tcBorders>
          </w:tcPr>
          <w:p w14:paraId="684DA0CF" w14:textId="77777777" w:rsidR="001E638F" w:rsidRPr="00D63217" w:rsidRDefault="001E638F" w:rsidP="00570F41">
            <w:pPr>
              <w:pStyle w:val="TableText"/>
            </w:pPr>
            <w:r w:rsidRPr="00D63217">
              <w:t>Maternal toxicity</w:t>
            </w:r>
          </w:p>
        </w:tc>
        <w:tc>
          <w:tcPr>
            <w:tcW w:w="2224" w:type="dxa"/>
            <w:tcBorders>
              <w:top w:val="single" w:sz="4" w:space="0" w:color="auto"/>
              <w:bottom w:val="single" w:sz="4" w:space="0" w:color="auto"/>
            </w:tcBorders>
          </w:tcPr>
          <w:p w14:paraId="051F01E4" w14:textId="77777777" w:rsidR="001E638F" w:rsidRPr="00D63217" w:rsidRDefault="001E638F" w:rsidP="00570F41">
            <w:pPr>
              <w:pStyle w:val="TableText"/>
            </w:pPr>
            <w:r w:rsidRPr="00D63217">
              <w:t>Developmental toxicity study; rat, rabbit</w:t>
            </w:r>
          </w:p>
        </w:tc>
        <w:tc>
          <w:tcPr>
            <w:tcW w:w="1932" w:type="dxa"/>
            <w:tcBorders>
              <w:top w:val="single" w:sz="4" w:space="0" w:color="auto"/>
              <w:bottom w:val="single" w:sz="4" w:space="0" w:color="auto"/>
            </w:tcBorders>
          </w:tcPr>
          <w:p w14:paraId="11982F65" w14:textId="359BC2AC" w:rsidR="001E638F" w:rsidRPr="00D63217" w:rsidRDefault="001E638F" w:rsidP="00570F41">
            <w:pPr>
              <w:pStyle w:val="TableText"/>
            </w:pPr>
            <w:r w:rsidRPr="00D63217">
              <w:t xml:space="preserve">Mortality, </w:t>
            </w:r>
            <w:r w:rsidR="00570F41" w:rsidRPr="00D63217">
              <w:t>r</w:t>
            </w:r>
            <w:r w:rsidRPr="00D63217">
              <w:t>educed body weight gain</w:t>
            </w:r>
          </w:p>
        </w:tc>
        <w:tc>
          <w:tcPr>
            <w:tcW w:w="1842" w:type="dxa"/>
            <w:tcBorders>
              <w:top w:val="single" w:sz="4" w:space="0" w:color="auto"/>
              <w:bottom w:val="single" w:sz="4" w:space="0" w:color="auto"/>
            </w:tcBorders>
          </w:tcPr>
          <w:p w14:paraId="165EE593" w14:textId="098665C1" w:rsidR="001E638F" w:rsidRPr="00D63217" w:rsidRDefault="001E638F" w:rsidP="00570F41">
            <w:pPr>
              <w:pStyle w:val="TableText"/>
            </w:pPr>
            <w:r w:rsidRPr="00D63217">
              <w:t xml:space="preserve">NOEL </w:t>
            </w:r>
            <w:r w:rsidR="003B60F4" w:rsidRPr="00D63217">
              <w:t>–</w:t>
            </w:r>
            <w:r w:rsidR="00570F41" w:rsidRPr="00D63217">
              <w:t>1 </w:t>
            </w:r>
            <w:r w:rsidRPr="00D63217">
              <w:t>mg/</w:t>
            </w:r>
            <w:r w:rsidR="00570F41" w:rsidRPr="00D63217">
              <w:t>kg </w:t>
            </w:r>
            <w:r w:rsidRPr="00D63217">
              <w:t>bw/day</w:t>
            </w:r>
          </w:p>
        </w:tc>
        <w:tc>
          <w:tcPr>
            <w:tcW w:w="1503" w:type="dxa"/>
            <w:tcBorders>
              <w:top w:val="single" w:sz="4" w:space="0" w:color="auto"/>
              <w:bottom w:val="single" w:sz="4" w:space="0" w:color="auto"/>
            </w:tcBorders>
          </w:tcPr>
          <w:p w14:paraId="529032F6" w14:textId="43A5D229" w:rsidR="001E638F" w:rsidRPr="00D63217" w:rsidRDefault="001E638F" w:rsidP="00570F41">
            <w:pPr>
              <w:pStyle w:val="TableText"/>
            </w:pPr>
            <w:r w:rsidRPr="00D63217">
              <w:t xml:space="preserve">Hodge </w:t>
            </w:r>
            <w:r w:rsidRPr="00D63217">
              <w:rPr>
                <w:i/>
              </w:rPr>
              <w:t>et al</w:t>
            </w:r>
            <w:r w:rsidR="00143F5A" w:rsidRPr="00D63217">
              <w:rPr>
                <w:i/>
              </w:rPr>
              <w:t>,</w:t>
            </w:r>
            <w:r w:rsidRPr="00D63217">
              <w:t xml:space="preserve"> 1978</w:t>
            </w:r>
          </w:p>
        </w:tc>
      </w:tr>
      <w:tr w:rsidR="001E638F" w:rsidRPr="00D63217" w14:paraId="4BFDC466" w14:textId="00FFDB24" w:rsidTr="00570F41">
        <w:trPr>
          <w:cantSplit/>
          <w:jc w:val="center"/>
        </w:trPr>
        <w:tc>
          <w:tcPr>
            <w:tcW w:w="2137" w:type="dxa"/>
            <w:tcBorders>
              <w:top w:val="single" w:sz="4" w:space="0" w:color="auto"/>
              <w:bottom w:val="single" w:sz="4" w:space="0" w:color="auto"/>
            </w:tcBorders>
          </w:tcPr>
          <w:p w14:paraId="195F83E3" w14:textId="77777777" w:rsidR="001E638F" w:rsidRPr="00D63217" w:rsidRDefault="001E638F" w:rsidP="00570F41">
            <w:pPr>
              <w:pStyle w:val="TableText"/>
            </w:pPr>
            <w:r w:rsidRPr="00D63217">
              <w:t>Foetal development</w:t>
            </w:r>
          </w:p>
        </w:tc>
        <w:tc>
          <w:tcPr>
            <w:tcW w:w="2224" w:type="dxa"/>
            <w:tcBorders>
              <w:top w:val="single" w:sz="4" w:space="0" w:color="auto"/>
              <w:bottom w:val="single" w:sz="4" w:space="0" w:color="auto"/>
            </w:tcBorders>
          </w:tcPr>
          <w:p w14:paraId="005357B6" w14:textId="77777777" w:rsidR="001E638F" w:rsidRPr="00D63217" w:rsidRDefault="001E638F" w:rsidP="00570F41">
            <w:pPr>
              <w:pStyle w:val="TableText"/>
            </w:pPr>
            <w:r w:rsidRPr="00D63217">
              <w:t>Developmental toxicity study; rabbit</w:t>
            </w:r>
          </w:p>
        </w:tc>
        <w:tc>
          <w:tcPr>
            <w:tcW w:w="1932" w:type="dxa"/>
            <w:tcBorders>
              <w:top w:val="single" w:sz="4" w:space="0" w:color="auto"/>
              <w:bottom w:val="single" w:sz="4" w:space="0" w:color="auto"/>
            </w:tcBorders>
          </w:tcPr>
          <w:p w14:paraId="18589618" w14:textId="77777777" w:rsidR="001E638F" w:rsidRPr="00D63217" w:rsidRDefault="001E638F" w:rsidP="00570F41">
            <w:pPr>
              <w:pStyle w:val="TableText"/>
            </w:pPr>
            <w:r w:rsidRPr="00D63217">
              <w:t>Delayed ossification with increased incidence of developmental variations</w:t>
            </w:r>
          </w:p>
        </w:tc>
        <w:tc>
          <w:tcPr>
            <w:tcW w:w="1842" w:type="dxa"/>
            <w:tcBorders>
              <w:top w:val="single" w:sz="4" w:space="0" w:color="auto"/>
              <w:bottom w:val="single" w:sz="4" w:space="0" w:color="auto"/>
            </w:tcBorders>
          </w:tcPr>
          <w:p w14:paraId="1982DA4F" w14:textId="54ECA987" w:rsidR="001E638F" w:rsidRPr="00D63217" w:rsidRDefault="001E638F" w:rsidP="00570F41">
            <w:pPr>
              <w:pStyle w:val="TableText"/>
            </w:pPr>
            <w:r w:rsidRPr="00D63217">
              <w:t xml:space="preserve">NOEL </w:t>
            </w:r>
            <w:r w:rsidR="003B60F4" w:rsidRPr="00D63217">
              <w:t>–</w:t>
            </w:r>
            <w:r w:rsidR="00570F41" w:rsidRPr="00D63217">
              <w:t>1 </w:t>
            </w:r>
            <w:r w:rsidRPr="00D63217">
              <w:t>mg/</w:t>
            </w:r>
            <w:r w:rsidR="00570F41" w:rsidRPr="00D63217">
              <w:t>kg </w:t>
            </w:r>
            <w:r w:rsidRPr="00D63217">
              <w:t>bw/day</w:t>
            </w:r>
          </w:p>
        </w:tc>
        <w:tc>
          <w:tcPr>
            <w:tcW w:w="1503" w:type="dxa"/>
            <w:tcBorders>
              <w:top w:val="single" w:sz="4" w:space="0" w:color="auto"/>
              <w:bottom w:val="single" w:sz="4" w:space="0" w:color="auto"/>
            </w:tcBorders>
          </w:tcPr>
          <w:p w14:paraId="7286AA66" w14:textId="54AD354F" w:rsidR="001E638F" w:rsidRPr="00D63217" w:rsidRDefault="001E638F" w:rsidP="00570F41">
            <w:pPr>
              <w:pStyle w:val="TableText"/>
            </w:pPr>
            <w:r w:rsidRPr="00D63217">
              <w:t>Tinston 1991</w:t>
            </w:r>
            <w:r w:rsidR="00143F5A" w:rsidRPr="00D63217">
              <w:t>(</w:t>
            </w:r>
            <w:r w:rsidRPr="00D63217">
              <w:t>a,b,c)</w:t>
            </w:r>
          </w:p>
        </w:tc>
      </w:tr>
    </w:tbl>
    <w:bookmarkEnd w:id="121"/>
    <w:p w14:paraId="597F4666" w14:textId="0E98524B" w:rsidR="00133AC3" w:rsidRPr="00D63217" w:rsidRDefault="003458EB" w:rsidP="000D6804">
      <w:pPr>
        <w:pStyle w:val="NormalText"/>
      </w:pPr>
      <w:r w:rsidRPr="00D63217">
        <w:t xml:space="preserve">Based on the evaluation of the available toxicological database the current APVMA acceptable daily intake (ADI; shown in </w:t>
      </w:r>
      <w:r w:rsidR="005C6CD8" w:rsidRPr="00D63217">
        <w:fldChar w:fldCharType="begin"/>
      </w:r>
      <w:r w:rsidR="005C6CD8" w:rsidRPr="00D63217">
        <w:instrText xml:space="preserve"> REF _Ref162272617 \h </w:instrText>
      </w:r>
      <w:r w:rsidR="00D63217">
        <w:instrText xml:space="preserve"> \* MERGEFORMAT </w:instrText>
      </w:r>
      <w:r w:rsidR="005C6CD8" w:rsidRPr="00D63217">
        <w:fldChar w:fldCharType="separate"/>
      </w:r>
      <w:r w:rsidR="008A397D" w:rsidRPr="00D63217">
        <w:t xml:space="preserve">Table </w:t>
      </w:r>
      <w:r w:rsidR="008A397D">
        <w:rPr>
          <w:noProof/>
        </w:rPr>
        <w:t>7</w:t>
      </w:r>
      <w:r w:rsidR="005C6CD8" w:rsidRPr="00D63217">
        <w:fldChar w:fldCharType="end"/>
      </w:r>
      <w:r w:rsidRPr="00D63217">
        <w:t xml:space="preserve">) and acute reference dose (ARfD; shown in </w:t>
      </w:r>
      <w:r w:rsidR="005C6CD8" w:rsidRPr="00D63217">
        <w:fldChar w:fldCharType="begin"/>
      </w:r>
      <w:r w:rsidR="005C6CD8" w:rsidRPr="00D63217">
        <w:instrText xml:space="preserve"> REF _Ref162272626 \h </w:instrText>
      </w:r>
      <w:r w:rsidR="00D63217">
        <w:instrText xml:space="preserve"> \* MERGEFORMAT </w:instrText>
      </w:r>
      <w:r w:rsidR="005C6CD8" w:rsidRPr="00D63217">
        <w:fldChar w:fldCharType="separate"/>
      </w:r>
      <w:r w:rsidR="008A397D" w:rsidRPr="00D63217">
        <w:t xml:space="preserve">Table </w:t>
      </w:r>
      <w:r w:rsidR="008A397D">
        <w:rPr>
          <w:noProof/>
        </w:rPr>
        <w:t>8</w:t>
      </w:r>
      <w:r w:rsidR="005C6CD8" w:rsidRPr="00D63217">
        <w:fldChar w:fldCharType="end"/>
      </w:r>
      <w:r w:rsidRPr="00D63217">
        <w:t>) will be retained</w:t>
      </w:r>
      <w:r w:rsidR="00714FFE" w:rsidRPr="00D63217">
        <w:t xml:space="preserve">, however </w:t>
      </w:r>
      <w:r w:rsidRPr="00D63217">
        <w:t xml:space="preserve">changes </w:t>
      </w:r>
      <w:r w:rsidR="00714FFE" w:rsidRPr="00D63217">
        <w:t xml:space="preserve">have been made </w:t>
      </w:r>
      <w:r w:rsidRPr="00D63217">
        <w:t xml:space="preserve">to the text used </w:t>
      </w:r>
      <w:r w:rsidR="00714FFE" w:rsidRPr="00D63217">
        <w:t xml:space="preserve">to define </w:t>
      </w:r>
      <w:r w:rsidRPr="00D63217">
        <w:t xml:space="preserve">the ARfD </w:t>
      </w:r>
      <w:r w:rsidR="000D6804" w:rsidRPr="00D63217">
        <w:t xml:space="preserve">in the Human Health Risk Assessment (APVMA 2016 (a)), these are included in </w:t>
      </w:r>
      <w:r w:rsidR="000D6804" w:rsidRPr="00D63217">
        <w:fldChar w:fldCharType="begin"/>
      </w:r>
      <w:r w:rsidR="000D6804" w:rsidRPr="00D63217">
        <w:instrText xml:space="preserve"> REF _Ref162272626 \h </w:instrText>
      </w:r>
      <w:r w:rsidR="00D63217">
        <w:instrText xml:space="preserve"> \* MERGEFORMAT </w:instrText>
      </w:r>
      <w:r w:rsidR="000D6804" w:rsidRPr="00D63217">
        <w:fldChar w:fldCharType="separate"/>
      </w:r>
      <w:r w:rsidR="008A397D" w:rsidRPr="00D63217">
        <w:t xml:space="preserve">Table </w:t>
      </w:r>
      <w:r w:rsidR="008A397D">
        <w:rPr>
          <w:noProof/>
        </w:rPr>
        <w:t>8</w:t>
      </w:r>
      <w:r w:rsidR="000D6804" w:rsidRPr="00D63217">
        <w:fldChar w:fldCharType="end"/>
      </w:r>
      <w:r w:rsidR="000D6804" w:rsidRPr="00D63217">
        <w:t>.</w:t>
      </w:r>
    </w:p>
    <w:p w14:paraId="252DE07F" w14:textId="54B60696" w:rsidR="003458EB" w:rsidRPr="00BC7F18" w:rsidRDefault="003458EB" w:rsidP="00BC7F18">
      <w:pPr>
        <w:pStyle w:val="Caption"/>
      </w:pPr>
      <w:bookmarkStart w:id="122" w:name="_Ref162272617"/>
      <w:bookmarkStart w:id="123" w:name="_Ref158977432"/>
      <w:bookmarkStart w:id="124" w:name="_Toc230692273"/>
      <w:bookmarkStart w:id="125" w:name="_Toc233036494"/>
      <w:r w:rsidRPr="00BC7F18">
        <w:t xml:space="preserve">Table </w:t>
      </w:r>
      <w:fldSimple w:instr=" SEQ Table \* ARABIC ">
        <w:r w:rsidR="00BC7F18">
          <w:rPr>
            <w:noProof/>
          </w:rPr>
          <w:t>7</w:t>
        </w:r>
      </w:fldSimple>
      <w:bookmarkEnd w:id="122"/>
      <w:r w:rsidRPr="00BC7F18">
        <w:t>: Acceptable daily intake for paraquat</w:t>
      </w:r>
      <w:bookmarkEnd w:id="123"/>
      <w:bookmarkEnd w:id="124"/>
      <w:bookmarkEnd w:id="125"/>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458EB" w:rsidRPr="00D63217" w14:paraId="2359FCBB" w14:textId="77777777" w:rsidTr="00FC1605">
        <w:trPr>
          <w:cantSplit/>
          <w:tblHeader/>
        </w:trPr>
        <w:tc>
          <w:tcPr>
            <w:tcW w:w="1440" w:type="dxa"/>
            <w:tcBorders>
              <w:bottom w:val="single" w:sz="4" w:space="0" w:color="auto"/>
            </w:tcBorders>
            <w:shd w:val="clear" w:color="auto" w:fill="5C2946"/>
          </w:tcPr>
          <w:p w14:paraId="6C0A1D09" w14:textId="77777777" w:rsidR="003458EB" w:rsidRPr="00D63217" w:rsidRDefault="003458EB" w:rsidP="00570F41">
            <w:pPr>
              <w:pStyle w:val="TableHead"/>
            </w:pPr>
            <w:r w:rsidRPr="00D63217">
              <w:t>Chemical</w:t>
            </w:r>
          </w:p>
        </w:tc>
        <w:tc>
          <w:tcPr>
            <w:tcW w:w="1445" w:type="dxa"/>
            <w:tcBorders>
              <w:bottom w:val="single" w:sz="4" w:space="0" w:color="auto"/>
            </w:tcBorders>
            <w:shd w:val="clear" w:color="auto" w:fill="5C2946"/>
          </w:tcPr>
          <w:p w14:paraId="7A840023" w14:textId="239E239E" w:rsidR="003458EB" w:rsidRPr="00D63217" w:rsidRDefault="003458EB" w:rsidP="00FC1605">
            <w:pPr>
              <w:pStyle w:val="TableHead"/>
            </w:pPr>
            <w:r w:rsidRPr="00D63217">
              <w:t>ADI</w:t>
            </w:r>
            <w:r w:rsidR="00FC1605" w:rsidRPr="00D63217">
              <w:br/>
            </w:r>
            <w:r w:rsidRPr="00D63217">
              <w:t>mg/kg bw/day</w:t>
            </w:r>
          </w:p>
        </w:tc>
        <w:tc>
          <w:tcPr>
            <w:tcW w:w="1132" w:type="dxa"/>
            <w:tcBorders>
              <w:bottom w:val="single" w:sz="4" w:space="0" w:color="auto"/>
            </w:tcBorders>
            <w:shd w:val="clear" w:color="auto" w:fill="5C2946"/>
          </w:tcPr>
          <w:p w14:paraId="35064164" w14:textId="3A6F1AD1" w:rsidR="003458EB" w:rsidRPr="00D63217" w:rsidRDefault="003458EB" w:rsidP="00570F41">
            <w:pPr>
              <w:pStyle w:val="TableHead"/>
            </w:pPr>
            <w:r w:rsidRPr="00D63217">
              <w:t>NO</w:t>
            </w:r>
            <w:r w:rsidR="00CD7166">
              <w:t>A</w:t>
            </w:r>
            <w:r w:rsidRPr="00D63217">
              <w:t>EL</w:t>
            </w:r>
          </w:p>
        </w:tc>
        <w:tc>
          <w:tcPr>
            <w:tcW w:w="1131" w:type="dxa"/>
            <w:tcBorders>
              <w:bottom w:val="single" w:sz="4" w:space="0" w:color="auto"/>
            </w:tcBorders>
            <w:shd w:val="clear" w:color="auto" w:fill="5C2946"/>
          </w:tcPr>
          <w:p w14:paraId="4C076AC6" w14:textId="77777777" w:rsidR="003458EB" w:rsidRPr="00D63217" w:rsidRDefault="003458EB" w:rsidP="00570F41">
            <w:pPr>
              <w:pStyle w:val="TableHead"/>
            </w:pPr>
            <w:r w:rsidRPr="00D63217">
              <w:t>Date</w:t>
            </w:r>
          </w:p>
        </w:tc>
        <w:tc>
          <w:tcPr>
            <w:tcW w:w="2682" w:type="dxa"/>
            <w:tcBorders>
              <w:bottom w:val="single" w:sz="4" w:space="0" w:color="auto"/>
            </w:tcBorders>
            <w:shd w:val="clear" w:color="auto" w:fill="5C2946"/>
          </w:tcPr>
          <w:p w14:paraId="539818C7" w14:textId="77777777" w:rsidR="003458EB" w:rsidRPr="00BC7F18" w:rsidRDefault="003458EB" w:rsidP="00BC7F18">
            <w:pPr>
              <w:pStyle w:val="TableHead"/>
            </w:pPr>
            <w:r w:rsidRPr="00BC7F18">
              <w:t>Study</w:t>
            </w:r>
          </w:p>
        </w:tc>
        <w:tc>
          <w:tcPr>
            <w:tcW w:w="1985" w:type="dxa"/>
            <w:tcBorders>
              <w:bottom w:val="single" w:sz="4" w:space="0" w:color="auto"/>
            </w:tcBorders>
            <w:shd w:val="clear" w:color="auto" w:fill="5C2946"/>
          </w:tcPr>
          <w:p w14:paraId="0CFB64E2" w14:textId="77777777" w:rsidR="003458EB" w:rsidRPr="00BC7F18" w:rsidRDefault="003458EB" w:rsidP="00BC7F18">
            <w:pPr>
              <w:pStyle w:val="TableHead"/>
            </w:pPr>
            <w:r w:rsidRPr="00BC7F18">
              <w:t>Comments</w:t>
            </w:r>
          </w:p>
        </w:tc>
      </w:tr>
      <w:tr w:rsidR="003458EB" w:rsidRPr="00D63217" w14:paraId="161467CA" w14:textId="77777777" w:rsidTr="00570F41">
        <w:trPr>
          <w:cantSplit/>
        </w:trPr>
        <w:tc>
          <w:tcPr>
            <w:tcW w:w="1440" w:type="dxa"/>
            <w:tcBorders>
              <w:top w:val="single" w:sz="4" w:space="0" w:color="auto"/>
              <w:bottom w:val="single" w:sz="4" w:space="0" w:color="auto"/>
            </w:tcBorders>
          </w:tcPr>
          <w:p w14:paraId="4E41687A" w14:textId="77777777" w:rsidR="003458EB" w:rsidRPr="00D63217" w:rsidRDefault="003458EB" w:rsidP="00570F41">
            <w:pPr>
              <w:pStyle w:val="TableText"/>
            </w:pPr>
            <w:r w:rsidRPr="00D63217">
              <w:t>Paraquat</w:t>
            </w:r>
          </w:p>
        </w:tc>
        <w:tc>
          <w:tcPr>
            <w:tcW w:w="1445" w:type="dxa"/>
            <w:tcBorders>
              <w:top w:val="single" w:sz="4" w:space="0" w:color="auto"/>
              <w:bottom w:val="single" w:sz="4" w:space="0" w:color="auto"/>
            </w:tcBorders>
          </w:tcPr>
          <w:p w14:paraId="3E51E24B" w14:textId="77777777" w:rsidR="003458EB" w:rsidRPr="00D63217" w:rsidRDefault="003458EB" w:rsidP="00570F41">
            <w:pPr>
              <w:pStyle w:val="TableText"/>
            </w:pPr>
            <w:r w:rsidRPr="00D63217">
              <w:t>0.004</w:t>
            </w:r>
          </w:p>
        </w:tc>
        <w:tc>
          <w:tcPr>
            <w:tcW w:w="1132" w:type="dxa"/>
            <w:tcBorders>
              <w:top w:val="single" w:sz="4" w:space="0" w:color="auto"/>
              <w:bottom w:val="single" w:sz="4" w:space="0" w:color="auto"/>
            </w:tcBorders>
          </w:tcPr>
          <w:p w14:paraId="66632625" w14:textId="77777777" w:rsidR="003458EB" w:rsidRPr="00D63217" w:rsidRDefault="003458EB" w:rsidP="00570F41">
            <w:pPr>
              <w:pStyle w:val="TableText"/>
            </w:pPr>
            <w:r w:rsidRPr="00D63217">
              <w:t>0.45</w:t>
            </w:r>
          </w:p>
        </w:tc>
        <w:tc>
          <w:tcPr>
            <w:tcW w:w="1131" w:type="dxa"/>
            <w:tcBorders>
              <w:top w:val="single" w:sz="4" w:space="0" w:color="auto"/>
              <w:bottom w:val="single" w:sz="4" w:space="0" w:color="auto"/>
            </w:tcBorders>
          </w:tcPr>
          <w:p w14:paraId="04BB3D8D" w14:textId="33C1DDBC" w:rsidR="003458EB" w:rsidRPr="00D63217" w:rsidRDefault="003458EB" w:rsidP="00570F41">
            <w:pPr>
              <w:pStyle w:val="TableText"/>
            </w:pPr>
            <w:r w:rsidRPr="00D63217">
              <w:t>27</w:t>
            </w:r>
            <w:r w:rsidR="00570F41" w:rsidRPr="00D63217">
              <w:t xml:space="preserve"> </w:t>
            </w:r>
            <w:r w:rsidRPr="00D63217">
              <w:t>June 2003</w:t>
            </w:r>
          </w:p>
        </w:tc>
        <w:tc>
          <w:tcPr>
            <w:tcW w:w="2682" w:type="dxa"/>
            <w:tcBorders>
              <w:top w:val="single" w:sz="4" w:space="0" w:color="auto"/>
              <w:bottom w:val="single" w:sz="4" w:space="0" w:color="auto"/>
            </w:tcBorders>
          </w:tcPr>
          <w:p w14:paraId="1E34F11D" w14:textId="77777777" w:rsidR="003458EB" w:rsidRPr="00D63217" w:rsidRDefault="003458EB" w:rsidP="00570F41">
            <w:pPr>
              <w:pStyle w:val="TableText"/>
            </w:pPr>
            <w:r w:rsidRPr="00D63217">
              <w:t>1-year dietary dog study; a NOAEL of 0.45 mg/kg bw/d was based on pulmonary lesions at the next higher dose.</w:t>
            </w:r>
          </w:p>
        </w:tc>
        <w:tc>
          <w:tcPr>
            <w:tcW w:w="1985" w:type="dxa"/>
            <w:tcBorders>
              <w:top w:val="single" w:sz="4" w:space="0" w:color="auto"/>
              <w:bottom w:val="single" w:sz="4" w:space="0" w:color="auto"/>
            </w:tcBorders>
          </w:tcPr>
          <w:p w14:paraId="7012A36C" w14:textId="77777777" w:rsidR="003458EB" w:rsidRPr="00D63217" w:rsidRDefault="003458EB" w:rsidP="00570F41">
            <w:pPr>
              <w:pStyle w:val="TableText"/>
            </w:pPr>
            <w:r w:rsidRPr="00D63217">
              <w:t>Acceptable margin of exposure ≥ 100.</w:t>
            </w:r>
          </w:p>
        </w:tc>
      </w:tr>
    </w:tbl>
    <w:p w14:paraId="27DE661C" w14:textId="662F4076" w:rsidR="003458EB" w:rsidRPr="00BC7F18" w:rsidRDefault="003458EB" w:rsidP="00BC7F18">
      <w:pPr>
        <w:pStyle w:val="Caption"/>
      </w:pPr>
      <w:bookmarkStart w:id="126" w:name="_Ref162272626"/>
      <w:bookmarkStart w:id="127" w:name="_Ref158977452"/>
      <w:bookmarkStart w:id="128" w:name="_Toc230692274"/>
      <w:bookmarkStart w:id="129" w:name="_Toc233036495"/>
      <w:r w:rsidRPr="00BC7F18">
        <w:lastRenderedPageBreak/>
        <w:t xml:space="preserve">Table </w:t>
      </w:r>
      <w:fldSimple w:instr=" SEQ Table \* ARABIC ">
        <w:r w:rsidR="00BC7F18">
          <w:rPr>
            <w:noProof/>
          </w:rPr>
          <w:t>8</w:t>
        </w:r>
      </w:fldSimple>
      <w:bookmarkEnd w:id="126"/>
      <w:r w:rsidRPr="00BC7F18">
        <w:t>: Acute reference dose for paraquat</w:t>
      </w:r>
      <w:bookmarkEnd w:id="127"/>
      <w:bookmarkEnd w:id="128"/>
      <w:bookmarkEnd w:id="129"/>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458EB" w:rsidRPr="00D63217" w14:paraId="5B881FB8" w14:textId="77777777" w:rsidTr="00FC1605">
        <w:trPr>
          <w:cantSplit/>
          <w:tblHeader/>
        </w:trPr>
        <w:tc>
          <w:tcPr>
            <w:tcW w:w="1440" w:type="dxa"/>
            <w:tcBorders>
              <w:bottom w:val="single" w:sz="4" w:space="0" w:color="auto"/>
            </w:tcBorders>
            <w:shd w:val="clear" w:color="auto" w:fill="5C2946"/>
          </w:tcPr>
          <w:p w14:paraId="19FFFCB7" w14:textId="77777777" w:rsidR="003458EB" w:rsidRPr="00D63217" w:rsidRDefault="003458EB" w:rsidP="00570F41">
            <w:pPr>
              <w:pStyle w:val="TableHead"/>
            </w:pPr>
            <w:r w:rsidRPr="00D63217">
              <w:t>Chemical</w:t>
            </w:r>
          </w:p>
        </w:tc>
        <w:tc>
          <w:tcPr>
            <w:tcW w:w="1445" w:type="dxa"/>
            <w:tcBorders>
              <w:bottom w:val="single" w:sz="4" w:space="0" w:color="auto"/>
            </w:tcBorders>
            <w:shd w:val="clear" w:color="auto" w:fill="5C2946"/>
          </w:tcPr>
          <w:p w14:paraId="5CCE74FB" w14:textId="3551B3C2" w:rsidR="003458EB" w:rsidRPr="00D63217" w:rsidRDefault="003458EB" w:rsidP="00FC1605">
            <w:pPr>
              <w:pStyle w:val="TableHead"/>
            </w:pPr>
            <w:r w:rsidRPr="00D63217">
              <w:t>ARfD</w:t>
            </w:r>
            <w:r w:rsidR="00FC1605" w:rsidRPr="00D63217">
              <w:br/>
            </w:r>
            <w:r w:rsidRPr="00D63217">
              <w:t>mg/kg bw/day</w:t>
            </w:r>
          </w:p>
        </w:tc>
        <w:tc>
          <w:tcPr>
            <w:tcW w:w="1132" w:type="dxa"/>
            <w:tcBorders>
              <w:bottom w:val="single" w:sz="4" w:space="0" w:color="auto"/>
            </w:tcBorders>
            <w:shd w:val="clear" w:color="auto" w:fill="5C2946"/>
          </w:tcPr>
          <w:p w14:paraId="776A9660" w14:textId="1FC7087A" w:rsidR="003458EB" w:rsidRPr="00D63217" w:rsidRDefault="003458EB" w:rsidP="00570F41">
            <w:pPr>
              <w:pStyle w:val="TableHead"/>
            </w:pPr>
            <w:r w:rsidRPr="00D63217">
              <w:t>NO</w:t>
            </w:r>
            <w:r w:rsidR="00CD7166">
              <w:t>A</w:t>
            </w:r>
            <w:r w:rsidRPr="00D63217">
              <w:t>EL</w:t>
            </w:r>
          </w:p>
        </w:tc>
        <w:tc>
          <w:tcPr>
            <w:tcW w:w="1131" w:type="dxa"/>
            <w:tcBorders>
              <w:bottom w:val="single" w:sz="4" w:space="0" w:color="auto"/>
            </w:tcBorders>
            <w:shd w:val="clear" w:color="auto" w:fill="5C2946"/>
          </w:tcPr>
          <w:p w14:paraId="4F17CEDE" w14:textId="77777777" w:rsidR="003458EB" w:rsidRPr="00D63217" w:rsidRDefault="003458EB" w:rsidP="00570F41">
            <w:pPr>
              <w:pStyle w:val="TableHead"/>
            </w:pPr>
            <w:r w:rsidRPr="00D63217">
              <w:t>Date</w:t>
            </w:r>
          </w:p>
        </w:tc>
        <w:tc>
          <w:tcPr>
            <w:tcW w:w="2682" w:type="dxa"/>
            <w:tcBorders>
              <w:bottom w:val="single" w:sz="4" w:space="0" w:color="auto"/>
            </w:tcBorders>
            <w:shd w:val="clear" w:color="auto" w:fill="5C2946"/>
          </w:tcPr>
          <w:p w14:paraId="5F680D5D" w14:textId="77777777" w:rsidR="003458EB" w:rsidRPr="00D63217" w:rsidRDefault="003458EB" w:rsidP="00570F41">
            <w:pPr>
              <w:pStyle w:val="TableHead"/>
            </w:pPr>
            <w:r w:rsidRPr="00D63217">
              <w:t>Study</w:t>
            </w:r>
          </w:p>
        </w:tc>
        <w:tc>
          <w:tcPr>
            <w:tcW w:w="1985" w:type="dxa"/>
            <w:tcBorders>
              <w:bottom w:val="single" w:sz="4" w:space="0" w:color="auto"/>
            </w:tcBorders>
            <w:shd w:val="clear" w:color="auto" w:fill="5C2946"/>
          </w:tcPr>
          <w:p w14:paraId="35D58626" w14:textId="77777777" w:rsidR="003458EB" w:rsidRPr="00D63217" w:rsidRDefault="003458EB" w:rsidP="00570F41">
            <w:pPr>
              <w:pStyle w:val="TableHead"/>
            </w:pPr>
            <w:r w:rsidRPr="00D63217">
              <w:t>Comments</w:t>
            </w:r>
          </w:p>
        </w:tc>
      </w:tr>
      <w:tr w:rsidR="003458EB" w:rsidRPr="00D63217" w14:paraId="38CFBBF4" w14:textId="77777777" w:rsidTr="00570F41">
        <w:trPr>
          <w:cantSplit/>
        </w:trPr>
        <w:tc>
          <w:tcPr>
            <w:tcW w:w="1440" w:type="dxa"/>
            <w:tcBorders>
              <w:top w:val="single" w:sz="4" w:space="0" w:color="auto"/>
              <w:bottom w:val="single" w:sz="4" w:space="0" w:color="auto"/>
            </w:tcBorders>
          </w:tcPr>
          <w:p w14:paraId="1035AD5D" w14:textId="77777777" w:rsidR="003458EB" w:rsidRPr="00D63217" w:rsidRDefault="003458EB" w:rsidP="00570F41">
            <w:pPr>
              <w:pStyle w:val="TableText"/>
            </w:pPr>
            <w:r w:rsidRPr="00D63217">
              <w:t>Paraquat</w:t>
            </w:r>
          </w:p>
        </w:tc>
        <w:tc>
          <w:tcPr>
            <w:tcW w:w="1445" w:type="dxa"/>
            <w:tcBorders>
              <w:top w:val="single" w:sz="4" w:space="0" w:color="auto"/>
              <w:bottom w:val="single" w:sz="4" w:space="0" w:color="auto"/>
            </w:tcBorders>
          </w:tcPr>
          <w:p w14:paraId="76488241" w14:textId="77777777" w:rsidR="003458EB" w:rsidRPr="00D63217" w:rsidRDefault="003458EB" w:rsidP="00570F41">
            <w:pPr>
              <w:pStyle w:val="TableText"/>
            </w:pPr>
            <w:r w:rsidRPr="00D63217">
              <w:t>0.004</w:t>
            </w:r>
          </w:p>
        </w:tc>
        <w:tc>
          <w:tcPr>
            <w:tcW w:w="1132" w:type="dxa"/>
            <w:tcBorders>
              <w:top w:val="single" w:sz="4" w:space="0" w:color="auto"/>
              <w:bottom w:val="single" w:sz="4" w:space="0" w:color="auto"/>
            </w:tcBorders>
          </w:tcPr>
          <w:p w14:paraId="56B9DDAA" w14:textId="77777777" w:rsidR="003458EB" w:rsidRPr="00D63217" w:rsidRDefault="003458EB" w:rsidP="00570F41">
            <w:pPr>
              <w:pStyle w:val="TableText"/>
            </w:pPr>
            <w:r w:rsidRPr="00D63217">
              <w:t>0.45</w:t>
            </w:r>
          </w:p>
        </w:tc>
        <w:tc>
          <w:tcPr>
            <w:tcW w:w="1131" w:type="dxa"/>
            <w:tcBorders>
              <w:top w:val="single" w:sz="4" w:space="0" w:color="auto"/>
              <w:bottom w:val="single" w:sz="4" w:space="0" w:color="auto"/>
            </w:tcBorders>
          </w:tcPr>
          <w:p w14:paraId="3379ABE2" w14:textId="0D675890" w:rsidR="003458EB" w:rsidRPr="00D63217" w:rsidRDefault="003458EB" w:rsidP="00570F41">
            <w:pPr>
              <w:pStyle w:val="TableText"/>
            </w:pPr>
            <w:r w:rsidRPr="00D63217">
              <w:t>27</w:t>
            </w:r>
            <w:r w:rsidR="00570F41" w:rsidRPr="00D63217">
              <w:t xml:space="preserve"> </w:t>
            </w:r>
            <w:r w:rsidRPr="00D63217">
              <w:t>June 2003</w:t>
            </w:r>
          </w:p>
        </w:tc>
        <w:tc>
          <w:tcPr>
            <w:tcW w:w="2682" w:type="dxa"/>
            <w:tcBorders>
              <w:top w:val="single" w:sz="4" w:space="0" w:color="auto"/>
              <w:bottom w:val="single" w:sz="4" w:space="0" w:color="auto"/>
            </w:tcBorders>
          </w:tcPr>
          <w:p w14:paraId="5DC3D0DF" w14:textId="50BD5046" w:rsidR="003458EB" w:rsidRPr="00D63217" w:rsidRDefault="00570F41" w:rsidP="00570F41">
            <w:pPr>
              <w:pStyle w:val="TableText"/>
            </w:pPr>
            <w:r w:rsidRPr="00D63217">
              <w:t>One</w:t>
            </w:r>
            <w:r w:rsidR="003458EB" w:rsidRPr="00D63217">
              <w:t xml:space="preserve">-year chronic feeding dog study; a </w:t>
            </w:r>
            <w:r w:rsidR="003458EB" w:rsidRPr="00CD7166">
              <w:t>NOAEL of</w:t>
            </w:r>
            <w:r w:rsidR="003458EB" w:rsidRPr="00D63217">
              <w:t xml:space="preserve"> 0.</w:t>
            </w:r>
            <w:r w:rsidRPr="00D63217">
              <w:t>45 </w:t>
            </w:r>
            <w:r w:rsidR="003458EB" w:rsidRPr="00D63217">
              <w:t>mg/</w:t>
            </w:r>
            <w:r w:rsidRPr="00D63217">
              <w:t>kg </w:t>
            </w:r>
            <w:r w:rsidR="003458EB" w:rsidRPr="00D63217">
              <w:t>bw/d was based on the likelihood that the observed pulmonary lesions would also occur after an acute exposure at the next higher dose.</w:t>
            </w:r>
          </w:p>
        </w:tc>
        <w:tc>
          <w:tcPr>
            <w:tcW w:w="1985" w:type="dxa"/>
            <w:tcBorders>
              <w:top w:val="single" w:sz="4" w:space="0" w:color="auto"/>
              <w:bottom w:val="single" w:sz="4" w:space="0" w:color="auto"/>
            </w:tcBorders>
          </w:tcPr>
          <w:p w14:paraId="3C30D7B3" w14:textId="77777777" w:rsidR="003458EB" w:rsidRPr="00D63217" w:rsidRDefault="003458EB" w:rsidP="00570F41">
            <w:pPr>
              <w:pStyle w:val="TableText"/>
            </w:pPr>
          </w:p>
        </w:tc>
      </w:tr>
    </w:tbl>
    <w:p w14:paraId="7E24BFB2" w14:textId="5860CC3C" w:rsidR="00A01B38" w:rsidRPr="00BC7F18" w:rsidRDefault="00A01B38" w:rsidP="00BC7F18">
      <w:pPr>
        <w:pStyle w:val="Heading2"/>
      </w:pPr>
      <w:bookmarkStart w:id="130" w:name="_Toc231480836"/>
      <w:bookmarkStart w:id="131" w:name="_Toc233036388"/>
      <w:r w:rsidRPr="00BC7F18">
        <w:t>Poisons scheduling</w:t>
      </w:r>
      <w:bookmarkEnd w:id="130"/>
      <w:bookmarkEnd w:id="131"/>
    </w:p>
    <w:p w14:paraId="62DB097F" w14:textId="6CFC3360" w:rsidR="00A01B38" w:rsidRPr="00D63217" w:rsidRDefault="00A01B38" w:rsidP="00A01B38">
      <w:pPr>
        <w:pStyle w:val="NormalText"/>
      </w:pPr>
      <w:r w:rsidRPr="00D63217">
        <w:t xml:space="preserve">Paraquat is currently in included in Schedule 7 of the Standard for the Uniform Scheduling of Medicines and Poisons (SUSMP). In recognition of the significant toxicity of paraquat, </w:t>
      </w:r>
      <w:bookmarkStart w:id="132" w:name="_Hlk162522610"/>
      <w:r w:rsidRPr="00D63217">
        <w:t>in addition to the signal heading “DANGEROUS POISON”, aqueous solutions of paraquat must also bear the cautionary statements:</w:t>
      </w:r>
    </w:p>
    <w:p w14:paraId="290A2D7C" w14:textId="565571A3" w:rsidR="00A01B38" w:rsidRPr="00D63217" w:rsidRDefault="00A01B38" w:rsidP="00A01B38">
      <w:pPr>
        <w:pStyle w:val="NormalText"/>
        <w:spacing w:before="0" w:after="0"/>
        <w:jc w:val="center"/>
      </w:pPr>
      <w:r w:rsidRPr="00D63217">
        <w:t>CAN KILL IF SWALLOWED</w:t>
      </w:r>
      <w:r w:rsidR="00386C1F" w:rsidRPr="00D63217">
        <w:br/>
      </w:r>
      <w:r w:rsidRPr="00D63217">
        <w:t>DO NOT PUT IN DRINK BOTTLES</w:t>
      </w:r>
      <w:r w:rsidR="00386C1F" w:rsidRPr="00D63217">
        <w:br/>
      </w:r>
      <w:r w:rsidRPr="00D63217">
        <w:t>KEEP LOCKED UP</w:t>
      </w:r>
    </w:p>
    <w:p w14:paraId="067FB2FC" w14:textId="7FBCC013" w:rsidR="00A01B38" w:rsidRPr="00D63217" w:rsidRDefault="00A01B38" w:rsidP="00A01B38">
      <w:pPr>
        <w:pStyle w:val="NormalText"/>
      </w:pPr>
      <w:r w:rsidRPr="00D63217">
        <w:t xml:space="preserve">These statements must be printed on separate lines immediately below the cautionary statement “KEEP OUT OF REACH OF CHILDREN”. The SUSMP also requires that liquid preparations of paraquat must be coloured blue or </w:t>
      </w:r>
      <w:r w:rsidR="002E52EE" w:rsidRPr="00D63217">
        <w:t>green and</w:t>
      </w:r>
      <w:r w:rsidRPr="00D63217">
        <w:t xml:space="preserve"> must contain sufficient st</w:t>
      </w:r>
      <w:r w:rsidR="00777793" w:rsidRPr="00D63217">
        <w:t>e</w:t>
      </w:r>
      <w:r w:rsidRPr="00D63217">
        <w:t>nching agent to produce an offensive smell.</w:t>
      </w:r>
    </w:p>
    <w:bookmarkEnd w:id="132"/>
    <w:p w14:paraId="6C022537" w14:textId="180ADF55" w:rsidR="00A01B38" w:rsidRPr="00D63217" w:rsidRDefault="00134C23" w:rsidP="00A01B38">
      <w:pPr>
        <w:pStyle w:val="NormalText"/>
      </w:pPr>
      <w:r>
        <w:t>All registered paraquat products comply with these requirements and n</w:t>
      </w:r>
      <w:r w:rsidR="00A01B38" w:rsidRPr="00D63217">
        <w:t xml:space="preserve">o changes to the current poisons scheduling </w:t>
      </w:r>
      <w:r w:rsidR="006F21D5" w:rsidRPr="00D63217">
        <w:t>are</w:t>
      </w:r>
      <w:r w:rsidR="00A01B38" w:rsidRPr="00D63217">
        <w:t xml:space="preserve"> required.</w:t>
      </w:r>
    </w:p>
    <w:p w14:paraId="295AAD9C" w14:textId="1DB4F602" w:rsidR="00A01B38" w:rsidRPr="00BC7F18" w:rsidRDefault="00A01B38" w:rsidP="00BC7F18">
      <w:pPr>
        <w:pStyle w:val="Heading2"/>
      </w:pPr>
      <w:bookmarkStart w:id="133" w:name="_Toc231480837"/>
      <w:bookmarkStart w:id="134" w:name="_Toc233036389"/>
      <w:r w:rsidRPr="00BC7F18">
        <w:t>Recommendations</w:t>
      </w:r>
      <w:bookmarkEnd w:id="133"/>
      <w:bookmarkEnd w:id="134"/>
    </w:p>
    <w:p w14:paraId="16C3129D" w14:textId="77777777" w:rsidR="00A01B38" w:rsidRPr="00D63217" w:rsidRDefault="00A01B38" w:rsidP="00A01B38">
      <w:pPr>
        <w:pStyle w:val="NormalText"/>
      </w:pPr>
      <w:r w:rsidRPr="00D63217">
        <w:t>The toxicological component of the Review Technical Report considered</w:t>
      </w:r>
      <w:bookmarkStart w:id="135" w:name="_Hlk161912852"/>
      <w:r w:rsidRPr="00D63217">
        <w:t xml:space="preserve"> the hazards identified in acute, short-term, chronic, reproduction and developmental toxicity studies, genotoxicity, carcinogenicity and neurotoxicity studies of paraquat.</w:t>
      </w:r>
    </w:p>
    <w:bookmarkEnd w:id="135"/>
    <w:p w14:paraId="52945666" w14:textId="77777777" w:rsidR="0049054D" w:rsidRPr="00D63217" w:rsidRDefault="00A01B38" w:rsidP="0049054D">
      <w:pPr>
        <w:pStyle w:val="NormalText"/>
      </w:pPr>
      <w:r w:rsidRPr="00D63217">
        <w:t>The paraquat toxicology component of the Review Technical Report concluded</w:t>
      </w:r>
      <w:bookmarkStart w:id="136" w:name="_Hlk162273299"/>
      <w:r w:rsidR="0049054D" w:rsidRPr="00D63217">
        <w:t xml:space="preserve"> that:</w:t>
      </w:r>
    </w:p>
    <w:p w14:paraId="5CC6D938" w14:textId="38EC4C03" w:rsidR="00BC7F18" w:rsidRDefault="00A01B38" w:rsidP="0049054D">
      <w:pPr>
        <w:pStyle w:val="Bullet1"/>
      </w:pPr>
      <w:r w:rsidRPr="00D63217">
        <w:t>the acceptable daily intake (ADI) for paraquat should remain at 0.004 mg per kilogram body weight per day based on a no observed adverse effect level</w:t>
      </w:r>
      <w:r w:rsidR="00B35353">
        <w:t xml:space="preserve"> (NOAEL)</w:t>
      </w:r>
      <w:r w:rsidRPr="00D63217">
        <w:t xml:space="preserve"> of 0.45 mg/kg bw/day in a one-year dog dietary study, based on pulmonary lesions at the next higher dose. The ADI incorporates a 100-fold uncertainty factor to account for inter- and intra-species variation in sensitivity</w:t>
      </w:r>
      <w:bookmarkEnd w:id="136"/>
      <w:r w:rsidR="00BC7F18">
        <w:br w:type="page"/>
      </w:r>
    </w:p>
    <w:p w14:paraId="53881667" w14:textId="44FF974F" w:rsidR="00A01B38" w:rsidRPr="00D63217" w:rsidRDefault="00A01B38" w:rsidP="00643761">
      <w:pPr>
        <w:pStyle w:val="Bullet1"/>
      </w:pPr>
      <w:bookmarkStart w:id="137" w:name="_Hlk162275124"/>
      <w:r w:rsidRPr="00D63217">
        <w:lastRenderedPageBreak/>
        <w:t xml:space="preserve">the acute reference dose (ARfD) for paraquat should remain at 0.004 mg of paraquat per kg body weight based on a no observed adverse effect level </w:t>
      </w:r>
      <w:r w:rsidR="00B35353">
        <w:t>(</w:t>
      </w:r>
      <w:r w:rsidR="00CD7166">
        <w:t>NOAEL</w:t>
      </w:r>
      <w:r w:rsidR="00B35353">
        <w:t>)</w:t>
      </w:r>
      <w:r w:rsidR="00CD7166">
        <w:t xml:space="preserve"> </w:t>
      </w:r>
      <w:r w:rsidRPr="00D63217">
        <w:t xml:space="preserve">of 0.45 mg per kilogram body weight in a dog dietary study, considering that </w:t>
      </w:r>
      <w:r w:rsidR="00DB4B7C" w:rsidRPr="00D63217">
        <w:t>pulmonary</w:t>
      </w:r>
      <w:r w:rsidRPr="00D63217">
        <w:t xml:space="preserve"> lesions would also occur after an acute exposure at the next higher dose.</w:t>
      </w:r>
      <w:r w:rsidR="00BC7F18">
        <w:t> </w:t>
      </w:r>
      <w:r w:rsidRPr="00D63217">
        <w:t>The ARfD incorporates a 100-fold uncertainty factor to account for inter- and intra-species variation in sensitivity</w:t>
      </w:r>
      <w:bookmarkEnd w:id="137"/>
    </w:p>
    <w:p w14:paraId="4D7D7BB3" w14:textId="6FC2B503" w:rsidR="0049054D" w:rsidRPr="00D63217" w:rsidRDefault="00A01B38" w:rsidP="0049054D">
      <w:pPr>
        <w:pStyle w:val="Bullet1"/>
      </w:pPr>
      <w:r w:rsidRPr="00D63217">
        <w:t>that the scheduling for paraquat in the Standard for the Uniform Scheduling of Medicines and Poisons remain</w:t>
      </w:r>
      <w:r w:rsidR="00B35353">
        <w:t>s</w:t>
      </w:r>
      <w:r w:rsidRPr="00D63217">
        <w:t xml:space="preserve"> unchanged.</w:t>
      </w:r>
    </w:p>
    <w:p w14:paraId="3EFC4A89" w14:textId="68E93EB1" w:rsidR="0049054D" w:rsidRPr="00D63217" w:rsidRDefault="0049054D" w:rsidP="0049054D">
      <w:pPr>
        <w:pStyle w:val="NormalText"/>
      </w:pPr>
      <w:r w:rsidRPr="00D63217">
        <w:t>Provided conditions of registration and label instructions are followed, the active constituents and registration of products containing paraquat:</w:t>
      </w:r>
    </w:p>
    <w:p w14:paraId="6FC4446E" w14:textId="77777777" w:rsidR="0049054D" w:rsidRPr="00D63217" w:rsidRDefault="0049054D" w:rsidP="0049054D">
      <w:pPr>
        <w:pStyle w:val="Bullet1"/>
      </w:pPr>
      <w:r w:rsidRPr="00D63217">
        <w:t>would not be an undue health hazard to the safety of people exposed to it during its handling or people using anything containing its residues</w:t>
      </w:r>
    </w:p>
    <w:p w14:paraId="578227EC" w14:textId="6ED0DD4F" w:rsidR="0049054D" w:rsidRPr="00D63217" w:rsidRDefault="0049054D" w:rsidP="0049054D">
      <w:pPr>
        <w:pStyle w:val="Bullet1"/>
      </w:pPr>
      <w:r w:rsidRPr="00D63217">
        <w:t>would not be likely to have an effect that is harmful to human beings</w:t>
      </w:r>
      <w:r w:rsidR="00BC7F18">
        <w:t>.</w:t>
      </w:r>
    </w:p>
    <w:p w14:paraId="018D09ED" w14:textId="37425B3B" w:rsidR="00DC15E7" w:rsidRPr="00D63217" w:rsidRDefault="00DC15E7" w:rsidP="00643761">
      <w:pPr>
        <w:pStyle w:val="Bullet1"/>
        <w:sectPr w:rsidR="00DC15E7" w:rsidRPr="00D63217" w:rsidSect="003023C5">
          <w:headerReference w:type="even" r:id="rId39"/>
          <w:pgSz w:w="11906" w:h="16838" w:code="9"/>
          <w:pgMar w:top="2835" w:right="1134" w:bottom="1134" w:left="1134" w:header="1701" w:footer="680" w:gutter="0"/>
          <w:cols w:space="708"/>
          <w:docGrid w:linePitch="360"/>
        </w:sectPr>
      </w:pPr>
    </w:p>
    <w:p w14:paraId="00CD7C32" w14:textId="77777777" w:rsidR="00104818" w:rsidRPr="00BC7F18" w:rsidRDefault="00104818" w:rsidP="00BC7F18">
      <w:pPr>
        <w:pStyle w:val="Heading1"/>
      </w:pPr>
      <w:bookmarkStart w:id="138" w:name="_Toc152921602"/>
      <w:bookmarkStart w:id="139" w:name="_Toc231480838"/>
      <w:bookmarkStart w:id="140" w:name="_Toc233036390"/>
      <w:bookmarkStart w:id="141" w:name="_Toc531181099"/>
      <w:bookmarkStart w:id="142" w:name="_Toc7561273"/>
      <w:bookmarkStart w:id="143" w:name="_Toc102555112"/>
      <w:bookmarkStart w:id="144" w:name="_Toc156980621"/>
      <w:bookmarkStart w:id="145" w:name="_Toc157602753"/>
      <w:r w:rsidRPr="00BC7F18">
        <w:lastRenderedPageBreak/>
        <w:t>Worker health and safety</w:t>
      </w:r>
      <w:bookmarkEnd w:id="138"/>
      <w:bookmarkEnd w:id="139"/>
      <w:bookmarkEnd w:id="140"/>
    </w:p>
    <w:p w14:paraId="0C0870DD" w14:textId="77777777" w:rsidR="00104818" w:rsidRPr="00BC7F18" w:rsidRDefault="00104818" w:rsidP="00BC7F18">
      <w:pPr>
        <w:pStyle w:val="Heading2"/>
      </w:pPr>
      <w:bookmarkStart w:id="146" w:name="_Toc152921604"/>
      <w:bookmarkStart w:id="147" w:name="_Toc231480839"/>
      <w:bookmarkStart w:id="148" w:name="_Toc233036391"/>
      <w:r w:rsidRPr="00BC7F18">
        <w:t>Worker exposure assessment</w:t>
      </w:r>
      <w:bookmarkEnd w:id="146"/>
      <w:bookmarkEnd w:id="147"/>
      <w:bookmarkEnd w:id="148"/>
    </w:p>
    <w:p w14:paraId="3ADE7EFD" w14:textId="094F79E4" w:rsidR="00104818" w:rsidRPr="00D63217" w:rsidRDefault="00104818" w:rsidP="00944935">
      <w:pPr>
        <w:pStyle w:val="NormalText"/>
      </w:pPr>
      <w:r w:rsidRPr="00D63217">
        <w:t>This exposure assessment and risk characterisation includes professional workers who mix, load and apply paraquat and combination products and professional workers who re-enter treated areas.</w:t>
      </w:r>
    </w:p>
    <w:p w14:paraId="04BA8C4D" w14:textId="3446B811" w:rsidR="00104818" w:rsidRPr="00D63217" w:rsidRDefault="00104818" w:rsidP="00944935">
      <w:pPr>
        <w:pStyle w:val="NormalText"/>
      </w:pPr>
      <w:r w:rsidRPr="00D63217">
        <w:t xml:space="preserve">For exposure during mixing, loading and application, the current assessment has utilised the US EPA Office of Pesticide Programs Occupational Handler Exposure </w:t>
      </w:r>
      <w:r w:rsidR="00A51A5F" w:rsidRPr="00D63217">
        <w:t xml:space="preserve">Unit Surrogate Exposure Reference Table </w:t>
      </w:r>
      <w:r w:rsidRPr="00D63217">
        <w:t>(US EPA</w:t>
      </w:r>
      <w:r w:rsidR="00A51A5F" w:rsidRPr="00D63217">
        <w:t>,</w:t>
      </w:r>
      <w:r w:rsidRPr="00D63217">
        <w:t xml:space="preserve"> 20</w:t>
      </w:r>
      <w:r w:rsidR="00A51A5F" w:rsidRPr="00D63217">
        <w:t>21(a)</w:t>
      </w:r>
      <w:r w:rsidRPr="00D63217">
        <w:t xml:space="preserve">). For exposure associated with re-entry into pesticide treated area, the current assessment has utilised the </w:t>
      </w:r>
      <w:r w:rsidR="00A51A5F" w:rsidRPr="00D63217">
        <w:t>US EPA Occupational Pesticide Post-</w:t>
      </w:r>
      <w:r w:rsidR="00B35353">
        <w:t>A</w:t>
      </w:r>
      <w:r w:rsidR="00A51A5F" w:rsidRPr="00D63217">
        <w:t xml:space="preserve">pplication Exposure Data and </w:t>
      </w:r>
      <w:r w:rsidR="00EB6047">
        <w:t>C</w:t>
      </w:r>
      <w:r w:rsidR="00A51A5F" w:rsidRPr="00D63217">
        <w:t>alculator (US EPA, 2021(b))</w:t>
      </w:r>
      <w:r w:rsidRPr="00D63217">
        <w:t>.</w:t>
      </w:r>
    </w:p>
    <w:p w14:paraId="03A51807" w14:textId="6E175F16" w:rsidR="00104818" w:rsidRPr="00D63217" w:rsidRDefault="00104818" w:rsidP="00944935">
      <w:pPr>
        <w:pStyle w:val="NormalText"/>
      </w:pPr>
      <w:r w:rsidRPr="00D63217">
        <w:t xml:space="preserve">The following assumptions have been used in the exposure modelling (see </w:t>
      </w:r>
      <w:r w:rsidRPr="00D63217">
        <w:fldChar w:fldCharType="begin"/>
      </w:r>
      <w:r w:rsidRPr="00D63217">
        <w:instrText xml:space="preserve"> REF _Ref148435442 \h  \* MERGEFORMAT </w:instrText>
      </w:r>
      <w:r w:rsidRPr="00D63217">
        <w:fldChar w:fldCharType="separate"/>
      </w:r>
      <w:r w:rsidR="008A397D" w:rsidRPr="00D63217">
        <w:t xml:space="preserve">Table </w:t>
      </w:r>
      <w:r w:rsidR="008A397D">
        <w:rPr>
          <w:noProof/>
        </w:rPr>
        <w:t>9</w:t>
      </w:r>
      <w:r w:rsidRPr="00D63217">
        <w:fldChar w:fldCharType="end"/>
      </w:r>
      <w:r w:rsidRPr="00D63217">
        <w:t>).</w:t>
      </w:r>
      <w:r w:rsidR="009A09DC" w:rsidRPr="00D63217">
        <w:t xml:space="preserve"> Application by aircraft ha</w:t>
      </w:r>
      <w:r w:rsidR="006C1FC5" w:rsidRPr="00D63217">
        <w:t>s</w:t>
      </w:r>
      <w:r w:rsidR="009A09DC" w:rsidRPr="00D63217">
        <w:t xml:space="preserve"> not been assessed, as </w:t>
      </w:r>
      <w:r w:rsidR="006C1FC5" w:rsidRPr="00D63217">
        <w:t xml:space="preserve">this </w:t>
      </w:r>
      <w:r w:rsidR="009A09DC" w:rsidRPr="00D63217">
        <w:t xml:space="preserve">use </w:t>
      </w:r>
      <w:r w:rsidR="006C1FC5" w:rsidRPr="00D63217">
        <w:t xml:space="preserve">is </w:t>
      </w:r>
      <w:r w:rsidR="009A09DC" w:rsidRPr="00D63217">
        <w:t>not supported on currently approved labels.</w:t>
      </w:r>
    </w:p>
    <w:p w14:paraId="6F9784E7" w14:textId="31B86109" w:rsidR="00104818" w:rsidRPr="00BC7F18" w:rsidRDefault="00944935" w:rsidP="00BC7F18">
      <w:pPr>
        <w:pStyle w:val="Caption"/>
      </w:pPr>
      <w:bookmarkStart w:id="149" w:name="_Ref148435442"/>
      <w:bookmarkStart w:id="150" w:name="_Toc152921671"/>
      <w:bookmarkStart w:id="151" w:name="_Toc230692275"/>
      <w:bookmarkStart w:id="152" w:name="_Toc233036496"/>
      <w:r w:rsidRPr="00BC7F18">
        <w:t xml:space="preserve">Table </w:t>
      </w:r>
      <w:fldSimple w:instr=" SEQ Table \* ARABIC ">
        <w:r w:rsidR="00BC7F18">
          <w:rPr>
            <w:noProof/>
          </w:rPr>
          <w:t>9</w:t>
        </w:r>
      </w:fldSimple>
      <w:bookmarkEnd w:id="149"/>
      <w:r w:rsidR="00104818" w:rsidRPr="00BC7F18">
        <w:t>:</w:t>
      </w:r>
      <w:r w:rsidRPr="00BC7F18">
        <w:t xml:space="preserve"> </w:t>
      </w:r>
      <w:r w:rsidR="00104818" w:rsidRPr="00BC7F18">
        <w:t xml:space="preserve">Assumptions used in modelling exposure for professional use of </w:t>
      </w:r>
      <w:bookmarkEnd w:id="150"/>
      <w:r w:rsidR="009517AE" w:rsidRPr="00BC7F18">
        <w:t>paraquat</w:t>
      </w:r>
      <w:r w:rsidR="00307F56" w:rsidRPr="00BC7F18">
        <w:t xml:space="preserve"> products and paraquat plus diquat products</w:t>
      </w:r>
      <w:bookmarkEnd w:id="151"/>
      <w:bookmarkEnd w:id="152"/>
    </w:p>
    <w:tbl>
      <w:tblPr>
        <w:tblW w:w="5000" w:type="pct"/>
        <w:tblBorders>
          <w:bottom w:val="dotted" w:sz="2" w:space="0" w:color="auto"/>
          <w:insideH w:val="dotted" w:sz="2" w:space="0" w:color="auto"/>
        </w:tblBorders>
        <w:tblLook w:val="0000" w:firstRow="0" w:lastRow="0" w:firstColumn="0" w:lastColumn="0" w:noHBand="0" w:noVBand="0"/>
      </w:tblPr>
      <w:tblGrid>
        <w:gridCol w:w="5262"/>
        <w:gridCol w:w="4376"/>
      </w:tblGrid>
      <w:tr w:rsidR="00104818" w:rsidRPr="00D63217" w14:paraId="39511E51" w14:textId="77777777" w:rsidTr="009203A6">
        <w:trPr>
          <w:tblHeader/>
        </w:trPr>
        <w:tc>
          <w:tcPr>
            <w:tcW w:w="2730" w:type="pct"/>
            <w:tcBorders>
              <w:top w:val="single" w:sz="4" w:space="0" w:color="auto"/>
              <w:bottom w:val="single" w:sz="4" w:space="0" w:color="auto"/>
            </w:tcBorders>
            <w:shd w:val="clear" w:color="auto" w:fill="5C2946"/>
          </w:tcPr>
          <w:p w14:paraId="22D2933F" w14:textId="5FD6374B" w:rsidR="00104818" w:rsidRPr="00BC7F18" w:rsidRDefault="00104818" w:rsidP="00BC7F18">
            <w:pPr>
              <w:pStyle w:val="TableHead"/>
            </w:pPr>
            <w:r w:rsidRPr="00BC7F18">
              <w:t>Parameter</w:t>
            </w:r>
            <w:r w:rsidR="00B35353" w:rsidRPr="00BC7F18">
              <w:t>s</w:t>
            </w:r>
          </w:p>
        </w:tc>
        <w:tc>
          <w:tcPr>
            <w:tcW w:w="2270" w:type="pct"/>
            <w:tcBorders>
              <w:top w:val="single" w:sz="4" w:space="0" w:color="auto"/>
              <w:bottom w:val="single" w:sz="4" w:space="0" w:color="auto"/>
            </w:tcBorders>
            <w:shd w:val="clear" w:color="auto" w:fill="5C2946"/>
          </w:tcPr>
          <w:p w14:paraId="03679F26" w14:textId="783805B9" w:rsidR="00104818" w:rsidRPr="00BC7F18" w:rsidRDefault="00104818" w:rsidP="00BC7F18">
            <w:pPr>
              <w:pStyle w:val="TableHead"/>
            </w:pPr>
            <w:r w:rsidRPr="00BC7F18">
              <w:t>Value</w:t>
            </w:r>
            <w:r w:rsidR="00B35353" w:rsidRPr="00BC7F18">
              <w:t>s</w:t>
            </w:r>
          </w:p>
        </w:tc>
      </w:tr>
      <w:tr w:rsidR="00104818" w:rsidRPr="00D63217" w14:paraId="38ED9A0A" w14:textId="77777777" w:rsidTr="009203A6">
        <w:tc>
          <w:tcPr>
            <w:tcW w:w="2730" w:type="pct"/>
            <w:tcBorders>
              <w:top w:val="single" w:sz="4" w:space="0" w:color="auto"/>
              <w:bottom w:val="single" w:sz="4" w:space="0" w:color="auto"/>
            </w:tcBorders>
          </w:tcPr>
          <w:p w14:paraId="7804D506" w14:textId="05524D71" w:rsidR="00104818" w:rsidRPr="00D63217" w:rsidRDefault="00104818" w:rsidP="00F05F9A">
            <w:pPr>
              <w:pStyle w:val="TableText"/>
            </w:pPr>
            <w:r w:rsidRPr="00D63217">
              <w:t xml:space="preserve">Point of </w:t>
            </w:r>
            <w:r w:rsidR="00F05F9A" w:rsidRPr="00D63217">
              <w:t>d</w:t>
            </w:r>
            <w:r w:rsidRPr="00D63217">
              <w:t>eparture for risk assessment</w:t>
            </w:r>
            <w:r w:rsidR="000744E4">
              <w:t xml:space="preserve"> (paraquat)</w:t>
            </w:r>
          </w:p>
        </w:tc>
        <w:tc>
          <w:tcPr>
            <w:tcW w:w="2270" w:type="pct"/>
            <w:tcBorders>
              <w:top w:val="single" w:sz="4" w:space="0" w:color="auto"/>
              <w:bottom w:val="single" w:sz="4" w:space="0" w:color="auto"/>
            </w:tcBorders>
          </w:tcPr>
          <w:p w14:paraId="6C6D51F2" w14:textId="36EBF005" w:rsidR="00104818" w:rsidRPr="00D63217" w:rsidRDefault="00104818" w:rsidP="00F05F9A">
            <w:pPr>
              <w:pStyle w:val="TableText"/>
            </w:pPr>
            <w:r w:rsidRPr="00D63217">
              <w:t>0.045 mg/kg bw/day (based on NOAEL of 0.</w:t>
            </w:r>
            <w:r w:rsidR="00F05F9A" w:rsidRPr="00D63217">
              <w:t>45 </w:t>
            </w:r>
            <w:r w:rsidRPr="00D63217">
              <w:t>mg/kg bw/day and a 10% oral availability</w:t>
            </w:r>
          </w:p>
        </w:tc>
      </w:tr>
      <w:tr w:rsidR="000744E4" w:rsidRPr="00D63217" w14:paraId="265D1D9D" w14:textId="77777777" w:rsidTr="009203A6">
        <w:tc>
          <w:tcPr>
            <w:tcW w:w="2730" w:type="pct"/>
            <w:tcBorders>
              <w:top w:val="single" w:sz="4" w:space="0" w:color="auto"/>
              <w:bottom w:val="single" w:sz="4" w:space="0" w:color="auto"/>
            </w:tcBorders>
          </w:tcPr>
          <w:p w14:paraId="36583663" w14:textId="75F7F7DD" w:rsidR="000744E4" w:rsidRPr="00D63217" w:rsidRDefault="000744E4" w:rsidP="00F05F9A">
            <w:pPr>
              <w:pStyle w:val="TableText"/>
            </w:pPr>
            <w:r w:rsidRPr="00D63217">
              <w:t>Point of departure for risk assessment</w:t>
            </w:r>
            <w:r>
              <w:t xml:space="preserve"> (diquat)</w:t>
            </w:r>
          </w:p>
        </w:tc>
        <w:tc>
          <w:tcPr>
            <w:tcW w:w="2270" w:type="pct"/>
            <w:tcBorders>
              <w:top w:val="single" w:sz="4" w:space="0" w:color="auto"/>
              <w:bottom w:val="single" w:sz="4" w:space="0" w:color="auto"/>
            </w:tcBorders>
          </w:tcPr>
          <w:p w14:paraId="712B54B2" w14:textId="18103ACC" w:rsidR="000744E4" w:rsidRPr="00D63217" w:rsidRDefault="000744E4" w:rsidP="00F05F9A">
            <w:pPr>
              <w:pStyle w:val="TableText"/>
            </w:pPr>
            <w:r w:rsidRPr="000744E4">
              <w:t>0.282 mg/kg bw/day (based on NOAEL of 4.7 mg/kg bw/day and 6% oral availability)</w:t>
            </w:r>
          </w:p>
        </w:tc>
      </w:tr>
      <w:tr w:rsidR="00104818" w:rsidRPr="00D63217" w14:paraId="7F610C9F" w14:textId="77777777" w:rsidTr="009203A6">
        <w:tc>
          <w:tcPr>
            <w:tcW w:w="2730" w:type="pct"/>
            <w:tcBorders>
              <w:top w:val="single" w:sz="4" w:space="0" w:color="auto"/>
              <w:bottom w:val="single" w:sz="4" w:space="0" w:color="auto"/>
            </w:tcBorders>
          </w:tcPr>
          <w:p w14:paraId="0E3B457B" w14:textId="77777777" w:rsidR="00104818" w:rsidRPr="00D63217" w:rsidRDefault="00104818" w:rsidP="00F05F9A">
            <w:pPr>
              <w:pStyle w:val="TableText"/>
            </w:pPr>
            <w:r w:rsidRPr="00D63217">
              <w:t>Acceptable margin of exposure (MOE)</w:t>
            </w:r>
          </w:p>
        </w:tc>
        <w:tc>
          <w:tcPr>
            <w:tcW w:w="2270" w:type="pct"/>
            <w:tcBorders>
              <w:top w:val="single" w:sz="4" w:space="0" w:color="auto"/>
              <w:bottom w:val="single" w:sz="4" w:space="0" w:color="auto"/>
            </w:tcBorders>
          </w:tcPr>
          <w:p w14:paraId="12E53CFA" w14:textId="41AC56B0" w:rsidR="00104818" w:rsidRPr="00D63217" w:rsidRDefault="00104818" w:rsidP="00F05F9A">
            <w:pPr>
              <w:pStyle w:val="TableText"/>
            </w:pPr>
            <w:r w:rsidRPr="00D63217">
              <w:t>100</w:t>
            </w:r>
            <w:r w:rsidR="00EB6047">
              <w:rPr>
                <w:rStyle w:val="FootnoteReference"/>
              </w:rPr>
              <w:footnoteReference w:id="3"/>
            </w:r>
          </w:p>
        </w:tc>
      </w:tr>
      <w:tr w:rsidR="00104818" w:rsidRPr="00D63217" w14:paraId="7AF6C781" w14:textId="77777777" w:rsidTr="009203A6">
        <w:tc>
          <w:tcPr>
            <w:tcW w:w="2730" w:type="pct"/>
            <w:tcBorders>
              <w:top w:val="single" w:sz="4" w:space="0" w:color="auto"/>
              <w:bottom w:val="single" w:sz="4" w:space="0" w:color="auto"/>
            </w:tcBorders>
          </w:tcPr>
          <w:p w14:paraId="492E2CBE" w14:textId="77777777" w:rsidR="00104818" w:rsidRPr="00D63217" w:rsidRDefault="00104818" w:rsidP="00F05F9A">
            <w:pPr>
              <w:pStyle w:val="TableText"/>
            </w:pPr>
            <w:r w:rsidRPr="00D63217">
              <w:t>Body weight (adult)</w:t>
            </w:r>
          </w:p>
        </w:tc>
        <w:tc>
          <w:tcPr>
            <w:tcW w:w="2270" w:type="pct"/>
            <w:tcBorders>
              <w:top w:val="single" w:sz="4" w:space="0" w:color="auto"/>
              <w:bottom w:val="single" w:sz="4" w:space="0" w:color="auto"/>
            </w:tcBorders>
          </w:tcPr>
          <w:p w14:paraId="0B774DF8" w14:textId="77777777" w:rsidR="00104818" w:rsidRPr="00D63217" w:rsidRDefault="00104818" w:rsidP="00F05F9A">
            <w:pPr>
              <w:pStyle w:val="TableText"/>
            </w:pPr>
            <w:r w:rsidRPr="00D63217">
              <w:t>80 kg</w:t>
            </w:r>
          </w:p>
        </w:tc>
      </w:tr>
      <w:tr w:rsidR="00104818" w:rsidRPr="00D63217" w14:paraId="596B8A9D" w14:textId="77777777" w:rsidTr="009203A6">
        <w:trPr>
          <w:cantSplit/>
        </w:trPr>
        <w:tc>
          <w:tcPr>
            <w:tcW w:w="2730" w:type="pct"/>
            <w:tcBorders>
              <w:top w:val="single" w:sz="4" w:space="0" w:color="auto"/>
              <w:bottom w:val="single" w:sz="4" w:space="0" w:color="auto"/>
            </w:tcBorders>
          </w:tcPr>
          <w:p w14:paraId="6850AAB4" w14:textId="3EC24629" w:rsidR="00104818" w:rsidRPr="00D63217" w:rsidRDefault="00104818" w:rsidP="00F05F9A">
            <w:pPr>
              <w:pStyle w:val="TableText"/>
            </w:pPr>
            <w:r w:rsidRPr="00D63217">
              <w:t>Body weight (child)</w:t>
            </w:r>
          </w:p>
        </w:tc>
        <w:tc>
          <w:tcPr>
            <w:tcW w:w="2270" w:type="pct"/>
            <w:tcBorders>
              <w:top w:val="single" w:sz="4" w:space="0" w:color="auto"/>
              <w:bottom w:val="single" w:sz="4" w:space="0" w:color="auto"/>
            </w:tcBorders>
          </w:tcPr>
          <w:p w14:paraId="300F6391" w14:textId="7C14A31B" w:rsidR="00104818" w:rsidRPr="00D63217" w:rsidRDefault="00104818" w:rsidP="00F05F9A">
            <w:pPr>
              <w:pStyle w:val="TableText"/>
            </w:pPr>
            <w:r w:rsidRPr="00D63217">
              <w:t>1 to 2 y: 11 kg</w:t>
            </w:r>
            <w:r w:rsidR="00F05F9A" w:rsidRPr="00D63217">
              <w:br/>
            </w:r>
            <w:r w:rsidRPr="00D63217">
              <w:t>2 to 3 y: 15 kg</w:t>
            </w:r>
          </w:p>
        </w:tc>
      </w:tr>
      <w:tr w:rsidR="00104818" w:rsidRPr="00D63217" w14:paraId="2939390A" w14:textId="77777777" w:rsidTr="009203A6">
        <w:tc>
          <w:tcPr>
            <w:tcW w:w="2730" w:type="pct"/>
            <w:tcBorders>
              <w:top w:val="single" w:sz="4" w:space="0" w:color="auto"/>
              <w:bottom w:val="single" w:sz="4" w:space="0" w:color="auto"/>
            </w:tcBorders>
          </w:tcPr>
          <w:p w14:paraId="0DB19A2E" w14:textId="089CCDA9" w:rsidR="00104818" w:rsidRPr="00D63217" w:rsidRDefault="00104818" w:rsidP="00F05F9A">
            <w:pPr>
              <w:pStyle w:val="TableText"/>
            </w:pPr>
            <w:r w:rsidRPr="00D63217">
              <w:t>Dermal absorption factor</w:t>
            </w:r>
            <w:r w:rsidR="009911FE">
              <w:t xml:space="preserve"> (paraquat)</w:t>
            </w:r>
          </w:p>
        </w:tc>
        <w:tc>
          <w:tcPr>
            <w:tcW w:w="2270" w:type="pct"/>
            <w:tcBorders>
              <w:top w:val="single" w:sz="4" w:space="0" w:color="auto"/>
              <w:bottom w:val="single" w:sz="4" w:space="0" w:color="auto"/>
            </w:tcBorders>
            <w:vAlign w:val="center"/>
          </w:tcPr>
          <w:p w14:paraId="207E52BF" w14:textId="4B8A5F5B" w:rsidR="00104818" w:rsidRPr="00D63217" w:rsidRDefault="00104818" w:rsidP="00F05F9A">
            <w:pPr>
              <w:pStyle w:val="TableText"/>
            </w:pPr>
            <w:r w:rsidRPr="00D63217">
              <w:t xml:space="preserve">0.3% </w:t>
            </w:r>
          </w:p>
        </w:tc>
      </w:tr>
      <w:tr w:rsidR="009911FE" w:rsidRPr="00D63217" w14:paraId="2EB5A0FC" w14:textId="77777777" w:rsidTr="009203A6">
        <w:tc>
          <w:tcPr>
            <w:tcW w:w="2730" w:type="pct"/>
            <w:tcBorders>
              <w:top w:val="single" w:sz="4" w:space="0" w:color="auto"/>
              <w:bottom w:val="single" w:sz="4" w:space="0" w:color="auto"/>
            </w:tcBorders>
          </w:tcPr>
          <w:p w14:paraId="76EF4393" w14:textId="728095AD" w:rsidR="009911FE" w:rsidRPr="00D63217" w:rsidRDefault="009911FE" w:rsidP="00F05F9A">
            <w:pPr>
              <w:pStyle w:val="TableText"/>
            </w:pPr>
            <w:r w:rsidRPr="009911FE">
              <w:t>Dermal absorption factor (</w:t>
            </w:r>
            <w:r>
              <w:t>diq</w:t>
            </w:r>
            <w:r w:rsidRPr="009911FE">
              <w:t>uat)</w:t>
            </w:r>
          </w:p>
        </w:tc>
        <w:tc>
          <w:tcPr>
            <w:tcW w:w="2270" w:type="pct"/>
            <w:tcBorders>
              <w:top w:val="single" w:sz="4" w:space="0" w:color="auto"/>
              <w:bottom w:val="single" w:sz="4" w:space="0" w:color="auto"/>
            </w:tcBorders>
            <w:vAlign w:val="center"/>
          </w:tcPr>
          <w:p w14:paraId="5400687F" w14:textId="3FC5565B" w:rsidR="009911FE" w:rsidRPr="00D63217" w:rsidRDefault="009911FE" w:rsidP="00F05F9A">
            <w:pPr>
              <w:pStyle w:val="TableText"/>
            </w:pPr>
            <w:r>
              <w:t>3.3%</w:t>
            </w:r>
          </w:p>
        </w:tc>
      </w:tr>
      <w:tr w:rsidR="00104818" w:rsidRPr="00D63217" w14:paraId="41144028" w14:textId="77777777" w:rsidTr="009203A6">
        <w:tc>
          <w:tcPr>
            <w:tcW w:w="2730" w:type="pct"/>
            <w:tcBorders>
              <w:top w:val="single" w:sz="4" w:space="0" w:color="auto"/>
              <w:bottom w:val="single" w:sz="4" w:space="0" w:color="auto"/>
            </w:tcBorders>
          </w:tcPr>
          <w:p w14:paraId="134DEB55" w14:textId="031E7768" w:rsidR="00104818" w:rsidRPr="00D63217" w:rsidRDefault="00104818" w:rsidP="00F05F9A">
            <w:pPr>
              <w:pStyle w:val="TableText"/>
            </w:pPr>
            <w:r w:rsidRPr="00D63217">
              <w:t>Inhalation absorption factor</w:t>
            </w:r>
            <w:r w:rsidR="009911FE">
              <w:t xml:space="preserve"> (paraquat and diquat)</w:t>
            </w:r>
          </w:p>
        </w:tc>
        <w:tc>
          <w:tcPr>
            <w:tcW w:w="2270" w:type="pct"/>
            <w:tcBorders>
              <w:top w:val="single" w:sz="4" w:space="0" w:color="auto"/>
              <w:bottom w:val="single" w:sz="4" w:space="0" w:color="auto"/>
            </w:tcBorders>
          </w:tcPr>
          <w:p w14:paraId="2F49E649" w14:textId="77777777" w:rsidR="00104818" w:rsidRPr="00D63217" w:rsidRDefault="00104818" w:rsidP="00F05F9A">
            <w:pPr>
              <w:pStyle w:val="TableText"/>
            </w:pPr>
            <w:r w:rsidRPr="00D63217">
              <w:t>100%</w:t>
            </w:r>
          </w:p>
        </w:tc>
      </w:tr>
      <w:tr w:rsidR="00104818" w:rsidRPr="00D63217" w14:paraId="7B37F769" w14:textId="77777777" w:rsidTr="009203A6">
        <w:tc>
          <w:tcPr>
            <w:tcW w:w="2730" w:type="pct"/>
            <w:tcBorders>
              <w:top w:val="single" w:sz="4" w:space="0" w:color="auto"/>
              <w:bottom w:val="single" w:sz="4" w:space="0" w:color="auto"/>
            </w:tcBorders>
          </w:tcPr>
          <w:p w14:paraId="6E0DB99E" w14:textId="77777777" w:rsidR="00104818" w:rsidRPr="00D63217" w:rsidRDefault="00104818" w:rsidP="00F05F9A">
            <w:pPr>
              <w:pStyle w:val="TableText"/>
            </w:pPr>
            <w:r w:rsidRPr="00D63217">
              <w:t>Groundboom field application (most crops)</w:t>
            </w:r>
          </w:p>
        </w:tc>
        <w:tc>
          <w:tcPr>
            <w:tcW w:w="2270" w:type="pct"/>
            <w:tcBorders>
              <w:top w:val="single" w:sz="4" w:space="0" w:color="auto"/>
              <w:bottom w:val="single" w:sz="4" w:space="0" w:color="auto"/>
            </w:tcBorders>
          </w:tcPr>
          <w:p w14:paraId="1F96E766" w14:textId="3E6C18F6" w:rsidR="00104818" w:rsidRPr="00D63217" w:rsidRDefault="00FD2D7B" w:rsidP="00F05F9A">
            <w:pPr>
              <w:pStyle w:val="TableText"/>
            </w:pPr>
            <w:r>
              <w:t>5</w:t>
            </w:r>
            <w:r w:rsidRPr="00D63217">
              <w:t xml:space="preserve">0 </w:t>
            </w:r>
            <w:r w:rsidR="00104818" w:rsidRPr="00D63217">
              <w:t xml:space="preserve">to </w:t>
            </w:r>
            <w:r w:rsidR="000744E4">
              <w:t>5</w:t>
            </w:r>
            <w:r w:rsidR="000744E4" w:rsidRPr="00D63217">
              <w:t xml:space="preserve">00 </w:t>
            </w:r>
            <w:r w:rsidR="00104818" w:rsidRPr="00D63217">
              <w:t>ha/day</w:t>
            </w:r>
          </w:p>
        </w:tc>
      </w:tr>
      <w:tr w:rsidR="00104818" w:rsidRPr="00D63217" w14:paraId="447FF402" w14:textId="77777777" w:rsidTr="009203A6">
        <w:tc>
          <w:tcPr>
            <w:tcW w:w="2730" w:type="pct"/>
            <w:tcBorders>
              <w:top w:val="single" w:sz="4" w:space="0" w:color="auto"/>
              <w:bottom w:val="single" w:sz="4" w:space="0" w:color="auto"/>
            </w:tcBorders>
          </w:tcPr>
          <w:p w14:paraId="05DF3ABE" w14:textId="77777777" w:rsidR="00104818" w:rsidRPr="00D63217" w:rsidRDefault="00104818" w:rsidP="00F05F9A">
            <w:pPr>
              <w:pStyle w:val="TableText"/>
            </w:pPr>
            <w:r w:rsidRPr="00D63217">
              <w:t>Groundboom field application (cotton)</w:t>
            </w:r>
          </w:p>
        </w:tc>
        <w:tc>
          <w:tcPr>
            <w:tcW w:w="2270" w:type="pct"/>
            <w:tcBorders>
              <w:top w:val="single" w:sz="4" w:space="0" w:color="auto"/>
              <w:bottom w:val="single" w:sz="4" w:space="0" w:color="auto"/>
            </w:tcBorders>
          </w:tcPr>
          <w:p w14:paraId="5FDD367B" w14:textId="54065F19" w:rsidR="00104818" w:rsidRPr="00D63217" w:rsidRDefault="000744E4" w:rsidP="00F05F9A">
            <w:pPr>
              <w:pStyle w:val="TableText"/>
            </w:pPr>
            <w:r>
              <w:t>4</w:t>
            </w:r>
            <w:r w:rsidRPr="00D63217">
              <w:t xml:space="preserve">00 </w:t>
            </w:r>
            <w:r w:rsidR="00104818" w:rsidRPr="00D63217">
              <w:t>ha/day</w:t>
            </w:r>
          </w:p>
        </w:tc>
      </w:tr>
      <w:tr w:rsidR="00104818" w:rsidRPr="00D63217" w14:paraId="32DFD0CB" w14:textId="77777777" w:rsidTr="009203A6">
        <w:tc>
          <w:tcPr>
            <w:tcW w:w="2730" w:type="pct"/>
            <w:tcBorders>
              <w:top w:val="single" w:sz="4" w:space="0" w:color="auto"/>
              <w:bottom w:val="single" w:sz="4" w:space="0" w:color="auto"/>
            </w:tcBorders>
          </w:tcPr>
          <w:p w14:paraId="7BC0DD12" w14:textId="77777777" w:rsidR="00104818" w:rsidRPr="00D63217" w:rsidRDefault="00104818" w:rsidP="00F05F9A">
            <w:pPr>
              <w:pStyle w:val="TableText"/>
            </w:pPr>
            <w:r w:rsidRPr="00D63217">
              <w:t>Groundboom field application (broadacre uses)</w:t>
            </w:r>
          </w:p>
        </w:tc>
        <w:tc>
          <w:tcPr>
            <w:tcW w:w="2270" w:type="pct"/>
            <w:tcBorders>
              <w:top w:val="single" w:sz="4" w:space="0" w:color="auto"/>
              <w:bottom w:val="single" w:sz="4" w:space="0" w:color="auto"/>
            </w:tcBorders>
          </w:tcPr>
          <w:p w14:paraId="30EDEE68" w14:textId="137B11BC" w:rsidR="00104818" w:rsidRPr="00D63217" w:rsidRDefault="000744E4" w:rsidP="00F05F9A">
            <w:pPr>
              <w:pStyle w:val="TableText"/>
            </w:pPr>
            <w:r>
              <w:t>5</w:t>
            </w:r>
            <w:r w:rsidRPr="00D63217">
              <w:t xml:space="preserve">00 </w:t>
            </w:r>
            <w:r w:rsidR="00104818" w:rsidRPr="00D63217">
              <w:t>ha/day</w:t>
            </w:r>
          </w:p>
        </w:tc>
      </w:tr>
      <w:tr w:rsidR="00105A54" w:rsidRPr="00D63217" w14:paraId="77C84B3E" w14:textId="77777777" w:rsidTr="009203A6">
        <w:tc>
          <w:tcPr>
            <w:tcW w:w="2730" w:type="pct"/>
            <w:tcBorders>
              <w:top w:val="single" w:sz="4" w:space="0" w:color="auto"/>
              <w:bottom w:val="single" w:sz="4" w:space="0" w:color="auto"/>
            </w:tcBorders>
          </w:tcPr>
          <w:p w14:paraId="37DA6CB0" w14:textId="585FEE18" w:rsidR="00105A54" w:rsidRPr="00D63217" w:rsidRDefault="00105A54" w:rsidP="00F05F9A">
            <w:pPr>
              <w:pStyle w:val="TableText"/>
            </w:pPr>
            <w:r w:rsidRPr="00D63217">
              <w:t>Backpack application (mixer, loader, applicator)</w:t>
            </w:r>
          </w:p>
        </w:tc>
        <w:tc>
          <w:tcPr>
            <w:tcW w:w="2270" w:type="pct"/>
            <w:tcBorders>
              <w:top w:val="single" w:sz="4" w:space="0" w:color="auto"/>
              <w:bottom w:val="single" w:sz="4" w:space="0" w:color="auto"/>
            </w:tcBorders>
          </w:tcPr>
          <w:p w14:paraId="51885F99" w14:textId="00C2C6EC" w:rsidR="00105A54" w:rsidRPr="00D63217" w:rsidRDefault="00105A54" w:rsidP="00F05F9A">
            <w:pPr>
              <w:pStyle w:val="TableText"/>
            </w:pPr>
            <w:r w:rsidRPr="00D63217">
              <w:t>150</w:t>
            </w:r>
            <w:r w:rsidR="002B0672" w:rsidRPr="00D63217">
              <w:t xml:space="preserve"> L</w:t>
            </w:r>
            <w:r w:rsidR="002237EE" w:rsidRPr="00D63217">
              <w:t xml:space="preserve"> dilute product</w:t>
            </w:r>
            <w:r w:rsidRPr="00D63217">
              <w:t>/day</w:t>
            </w:r>
          </w:p>
        </w:tc>
      </w:tr>
      <w:tr w:rsidR="00105A54" w:rsidRPr="00D63217" w14:paraId="6553F9D5" w14:textId="77777777" w:rsidTr="009203A6">
        <w:tc>
          <w:tcPr>
            <w:tcW w:w="2730" w:type="pct"/>
            <w:tcBorders>
              <w:top w:val="single" w:sz="4" w:space="0" w:color="auto"/>
              <w:bottom w:val="single" w:sz="4" w:space="0" w:color="auto"/>
            </w:tcBorders>
          </w:tcPr>
          <w:p w14:paraId="7737DDEC" w14:textId="77777777" w:rsidR="00105A54" w:rsidRPr="00D63217" w:rsidRDefault="00105A54" w:rsidP="00F05F9A">
            <w:pPr>
              <w:pStyle w:val="TableText"/>
            </w:pPr>
            <w:r w:rsidRPr="00D63217">
              <w:lastRenderedPageBreak/>
              <w:t>Manually pressurised hand wand application</w:t>
            </w:r>
          </w:p>
        </w:tc>
        <w:tc>
          <w:tcPr>
            <w:tcW w:w="2270" w:type="pct"/>
            <w:tcBorders>
              <w:top w:val="single" w:sz="4" w:space="0" w:color="auto"/>
              <w:bottom w:val="single" w:sz="4" w:space="0" w:color="auto"/>
            </w:tcBorders>
          </w:tcPr>
          <w:p w14:paraId="3549A537" w14:textId="1E6DE25C" w:rsidR="00105A54" w:rsidRPr="00D63217" w:rsidRDefault="002B0672" w:rsidP="00F05F9A">
            <w:pPr>
              <w:pStyle w:val="TableText"/>
            </w:pPr>
            <w:r w:rsidRPr="00D63217">
              <w:t>150 L dilute product/day</w:t>
            </w:r>
          </w:p>
        </w:tc>
      </w:tr>
      <w:tr w:rsidR="00105A54" w:rsidRPr="00D63217" w14:paraId="237A1222" w14:textId="77777777" w:rsidTr="009203A6">
        <w:tc>
          <w:tcPr>
            <w:tcW w:w="2730" w:type="pct"/>
            <w:tcBorders>
              <w:top w:val="single" w:sz="4" w:space="0" w:color="auto"/>
              <w:bottom w:val="single" w:sz="4" w:space="0" w:color="auto"/>
            </w:tcBorders>
          </w:tcPr>
          <w:p w14:paraId="61A44BD3" w14:textId="166DD995" w:rsidR="00105A54" w:rsidRPr="00D63217" w:rsidRDefault="00105A54" w:rsidP="00F05F9A">
            <w:pPr>
              <w:pStyle w:val="TableText"/>
            </w:pPr>
            <w:r w:rsidRPr="00D63217">
              <w:t>Mechanically pressurised hand</w:t>
            </w:r>
            <w:r w:rsidR="00532B63" w:rsidRPr="00D63217">
              <w:t xml:space="preserve"> wand</w:t>
            </w:r>
            <w:r w:rsidRPr="00D63217">
              <w:t xml:space="preserve"> application</w:t>
            </w:r>
          </w:p>
        </w:tc>
        <w:tc>
          <w:tcPr>
            <w:tcW w:w="2270" w:type="pct"/>
            <w:tcBorders>
              <w:top w:val="single" w:sz="4" w:space="0" w:color="auto"/>
              <w:bottom w:val="single" w:sz="4" w:space="0" w:color="auto"/>
            </w:tcBorders>
          </w:tcPr>
          <w:p w14:paraId="61DF2C72" w14:textId="6125B41F" w:rsidR="00445260" w:rsidRDefault="00445260" w:rsidP="00F05F9A">
            <w:pPr>
              <w:pStyle w:val="TableText"/>
            </w:pPr>
            <w:r w:rsidRPr="00445260">
              <w:t>Spot treatment foliar = 1,000 L</w:t>
            </w:r>
            <w:r w:rsidR="000744E4">
              <w:t xml:space="preserve"> dilute product</w:t>
            </w:r>
            <w:r w:rsidRPr="00445260">
              <w:t xml:space="preserve">/day </w:t>
            </w:r>
          </w:p>
          <w:p w14:paraId="2F13BE58" w14:textId="73640FFE" w:rsidR="00105A54" w:rsidRPr="00D63217" w:rsidRDefault="00445260" w:rsidP="00F05F9A">
            <w:pPr>
              <w:pStyle w:val="TableText"/>
            </w:pPr>
            <w:r w:rsidRPr="000744E4">
              <w:t xml:space="preserve">Broadcast foliar = 4,000 </w:t>
            </w:r>
            <w:r w:rsidR="002B0672" w:rsidRPr="00D63217">
              <w:t>L dilute product/day</w:t>
            </w:r>
          </w:p>
        </w:tc>
      </w:tr>
    </w:tbl>
    <w:p w14:paraId="0107D82A" w14:textId="7DFE1EB7" w:rsidR="00104818" w:rsidRPr="00D63217" w:rsidRDefault="00104818" w:rsidP="007E6082">
      <w:pPr>
        <w:pStyle w:val="NormalText"/>
      </w:pPr>
      <w:r w:rsidRPr="00D63217">
        <w:t>The exposure assessments and risk characterisations for professional use of paraquat also rely upon a further series of reasonable assumptions, notably that professional users:</w:t>
      </w:r>
    </w:p>
    <w:p w14:paraId="24FC7726" w14:textId="77777777" w:rsidR="00104818" w:rsidRPr="00D63217" w:rsidRDefault="00104818" w:rsidP="00F05F9A">
      <w:pPr>
        <w:pStyle w:val="Bullet1"/>
      </w:pPr>
      <w:r w:rsidRPr="00D63217">
        <w:t>are trained in accurate mixing, loading and application methods</w:t>
      </w:r>
    </w:p>
    <w:p w14:paraId="0473AB43" w14:textId="77777777" w:rsidR="00104818" w:rsidRPr="00D63217" w:rsidRDefault="00104818" w:rsidP="00F05F9A">
      <w:pPr>
        <w:pStyle w:val="Bullet1"/>
      </w:pPr>
      <w:r w:rsidRPr="00D63217">
        <w:t>are trained in, and are competent and experienced users of, personal protective equipment and relevant application techniques and equipment</w:t>
      </w:r>
    </w:p>
    <w:p w14:paraId="647DE462" w14:textId="77777777" w:rsidR="00104818" w:rsidRPr="00D63217" w:rsidRDefault="00104818" w:rsidP="00F05F9A">
      <w:pPr>
        <w:pStyle w:val="Bullet1"/>
      </w:pPr>
      <w:r w:rsidRPr="00D63217">
        <w:t>have a high level of compliance with label directions, including label-specified application rates and the use of personal protective equipment specified on product labels</w:t>
      </w:r>
    </w:p>
    <w:p w14:paraId="4CAF6289" w14:textId="4A080D17" w:rsidR="00104818" w:rsidRPr="00D63217" w:rsidRDefault="00104818" w:rsidP="00F05F9A">
      <w:pPr>
        <w:pStyle w:val="Bullet1"/>
      </w:pPr>
      <w:r w:rsidRPr="00D63217">
        <w:t>wear long-sleeved shirt, long pants, shoes and socks or an equivalent single layer of clothing when using paraquat, in addition to any personal protective equipment specified on product labels.</w:t>
      </w:r>
    </w:p>
    <w:p w14:paraId="3A84782A" w14:textId="77777777" w:rsidR="00104818" w:rsidRPr="00BC7F18" w:rsidRDefault="00104818" w:rsidP="00BC7F18">
      <w:pPr>
        <w:pStyle w:val="Heading3"/>
      </w:pPr>
      <w:bookmarkStart w:id="153" w:name="_Toc152921605"/>
      <w:bookmarkStart w:id="154" w:name="_Toc231480840"/>
      <w:bookmarkStart w:id="155" w:name="_Toc233036392"/>
      <w:r w:rsidRPr="00BC7F18">
        <w:t>Ground-based application</w:t>
      </w:r>
      <w:bookmarkEnd w:id="153"/>
      <w:bookmarkEnd w:id="154"/>
      <w:bookmarkEnd w:id="155"/>
    </w:p>
    <w:p w14:paraId="5C314134" w14:textId="65823B3C" w:rsidR="00DA468A" w:rsidRDefault="00104818" w:rsidP="00F73353">
      <w:pPr>
        <w:pStyle w:val="NormalText"/>
      </w:pPr>
      <w:r w:rsidRPr="00D63217">
        <w:t xml:space="preserve">The outcomes for the exposure risk assessments for the professional use of paraquat in agricultural situations using ground-based application equipment are set out in </w:t>
      </w:r>
      <w:r w:rsidR="009A09DC" w:rsidRPr="00D63217">
        <w:fldChar w:fldCharType="begin"/>
      </w:r>
      <w:r w:rsidR="009A09DC" w:rsidRPr="00D63217">
        <w:instrText xml:space="preserve"> REF _Ref166669228 \h </w:instrText>
      </w:r>
      <w:r w:rsidR="00D63217">
        <w:instrText xml:space="preserve"> \* MERGEFORMAT </w:instrText>
      </w:r>
      <w:r w:rsidR="009A09DC" w:rsidRPr="00D63217">
        <w:fldChar w:fldCharType="separate"/>
      </w:r>
      <w:r w:rsidR="008A397D" w:rsidRPr="00D63217">
        <w:t xml:space="preserve">Table </w:t>
      </w:r>
      <w:r w:rsidR="008A397D">
        <w:rPr>
          <w:noProof/>
        </w:rPr>
        <w:t>10</w:t>
      </w:r>
      <w:r w:rsidR="009A09DC" w:rsidRPr="00D63217">
        <w:fldChar w:fldCharType="end"/>
      </w:r>
      <w:r w:rsidRPr="00D63217">
        <w:t xml:space="preserve"> and </w:t>
      </w:r>
      <w:r w:rsidR="009A09DC" w:rsidRPr="00D63217">
        <w:fldChar w:fldCharType="begin"/>
      </w:r>
      <w:r w:rsidR="009A09DC" w:rsidRPr="00D63217">
        <w:instrText xml:space="preserve"> REF _Ref166669236 \h </w:instrText>
      </w:r>
      <w:r w:rsidR="00D63217">
        <w:instrText xml:space="preserve"> \* MERGEFORMAT </w:instrText>
      </w:r>
      <w:r w:rsidR="009A09DC" w:rsidRPr="00D63217">
        <w:fldChar w:fldCharType="separate"/>
      </w:r>
      <w:r w:rsidR="008A397D" w:rsidRPr="00D63217">
        <w:t xml:space="preserve">Table </w:t>
      </w:r>
      <w:r w:rsidR="008A397D">
        <w:rPr>
          <w:noProof/>
        </w:rPr>
        <w:t>11</w:t>
      </w:r>
      <w:r w:rsidR="009A09DC" w:rsidRPr="00D63217">
        <w:fldChar w:fldCharType="end"/>
      </w:r>
      <w:r w:rsidRPr="00D63217">
        <w:t>. Modelling for ground-based application assumed that all steps in the use of paraquat products are performed by a</w:t>
      </w:r>
      <w:r w:rsidR="00E12392">
        <w:t>n individual worker</w:t>
      </w:r>
      <w:r w:rsidR="00E12392" w:rsidRPr="00D63217">
        <w:t xml:space="preserve"> </w:t>
      </w:r>
      <w:r w:rsidRPr="00D63217">
        <w:t>(i.e. a</w:t>
      </w:r>
      <w:r w:rsidR="00E12392">
        <w:t>n</w:t>
      </w:r>
      <w:r w:rsidRPr="00D63217">
        <w:t xml:space="preserve"> </w:t>
      </w:r>
      <w:r w:rsidR="00E12392">
        <w:t>individual worke</w:t>
      </w:r>
      <w:r w:rsidR="00E12392" w:rsidRPr="00D63217">
        <w:t xml:space="preserve">r </w:t>
      </w:r>
      <w:r w:rsidRPr="00D63217">
        <w:t xml:space="preserve">mixes, loads and applies the </w:t>
      </w:r>
      <w:r w:rsidR="00E12392">
        <w:t>herb</w:t>
      </w:r>
      <w:r w:rsidR="00E12392" w:rsidRPr="00D63217">
        <w:t>icide</w:t>
      </w:r>
      <w:r w:rsidRPr="00D63217">
        <w:t xml:space="preserve">) and that there was only one type of use or activity performed per operator per day. Modelling for re-entry activities </w:t>
      </w:r>
      <w:r w:rsidRPr="00BC3510">
        <w:t>(8-hour days</w:t>
      </w:r>
      <w:r w:rsidRPr="00D63217">
        <w:t xml:space="preserve">) assessed worker exposure via dermal exposure, as inhalation exposure under these circumstances </w:t>
      </w:r>
      <w:r w:rsidR="007D4DE1">
        <w:t>is</w:t>
      </w:r>
      <w:r w:rsidR="007D4DE1" w:rsidRPr="00D63217">
        <w:t xml:space="preserve"> </w:t>
      </w:r>
      <w:r w:rsidRPr="00D63217">
        <w:t>regarded as negligible. It is noted that the calculated re-entry intervals are not required when crops are treated at the bare soil or pre-emergent stage.</w:t>
      </w:r>
    </w:p>
    <w:p w14:paraId="3CF333F5" w14:textId="0E5A868E" w:rsidR="000744E4" w:rsidRDefault="000744E4" w:rsidP="00F73353">
      <w:pPr>
        <w:pStyle w:val="NormalText"/>
      </w:pPr>
      <w:r w:rsidRPr="000744E4">
        <w:t>Instead of modelling exposure for a pre-determined work rate</w:t>
      </w:r>
      <w:r>
        <w:t xml:space="preserve"> (scale of use)</w:t>
      </w:r>
      <w:r w:rsidRPr="000744E4">
        <w:t>, the APVMA used a reverse exposure modelling approach to determine the maximum active handling rate that can be used</w:t>
      </w:r>
      <w:r w:rsidR="00196FFE">
        <w:t xml:space="preserve"> for</w:t>
      </w:r>
      <w:r w:rsidRPr="000744E4">
        <w:t xml:space="preserve"> </w:t>
      </w:r>
      <w:r w:rsidR="00196FFE">
        <w:t>per</w:t>
      </w:r>
      <w:r w:rsidRPr="000744E4">
        <w:t xml:space="preserve"> day</w:t>
      </w:r>
      <w:r w:rsidR="00196FFE">
        <w:t xml:space="preserve"> </w:t>
      </w:r>
      <w:bookmarkStart w:id="156" w:name="_Hlk221640722"/>
      <w:r w:rsidR="00196FFE">
        <w:t>for an individual worker</w:t>
      </w:r>
      <w:bookmarkEnd w:id="156"/>
      <w:r>
        <w:t xml:space="preserve">. </w:t>
      </w:r>
      <w:r w:rsidR="00D11533">
        <w:t xml:space="preserve">Dermal and inhalation unit exposure values were obtained from the </w:t>
      </w:r>
      <w:r w:rsidR="00D11533" w:rsidRPr="00D11533">
        <w:t xml:space="preserve">US EPA Office of Pesticide Programs Occupational Handler Exposure Unit Surrogate Exposure Reference Table (US EPA, 2021(a)). </w:t>
      </w:r>
      <w:r>
        <w:t>The APVMA then assessed whether the maximum active handling rate w</w:t>
      </w:r>
      <w:r w:rsidR="00D11533">
        <w:t>as</w:t>
      </w:r>
      <w:r>
        <w:t xml:space="preserve"> practical based on the expected scale of use</w:t>
      </w:r>
      <w:r w:rsidR="00EE25AF">
        <w:t xml:space="preserve"> (as indicated in </w:t>
      </w:r>
      <w:r w:rsidR="00753522">
        <w:fldChar w:fldCharType="begin"/>
      </w:r>
      <w:r w:rsidR="00753522">
        <w:instrText xml:space="preserve"> REF _Ref166669228 \h </w:instrText>
      </w:r>
      <w:r w:rsidR="00753522">
        <w:fldChar w:fldCharType="separate"/>
      </w:r>
      <w:r w:rsidR="008A397D" w:rsidRPr="00D63217">
        <w:t xml:space="preserve">Table </w:t>
      </w:r>
      <w:r w:rsidR="008A397D">
        <w:rPr>
          <w:noProof/>
        </w:rPr>
        <w:t>10</w:t>
      </w:r>
      <w:r w:rsidR="00753522">
        <w:fldChar w:fldCharType="end"/>
      </w:r>
      <w:r w:rsidR="00753522">
        <w:t xml:space="preserve"> </w:t>
      </w:r>
      <w:r w:rsidR="00EE25AF">
        <w:t>and</w:t>
      </w:r>
      <w:r w:rsidR="00753522">
        <w:t xml:space="preserve"> </w:t>
      </w:r>
      <w:r w:rsidR="00753522">
        <w:fldChar w:fldCharType="begin"/>
      </w:r>
      <w:r w:rsidR="00753522">
        <w:instrText xml:space="preserve"> REF _Ref221533983 \h </w:instrText>
      </w:r>
      <w:r w:rsidR="00753522">
        <w:fldChar w:fldCharType="separate"/>
      </w:r>
      <w:r w:rsidR="008A397D" w:rsidRPr="00D63217">
        <w:t xml:space="preserve">Table </w:t>
      </w:r>
      <w:r w:rsidR="008A397D">
        <w:rPr>
          <w:noProof/>
        </w:rPr>
        <w:t>11</w:t>
      </w:r>
      <w:r w:rsidR="00753522">
        <w:fldChar w:fldCharType="end"/>
      </w:r>
      <w:r w:rsidR="00EE25AF">
        <w:t>).</w:t>
      </w:r>
      <w:r>
        <w:t xml:space="preserve"> </w:t>
      </w:r>
      <w:r w:rsidR="007A203B" w:rsidRPr="007A203B">
        <w:rPr>
          <w:rFonts w:ascii="Segoe UI" w:hAnsi="Segoe UI" w:cs="Segoe UI"/>
          <w:kern w:val="0"/>
          <w:sz w:val="18"/>
          <w:szCs w:val="18"/>
          <w:lang w:eastAsia="en-AU"/>
        </w:rPr>
        <w:t xml:space="preserve"> </w:t>
      </w:r>
      <w:r w:rsidR="007A203B" w:rsidRPr="007A203B">
        <w:t>As the maximum concentration of paraquat applied per hectare is limited by the findings of the environment risk assessment (see section 6), it is implausible for the maximum safe handling rates to be exceeded in most circumstances</w:t>
      </w:r>
      <w:r w:rsidR="007E6AC5">
        <w:t>, when the product is applied according to the directions for use</w:t>
      </w:r>
      <w:r w:rsidR="007A203B" w:rsidRPr="007A203B">
        <w:t>. Accordingly daily work-rate limitations are not required to mitigate risks of exposure to workers</w:t>
      </w:r>
      <w:r w:rsidR="007A203B">
        <w:t xml:space="preserve">, except for mechanically pressurised </w:t>
      </w:r>
      <w:r w:rsidR="007E6AC5">
        <w:t>hand wand</w:t>
      </w:r>
      <w:r w:rsidR="007A203B">
        <w:t xml:space="preserve"> application.</w:t>
      </w:r>
    </w:p>
    <w:p w14:paraId="264701E8" w14:textId="0C53C74B" w:rsidR="00104818" w:rsidRPr="00BC7F18" w:rsidRDefault="00642943" w:rsidP="00BC7F18">
      <w:pPr>
        <w:pStyle w:val="Caption"/>
      </w:pPr>
      <w:bookmarkStart w:id="157" w:name="_Ref166669228"/>
      <w:bookmarkStart w:id="158" w:name="_Toc230692276"/>
      <w:bookmarkStart w:id="159" w:name="_Toc233036497"/>
      <w:bookmarkStart w:id="160" w:name="_Hlk163662494"/>
      <w:r w:rsidRPr="00BC7F18">
        <w:lastRenderedPageBreak/>
        <w:t xml:space="preserve">Table </w:t>
      </w:r>
      <w:fldSimple w:instr=" SEQ Table \* ARABIC ">
        <w:r w:rsidR="00BC7F18">
          <w:rPr>
            <w:noProof/>
          </w:rPr>
          <w:t>10</w:t>
        </w:r>
      </w:fldSimple>
      <w:bookmarkEnd w:id="157"/>
      <w:r w:rsidRPr="00BC7F18">
        <w:t>: Risk assessment outcomes for l</w:t>
      </w:r>
      <w:r w:rsidR="00104818" w:rsidRPr="00BC7F18">
        <w:t>iquid paraquat products</w:t>
      </w:r>
      <w:bookmarkEnd w:id="158"/>
      <w:bookmarkEnd w:id="159"/>
      <w:r w:rsidR="00104818" w:rsidRPr="00BC7F18">
        <w:t xml:space="preserve"> </w:t>
      </w:r>
    </w:p>
    <w:tbl>
      <w:tblPr>
        <w:tblStyle w:val="TableGrid"/>
        <w:tblW w:w="9634" w:type="dxa"/>
        <w:tblLook w:val="04A0" w:firstRow="1" w:lastRow="0" w:firstColumn="1" w:lastColumn="0" w:noHBand="0" w:noVBand="1"/>
      </w:tblPr>
      <w:tblGrid>
        <w:gridCol w:w="2331"/>
        <w:gridCol w:w="1507"/>
        <w:gridCol w:w="3011"/>
        <w:gridCol w:w="2785"/>
      </w:tblGrid>
      <w:tr w:rsidR="00BD697D" w:rsidRPr="00D63217" w14:paraId="1B83263B" w14:textId="77777777" w:rsidTr="007A203B">
        <w:trPr>
          <w:trHeight w:val="889"/>
          <w:tblHeader/>
        </w:trPr>
        <w:tc>
          <w:tcPr>
            <w:tcW w:w="2331" w:type="dxa"/>
            <w:tcBorders>
              <w:bottom w:val="single" w:sz="4" w:space="0" w:color="auto"/>
            </w:tcBorders>
            <w:shd w:val="clear" w:color="auto" w:fill="5C2946"/>
          </w:tcPr>
          <w:bookmarkEnd w:id="160"/>
          <w:p w14:paraId="127BF2E9" w14:textId="77777777" w:rsidR="00104818" w:rsidRPr="00D63217" w:rsidRDefault="00104818" w:rsidP="00F05F9A">
            <w:pPr>
              <w:pStyle w:val="TableHead"/>
            </w:pPr>
            <w:r w:rsidRPr="00D63217">
              <w:t>Activity</w:t>
            </w:r>
          </w:p>
        </w:tc>
        <w:tc>
          <w:tcPr>
            <w:tcW w:w="1507" w:type="dxa"/>
            <w:tcBorders>
              <w:bottom w:val="single" w:sz="4" w:space="0" w:color="auto"/>
            </w:tcBorders>
            <w:shd w:val="clear" w:color="auto" w:fill="5C2946"/>
          </w:tcPr>
          <w:p w14:paraId="38228A5E" w14:textId="59FD1DF7" w:rsidR="00104818" w:rsidRPr="00D63217" w:rsidRDefault="00104818" w:rsidP="00F05F9A">
            <w:pPr>
              <w:pStyle w:val="TableHead"/>
            </w:pPr>
            <w:r w:rsidRPr="00D63217">
              <w:t xml:space="preserve">Scale of </w:t>
            </w:r>
            <w:r w:rsidR="00532B63" w:rsidRPr="00D63217">
              <w:t xml:space="preserve">use </w:t>
            </w:r>
            <w:r w:rsidR="00105A54" w:rsidRPr="00D63217">
              <w:t>assessed</w:t>
            </w:r>
          </w:p>
        </w:tc>
        <w:tc>
          <w:tcPr>
            <w:tcW w:w="3011" w:type="dxa"/>
            <w:tcBorders>
              <w:bottom w:val="single" w:sz="4" w:space="0" w:color="auto"/>
            </w:tcBorders>
            <w:shd w:val="clear" w:color="auto" w:fill="5C2946"/>
          </w:tcPr>
          <w:p w14:paraId="20231B0E" w14:textId="3696BFF7" w:rsidR="00104818" w:rsidRPr="00D63217" w:rsidRDefault="00104818" w:rsidP="00F05F9A">
            <w:pPr>
              <w:pStyle w:val="TableHead"/>
            </w:pPr>
            <w:r w:rsidRPr="00D63217">
              <w:t>Minimum acceptable Personal Protective Equipment (PPE)</w:t>
            </w:r>
            <w:r w:rsidR="00D87FA4" w:rsidRPr="00974E5E">
              <w:rPr>
                <w:rStyle w:val="FootnoteReference"/>
              </w:rPr>
              <w:footnoteReference w:id="4"/>
            </w:r>
          </w:p>
        </w:tc>
        <w:tc>
          <w:tcPr>
            <w:tcW w:w="2785" w:type="dxa"/>
            <w:tcBorders>
              <w:bottom w:val="single" w:sz="4" w:space="0" w:color="auto"/>
            </w:tcBorders>
            <w:shd w:val="clear" w:color="auto" w:fill="5C2946"/>
          </w:tcPr>
          <w:p w14:paraId="71B08249" w14:textId="2A88B674" w:rsidR="00104818" w:rsidRPr="00D63217" w:rsidRDefault="00104818" w:rsidP="00FC1605">
            <w:pPr>
              <w:pStyle w:val="TableHead"/>
            </w:pPr>
            <w:r w:rsidRPr="00D63217">
              <w:t xml:space="preserve">Use </w:t>
            </w:r>
            <w:r w:rsidR="00532B63" w:rsidRPr="00D63217">
              <w:t>acceptable</w:t>
            </w:r>
            <w:r w:rsidR="00FC1605" w:rsidRPr="00D63217">
              <w:br/>
            </w:r>
            <w:r w:rsidRPr="00D63217">
              <w:t>(Yes/No</w:t>
            </w:r>
            <w:r w:rsidR="00BD697D" w:rsidRPr="00D63217">
              <w:t>/Restricted</w:t>
            </w:r>
            <w:r w:rsidRPr="00D63217">
              <w:t>)</w:t>
            </w:r>
          </w:p>
        </w:tc>
      </w:tr>
      <w:tr w:rsidR="008233BA" w:rsidRPr="00D63217" w14:paraId="3EF2FC19" w14:textId="77777777" w:rsidTr="007A203B">
        <w:tc>
          <w:tcPr>
            <w:tcW w:w="2331" w:type="dxa"/>
            <w:vMerge w:val="restart"/>
            <w:tcBorders>
              <w:left w:val="nil"/>
              <w:right w:val="nil"/>
            </w:tcBorders>
          </w:tcPr>
          <w:p w14:paraId="22F4F773" w14:textId="7D0C2D56" w:rsidR="008233BA" w:rsidRPr="00D63217" w:rsidRDefault="008233BA" w:rsidP="008233BA">
            <w:pPr>
              <w:pStyle w:val="TableText"/>
            </w:pPr>
            <w:r w:rsidRPr="00D63217">
              <w:t>Ground boom application mix, load, and apply (a single operator mixes, loads and applies)</w:t>
            </w:r>
          </w:p>
        </w:tc>
        <w:tc>
          <w:tcPr>
            <w:tcW w:w="1507" w:type="dxa"/>
            <w:tcBorders>
              <w:left w:val="nil"/>
              <w:right w:val="nil"/>
            </w:tcBorders>
          </w:tcPr>
          <w:p w14:paraId="010C58A5" w14:textId="17DBD5E7" w:rsidR="008233BA" w:rsidRPr="00D63217" w:rsidRDefault="008233BA" w:rsidP="008233BA">
            <w:pPr>
              <w:pStyle w:val="TableText"/>
            </w:pPr>
            <w:r w:rsidRPr="00D63217">
              <w:t>Small scale agriculture</w:t>
            </w:r>
            <w:r w:rsidRPr="00D63217">
              <w:br/>
              <w:t>(up to 6 ha/day)</w:t>
            </w:r>
          </w:p>
        </w:tc>
        <w:tc>
          <w:tcPr>
            <w:tcW w:w="3011" w:type="dxa"/>
            <w:tcBorders>
              <w:left w:val="nil"/>
              <w:right w:val="nil"/>
            </w:tcBorders>
          </w:tcPr>
          <w:p w14:paraId="30D08598" w14:textId="06475FBB" w:rsidR="008233BA" w:rsidRPr="00D63217" w:rsidRDefault="008233BA" w:rsidP="008233BA">
            <w:pPr>
              <w:pStyle w:val="TableText"/>
            </w:pPr>
            <w:r w:rsidRPr="00D63217">
              <w:t>Open cab</w:t>
            </w:r>
            <w:r w:rsidRPr="00D63217">
              <w:br/>
              <w:t>Single layer</w:t>
            </w:r>
            <w:r w:rsidRPr="00D63217">
              <w:br/>
              <w:t>Gloves</w:t>
            </w:r>
            <w:r w:rsidRPr="00D63217">
              <w:br/>
              <w:t>PF10 respirator</w:t>
            </w:r>
            <w:r w:rsidRPr="00D63217">
              <w:br/>
              <w:t xml:space="preserve">Face shield or goggles when mixing and loading </w:t>
            </w:r>
          </w:p>
        </w:tc>
        <w:tc>
          <w:tcPr>
            <w:tcW w:w="2785" w:type="dxa"/>
            <w:tcBorders>
              <w:left w:val="nil"/>
              <w:right w:val="nil"/>
            </w:tcBorders>
          </w:tcPr>
          <w:p w14:paraId="67EB1FC9" w14:textId="54D31AB1" w:rsidR="008233BA" w:rsidRPr="00883B13" w:rsidRDefault="00DB6E6C" w:rsidP="008233BA">
            <w:pPr>
              <w:pStyle w:val="TableText"/>
              <w:rPr>
                <w:vertAlign w:val="superscript"/>
              </w:rPr>
            </w:pPr>
            <w:r>
              <w:t>Restricted</w:t>
            </w:r>
            <w:r w:rsidR="00883B13">
              <w:rPr>
                <w:vertAlign w:val="superscript"/>
              </w:rPr>
              <w:t>3</w:t>
            </w:r>
          </w:p>
          <w:p w14:paraId="4AA1DEF3" w14:textId="136D82A8" w:rsidR="008233BA" w:rsidRPr="00D63217" w:rsidRDefault="008233BA" w:rsidP="008233BA">
            <w:pPr>
              <w:pStyle w:val="TableText"/>
            </w:pPr>
            <w:r w:rsidRPr="00117486">
              <w:t xml:space="preserve">Maximum acceptable handling rate of </w:t>
            </w:r>
            <w:r>
              <w:t>75.3</w:t>
            </w:r>
            <w:r w:rsidRPr="00117486">
              <w:t xml:space="preserve"> kg </w:t>
            </w:r>
            <w:r>
              <w:t xml:space="preserve">paraquat </w:t>
            </w:r>
            <w:r w:rsidRPr="00117486">
              <w:t xml:space="preserve">per </w:t>
            </w:r>
            <w:r>
              <w:t>individual worker</w:t>
            </w:r>
            <w:r w:rsidRPr="00117486">
              <w:t xml:space="preserve"> per day</w:t>
            </w:r>
          </w:p>
        </w:tc>
      </w:tr>
      <w:tr w:rsidR="008233BA" w:rsidRPr="00D63217" w14:paraId="57DEC0C5" w14:textId="77777777" w:rsidTr="007A203B">
        <w:tc>
          <w:tcPr>
            <w:tcW w:w="2331" w:type="dxa"/>
            <w:vMerge/>
            <w:tcBorders>
              <w:left w:val="nil"/>
              <w:right w:val="nil"/>
            </w:tcBorders>
          </w:tcPr>
          <w:p w14:paraId="0ABE3389" w14:textId="77777777" w:rsidR="008233BA" w:rsidRPr="00D63217" w:rsidRDefault="008233BA" w:rsidP="008233BA">
            <w:pPr>
              <w:pStyle w:val="TableText"/>
            </w:pPr>
          </w:p>
        </w:tc>
        <w:tc>
          <w:tcPr>
            <w:tcW w:w="1507" w:type="dxa"/>
            <w:tcBorders>
              <w:left w:val="nil"/>
              <w:right w:val="nil"/>
            </w:tcBorders>
          </w:tcPr>
          <w:p w14:paraId="4E186ED9" w14:textId="504F36C1" w:rsidR="008233BA" w:rsidRPr="00D63217" w:rsidRDefault="008233BA" w:rsidP="008233BA">
            <w:pPr>
              <w:pStyle w:val="TableText"/>
            </w:pPr>
            <w:r w:rsidRPr="00D63217">
              <w:t>Broad scale agriculture</w:t>
            </w:r>
            <w:r w:rsidRPr="00D63217">
              <w:br/>
              <w:t xml:space="preserve">(up to </w:t>
            </w:r>
            <w:r>
              <w:t>5</w:t>
            </w:r>
            <w:r w:rsidRPr="00D63217">
              <w:t>00 ha/day)</w:t>
            </w:r>
          </w:p>
        </w:tc>
        <w:tc>
          <w:tcPr>
            <w:tcW w:w="3011" w:type="dxa"/>
            <w:tcBorders>
              <w:left w:val="nil"/>
              <w:right w:val="nil"/>
            </w:tcBorders>
          </w:tcPr>
          <w:p w14:paraId="266F7453" w14:textId="25DBE41B" w:rsidR="008233BA" w:rsidRPr="00D63217" w:rsidRDefault="008233BA" w:rsidP="008233BA">
            <w:pPr>
              <w:pStyle w:val="TableText"/>
            </w:pPr>
            <w:bookmarkStart w:id="161" w:name="_Hlk162533957"/>
            <w:r w:rsidRPr="00D63217">
              <w:t>Enclosed cab application</w:t>
            </w:r>
            <w:r w:rsidRPr="00D63217">
              <w:br/>
              <w:t>Enclosed mixing and loading (single layer of clothing, gloves, PF10 respirator, face shield or goggles when connecting, disconnecting or cleaning components of the mixing and loading system)</w:t>
            </w:r>
            <w:bookmarkEnd w:id="161"/>
          </w:p>
        </w:tc>
        <w:tc>
          <w:tcPr>
            <w:tcW w:w="2785" w:type="dxa"/>
            <w:tcBorders>
              <w:left w:val="nil"/>
              <w:right w:val="nil"/>
            </w:tcBorders>
          </w:tcPr>
          <w:p w14:paraId="1CCE6A3F" w14:textId="26DA1D0E" w:rsidR="008233BA" w:rsidRPr="00117486" w:rsidRDefault="00CD4226" w:rsidP="008233BA">
            <w:pPr>
              <w:pStyle w:val="TableText"/>
            </w:pPr>
            <w:r>
              <w:t>Restricted</w:t>
            </w:r>
            <w:r w:rsidR="00883B13">
              <w:rPr>
                <w:vertAlign w:val="superscript"/>
              </w:rPr>
              <w:t>3</w:t>
            </w:r>
          </w:p>
          <w:p w14:paraId="35CEC16A" w14:textId="7F011DBE" w:rsidR="008233BA" w:rsidRPr="00117486" w:rsidRDefault="008233BA" w:rsidP="008233BA">
            <w:pPr>
              <w:pStyle w:val="TableText"/>
            </w:pPr>
            <w:r w:rsidRPr="00117486">
              <w:t xml:space="preserve">Maximum acceptable handling rate of </w:t>
            </w:r>
            <w:r>
              <w:t>337</w:t>
            </w:r>
            <w:r w:rsidRPr="00117486">
              <w:t xml:space="preserve"> kg </w:t>
            </w:r>
            <w:r>
              <w:t xml:space="preserve">paraquat </w:t>
            </w:r>
            <w:r w:rsidRPr="00117486">
              <w:t xml:space="preserve">per </w:t>
            </w:r>
            <w:r>
              <w:t>individual worker</w:t>
            </w:r>
            <w:r w:rsidRPr="00117486">
              <w:t xml:space="preserve"> per day</w:t>
            </w:r>
          </w:p>
        </w:tc>
      </w:tr>
      <w:tr w:rsidR="008233BA" w:rsidRPr="00D63217" w14:paraId="3A1A7098" w14:textId="77777777" w:rsidTr="007A203B">
        <w:trPr>
          <w:trHeight w:val="889"/>
          <w:tblHeader/>
        </w:trPr>
        <w:tc>
          <w:tcPr>
            <w:tcW w:w="2331" w:type="dxa"/>
            <w:tcBorders>
              <w:left w:val="nil"/>
              <w:right w:val="nil"/>
            </w:tcBorders>
          </w:tcPr>
          <w:p w14:paraId="0650E491" w14:textId="32D244B1" w:rsidR="008233BA" w:rsidRPr="00D63217" w:rsidRDefault="008233BA" w:rsidP="008233BA">
            <w:pPr>
              <w:pStyle w:val="TableText"/>
            </w:pPr>
            <w:r w:rsidRPr="00D63217">
              <w:t xml:space="preserve">Backpack sprayer </w:t>
            </w:r>
            <w:r w:rsidRPr="00D63217">
              <w:br/>
              <w:t>(a single operator mixes, loads and applies)</w:t>
            </w:r>
          </w:p>
        </w:tc>
        <w:tc>
          <w:tcPr>
            <w:tcW w:w="1507" w:type="dxa"/>
            <w:tcBorders>
              <w:left w:val="nil"/>
              <w:right w:val="nil"/>
            </w:tcBorders>
          </w:tcPr>
          <w:p w14:paraId="685D42F9" w14:textId="77926395" w:rsidR="008233BA" w:rsidRPr="00D63217" w:rsidRDefault="008233BA" w:rsidP="008233BA">
            <w:pPr>
              <w:pStyle w:val="TableText"/>
            </w:pPr>
            <w:r w:rsidRPr="00D63217">
              <w:t>150 L/day</w:t>
            </w:r>
            <w:r>
              <w:t xml:space="preserve"> (diluted product)</w:t>
            </w:r>
          </w:p>
        </w:tc>
        <w:tc>
          <w:tcPr>
            <w:tcW w:w="3011" w:type="dxa"/>
            <w:tcBorders>
              <w:left w:val="nil"/>
              <w:right w:val="nil"/>
            </w:tcBorders>
          </w:tcPr>
          <w:p w14:paraId="5CDF426A" w14:textId="70E58052" w:rsidR="008233BA" w:rsidRPr="00D63217" w:rsidRDefault="008233BA" w:rsidP="008233BA">
            <w:pPr>
              <w:pStyle w:val="TableText"/>
            </w:pPr>
            <w:r>
              <w:t>Double</w:t>
            </w:r>
            <w:r w:rsidRPr="000744E4">
              <w:t xml:space="preserve"> layer</w:t>
            </w:r>
            <w:r w:rsidRPr="000744E4">
              <w:br/>
              <w:t>Gloves</w:t>
            </w:r>
            <w:r w:rsidRPr="000744E4">
              <w:br/>
              <w:t>PF</w:t>
            </w:r>
            <w:r>
              <w:t>5</w:t>
            </w:r>
            <w:r w:rsidRPr="000744E4">
              <w:t>0 respirator</w:t>
            </w:r>
            <w:r w:rsidRPr="00D63217">
              <w:br/>
              <w:t>Face shield or goggles when mixing and loading</w:t>
            </w:r>
          </w:p>
        </w:tc>
        <w:tc>
          <w:tcPr>
            <w:tcW w:w="2785" w:type="dxa"/>
            <w:tcBorders>
              <w:left w:val="nil"/>
              <w:right w:val="nil"/>
            </w:tcBorders>
          </w:tcPr>
          <w:p w14:paraId="43AD30FC" w14:textId="77777777" w:rsidR="008233BA" w:rsidRPr="00117486" w:rsidRDefault="008233BA" w:rsidP="008233BA">
            <w:pPr>
              <w:pStyle w:val="TableText"/>
            </w:pPr>
            <w:r w:rsidRPr="00117486">
              <w:t>No</w:t>
            </w:r>
          </w:p>
          <w:p w14:paraId="7C03D54A" w14:textId="45F014B6" w:rsidR="008233BA" w:rsidRPr="00117486" w:rsidRDefault="008233BA" w:rsidP="008233BA">
            <w:pPr>
              <w:pStyle w:val="TableText"/>
            </w:pPr>
            <w:r w:rsidRPr="00117486">
              <w:t>Maximum acceptable handling rate of 0.</w:t>
            </w:r>
            <w:r>
              <w:t>3</w:t>
            </w:r>
            <w:r w:rsidRPr="00117486">
              <w:t xml:space="preserve"> kg of paraquat per </w:t>
            </w:r>
            <w:r>
              <w:t xml:space="preserve">individual worker </w:t>
            </w:r>
            <w:r w:rsidRPr="00117486">
              <w:t>per day</w:t>
            </w:r>
          </w:p>
        </w:tc>
      </w:tr>
      <w:tr w:rsidR="008233BA" w:rsidRPr="00D63217" w14:paraId="292CB0E5" w14:textId="77777777" w:rsidTr="007A203B">
        <w:trPr>
          <w:trHeight w:val="889"/>
          <w:tblHeader/>
        </w:trPr>
        <w:tc>
          <w:tcPr>
            <w:tcW w:w="2331" w:type="dxa"/>
            <w:tcBorders>
              <w:left w:val="nil"/>
              <w:right w:val="nil"/>
            </w:tcBorders>
          </w:tcPr>
          <w:p w14:paraId="56A4579E" w14:textId="0F36E8CA" w:rsidR="008233BA" w:rsidRPr="00D63217" w:rsidRDefault="008233BA" w:rsidP="008233BA">
            <w:pPr>
              <w:pStyle w:val="TableText"/>
            </w:pPr>
            <w:r w:rsidRPr="00D63217">
              <w:t>Manually pressurised hand wand application (a single operator mixes, loads and applies)</w:t>
            </w:r>
          </w:p>
        </w:tc>
        <w:tc>
          <w:tcPr>
            <w:tcW w:w="1507" w:type="dxa"/>
            <w:tcBorders>
              <w:left w:val="nil"/>
              <w:right w:val="nil"/>
            </w:tcBorders>
          </w:tcPr>
          <w:p w14:paraId="417BC2B8" w14:textId="77777777" w:rsidR="008233BA" w:rsidRDefault="008233BA" w:rsidP="008233BA">
            <w:pPr>
              <w:pStyle w:val="TableText"/>
            </w:pPr>
            <w:r w:rsidRPr="00D63217">
              <w:t>150 L/day</w:t>
            </w:r>
          </w:p>
          <w:p w14:paraId="79C23AA9" w14:textId="0776A21D" w:rsidR="008233BA" w:rsidRPr="00D63217" w:rsidRDefault="008233BA" w:rsidP="008233BA">
            <w:pPr>
              <w:pStyle w:val="TableText"/>
            </w:pPr>
            <w:r>
              <w:t>(diluted product)</w:t>
            </w:r>
          </w:p>
        </w:tc>
        <w:tc>
          <w:tcPr>
            <w:tcW w:w="3011" w:type="dxa"/>
            <w:tcBorders>
              <w:left w:val="nil"/>
              <w:right w:val="nil"/>
            </w:tcBorders>
          </w:tcPr>
          <w:p w14:paraId="2B5165AC" w14:textId="7FAB764E" w:rsidR="008233BA" w:rsidRPr="00D63217" w:rsidRDefault="008233BA" w:rsidP="008233BA">
            <w:pPr>
              <w:pStyle w:val="TableText"/>
            </w:pPr>
            <w:r w:rsidRPr="003C5F23">
              <w:t>Double layer</w:t>
            </w:r>
            <w:r w:rsidRPr="003C5F23">
              <w:br/>
              <w:t>Gloves</w:t>
            </w:r>
            <w:r w:rsidRPr="003C5F23">
              <w:br/>
              <w:t>PF50 respirator</w:t>
            </w:r>
            <w:r w:rsidRPr="000744E4">
              <w:rPr>
                <w:highlight w:val="yellow"/>
              </w:rPr>
              <w:br/>
            </w:r>
            <w:r w:rsidRPr="00D63217">
              <w:t>Face shield or goggles when mixing and loading</w:t>
            </w:r>
          </w:p>
        </w:tc>
        <w:tc>
          <w:tcPr>
            <w:tcW w:w="2785" w:type="dxa"/>
            <w:tcBorders>
              <w:left w:val="nil"/>
              <w:right w:val="nil"/>
            </w:tcBorders>
          </w:tcPr>
          <w:p w14:paraId="692859EE" w14:textId="35A384D2" w:rsidR="008233BA" w:rsidRPr="00D63217" w:rsidRDefault="00CD4226" w:rsidP="008233BA">
            <w:pPr>
              <w:pStyle w:val="TableText"/>
            </w:pPr>
            <w:r>
              <w:t>Restricted</w:t>
            </w:r>
            <w:r w:rsidR="00883B13">
              <w:rPr>
                <w:vertAlign w:val="superscript"/>
              </w:rPr>
              <w:t>3</w:t>
            </w:r>
          </w:p>
          <w:p w14:paraId="6CB6501F" w14:textId="001702F7" w:rsidR="008233BA" w:rsidRPr="00D63217" w:rsidRDefault="008233BA" w:rsidP="008233BA">
            <w:pPr>
              <w:pStyle w:val="TableText"/>
            </w:pPr>
            <w:r w:rsidRPr="00D63217">
              <w:t xml:space="preserve">Maximum acceptable handling rate of </w:t>
            </w:r>
            <w:r w:rsidRPr="007A7FBF">
              <w:t>10.4</w:t>
            </w:r>
            <w:r>
              <w:t xml:space="preserve"> </w:t>
            </w:r>
            <w:r w:rsidRPr="007A7FBF">
              <w:t>kg of</w:t>
            </w:r>
            <w:r w:rsidRPr="00D63217">
              <w:t xml:space="preserve"> paraquat per </w:t>
            </w:r>
            <w:r>
              <w:t xml:space="preserve">individual worker </w:t>
            </w:r>
            <w:r w:rsidRPr="00117486">
              <w:t>per</w:t>
            </w:r>
            <w:r w:rsidRPr="00D63217">
              <w:t xml:space="preserve"> day</w:t>
            </w:r>
          </w:p>
        </w:tc>
      </w:tr>
      <w:tr w:rsidR="008233BA" w:rsidRPr="00D63217" w14:paraId="37036E5C" w14:textId="77777777" w:rsidTr="007A203B">
        <w:trPr>
          <w:trHeight w:val="1125"/>
          <w:tblHeader/>
        </w:trPr>
        <w:tc>
          <w:tcPr>
            <w:tcW w:w="2331" w:type="dxa"/>
            <w:vMerge w:val="restart"/>
            <w:tcBorders>
              <w:left w:val="nil"/>
              <w:right w:val="nil"/>
            </w:tcBorders>
            <w:vAlign w:val="center"/>
          </w:tcPr>
          <w:p w14:paraId="05BD1E7E" w14:textId="488D5889" w:rsidR="008233BA" w:rsidRPr="00D63217" w:rsidRDefault="008233BA" w:rsidP="008233BA">
            <w:pPr>
              <w:pStyle w:val="TableText"/>
            </w:pPr>
            <w:r w:rsidRPr="00D63217">
              <w:t>Mechanically pressurised hand wand application (a single operator mixes, loads and applies)</w:t>
            </w:r>
          </w:p>
        </w:tc>
        <w:tc>
          <w:tcPr>
            <w:tcW w:w="1507" w:type="dxa"/>
            <w:tcBorders>
              <w:left w:val="nil"/>
              <w:right w:val="nil"/>
            </w:tcBorders>
            <w:vAlign w:val="center"/>
          </w:tcPr>
          <w:p w14:paraId="0C310FA0" w14:textId="447669AE" w:rsidR="008233BA" w:rsidRDefault="008233BA" w:rsidP="008233BA">
            <w:pPr>
              <w:pStyle w:val="TableText"/>
            </w:pPr>
            <w:r>
              <w:t>1,000 L/day spot treatment foliar (diluted product)</w:t>
            </w:r>
          </w:p>
          <w:p w14:paraId="4347734F" w14:textId="49FBF3FE" w:rsidR="008233BA" w:rsidRPr="00D63217" w:rsidRDefault="008233BA" w:rsidP="008233BA">
            <w:pPr>
              <w:pStyle w:val="TableText"/>
            </w:pPr>
          </w:p>
        </w:tc>
        <w:tc>
          <w:tcPr>
            <w:tcW w:w="3011" w:type="dxa"/>
            <w:vMerge w:val="restart"/>
            <w:tcBorders>
              <w:left w:val="nil"/>
              <w:right w:val="nil"/>
            </w:tcBorders>
            <w:vAlign w:val="center"/>
          </w:tcPr>
          <w:p w14:paraId="271F65A2" w14:textId="27C8D0AF" w:rsidR="008233BA" w:rsidRPr="00D63217" w:rsidRDefault="008233BA" w:rsidP="008233BA">
            <w:pPr>
              <w:pStyle w:val="TableText"/>
            </w:pPr>
            <w:bookmarkStart w:id="162" w:name="_Hlk162534387"/>
            <w:r w:rsidRPr="003C5F23">
              <w:t>Double layer</w:t>
            </w:r>
            <w:r w:rsidRPr="003C5F23">
              <w:br/>
              <w:t>Gloves</w:t>
            </w:r>
            <w:r w:rsidRPr="003C5F23">
              <w:br/>
              <w:t>PF50 respirator</w:t>
            </w:r>
            <w:r w:rsidRPr="00D63217">
              <w:br/>
              <w:t>Face shield or goggles when mixing and loading</w:t>
            </w:r>
            <w:bookmarkEnd w:id="162"/>
          </w:p>
        </w:tc>
        <w:tc>
          <w:tcPr>
            <w:tcW w:w="2785" w:type="dxa"/>
            <w:tcBorders>
              <w:left w:val="nil"/>
              <w:right w:val="nil"/>
            </w:tcBorders>
            <w:vAlign w:val="center"/>
          </w:tcPr>
          <w:p w14:paraId="447F6A47" w14:textId="61CC2712" w:rsidR="008233BA" w:rsidRPr="00D63217" w:rsidRDefault="008233BA" w:rsidP="008233BA">
            <w:pPr>
              <w:pStyle w:val="TableText"/>
            </w:pPr>
            <w:r>
              <w:t>Restricted</w:t>
            </w:r>
          </w:p>
          <w:p w14:paraId="7A8AB9B6" w14:textId="66DCF172" w:rsidR="008233BA" w:rsidRPr="00D63217" w:rsidRDefault="008233BA" w:rsidP="008233BA">
            <w:pPr>
              <w:pStyle w:val="TableText"/>
            </w:pPr>
            <w:r w:rsidRPr="00D63217">
              <w:t xml:space="preserve">Maximum acceptable handling rate of </w:t>
            </w:r>
            <w:r w:rsidRPr="007A7FBF">
              <w:t xml:space="preserve">3.9 kg </w:t>
            </w:r>
            <w:r w:rsidRPr="00D63217">
              <w:t xml:space="preserve">paraquat per </w:t>
            </w:r>
            <w:r>
              <w:t>individual worker</w:t>
            </w:r>
            <w:r w:rsidRPr="00D63217">
              <w:t xml:space="preserve"> per day</w:t>
            </w:r>
          </w:p>
        </w:tc>
      </w:tr>
      <w:tr w:rsidR="008233BA" w:rsidRPr="00D63217" w14:paraId="379D197E" w14:textId="77777777" w:rsidTr="007A203B">
        <w:trPr>
          <w:trHeight w:val="1125"/>
          <w:tblHeader/>
        </w:trPr>
        <w:tc>
          <w:tcPr>
            <w:tcW w:w="2331" w:type="dxa"/>
            <w:vMerge/>
            <w:tcBorders>
              <w:left w:val="nil"/>
              <w:right w:val="nil"/>
            </w:tcBorders>
            <w:vAlign w:val="center"/>
          </w:tcPr>
          <w:p w14:paraId="3E8B2AD3" w14:textId="77777777" w:rsidR="008233BA" w:rsidRPr="00D63217" w:rsidRDefault="008233BA" w:rsidP="008233BA">
            <w:pPr>
              <w:pStyle w:val="TableText"/>
            </w:pPr>
          </w:p>
        </w:tc>
        <w:tc>
          <w:tcPr>
            <w:tcW w:w="1507" w:type="dxa"/>
            <w:tcBorders>
              <w:left w:val="nil"/>
              <w:right w:val="nil"/>
            </w:tcBorders>
            <w:vAlign w:val="center"/>
          </w:tcPr>
          <w:p w14:paraId="7BF6C535" w14:textId="1B3BDA62" w:rsidR="008233BA" w:rsidRDefault="008233BA" w:rsidP="008233BA">
            <w:pPr>
              <w:pStyle w:val="TableText"/>
            </w:pPr>
            <w:r>
              <w:t>4,000 L/day Broadcast foliar treatment (diluted product)</w:t>
            </w:r>
          </w:p>
        </w:tc>
        <w:tc>
          <w:tcPr>
            <w:tcW w:w="3011" w:type="dxa"/>
            <w:vMerge/>
            <w:tcBorders>
              <w:left w:val="nil"/>
              <w:right w:val="nil"/>
            </w:tcBorders>
            <w:vAlign w:val="center"/>
          </w:tcPr>
          <w:p w14:paraId="44F869F4" w14:textId="77777777" w:rsidR="008233BA" w:rsidRPr="003C5F23" w:rsidRDefault="008233BA" w:rsidP="008233BA">
            <w:pPr>
              <w:pStyle w:val="TableText"/>
            </w:pPr>
          </w:p>
        </w:tc>
        <w:tc>
          <w:tcPr>
            <w:tcW w:w="2785" w:type="dxa"/>
            <w:tcBorders>
              <w:left w:val="nil"/>
              <w:right w:val="nil"/>
            </w:tcBorders>
            <w:vAlign w:val="center"/>
          </w:tcPr>
          <w:p w14:paraId="262DF4B6" w14:textId="77777777" w:rsidR="008233BA" w:rsidRPr="00D63217" w:rsidRDefault="008233BA" w:rsidP="008233BA">
            <w:pPr>
              <w:pStyle w:val="TableText"/>
            </w:pPr>
            <w:r>
              <w:t>Restricted</w:t>
            </w:r>
          </w:p>
          <w:p w14:paraId="09059E78" w14:textId="4C11C049" w:rsidR="008233BA" w:rsidRPr="00D63217" w:rsidDel="006F075F" w:rsidRDefault="008233BA" w:rsidP="008233BA">
            <w:pPr>
              <w:pStyle w:val="TableText"/>
            </w:pPr>
            <w:r w:rsidRPr="00D63217">
              <w:t xml:space="preserve">Maximum acceptable handling rate of </w:t>
            </w:r>
            <w:r w:rsidRPr="007A7FBF">
              <w:t xml:space="preserve">3.9 kg </w:t>
            </w:r>
            <w:r w:rsidRPr="00D63217">
              <w:t xml:space="preserve">paraquat per </w:t>
            </w:r>
            <w:r>
              <w:t>individual worker</w:t>
            </w:r>
            <w:r w:rsidRPr="00D63217">
              <w:t xml:space="preserve"> per day</w:t>
            </w:r>
          </w:p>
        </w:tc>
      </w:tr>
    </w:tbl>
    <w:p w14:paraId="14177915" w14:textId="53C0702D" w:rsidR="00104818" w:rsidRPr="00BC7F18" w:rsidRDefault="00642943" w:rsidP="00BC7F18">
      <w:pPr>
        <w:pStyle w:val="Caption"/>
      </w:pPr>
      <w:bookmarkStart w:id="163" w:name="_Ref166669236"/>
      <w:bookmarkStart w:id="164" w:name="_Ref221533983"/>
      <w:bookmarkStart w:id="165" w:name="_Toc230692277"/>
      <w:bookmarkStart w:id="166" w:name="_Toc233036498"/>
      <w:r w:rsidRPr="00BC7F18">
        <w:lastRenderedPageBreak/>
        <w:t xml:space="preserve">Table </w:t>
      </w:r>
      <w:fldSimple w:instr=" SEQ Table \* ARABIC ">
        <w:r w:rsidR="00BC7F18">
          <w:rPr>
            <w:noProof/>
          </w:rPr>
          <w:t>11</w:t>
        </w:r>
      </w:fldSimple>
      <w:bookmarkEnd w:id="163"/>
      <w:bookmarkEnd w:id="164"/>
      <w:r w:rsidRPr="00BC7F18">
        <w:t>: Risk assessment outcomes for l</w:t>
      </w:r>
      <w:r w:rsidR="00104818" w:rsidRPr="00BC7F18">
        <w:t xml:space="preserve">iquid </w:t>
      </w:r>
      <w:r w:rsidR="002D400D" w:rsidRPr="00BC7F18">
        <w:t xml:space="preserve">135 g/L </w:t>
      </w:r>
      <w:r w:rsidR="00104818" w:rsidRPr="00BC7F18">
        <w:t xml:space="preserve">paraquat plus </w:t>
      </w:r>
      <w:r w:rsidR="002D400D" w:rsidRPr="00BC7F18">
        <w:t xml:space="preserve">115 g/L </w:t>
      </w:r>
      <w:r w:rsidR="00104818" w:rsidRPr="00BC7F18">
        <w:t>diquat products</w:t>
      </w:r>
      <w:bookmarkEnd w:id="165"/>
      <w:bookmarkEnd w:id="166"/>
    </w:p>
    <w:tbl>
      <w:tblPr>
        <w:tblStyle w:val="TableGrid"/>
        <w:tblW w:w="9634" w:type="dxa"/>
        <w:tblLook w:val="04A0" w:firstRow="1" w:lastRow="0" w:firstColumn="1" w:lastColumn="0" w:noHBand="0" w:noVBand="1"/>
      </w:tblPr>
      <w:tblGrid>
        <w:gridCol w:w="1980"/>
        <w:gridCol w:w="1559"/>
        <w:gridCol w:w="3260"/>
        <w:gridCol w:w="2835"/>
      </w:tblGrid>
      <w:tr w:rsidR="00104818" w:rsidRPr="00D63217" w14:paraId="1219EBC4" w14:textId="77777777" w:rsidTr="00F05F9A">
        <w:trPr>
          <w:trHeight w:val="889"/>
          <w:tblHeader/>
        </w:trPr>
        <w:tc>
          <w:tcPr>
            <w:tcW w:w="1980" w:type="dxa"/>
            <w:tcBorders>
              <w:bottom w:val="single" w:sz="4" w:space="0" w:color="auto"/>
            </w:tcBorders>
            <w:shd w:val="clear" w:color="auto" w:fill="5C2946"/>
          </w:tcPr>
          <w:p w14:paraId="638CDF1D" w14:textId="77777777" w:rsidR="00104818" w:rsidRPr="00D63217" w:rsidRDefault="00104818" w:rsidP="00F05F9A">
            <w:pPr>
              <w:pStyle w:val="TableHead"/>
            </w:pPr>
            <w:bookmarkStart w:id="167" w:name="_Hlk166748339"/>
            <w:r w:rsidRPr="00D63217">
              <w:t>Activity</w:t>
            </w:r>
          </w:p>
        </w:tc>
        <w:tc>
          <w:tcPr>
            <w:tcW w:w="1559" w:type="dxa"/>
            <w:tcBorders>
              <w:bottom w:val="single" w:sz="4" w:space="0" w:color="auto"/>
            </w:tcBorders>
            <w:shd w:val="clear" w:color="auto" w:fill="5C2946"/>
          </w:tcPr>
          <w:p w14:paraId="2E583620" w14:textId="77777777" w:rsidR="00104818" w:rsidRPr="00D63217" w:rsidRDefault="00104818" w:rsidP="00F05F9A">
            <w:pPr>
              <w:pStyle w:val="TableHead"/>
            </w:pPr>
            <w:r w:rsidRPr="00D63217">
              <w:t>Scale of Use</w:t>
            </w:r>
          </w:p>
        </w:tc>
        <w:tc>
          <w:tcPr>
            <w:tcW w:w="3260" w:type="dxa"/>
            <w:tcBorders>
              <w:bottom w:val="single" w:sz="4" w:space="0" w:color="auto"/>
            </w:tcBorders>
            <w:shd w:val="clear" w:color="auto" w:fill="5C2946"/>
          </w:tcPr>
          <w:p w14:paraId="09213442" w14:textId="45278B2A" w:rsidR="00104818" w:rsidRPr="00D63217" w:rsidRDefault="00104818" w:rsidP="00F05F9A">
            <w:pPr>
              <w:pStyle w:val="TableHead"/>
            </w:pPr>
            <w:r w:rsidRPr="00D63217">
              <w:t>Minimum acceptable Personal Protective Equipment (PPE)</w:t>
            </w:r>
            <w:r w:rsidR="0026037A" w:rsidRPr="00974E5E">
              <w:rPr>
                <w:rStyle w:val="FootnoteReference"/>
              </w:rPr>
              <w:footnoteReference w:id="5"/>
            </w:r>
          </w:p>
        </w:tc>
        <w:tc>
          <w:tcPr>
            <w:tcW w:w="2835" w:type="dxa"/>
            <w:tcBorders>
              <w:bottom w:val="single" w:sz="4" w:space="0" w:color="auto"/>
            </w:tcBorders>
            <w:shd w:val="clear" w:color="auto" w:fill="5C2946"/>
          </w:tcPr>
          <w:p w14:paraId="59DE7827" w14:textId="77777777" w:rsidR="00104818" w:rsidRPr="00D63217" w:rsidRDefault="00104818" w:rsidP="00F05F9A">
            <w:pPr>
              <w:pStyle w:val="TableHead"/>
            </w:pPr>
            <w:r w:rsidRPr="00D63217">
              <w:t>Use Acceptable</w:t>
            </w:r>
          </w:p>
          <w:p w14:paraId="46B46881" w14:textId="63F1ABC0" w:rsidR="00104818" w:rsidRPr="00D63217" w:rsidRDefault="00104818" w:rsidP="00F05F9A">
            <w:pPr>
              <w:pStyle w:val="TableHead"/>
            </w:pPr>
            <w:r w:rsidRPr="00D63217">
              <w:t>(Yes/No</w:t>
            </w:r>
            <w:r w:rsidR="008445FF" w:rsidRPr="00D63217">
              <w:t>/Restricted</w:t>
            </w:r>
            <w:r w:rsidRPr="00D63217">
              <w:t>)</w:t>
            </w:r>
          </w:p>
        </w:tc>
      </w:tr>
      <w:tr w:rsidR="00104818" w:rsidRPr="00D63217" w14:paraId="169A678D" w14:textId="77777777" w:rsidTr="00F05F9A">
        <w:tc>
          <w:tcPr>
            <w:tcW w:w="1980" w:type="dxa"/>
            <w:vMerge w:val="restart"/>
            <w:tcBorders>
              <w:left w:val="nil"/>
              <w:right w:val="nil"/>
            </w:tcBorders>
          </w:tcPr>
          <w:p w14:paraId="07767BF3" w14:textId="77777777" w:rsidR="00104818" w:rsidRPr="00D63217" w:rsidRDefault="00104818" w:rsidP="00F05F9A">
            <w:pPr>
              <w:pStyle w:val="TableText"/>
            </w:pPr>
            <w:r w:rsidRPr="00D63217">
              <w:t>Ground boom application mix, load and apply (a single operator mixes, loads and applies)</w:t>
            </w:r>
          </w:p>
        </w:tc>
        <w:tc>
          <w:tcPr>
            <w:tcW w:w="1559" w:type="dxa"/>
            <w:tcBorders>
              <w:left w:val="nil"/>
              <w:right w:val="nil"/>
            </w:tcBorders>
          </w:tcPr>
          <w:p w14:paraId="5E41EF83" w14:textId="1EF0ADFB" w:rsidR="00104818" w:rsidRPr="00D63217" w:rsidRDefault="00104818" w:rsidP="00F05F9A">
            <w:pPr>
              <w:pStyle w:val="TableText"/>
            </w:pPr>
            <w:r w:rsidRPr="00D63217">
              <w:t>Small scale agriculture</w:t>
            </w:r>
            <w:r w:rsidR="00F05F9A" w:rsidRPr="00D63217">
              <w:br/>
            </w:r>
            <w:r w:rsidRPr="00D63217">
              <w:t>(up to 6 ha/day)</w:t>
            </w:r>
          </w:p>
        </w:tc>
        <w:tc>
          <w:tcPr>
            <w:tcW w:w="3260" w:type="dxa"/>
            <w:tcBorders>
              <w:left w:val="nil"/>
              <w:right w:val="nil"/>
            </w:tcBorders>
          </w:tcPr>
          <w:p w14:paraId="641FBD4B" w14:textId="41E85D64" w:rsidR="00104818" w:rsidRPr="00D63217" w:rsidRDefault="00104818" w:rsidP="00F05F9A">
            <w:pPr>
              <w:pStyle w:val="TableText"/>
            </w:pPr>
            <w:r w:rsidRPr="00D63217">
              <w:t>Open cab</w:t>
            </w:r>
            <w:r w:rsidR="00F05F9A" w:rsidRPr="00D63217">
              <w:br/>
            </w:r>
            <w:r w:rsidRPr="00D63217">
              <w:t>Single layer</w:t>
            </w:r>
            <w:r w:rsidR="00F05F9A" w:rsidRPr="00D63217">
              <w:br/>
            </w:r>
            <w:r w:rsidRPr="00D63217">
              <w:t>Gloves</w:t>
            </w:r>
            <w:r w:rsidR="00F05F9A" w:rsidRPr="00D63217">
              <w:br/>
            </w:r>
            <w:r w:rsidRPr="00D63217">
              <w:t>PF10 respirator</w:t>
            </w:r>
            <w:r w:rsidR="00F05F9A" w:rsidRPr="00D63217">
              <w:br/>
            </w:r>
            <w:r w:rsidRPr="00D63217">
              <w:t xml:space="preserve">Face shield or goggles </w:t>
            </w:r>
            <w:r w:rsidR="003B6F82" w:rsidRPr="00D63217">
              <w:t>when mixing or loading</w:t>
            </w:r>
          </w:p>
        </w:tc>
        <w:tc>
          <w:tcPr>
            <w:tcW w:w="2835" w:type="dxa"/>
            <w:tcBorders>
              <w:left w:val="nil"/>
              <w:right w:val="nil"/>
            </w:tcBorders>
          </w:tcPr>
          <w:p w14:paraId="4B75F79E" w14:textId="77777777" w:rsidR="00104818" w:rsidRDefault="00104818" w:rsidP="00F05F9A">
            <w:pPr>
              <w:pStyle w:val="TableText"/>
            </w:pPr>
            <w:r w:rsidRPr="00D63217">
              <w:t>Yes</w:t>
            </w:r>
          </w:p>
          <w:p w14:paraId="30ADCCE6" w14:textId="4A2B4710" w:rsidR="008233BA" w:rsidRPr="00D63217" w:rsidRDefault="008233BA" w:rsidP="00F05F9A">
            <w:pPr>
              <w:pStyle w:val="TableText"/>
            </w:pPr>
            <w:r w:rsidRPr="007A7FBF">
              <w:t xml:space="preserve">Maximum acceptable handling rate of </w:t>
            </w:r>
            <w:r>
              <w:t>56</w:t>
            </w:r>
            <w:r w:rsidRPr="007A7FBF">
              <w:t xml:space="preserve"> kg of </w:t>
            </w:r>
            <w:r>
              <w:t>diquat</w:t>
            </w:r>
            <w:r w:rsidRPr="007A7FBF">
              <w:t xml:space="preserve"> </w:t>
            </w:r>
            <w:r>
              <w:t xml:space="preserve">(487 L undiluted product) </w:t>
            </w:r>
            <w:r w:rsidRPr="007A7FBF">
              <w:t xml:space="preserve">per </w:t>
            </w:r>
            <w:r>
              <w:t>individual worker</w:t>
            </w:r>
            <w:r w:rsidRPr="007A7FBF">
              <w:t xml:space="preserve"> per day</w:t>
            </w:r>
          </w:p>
        </w:tc>
      </w:tr>
      <w:tr w:rsidR="00104818" w:rsidRPr="00D63217" w14:paraId="4845C4B7" w14:textId="77777777" w:rsidTr="00F05F9A">
        <w:tc>
          <w:tcPr>
            <w:tcW w:w="1980" w:type="dxa"/>
            <w:vMerge/>
            <w:tcBorders>
              <w:left w:val="nil"/>
              <w:right w:val="nil"/>
            </w:tcBorders>
          </w:tcPr>
          <w:p w14:paraId="3C835774" w14:textId="77777777" w:rsidR="00104818" w:rsidRPr="00D63217" w:rsidRDefault="00104818" w:rsidP="00F05F9A">
            <w:pPr>
              <w:pStyle w:val="TableText"/>
            </w:pPr>
          </w:p>
        </w:tc>
        <w:tc>
          <w:tcPr>
            <w:tcW w:w="1559" w:type="dxa"/>
            <w:tcBorders>
              <w:left w:val="nil"/>
              <w:right w:val="nil"/>
            </w:tcBorders>
          </w:tcPr>
          <w:p w14:paraId="51A6D6C2" w14:textId="1912AD04" w:rsidR="00104818" w:rsidRPr="00D63217" w:rsidRDefault="00104818" w:rsidP="00F05F9A">
            <w:pPr>
              <w:pStyle w:val="TableText"/>
            </w:pPr>
            <w:r w:rsidRPr="00D63217">
              <w:t>Broad scale agriculture</w:t>
            </w:r>
            <w:r w:rsidR="00F05F9A" w:rsidRPr="00D63217">
              <w:br/>
            </w:r>
            <w:r w:rsidRPr="00D63217">
              <w:t xml:space="preserve">(up to </w:t>
            </w:r>
            <w:r w:rsidR="000744E4">
              <w:t>5</w:t>
            </w:r>
            <w:r w:rsidR="000744E4" w:rsidRPr="00D63217">
              <w:t xml:space="preserve">00 </w:t>
            </w:r>
            <w:r w:rsidRPr="00D63217">
              <w:t>ha/day</w:t>
            </w:r>
            <w:r w:rsidR="00EE25AF">
              <w:t xml:space="preserve"> </w:t>
            </w:r>
            <w:r w:rsidR="00EE25AF" w:rsidRPr="00EE25AF">
              <w:t xml:space="preserve">for all crops and 400 ha/d </w:t>
            </w:r>
            <w:r w:rsidR="009911FE">
              <w:t xml:space="preserve">for </w:t>
            </w:r>
            <w:r w:rsidR="00EE25AF" w:rsidRPr="00EE25AF">
              <w:t>cotton</w:t>
            </w:r>
            <w:r w:rsidRPr="00D63217">
              <w:t>)</w:t>
            </w:r>
          </w:p>
        </w:tc>
        <w:tc>
          <w:tcPr>
            <w:tcW w:w="3260" w:type="dxa"/>
            <w:tcBorders>
              <w:left w:val="nil"/>
              <w:right w:val="nil"/>
            </w:tcBorders>
          </w:tcPr>
          <w:p w14:paraId="0889A260" w14:textId="77777777" w:rsidR="00104818" w:rsidRPr="00D63217" w:rsidRDefault="00104818" w:rsidP="00F05F9A">
            <w:pPr>
              <w:pStyle w:val="TableText"/>
            </w:pPr>
            <w:r w:rsidRPr="00D63217">
              <w:t>Enclosed cab application</w:t>
            </w:r>
          </w:p>
          <w:p w14:paraId="232704CF" w14:textId="77777777" w:rsidR="00104818" w:rsidRPr="00D63217" w:rsidRDefault="00104818" w:rsidP="00F05F9A">
            <w:pPr>
              <w:pStyle w:val="TableText"/>
            </w:pPr>
            <w:r w:rsidRPr="00D63217">
              <w:t>Enclosed mixing and loading (single layer of clothing, gloves, PF10 respirator, face shield or goggles when connecting, disconnecting or cleaning components of the mixing and loading system)</w:t>
            </w:r>
          </w:p>
        </w:tc>
        <w:tc>
          <w:tcPr>
            <w:tcW w:w="2835" w:type="dxa"/>
            <w:tcBorders>
              <w:left w:val="nil"/>
              <w:right w:val="nil"/>
            </w:tcBorders>
          </w:tcPr>
          <w:p w14:paraId="2AF03B10" w14:textId="6E580123" w:rsidR="00104818" w:rsidRPr="00117486" w:rsidRDefault="00F73353" w:rsidP="00F05F9A">
            <w:pPr>
              <w:pStyle w:val="TableText"/>
            </w:pPr>
            <w:r w:rsidRPr="00117486">
              <w:t>Yes</w:t>
            </w:r>
          </w:p>
          <w:p w14:paraId="5D16A1B0" w14:textId="68E8FF75" w:rsidR="00104818" w:rsidRPr="00117486" w:rsidRDefault="008233BA" w:rsidP="00F05F9A">
            <w:pPr>
              <w:pStyle w:val="TableText"/>
            </w:pPr>
            <w:r w:rsidRPr="007A7FBF">
              <w:t xml:space="preserve">Maximum acceptable handling rate of </w:t>
            </w:r>
            <w:r>
              <w:t>317.7</w:t>
            </w:r>
            <w:r w:rsidRPr="007A7FBF">
              <w:t xml:space="preserve"> kg of </w:t>
            </w:r>
            <w:r>
              <w:t>diquat</w:t>
            </w:r>
            <w:r w:rsidRPr="007A7FBF">
              <w:t xml:space="preserve"> </w:t>
            </w:r>
            <w:r>
              <w:t>(</w:t>
            </w:r>
            <w:r w:rsidR="0083407F">
              <w:t xml:space="preserve">2763 L undiluted product) </w:t>
            </w:r>
            <w:r w:rsidRPr="007A7FBF">
              <w:t xml:space="preserve">per </w:t>
            </w:r>
            <w:r>
              <w:t>individual worker</w:t>
            </w:r>
            <w:r w:rsidRPr="007A7FBF">
              <w:t xml:space="preserve"> per day</w:t>
            </w:r>
          </w:p>
        </w:tc>
      </w:tr>
      <w:tr w:rsidR="00A7465B" w:rsidRPr="00D63217" w14:paraId="41960908" w14:textId="77777777" w:rsidTr="00F05F9A">
        <w:trPr>
          <w:trHeight w:val="889"/>
          <w:tblHeader/>
        </w:trPr>
        <w:tc>
          <w:tcPr>
            <w:tcW w:w="1980" w:type="dxa"/>
            <w:tcBorders>
              <w:left w:val="nil"/>
              <w:right w:val="nil"/>
            </w:tcBorders>
          </w:tcPr>
          <w:p w14:paraId="7EF48945" w14:textId="7B81844B" w:rsidR="00A7465B" w:rsidRPr="00D63217" w:rsidRDefault="00A7465B" w:rsidP="00F05F9A">
            <w:pPr>
              <w:pStyle w:val="TableText"/>
            </w:pPr>
            <w:r w:rsidRPr="00D63217">
              <w:t>Backpack sprayer (a single operator mixes, loads and applies)</w:t>
            </w:r>
          </w:p>
        </w:tc>
        <w:tc>
          <w:tcPr>
            <w:tcW w:w="1559" w:type="dxa"/>
            <w:tcBorders>
              <w:left w:val="nil"/>
              <w:right w:val="nil"/>
            </w:tcBorders>
          </w:tcPr>
          <w:p w14:paraId="06432184" w14:textId="40E8039F" w:rsidR="00A7465B" w:rsidRPr="00D63217" w:rsidRDefault="00A7465B" w:rsidP="00F05F9A">
            <w:pPr>
              <w:pStyle w:val="TableText"/>
            </w:pPr>
            <w:r w:rsidRPr="00D63217">
              <w:t>150 L/day</w:t>
            </w:r>
            <w:r w:rsidR="007E6AC5">
              <w:t xml:space="preserve"> (diluted product)</w:t>
            </w:r>
          </w:p>
        </w:tc>
        <w:tc>
          <w:tcPr>
            <w:tcW w:w="3260" w:type="dxa"/>
            <w:tcBorders>
              <w:left w:val="nil"/>
              <w:right w:val="nil"/>
            </w:tcBorders>
          </w:tcPr>
          <w:p w14:paraId="58698BC2" w14:textId="4DAA35E3" w:rsidR="00A7465B" w:rsidRPr="00D63217" w:rsidRDefault="007A7FBF" w:rsidP="00F05F9A">
            <w:pPr>
              <w:pStyle w:val="TableText"/>
            </w:pPr>
            <w:r>
              <w:t>Double</w:t>
            </w:r>
            <w:r w:rsidRPr="00D63217">
              <w:t xml:space="preserve"> </w:t>
            </w:r>
            <w:r w:rsidR="00A7465B" w:rsidRPr="00D63217">
              <w:t>layer</w:t>
            </w:r>
            <w:r w:rsidR="00F05F9A" w:rsidRPr="00D63217">
              <w:br/>
            </w:r>
            <w:r w:rsidR="00A7465B" w:rsidRPr="00D63217">
              <w:t>Gloves</w:t>
            </w:r>
            <w:r w:rsidR="00F05F9A" w:rsidRPr="00D63217">
              <w:br/>
            </w:r>
            <w:r w:rsidRPr="00D63217">
              <w:t>PF</w:t>
            </w:r>
            <w:r>
              <w:t>5</w:t>
            </w:r>
            <w:r w:rsidRPr="00D63217">
              <w:t xml:space="preserve">0 </w:t>
            </w:r>
            <w:r w:rsidR="00A7465B" w:rsidRPr="00D63217">
              <w:t>respirator</w:t>
            </w:r>
            <w:r w:rsidR="00F05F9A" w:rsidRPr="00D63217">
              <w:br/>
            </w:r>
            <w:r w:rsidR="00A7465B" w:rsidRPr="00D63217">
              <w:t>Face shield or goggles when mixing and loading</w:t>
            </w:r>
          </w:p>
        </w:tc>
        <w:tc>
          <w:tcPr>
            <w:tcW w:w="2835" w:type="dxa"/>
            <w:tcBorders>
              <w:left w:val="nil"/>
              <w:right w:val="nil"/>
            </w:tcBorders>
          </w:tcPr>
          <w:p w14:paraId="495033E7" w14:textId="4116DB53" w:rsidR="00A7465B" w:rsidRPr="00117486" w:rsidRDefault="00A7465B" w:rsidP="00F05F9A">
            <w:pPr>
              <w:pStyle w:val="TableText"/>
            </w:pPr>
            <w:r w:rsidRPr="00117486">
              <w:t>No*</w:t>
            </w:r>
          </w:p>
          <w:p w14:paraId="64238444" w14:textId="30FC904C" w:rsidR="00A7465B" w:rsidRPr="00117486" w:rsidRDefault="00A7465B" w:rsidP="00F05F9A">
            <w:pPr>
              <w:pStyle w:val="TableText"/>
            </w:pPr>
            <w:r w:rsidRPr="00117486">
              <w:t>Maximum acceptable handling rate of 0.</w:t>
            </w:r>
            <w:r w:rsidR="00CF5EE4">
              <w:t>2</w:t>
            </w:r>
            <w:r w:rsidR="007A7FBF" w:rsidRPr="00117486">
              <w:t xml:space="preserve"> </w:t>
            </w:r>
            <w:r w:rsidRPr="00117486">
              <w:t xml:space="preserve">kg of </w:t>
            </w:r>
            <w:r w:rsidR="00CF5EE4">
              <w:t>diqua</w:t>
            </w:r>
            <w:r w:rsidR="00487A30">
              <w:t>t</w:t>
            </w:r>
            <w:r w:rsidR="0083407F">
              <w:t xml:space="preserve"> (1.74 L undiluted product)</w:t>
            </w:r>
            <w:r w:rsidR="00681B59" w:rsidRPr="00117486">
              <w:t xml:space="preserve"> </w:t>
            </w:r>
            <w:r w:rsidRPr="00117486">
              <w:t>per</w:t>
            </w:r>
            <w:r w:rsidR="00196FFE">
              <w:t xml:space="preserve"> individual worker</w:t>
            </w:r>
            <w:r w:rsidRPr="00117486">
              <w:t xml:space="preserve"> per day</w:t>
            </w:r>
          </w:p>
        </w:tc>
      </w:tr>
      <w:tr w:rsidR="00104818" w:rsidRPr="00D63217" w14:paraId="49ABAD98" w14:textId="77777777" w:rsidTr="00F05F9A">
        <w:trPr>
          <w:trHeight w:val="889"/>
          <w:tblHeader/>
        </w:trPr>
        <w:tc>
          <w:tcPr>
            <w:tcW w:w="1980" w:type="dxa"/>
            <w:tcBorders>
              <w:left w:val="nil"/>
              <w:right w:val="nil"/>
            </w:tcBorders>
          </w:tcPr>
          <w:p w14:paraId="10E8F71A" w14:textId="62377DD1" w:rsidR="00104818" w:rsidRPr="00D63217" w:rsidRDefault="00104818" w:rsidP="00F05F9A">
            <w:pPr>
              <w:pStyle w:val="TableText"/>
            </w:pPr>
            <w:r w:rsidRPr="00D63217">
              <w:t>Manually pressurised hand wand application (a single operator mixes, loads and applies)</w:t>
            </w:r>
          </w:p>
        </w:tc>
        <w:tc>
          <w:tcPr>
            <w:tcW w:w="1559" w:type="dxa"/>
            <w:tcBorders>
              <w:left w:val="nil"/>
              <w:right w:val="nil"/>
            </w:tcBorders>
          </w:tcPr>
          <w:p w14:paraId="545C5378" w14:textId="7C09E4C9" w:rsidR="00104818" w:rsidRPr="00D63217" w:rsidRDefault="00532B63" w:rsidP="00F05F9A">
            <w:pPr>
              <w:pStyle w:val="TableText"/>
            </w:pPr>
            <w:r w:rsidRPr="00D63217">
              <w:t>150 L/day</w:t>
            </w:r>
            <w:r w:rsidR="007E6AC5">
              <w:t xml:space="preserve"> (diluted product)</w:t>
            </w:r>
          </w:p>
        </w:tc>
        <w:tc>
          <w:tcPr>
            <w:tcW w:w="3260" w:type="dxa"/>
            <w:tcBorders>
              <w:left w:val="nil"/>
              <w:right w:val="nil"/>
            </w:tcBorders>
          </w:tcPr>
          <w:p w14:paraId="11369A08" w14:textId="58D773F9" w:rsidR="00104818" w:rsidRPr="003C5F23" w:rsidRDefault="003C5F23" w:rsidP="00F05F9A">
            <w:pPr>
              <w:pStyle w:val="TableText"/>
            </w:pPr>
            <w:r w:rsidRPr="003C5F23">
              <w:t xml:space="preserve">Double </w:t>
            </w:r>
            <w:r w:rsidR="00104818" w:rsidRPr="003C5F23">
              <w:t>layer</w:t>
            </w:r>
            <w:r w:rsidR="00F05F9A" w:rsidRPr="003C5F23">
              <w:br/>
            </w:r>
            <w:r w:rsidR="00104818" w:rsidRPr="003C5F23">
              <w:t>Gloves</w:t>
            </w:r>
            <w:r w:rsidR="00F05F9A" w:rsidRPr="003C5F23">
              <w:br/>
            </w:r>
            <w:r w:rsidRPr="003C5F23">
              <w:t xml:space="preserve">PF50 </w:t>
            </w:r>
            <w:r w:rsidR="00104818" w:rsidRPr="003C5F23">
              <w:t>respirator</w:t>
            </w:r>
            <w:r w:rsidR="00F05F9A" w:rsidRPr="003C5F23">
              <w:br/>
            </w:r>
            <w:r w:rsidR="00104818" w:rsidRPr="003C5F23">
              <w:t>Face shield or goggles when mixing and loading</w:t>
            </w:r>
          </w:p>
        </w:tc>
        <w:tc>
          <w:tcPr>
            <w:tcW w:w="2835" w:type="dxa"/>
            <w:tcBorders>
              <w:left w:val="nil"/>
              <w:right w:val="nil"/>
            </w:tcBorders>
          </w:tcPr>
          <w:p w14:paraId="76BFCEF0" w14:textId="74C35653" w:rsidR="00104818" w:rsidRPr="007A7FBF" w:rsidRDefault="00F73353" w:rsidP="00F05F9A">
            <w:pPr>
              <w:pStyle w:val="TableText"/>
            </w:pPr>
            <w:r w:rsidRPr="007A7FBF">
              <w:t>Yes</w:t>
            </w:r>
          </w:p>
          <w:p w14:paraId="3772C992" w14:textId="63392588" w:rsidR="00104818" w:rsidRPr="007A7FBF" w:rsidRDefault="00104818" w:rsidP="00F05F9A">
            <w:pPr>
              <w:pStyle w:val="TableText"/>
            </w:pPr>
            <w:r w:rsidRPr="007A7FBF">
              <w:t xml:space="preserve">Maximum acceptable handling rate of </w:t>
            </w:r>
            <w:r w:rsidR="00CF5EE4">
              <w:t>8.2</w:t>
            </w:r>
            <w:r w:rsidRPr="007A7FBF">
              <w:t xml:space="preserve"> kg of </w:t>
            </w:r>
            <w:r w:rsidR="00CF5EE4">
              <w:t>diquat</w:t>
            </w:r>
            <w:r w:rsidR="0083407F">
              <w:t xml:space="preserve"> (71.3 L undiluted product)</w:t>
            </w:r>
            <w:r w:rsidR="00681B59" w:rsidRPr="007A7FBF">
              <w:t xml:space="preserve"> </w:t>
            </w:r>
            <w:r w:rsidRPr="007A7FBF">
              <w:t xml:space="preserve">per </w:t>
            </w:r>
            <w:r w:rsidR="00196FFE">
              <w:t>individual worker</w:t>
            </w:r>
            <w:r w:rsidR="00196FFE" w:rsidRPr="007A7FBF">
              <w:t xml:space="preserve"> </w:t>
            </w:r>
            <w:r w:rsidRPr="007A7FBF">
              <w:t>per day</w:t>
            </w:r>
          </w:p>
        </w:tc>
      </w:tr>
      <w:tr w:rsidR="007E6AC5" w:rsidRPr="00D63217" w14:paraId="2858E7CA" w14:textId="77777777" w:rsidTr="007E6AC5">
        <w:trPr>
          <w:trHeight w:val="810"/>
          <w:tblHeader/>
        </w:trPr>
        <w:tc>
          <w:tcPr>
            <w:tcW w:w="1980" w:type="dxa"/>
            <w:vMerge w:val="restart"/>
            <w:tcBorders>
              <w:left w:val="nil"/>
              <w:right w:val="nil"/>
            </w:tcBorders>
          </w:tcPr>
          <w:p w14:paraId="5A2F8BF7" w14:textId="05E2AA93" w:rsidR="007E6AC5" w:rsidRPr="00D63217" w:rsidRDefault="007E6AC5" w:rsidP="00D1581F">
            <w:pPr>
              <w:pStyle w:val="TableText"/>
            </w:pPr>
            <w:r w:rsidRPr="00D63217">
              <w:t>Mechanically pressurised hand wand application (a single operator mixes, loads and applies)</w:t>
            </w:r>
          </w:p>
        </w:tc>
        <w:tc>
          <w:tcPr>
            <w:tcW w:w="1559" w:type="dxa"/>
            <w:tcBorders>
              <w:left w:val="nil"/>
              <w:right w:val="nil"/>
            </w:tcBorders>
          </w:tcPr>
          <w:p w14:paraId="6D196436" w14:textId="189C614A" w:rsidR="007E6AC5" w:rsidRPr="00D63217" w:rsidRDefault="007E6AC5" w:rsidP="00BC7F18">
            <w:pPr>
              <w:pStyle w:val="TableText"/>
            </w:pPr>
            <w:r>
              <w:t>1,000 L/day spot treatment foliar (diluted product)</w:t>
            </w:r>
          </w:p>
        </w:tc>
        <w:tc>
          <w:tcPr>
            <w:tcW w:w="3260" w:type="dxa"/>
            <w:vMerge w:val="restart"/>
            <w:tcBorders>
              <w:left w:val="nil"/>
              <w:right w:val="nil"/>
            </w:tcBorders>
          </w:tcPr>
          <w:p w14:paraId="159D8689" w14:textId="1D90573A" w:rsidR="007E6AC5" w:rsidRPr="003C5F23" w:rsidRDefault="007E6AC5" w:rsidP="00D1581F">
            <w:pPr>
              <w:pStyle w:val="TableText"/>
            </w:pPr>
            <w:r w:rsidRPr="003C5F23">
              <w:t>Double layer</w:t>
            </w:r>
            <w:r w:rsidRPr="003C5F23">
              <w:br/>
              <w:t>Gloves</w:t>
            </w:r>
            <w:r w:rsidRPr="003C5F23">
              <w:br/>
              <w:t>PF50 respirator</w:t>
            </w:r>
            <w:r w:rsidRPr="003C5F23">
              <w:br/>
              <w:t>Face shield or goggles when mixing and loading</w:t>
            </w:r>
          </w:p>
        </w:tc>
        <w:tc>
          <w:tcPr>
            <w:tcW w:w="2835" w:type="dxa"/>
            <w:tcBorders>
              <w:left w:val="nil"/>
              <w:right w:val="nil"/>
            </w:tcBorders>
          </w:tcPr>
          <w:p w14:paraId="107227DB" w14:textId="0203606F" w:rsidR="007E6AC5" w:rsidRPr="007A7FBF" w:rsidRDefault="008233BA" w:rsidP="00D1581F">
            <w:pPr>
              <w:pStyle w:val="TableText"/>
            </w:pPr>
            <w:r>
              <w:t>Restricted</w:t>
            </w:r>
          </w:p>
          <w:p w14:paraId="27133EB2" w14:textId="3D3835CD" w:rsidR="007E6AC5" w:rsidRPr="007A7FBF" w:rsidRDefault="007E6AC5" w:rsidP="00D1581F">
            <w:pPr>
              <w:pStyle w:val="TableText"/>
            </w:pPr>
            <w:r w:rsidRPr="007A7FBF">
              <w:t xml:space="preserve">Maximum acceptable handling rate of </w:t>
            </w:r>
            <w:r>
              <w:t>2.3</w:t>
            </w:r>
            <w:r w:rsidRPr="007A7FBF">
              <w:t xml:space="preserve"> kg </w:t>
            </w:r>
            <w:r>
              <w:t>diquat</w:t>
            </w:r>
            <w:r w:rsidR="0083407F">
              <w:t xml:space="preserve"> (20 L undiluted product)</w:t>
            </w:r>
            <w:r w:rsidRPr="007A7FBF">
              <w:t xml:space="preserve"> per </w:t>
            </w:r>
            <w:r>
              <w:t xml:space="preserve">individual worker </w:t>
            </w:r>
            <w:r w:rsidRPr="007A7FBF">
              <w:t>per day</w:t>
            </w:r>
          </w:p>
        </w:tc>
      </w:tr>
      <w:tr w:rsidR="007E6AC5" w:rsidRPr="00D63217" w14:paraId="49024049" w14:textId="77777777" w:rsidTr="007E6AC5">
        <w:trPr>
          <w:trHeight w:val="810"/>
          <w:tblHeader/>
        </w:trPr>
        <w:tc>
          <w:tcPr>
            <w:tcW w:w="1980" w:type="dxa"/>
            <w:vMerge/>
            <w:tcBorders>
              <w:left w:val="nil"/>
              <w:right w:val="nil"/>
            </w:tcBorders>
          </w:tcPr>
          <w:p w14:paraId="22EC1D48" w14:textId="77777777" w:rsidR="007E6AC5" w:rsidRPr="00D63217" w:rsidRDefault="007E6AC5" w:rsidP="007E6AC5">
            <w:pPr>
              <w:pStyle w:val="TableText"/>
            </w:pPr>
          </w:p>
        </w:tc>
        <w:tc>
          <w:tcPr>
            <w:tcW w:w="1559" w:type="dxa"/>
            <w:tcBorders>
              <w:left w:val="nil"/>
              <w:right w:val="nil"/>
            </w:tcBorders>
          </w:tcPr>
          <w:p w14:paraId="572C1F95" w14:textId="39373B2B" w:rsidR="007E6AC5" w:rsidRDefault="007E6AC5" w:rsidP="007E6AC5">
            <w:pPr>
              <w:pStyle w:val="TableText"/>
            </w:pPr>
            <w:r>
              <w:t>4,000 L/day Broadcast foliar treatment (diluted product)</w:t>
            </w:r>
          </w:p>
        </w:tc>
        <w:tc>
          <w:tcPr>
            <w:tcW w:w="3260" w:type="dxa"/>
            <w:vMerge/>
            <w:tcBorders>
              <w:left w:val="nil"/>
              <w:right w:val="nil"/>
            </w:tcBorders>
          </w:tcPr>
          <w:p w14:paraId="52C47B75" w14:textId="77777777" w:rsidR="007E6AC5" w:rsidRPr="003C5F23" w:rsidRDefault="007E6AC5" w:rsidP="007E6AC5">
            <w:pPr>
              <w:pStyle w:val="TableText"/>
            </w:pPr>
          </w:p>
        </w:tc>
        <w:tc>
          <w:tcPr>
            <w:tcW w:w="2835" w:type="dxa"/>
            <w:tcBorders>
              <w:left w:val="nil"/>
              <w:right w:val="nil"/>
            </w:tcBorders>
          </w:tcPr>
          <w:p w14:paraId="32465239" w14:textId="56972FCE" w:rsidR="007E6AC5" w:rsidRPr="007A7FBF" w:rsidRDefault="008233BA" w:rsidP="007E6AC5">
            <w:pPr>
              <w:pStyle w:val="TableText"/>
            </w:pPr>
            <w:r>
              <w:t>Restricted</w:t>
            </w:r>
          </w:p>
          <w:p w14:paraId="56C119A9" w14:textId="7937FAC1" w:rsidR="007E6AC5" w:rsidRPr="007A7FBF" w:rsidDel="006F075F" w:rsidRDefault="007E6AC5" w:rsidP="007E6AC5">
            <w:pPr>
              <w:pStyle w:val="TableText"/>
            </w:pPr>
            <w:r w:rsidRPr="007A7FBF">
              <w:t xml:space="preserve">Maximum acceptable handling rate of </w:t>
            </w:r>
            <w:r>
              <w:t>2.3</w:t>
            </w:r>
            <w:r w:rsidRPr="007A7FBF">
              <w:t xml:space="preserve"> kg </w:t>
            </w:r>
            <w:r>
              <w:t>diquat</w:t>
            </w:r>
            <w:r w:rsidR="0083407F">
              <w:t xml:space="preserve"> (20 L undiluted product)</w:t>
            </w:r>
            <w:r w:rsidRPr="007A7FBF">
              <w:t xml:space="preserve"> per </w:t>
            </w:r>
            <w:r>
              <w:t xml:space="preserve">individual worker </w:t>
            </w:r>
            <w:r w:rsidRPr="007A7FBF">
              <w:t>per day</w:t>
            </w:r>
          </w:p>
        </w:tc>
      </w:tr>
    </w:tbl>
    <w:bookmarkEnd w:id="167"/>
    <w:p w14:paraId="599D1122" w14:textId="012636D1" w:rsidR="00681B59" w:rsidRPr="009B5C6C" w:rsidRDefault="002D400D">
      <w:pPr>
        <w:rPr>
          <w:szCs w:val="16"/>
        </w:rPr>
      </w:pPr>
      <w:r w:rsidRPr="009B5C6C">
        <w:rPr>
          <w:szCs w:val="16"/>
        </w:rPr>
        <w:t>*</w:t>
      </w:r>
      <w:r w:rsidR="00A7465B" w:rsidRPr="006C5342">
        <w:rPr>
          <w:rFonts w:cs="Arial"/>
          <w:spacing w:val="6"/>
          <w:kern w:val="20"/>
          <w:sz w:val="17"/>
          <w:u w:color="000000"/>
        </w:rPr>
        <w:t>operator exposure for backpack use of combined paraquat and diquat products was not re-calculated as exposure to paraquat alone was not acceptable in any scenario</w:t>
      </w:r>
    </w:p>
    <w:p w14:paraId="30CA9CD3" w14:textId="03C8754F" w:rsidR="00104818" w:rsidRPr="003D7941" w:rsidRDefault="00104818" w:rsidP="003D7941">
      <w:pPr>
        <w:pStyle w:val="Heading3"/>
      </w:pPr>
      <w:bookmarkStart w:id="168" w:name="_Toc231480841"/>
      <w:bookmarkStart w:id="169" w:name="_Toc233036393"/>
      <w:bookmarkStart w:id="170" w:name="_Hlk166146312"/>
      <w:r w:rsidRPr="003D7941">
        <w:lastRenderedPageBreak/>
        <w:t>Re-entry</w:t>
      </w:r>
      <w:r w:rsidR="00642943" w:rsidRPr="003D7941">
        <w:t xml:space="preserve"> to treated areas</w:t>
      </w:r>
      <w:bookmarkEnd w:id="168"/>
      <w:bookmarkEnd w:id="169"/>
    </w:p>
    <w:p w14:paraId="67480C91" w14:textId="0518F200" w:rsidR="001A72EA" w:rsidRDefault="00104818" w:rsidP="00880C8D">
      <w:pPr>
        <w:pStyle w:val="NormalText"/>
        <w:rPr>
          <w:rStyle w:val="NormalTextChar"/>
        </w:rPr>
      </w:pPr>
      <w:bookmarkStart w:id="171" w:name="_Ref230165799"/>
      <w:bookmarkStart w:id="172" w:name="_Hlk163662400"/>
      <w:r w:rsidRPr="001A72EA">
        <w:rPr>
          <w:rStyle w:val="NormalTextChar"/>
        </w:rPr>
        <w:t>Based on the acute hazards associated with exposure to paraquat</w:t>
      </w:r>
      <w:r w:rsidR="00541CF6" w:rsidRPr="001A72EA">
        <w:rPr>
          <w:rStyle w:val="NormalTextChar"/>
        </w:rPr>
        <w:t xml:space="preserve"> and</w:t>
      </w:r>
      <w:r w:rsidRPr="001A72EA">
        <w:rPr>
          <w:rStyle w:val="NormalTextChar"/>
        </w:rPr>
        <w:t xml:space="preserve"> diquat, treated areas should not be entered until the spray has dried</w:t>
      </w:r>
      <w:r w:rsidR="00227A9F" w:rsidRPr="001A72EA">
        <w:rPr>
          <w:rStyle w:val="NormalTextChar"/>
        </w:rPr>
        <w:t xml:space="preserve"> unless using an enclosed cab or wearing cotton overalls and gloves. Workers performing scouting and hand-set irrigation activities must comply with the re-entry periods specified in</w:t>
      </w:r>
      <w:r w:rsidR="00880C8D">
        <w:rPr>
          <w:rStyle w:val="NormalTextChar"/>
        </w:rPr>
        <w:t xml:space="preserve"> </w:t>
      </w:r>
      <w:r w:rsidR="00880C8D">
        <w:rPr>
          <w:rStyle w:val="NormalTextChar"/>
        </w:rPr>
        <w:fldChar w:fldCharType="begin"/>
      </w:r>
      <w:r w:rsidR="00880C8D">
        <w:rPr>
          <w:rStyle w:val="NormalTextChar"/>
        </w:rPr>
        <w:instrText xml:space="preserve"> REF _Ref230704805 \h </w:instrText>
      </w:r>
      <w:r w:rsidR="00880C8D">
        <w:rPr>
          <w:rStyle w:val="NormalTextChar"/>
        </w:rPr>
      </w:r>
      <w:r w:rsidR="00880C8D">
        <w:rPr>
          <w:rStyle w:val="NormalTextChar"/>
        </w:rPr>
        <w:fldChar w:fldCharType="separate"/>
      </w:r>
      <w:r w:rsidR="00880C8D" w:rsidRPr="003D7941">
        <w:t xml:space="preserve">Table </w:t>
      </w:r>
      <w:r w:rsidR="00880C8D">
        <w:rPr>
          <w:noProof/>
        </w:rPr>
        <w:t>12</w:t>
      </w:r>
      <w:r w:rsidR="00880C8D">
        <w:rPr>
          <w:rStyle w:val="NormalTextChar"/>
        </w:rPr>
        <w:fldChar w:fldCharType="end"/>
      </w:r>
      <w:r w:rsidR="00FA2115" w:rsidRPr="001A72EA">
        <w:rPr>
          <w:rStyle w:val="NormalTextChar"/>
        </w:rPr>
        <w:t xml:space="preserve">, </w:t>
      </w:r>
      <w:r w:rsidR="00FA2115" w:rsidRPr="001A72EA">
        <w:rPr>
          <w:rStyle w:val="NormalTextChar"/>
        </w:rPr>
        <w:fldChar w:fldCharType="begin"/>
      </w:r>
      <w:r w:rsidR="00FA2115" w:rsidRPr="001A72EA">
        <w:rPr>
          <w:rStyle w:val="NormalTextChar"/>
        </w:rPr>
        <w:instrText xml:space="preserve"> REF _Ref221533872 \h </w:instrText>
      </w:r>
      <w:r w:rsidR="001A72EA">
        <w:rPr>
          <w:rStyle w:val="NormalTextChar"/>
        </w:rPr>
        <w:instrText xml:space="preserve"> \* MERGEFORMAT </w:instrText>
      </w:r>
      <w:r w:rsidR="00FA2115" w:rsidRPr="001A72EA">
        <w:rPr>
          <w:rStyle w:val="NormalTextChar"/>
        </w:rPr>
      </w:r>
      <w:r w:rsidR="00FA2115" w:rsidRPr="001A72EA">
        <w:rPr>
          <w:rStyle w:val="NormalTextChar"/>
        </w:rPr>
        <w:fldChar w:fldCharType="separate"/>
      </w:r>
      <w:r w:rsidR="008A397D" w:rsidRPr="008A397D">
        <w:rPr>
          <w:rStyle w:val="NormalTextChar"/>
        </w:rPr>
        <w:t>Table 13</w:t>
      </w:r>
      <w:r w:rsidR="00FA2115" w:rsidRPr="001A72EA">
        <w:rPr>
          <w:rStyle w:val="NormalTextChar"/>
        </w:rPr>
        <w:fldChar w:fldCharType="end"/>
      </w:r>
      <w:r w:rsidR="00880C8D">
        <w:rPr>
          <w:rStyle w:val="NormalTextChar"/>
        </w:rPr>
        <w:t xml:space="preserve"> or</w:t>
      </w:r>
      <w:r w:rsidR="00FA2115" w:rsidRPr="001A72EA">
        <w:rPr>
          <w:rStyle w:val="NormalTextChar"/>
        </w:rPr>
        <w:t xml:space="preserve"> </w:t>
      </w:r>
      <w:r w:rsidR="00FA2115" w:rsidRPr="001A72EA">
        <w:rPr>
          <w:rStyle w:val="NormalTextChar"/>
        </w:rPr>
        <w:fldChar w:fldCharType="begin"/>
      </w:r>
      <w:r w:rsidR="00FA2115" w:rsidRPr="001A72EA">
        <w:rPr>
          <w:rStyle w:val="NormalTextChar"/>
        </w:rPr>
        <w:instrText xml:space="preserve"> REF _Ref221533882 \h </w:instrText>
      </w:r>
      <w:r w:rsidR="001A72EA">
        <w:rPr>
          <w:rStyle w:val="NormalTextChar"/>
        </w:rPr>
        <w:instrText xml:space="preserve"> \* MERGEFORMAT </w:instrText>
      </w:r>
      <w:r w:rsidR="00FA2115" w:rsidRPr="001A72EA">
        <w:rPr>
          <w:rStyle w:val="NormalTextChar"/>
        </w:rPr>
      </w:r>
      <w:r w:rsidR="00FA2115" w:rsidRPr="001A72EA">
        <w:rPr>
          <w:rStyle w:val="NormalTextChar"/>
        </w:rPr>
        <w:fldChar w:fldCharType="separate"/>
      </w:r>
      <w:r w:rsidR="008A397D" w:rsidRPr="008A397D">
        <w:rPr>
          <w:rStyle w:val="NormalTextChar"/>
        </w:rPr>
        <w:t>Table 14</w:t>
      </w:r>
      <w:r w:rsidR="00FA2115" w:rsidRPr="001A72EA">
        <w:rPr>
          <w:rStyle w:val="NormalTextChar"/>
        </w:rPr>
        <w:fldChar w:fldCharType="end"/>
      </w:r>
      <w:r w:rsidR="00FA2115" w:rsidRPr="001A72EA">
        <w:rPr>
          <w:rStyle w:val="NormalTextChar"/>
        </w:rPr>
        <w:t>.</w:t>
      </w:r>
      <w:bookmarkStart w:id="173" w:name="_Ref221533857"/>
      <w:bookmarkStart w:id="174" w:name="_Ref230014910"/>
      <w:bookmarkStart w:id="175" w:name="_Ref221533834"/>
      <w:bookmarkStart w:id="176" w:name="_Hlk166594820"/>
    </w:p>
    <w:p w14:paraId="23FF730D" w14:textId="23E80389" w:rsidR="008D694B" w:rsidRPr="003D7941" w:rsidRDefault="008D694B" w:rsidP="003D7941">
      <w:pPr>
        <w:pStyle w:val="Caption"/>
      </w:pPr>
      <w:bookmarkStart w:id="177" w:name="_Ref230704805"/>
      <w:bookmarkStart w:id="178" w:name="_Toc230692278"/>
      <w:bookmarkStart w:id="179" w:name="_Toc233036499"/>
      <w:r w:rsidRPr="003D7941">
        <w:t xml:space="preserve">Table </w:t>
      </w:r>
      <w:fldSimple w:instr=" SEQ Table \* ARABIC ">
        <w:r w:rsidR="003D7941">
          <w:rPr>
            <w:noProof/>
          </w:rPr>
          <w:t>12</w:t>
        </w:r>
      </w:fldSimple>
      <w:bookmarkEnd w:id="171"/>
      <w:bookmarkEnd w:id="173"/>
      <w:bookmarkEnd w:id="174"/>
      <w:bookmarkEnd w:id="177"/>
      <w:r w:rsidRPr="003D7941">
        <w:t xml:space="preserve">: Re-entry intervals </w:t>
      </w:r>
      <w:r w:rsidR="00BC5DF6" w:rsidRPr="003D7941">
        <w:t xml:space="preserve">for </w:t>
      </w:r>
      <w:r w:rsidRPr="003D7941">
        <w:t>paraquat products</w:t>
      </w:r>
      <w:bookmarkEnd w:id="175"/>
      <w:bookmarkEnd w:id="178"/>
      <w:bookmarkEnd w:id="179"/>
    </w:p>
    <w:tbl>
      <w:tblPr>
        <w:tblStyle w:val="TableGrid"/>
        <w:tblW w:w="5000" w:type="pct"/>
        <w:tblLook w:val="04A0" w:firstRow="1" w:lastRow="0" w:firstColumn="1" w:lastColumn="0" w:noHBand="0" w:noVBand="1"/>
      </w:tblPr>
      <w:tblGrid>
        <w:gridCol w:w="6543"/>
        <w:gridCol w:w="3085"/>
      </w:tblGrid>
      <w:tr w:rsidR="006E2C5A" w:rsidRPr="0034682A" w14:paraId="4527EC9C" w14:textId="77777777" w:rsidTr="006E2C5A">
        <w:trPr>
          <w:trHeight w:val="481"/>
          <w:tblHeader/>
        </w:trPr>
        <w:tc>
          <w:tcPr>
            <w:tcW w:w="3398" w:type="pct"/>
            <w:tcBorders>
              <w:bottom w:val="single" w:sz="4" w:space="0" w:color="auto"/>
            </w:tcBorders>
            <w:shd w:val="clear" w:color="auto" w:fill="5C2946"/>
            <w:vAlign w:val="center"/>
          </w:tcPr>
          <w:p w14:paraId="0802365C" w14:textId="417EA56C" w:rsidR="006E2C5A" w:rsidRPr="003D7941" w:rsidRDefault="006E2C5A" w:rsidP="003D7941">
            <w:pPr>
              <w:pStyle w:val="TableHead"/>
            </w:pPr>
            <w:r w:rsidRPr="003D7941">
              <w:t>Activity</w:t>
            </w:r>
          </w:p>
        </w:tc>
        <w:tc>
          <w:tcPr>
            <w:tcW w:w="1602" w:type="pct"/>
            <w:tcBorders>
              <w:bottom w:val="single" w:sz="4" w:space="0" w:color="auto"/>
            </w:tcBorders>
            <w:shd w:val="clear" w:color="auto" w:fill="5C2946"/>
            <w:vAlign w:val="center"/>
          </w:tcPr>
          <w:p w14:paraId="57EC2A8E" w14:textId="69CA3D1D" w:rsidR="006E2C5A" w:rsidRPr="003D7941" w:rsidRDefault="006E2C5A" w:rsidP="003D7941">
            <w:pPr>
              <w:pStyle w:val="TableHead"/>
              <w:jc w:val="right"/>
            </w:pPr>
            <w:r w:rsidRPr="003D7941">
              <w:t>Non-Re-Entry Period (Days)</w:t>
            </w:r>
            <w:r w:rsidR="000C50C7" w:rsidRPr="003D7941">
              <w:t>1</w:t>
            </w:r>
          </w:p>
        </w:tc>
      </w:tr>
      <w:tr w:rsidR="006E2C5A" w:rsidRPr="0034682A" w14:paraId="2FA59639" w14:textId="77777777" w:rsidTr="006E2C5A">
        <w:tc>
          <w:tcPr>
            <w:tcW w:w="3398" w:type="pct"/>
            <w:tcBorders>
              <w:left w:val="nil"/>
              <w:right w:val="nil"/>
            </w:tcBorders>
          </w:tcPr>
          <w:p w14:paraId="3F205961" w14:textId="77777777" w:rsidR="006E2C5A" w:rsidRPr="003D7941" w:rsidRDefault="006E2C5A" w:rsidP="003D7941">
            <w:pPr>
              <w:pStyle w:val="TableText"/>
            </w:pPr>
            <w:r w:rsidRPr="003D7941">
              <w:t>Scouting (application rate of up to 500 g/ha)</w:t>
            </w:r>
          </w:p>
        </w:tc>
        <w:tc>
          <w:tcPr>
            <w:tcW w:w="1602" w:type="pct"/>
            <w:tcBorders>
              <w:left w:val="nil"/>
              <w:right w:val="nil"/>
            </w:tcBorders>
            <w:vAlign w:val="center"/>
          </w:tcPr>
          <w:p w14:paraId="5711C08B" w14:textId="77777777" w:rsidR="006E2C5A" w:rsidRPr="003D7941" w:rsidRDefault="006E2C5A" w:rsidP="003D7941">
            <w:pPr>
              <w:pStyle w:val="TableText"/>
              <w:jc w:val="right"/>
            </w:pPr>
            <w:r w:rsidRPr="003D7941">
              <w:t>0</w:t>
            </w:r>
          </w:p>
        </w:tc>
      </w:tr>
      <w:tr w:rsidR="006E2C5A" w:rsidRPr="0034682A" w14:paraId="78AB13A6" w14:textId="77777777" w:rsidTr="006E2C5A">
        <w:tc>
          <w:tcPr>
            <w:tcW w:w="3398" w:type="pct"/>
            <w:tcBorders>
              <w:left w:val="nil"/>
              <w:right w:val="nil"/>
            </w:tcBorders>
          </w:tcPr>
          <w:p w14:paraId="7E80DAE6" w14:textId="77777777" w:rsidR="006E2C5A" w:rsidRPr="003D7941" w:rsidRDefault="006E2C5A" w:rsidP="003D7941">
            <w:pPr>
              <w:pStyle w:val="TableText"/>
            </w:pPr>
            <w:r w:rsidRPr="003D7941">
              <w:t>Scouting (application rate of 501 to ≤ 600 g/ha)</w:t>
            </w:r>
          </w:p>
        </w:tc>
        <w:tc>
          <w:tcPr>
            <w:tcW w:w="1602" w:type="pct"/>
            <w:tcBorders>
              <w:left w:val="nil"/>
              <w:right w:val="nil"/>
            </w:tcBorders>
            <w:vAlign w:val="center"/>
          </w:tcPr>
          <w:p w14:paraId="305AB3B9" w14:textId="77777777" w:rsidR="006E2C5A" w:rsidRPr="003D7941" w:rsidRDefault="006E2C5A" w:rsidP="003D7941">
            <w:pPr>
              <w:pStyle w:val="TableText"/>
              <w:jc w:val="right"/>
            </w:pPr>
            <w:r w:rsidRPr="003D7941">
              <w:t>1</w:t>
            </w:r>
          </w:p>
        </w:tc>
      </w:tr>
      <w:tr w:rsidR="006E2C5A" w:rsidRPr="0034682A" w14:paraId="38737AA0" w14:textId="77777777" w:rsidTr="006E2C5A">
        <w:tc>
          <w:tcPr>
            <w:tcW w:w="3398" w:type="pct"/>
            <w:tcBorders>
              <w:left w:val="nil"/>
              <w:right w:val="nil"/>
            </w:tcBorders>
          </w:tcPr>
          <w:p w14:paraId="561DC75B" w14:textId="071B6547" w:rsidR="006E2C5A" w:rsidRPr="003D7941" w:rsidRDefault="006E2C5A" w:rsidP="003D7941">
            <w:pPr>
              <w:pStyle w:val="TableText"/>
            </w:pPr>
            <w:r w:rsidRPr="003D7941">
              <w:t>Scouting (application rate of 601 to ≤ 750 g/ha) (optical spraying up to 2250 g/ha)</w:t>
            </w:r>
            <w:r w:rsidR="000C50C7" w:rsidRPr="003D7941">
              <w:t>2</w:t>
            </w:r>
          </w:p>
        </w:tc>
        <w:tc>
          <w:tcPr>
            <w:tcW w:w="1602" w:type="pct"/>
            <w:tcBorders>
              <w:left w:val="nil"/>
              <w:right w:val="nil"/>
            </w:tcBorders>
            <w:vAlign w:val="center"/>
          </w:tcPr>
          <w:p w14:paraId="4F75D83B" w14:textId="77777777" w:rsidR="006E2C5A" w:rsidRPr="003D7941" w:rsidRDefault="006E2C5A" w:rsidP="003D7941">
            <w:pPr>
              <w:pStyle w:val="TableText"/>
              <w:jc w:val="right"/>
            </w:pPr>
            <w:r w:rsidRPr="003D7941">
              <w:t>3</w:t>
            </w:r>
          </w:p>
        </w:tc>
      </w:tr>
      <w:tr w:rsidR="006E2C5A" w:rsidRPr="0034682A" w14:paraId="16345F95" w14:textId="77777777" w:rsidTr="006E2C5A">
        <w:tc>
          <w:tcPr>
            <w:tcW w:w="3398" w:type="pct"/>
            <w:tcBorders>
              <w:left w:val="nil"/>
              <w:right w:val="nil"/>
            </w:tcBorders>
          </w:tcPr>
          <w:p w14:paraId="41341F5F" w14:textId="32BF4154" w:rsidR="006E2C5A" w:rsidRPr="003D7941" w:rsidRDefault="006E2C5A" w:rsidP="003D7941">
            <w:pPr>
              <w:pStyle w:val="TableText"/>
            </w:pPr>
            <w:r w:rsidRPr="003D7941">
              <w:t xml:space="preserve">Irrigation (hand set) (application rate </w:t>
            </w:r>
            <w:r w:rsidR="0011600F" w:rsidRPr="003D7941">
              <w:t xml:space="preserve">of </w:t>
            </w:r>
            <w:r w:rsidRPr="003D7941">
              <w:t>up to 300 g/ha)</w:t>
            </w:r>
          </w:p>
        </w:tc>
        <w:tc>
          <w:tcPr>
            <w:tcW w:w="1602" w:type="pct"/>
            <w:tcBorders>
              <w:left w:val="nil"/>
              <w:right w:val="nil"/>
            </w:tcBorders>
            <w:vAlign w:val="center"/>
          </w:tcPr>
          <w:p w14:paraId="07A451C9" w14:textId="77777777" w:rsidR="006E2C5A" w:rsidRPr="003D7941" w:rsidRDefault="006E2C5A" w:rsidP="003D7941">
            <w:pPr>
              <w:pStyle w:val="TableText"/>
              <w:jc w:val="right"/>
            </w:pPr>
            <w:r w:rsidRPr="003D7941">
              <w:t>0</w:t>
            </w:r>
          </w:p>
        </w:tc>
      </w:tr>
      <w:tr w:rsidR="006E2C5A" w:rsidRPr="0034682A" w14:paraId="0810D22E" w14:textId="77777777" w:rsidTr="006E2C5A">
        <w:tc>
          <w:tcPr>
            <w:tcW w:w="3398" w:type="pct"/>
            <w:tcBorders>
              <w:left w:val="nil"/>
              <w:right w:val="nil"/>
            </w:tcBorders>
          </w:tcPr>
          <w:p w14:paraId="7243A5E0" w14:textId="77777777" w:rsidR="006E2C5A" w:rsidRPr="003D7941" w:rsidRDefault="006E2C5A" w:rsidP="003D7941">
            <w:pPr>
              <w:pStyle w:val="TableText"/>
            </w:pPr>
            <w:r w:rsidRPr="003D7941">
              <w:t>Irrigation (hand set) (application rate of 301 to ≤ 400 g/ha)</w:t>
            </w:r>
          </w:p>
        </w:tc>
        <w:tc>
          <w:tcPr>
            <w:tcW w:w="1602" w:type="pct"/>
            <w:tcBorders>
              <w:left w:val="nil"/>
              <w:right w:val="nil"/>
            </w:tcBorders>
            <w:vAlign w:val="center"/>
          </w:tcPr>
          <w:p w14:paraId="283F7EE8" w14:textId="77777777" w:rsidR="006E2C5A" w:rsidRPr="003D7941" w:rsidRDefault="006E2C5A" w:rsidP="003D7941">
            <w:pPr>
              <w:pStyle w:val="TableText"/>
              <w:jc w:val="right"/>
            </w:pPr>
            <w:r w:rsidRPr="003D7941">
              <w:t>3</w:t>
            </w:r>
          </w:p>
        </w:tc>
      </w:tr>
      <w:tr w:rsidR="006E2C5A" w:rsidRPr="0034682A" w14:paraId="7CD6C6F1" w14:textId="77777777" w:rsidTr="006E2C5A">
        <w:tc>
          <w:tcPr>
            <w:tcW w:w="3398" w:type="pct"/>
            <w:tcBorders>
              <w:left w:val="nil"/>
              <w:right w:val="nil"/>
            </w:tcBorders>
          </w:tcPr>
          <w:p w14:paraId="085BE257" w14:textId="77777777" w:rsidR="006E2C5A" w:rsidRPr="003D7941" w:rsidRDefault="006E2C5A" w:rsidP="003D7941">
            <w:pPr>
              <w:pStyle w:val="TableText"/>
            </w:pPr>
            <w:r w:rsidRPr="003D7941">
              <w:t>Irrigation (hand set) (application rate of 401 to ≤ 500 g/ha)</w:t>
            </w:r>
          </w:p>
        </w:tc>
        <w:tc>
          <w:tcPr>
            <w:tcW w:w="1602" w:type="pct"/>
            <w:tcBorders>
              <w:left w:val="nil"/>
              <w:right w:val="nil"/>
            </w:tcBorders>
            <w:vAlign w:val="center"/>
          </w:tcPr>
          <w:p w14:paraId="4806DCDA" w14:textId="77777777" w:rsidR="006E2C5A" w:rsidRPr="003D7941" w:rsidRDefault="006E2C5A" w:rsidP="003D7941">
            <w:pPr>
              <w:pStyle w:val="TableText"/>
              <w:jc w:val="right"/>
            </w:pPr>
            <w:r w:rsidRPr="003D7941">
              <w:t>5</w:t>
            </w:r>
          </w:p>
        </w:tc>
      </w:tr>
      <w:tr w:rsidR="006E2C5A" w:rsidRPr="0034682A" w14:paraId="30AC4F15" w14:textId="77777777" w:rsidTr="006E2C5A">
        <w:tc>
          <w:tcPr>
            <w:tcW w:w="3398" w:type="pct"/>
            <w:tcBorders>
              <w:left w:val="nil"/>
              <w:right w:val="nil"/>
            </w:tcBorders>
          </w:tcPr>
          <w:p w14:paraId="569AF69F" w14:textId="77777777" w:rsidR="006E2C5A" w:rsidRPr="003D7941" w:rsidRDefault="006E2C5A" w:rsidP="003D7941">
            <w:pPr>
              <w:pStyle w:val="TableText"/>
            </w:pPr>
            <w:r w:rsidRPr="003D7941">
              <w:t>Irrigation (hand set) (application rate of 501 to ≤ 600 g/ha)</w:t>
            </w:r>
          </w:p>
        </w:tc>
        <w:tc>
          <w:tcPr>
            <w:tcW w:w="1602" w:type="pct"/>
            <w:tcBorders>
              <w:left w:val="nil"/>
              <w:right w:val="nil"/>
            </w:tcBorders>
            <w:vAlign w:val="center"/>
          </w:tcPr>
          <w:p w14:paraId="11F42155" w14:textId="77777777" w:rsidR="006E2C5A" w:rsidRPr="003D7941" w:rsidRDefault="006E2C5A" w:rsidP="003D7941">
            <w:pPr>
              <w:pStyle w:val="TableText"/>
              <w:jc w:val="right"/>
            </w:pPr>
            <w:r w:rsidRPr="003D7941">
              <w:t>7</w:t>
            </w:r>
          </w:p>
        </w:tc>
      </w:tr>
      <w:tr w:rsidR="006E2C5A" w:rsidRPr="0034682A" w14:paraId="6298F713" w14:textId="77777777" w:rsidTr="006E2C5A">
        <w:tc>
          <w:tcPr>
            <w:tcW w:w="3398" w:type="pct"/>
            <w:tcBorders>
              <w:left w:val="nil"/>
              <w:right w:val="nil"/>
            </w:tcBorders>
          </w:tcPr>
          <w:p w14:paraId="5D62A069" w14:textId="34606184" w:rsidR="006E2C5A" w:rsidRPr="003D7941" w:rsidRDefault="006E2C5A" w:rsidP="003D7941">
            <w:pPr>
              <w:pStyle w:val="TableText"/>
            </w:pPr>
            <w:r w:rsidRPr="003D7941">
              <w:t>Irrigation (hand set) (application rate of 601 to ≤ 750 g/ha) (optical spraying up to 2250 g/ha)</w:t>
            </w:r>
            <w:r w:rsidR="000C50C7" w:rsidRPr="003D7941">
              <w:t>2</w:t>
            </w:r>
          </w:p>
        </w:tc>
        <w:tc>
          <w:tcPr>
            <w:tcW w:w="1602" w:type="pct"/>
            <w:tcBorders>
              <w:left w:val="nil"/>
              <w:right w:val="nil"/>
            </w:tcBorders>
            <w:vAlign w:val="center"/>
          </w:tcPr>
          <w:p w14:paraId="2BB0B66F" w14:textId="77777777" w:rsidR="006E2C5A" w:rsidRPr="003D7941" w:rsidRDefault="006E2C5A" w:rsidP="003D7941">
            <w:pPr>
              <w:pStyle w:val="TableText"/>
              <w:jc w:val="right"/>
            </w:pPr>
            <w:r w:rsidRPr="003D7941">
              <w:t>9</w:t>
            </w:r>
          </w:p>
        </w:tc>
      </w:tr>
    </w:tbl>
    <w:p w14:paraId="74CA2E6C" w14:textId="7F4420B2" w:rsidR="000C50C7" w:rsidRPr="006C5342" w:rsidRDefault="000C50C7" w:rsidP="003D7941">
      <w:pPr>
        <w:pStyle w:val="SourceTableNote"/>
      </w:pPr>
      <w:bookmarkStart w:id="180" w:name="_Hlk221540227"/>
      <w:r w:rsidRPr="006C5342">
        <w:rPr>
          <w:vertAlign w:val="superscript"/>
        </w:rPr>
        <w:t>1</w:t>
      </w:r>
      <w:r w:rsidRPr="006C5342">
        <w:t>Day of spraying is Day 0.</w:t>
      </w:r>
    </w:p>
    <w:bookmarkEnd w:id="180"/>
    <w:p w14:paraId="2E0F9CDD" w14:textId="214D80BD" w:rsidR="006E2C5A" w:rsidRPr="006C5342" w:rsidRDefault="000C50C7" w:rsidP="003D7941">
      <w:pPr>
        <w:pStyle w:val="SourceTableNote"/>
      </w:pPr>
      <w:r w:rsidRPr="006C5342">
        <w:rPr>
          <w:vertAlign w:val="superscript"/>
        </w:rPr>
        <w:t>2</w:t>
      </w:r>
      <w:r w:rsidR="00163EA7" w:rsidRPr="006C5342">
        <w:t>Optical spraying is considered to result in up to a 30% of a field being sprayed. Therefore, the optical spray label concentrations have been reduced by a factor of 70% for whole-of-field re-entry worker exposure considerations.</w:t>
      </w:r>
    </w:p>
    <w:p w14:paraId="69521911" w14:textId="2629403E" w:rsidR="00163EA7" w:rsidRPr="003D7941" w:rsidRDefault="00163EA7" w:rsidP="003D7941">
      <w:pPr>
        <w:pStyle w:val="Caption"/>
      </w:pPr>
      <w:bookmarkStart w:id="181" w:name="_Ref221533872"/>
      <w:bookmarkStart w:id="182" w:name="_Toc230692279"/>
      <w:bookmarkStart w:id="183" w:name="_Toc233036500"/>
      <w:bookmarkStart w:id="184" w:name="_Hlk221532184"/>
      <w:r w:rsidRPr="003D7941">
        <w:t xml:space="preserve">Table </w:t>
      </w:r>
      <w:fldSimple w:instr=" SEQ Table \* ARABIC ">
        <w:r w:rsidR="003D7941">
          <w:rPr>
            <w:noProof/>
          </w:rPr>
          <w:t>13</w:t>
        </w:r>
      </w:fldSimple>
      <w:bookmarkEnd w:id="181"/>
      <w:r w:rsidRPr="003D7941">
        <w:t xml:space="preserve">: Re-entry intervals </w:t>
      </w:r>
      <w:r w:rsidR="00BC5DF6" w:rsidRPr="003D7941">
        <w:t xml:space="preserve">for </w:t>
      </w:r>
      <w:r w:rsidR="007C0C3B" w:rsidRPr="003D7941">
        <w:t xml:space="preserve">135 g/L </w:t>
      </w:r>
      <w:r w:rsidR="001049A0" w:rsidRPr="003D7941">
        <w:t xml:space="preserve">paraquat </w:t>
      </w:r>
      <w:r w:rsidRPr="003D7941">
        <w:t xml:space="preserve">plus </w:t>
      </w:r>
      <w:r w:rsidR="007C0C3B" w:rsidRPr="003D7941">
        <w:t xml:space="preserve">115 g/L </w:t>
      </w:r>
      <w:r w:rsidRPr="003D7941">
        <w:t>diquat products</w:t>
      </w:r>
      <w:bookmarkEnd w:id="182"/>
      <w:bookmarkEnd w:id="183"/>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6550"/>
        <w:gridCol w:w="3088"/>
      </w:tblGrid>
      <w:tr w:rsidR="00914BB1" w:rsidRPr="0034682A" w14:paraId="51425747" w14:textId="77777777" w:rsidTr="00C776FC">
        <w:trPr>
          <w:trHeight w:val="481"/>
          <w:tblHeader/>
        </w:trPr>
        <w:tc>
          <w:tcPr>
            <w:tcW w:w="3398" w:type="pct"/>
            <w:tcBorders>
              <w:bottom w:val="single" w:sz="4" w:space="0" w:color="auto"/>
              <w:right w:val="nil"/>
            </w:tcBorders>
            <w:shd w:val="clear" w:color="auto" w:fill="5C2946"/>
            <w:vAlign w:val="center"/>
          </w:tcPr>
          <w:p w14:paraId="7C0B0C41" w14:textId="5743D8F4" w:rsidR="00914BB1" w:rsidRPr="003D7941" w:rsidRDefault="00914BB1" w:rsidP="003D7941">
            <w:pPr>
              <w:pStyle w:val="TableHead"/>
            </w:pPr>
            <w:r w:rsidRPr="003D7941">
              <w:t>Activity</w:t>
            </w:r>
          </w:p>
        </w:tc>
        <w:tc>
          <w:tcPr>
            <w:tcW w:w="1602" w:type="pct"/>
            <w:tcBorders>
              <w:left w:val="nil"/>
            </w:tcBorders>
            <w:shd w:val="clear" w:color="auto" w:fill="5C2946"/>
            <w:vAlign w:val="center"/>
          </w:tcPr>
          <w:p w14:paraId="4EE21984" w14:textId="06873190" w:rsidR="00914BB1" w:rsidRPr="0034682A" w:rsidRDefault="00914BB1" w:rsidP="003D7941">
            <w:pPr>
              <w:pStyle w:val="TableHeadRight"/>
            </w:pPr>
            <w:r w:rsidRPr="006E2C5A">
              <w:t>Non-Re-Entry Period (Days)</w:t>
            </w:r>
            <w:r w:rsidR="000C50C7" w:rsidRPr="000C50C7">
              <w:rPr>
                <w:vertAlign w:val="superscript"/>
              </w:rPr>
              <w:t>1</w:t>
            </w:r>
          </w:p>
        </w:tc>
      </w:tr>
      <w:tr w:rsidR="00914BB1" w:rsidRPr="0034682A" w14:paraId="3D26CABE" w14:textId="77777777" w:rsidTr="00C776FC">
        <w:tc>
          <w:tcPr>
            <w:tcW w:w="3398" w:type="pct"/>
            <w:tcBorders>
              <w:bottom w:val="single" w:sz="4" w:space="0" w:color="auto"/>
              <w:right w:val="nil"/>
            </w:tcBorders>
            <w:vAlign w:val="center"/>
          </w:tcPr>
          <w:p w14:paraId="0563D8D6" w14:textId="4A840679" w:rsidR="00914BB1" w:rsidRPr="003D7941" w:rsidRDefault="00914BB1" w:rsidP="003D7941">
            <w:pPr>
              <w:pStyle w:val="TableText"/>
            </w:pPr>
            <w:r w:rsidRPr="003D7941">
              <w:t xml:space="preserve">Scouting at application rate </w:t>
            </w:r>
            <w:r w:rsidR="0011600F" w:rsidRPr="003D7941">
              <w:t xml:space="preserve">of </w:t>
            </w:r>
            <w:r w:rsidRPr="003D7941">
              <w:t>up to 368 g diquat/ha</w:t>
            </w:r>
          </w:p>
        </w:tc>
        <w:tc>
          <w:tcPr>
            <w:tcW w:w="1602" w:type="pct"/>
            <w:tcBorders>
              <w:left w:val="nil"/>
            </w:tcBorders>
            <w:vAlign w:val="center"/>
          </w:tcPr>
          <w:p w14:paraId="62824BAD" w14:textId="048FDF70" w:rsidR="00914BB1" w:rsidRPr="003D7941" w:rsidRDefault="00914BB1" w:rsidP="003D7941">
            <w:pPr>
              <w:pStyle w:val="TableTextRight"/>
            </w:pPr>
            <w:r w:rsidRPr="003D7941">
              <w:t>0</w:t>
            </w:r>
          </w:p>
        </w:tc>
      </w:tr>
      <w:tr w:rsidR="00914BB1" w:rsidRPr="0034682A" w14:paraId="55056099" w14:textId="77777777" w:rsidTr="003D7941">
        <w:tc>
          <w:tcPr>
            <w:tcW w:w="3398" w:type="pct"/>
            <w:tcBorders>
              <w:bottom w:val="single" w:sz="4" w:space="0" w:color="auto"/>
              <w:right w:val="nil"/>
            </w:tcBorders>
            <w:vAlign w:val="center"/>
          </w:tcPr>
          <w:p w14:paraId="143CA4D5" w14:textId="67710991" w:rsidR="00914BB1" w:rsidRPr="003D7941" w:rsidRDefault="00914BB1" w:rsidP="003D7941">
            <w:pPr>
              <w:pStyle w:val="TableText"/>
            </w:pPr>
            <w:r w:rsidRPr="003D7941">
              <w:t xml:space="preserve">Irrigation (hand set) at application rate </w:t>
            </w:r>
            <w:r w:rsidR="0011600F" w:rsidRPr="003D7941">
              <w:t xml:space="preserve">of </w:t>
            </w:r>
            <w:r w:rsidRPr="003D7941">
              <w:t>up to 276 g diquat/ha</w:t>
            </w:r>
          </w:p>
        </w:tc>
        <w:tc>
          <w:tcPr>
            <w:tcW w:w="1602" w:type="pct"/>
            <w:tcBorders>
              <w:left w:val="nil"/>
              <w:bottom w:val="single" w:sz="4" w:space="0" w:color="auto"/>
            </w:tcBorders>
            <w:vAlign w:val="center"/>
          </w:tcPr>
          <w:p w14:paraId="758C2FA1" w14:textId="78F4AA60" w:rsidR="00914BB1" w:rsidRPr="003D7941" w:rsidRDefault="00914BB1" w:rsidP="003D7941">
            <w:pPr>
              <w:pStyle w:val="TableTextRight"/>
            </w:pPr>
            <w:r w:rsidRPr="003D7941">
              <w:t>0</w:t>
            </w:r>
          </w:p>
        </w:tc>
      </w:tr>
      <w:tr w:rsidR="00914BB1" w:rsidRPr="0034682A" w14:paraId="6931DA10" w14:textId="77777777" w:rsidTr="003D7941">
        <w:tc>
          <w:tcPr>
            <w:tcW w:w="3398" w:type="pct"/>
            <w:tcBorders>
              <w:bottom w:val="single" w:sz="4" w:space="0" w:color="auto"/>
              <w:right w:val="nil"/>
            </w:tcBorders>
            <w:vAlign w:val="center"/>
          </w:tcPr>
          <w:p w14:paraId="6F662595" w14:textId="0E9B51AF" w:rsidR="00914BB1" w:rsidRPr="003D7941" w:rsidRDefault="00914BB1" w:rsidP="003D7941">
            <w:pPr>
              <w:pStyle w:val="TableText"/>
            </w:pPr>
            <w:r w:rsidRPr="003D7941">
              <w:t xml:space="preserve">Irrigation (hand set) at application rate of </w:t>
            </w:r>
            <w:r w:rsidR="0011600F" w:rsidRPr="003D7941">
              <w:t xml:space="preserve">277 to ≤ </w:t>
            </w:r>
            <w:r w:rsidRPr="003D7941">
              <w:t>368 g diquat/ha</w:t>
            </w:r>
          </w:p>
        </w:tc>
        <w:tc>
          <w:tcPr>
            <w:tcW w:w="1602" w:type="pct"/>
            <w:tcBorders>
              <w:left w:val="nil"/>
              <w:bottom w:val="single" w:sz="4" w:space="0" w:color="auto"/>
            </w:tcBorders>
            <w:vAlign w:val="center"/>
          </w:tcPr>
          <w:p w14:paraId="3CBCAF01" w14:textId="6E621927" w:rsidR="00914BB1" w:rsidRPr="003D7941" w:rsidRDefault="00914BB1" w:rsidP="003D7941">
            <w:pPr>
              <w:pStyle w:val="TableTextRight"/>
            </w:pPr>
            <w:r w:rsidRPr="003D7941">
              <w:t>2</w:t>
            </w:r>
          </w:p>
        </w:tc>
      </w:tr>
    </w:tbl>
    <w:p w14:paraId="525B8291" w14:textId="1F6469B1" w:rsidR="00163EA7" w:rsidRPr="006C5342" w:rsidRDefault="000C50C7" w:rsidP="003D7941">
      <w:pPr>
        <w:pStyle w:val="SourceTableNote"/>
      </w:pPr>
      <w:r w:rsidRPr="006C5342">
        <w:rPr>
          <w:vertAlign w:val="superscript"/>
        </w:rPr>
        <w:t>1</w:t>
      </w:r>
      <w:r w:rsidRPr="006C5342">
        <w:t>Day of spraying is Day 0.</w:t>
      </w:r>
    </w:p>
    <w:p w14:paraId="1976ABAD" w14:textId="22795AD2" w:rsidR="00914BB1" w:rsidRPr="003D7941" w:rsidRDefault="00914BB1" w:rsidP="003D7941">
      <w:pPr>
        <w:pStyle w:val="Caption"/>
      </w:pPr>
      <w:bookmarkStart w:id="185" w:name="_Ref221533882"/>
      <w:bookmarkStart w:id="186" w:name="_Toc230692280"/>
      <w:bookmarkStart w:id="187" w:name="_Toc233036501"/>
      <w:bookmarkEnd w:id="184"/>
      <w:r w:rsidRPr="003D7941">
        <w:t xml:space="preserve">Table </w:t>
      </w:r>
      <w:fldSimple w:instr=" SEQ Table \* ARABIC ">
        <w:r w:rsidR="003D7941">
          <w:rPr>
            <w:noProof/>
          </w:rPr>
          <w:t>14</w:t>
        </w:r>
      </w:fldSimple>
      <w:bookmarkEnd w:id="185"/>
      <w:r w:rsidRPr="003D7941">
        <w:t>: Re-entry intervals</w:t>
      </w:r>
      <w:r w:rsidR="00BC5DF6" w:rsidRPr="003D7941">
        <w:t xml:space="preserve"> for </w:t>
      </w:r>
      <w:r w:rsidRPr="003D7941">
        <w:t>paraquat plus amitrole products</w:t>
      </w:r>
      <w:bookmarkEnd w:id="186"/>
      <w:bookmarkEnd w:id="187"/>
    </w:p>
    <w:tbl>
      <w:tblPr>
        <w:tblStyle w:val="TableGrid"/>
        <w:tblW w:w="5000" w:type="pct"/>
        <w:tblLook w:val="04A0" w:firstRow="1" w:lastRow="0" w:firstColumn="1" w:lastColumn="0" w:noHBand="0" w:noVBand="1"/>
      </w:tblPr>
      <w:tblGrid>
        <w:gridCol w:w="6550"/>
        <w:gridCol w:w="3088"/>
      </w:tblGrid>
      <w:tr w:rsidR="00914BB1" w:rsidRPr="0034682A" w14:paraId="4D0B42C3" w14:textId="77777777" w:rsidTr="00C776FC">
        <w:trPr>
          <w:trHeight w:val="481"/>
          <w:tblHeader/>
        </w:trPr>
        <w:tc>
          <w:tcPr>
            <w:tcW w:w="3398" w:type="pct"/>
            <w:tcBorders>
              <w:left w:val="nil"/>
              <w:bottom w:val="single" w:sz="4" w:space="0" w:color="auto"/>
              <w:right w:val="nil"/>
            </w:tcBorders>
            <w:shd w:val="clear" w:color="auto" w:fill="5C2946"/>
            <w:vAlign w:val="center"/>
          </w:tcPr>
          <w:p w14:paraId="78A4CC95" w14:textId="77777777" w:rsidR="00914BB1" w:rsidRPr="003D7941" w:rsidRDefault="00914BB1" w:rsidP="003D7941">
            <w:pPr>
              <w:pStyle w:val="TableHead"/>
            </w:pPr>
            <w:r w:rsidRPr="003D7941">
              <w:t>Activity</w:t>
            </w:r>
          </w:p>
        </w:tc>
        <w:tc>
          <w:tcPr>
            <w:tcW w:w="1602" w:type="pct"/>
            <w:tcBorders>
              <w:left w:val="nil"/>
              <w:bottom w:val="single" w:sz="4" w:space="0" w:color="auto"/>
              <w:right w:val="nil"/>
            </w:tcBorders>
            <w:shd w:val="clear" w:color="auto" w:fill="5C2946"/>
            <w:vAlign w:val="center"/>
          </w:tcPr>
          <w:p w14:paraId="65496DEE" w14:textId="78F8B70C" w:rsidR="00914BB1" w:rsidRPr="0034682A" w:rsidRDefault="00914BB1" w:rsidP="003D7941">
            <w:pPr>
              <w:pStyle w:val="TableHeadRight"/>
            </w:pPr>
            <w:r w:rsidRPr="006E2C5A">
              <w:t>Non-Re-Entry Period (Days)</w:t>
            </w:r>
            <w:r w:rsidR="000C50C7" w:rsidRPr="000C50C7">
              <w:rPr>
                <w:vertAlign w:val="superscript"/>
              </w:rPr>
              <w:t>1</w:t>
            </w:r>
          </w:p>
        </w:tc>
      </w:tr>
      <w:tr w:rsidR="00914BB1" w:rsidRPr="0034682A" w14:paraId="39CC9B7D" w14:textId="77777777" w:rsidTr="00A179E8">
        <w:tc>
          <w:tcPr>
            <w:tcW w:w="3398" w:type="pct"/>
            <w:tcBorders>
              <w:left w:val="nil"/>
              <w:right w:val="nil"/>
            </w:tcBorders>
          </w:tcPr>
          <w:p w14:paraId="440D23FB" w14:textId="348BD376" w:rsidR="00914BB1" w:rsidRPr="00163EA7" w:rsidRDefault="00914BB1" w:rsidP="00914BB1">
            <w:pPr>
              <w:pStyle w:val="TableText"/>
              <w:rPr>
                <w:rFonts w:cstheme="minorHAnsi"/>
                <w:szCs w:val="17"/>
              </w:rPr>
            </w:pPr>
            <w:r w:rsidRPr="00FF2682">
              <w:t xml:space="preserve">Scouting at application rate of </w:t>
            </w:r>
            <w:r>
              <w:t xml:space="preserve">up to </w:t>
            </w:r>
            <w:r w:rsidRPr="00FF2682">
              <w:t>510 g paraquat/ha (optical spraying up to 1680 g/ha)</w:t>
            </w:r>
            <w:r w:rsidR="000C50C7">
              <w:rPr>
                <w:vertAlign w:val="superscript"/>
              </w:rPr>
              <w:t>2</w:t>
            </w:r>
          </w:p>
        </w:tc>
        <w:tc>
          <w:tcPr>
            <w:tcW w:w="1602" w:type="pct"/>
            <w:tcBorders>
              <w:left w:val="nil"/>
              <w:right w:val="nil"/>
            </w:tcBorders>
            <w:vAlign w:val="center"/>
          </w:tcPr>
          <w:p w14:paraId="472A38AA" w14:textId="77777777" w:rsidR="00914BB1" w:rsidRPr="00163EA7" w:rsidRDefault="00914BB1" w:rsidP="003D7941">
            <w:pPr>
              <w:pStyle w:val="TableTextRight"/>
            </w:pPr>
            <w:r w:rsidRPr="00163EA7">
              <w:t>0</w:t>
            </w:r>
          </w:p>
        </w:tc>
      </w:tr>
      <w:tr w:rsidR="00914BB1" w:rsidRPr="0034682A" w14:paraId="0FE356F1" w14:textId="77777777" w:rsidTr="00C776FC">
        <w:tc>
          <w:tcPr>
            <w:tcW w:w="3398" w:type="pct"/>
            <w:tcBorders>
              <w:left w:val="nil"/>
              <w:right w:val="nil"/>
            </w:tcBorders>
          </w:tcPr>
          <w:p w14:paraId="52E3EF71" w14:textId="7D2ED1D7" w:rsidR="00914BB1" w:rsidRPr="00FF2682" w:rsidRDefault="00914BB1" w:rsidP="00914BB1">
            <w:pPr>
              <w:pStyle w:val="TableText"/>
            </w:pPr>
            <w:r w:rsidRPr="00FF2682">
              <w:t xml:space="preserve">Scouting at application rate of </w:t>
            </w:r>
            <w:r>
              <w:t xml:space="preserve">511 to </w:t>
            </w:r>
            <w:r w:rsidR="0011600F">
              <w:rPr>
                <w:rFonts w:cstheme="minorHAnsi"/>
              </w:rPr>
              <w:t xml:space="preserve">≤ </w:t>
            </w:r>
            <w:r w:rsidRPr="00FF2682">
              <w:t>600 g paraquat/ha</w:t>
            </w:r>
          </w:p>
        </w:tc>
        <w:tc>
          <w:tcPr>
            <w:tcW w:w="1602" w:type="pct"/>
            <w:tcBorders>
              <w:left w:val="nil"/>
              <w:right w:val="nil"/>
            </w:tcBorders>
            <w:vAlign w:val="center"/>
          </w:tcPr>
          <w:p w14:paraId="0D65A7CF" w14:textId="298AEECB" w:rsidR="00914BB1" w:rsidRPr="00163EA7" w:rsidRDefault="00914BB1" w:rsidP="003D7941">
            <w:pPr>
              <w:pStyle w:val="TableTextRight"/>
            </w:pPr>
            <w:r>
              <w:t>1</w:t>
            </w:r>
          </w:p>
        </w:tc>
      </w:tr>
      <w:tr w:rsidR="00914BB1" w:rsidRPr="0034682A" w14:paraId="32EA46DE" w14:textId="77777777" w:rsidTr="00C776FC">
        <w:tc>
          <w:tcPr>
            <w:tcW w:w="3398" w:type="pct"/>
            <w:tcBorders>
              <w:left w:val="nil"/>
              <w:right w:val="nil"/>
            </w:tcBorders>
          </w:tcPr>
          <w:p w14:paraId="5DB14BF2" w14:textId="5BCF8D33" w:rsidR="00914BB1" w:rsidRPr="00FF2682" w:rsidRDefault="00914BB1" w:rsidP="00914BB1">
            <w:pPr>
              <w:pStyle w:val="TableText"/>
            </w:pPr>
            <w:r w:rsidRPr="00FF2682">
              <w:lastRenderedPageBreak/>
              <w:t xml:space="preserve">Scouting at application rate of </w:t>
            </w:r>
            <w:r>
              <w:t xml:space="preserve">601 to </w:t>
            </w:r>
            <w:r w:rsidR="0011600F">
              <w:rPr>
                <w:rFonts w:cstheme="minorHAnsi"/>
              </w:rPr>
              <w:t xml:space="preserve">≤ </w:t>
            </w:r>
            <w:r>
              <w:t>84</w:t>
            </w:r>
            <w:r w:rsidRPr="00FF2682">
              <w:t>0 g paraquat/ha</w:t>
            </w:r>
          </w:p>
        </w:tc>
        <w:tc>
          <w:tcPr>
            <w:tcW w:w="1602" w:type="pct"/>
            <w:tcBorders>
              <w:left w:val="nil"/>
              <w:right w:val="nil"/>
            </w:tcBorders>
            <w:vAlign w:val="center"/>
          </w:tcPr>
          <w:p w14:paraId="75BB70FB" w14:textId="5B822B4B" w:rsidR="00914BB1" w:rsidRPr="00163EA7" w:rsidRDefault="00914BB1" w:rsidP="003D7941">
            <w:pPr>
              <w:pStyle w:val="TableTextRight"/>
            </w:pPr>
            <w:r>
              <w:t>5</w:t>
            </w:r>
          </w:p>
        </w:tc>
      </w:tr>
      <w:tr w:rsidR="00E12392" w:rsidRPr="0034682A" w14:paraId="15BB951C" w14:textId="77777777" w:rsidTr="00C776FC">
        <w:tc>
          <w:tcPr>
            <w:tcW w:w="3398" w:type="pct"/>
            <w:tcBorders>
              <w:left w:val="nil"/>
              <w:right w:val="nil"/>
            </w:tcBorders>
          </w:tcPr>
          <w:p w14:paraId="66F0635C" w14:textId="5BFDFFBF" w:rsidR="00E12392" w:rsidRPr="00FF2682" w:rsidRDefault="00E12392" w:rsidP="00E12392">
            <w:pPr>
              <w:pStyle w:val="TableText"/>
            </w:pPr>
            <w:r w:rsidRPr="00FF2682">
              <w:t xml:space="preserve">Scouting at application rate of </w:t>
            </w:r>
            <w:r>
              <w:t xml:space="preserve">841 to </w:t>
            </w:r>
            <w:r>
              <w:rPr>
                <w:rFonts w:cstheme="minorHAnsi"/>
              </w:rPr>
              <w:t xml:space="preserve">≤ </w:t>
            </w:r>
            <w:r>
              <w:t>1000</w:t>
            </w:r>
            <w:r w:rsidRPr="00FF2682">
              <w:t xml:space="preserve"> g paraquat/ha</w:t>
            </w:r>
          </w:p>
        </w:tc>
        <w:tc>
          <w:tcPr>
            <w:tcW w:w="1602" w:type="pct"/>
            <w:tcBorders>
              <w:left w:val="nil"/>
              <w:right w:val="nil"/>
            </w:tcBorders>
            <w:vAlign w:val="center"/>
          </w:tcPr>
          <w:p w14:paraId="2F20BB3B" w14:textId="7B3A5A74" w:rsidR="00E12392" w:rsidRDefault="00E12392" w:rsidP="003D7941">
            <w:pPr>
              <w:pStyle w:val="TableTextRight"/>
            </w:pPr>
            <w:r>
              <w:t>6</w:t>
            </w:r>
          </w:p>
        </w:tc>
      </w:tr>
      <w:tr w:rsidR="00914BB1" w:rsidRPr="0034682A" w14:paraId="333FC225" w14:textId="77777777" w:rsidTr="00A179E8">
        <w:tc>
          <w:tcPr>
            <w:tcW w:w="3398" w:type="pct"/>
            <w:tcBorders>
              <w:left w:val="nil"/>
              <w:right w:val="nil"/>
            </w:tcBorders>
          </w:tcPr>
          <w:p w14:paraId="7975DA0E" w14:textId="7B7C3BF9" w:rsidR="00914BB1" w:rsidRPr="00163EA7" w:rsidRDefault="00914BB1" w:rsidP="00914BB1">
            <w:pPr>
              <w:pStyle w:val="TableText"/>
              <w:rPr>
                <w:rFonts w:cstheme="minorHAnsi"/>
                <w:szCs w:val="17"/>
              </w:rPr>
            </w:pPr>
            <w:r w:rsidRPr="00FF2682">
              <w:t xml:space="preserve">Irrigation (hand set) at application rate of </w:t>
            </w:r>
            <w:r>
              <w:t xml:space="preserve">up to </w:t>
            </w:r>
            <w:r w:rsidRPr="00FF2682">
              <w:t>510 g paraquat/ha (optical spraying up to 1680 g/ha)</w:t>
            </w:r>
            <w:r w:rsidR="000C50C7">
              <w:rPr>
                <w:vertAlign w:val="superscript"/>
              </w:rPr>
              <w:t>2</w:t>
            </w:r>
          </w:p>
        </w:tc>
        <w:tc>
          <w:tcPr>
            <w:tcW w:w="1602" w:type="pct"/>
            <w:tcBorders>
              <w:left w:val="nil"/>
              <w:right w:val="nil"/>
            </w:tcBorders>
            <w:vAlign w:val="center"/>
          </w:tcPr>
          <w:p w14:paraId="393B4E83" w14:textId="459BFFE1" w:rsidR="00914BB1" w:rsidRPr="00163EA7" w:rsidRDefault="00914BB1" w:rsidP="003D7941">
            <w:pPr>
              <w:pStyle w:val="TableTextRight"/>
            </w:pPr>
            <w:r>
              <w:t>5</w:t>
            </w:r>
          </w:p>
        </w:tc>
      </w:tr>
      <w:tr w:rsidR="00914BB1" w:rsidRPr="0034682A" w14:paraId="56E45962" w14:textId="77777777" w:rsidTr="00A179E8">
        <w:tc>
          <w:tcPr>
            <w:tcW w:w="3398" w:type="pct"/>
            <w:tcBorders>
              <w:left w:val="nil"/>
              <w:right w:val="nil"/>
            </w:tcBorders>
          </w:tcPr>
          <w:p w14:paraId="3007D504" w14:textId="6C4FD7CA" w:rsidR="00914BB1" w:rsidRPr="00163EA7" w:rsidRDefault="00914BB1" w:rsidP="00914BB1">
            <w:pPr>
              <w:pStyle w:val="TableText"/>
              <w:rPr>
                <w:rFonts w:cstheme="minorHAnsi"/>
                <w:szCs w:val="17"/>
              </w:rPr>
            </w:pPr>
            <w:r w:rsidRPr="00FF2682">
              <w:t xml:space="preserve">Irrigation (hand set) at application rate of </w:t>
            </w:r>
            <w:r>
              <w:t xml:space="preserve">511 to </w:t>
            </w:r>
            <w:r w:rsidR="0011600F">
              <w:rPr>
                <w:rFonts w:cstheme="minorHAnsi"/>
              </w:rPr>
              <w:t xml:space="preserve">≤ </w:t>
            </w:r>
            <w:r w:rsidRPr="00FF2682">
              <w:t>600 g paraquat/ha</w:t>
            </w:r>
          </w:p>
        </w:tc>
        <w:tc>
          <w:tcPr>
            <w:tcW w:w="1602" w:type="pct"/>
            <w:tcBorders>
              <w:left w:val="nil"/>
              <w:right w:val="nil"/>
            </w:tcBorders>
            <w:vAlign w:val="center"/>
          </w:tcPr>
          <w:p w14:paraId="3783D08C" w14:textId="1AFD0968" w:rsidR="00914BB1" w:rsidRPr="00163EA7" w:rsidRDefault="00914BB1" w:rsidP="003D7941">
            <w:pPr>
              <w:pStyle w:val="TableTextRight"/>
            </w:pPr>
            <w:r>
              <w:t>7</w:t>
            </w:r>
          </w:p>
        </w:tc>
      </w:tr>
      <w:tr w:rsidR="00914BB1" w:rsidRPr="0034682A" w14:paraId="15B3F668" w14:textId="77777777" w:rsidTr="00A179E8">
        <w:tc>
          <w:tcPr>
            <w:tcW w:w="3398" w:type="pct"/>
            <w:tcBorders>
              <w:left w:val="nil"/>
              <w:right w:val="nil"/>
            </w:tcBorders>
          </w:tcPr>
          <w:p w14:paraId="444F811E" w14:textId="744300DD" w:rsidR="00914BB1" w:rsidRPr="00163EA7" w:rsidRDefault="00914BB1" w:rsidP="00914BB1">
            <w:pPr>
              <w:pStyle w:val="TableText"/>
              <w:rPr>
                <w:rFonts w:cstheme="minorHAnsi"/>
                <w:szCs w:val="17"/>
              </w:rPr>
            </w:pPr>
            <w:r w:rsidRPr="00FF2682">
              <w:t xml:space="preserve">Irrigation (hand set) at application rate of </w:t>
            </w:r>
            <w:r>
              <w:t xml:space="preserve">601 to </w:t>
            </w:r>
            <w:r w:rsidR="0011600F">
              <w:rPr>
                <w:rFonts w:cstheme="minorHAnsi"/>
              </w:rPr>
              <w:t xml:space="preserve">≤ </w:t>
            </w:r>
            <w:r w:rsidRPr="00FF2682">
              <w:t>840 g paraquat/ha</w:t>
            </w:r>
          </w:p>
        </w:tc>
        <w:tc>
          <w:tcPr>
            <w:tcW w:w="1602" w:type="pct"/>
            <w:tcBorders>
              <w:left w:val="nil"/>
              <w:right w:val="nil"/>
            </w:tcBorders>
            <w:vAlign w:val="center"/>
          </w:tcPr>
          <w:p w14:paraId="39192BD9" w14:textId="0320BE6E" w:rsidR="00914BB1" w:rsidRDefault="00914BB1" w:rsidP="003D7941">
            <w:pPr>
              <w:pStyle w:val="TableTextRight"/>
            </w:pPr>
            <w:r>
              <w:t>10</w:t>
            </w:r>
          </w:p>
        </w:tc>
      </w:tr>
      <w:tr w:rsidR="00E12392" w:rsidRPr="0034682A" w14:paraId="346B3701" w14:textId="77777777" w:rsidTr="00C776FC">
        <w:tc>
          <w:tcPr>
            <w:tcW w:w="3398" w:type="pct"/>
            <w:tcBorders>
              <w:left w:val="nil"/>
              <w:right w:val="nil"/>
            </w:tcBorders>
          </w:tcPr>
          <w:p w14:paraId="2E664CBC" w14:textId="50BCBA37" w:rsidR="00E12392" w:rsidRPr="00FF2682" w:rsidRDefault="00E12392" w:rsidP="00E12392">
            <w:pPr>
              <w:pStyle w:val="TableText"/>
            </w:pPr>
            <w:r w:rsidRPr="00FF2682">
              <w:t xml:space="preserve">Irrigation (hand set) at application rate of </w:t>
            </w:r>
            <w:r>
              <w:t xml:space="preserve">841 to </w:t>
            </w:r>
            <w:r>
              <w:rPr>
                <w:rFonts w:cstheme="minorHAnsi"/>
              </w:rPr>
              <w:t xml:space="preserve">≤ </w:t>
            </w:r>
            <w:r>
              <w:t>1000</w:t>
            </w:r>
            <w:r w:rsidRPr="00FF2682">
              <w:t xml:space="preserve"> g paraquat/ha</w:t>
            </w:r>
          </w:p>
        </w:tc>
        <w:tc>
          <w:tcPr>
            <w:tcW w:w="1602" w:type="pct"/>
            <w:tcBorders>
              <w:left w:val="nil"/>
              <w:right w:val="nil"/>
            </w:tcBorders>
            <w:vAlign w:val="center"/>
          </w:tcPr>
          <w:p w14:paraId="259A884A" w14:textId="5C6AE666" w:rsidR="00E12392" w:rsidRDefault="00E12392" w:rsidP="003D7941">
            <w:pPr>
              <w:pStyle w:val="TableTextRight"/>
            </w:pPr>
            <w:r>
              <w:t>11</w:t>
            </w:r>
          </w:p>
        </w:tc>
      </w:tr>
    </w:tbl>
    <w:p w14:paraId="0CD27AA0" w14:textId="77777777" w:rsidR="000C50C7" w:rsidRPr="006C5342" w:rsidRDefault="000C50C7" w:rsidP="003D7941">
      <w:pPr>
        <w:pStyle w:val="SourceTableNote"/>
      </w:pPr>
      <w:r w:rsidRPr="006C5342">
        <w:rPr>
          <w:vertAlign w:val="superscript"/>
        </w:rPr>
        <w:t>1</w:t>
      </w:r>
      <w:r w:rsidRPr="006C5342">
        <w:t>Day of spraying is Day 0.</w:t>
      </w:r>
    </w:p>
    <w:p w14:paraId="44D16097" w14:textId="58793F69" w:rsidR="007C0C3B" w:rsidRPr="006C5342" w:rsidRDefault="000C50C7" w:rsidP="003D7941">
      <w:pPr>
        <w:pStyle w:val="SourceTableNote"/>
      </w:pPr>
      <w:r w:rsidRPr="006C5342">
        <w:rPr>
          <w:vertAlign w:val="superscript"/>
        </w:rPr>
        <w:t>2</w:t>
      </w:r>
      <w:r w:rsidR="007C0C3B" w:rsidRPr="006C5342">
        <w:t>Optical spraying is considered to result in up to a 30% of a field being sprayed. Therefore, the optical spray label concentrations have been reduced by a factor of 70% for whole-of-field re-entry worker exposure considerations.</w:t>
      </w:r>
    </w:p>
    <w:p w14:paraId="5C04BAF7" w14:textId="77777777" w:rsidR="00104818" w:rsidRPr="003D7941" w:rsidRDefault="00104818" w:rsidP="003D7941">
      <w:pPr>
        <w:pStyle w:val="Heading3"/>
      </w:pPr>
      <w:bookmarkStart w:id="188" w:name="_Toc231480842"/>
      <w:bookmarkStart w:id="189" w:name="_Toc233036394"/>
      <w:bookmarkEnd w:id="170"/>
      <w:bookmarkEnd w:id="172"/>
      <w:bookmarkEnd w:id="176"/>
      <w:r w:rsidRPr="003D7941">
        <w:t>Recommended label changes</w:t>
      </w:r>
      <w:bookmarkEnd w:id="188"/>
      <w:bookmarkEnd w:id="189"/>
    </w:p>
    <w:p w14:paraId="441CEBE5" w14:textId="40102EF6" w:rsidR="00691F32" w:rsidRPr="00D63217" w:rsidRDefault="00691F32" w:rsidP="00691F32">
      <w:pPr>
        <w:pStyle w:val="NormalText"/>
      </w:pPr>
      <w:r w:rsidRPr="00D63217">
        <w:t>The following changes to labels for</w:t>
      </w:r>
      <w:r w:rsidR="006F3D02" w:rsidRPr="00D63217">
        <w:t xml:space="preserve"> products containing</w:t>
      </w:r>
      <w:r w:rsidRPr="00D63217">
        <w:t xml:space="preserve"> paraquat, or paraquat and diquat, are recommended to be applied as relevant to the use patterns that remain supported by </w:t>
      </w:r>
      <w:r w:rsidR="00432E28" w:rsidRPr="00D63217">
        <w:t>all risk assessment outcomes.</w:t>
      </w:r>
    </w:p>
    <w:p w14:paraId="353BAC4C" w14:textId="77777777" w:rsidR="00104818" w:rsidRPr="003D7941" w:rsidRDefault="00104818" w:rsidP="003D7941">
      <w:pPr>
        <w:pStyle w:val="Heading4"/>
      </w:pPr>
      <w:r w:rsidRPr="003D7941">
        <w:t>Signal headings</w:t>
      </w:r>
    </w:p>
    <w:p w14:paraId="4D4DA85D" w14:textId="0BFF0CFF" w:rsidR="00104818" w:rsidRPr="00D63217" w:rsidRDefault="00104818" w:rsidP="00104818">
      <w:pPr>
        <w:pStyle w:val="NormalText"/>
      </w:pPr>
      <w:r w:rsidRPr="00D63217">
        <w:t xml:space="preserve">All concentrations and formulations of paraquat are classified as a Schedule 7 poison. </w:t>
      </w:r>
      <w:r w:rsidR="00DE389B">
        <w:t xml:space="preserve">Supplementary </w:t>
      </w:r>
      <w:r w:rsidRPr="00D63217">
        <w:t>labelling statements are required for paraquat, and the signal heading must read:</w:t>
      </w:r>
    </w:p>
    <w:p w14:paraId="469781CD" w14:textId="60177CE4" w:rsidR="00104818" w:rsidRPr="00D63217" w:rsidRDefault="00104818" w:rsidP="00D1581F">
      <w:pPr>
        <w:pStyle w:val="NormalText"/>
        <w:jc w:val="center"/>
      </w:pPr>
      <w:r w:rsidRPr="00D63217">
        <w:t>DANGEROUS POISON</w:t>
      </w:r>
      <w:r w:rsidR="00D1581F" w:rsidRPr="00D63217">
        <w:br/>
      </w:r>
      <w:r w:rsidRPr="00D63217">
        <w:t>KEEP OUT OF REACH OF CHILDREN</w:t>
      </w:r>
      <w:r w:rsidR="00D1581F" w:rsidRPr="00D63217">
        <w:br/>
      </w:r>
      <w:r w:rsidRPr="00D63217">
        <w:t>CAN KILL IF SWALLOWED</w:t>
      </w:r>
      <w:r w:rsidR="00D1581F" w:rsidRPr="00D63217">
        <w:br/>
      </w:r>
      <w:r w:rsidRPr="00D63217">
        <w:t>DO NOT PUT IN DRINK BOTTLES</w:t>
      </w:r>
      <w:r w:rsidR="00D1581F" w:rsidRPr="00D63217">
        <w:br/>
      </w:r>
      <w:r w:rsidRPr="00D63217">
        <w:t>KEEP LOCKED UP</w:t>
      </w:r>
    </w:p>
    <w:p w14:paraId="574559D0" w14:textId="713D6D8E" w:rsidR="00104818" w:rsidRPr="00D63217" w:rsidRDefault="00104818" w:rsidP="00104818">
      <w:pPr>
        <w:pStyle w:val="NormalText"/>
      </w:pPr>
      <w:r w:rsidRPr="00D63217">
        <w:t xml:space="preserve">The Poisons Standard also stipulates that paraquat products must be coloured blue or green and contain sufficient </w:t>
      </w:r>
      <w:r w:rsidR="00AE2FD9" w:rsidRPr="00D63217">
        <w:t xml:space="preserve">stenching </w:t>
      </w:r>
      <w:r w:rsidRPr="00D63217">
        <w:t>agent to produce an offensive smell.</w:t>
      </w:r>
      <w:r w:rsidR="00DE389B">
        <w:t xml:space="preserve"> All registered paraquat products currently comply with these requirements.</w:t>
      </w:r>
    </w:p>
    <w:p w14:paraId="323F426A" w14:textId="019CD58A" w:rsidR="00104818" w:rsidRPr="003D7941" w:rsidRDefault="00104818" w:rsidP="003D7941">
      <w:pPr>
        <w:pStyle w:val="Heading4"/>
      </w:pPr>
      <w:bookmarkStart w:id="190" w:name="_Hlk163662235"/>
      <w:r w:rsidRPr="003D7941">
        <w:t>Restraints</w:t>
      </w:r>
    </w:p>
    <w:p w14:paraId="64AD9B0E" w14:textId="7F2390DB" w:rsidR="00B92C92" w:rsidRPr="003D7941" w:rsidRDefault="004D6EB9" w:rsidP="003D7941">
      <w:pPr>
        <w:pStyle w:val="Heading5"/>
      </w:pPr>
      <w:r w:rsidRPr="003D7941">
        <w:t>General Restraints</w:t>
      </w:r>
    </w:p>
    <w:p w14:paraId="3FE3A1D1" w14:textId="718A60B9" w:rsidR="00104818" w:rsidRPr="003D7941" w:rsidRDefault="00104818" w:rsidP="003D7941">
      <w:pPr>
        <w:pStyle w:val="NormalText"/>
        <w:ind w:left="567"/>
      </w:pPr>
      <w:r w:rsidRPr="003D7941">
        <w:t>DO NOT remove contents except for immediate use.</w:t>
      </w:r>
    </w:p>
    <w:p w14:paraId="58D8DC37" w14:textId="488F5EB7" w:rsidR="00DA468A" w:rsidRPr="003D7941" w:rsidRDefault="00104818" w:rsidP="003D7941">
      <w:pPr>
        <w:pStyle w:val="NormalText"/>
        <w:ind w:left="567"/>
      </w:pPr>
      <w:r w:rsidRPr="003D7941">
        <w:t>DO NOT apply by spraying equipment carried on the back of the user.</w:t>
      </w:r>
    </w:p>
    <w:p w14:paraId="1F137941" w14:textId="651BB873" w:rsidR="00104818" w:rsidRPr="003D7941" w:rsidRDefault="00104818" w:rsidP="003D7941">
      <w:pPr>
        <w:pStyle w:val="NormalText"/>
        <w:ind w:left="567"/>
      </w:pPr>
      <w:r w:rsidRPr="003D7941">
        <w:t>DO NOT continue to use if eye irritation or bleeding from the nose occurs.</w:t>
      </w:r>
    </w:p>
    <w:p w14:paraId="15108A4F" w14:textId="0D006C4F" w:rsidR="004D6EB9" w:rsidRPr="003D7941" w:rsidRDefault="004D6EB9" w:rsidP="003D7941">
      <w:pPr>
        <w:pStyle w:val="NormalText"/>
        <w:ind w:left="567"/>
      </w:pPr>
      <w:r w:rsidRPr="003D7941">
        <w:lastRenderedPageBreak/>
        <w:t>DO NOT use open mixing/loading equipment. Closed mixing and loading MUST be used.</w:t>
      </w:r>
    </w:p>
    <w:p w14:paraId="1E7FE9CA" w14:textId="5D538E1F" w:rsidR="00B92C92" w:rsidRPr="003D7941" w:rsidRDefault="004D6EB9" w:rsidP="003D7941">
      <w:pPr>
        <w:pStyle w:val="Heading5"/>
      </w:pPr>
      <w:r w:rsidRPr="003D7941">
        <w:t xml:space="preserve">Restraints </w:t>
      </w:r>
      <w:r w:rsidR="00753E30" w:rsidRPr="003D7941">
        <w:t>for</w:t>
      </w:r>
      <w:r w:rsidRPr="003D7941">
        <w:t xml:space="preserve"> specific uses</w:t>
      </w:r>
    </w:p>
    <w:p w14:paraId="6D36CD5A" w14:textId="543B90B4" w:rsidR="004D6EB9" w:rsidRPr="00D63217" w:rsidRDefault="004D6EB9" w:rsidP="00B92C92">
      <w:pPr>
        <w:pStyle w:val="NormalText"/>
        <w:rPr>
          <w:lang w:eastAsia="en-AU"/>
        </w:rPr>
      </w:pPr>
      <w:r w:rsidRPr="00D63217">
        <w:rPr>
          <w:lang w:eastAsia="en-AU"/>
        </w:rPr>
        <w:t>For broadacre boom spray applications:</w:t>
      </w:r>
    </w:p>
    <w:p w14:paraId="0EB5B81E" w14:textId="3A65C4AC" w:rsidR="00B92C92" w:rsidRPr="00D63217" w:rsidRDefault="00B92C92" w:rsidP="008D48C1">
      <w:pPr>
        <w:pStyle w:val="NormalText"/>
        <w:ind w:firstLine="567"/>
        <w:rPr>
          <w:lang w:eastAsia="en-AU"/>
        </w:rPr>
      </w:pPr>
      <w:r w:rsidRPr="00D63217">
        <w:rPr>
          <w:lang w:eastAsia="en-AU"/>
        </w:rPr>
        <w:t>DO NOT apply using open cab equipment</w:t>
      </w:r>
      <w:r w:rsidR="00A7465B" w:rsidRPr="00D63217">
        <w:rPr>
          <w:lang w:eastAsia="en-AU"/>
        </w:rPr>
        <w:t>.</w:t>
      </w:r>
      <w:r w:rsidRPr="00D63217">
        <w:rPr>
          <w:lang w:eastAsia="en-AU"/>
        </w:rPr>
        <w:t xml:space="preserve"> </w:t>
      </w:r>
      <w:r w:rsidR="00A7465B" w:rsidRPr="00D63217">
        <w:rPr>
          <w:lang w:eastAsia="en-AU"/>
        </w:rPr>
        <w:t>Enclosed cab application MUST be used.</w:t>
      </w:r>
    </w:p>
    <w:p w14:paraId="0A1A4262" w14:textId="701E2725" w:rsidR="008D48C1" w:rsidRPr="00D63217" w:rsidRDefault="008D48C1" w:rsidP="00B92C92">
      <w:pPr>
        <w:pStyle w:val="NormalText"/>
        <w:rPr>
          <w:lang w:eastAsia="en-AU"/>
        </w:rPr>
      </w:pPr>
      <w:r w:rsidRPr="00D63217">
        <w:rPr>
          <w:lang w:eastAsia="en-AU"/>
        </w:rPr>
        <w:t>For small scale agriculture (up to 6 ha per day)</w:t>
      </w:r>
    </w:p>
    <w:p w14:paraId="49848D7B" w14:textId="7C1359FB" w:rsidR="008D48C1" w:rsidRPr="00D63217" w:rsidRDefault="008D48C1" w:rsidP="008D48C1">
      <w:pPr>
        <w:pStyle w:val="NormalText"/>
        <w:ind w:firstLine="567"/>
        <w:rPr>
          <w:lang w:eastAsia="en-AU"/>
        </w:rPr>
      </w:pPr>
      <w:r w:rsidRPr="00D63217">
        <w:rPr>
          <w:lang w:eastAsia="en-AU"/>
        </w:rPr>
        <w:t>DO NOT apply using open cab equipment unless using a PF10 respirator</w:t>
      </w:r>
    </w:p>
    <w:p w14:paraId="4AB7075E" w14:textId="16A4EECA" w:rsidR="004D6EB9" w:rsidRPr="00D63217" w:rsidRDefault="004D6EB9" w:rsidP="00B92C92">
      <w:pPr>
        <w:pStyle w:val="NormalText"/>
        <w:rPr>
          <w:lang w:eastAsia="en-AU"/>
        </w:rPr>
      </w:pPr>
      <w:r w:rsidRPr="00D63217">
        <w:rPr>
          <w:lang w:eastAsia="en-AU"/>
        </w:rPr>
        <w:t>For hand spray applications</w:t>
      </w:r>
    </w:p>
    <w:p w14:paraId="3ED8F95E" w14:textId="4F269813" w:rsidR="004D6EB9" w:rsidRPr="00D63217" w:rsidRDefault="004D6EB9" w:rsidP="004D6EB9">
      <w:pPr>
        <w:pStyle w:val="NormalText"/>
        <w:ind w:firstLine="567"/>
        <w:rPr>
          <w:lang w:eastAsia="en-AU"/>
        </w:rPr>
      </w:pPr>
      <w:r w:rsidRPr="00D63217">
        <w:rPr>
          <w:lang w:eastAsia="en-AU"/>
        </w:rPr>
        <w:t>DO NOT use hand wand sprays by spraying out of the window of a vehicle.</w:t>
      </w:r>
    </w:p>
    <w:p w14:paraId="61E2EEAA" w14:textId="506985B6" w:rsidR="00104818" w:rsidRPr="00D63217" w:rsidRDefault="00104818" w:rsidP="00104818">
      <w:pPr>
        <w:pStyle w:val="Heading4"/>
        <w:rPr>
          <w:lang w:eastAsia="en-AU"/>
        </w:rPr>
      </w:pPr>
      <w:bookmarkStart w:id="191" w:name="_Hlk163662276"/>
      <w:bookmarkEnd w:id="190"/>
      <w:r w:rsidRPr="00D63217">
        <w:rPr>
          <w:lang w:eastAsia="en-AU"/>
        </w:rPr>
        <w:t>First aid statements (all products)</w:t>
      </w:r>
    </w:p>
    <w:p w14:paraId="59EAE5FE" w14:textId="532192A5" w:rsidR="00104818" w:rsidRPr="00D63217" w:rsidRDefault="00104818" w:rsidP="00AE2FD9">
      <w:pPr>
        <w:pStyle w:val="NormalText"/>
      </w:pPr>
      <w:r w:rsidRPr="00D63217">
        <w:t xml:space="preserve">If poisoning occurs, get to a doctor or hospital quickly. If sprayed on skin, wash thoroughly. If sprayed in mouth, rinse mouth with water. If in eyes, hold eyes open, flood with water for at least 15 minutes and see a doctor. </w:t>
      </w:r>
    </w:p>
    <w:p w14:paraId="27DE4C89" w14:textId="12790BF6" w:rsidR="00104818" w:rsidRPr="003D7941" w:rsidRDefault="00104818" w:rsidP="003D7941">
      <w:pPr>
        <w:pStyle w:val="Heading4"/>
      </w:pPr>
      <w:r w:rsidRPr="003D7941">
        <w:t>Safety Directions (all products)</w:t>
      </w:r>
    </w:p>
    <w:p w14:paraId="162AE110" w14:textId="5B764132" w:rsidR="00104818" w:rsidRPr="00D63217" w:rsidRDefault="00104818" w:rsidP="00104818">
      <w:pPr>
        <w:pStyle w:val="NormalText"/>
        <w:rPr>
          <w:lang w:eastAsia="en-AU"/>
        </w:rPr>
      </w:pPr>
      <w:r w:rsidRPr="00D63217">
        <w:rPr>
          <w:lang w:eastAsia="en-AU"/>
        </w:rPr>
        <w:t xml:space="preserve">Very dangerous, particularly the concentrate. </w:t>
      </w:r>
      <w:r w:rsidR="00FF47B4" w:rsidRPr="00D63217">
        <w:rPr>
          <w:lang w:eastAsia="en-AU"/>
        </w:rPr>
        <w:t>DO NOT</w:t>
      </w:r>
      <w:r w:rsidRPr="00D63217">
        <w:rPr>
          <w:lang w:eastAsia="en-AU"/>
        </w:rPr>
        <w:t xml:space="preserve"> swallow. The product, particularly the concentrate, can kill if swallowed, absorbed through the </w:t>
      </w:r>
      <w:r w:rsidR="00ED5DFE" w:rsidRPr="00D63217">
        <w:rPr>
          <w:lang w:eastAsia="en-AU"/>
        </w:rPr>
        <w:t>eyes,</w:t>
      </w:r>
      <w:r w:rsidRPr="00D63217">
        <w:rPr>
          <w:lang w:eastAsia="en-AU"/>
        </w:rPr>
        <w:t xml:space="preserve"> or absorbed by skin contact. The liquid can cause burns particularly to the eyes. Will irritate the nose, </w:t>
      </w:r>
      <w:r w:rsidR="00ED5DFE" w:rsidRPr="00D63217">
        <w:rPr>
          <w:lang w:eastAsia="en-AU"/>
        </w:rPr>
        <w:t>throat,</w:t>
      </w:r>
      <w:r w:rsidRPr="00D63217">
        <w:rPr>
          <w:lang w:eastAsia="en-AU"/>
        </w:rPr>
        <w:t xml:space="preserve"> and skin. When handling, </w:t>
      </w:r>
      <w:r w:rsidR="00FF47B4" w:rsidRPr="00D63217">
        <w:rPr>
          <w:lang w:eastAsia="en-AU"/>
        </w:rPr>
        <w:t>DO NOT</w:t>
      </w:r>
      <w:r w:rsidRPr="00D63217">
        <w:rPr>
          <w:lang w:eastAsia="en-AU"/>
        </w:rPr>
        <w:t xml:space="preserve"> touch or rub eyes, nose or mouth with hand. Avoid contact with eyes and skin, open </w:t>
      </w:r>
      <w:r w:rsidR="00ED5DFE" w:rsidRPr="00D63217">
        <w:rPr>
          <w:lang w:eastAsia="en-AU"/>
        </w:rPr>
        <w:t>wounds,</w:t>
      </w:r>
      <w:r w:rsidRPr="00D63217">
        <w:rPr>
          <w:lang w:eastAsia="en-AU"/>
        </w:rPr>
        <w:t xml:space="preserve"> and clothing. Protect eyes while using. If clothing becomes contaminated with product or with wet spray remove clothing immediately. </w:t>
      </w:r>
      <w:r w:rsidR="00FF47B4" w:rsidRPr="00D63217">
        <w:rPr>
          <w:lang w:eastAsia="en-AU"/>
        </w:rPr>
        <w:t>DO NOT</w:t>
      </w:r>
      <w:r w:rsidRPr="00D63217">
        <w:rPr>
          <w:lang w:eastAsia="en-AU"/>
        </w:rPr>
        <w:t xml:space="preserve"> inhale spray mist. </w:t>
      </w:r>
      <w:r w:rsidR="00FF47B4" w:rsidRPr="00D63217">
        <w:rPr>
          <w:lang w:eastAsia="en-AU"/>
        </w:rPr>
        <w:t>DO NOT</w:t>
      </w:r>
      <w:r w:rsidRPr="00D63217">
        <w:rPr>
          <w:lang w:eastAsia="en-AU"/>
        </w:rPr>
        <w:t xml:space="preserve"> allow children to play with containers or any equipment that is used. When connecting, disconnecting and </w:t>
      </w:r>
      <w:r w:rsidRPr="006255C0">
        <w:rPr>
          <w:lang w:eastAsia="en-AU"/>
        </w:rPr>
        <w:t>cleaning equipment wear cotton overalls buttoned to the neck and wrist (or equivalent clothing) and a washable hat, impervious</w:t>
      </w:r>
      <w:r w:rsidRPr="00D63217">
        <w:rPr>
          <w:lang w:eastAsia="en-AU"/>
        </w:rPr>
        <w:t xml:space="preserve"> footwear, elbow-length chemical resistant gloves and a full face respirator with canister specified for paraquat/diquat OR half face-piece respirator with canister specified for paraquat/diquat and face shield or goggles. </w:t>
      </w:r>
      <w:r w:rsidRPr="006255C0">
        <w:rPr>
          <w:lang w:eastAsia="en-AU"/>
        </w:rPr>
        <w:t>When applying by low (manual pressurised) or high (mechanically pressurised) hand wand wear cotton overalls, over normal clothing, buttoned to the neck and wrist and a washable hat, impervious footwear</w:t>
      </w:r>
      <w:r w:rsidR="00AB1FD5">
        <w:rPr>
          <w:lang w:eastAsia="en-AU"/>
        </w:rPr>
        <w:t xml:space="preserve">, </w:t>
      </w:r>
      <w:r w:rsidR="00AB1FD5" w:rsidRPr="00D63217">
        <w:rPr>
          <w:lang w:eastAsia="en-AU"/>
        </w:rPr>
        <w:t>elbow-length chemical resistant gloves</w:t>
      </w:r>
      <w:r w:rsidRPr="006255C0">
        <w:rPr>
          <w:lang w:eastAsia="en-AU"/>
        </w:rPr>
        <w:t xml:space="preserve"> and a full face piece respirator</w:t>
      </w:r>
      <w:r w:rsidRPr="00D63217">
        <w:rPr>
          <w:lang w:eastAsia="en-AU"/>
        </w:rPr>
        <w:t xml:space="preserve"> with a canister specified for paraquat/diquat. After use and before eating, drinking or smoking, wash hands, arms and face thoroughly with soap and water. After each days use wash gloves, face shield or goggles, respirator (and if rubber wash with detergent and warm water)</w:t>
      </w:r>
      <w:r w:rsidR="00A47137" w:rsidRPr="00D63217">
        <w:rPr>
          <w:lang w:eastAsia="en-AU"/>
        </w:rPr>
        <w:t>, clothing</w:t>
      </w:r>
      <w:r w:rsidRPr="00D63217">
        <w:rPr>
          <w:lang w:eastAsia="en-AU"/>
        </w:rPr>
        <w:t xml:space="preserve"> and footwear</w:t>
      </w:r>
      <w:r w:rsidR="00227A9F">
        <w:rPr>
          <w:lang w:eastAsia="en-AU"/>
        </w:rPr>
        <w:t>.</w:t>
      </w:r>
    </w:p>
    <w:p w14:paraId="00FFC82C" w14:textId="10A9F29A" w:rsidR="00CA7482" w:rsidRPr="00D63217" w:rsidRDefault="00104818" w:rsidP="00CA7482">
      <w:pPr>
        <w:pStyle w:val="Heading4"/>
      </w:pPr>
      <w:bookmarkStart w:id="192" w:name="_Hlk163662298"/>
      <w:bookmarkEnd w:id="191"/>
      <w:r w:rsidRPr="00D63217">
        <w:rPr>
          <w:lang w:eastAsia="en-AU"/>
        </w:rPr>
        <w:t>Re-entry statements</w:t>
      </w:r>
      <w:r w:rsidR="00CA7482" w:rsidRPr="00D63217">
        <w:rPr>
          <w:lang w:eastAsia="en-AU"/>
        </w:rPr>
        <w:t xml:space="preserve"> </w:t>
      </w:r>
      <w:r w:rsidR="00CA7482" w:rsidRPr="00D63217">
        <w:t>for paraquat products</w:t>
      </w:r>
    </w:p>
    <w:p w14:paraId="44606F81" w14:textId="55A61870" w:rsidR="00D60275" w:rsidRPr="006C5342" w:rsidRDefault="00753522" w:rsidP="008A397D">
      <w:pPr>
        <w:pStyle w:val="NormalText"/>
        <w:rPr>
          <w:rFonts w:asciiTheme="minorHAnsi" w:hAnsiTheme="minorHAnsi"/>
          <w:lang w:eastAsia="en-AU"/>
        </w:rPr>
      </w:pPr>
      <w:bookmarkStart w:id="193" w:name="_Hlk221534565"/>
      <w:bookmarkStart w:id="194" w:name="_Hlk166227725"/>
      <w:bookmarkEnd w:id="192"/>
      <w:r w:rsidRPr="00FA2115">
        <w:t>DO NOT allow entry to treated areas until the spray has dried</w:t>
      </w:r>
      <w:bookmarkStart w:id="195" w:name="_Hlk221635816"/>
      <w:r w:rsidR="007D27EC" w:rsidRPr="00FA2115">
        <w:t xml:space="preserve"> unless using</w:t>
      </w:r>
      <w:r w:rsidR="00166465" w:rsidRPr="00FA2115">
        <w:t xml:space="preserve"> an enclosed cab or wear</w:t>
      </w:r>
      <w:r w:rsidR="007D27EC" w:rsidRPr="00FA2115">
        <w:t>ing</w:t>
      </w:r>
      <w:r w:rsidR="00166465" w:rsidRPr="00FA2115">
        <w:t xml:space="preserve"> cotton overalls and gloves. </w:t>
      </w:r>
      <w:bookmarkEnd w:id="195"/>
      <w:r w:rsidR="00166465" w:rsidRPr="00FA2115">
        <w:t>Workers performing s</w:t>
      </w:r>
      <w:r w:rsidR="000C50C7" w:rsidRPr="00FA2115">
        <w:t xml:space="preserve">couting and </w:t>
      </w:r>
      <w:r w:rsidR="00166465" w:rsidRPr="00FA2115">
        <w:t xml:space="preserve">hand-set </w:t>
      </w:r>
      <w:r w:rsidR="000C50C7" w:rsidRPr="00FA2115">
        <w:t xml:space="preserve">irrigation </w:t>
      </w:r>
      <w:r w:rsidR="00166465" w:rsidRPr="00FA2115">
        <w:t xml:space="preserve">activities </w:t>
      </w:r>
      <w:r w:rsidR="007D27EC" w:rsidRPr="00FA2115">
        <w:t>must</w:t>
      </w:r>
      <w:r w:rsidR="00166465" w:rsidRPr="00FA2115">
        <w:t xml:space="preserve"> comply with the re-entry periods specified in</w:t>
      </w:r>
      <w:bookmarkEnd w:id="193"/>
      <w:r w:rsidR="008A397D">
        <w:t xml:space="preserve"> </w:t>
      </w:r>
      <w:r w:rsidR="008A397D">
        <w:fldChar w:fldCharType="begin"/>
      </w:r>
      <w:r w:rsidR="008A397D">
        <w:instrText xml:space="preserve"> REF _Ref230704805 \h  \* MERGEFORMAT </w:instrText>
      </w:r>
      <w:r w:rsidR="008A397D">
        <w:fldChar w:fldCharType="separate"/>
      </w:r>
      <w:r w:rsidR="008A397D" w:rsidRPr="00D63217">
        <w:t xml:space="preserve">Table </w:t>
      </w:r>
      <w:r w:rsidR="008A397D">
        <w:rPr>
          <w:noProof/>
        </w:rPr>
        <w:t>12</w:t>
      </w:r>
      <w:r w:rsidR="008A397D">
        <w:fldChar w:fldCharType="end"/>
      </w:r>
      <w:r w:rsidR="000C50C7" w:rsidRPr="006C5342">
        <w:rPr>
          <w:rFonts w:asciiTheme="minorHAnsi" w:hAnsiTheme="minorHAnsi"/>
          <w:lang w:eastAsia="en-AU"/>
        </w:rPr>
        <w:t>.</w:t>
      </w:r>
    </w:p>
    <w:p w14:paraId="2F1E9CF2" w14:textId="46B26FC3" w:rsidR="00CA7482" w:rsidRPr="00D63217" w:rsidRDefault="00CA7482" w:rsidP="00CA7482">
      <w:pPr>
        <w:pStyle w:val="Heading4"/>
      </w:pPr>
      <w:r w:rsidRPr="00D63217">
        <w:rPr>
          <w:lang w:eastAsia="en-AU"/>
        </w:rPr>
        <w:lastRenderedPageBreak/>
        <w:t>Re-entry statements</w:t>
      </w:r>
      <w:r w:rsidRPr="00D63217">
        <w:t xml:space="preserve"> for paraquat and diquat combination products</w:t>
      </w:r>
    </w:p>
    <w:p w14:paraId="71D5C8A7" w14:textId="4A1F9E3D" w:rsidR="00753522" w:rsidRPr="00753522" w:rsidRDefault="00CA7482" w:rsidP="00746296">
      <w:pPr>
        <w:pStyle w:val="NormalText"/>
        <w:rPr>
          <w:rFonts w:eastAsia="Arial Unicode MS"/>
        </w:rPr>
      </w:pPr>
      <w:bookmarkStart w:id="196" w:name="_Hlk221625911"/>
      <w:r w:rsidRPr="00753522">
        <w:t>DO NOT allow entry to treated areas until the spray has dried</w:t>
      </w:r>
      <w:bookmarkStart w:id="197" w:name="_Hlk221622429"/>
      <w:bookmarkEnd w:id="194"/>
      <w:r w:rsidR="007D27EC">
        <w:t xml:space="preserve"> unless using </w:t>
      </w:r>
      <w:r w:rsidR="00166465" w:rsidRPr="00166465">
        <w:rPr>
          <w:rFonts w:eastAsia="Arial Unicode MS"/>
        </w:rPr>
        <w:t>an enclosed cab or wear</w:t>
      </w:r>
      <w:r w:rsidR="007D27EC">
        <w:rPr>
          <w:rFonts w:eastAsia="Arial Unicode MS"/>
        </w:rPr>
        <w:t>ing</w:t>
      </w:r>
      <w:r w:rsidR="00166465" w:rsidRPr="00166465">
        <w:rPr>
          <w:rFonts w:eastAsia="Arial Unicode MS"/>
        </w:rPr>
        <w:t xml:space="preserve"> cotton overalls and gloves</w:t>
      </w:r>
      <w:r w:rsidR="00081FD0" w:rsidRPr="00081FD0">
        <w:rPr>
          <w:rFonts w:eastAsia="Arial Unicode MS"/>
        </w:rPr>
        <w:t>.</w:t>
      </w:r>
      <w:r w:rsidR="00166465">
        <w:rPr>
          <w:rFonts w:eastAsia="Arial Unicode MS"/>
        </w:rPr>
        <w:t xml:space="preserve"> </w:t>
      </w:r>
      <w:bookmarkEnd w:id="197"/>
      <w:r w:rsidR="000C50C7" w:rsidRPr="000C50C7">
        <w:rPr>
          <w:rFonts w:eastAsia="Arial Unicode MS"/>
        </w:rPr>
        <w:t xml:space="preserve">Workers </w:t>
      </w:r>
      <w:r w:rsidR="002B7B2B" w:rsidRPr="002B7B2B">
        <w:rPr>
          <w:rFonts w:eastAsia="Arial Unicode MS"/>
        </w:rPr>
        <w:t xml:space="preserve">performing </w:t>
      </w:r>
      <w:r w:rsidR="000C50C7" w:rsidRPr="000C50C7">
        <w:rPr>
          <w:rFonts w:eastAsia="Arial Unicode MS"/>
        </w:rPr>
        <w:t>scouting</w:t>
      </w:r>
      <w:r w:rsidR="00BD596F">
        <w:rPr>
          <w:rFonts w:eastAsia="Arial Unicode MS"/>
        </w:rPr>
        <w:t xml:space="preserve"> and</w:t>
      </w:r>
      <w:r w:rsidR="000C50C7" w:rsidRPr="000C50C7">
        <w:rPr>
          <w:rFonts w:eastAsia="Arial Unicode MS"/>
        </w:rPr>
        <w:t xml:space="preserve"> irrigation </w:t>
      </w:r>
      <w:bookmarkStart w:id="198" w:name="_Hlk221626039"/>
      <w:r w:rsidR="00166465" w:rsidRPr="00166465">
        <w:rPr>
          <w:rFonts w:eastAsia="Arial Unicode MS"/>
        </w:rPr>
        <w:t>activities</w:t>
      </w:r>
      <w:bookmarkEnd w:id="198"/>
      <w:r w:rsidR="00166465" w:rsidRPr="00166465">
        <w:rPr>
          <w:rFonts w:eastAsia="Arial Unicode MS"/>
        </w:rPr>
        <w:t xml:space="preserve"> </w:t>
      </w:r>
      <w:r w:rsidR="007D27EC">
        <w:rPr>
          <w:rFonts w:eastAsia="Arial Unicode MS"/>
        </w:rPr>
        <w:t>must</w:t>
      </w:r>
      <w:r w:rsidR="00166465" w:rsidRPr="00166465">
        <w:rPr>
          <w:rFonts w:eastAsia="Arial Unicode MS"/>
        </w:rPr>
        <w:t xml:space="preserve"> comply with the re-entry periods specified in </w:t>
      </w:r>
      <w:bookmarkEnd w:id="196"/>
      <w:r w:rsidR="00753522">
        <w:rPr>
          <w:rFonts w:eastAsia="Arial Unicode MS"/>
        </w:rPr>
        <w:fldChar w:fldCharType="begin"/>
      </w:r>
      <w:r w:rsidR="00753522">
        <w:rPr>
          <w:rFonts w:eastAsia="Arial Unicode MS"/>
        </w:rPr>
        <w:instrText xml:space="preserve"> REF _Ref221533872 \h </w:instrText>
      </w:r>
      <w:r w:rsidR="00753522">
        <w:rPr>
          <w:rFonts w:eastAsia="Arial Unicode MS"/>
        </w:rPr>
      </w:r>
      <w:r w:rsidR="00753522">
        <w:rPr>
          <w:rFonts w:eastAsia="Arial Unicode MS"/>
        </w:rPr>
        <w:fldChar w:fldCharType="separate"/>
      </w:r>
      <w:r w:rsidR="008A397D" w:rsidRPr="00D63217">
        <w:t xml:space="preserve">Table </w:t>
      </w:r>
      <w:r w:rsidR="008A397D">
        <w:rPr>
          <w:noProof/>
        </w:rPr>
        <w:t>13</w:t>
      </w:r>
      <w:r w:rsidR="00753522">
        <w:rPr>
          <w:rFonts w:eastAsia="Arial Unicode MS"/>
        </w:rPr>
        <w:fldChar w:fldCharType="end"/>
      </w:r>
      <w:r w:rsidR="000C50C7">
        <w:rPr>
          <w:rFonts w:eastAsia="Arial Unicode MS"/>
        </w:rPr>
        <w:t>.</w:t>
      </w:r>
    </w:p>
    <w:p w14:paraId="5763FF7C" w14:textId="5D539CD5" w:rsidR="00753522" w:rsidRDefault="00753522" w:rsidP="00746296">
      <w:pPr>
        <w:pStyle w:val="Heading4"/>
      </w:pPr>
      <w:r w:rsidRPr="00D63217">
        <w:rPr>
          <w:lang w:eastAsia="en-AU"/>
        </w:rPr>
        <w:t>Re-entry statements</w:t>
      </w:r>
      <w:r w:rsidRPr="00D63217">
        <w:t xml:space="preserve"> for paraquat and </w:t>
      </w:r>
      <w:r>
        <w:t xml:space="preserve">amitrole </w:t>
      </w:r>
      <w:r w:rsidRPr="00D63217">
        <w:t>combination products</w:t>
      </w:r>
    </w:p>
    <w:p w14:paraId="7D1D2C75" w14:textId="11CCE58C" w:rsidR="00753522" w:rsidRPr="00753522" w:rsidRDefault="00166465" w:rsidP="00753522">
      <w:pPr>
        <w:pStyle w:val="NormalText"/>
        <w:rPr>
          <w:rFonts w:eastAsia="Arial Unicode MS"/>
        </w:rPr>
      </w:pPr>
      <w:r w:rsidRPr="00166465">
        <w:rPr>
          <w:rFonts w:eastAsia="Arial Unicode MS"/>
        </w:rPr>
        <w:t>DO NOT allow entry to treated areas until the spray has dried</w:t>
      </w:r>
      <w:r w:rsidR="007D27EC">
        <w:rPr>
          <w:rFonts w:eastAsia="Arial Unicode MS"/>
        </w:rPr>
        <w:t xml:space="preserve"> unless using </w:t>
      </w:r>
      <w:r w:rsidRPr="00166465">
        <w:rPr>
          <w:rFonts w:eastAsia="Arial Unicode MS"/>
        </w:rPr>
        <w:t>an enclosed cab or wear</w:t>
      </w:r>
      <w:r w:rsidR="00995E1B">
        <w:rPr>
          <w:rFonts w:eastAsia="Arial Unicode MS"/>
        </w:rPr>
        <w:t>ing</w:t>
      </w:r>
      <w:r w:rsidRPr="00166465">
        <w:rPr>
          <w:rFonts w:eastAsia="Arial Unicode MS"/>
        </w:rPr>
        <w:t xml:space="preserve"> cotton overalls and gloves. Workers </w:t>
      </w:r>
      <w:r w:rsidR="002B7B2B" w:rsidRPr="002B7B2B">
        <w:rPr>
          <w:rFonts w:eastAsia="Arial Unicode MS"/>
        </w:rPr>
        <w:t xml:space="preserve">performing </w:t>
      </w:r>
      <w:r w:rsidRPr="00166465">
        <w:rPr>
          <w:rFonts w:eastAsia="Arial Unicode MS"/>
        </w:rPr>
        <w:t xml:space="preserve">scouting </w:t>
      </w:r>
      <w:r>
        <w:rPr>
          <w:rFonts w:eastAsia="Arial Unicode MS"/>
        </w:rPr>
        <w:t xml:space="preserve">and </w:t>
      </w:r>
      <w:r w:rsidRPr="00166465">
        <w:rPr>
          <w:rFonts w:eastAsia="Arial Unicode MS"/>
        </w:rPr>
        <w:t xml:space="preserve">irrigation activities </w:t>
      </w:r>
      <w:r w:rsidR="007D27EC">
        <w:rPr>
          <w:rFonts w:eastAsia="Arial Unicode MS"/>
        </w:rPr>
        <w:t>must</w:t>
      </w:r>
      <w:r w:rsidRPr="00166465">
        <w:rPr>
          <w:rFonts w:eastAsia="Arial Unicode MS"/>
        </w:rPr>
        <w:t xml:space="preserve"> comply with the re-entry periods specified in</w:t>
      </w:r>
      <w:r>
        <w:rPr>
          <w:rFonts w:eastAsia="Arial Unicode MS"/>
        </w:rPr>
        <w:t xml:space="preserve"> </w:t>
      </w:r>
      <w:r w:rsidR="00753522">
        <w:rPr>
          <w:rFonts w:eastAsia="Arial Unicode MS"/>
        </w:rPr>
        <w:fldChar w:fldCharType="begin"/>
      </w:r>
      <w:r w:rsidR="00753522">
        <w:rPr>
          <w:rFonts w:eastAsia="Arial Unicode MS"/>
        </w:rPr>
        <w:instrText xml:space="preserve"> REF _Ref221533882 \h </w:instrText>
      </w:r>
      <w:r w:rsidR="00753522">
        <w:rPr>
          <w:rFonts w:eastAsia="Arial Unicode MS"/>
        </w:rPr>
      </w:r>
      <w:r w:rsidR="00753522">
        <w:rPr>
          <w:rFonts w:eastAsia="Arial Unicode MS"/>
        </w:rPr>
        <w:fldChar w:fldCharType="separate"/>
      </w:r>
      <w:r w:rsidR="008A397D" w:rsidRPr="00D63217">
        <w:t xml:space="preserve">Table </w:t>
      </w:r>
      <w:r w:rsidR="008A397D">
        <w:rPr>
          <w:noProof/>
        </w:rPr>
        <w:t>14</w:t>
      </w:r>
      <w:r w:rsidR="00753522">
        <w:rPr>
          <w:rFonts w:eastAsia="Arial Unicode MS"/>
        </w:rPr>
        <w:fldChar w:fldCharType="end"/>
      </w:r>
      <w:r>
        <w:rPr>
          <w:rFonts w:eastAsia="Arial Unicode MS"/>
        </w:rPr>
        <w:t>.</w:t>
      </w:r>
    </w:p>
    <w:p w14:paraId="1AC26918" w14:textId="415194CE" w:rsidR="00753522" w:rsidRPr="00D63217" w:rsidRDefault="00753522" w:rsidP="00746296">
      <w:pPr>
        <w:pStyle w:val="NormalText"/>
        <w:sectPr w:rsidR="00753522" w:rsidRPr="00D63217" w:rsidSect="003023C5">
          <w:headerReference w:type="even" r:id="rId40"/>
          <w:pgSz w:w="11906" w:h="16838" w:code="9"/>
          <w:pgMar w:top="2835" w:right="1134" w:bottom="1134" w:left="1134" w:header="1701" w:footer="680" w:gutter="0"/>
          <w:cols w:space="708"/>
          <w:docGrid w:linePitch="360"/>
        </w:sectPr>
      </w:pPr>
    </w:p>
    <w:p w14:paraId="1034E599" w14:textId="6917ABBA" w:rsidR="00AB60B5" w:rsidRPr="003D7941" w:rsidRDefault="00AB60B5" w:rsidP="003D7941">
      <w:pPr>
        <w:pStyle w:val="Heading1"/>
      </w:pPr>
      <w:bookmarkStart w:id="199" w:name="_Toc231480843"/>
      <w:bookmarkStart w:id="200" w:name="_Toc233036395"/>
      <w:r w:rsidRPr="003D7941">
        <w:lastRenderedPageBreak/>
        <w:t>Residues and Trade</w:t>
      </w:r>
      <w:bookmarkEnd w:id="199"/>
      <w:bookmarkEnd w:id="200"/>
    </w:p>
    <w:p w14:paraId="72BD241C" w14:textId="414986CC" w:rsidR="00AB60B5" w:rsidRPr="00D63217" w:rsidRDefault="00AB60B5" w:rsidP="00AB60B5">
      <w:pPr>
        <w:pStyle w:val="NormalText"/>
      </w:pPr>
      <w:r w:rsidRPr="00D63217">
        <w:t>This residues</w:t>
      </w:r>
      <w:r w:rsidR="00782993">
        <w:t xml:space="preserve"> and trade</w:t>
      </w:r>
      <w:r w:rsidRPr="00D63217">
        <w:t xml:space="preserve"> assessment </w:t>
      </w:r>
      <w:r w:rsidR="006A51A3" w:rsidRPr="00D63217">
        <w:t xml:space="preserve">is completed as part of the </w:t>
      </w:r>
      <w:bookmarkStart w:id="201" w:name="_Hlk156228497"/>
      <w:r w:rsidR="00B83153" w:rsidRPr="00D63217">
        <w:t>p</w:t>
      </w:r>
      <w:r w:rsidRPr="00D63217">
        <w:t xml:space="preserve">araquat </w:t>
      </w:r>
      <w:r w:rsidR="006A51A3" w:rsidRPr="00D63217">
        <w:t>reconsideration</w:t>
      </w:r>
      <w:bookmarkEnd w:id="201"/>
      <w:r w:rsidRPr="00D63217">
        <w:t xml:space="preserve"> to determine if the current registered uses of </w:t>
      </w:r>
      <w:r w:rsidRPr="00D63217">
        <w:rPr>
          <w:lang w:val="en-US"/>
        </w:rPr>
        <w:t xml:space="preserve">paraquat </w:t>
      </w:r>
      <w:r w:rsidRPr="00D63217">
        <w:t xml:space="preserve">are supported by residues data and </w:t>
      </w:r>
      <w:r w:rsidR="008729DA" w:rsidRPr="00D63217">
        <w:t>continue to meet the statutory safety and trade criteria.</w:t>
      </w:r>
    </w:p>
    <w:p w14:paraId="1F7726C1" w14:textId="77777777" w:rsidR="007A507F" w:rsidRPr="003D7941" w:rsidRDefault="007A507F" w:rsidP="003D7941">
      <w:pPr>
        <w:pStyle w:val="Heading2"/>
      </w:pPr>
      <w:bookmarkStart w:id="202" w:name="_Toc501347734"/>
      <w:bookmarkStart w:id="203" w:name="_Toc64425216"/>
      <w:bookmarkStart w:id="204" w:name="_Toc89488085"/>
      <w:bookmarkStart w:id="205" w:name="_Toc89501494"/>
      <w:bookmarkStart w:id="206" w:name="_Toc89676029"/>
      <w:bookmarkStart w:id="207" w:name="_Toc89684501"/>
      <w:bookmarkStart w:id="208" w:name="_Toc89829959"/>
      <w:bookmarkStart w:id="209" w:name="_Toc157628254"/>
      <w:bookmarkStart w:id="210" w:name="_Toc231480844"/>
      <w:bookmarkStart w:id="211" w:name="_Toc233036396"/>
      <w:r w:rsidRPr="003D7941">
        <w:t>Metabolism</w:t>
      </w:r>
      <w:bookmarkEnd w:id="202"/>
      <w:bookmarkEnd w:id="203"/>
      <w:bookmarkEnd w:id="204"/>
      <w:bookmarkEnd w:id="205"/>
      <w:bookmarkEnd w:id="206"/>
      <w:bookmarkEnd w:id="207"/>
      <w:bookmarkEnd w:id="208"/>
      <w:bookmarkEnd w:id="209"/>
      <w:bookmarkEnd w:id="210"/>
      <w:bookmarkEnd w:id="211"/>
    </w:p>
    <w:p w14:paraId="391688A4" w14:textId="56EC425D" w:rsidR="007A507F" w:rsidRPr="00D63217" w:rsidRDefault="007A507F" w:rsidP="007A507F">
      <w:pPr>
        <w:pStyle w:val="NormalText"/>
      </w:pPr>
      <w:bookmarkStart w:id="212" w:name="_Hlk156244929"/>
      <w:r w:rsidRPr="00D63217">
        <w:t>Metabolism data for plants, laboratory and food animals were considered.</w:t>
      </w:r>
    </w:p>
    <w:bookmarkEnd w:id="212"/>
    <w:p w14:paraId="6F4D65F6" w14:textId="6B11160E" w:rsidR="007A507F" w:rsidRPr="00D63217" w:rsidRDefault="007A507F" w:rsidP="007A507F">
      <w:pPr>
        <w:pStyle w:val="NormalText"/>
      </w:pPr>
      <w:r w:rsidRPr="00D63217">
        <w:t>Studies in plants (lettuce, carrot, potato, soybean and sugar cane) demonstrated that the dominant residue in plant material was parent paraquat</w:t>
      </w:r>
      <w:r w:rsidR="004D4E89" w:rsidRPr="00D63217">
        <w:t xml:space="preserve"> (Slade, 1965; Calderbank and Slade</w:t>
      </w:r>
      <w:r w:rsidR="00250996" w:rsidRPr="00D63217">
        <w:t xml:space="preserve">, </w:t>
      </w:r>
      <w:r w:rsidR="004D4E89" w:rsidRPr="00D63217">
        <w:t>1966; Slade and Bell</w:t>
      </w:r>
      <w:r w:rsidR="00250996" w:rsidRPr="00D63217">
        <w:t>,</w:t>
      </w:r>
      <w:r w:rsidR="004D4E89" w:rsidRPr="00D63217">
        <w:t xml:space="preserve"> 1966; Slade, 1966</w:t>
      </w:r>
      <w:r w:rsidR="0043778E" w:rsidRPr="00D63217">
        <w:t>(a,b)</w:t>
      </w:r>
      <w:r w:rsidR="004D4E89" w:rsidRPr="00D63217">
        <w:t>; WHO</w:t>
      </w:r>
      <w:r w:rsidR="00250996" w:rsidRPr="00D63217">
        <w:t>,</w:t>
      </w:r>
      <w:r w:rsidR="004D4E89" w:rsidRPr="00D63217">
        <w:t xml:space="preserve"> 1984)</w:t>
      </w:r>
      <w:r w:rsidRPr="00D63217">
        <w:t xml:space="preserve">. Pre-emergent use of paraquat at 14.3 – 14.7 kg </w:t>
      </w:r>
      <w:r w:rsidR="00FC430E" w:rsidRPr="00D63217">
        <w:t>ac/ha</w:t>
      </w:r>
      <w:r w:rsidRPr="00D63217">
        <w:t xml:space="preserve"> (greater than 20 times the maximum Australian label rate) produced residues in root and leafy vegetables less than the LOQ of analytical methods</w:t>
      </w:r>
      <w:r w:rsidR="00A94F24" w:rsidRPr="00D63217">
        <w:t xml:space="preserve"> (Grout, 1994</w:t>
      </w:r>
      <w:r w:rsidR="00143F5A" w:rsidRPr="00D63217">
        <w:t>(</w:t>
      </w:r>
      <w:r w:rsidR="003C1338" w:rsidRPr="00D63217">
        <w:t>a</w:t>
      </w:r>
      <w:r w:rsidR="00143F5A" w:rsidRPr="00D63217">
        <w:t>)</w:t>
      </w:r>
      <w:r w:rsidR="00A94F24" w:rsidRPr="00D63217">
        <w:t>)</w:t>
      </w:r>
      <w:r w:rsidRPr="00D63217">
        <w:t xml:space="preserve">. </w:t>
      </w:r>
      <w:r w:rsidRPr="00D63217">
        <w:rPr>
          <w:lang w:eastAsia="ja-JP"/>
        </w:rPr>
        <w:t xml:space="preserve">When paraquat was applied as a desiccant to potato and soy beans at 8.2 – 8.8 kg </w:t>
      </w:r>
      <w:r w:rsidR="00FC430E" w:rsidRPr="00D63217">
        <w:rPr>
          <w:lang w:eastAsia="ja-JP"/>
        </w:rPr>
        <w:t>ac/ha</w:t>
      </w:r>
      <w:r w:rsidRPr="00D63217">
        <w:rPr>
          <w:lang w:eastAsia="ja-JP"/>
        </w:rPr>
        <w:t>, the predominant component in potato tuber, soy beans and soy foliage was paraquat</w:t>
      </w:r>
      <w:r w:rsidR="003C1338" w:rsidRPr="00D63217">
        <w:rPr>
          <w:lang w:eastAsia="ja-JP"/>
        </w:rPr>
        <w:t xml:space="preserve"> </w:t>
      </w:r>
      <w:r w:rsidR="003C1338" w:rsidRPr="00D63217">
        <w:t>(Grout, 1994</w:t>
      </w:r>
      <w:r w:rsidR="003B6F82" w:rsidRPr="00D63217">
        <w:t>(</w:t>
      </w:r>
      <w:r w:rsidR="003C1338" w:rsidRPr="00D63217">
        <w:t>b</w:t>
      </w:r>
      <w:r w:rsidR="003B6F82" w:rsidRPr="00D63217">
        <w:t>)</w:t>
      </w:r>
      <w:r w:rsidR="003C1338" w:rsidRPr="00D63217">
        <w:t>; Grout, 1996)</w:t>
      </w:r>
      <w:r w:rsidRPr="00D63217">
        <w:rPr>
          <w:lang w:eastAsia="ja-JP"/>
        </w:rPr>
        <w:t>.</w:t>
      </w:r>
      <w:r w:rsidRPr="00D63217">
        <w:t xml:space="preserve"> On foliage, a photodegradation product, </w:t>
      </w:r>
      <w:r w:rsidRPr="00D63217">
        <w:rPr>
          <w:lang w:val="en-US"/>
        </w:rPr>
        <w:t>N-methyl isonicotinic acid (</w:t>
      </w:r>
      <w:r w:rsidRPr="00D63217">
        <w:t xml:space="preserve">MINA), also known as 4-Carboxy-1-methyl pyridinium ion (CMP) in older literature, is seen at low concentrations (0.3% TRR). Use as a desiccant on potatoes at 8.7-8.8 or 1.1 kg </w:t>
      </w:r>
      <w:r w:rsidR="00FC430E" w:rsidRPr="00D63217">
        <w:t>ac/ha</w:t>
      </w:r>
      <w:r w:rsidRPr="00D63217">
        <w:t xml:space="preserve"> (10 and 1.6 times maximum label rate produced paraquat residues in tubers of 0.08 and 0.06 mg/kg</w:t>
      </w:r>
      <w:r w:rsidR="003C1338" w:rsidRPr="00D63217">
        <w:t xml:space="preserve"> (Slade, 1966</w:t>
      </w:r>
      <w:r w:rsidR="009860C4" w:rsidRPr="00D63217">
        <w:t>(a,b)</w:t>
      </w:r>
      <w:r w:rsidR="003C1338" w:rsidRPr="00D63217">
        <w:t>)</w:t>
      </w:r>
      <w:r w:rsidRPr="00D63217">
        <w:t>.</w:t>
      </w:r>
    </w:p>
    <w:p w14:paraId="40EB3C42" w14:textId="28BB8B29" w:rsidR="007A507F" w:rsidRPr="00D63217" w:rsidRDefault="007A507F" w:rsidP="007A507F">
      <w:pPr>
        <w:pStyle w:val="NormalText"/>
      </w:pPr>
      <w:r w:rsidRPr="00D63217">
        <w:t>Animal metabolism studies in rat, pig, sheep, lactating cow, lactating goat and the laying hen found that only small amounts of paraquat are absorbed from the gastrointestinal tract (GIT) and that there is minimal metabolism of the absorbed paraquat</w:t>
      </w:r>
      <w:r w:rsidR="00DF40B4" w:rsidRPr="00D63217">
        <w:t xml:space="preserve"> (Lythgoe and Howard, 1995</w:t>
      </w:r>
      <w:r w:rsidR="003B6F82" w:rsidRPr="00D63217">
        <w:t>(</w:t>
      </w:r>
      <w:r w:rsidR="00DF40B4" w:rsidRPr="00D63217">
        <w:t>a, b, c</w:t>
      </w:r>
      <w:r w:rsidR="003B6F82" w:rsidRPr="00D63217">
        <w:t>)</w:t>
      </w:r>
      <w:r w:rsidR="00DF40B4" w:rsidRPr="00D63217">
        <w:t xml:space="preserve">; </w:t>
      </w:r>
      <w:r w:rsidR="008D5F6E" w:rsidRPr="00D63217">
        <w:t>Hendley et al, 1976</w:t>
      </w:r>
      <w:r w:rsidR="003B6F82" w:rsidRPr="00D63217">
        <w:t>(</w:t>
      </w:r>
      <w:r w:rsidR="008D5F6E" w:rsidRPr="00D63217">
        <w:t>a</w:t>
      </w:r>
      <w:r w:rsidR="009860C4" w:rsidRPr="00D63217">
        <w:t>,b</w:t>
      </w:r>
      <w:r w:rsidR="003B6F82" w:rsidRPr="00D63217">
        <w:t>)</w:t>
      </w:r>
      <w:r w:rsidR="008D5F6E" w:rsidRPr="00D63217">
        <w:t xml:space="preserve">; </w:t>
      </w:r>
      <w:r w:rsidR="00DF40B4" w:rsidRPr="00D63217">
        <w:t>MacPherson, 1995</w:t>
      </w:r>
      <w:r w:rsidR="008D5F6E" w:rsidRPr="00D63217">
        <w:t>; Oliver and Hemingway, 1974</w:t>
      </w:r>
      <w:r w:rsidR="00143F5A" w:rsidRPr="00D63217">
        <w:t>(</w:t>
      </w:r>
      <w:r w:rsidR="008D5F6E" w:rsidRPr="00D63217">
        <w:t>a,b)</w:t>
      </w:r>
      <w:r w:rsidR="00DF40B4" w:rsidRPr="00D63217">
        <w:t>)</w:t>
      </w:r>
      <w:r w:rsidRPr="00D63217">
        <w:t xml:space="preserve">. </w:t>
      </w:r>
      <w:r w:rsidRPr="00D63217">
        <w:rPr>
          <w:lang w:val="en-US"/>
        </w:rPr>
        <w:t>Some studies failed to show the presence of any metabolites after oral administration of paraquat</w:t>
      </w:r>
      <w:r w:rsidR="00DF40B4" w:rsidRPr="00D63217">
        <w:rPr>
          <w:lang w:val="en-US"/>
        </w:rPr>
        <w:t xml:space="preserve"> (</w:t>
      </w:r>
      <w:r w:rsidR="00250996" w:rsidRPr="00D63217">
        <w:rPr>
          <w:lang w:val="en-US"/>
        </w:rPr>
        <w:t xml:space="preserve">Calderbank and McKenna, 1966, </w:t>
      </w:r>
      <w:r w:rsidR="00572E71" w:rsidRPr="00D63217">
        <w:rPr>
          <w:lang w:val="en-US"/>
        </w:rPr>
        <w:t>Stevens and Walley</w:t>
      </w:r>
      <w:r w:rsidR="00250996" w:rsidRPr="00D63217">
        <w:rPr>
          <w:lang w:val="en-US"/>
        </w:rPr>
        <w:t>, 1965, 1966; Stevens et al, 1965; Daniel, 1971</w:t>
      </w:r>
      <w:r w:rsidR="008D5F6E" w:rsidRPr="00D63217">
        <w:rPr>
          <w:lang w:val="en-US"/>
        </w:rPr>
        <w:t>), w</w:t>
      </w:r>
      <w:r w:rsidRPr="00D63217">
        <w:rPr>
          <w:lang w:val="en-US"/>
        </w:rPr>
        <w:t>hile others have shown a small degree of metabolism</w:t>
      </w:r>
      <w:r w:rsidR="00DF40B4" w:rsidRPr="00D63217">
        <w:rPr>
          <w:lang w:val="en-US"/>
        </w:rPr>
        <w:t xml:space="preserve"> (Hemmingway et al, 1972; Leahey et al, 1976, Spinks et al, 1976)</w:t>
      </w:r>
      <w:r w:rsidRPr="00D63217">
        <w:rPr>
          <w:lang w:val="en-US"/>
        </w:rPr>
        <w:t xml:space="preserve">. </w:t>
      </w:r>
      <w:r w:rsidRPr="00D63217">
        <w:t>Paraquat is excreted rapidly and largely unchanged, the large majority in the faeces (50.3% in goats) and a small amount in the urine (2.4% in goats)</w:t>
      </w:r>
      <w:r w:rsidR="008D5F6E" w:rsidRPr="00D63217">
        <w:t xml:space="preserve"> (Hendley et al, 1976)</w:t>
      </w:r>
      <w:r w:rsidRPr="00D63217">
        <w:t xml:space="preserve">. Residual radioactivity was primarily found in the liver (0.56 mg eq/kg in goat) and kidneys (0.74 mg eq/kg in </w:t>
      </w:r>
      <w:r w:rsidR="00AD5A34" w:rsidRPr="00D63217">
        <w:t>goat)(</w:t>
      </w:r>
      <w:r w:rsidR="008D5F6E" w:rsidRPr="00D63217">
        <w:t>Hendley et al, 1976</w:t>
      </w:r>
      <w:r w:rsidR="009860C4" w:rsidRPr="00D63217">
        <w:t>(a)</w:t>
      </w:r>
      <w:r w:rsidR="008D5F6E" w:rsidRPr="00D63217">
        <w:t>).</w:t>
      </w:r>
      <w:r w:rsidRPr="00D63217">
        <w:t xml:space="preserve"> Little paraquat was seen in muscle, fat, milk and eggs and even in studies conducted at exaggerated rates, residues in these tissues were less than 0.05 mg/kg</w:t>
      </w:r>
      <w:r w:rsidR="008D5F6E" w:rsidRPr="00D63217">
        <w:t xml:space="preserve"> (</w:t>
      </w:r>
      <w:r w:rsidR="008D5F6E" w:rsidRPr="00D63217">
        <w:rPr>
          <w:lang w:val="pt-BR"/>
        </w:rPr>
        <w:t>Slade, 1973; Leah</w:t>
      </w:r>
      <w:r w:rsidR="00A84757" w:rsidRPr="00D63217">
        <w:rPr>
          <w:lang w:val="pt-BR"/>
        </w:rPr>
        <w:t>e</w:t>
      </w:r>
      <w:r w:rsidR="008D5F6E" w:rsidRPr="00D63217">
        <w:rPr>
          <w:lang w:val="pt-BR"/>
        </w:rPr>
        <w:t>y, 1975).</w:t>
      </w:r>
    </w:p>
    <w:p w14:paraId="656BABCB" w14:textId="6A4FA7CB" w:rsidR="00803873" w:rsidRPr="00D63217" w:rsidRDefault="00803873" w:rsidP="00803873">
      <w:pPr>
        <w:pStyle w:val="Heading2"/>
      </w:pPr>
      <w:bookmarkStart w:id="213" w:name="_Toc64425217"/>
      <w:bookmarkStart w:id="214" w:name="_Toc89488086"/>
      <w:bookmarkStart w:id="215" w:name="_Toc89501495"/>
      <w:bookmarkStart w:id="216" w:name="_Toc89676030"/>
      <w:bookmarkStart w:id="217" w:name="_Toc89684502"/>
      <w:bookmarkStart w:id="218" w:name="_Toc89829960"/>
      <w:bookmarkStart w:id="219" w:name="_Toc98575815"/>
      <w:bookmarkStart w:id="220" w:name="_Toc102811223"/>
      <w:bookmarkStart w:id="221" w:name="_Toc102811544"/>
      <w:bookmarkStart w:id="222" w:name="_Toc251681930"/>
      <w:bookmarkStart w:id="223" w:name="_Toc158208439"/>
      <w:bookmarkStart w:id="224" w:name="_Toc160716703"/>
      <w:bookmarkStart w:id="225" w:name="_Toc231480845"/>
      <w:bookmarkStart w:id="226" w:name="_Toc233036397"/>
      <w:r w:rsidRPr="00D63217">
        <w:t>Analytical methods</w:t>
      </w:r>
      <w:bookmarkEnd w:id="213"/>
      <w:bookmarkEnd w:id="214"/>
      <w:bookmarkEnd w:id="215"/>
      <w:bookmarkEnd w:id="216"/>
      <w:bookmarkEnd w:id="217"/>
      <w:bookmarkEnd w:id="218"/>
      <w:bookmarkEnd w:id="219"/>
      <w:bookmarkEnd w:id="220"/>
      <w:bookmarkEnd w:id="221"/>
      <w:r w:rsidRPr="00D63217">
        <w:t xml:space="preserve"> and </w:t>
      </w:r>
      <w:r w:rsidR="002D0FA5" w:rsidRPr="00D63217">
        <w:t>s</w:t>
      </w:r>
      <w:r w:rsidRPr="00D63217">
        <w:t xml:space="preserve">torage </w:t>
      </w:r>
      <w:r w:rsidR="002D0FA5" w:rsidRPr="00D63217">
        <w:t>s</w:t>
      </w:r>
      <w:r w:rsidRPr="00D63217">
        <w:t>tability</w:t>
      </w:r>
      <w:bookmarkEnd w:id="222"/>
      <w:bookmarkEnd w:id="223"/>
      <w:bookmarkEnd w:id="224"/>
      <w:bookmarkEnd w:id="225"/>
      <w:bookmarkEnd w:id="226"/>
    </w:p>
    <w:p w14:paraId="2E583393" w14:textId="32818C29" w:rsidR="00803873" w:rsidRPr="00D63217" w:rsidRDefault="00803873" w:rsidP="00B65433">
      <w:pPr>
        <w:pStyle w:val="Heading3"/>
      </w:pPr>
      <w:bookmarkStart w:id="227" w:name="_Toc231480846"/>
      <w:bookmarkStart w:id="228" w:name="_Toc233036398"/>
      <w:r w:rsidRPr="00D63217">
        <w:t>Analytical methods</w:t>
      </w:r>
      <w:bookmarkEnd w:id="227"/>
      <w:bookmarkEnd w:id="228"/>
    </w:p>
    <w:p w14:paraId="54D302FA" w14:textId="2E2CB3F5" w:rsidR="00414E85" w:rsidRPr="00D63217" w:rsidRDefault="00414E85" w:rsidP="00414E85">
      <w:pPr>
        <w:pStyle w:val="NormalText"/>
      </w:pPr>
      <w:r w:rsidRPr="00D63217">
        <w:t xml:space="preserve">Paraquat has been registered for many years and many analytical methods have been used for measuring residues of paraquat in plant and animal samples. Because paraquat is subject to limited metabolism in plants and animals, all the submitted methods are for determining paraquat only. These methods involve acid extraction of paraquat (not for liquid samples), filtration and clean-up by cation-exchange chromatography from which paraquat was eluted with saturated ammonium chloride. Some methods further involve conversion of paraquat to its coloured free radical form using 0.2% (w/v) sodium dithionite in 0.3 M NaOH and spectrophotometric measurement. Other methods determine paraquat in the </w:t>
      </w:r>
      <w:r w:rsidR="00AD5A34" w:rsidRPr="00D63217">
        <w:t>“</w:t>
      </w:r>
      <w:r w:rsidRPr="00D63217">
        <w:t>cleaned up</w:t>
      </w:r>
      <w:r w:rsidR="00AD5A34" w:rsidRPr="00D63217">
        <w:t>”</w:t>
      </w:r>
      <w:r w:rsidRPr="00D63217">
        <w:t xml:space="preserve"> sample solution by reverse phase ion pair HPLC with UV detection at 258 nm.</w:t>
      </w:r>
    </w:p>
    <w:p w14:paraId="6E5263D8" w14:textId="20E023EB" w:rsidR="00414E85" w:rsidRPr="00D63217" w:rsidRDefault="00414E85" w:rsidP="00414E85">
      <w:pPr>
        <w:pStyle w:val="NormalText"/>
      </w:pPr>
      <w:r w:rsidRPr="00D63217">
        <w:lastRenderedPageBreak/>
        <w:t>Method RAM 272/02 for plant samples</w:t>
      </w:r>
      <w:r w:rsidR="00CA583C" w:rsidRPr="00D63217">
        <w:t xml:space="preserve"> (Anderson and Boseley, 1995, 1997)</w:t>
      </w:r>
      <w:r w:rsidRPr="00D63217">
        <w:t xml:space="preserve"> and Method RAM 004/07 for animal samples</w:t>
      </w:r>
      <w:r w:rsidR="00CA583C" w:rsidRPr="00D63217">
        <w:t xml:space="preserve"> (Anderson, 1994; Coombe, 1994; Anderson, 1997) </w:t>
      </w:r>
      <w:r w:rsidRPr="00D63217">
        <w:t>were found to be suitable for the quantification of paraquat in plant and animal commodities. These methods were fully validated, include confirmatory techniques and recoveries were generally within acceptable limits (70-110%). The Limits of Quantification (LOQs) of these methods ranged from 0.01 to 0.05 mg/kg for plant commodities, except for straw for which the LOQ was up to 0.1</w:t>
      </w:r>
      <w:r w:rsidR="002D0FA5" w:rsidRPr="00D63217">
        <w:t> </w:t>
      </w:r>
      <w:r w:rsidRPr="00D63217">
        <w:t>mg/kg and for oil cake, for which the LOQ was 0.5 mg/kg. For animal commodities the LOQs ranged from 0.005 – 0.01 mg/kg.</w:t>
      </w:r>
    </w:p>
    <w:p w14:paraId="1F74268D" w14:textId="077A4104" w:rsidR="007A507F" w:rsidRPr="00D63217" w:rsidRDefault="007A507F" w:rsidP="00B65433">
      <w:pPr>
        <w:pStyle w:val="Heading3"/>
      </w:pPr>
      <w:bookmarkStart w:id="229" w:name="_Toc231480847"/>
      <w:bookmarkStart w:id="230" w:name="_Toc233036399"/>
      <w:r w:rsidRPr="00D63217">
        <w:t>Stability of pesticide residues in stored analytical samples</w:t>
      </w:r>
      <w:bookmarkEnd w:id="229"/>
      <w:bookmarkEnd w:id="230"/>
    </w:p>
    <w:p w14:paraId="45F7A3F9" w14:textId="062E0E88" w:rsidR="007A507F" w:rsidRPr="00D63217" w:rsidRDefault="007A507F" w:rsidP="007A507F">
      <w:pPr>
        <w:pStyle w:val="NormalText"/>
      </w:pPr>
      <w:r w:rsidRPr="00D63217">
        <w:t>Data were presented for stability of paraquat residues in carrot, cabbage, tomato, potato, banana, prune, wheat, corn, corn fodder, corn forage, corn silage, birdsfoot trefoil (forage and hay), coffee beans, milk, hen muscle and eggs that demonstrated that paraquat was stable when stored frozen at –15°C to –18°C</w:t>
      </w:r>
      <w:r w:rsidR="00D357C3" w:rsidRPr="00D63217">
        <w:t xml:space="preserve"> (Earl et al, 1989</w:t>
      </w:r>
      <w:r w:rsidR="00A84757" w:rsidRPr="00D63217">
        <w:t>(a)</w:t>
      </w:r>
      <w:r w:rsidR="00D357C3" w:rsidRPr="00D63217">
        <w:t>; Roper, 1989a; Anderson, 1995; Coombe, 1995</w:t>
      </w:r>
      <w:r w:rsidRPr="00D63217">
        <w:t>.</w:t>
      </w:r>
    </w:p>
    <w:p w14:paraId="4D9B7A8F" w14:textId="69469619" w:rsidR="007A507F" w:rsidRPr="00D63217" w:rsidRDefault="007A507F" w:rsidP="007A507F">
      <w:pPr>
        <w:pStyle w:val="NormalText"/>
      </w:pPr>
      <w:r w:rsidRPr="00D63217">
        <w:t>Data on tomato, potato, prune and corn were 12 month studies</w:t>
      </w:r>
      <w:r w:rsidR="00D357C3" w:rsidRPr="00D63217">
        <w:t xml:space="preserve"> (Roper, 1989</w:t>
      </w:r>
      <w:r w:rsidR="003B6F82" w:rsidRPr="00D63217">
        <w:t>(</w:t>
      </w:r>
      <w:r w:rsidR="00D357C3" w:rsidRPr="00D63217">
        <w:t>b,c,d,e,f,g,h)</w:t>
      </w:r>
      <w:r w:rsidR="00883B13">
        <w:t>)</w:t>
      </w:r>
      <w:r w:rsidRPr="00D63217">
        <w:t>, however</w:t>
      </w:r>
      <w:r w:rsidR="00F00C19" w:rsidRPr="00D63217">
        <w:t xml:space="preserve"> the Joint FAO/WHO Meeting on Pesticide Residues (JMPR</w:t>
      </w:r>
      <w:r w:rsidR="003B6F82" w:rsidRPr="00D63217">
        <w:t>,</w:t>
      </w:r>
      <w:r w:rsidR="00F00C19" w:rsidRPr="00D63217">
        <w:t xml:space="preserve"> </w:t>
      </w:r>
      <w:r w:rsidRPr="00D63217">
        <w:t>2004) evaluated 24 month storage data on the same commodities and found that the residues were stable with frozen storage for 24 months. Residues in cabbages and carrots were stable for 45 months. Residues in bananas and coffee beans were stable for 12 months, while residues in wheat were stable for 24 months. Studies with birdsfoot trefoil forage and hay were conducted over 25 weeks and demonstrated stability of incurred residues.</w:t>
      </w:r>
    </w:p>
    <w:p w14:paraId="4A84751B" w14:textId="5D9C5A69" w:rsidR="007A507F" w:rsidRPr="00D63217" w:rsidRDefault="007A507F" w:rsidP="007A507F">
      <w:pPr>
        <w:pStyle w:val="NormalText"/>
      </w:pPr>
      <w:r w:rsidRPr="00D63217">
        <w:t>Stability studies demonstrated that paraquat residues were stable in chicken meat for 28 months, eggs for 29 months and milk for 13 months</w:t>
      </w:r>
      <w:r w:rsidR="00D357C3" w:rsidRPr="00D63217">
        <w:t xml:space="preserve"> (Earl and Boseley, 1988</w:t>
      </w:r>
      <w:r w:rsidR="003B6F82" w:rsidRPr="00D63217">
        <w:t>(</w:t>
      </w:r>
      <w:r w:rsidR="00D357C3" w:rsidRPr="00D63217">
        <w:t>a, b</w:t>
      </w:r>
      <w:r w:rsidR="003B6F82" w:rsidRPr="00D63217">
        <w:t>)</w:t>
      </w:r>
      <w:r w:rsidR="00D357C3" w:rsidRPr="00D63217">
        <w:t>; Anderson et al, 1991</w:t>
      </w:r>
      <w:r w:rsidR="00143F5A" w:rsidRPr="00D63217">
        <w:t>(</w:t>
      </w:r>
      <w:r w:rsidR="00D357C3" w:rsidRPr="00D63217">
        <w:t>a,b</w:t>
      </w:r>
      <w:r w:rsidR="00143F5A" w:rsidRPr="00D63217">
        <w:t>)</w:t>
      </w:r>
      <w:r w:rsidR="00D357C3" w:rsidRPr="00D63217">
        <w:t>; Coombe, 1995)</w:t>
      </w:r>
      <w:r w:rsidRPr="00D63217">
        <w:t>.</w:t>
      </w:r>
    </w:p>
    <w:p w14:paraId="0C931E5B" w14:textId="77777777" w:rsidR="007A507F" w:rsidRPr="00D63217" w:rsidRDefault="007A507F" w:rsidP="007A507F">
      <w:pPr>
        <w:pStyle w:val="NormalText"/>
      </w:pPr>
      <w:r w:rsidRPr="00D63217">
        <w:t>Residue studies submitted for evaluation had stored samples under appropriate temperatures and time periods.</w:t>
      </w:r>
    </w:p>
    <w:p w14:paraId="3B756190" w14:textId="56FF4E92" w:rsidR="007A507F" w:rsidRPr="003D7941" w:rsidRDefault="007A507F" w:rsidP="003D7941">
      <w:pPr>
        <w:pStyle w:val="Heading2"/>
      </w:pPr>
      <w:bookmarkStart w:id="231" w:name="_Toc231480848"/>
      <w:bookmarkStart w:id="232" w:name="_Toc233036400"/>
      <w:r w:rsidRPr="003D7941">
        <w:t>Residue definition</w:t>
      </w:r>
      <w:bookmarkEnd w:id="231"/>
      <w:bookmarkEnd w:id="232"/>
    </w:p>
    <w:p w14:paraId="212CA22A" w14:textId="67AA53D6" w:rsidR="007A507F" w:rsidRPr="00D63217" w:rsidRDefault="007A507F" w:rsidP="007A507F">
      <w:pPr>
        <w:pStyle w:val="NormalText"/>
      </w:pPr>
      <w:r w:rsidRPr="00D63217">
        <w:t>Due to little metabolism of paraquat in plants and animals, paraquat cation can be considered as the most appropriate residue definition for enforcement and risk assessment. This is consistent with the residue definition established overseas (see</w:t>
      </w:r>
      <w:r w:rsidR="008729DA" w:rsidRPr="00D63217">
        <w:t xml:space="preserve"> also the </w:t>
      </w:r>
      <w:hyperlink w:anchor="_Trade" w:history="1">
        <w:r w:rsidR="0049054D" w:rsidRPr="00D63217">
          <w:rPr>
            <w:rStyle w:val="Hyperlink"/>
          </w:rPr>
          <w:t>Trade</w:t>
        </w:r>
      </w:hyperlink>
      <w:r w:rsidR="0049054D" w:rsidRPr="00D63217">
        <w:t xml:space="preserve"> </w:t>
      </w:r>
      <w:r w:rsidR="008729DA" w:rsidRPr="00D63217">
        <w:t>s</w:t>
      </w:r>
      <w:r w:rsidRPr="00D63217">
        <w:t>ection).</w:t>
      </w:r>
    </w:p>
    <w:p w14:paraId="79936F76" w14:textId="1B761F44" w:rsidR="007A507F" w:rsidRPr="003D7941" w:rsidRDefault="007A507F" w:rsidP="003D7941">
      <w:pPr>
        <w:pStyle w:val="Heading2"/>
      </w:pPr>
      <w:bookmarkStart w:id="233" w:name="_Toc231480849"/>
      <w:bookmarkStart w:id="234" w:name="_Toc233036401"/>
      <w:r w:rsidRPr="003D7941">
        <w:t>Residues in foods</w:t>
      </w:r>
      <w:bookmarkEnd w:id="233"/>
      <w:bookmarkEnd w:id="234"/>
    </w:p>
    <w:p w14:paraId="109BB1DC" w14:textId="685E197C" w:rsidR="00CD6B0B" w:rsidRPr="00D63217" w:rsidRDefault="00CD6B0B" w:rsidP="003D7941">
      <w:pPr>
        <w:pStyle w:val="NormalText"/>
      </w:pPr>
      <w:r w:rsidRPr="00D63217">
        <w:t>The</w:t>
      </w:r>
      <w:r w:rsidR="001C4E94" w:rsidRPr="00D63217">
        <w:t xml:space="preserve"> </w:t>
      </w:r>
      <w:r w:rsidR="007A507F" w:rsidRPr="00D63217">
        <w:t>paraquat</w:t>
      </w:r>
      <w:r w:rsidR="004301A9" w:rsidRPr="00D63217">
        <w:t xml:space="preserve"> product</w:t>
      </w:r>
      <w:r w:rsidR="007A507F" w:rsidRPr="00D63217">
        <w:t xml:space="preserve"> labels have</w:t>
      </w:r>
      <w:r w:rsidR="001C4E94" w:rsidRPr="00D63217">
        <w:t xml:space="preserve"> </w:t>
      </w:r>
      <w:r w:rsidR="007A507F" w:rsidRPr="00D63217">
        <w:t xml:space="preserve">broad crop groupings </w:t>
      </w:r>
      <w:r w:rsidR="004301A9" w:rsidRPr="00D63217">
        <w:t xml:space="preserve">for use patterns </w:t>
      </w:r>
      <w:r w:rsidR="007A507F" w:rsidRPr="00D63217">
        <w:t xml:space="preserve">such as row crops, vegetables, market gardens and orchards. Paraquat, by virtue of its broad </w:t>
      </w:r>
      <w:r w:rsidR="004301A9" w:rsidRPr="00D63217">
        <w:t xml:space="preserve">use </w:t>
      </w:r>
      <w:r w:rsidR="007A507F" w:rsidRPr="00D63217">
        <w:t>pattern has lent itself to very general commodity groupings in the MRL standard such as fruits and vegetables.</w:t>
      </w:r>
    </w:p>
    <w:p w14:paraId="423A288A" w14:textId="1B14BE31" w:rsidR="007A507F" w:rsidRPr="00D63217" w:rsidRDefault="007A507F" w:rsidP="007A507F">
      <w:pPr>
        <w:pStyle w:val="NormalText"/>
      </w:pPr>
      <w:r w:rsidRPr="00D63217">
        <w:t>The current practice is to support label claims and establish MRLs for commodity groups</w:t>
      </w:r>
      <w:r w:rsidR="00F00C19" w:rsidRPr="00D63217">
        <w:t xml:space="preserve"> aligned with the Codex Commodity groups established by the FAO/WHO Codex Committee on Pesticide Residues (</w:t>
      </w:r>
      <w:hyperlink r:id="rId41" w:tgtFrame="_blank" w:tooltip="Opens external link in new window" w:history="1">
        <w:r w:rsidR="00F00C19" w:rsidRPr="00D63217">
          <w:t>CCPR</w:t>
        </w:r>
      </w:hyperlink>
      <w:r w:rsidR="00F00C19" w:rsidRPr="00D63217">
        <w:t xml:space="preserve">) </w:t>
      </w:r>
      <w:r w:rsidRPr="00D63217">
        <w:t xml:space="preserve">and current </w:t>
      </w:r>
      <w:hyperlink r:id="rId42" w:history="1">
        <w:r w:rsidRPr="00D63217">
          <w:rPr>
            <w:rStyle w:val="Hyperlink"/>
          </w:rPr>
          <w:t>APVMA crop group guidelines</w:t>
        </w:r>
      </w:hyperlink>
      <w:r w:rsidR="001C4E94" w:rsidRPr="00D63217">
        <w:rPr>
          <w:rStyle w:val="Hyperlink"/>
          <w:u w:val="none"/>
        </w:rPr>
        <w:t xml:space="preserve">. </w:t>
      </w:r>
      <w:r w:rsidR="0049054D" w:rsidRPr="00D63217">
        <w:rPr>
          <w:rStyle w:val="Hyperlink"/>
          <w:color w:val="auto"/>
          <w:u w:val="none"/>
        </w:rPr>
        <w:t>Therefore,</w:t>
      </w:r>
      <w:r w:rsidR="001C4E94" w:rsidRPr="00D63217">
        <w:rPr>
          <w:rStyle w:val="Hyperlink"/>
          <w:color w:val="auto"/>
          <w:u w:val="none"/>
        </w:rPr>
        <w:t xml:space="preserve"> </w:t>
      </w:r>
      <w:r w:rsidRPr="00D63217">
        <w:t xml:space="preserve">the current MRLs for fruits and vegetables and the expression of these crops on labels </w:t>
      </w:r>
      <w:r w:rsidR="002E52EE" w:rsidRPr="00D63217">
        <w:t xml:space="preserve">are </w:t>
      </w:r>
      <w:r w:rsidR="001C4E94" w:rsidRPr="00D63217">
        <w:t xml:space="preserve">being </w:t>
      </w:r>
      <w:r w:rsidRPr="00D63217">
        <w:t>considered as part of this residues review.</w:t>
      </w:r>
    </w:p>
    <w:p w14:paraId="321E9080" w14:textId="311F1607" w:rsidR="008F5D01" w:rsidRPr="00D63217" w:rsidRDefault="008F5D01" w:rsidP="00CB0ECE">
      <w:pPr>
        <w:pStyle w:val="Heading3"/>
      </w:pPr>
      <w:bookmarkStart w:id="235" w:name="_Toc231480850"/>
      <w:bookmarkStart w:id="236" w:name="_Toc233036402"/>
      <w:r w:rsidRPr="00D63217">
        <w:lastRenderedPageBreak/>
        <w:t>Plant commodities</w:t>
      </w:r>
      <w:bookmarkEnd w:id="235"/>
      <w:bookmarkEnd w:id="236"/>
    </w:p>
    <w:p w14:paraId="599A3C17" w14:textId="65FA5601" w:rsidR="008F5D01" w:rsidRPr="00D63217" w:rsidRDefault="008F5D01" w:rsidP="008F5D01">
      <w:pPr>
        <w:pStyle w:val="NormalText"/>
      </w:pPr>
      <w:r w:rsidRPr="00D63217">
        <w:t xml:space="preserve">The use of paraquat can be broadly ascribed to </w:t>
      </w:r>
      <w:r w:rsidR="003B60F4" w:rsidRPr="00D63217">
        <w:t xml:space="preserve">4 </w:t>
      </w:r>
      <w:r w:rsidRPr="00D63217">
        <w:t>general categories:</w:t>
      </w:r>
    </w:p>
    <w:p w14:paraId="59733367" w14:textId="4FC25BB9" w:rsidR="008F5D01" w:rsidRPr="00D63217" w:rsidRDefault="008F5D01" w:rsidP="00CB0ECE">
      <w:pPr>
        <w:pStyle w:val="Bullet1"/>
      </w:pPr>
      <w:r w:rsidRPr="00D63217">
        <w:t>Pre-emergent or pre-sowing application</w:t>
      </w:r>
    </w:p>
    <w:p w14:paraId="3387D0DC" w14:textId="6E45AF9B" w:rsidR="008F5D01" w:rsidRPr="00D63217" w:rsidRDefault="008F5D01" w:rsidP="00CB0ECE">
      <w:pPr>
        <w:pStyle w:val="Bullet1"/>
      </w:pPr>
      <w:r w:rsidRPr="00D63217">
        <w:t>Post-emergent directed application</w:t>
      </w:r>
    </w:p>
    <w:p w14:paraId="7C64449C" w14:textId="026EC0A1" w:rsidR="008F5D01" w:rsidRPr="00D63217" w:rsidRDefault="008F5D01" w:rsidP="00CB0ECE">
      <w:pPr>
        <w:pStyle w:val="Bullet1"/>
      </w:pPr>
      <w:r w:rsidRPr="00D63217">
        <w:t>Post-emergent over the top spraying</w:t>
      </w:r>
    </w:p>
    <w:p w14:paraId="2DA919D2" w14:textId="6DE08294" w:rsidR="008F5D01" w:rsidRPr="00D63217" w:rsidRDefault="008F5D01" w:rsidP="00CB0ECE">
      <w:pPr>
        <w:pStyle w:val="Bullet1"/>
      </w:pPr>
      <w:r w:rsidRPr="00D63217">
        <w:t>Pre-harvest desiccant application</w:t>
      </w:r>
    </w:p>
    <w:p w14:paraId="65497D67" w14:textId="58FE5A68" w:rsidR="008F5D01" w:rsidRPr="00D63217" w:rsidRDefault="008F5D01" w:rsidP="008F5D01">
      <w:pPr>
        <w:pStyle w:val="NormalText"/>
      </w:pPr>
      <w:r w:rsidRPr="00D63217">
        <w:t xml:space="preserve">These generalised use patterns have </w:t>
      </w:r>
      <w:r w:rsidR="00444260" w:rsidRPr="00D63217">
        <w:t xml:space="preserve">different </w:t>
      </w:r>
      <w:r w:rsidRPr="00D63217">
        <w:t xml:space="preserve">residue potentials. The first </w:t>
      </w:r>
      <w:r w:rsidR="002D0FA5" w:rsidRPr="00D63217">
        <w:t>2</w:t>
      </w:r>
      <w:r w:rsidR="002E52EE" w:rsidRPr="00D63217">
        <w:t>,</w:t>
      </w:r>
      <w:r w:rsidRPr="00D63217">
        <w:t xml:space="preserve"> under most circumstances</w:t>
      </w:r>
      <w:r w:rsidR="00444260" w:rsidRPr="00D63217">
        <w:t xml:space="preserve"> are expected to </w:t>
      </w:r>
      <w:r w:rsidRPr="00D63217">
        <w:t>produce negligible residues in food commodities at commercial maturity. Post-emergent spraying of the crop may produce residues</w:t>
      </w:r>
      <w:r w:rsidR="008729DA" w:rsidRPr="00D63217">
        <w:t>,</w:t>
      </w:r>
      <w:r w:rsidRPr="00D63217">
        <w:t xml:space="preserve"> but they would generally </w:t>
      </w:r>
      <w:r w:rsidR="001C4E94" w:rsidRPr="00D63217">
        <w:t xml:space="preserve">expected to </w:t>
      </w:r>
      <w:r w:rsidRPr="00D63217">
        <w:t>be lower than those seen with pre-harvest desiccant uses that have very short withholding periods (WHPs).</w:t>
      </w:r>
    </w:p>
    <w:p w14:paraId="33885021" w14:textId="77777777" w:rsidR="008F5D01" w:rsidRPr="00D63217" w:rsidRDefault="008F5D01" w:rsidP="00CB0ECE">
      <w:pPr>
        <w:pStyle w:val="Heading4"/>
      </w:pPr>
      <w:r w:rsidRPr="00D63217">
        <w:t>Pre-emergent and pre-sowing use</w:t>
      </w:r>
    </w:p>
    <w:p w14:paraId="0F76DF94" w14:textId="13850431" w:rsidR="008F5D01" w:rsidRPr="00D63217" w:rsidRDefault="008F5D01" w:rsidP="008F5D01">
      <w:pPr>
        <w:pStyle w:val="NormalText"/>
      </w:pPr>
      <w:r w:rsidRPr="00D63217">
        <w:t xml:space="preserve">Label rates for pre-emergent, pre-sowing or pre-planting application of paraquat range from </w:t>
      </w:r>
      <w:r w:rsidR="0058748C">
        <w:t>400 to 600 g ac/ha</w:t>
      </w:r>
      <w:r w:rsidRPr="00D63217">
        <w:t xml:space="preserve">, with exception of the pre-emergent use in rice which involves a rate of </w:t>
      </w:r>
      <w:r w:rsidR="0058748C">
        <w:t xml:space="preserve">200 </w:t>
      </w:r>
      <w:r w:rsidRPr="00D63217">
        <w:t xml:space="preserve">g </w:t>
      </w:r>
      <w:r w:rsidR="00FC430E" w:rsidRPr="00D63217">
        <w:t>ac/ha</w:t>
      </w:r>
      <w:r w:rsidRPr="00D63217">
        <w:t>. The general crop groupings that have these uses on the label include: cereals; pulses; oilseeds; pasture; row crops; vegetables; market gardens and nurseries. Specific crops included on labels are: potato; rice and sugar cane.</w:t>
      </w:r>
    </w:p>
    <w:p w14:paraId="6B5F58DC" w14:textId="133C9E4C" w:rsidR="008F5D01" w:rsidRPr="00D63217" w:rsidRDefault="008F5D01" w:rsidP="008F5D01">
      <w:pPr>
        <w:pStyle w:val="NormalText"/>
      </w:pPr>
      <w:r w:rsidRPr="00D63217">
        <w:t xml:space="preserve">Metabolism studies and residues trials, some at exaggerated application rates (up to 14.7 kg </w:t>
      </w:r>
      <w:r w:rsidR="00FC430E" w:rsidRPr="00D63217">
        <w:t>ac/ha</w:t>
      </w:r>
      <w:r w:rsidRPr="00D63217">
        <w:t xml:space="preserve"> or 20× the maximum label rate), have demonstrated non detectable residues in a large variety of crops and crop groups treated with pre-emergent or pre-sowing applications of paraquat</w:t>
      </w:r>
      <w:r w:rsidR="002F1483" w:rsidRPr="00D63217">
        <w:t xml:space="preserve"> (Grout, 1994)</w:t>
      </w:r>
      <w:r w:rsidRPr="00D63217">
        <w:t xml:space="preserve"> which indicates that residues in crops where paraquat has been applied as a pre-emergent or pre-sowing treatment would be expected to be less than the LOQ.</w:t>
      </w:r>
    </w:p>
    <w:p w14:paraId="22BA2361" w14:textId="77777777" w:rsidR="008F5D01" w:rsidRPr="00D63217" w:rsidRDefault="008F5D01" w:rsidP="00CC27AC">
      <w:pPr>
        <w:pStyle w:val="Heading4"/>
      </w:pPr>
      <w:r w:rsidRPr="00D63217">
        <w:t>Post-emergent directed use</w:t>
      </w:r>
    </w:p>
    <w:p w14:paraId="59EBF955" w14:textId="4892FE9A" w:rsidR="008F5D01" w:rsidRPr="00D63217" w:rsidRDefault="008F5D01" w:rsidP="008F5D01">
      <w:pPr>
        <w:pStyle w:val="NormalText"/>
      </w:pPr>
      <w:r w:rsidRPr="00D63217">
        <w:t xml:space="preserve">Directed applications of paraquat </w:t>
      </w:r>
      <w:r w:rsidR="001C4E94" w:rsidRPr="00D63217">
        <w:t>to</w:t>
      </w:r>
      <w:r w:rsidRPr="00D63217">
        <w:t xml:space="preserve"> weeds between rows of plants in orchards and vineyards, hops or produce in market gardens are unlikely to result in significant pesticide contact with produce</w:t>
      </w:r>
      <w:r w:rsidR="001C4E94" w:rsidRPr="00D63217">
        <w:t xml:space="preserve"> being grown</w:t>
      </w:r>
      <w:r w:rsidRPr="00D63217">
        <w:t xml:space="preserve"> for human consumption. Metabolism studies and residue trials at rates in excess of Australian label rates demonstrated that residues will be </w:t>
      </w:r>
      <w:r w:rsidR="00F555C9" w:rsidRPr="00D63217">
        <w:t>non-detectable</w:t>
      </w:r>
      <w:r w:rsidRPr="00D63217">
        <w:t xml:space="preserve"> in a large variety of fruits and vegetables after directed inter-row spraying of paraquat. In orchard trials where residues have been detected, the method of application has been deliberate application to lower branches close to harvest, picking fallen fruit of</w:t>
      </w:r>
      <w:r w:rsidR="002F1483" w:rsidRPr="00D63217">
        <w:t>f</w:t>
      </w:r>
      <w:r w:rsidRPr="00D63217">
        <w:t xml:space="preserve"> recently sprayed ground or directly spraying fruit on the ground.</w:t>
      </w:r>
    </w:p>
    <w:p w14:paraId="5A2F085B" w14:textId="3EC6A8FC" w:rsidR="008F5D01" w:rsidRPr="00D63217" w:rsidRDefault="008F5D01" w:rsidP="008F5D01">
      <w:pPr>
        <w:pStyle w:val="NormalText"/>
      </w:pPr>
      <w:r w:rsidRPr="00D63217">
        <w:t xml:space="preserve">Use rates for post-harvest directed spraying in orchards (including walnuts) and vineyards are up to 0.8 kg </w:t>
      </w:r>
      <w:r w:rsidR="00FC430E" w:rsidRPr="00D63217">
        <w:t>ac/ha</w:t>
      </w:r>
      <w:r w:rsidRPr="00D63217">
        <w:t xml:space="preserve">, for market gardens are up to 0.6 kg </w:t>
      </w:r>
      <w:r w:rsidR="00FC430E" w:rsidRPr="00D63217">
        <w:t>ac/ha</w:t>
      </w:r>
      <w:r w:rsidRPr="00D63217">
        <w:t xml:space="preserve"> and for hops are 0.4 kg </w:t>
      </w:r>
      <w:r w:rsidR="00FC430E" w:rsidRPr="00D63217">
        <w:t>ac/ha</w:t>
      </w:r>
      <w:r w:rsidRPr="00D63217">
        <w:t>. The WHPs for these uses on current labels are ‘Not Required when used as directed’.</w:t>
      </w:r>
    </w:p>
    <w:p w14:paraId="648400C6" w14:textId="77777777" w:rsidR="008F5D01" w:rsidRPr="00D63217" w:rsidRDefault="008F5D01" w:rsidP="00CC27AC">
      <w:pPr>
        <w:pStyle w:val="Heading4"/>
      </w:pPr>
      <w:r w:rsidRPr="00D63217">
        <w:t>Post-emergent over the top spraying</w:t>
      </w:r>
    </w:p>
    <w:p w14:paraId="371E9368" w14:textId="4B63A3E2" w:rsidR="008F5D01" w:rsidRPr="00D63217" w:rsidRDefault="008F5D01" w:rsidP="008F5D01">
      <w:pPr>
        <w:pStyle w:val="NormalText"/>
      </w:pPr>
      <w:r w:rsidRPr="00D63217">
        <w:t xml:space="preserve">Post emergence </w:t>
      </w:r>
      <w:r w:rsidR="00444260" w:rsidRPr="00D63217">
        <w:t xml:space="preserve">uses of </w:t>
      </w:r>
      <w:r w:rsidRPr="00D63217">
        <w:t>direct spraying of crop</w:t>
      </w:r>
      <w:r w:rsidR="00444260" w:rsidRPr="00D63217">
        <w:t>s</w:t>
      </w:r>
      <w:r w:rsidRPr="00D63217">
        <w:t xml:space="preserve"> </w:t>
      </w:r>
      <w:r w:rsidR="00444260" w:rsidRPr="00D63217">
        <w:t>are approved for</w:t>
      </w:r>
      <w:r w:rsidRPr="00D63217">
        <w:t xml:space="preserve"> sugar cane and pasture. In pasture residue trials have shown high residues at application rates up to 0.6 kg </w:t>
      </w:r>
      <w:r w:rsidR="00FC430E" w:rsidRPr="00D63217">
        <w:t>ac/ha</w:t>
      </w:r>
      <w:r w:rsidRPr="00D63217">
        <w:t>.</w:t>
      </w:r>
    </w:p>
    <w:p w14:paraId="1DEBBCC7" w14:textId="77777777" w:rsidR="00DA0C94" w:rsidRPr="00D63217" w:rsidRDefault="00DA0C94" w:rsidP="00DA0C94">
      <w:pPr>
        <w:pStyle w:val="Heading4"/>
        <w:tabs>
          <w:tab w:val="num" w:pos="907"/>
        </w:tabs>
      </w:pPr>
      <w:r w:rsidRPr="00D63217">
        <w:lastRenderedPageBreak/>
        <w:t>Pre-harvest desiccant application</w:t>
      </w:r>
    </w:p>
    <w:p w14:paraId="318AE4B0" w14:textId="3B2912EB" w:rsidR="008F5D01" w:rsidRPr="00D63217" w:rsidRDefault="00DA74F2" w:rsidP="008F5D01">
      <w:pPr>
        <w:pStyle w:val="NormalText"/>
      </w:pPr>
      <w:r w:rsidRPr="00D63217">
        <w:t xml:space="preserve">Australian labels have pre-harvest desiccation uses for potatoes and cotton and uses on pulses (chickpeas, faba beans, field peas, lentils, lupins and vetch) for reduction of seed set of annual ryegrass. </w:t>
      </w:r>
      <w:r w:rsidR="008F5D01" w:rsidRPr="00D63217">
        <w:t>Pre-harvest application for desiccation or reduction of seed set can be expected to produce significant residues in crops. Overseas, pre-harvest desiccation uses are also seen on some cereals, oilseeds, pulses and some other vegetables, but these uses are not on Australian paraquat product labels.</w:t>
      </w:r>
    </w:p>
    <w:p w14:paraId="175DE193" w14:textId="4030AE97" w:rsidR="008F5D01" w:rsidRPr="00D63217" w:rsidRDefault="00CC27AC" w:rsidP="00B65433">
      <w:pPr>
        <w:pStyle w:val="Heading2"/>
      </w:pPr>
      <w:bookmarkStart w:id="237" w:name="_Toc231480851"/>
      <w:bookmarkStart w:id="238" w:name="_Toc233036403"/>
      <w:r w:rsidRPr="00D63217">
        <w:rPr>
          <w:rStyle w:val="Heading3Char"/>
          <w:sz w:val="28"/>
          <w:szCs w:val="28"/>
        </w:rPr>
        <w:t>Fruit crops</w:t>
      </w:r>
      <w:bookmarkEnd w:id="237"/>
      <w:bookmarkEnd w:id="238"/>
    </w:p>
    <w:p w14:paraId="07A37C87" w14:textId="3819A51F" w:rsidR="008F5D01" w:rsidRPr="00D63217" w:rsidRDefault="008F5D01" w:rsidP="008F5D01">
      <w:pPr>
        <w:pStyle w:val="NormalText"/>
      </w:pPr>
      <w:r w:rsidRPr="00D63217">
        <w:t>The current MRL</w:t>
      </w:r>
      <w:r w:rsidR="003B26D9" w:rsidRPr="00D63217">
        <w:t xml:space="preserve"> for fruit crops</w:t>
      </w:r>
      <w:r w:rsidR="001C4E94" w:rsidRPr="00D63217">
        <w:t xml:space="preserve">, </w:t>
      </w:r>
      <w:r w:rsidR="00753E30" w:rsidRPr="00D63217">
        <w:t xml:space="preserve">listed as </w:t>
      </w:r>
      <w:r w:rsidRPr="00D63217">
        <w:t>‘Fruits {except Olives}’ is *0.05 mg/kg</w:t>
      </w:r>
      <w:r w:rsidR="00753E30" w:rsidRPr="00D63217">
        <w:t xml:space="preserve"> and includes </w:t>
      </w:r>
      <w:r w:rsidR="00E43C0A" w:rsidRPr="00D63217">
        <w:t>all</w:t>
      </w:r>
      <w:r w:rsidRPr="00D63217">
        <w:t xml:space="preserve"> fruits </w:t>
      </w:r>
      <w:r w:rsidR="00753E30" w:rsidRPr="00D63217">
        <w:t xml:space="preserve">on the labels </w:t>
      </w:r>
      <w:r w:rsidRPr="00D63217">
        <w:t xml:space="preserve">from orchards (including bananas and vineyards) to market gardens and row crops </w:t>
      </w:r>
      <w:r w:rsidR="00753E30" w:rsidRPr="00D63217">
        <w:t>and</w:t>
      </w:r>
      <w:r w:rsidRPr="00D63217">
        <w:t xml:space="preserve"> tropical fruits (avocado, custard apple, litchi and mango). </w:t>
      </w:r>
      <w:r w:rsidR="00753E30" w:rsidRPr="00D63217">
        <w:t xml:space="preserve">In this assessment, </w:t>
      </w:r>
      <w:r w:rsidRPr="00D63217">
        <w:t>separate MRLs</w:t>
      </w:r>
      <w:r w:rsidR="00580DF4" w:rsidRPr="00D63217">
        <w:t xml:space="preserve"> for each of the </w:t>
      </w:r>
      <w:r w:rsidRPr="00D63217">
        <w:t xml:space="preserve">codex </w:t>
      </w:r>
      <w:r w:rsidR="00580DF4" w:rsidRPr="00D63217">
        <w:t xml:space="preserve">groupings </w:t>
      </w:r>
      <w:r w:rsidRPr="00D63217">
        <w:t>of fruits</w:t>
      </w:r>
      <w:r w:rsidR="00580DF4" w:rsidRPr="00D63217">
        <w:t xml:space="preserve"> are proposed</w:t>
      </w:r>
      <w:r w:rsidRPr="00D63217">
        <w:t>.</w:t>
      </w:r>
    </w:p>
    <w:p w14:paraId="0F9B6EC2" w14:textId="401C71F3" w:rsidR="008F5D01" w:rsidRPr="00D63217" w:rsidRDefault="008F5D01" w:rsidP="002D0FA5">
      <w:pPr>
        <w:pStyle w:val="Heading3"/>
      </w:pPr>
      <w:bookmarkStart w:id="239" w:name="_Toc231480852"/>
      <w:bookmarkStart w:id="240" w:name="_Toc233036404"/>
      <w:r w:rsidRPr="00D63217">
        <w:t xml:space="preserve">Pome </w:t>
      </w:r>
      <w:r w:rsidR="002D0FA5" w:rsidRPr="00D63217">
        <w:t>f</w:t>
      </w:r>
      <w:r w:rsidRPr="00D63217">
        <w:t>ruit</w:t>
      </w:r>
      <w:bookmarkEnd w:id="239"/>
      <w:bookmarkEnd w:id="240"/>
    </w:p>
    <w:p w14:paraId="1F1C16CC" w14:textId="1A648339" w:rsidR="008F5D01" w:rsidRPr="00D63217" w:rsidRDefault="008F5D01" w:rsidP="008F5D01">
      <w:pPr>
        <w:pStyle w:val="NormalText"/>
      </w:pPr>
      <w:r w:rsidRPr="00D63217">
        <w:t xml:space="preserve">The maximum Australian label rate is up to 0.8 kg </w:t>
      </w:r>
      <w:r w:rsidR="00FC430E" w:rsidRPr="00D63217">
        <w:t>ac/ha</w:t>
      </w:r>
      <w:r w:rsidRPr="00D63217">
        <w:t xml:space="preserve">. Overseas residue data consisting of numerous trials from Canada, Germany and the United Kingdom (UK) on apples and pears treated at rates from 0.51 to 4.5 kg </w:t>
      </w:r>
      <w:r w:rsidR="00FC430E" w:rsidRPr="00D63217">
        <w:t>ac/ha</w:t>
      </w:r>
      <w:r w:rsidRPr="00D63217">
        <w:t xml:space="preserve"> found no paraquat residues above the LOQ of 0.01 mg/kg on fruit harvested from the trees with Post Harvest Intervals (PHIs) from 0 – 131 days</w:t>
      </w:r>
      <w:r w:rsidR="00F555C9" w:rsidRPr="00D63217">
        <w:t xml:space="preserve"> (Calderbank and Yuan, 1963; Calderbank and McKenna, 1964; Anon., 1971</w:t>
      </w:r>
      <w:r w:rsidR="00143F5A" w:rsidRPr="00D63217">
        <w:t>(</w:t>
      </w:r>
      <w:r w:rsidR="00F555C9" w:rsidRPr="00D63217">
        <w:t>a</w:t>
      </w:r>
      <w:r w:rsidR="00143F5A" w:rsidRPr="00D63217">
        <w:t>)</w:t>
      </w:r>
      <w:r w:rsidR="00F555C9" w:rsidRPr="00D63217">
        <w:t>; Kennedy and French, 1981)</w:t>
      </w:r>
      <w:r w:rsidRPr="00D63217">
        <w:t>. Residues in apple pomace, which is an animal feed, were not addressed in the available trials however as residues were not observed in apple fruit, residues are not expected in processed apple commodities including pomace.</w:t>
      </w:r>
    </w:p>
    <w:p w14:paraId="7BB7A864" w14:textId="5C6BD533" w:rsidR="008F5D01" w:rsidRPr="00D63217" w:rsidRDefault="008F5D01" w:rsidP="008F5D01">
      <w:pPr>
        <w:pStyle w:val="NormalText"/>
      </w:pPr>
      <w:r w:rsidRPr="00D63217">
        <w:t xml:space="preserve">The available paraquat residues data supports continued use in pome fruit orchards. </w:t>
      </w:r>
      <w:r w:rsidR="00DE389B">
        <w:t xml:space="preserve">The </w:t>
      </w:r>
      <w:r w:rsidRPr="00D63217">
        <w:t>MRL</w:t>
      </w:r>
      <w:r w:rsidR="006108FB">
        <w:t xml:space="preserve"> supported by this residues assessment</w:t>
      </w:r>
      <w:r w:rsidRPr="00D63217">
        <w:t xml:space="preserve"> for pome fruit is:</w:t>
      </w:r>
    </w:p>
    <w:p w14:paraId="2C819781" w14:textId="24B4EF20" w:rsidR="008F5D01" w:rsidRPr="00D63217" w:rsidRDefault="008F5D01" w:rsidP="008F5D01">
      <w:pPr>
        <w:pStyle w:val="NormalText"/>
      </w:pPr>
      <w:r w:rsidRPr="00D63217">
        <w:tab/>
        <w:t>FP 0009 Pome Fruits</w:t>
      </w:r>
      <w:r w:rsidRPr="00D63217">
        <w:tab/>
      </w:r>
      <w:r w:rsidRPr="00D63217">
        <w:tab/>
      </w:r>
      <w:r w:rsidR="001C4E94" w:rsidRPr="00D63217">
        <w:tab/>
      </w:r>
      <w:r w:rsidR="001C4E94" w:rsidRPr="00D63217">
        <w:tab/>
      </w:r>
      <w:r w:rsidR="005A60F7" w:rsidRPr="00D63217">
        <w:tab/>
      </w:r>
      <w:r w:rsidR="005A60F7" w:rsidRPr="00D63217">
        <w:tab/>
      </w:r>
      <w:r w:rsidR="001C4E94" w:rsidRPr="00D63217">
        <w:tab/>
      </w:r>
      <w:r w:rsidRPr="00D63217">
        <w:t>*0.01 mg/kg</w:t>
      </w:r>
    </w:p>
    <w:p w14:paraId="01C7C882" w14:textId="77777777" w:rsidR="008F5D01" w:rsidRPr="00D63217" w:rsidRDefault="008F5D01" w:rsidP="008F5D01">
      <w:pPr>
        <w:pStyle w:val="NormalText"/>
      </w:pPr>
      <w:r w:rsidRPr="00D63217">
        <w:t>As the use is directed to weeds and not the trees, a harvest withholding period statement of ‘Not Required when used as directed’ is supported for pome fruit.</w:t>
      </w:r>
    </w:p>
    <w:p w14:paraId="5ADCECCA" w14:textId="1E4C5FE1" w:rsidR="008F5D01" w:rsidRPr="00D63217" w:rsidRDefault="008F5D01" w:rsidP="00B65433">
      <w:pPr>
        <w:pStyle w:val="Heading3"/>
      </w:pPr>
      <w:bookmarkStart w:id="241" w:name="_Toc231480853"/>
      <w:bookmarkStart w:id="242" w:name="_Toc233036405"/>
      <w:r w:rsidRPr="00D63217">
        <w:t xml:space="preserve">Citrus </w:t>
      </w:r>
      <w:r w:rsidR="002D0FA5" w:rsidRPr="00D63217">
        <w:t>f</w:t>
      </w:r>
      <w:r w:rsidRPr="00D63217">
        <w:t>ruit</w:t>
      </w:r>
      <w:bookmarkEnd w:id="241"/>
      <w:bookmarkEnd w:id="242"/>
    </w:p>
    <w:p w14:paraId="232CC47D" w14:textId="635984D4" w:rsidR="008F5D01" w:rsidRPr="00D63217" w:rsidRDefault="008F5D01" w:rsidP="008F5D01">
      <w:pPr>
        <w:pStyle w:val="NormalText"/>
      </w:pPr>
      <w:r w:rsidRPr="00D63217">
        <w:t xml:space="preserve">The maximum Australian label rate is up to 0.8 kg </w:t>
      </w:r>
      <w:r w:rsidR="00FC430E" w:rsidRPr="00D63217">
        <w:t>ac/ha</w:t>
      </w:r>
      <w:r w:rsidRPr="00D63217">
        <w:t xml:space="preserve">. Overseas residue data consisting of numerous trials from the United States of America (USA) and Italy on oranges, grapefruit, lemons and limes treated at rates from 0.8 to 2.44 kg </w:t>
      </w:r>
      <w:r w:rsidR="00FC430E" w:rsidRPr="00D63217">
        <w:t>ac/ha</w:t>
      </w:r>
      <w:r w:rsidRPr="00D63217">
        <w:t xml:space="preserve"> found no paraquat residues above the LOQ (0.01 – 0.05 mg/kg) on fruit harvested from the trees at PHIs from 0 – 177 days</w:t>
      </w:r>
      <w:r w:rsidR="00F555C9" w:rsidRPr="00D63217">
        <w:t xml:space="preserve"> (Anon., n.d.</w:t>
      </w:r>
      <w:r w:rsidR="00A201A4" w:rsidRPr="00D63217">
        <w:t>(a)</w:t>
      </w:r>
      <w:r w:rsidR="00F555C9" w:rsidRPr="00D63217">
        <w:t>; Dick et al, 1995; Reeve, 1970)</w:t>
      </w:r>
      <w:r w:rsidRPr="00D63217">
        <w:t>. Residues were also not detected in juice, peel or pulp, which is an animal feed commodity.</w:t>
      </w:r>
    </w:p>
    <w:p w14:paraId="0C1FF295" w14:textId="77777777" w:rsidR="008F5D01" w:rsidRPr="00D63217" w:rsidRDefault="008F5D01" w:rsidP="008F5D01">
      <w:pPr>
        <w:pStyle w:val="NormalText"/>
      </w:pPr>
      <w:r w:rsidRPr="00D63217">
        <w:t>The available paraquat residues data supports continued use in in citrus orchards. The recommended entry into the MRL Standard for citrus fruit is as follows noting that the majority of trials addressed the LOQ of 0.01 mg/kg:</w:t>
      </w:r>
    </w:p>
    <w:p w14:paraId="51D1E28D" w14:textId="41A8B708" w:rsidR="008F5D01" w:rsidRPr="00D63217" w:rsidRDefault="008F5D01" w:rsidP="008F5D01">
      <w:pPr>
        <w:pStyle w:val="NormalText"/>
      </w:pPr>
      <w:r w:rsidRPr="00D63217">
        <w:tab/>
        <w:t>FC 0001 Citrus Fruits</w:t>
      </w:r>
      <w:r w:rsidRPr="00D63217">
        <w:tab/>
      </w:r>
      <w:r w:rsidR="001C4E94" w:rsidRPr="00D63217">
        <w:tab/>
      </w:r>
      <w:r w:rsidR="001C4E94" w:rsidRPr="00D63217">
        <w:tab/>
      </w:r>
      <w:r w:rsidR="001C4E94" w:rsidRPr="00D63217">
        <w:tab/>
      </w:r>
      <w:r w:rsidR="005A60F7" w:rsidRPr="00D63217">
        <w:tab/>
      </w:r>
      <w:r w:rsidR="005A60F7" w:rsidRPr="00D63217">
        <w:tab/>
      </w:r>
      <w:r w:rsidR="001C4E94" w:rsidRPr="00D63217">
        <w:tab/>
      </w:r>
      <w:r w:rsidRPr="00D63217">
        <w:t>*0.01 mg/kg</w:t>
      </w:r>
    </w:p>
    <w:p w14:paraId="50F1DC9F" w14:textId="77777777" w:rsidR="008F5D01" w:rsidRPr="00D63217" w:rsidRDefault="008F5D01" w:rsidP="008F5D01">
      <w:pPr>
        <w:pStyle w:val="NormalText"/>
      </w:pPr>
      <w:r w:rsidRPr="00D63217">
        <w:lastRenderedPageBreak/>
        <w:t>As the use is directed to weeds and not the trees, a harvest withholding period statement of ‘Not Required when used as directed’ is supported for citrus fruit.</w:t>
      </w:r>
    </w:p>
    <w:p w14:paraId="2CEEDE2B" w14:textId="008278C4" w:rsidR="008F5D01" w:rsidRPr="00D63217" w:rsidRDefault="008F5D01" w:rsidP="00B65433">
      <w:pPr>
        <w:pStyle w:val="Heading3"/>
      </w:pPr>
      <w:bookmarkStart w:id="243" w:name="_Toc231480854"/>
      <w:bookmarkStart w:id="244" w:name="_Toc233036406"/>
      <w:r w:rsidRPr="00D63217">
        <w:t xml:space="preserve">Stone </w:t>
      </w:r>
      <w:r w:rsidR="00D810E3" w:rsidRPr="00D63217">
        <w:t>f</w:t>
      </w:r>
      <w:r w:rsidRPr="00D63217">
        <w:t>ruit</w:t>
      </w:r>
      <w:bookmarkEnd w:id="243"/>
      <w:bookmarkEnd w:id="244"/>
    </w:p>
    <w:p w14:paraId="4310C09B" w14:textId="67A59895" w:rsidR="008F5D01" w:rsidRPr="00D63217" w:rsidRDefault="008F5D01" w:rsidP="008F5D01">
      <w:pPr>
        <w:pStyle w:val="NormalText"/>
      </w:pPr>
      <w:r w:rsidRPr="00D63217">
        <w:t xml:space="preserve">The maximum Australian label rate is up to 0.8 kg </w:t>
      </w:r>
      <w:r w:rsidR="00FC430E" w:rsidRPr="00D63217">
        <w:t>ac/ha</w:t>
      </w:r>
      <w:r w:rsidRPr="00D63217">
        <w:t xml:space="preserve">. Overseas residue data consisting of numerous trials from Canada, Germany and the UK on apricots, plums, peaches and cherries treated at rates which ranged from 1.0 to 4.5 kg </w:t>
      </w:r>
      <w:r w:rsidR="00FC430E" w:rsidRPr="00D63217">
        <w:t>ac/ha</w:t>
      </w:r>
      <w:r w:rsidRPr="00D63217">
        <w:t xml:space="preserve"> found no paraquat residues above the LOQ (0.01 mg/kg) on fruit harvested from the trees at PHIs from 9 – 87 days. Residues were not detected in dried prunes</w:t>
      </w:r>
      <w:r w:rsidR="00F555C9" w:rsidRPr="00D63217">
        <w:t xml:space="preserve"> (Calderbank and McKenna, 1964, Anon., 1971</w:t>
      </w:r>
      <w:r w:rsidR="00C06468" w:rsidRPr="00D63217">
        <w:t>(a)</w:t>
      </w:r>
      <w:r w:rsidR="00F555C9" w:rsidRPr="00D63217">
        <w:t>; Anon., n.d.</w:t>
      </w:r>
      <w:r w:rsidR="00557976" w:rsidRPr="00D63217">
        <w:t>(b)</w:t>
      </w:r>
      <w:r w:rsidR="00F555C9" w:rsidRPr="00D63217">
        <w:t>;</w:t>
      </w:r>
      <w:r w:rsidR="00557976" w:rsidRPr="00D63217">
        <w:t xml:space="preserve"> Roper, 1989(i)</w:t>
      </w:r>
      <w:r w:rsidR="00F555C9" w:rsidRPr="00D63217">
        <w:t>)</w:t>
      </w:r>
      <w:r w:rsidRPr="00D63217">
        <w:t>.</w:t>
      </w:r>
    </w:p>
    <w:p w14:paraId="15074A45" w14:textId="77777777" w:rsidR="008F5D01" w:rsidRPr="00D63217" w:rsidRDefault="008F5D01" w:rsidP="008F5D01">
      <w:pPr>
        <w:pStyle w:val="NormalText"/>
      </w:pPr>
      <w:r w:rsidRPr="00D63217">
        <w:t>The available paraquat residues data supports continued use in in stone fruit orchards. The recommended entry into the MRL Standard for stone fruit is:</w:t>
      </w:r>
    </w:p>
    <w:p w14:paraId="77B0A9AA" w14:textId="285F95ED" w:rsidR="008F5D01" w:rsidRPr="00D63217" w:rsidRDefault="008F5D01" w:rsidP="008F5D01">
      <w:pPr>
        <w:pStyle w:val="NormalText"/>
      </w:pPr>
      <w:r w:rsidRPr="00D63217">
        <w:tab/>
        <w:t>FS 0012 Stone Fruits</w:t>
      </w:r>
      <w:r w:rsidRPr="00D63217">
        <w:tab/>
      </w:r>
      <w:r w:rsidRPr="00D63217">
        <w:tab/>
      </w:r>
      <w:r w:rsidR="005A60F7" w:rsidRPr="00D63217">
        <w:tab/>
      </w:r>
      <w:r w:rsidR="005A60F7" w:rsidRPr="00D63217">
        <w:tab/>
      </w:r>
      <w:r w:rsidR="005A60F7" w:rsidRPr="00D63217">
        <w:tab/>
      </w:r>
      <w:r w:rsidR="005A60F7" w:rsidRPr="00D63217">
        <w:tab/>
      </w:r>
      <w:r w:rsidR="005A60F7" w:rsidRPr="00D63217">
        <w:tab/>
      </w:r>
      <w:r w:rsidRPr="00D63217">
        <w:t>*0.01 mg/kg</w:t>
      </w:r>
    </w:p>
    <w:p w14:paraId="2CDD46A2" w14:textId="23AAF45D" w:rsidR="008F5D01" w:rsidRPr="00D63217" w:rsidRDefault="008F5D01" w:rsidP="008F5D01">
      <w:pPr>
        <w:pStyle w:val="NormalText"/>
      </w:pPr>
      <w:r w:rsidRPr="00D63217">
        <w:t>As the use is directed to weeds and not the trees, a harvest withholding period statement of ‘Not Required when used as directed’ is supported for stone fruit.</w:t>
      </w:r>
    </w:p>
    <w:p w14:paraId="61E2D910" w14:textId="77777777" w:rsidR="008F5D01" w:rsidRPr="00D63217" w:rsidRDefault="008F5D01" w:rsidP="00B65433">
      <w:pPr>
        <w:pStyle w:val="Heading3"/>
      </w:pPr>
      <w:bookmarkStart w:id="245" w:name="_Toc231480855"/>
      <w:bookmarkStart w:id="246" w:name="_Toc233036407"/>
      <w:r w:rsidRPr="00D63217">
        <w:t>Berries and other small fruits</w:t>
      </w:r>
      <w:bookmarkEnd w:id="245"/>
      <w:bookmarkEnd w:id="246"/>
    </w:p>
    <w:p w14:paraId="3C5DC921" w14:textId="61D1F020" w:rsidR="008F5D01" w:rsidRPr="00D63217" w:rsidRDefault="008F5D01" w:rsidP="008F5D01">
      <w:pPr>
        <w:pStyle w:val="NormalText"/>
      </w:pPr>
      <w:r w:rsidRPr="00D63217">
        <w:t xml:space="preserve">The maximum Australian label rate for vineyards is up to 0.8 kg </w:t>
      </w:r>
      <w:r w:rsidR="00FC430E" w:rsidRPr="00D63217">
        <w:t>ac/ha</w:t>
      </w:r>
      <w:r w:rsidRPr="00D63217">
        <w:t xml:space="preserve">. Overseas residue data consisting of numerous trials from Canada, Japan, Switzerland and the USA on vineyards treated once or twice at rates which ranged from 0.3 to 4.4 kg </w:t>
      </w:r>
      <w:r w:rsidR="00FC430E" w:rsidRPr="00D63217">
        <w:t>ac/ha</w:t>
      </w:r>
      <w:r w:rsidRPr="00D63217">
        <w:t xml:space="preserve"> found no paraquat residues above the LOQ (0.01 mg/kg) on fruit harvested from the grape vines at PHIs from 0 - 196 days. No residues were detected in sun dried grapes or juice from grapes treated at 5.6 kg </w:t>
      </w:r>
      <w:r w:rsidR="00FC430E" w:rsidRPr="00D63217">
        <w:t>ac/ha</w:t>
      </w:r>
      <w:r w:rsidR="00557976" w:rsidRPr="00D63217">
        <w:t xml:space="preserve"> (Edwards, 1974; Earl and Anderson, 1992; Anon., 1971</w:t>
      </w:r>
      <w:r w:rsidR="00FA0DFC" w:rsidRPr="00D63217">
        <w:t>(a)</w:t>
      </w:r>
      <w:r w:rsidR="00557976" w:rsidRPr="00D63217">
        <w:t>)</w:t>
      </w:r>
      <w:r w:rsidRPr="00D63217">
        <w:t>.</w:t>
      </w:r>
    </w:p>
    <w:p w14:paraId="2CCD7DB5" w14:textId="78DAC02A" w:rsidR="008F5D01" w:rsidRPr="00D63217" w:rsidRDefault="008F5D01" w:rsidP="008F5D01">
      <w:pPr>
        <w:pStyle w:val="NormalText"/>
      </w:pPr>
      <w:r w:rsidRPr="00D63217">
        <w:t xml:space="preserve">The maximum Australian label rate is up to 0.6 kg </w:t>
      </w:r>
      <w:r w:rsidR="00FC430E" w:rsidRPr="00D63217">
        <w:t>ac/ha</w:t>
      </w:r>
      <w:r w:rsidRPr="00D63217">
        <w:t xml:space="preserve"> for row crops and market gardens which may include berries and other small fruit, except for grapes (covered by the vineyard use). Overseas residue data which consisted of numerous trials from Canada, Ireland and the USA on blueberries, blackberries, blackcurrants, redcurrants, loganberries, cranberries, gooseberries, raspberries and strawberries treated once or twice at rates which ranged from 0.42 to 4.5 </w:t>
      </w:r>
      <w:r w:rsidR="00FC430E" w:rsidRPr="00D63217">
        <w:t>ac/ha</w:t>
      </w:r>
      <w:r w:rsidRPr="00D63217">
        <w:t xml:space="preserve"> found no paraquat residues above the LOQ (0.01 mg/kg) in fruit at PHIs from 1 – 210 days</w:t>
      </w:r>
      <w:r w:rsidR="00557976" w:rsidRPr="00D63217">
        <w:t xml:space="preserve"> (Calderbank and McKenna, 1964; Anon. n.d.(</w:t>
      </w:r>
      <w:r w:rsidR="006F0D47" w:rsidRPr="00D63217">
        <w:t>b</w:t>
      </w:r>
      <w:r w:rsidR="00557976" w:rsidRPr="00D63217">
        <w:t>); Anon., 1967)</w:t>
      </w:r>
      <w:r w:rsidRPr="00D63217">
        <w:t>.</w:t>
      </w:r>
    </w:p>
    <w:p w14:paraId="0DE02BA7" w14:textId="77777777" w:rsidR="008F5D01" w:rsidRPr="00D63217" w:rsidRDefault="008F5D01" w:rsidP="008F5D01">
      <w:pPr>
        <w:pStyle w:val="NormalText"/>
      </w:pPr>
      <w:r w:rsidRPr="00D63217">
        <w:t>The available paraquat residues data supports continued use in grapes (vineyards) and other members of the berries and other small fruit crop group. The recommended entry into the MRL Standard for berries and small fruits, including grapes is:</w:t>
      </w:r>
    </w:p>
    <w:p w14:paraId="0AFB73ED" w14:textId="76076AB4" w:rsidR="008F5D01" w:rsidRPr="00D63217" w:rsidRDefault="008F5D01" w:rsidP="008F5D01">
      <w:pPr>
        <w:pStyle w:val="NormalText"/>
      </w:pPr>
      <w:r w:rsidRPr="00D63217">
        <w:tab/>
        <w:t>FB 0018 Berries and other small fruits</w:t>
      </w:r>
      <w:r w:rsidRPr="00D63217">
        <w:tab/>
      </w:r>
      <w:r w:rsidR="005A60F7" w:rsidRPr="00D63217">
        <w:tab/>
      </w:r>
      <w:r w:rsidR="005A60F7" w:rsidRPr="00D63217">
        <w:tab/>
      </w:r>
      <w:r w:rsidR="005A60F7" w:rsidRPr="00D63217">
        <w:tab/>
      </w:r>
      <w:r w:rsidRPr="00D63217">
        <w:tab/>
        <w:t>*0.01 mg/kg</w:t>
      </w:r>
    </w:p>
    <w:p w14:paraId="36F97E7C" w14:textId="77777777" w:rsidR="008F5D01" w:rsidRPr="00D63217" w:rsidRDefault="008F5D01" w:rsidP="008F5D01">
      <w:pPr>
        <w:pStyle w:val="NormalText"/>
      </w:pPr>
      <w:r w:rsidRPr="00D63217">
        <w:t>As the use is targeting inter-row weeds and not the crop, a harvest withholding period statement of ‘Not Required when used as directed’ is supported for berries and other small fruit.</w:t>
      </w:r>
    </w:p>
    <w:p w14:paraId="7D64BF4E" w14:textId="77777777" w:rsidR="008F5D01" w:rsidRPr="00D63217" w:rsidRDefault="008F5D01" w:rsidP="00B65433">
      <w:pPr>
        <w:pStyle w:val="Heading3"/>
      </w:pPr>
      <w:bookmarkStart w:id="247" w:name="_Toc231480856"/>
      <w:bookmarkStart w:id="248" w:name="_Toc233036408"/>
      <w:r w:rsidRPr="00D63217">
        <w:lastRenderedPageBreak/>
        <w:t>Tropical fruits – inedible peel</w:t>
      </w:r>
      <w:bookmarkEnd w:id="247"/>
      <w:bookmarkEnd w:id="248"/>
    </w:p>
    <w:p w14:paraId="393794CA" w14:textId="7FD08138" w:rsidR="008F5D01" w:rsidRPr="00D63217" w:rsidRDefault="008F5D01" w:rsidP="008F5D01">
      <w:pPr>
        <w:pStyle w:val="NormalText"/>
      </w:pPr>
      <w:r w:rsidRPr="00D63217">
        <w:t xml:space="preserve">The maximum Australian label rate for use in orchards which may include all crops within the tropical fruit with inedible peel crop group except for pineapple is up to 0.8 kg </w:t>
      </w:r>
      <w:r w:rsidR="00FC430E" w:rsidRPr="00D63217">
        <w:t>ac/ha</w:t>
      </w:r>
      <w:r w:rsidRPr="00D63217">
        <w:t xml:space="preserve">. For use in row crop, which may include pineapple, the maximum label rate is 0.6 kg </w:t>
      </w:r>
      <w:r w:rsidR="00FC430E" w:rsidRPr="00D63217">
        <w:t>ac/ha</w:t>
      </w:r>
      <w:r w:rsidRPr="00D63217">
        <w:t xml:space="preserve"> The Australian labels also have a specific use pattern for avocados, custard apples, litchis and mangoes at 32.4 g </w:t>
      </w:r>
      <w:r w:rsidR="00FC430E" w:rsidRPr="00D63217">
        <w:t>ac/</w:t>
      </w:r>
      <w:r w:rsidRPr="00D63217">
        <w:t xml:space="preserve">100 L (or 0.324 kg </w:t>
      </w:r>
      <w:r w:rsidR="00FC430E" w:rsidRPr="00D63217">
        <w:t>ac/ha</w:t>
      </w:r>
      <w:r w:rsidRPr="00D63217">
        <w:t xml:space="preserve"> with an assumed spray volume of 1000 L/ha).</w:t>
      </w:r>
    </w:p>
    <w:p w14:paraId="42A26379" w14:textId="1B38E0D5" w:rsidR="008F5D01" w:rsidRPr="00D63217" w:rsidRDefault="008F5D01" w:rsidP="008F5D01">
      <w:pPr>
        <w:pStyle w:val="NormalText"/>
      </w:pPr>
      <w:r w:rsidRPr="00D63217">
        <w:t xml:space="preserve">Overseas residue data on bananas from Honduras and pineapples from Hawaii which involved one to </w:t>
      </w:r>
      <w:r w:rsidR="004128B4" w:rsidRPr="00D63217">
        <w:t>3</w:t>
      </w:r>
      <w:r w:rsidRPr="00D63217">
        <w:t xml:space="preserve"> applications at rates between 0.55 and 4.5 kg </w:t>
      </w:r>
      <w:r w:rsidR="00FC430E" w:rsidRPr="00D63217">
        <w:t>ac/ha</w:t>
      </w:r>
      <w:r w:rsidRPr="00D63217">
        <w:t xml:space="preserve"> found no paraquat residues above the LOQ (0.01 mg/kg) in fruit at PHIs from 0 – 501 days</w:t>
      </w:r>
      <w:r w:rsidR="00557976" w:rsidRPr="00D63217">
        <w:t xml:space="preserve"> (Anon.,</w:t>
      </w:r>
      <w:r w:rsidR="00CB0214" w:rsidRPr="00D63217">
        <w:t xml:space="preserve"> 1973</w:t>
      </w:r>
      <w:r w:rsidR="00557976" w:rsidRPr="00D63217">
        <w:t>; Anon., 196</w:t>
      </w:r>
      <w:r w:rsidR="00616937" w:rsidRPr="00D63217">
        <w:t>5</w:t>
      </w:r>
      <w:r w:rsidR="006C30E5" w:rsidRPr="00D63217">
        <w:t xml:space="preserve"> </w:t>
      </w:r>
      <w:r w:rsidR="00557976" w:rsidRPr="00D63217">
        <w:t>(a,b))</w:t>
      </w:r>
      <w:r w:rsidRPr="00D63217">
        <w:t>.</w:t>
      </w:r>
    </w:p>
    <w:p w14:paraId="1EFABCA8" w14:textId="7142841C" w:rsidR="008F5D01" w:rsidRPr="00D63217" w:rsidRDefault="008F5D01" w:rsidP="008F5D01">
      <w:pPr>
        <w:pStyle w:val="NormalText"/>
      </w:pPr>
      <w:r w:rsidRPr="00D63217">
        <w:t>No data was submitted for tropical fruit with inedible peel, except for banana and pineapple. In light of the extensive data presented for pineapple, bananas and other fruit trees, the weight of evidence demonstrates that directed spraying of weeds around tropical fruit with inedible peel trees with paraquat is unlikely to result in quantifiable residues in the fruit.</w:t>
      </w:r>
    </w:p>
    <w:p w14:paraId="4CC63223" w14:textId="721760E7" w:rsidR="008F5D01" w:rsidRPr="00D63217" w:rsidRDefault="008F5D01" w:rsidP="008F5D01">
      <w:pPr>
        <w:pStyle w:val="NormalText"/>
      </w:pPr>
      <w:r w:rsidRPr="00D63217">
        <w:t xml:space="preserve">The available paraquat residues data supports continued use in tropical fruit with inedible peel which was covered by the label claim for orchards, the use in pineapples which was covered by the label claim for row crops and the specific use for avocados, custard apples, litchis and mangoes (2 application, 14 days apart at 32.4 g </w:t>
      </w:r>
      <w:r w:rsidR="00FC430E" w:rsidRPr="00D63217">
        <w:t>ac/</w:t>
      </w:r>
      <w:r w:rsidRPr="00D63217">
        <w:t>100L). The recommended entry into the MRL Standard for tropical fruits – inedible peel is:</w:t>
      </w:r>
    </w:p>
    <w:p w14:paraId="0944CDD4" w14:textId="22F3F505" w:rsidR="008F5D01" w:rsidRPr="00D63217" w:rsidRDefault="008F5D01" w:rsidP="008F5D01">
      <w:pPr>
        <w:pStyle w:val="NormalText"/>
      </w:pPr>
      <w:r w:rsidRPr="00D63217">
        <w:tab/>
        <w:t>FI 0030 Assorted tropical and subtropical fruits – inedible peel</w:t>
      </w:r>
      <w:r w:rsidRPr="00D63217">
        <w:tab/>
        <w:t>*0.01 mg/kg</w:t>
      </w:r>
    </w:p>
    <w:p w14:paraId="1C32A0E4" w14:textId="77777777" w:rsidR="008F5D01" w:rsidRPr="00D63217" w:rsidRDefault="008F5D01" w:rsidP="008F5D01">
      <w:pPr>
        <w:pStyle w:val="NormalText"/>
      </w:pPr>
      <w:r w:rsidRPr="00D63217">
        <w:t>As application is to the ground cover underneath the tree or to inter row weeds and not the crop, a withholding period of “Not required when used as directed” is appropriate.</w:t>
      </w:r>
    </w:p>
    <w:p w14:paraId="586AD489" w14:textId="77777777" w:rsidR="008F5D01" w:rsidRPr="00D63217" w:rsidRDefault="008F5D01" w:rsidP="00B65433">
      <w:pPr>
        <w:pStyle w:val="Heading3"/>
      </w:pPr>
      <w:bookmarkStart w:id="249" w:name="_Toc231480857"/>
      <w:bookmarkStart w:id="250" w:name="_Toc233036409"/>
      <w:r w:rsidRPr="00D63217">
        <w:t>Tropical fruits – edible peel</w:t>
      </w:r>
      <w:bookmarkEnd w:id="249"/>
      <w:bookmarkEnd w:id="250"/>
    </w:p>
    <w:p w14:paraId="6BF2AFFA" w14:textId="3A9BB1D9" w:rsidR="008F5D01" w:rsidRPr="00D63217" w:rsidRDefault="008F5D01" w:rsidP="008F5D01">
      <w:pPr>
        <w:pStyle w:val="NormalText"/>
      </w:pPr>
      <w:r w:rsidRPr="00D63217">
        <w:t xml:space="preserve">The maximum Australian label rate is up to 0.8 kg </w:t>
      </w:r>
      <w:r w:rsidR="00FC430E" w:rsidRPr="00D63217">
        <w:t>ac/ha</w:t>
      </w:r>
      <w:r w:rsidRPr="00D63217">
        <w:t xml:space="preserve"> for olives and other tropical fruit with edible peel (orchard crops). Overseas residue data from Italy, Spain and the USA on olives which involved one to </w:t>
      </w:r>
      <w:r w:rsidR="004128B4" w:rsidRPr="00D63217">
        <w:t>4</w:t>
      </w:r>
      <w:r w:rsidRPr="00D63217">
        <w:t xml:space="preserve"> applications at rates between 0.36 and 5.6 kg </w:t>
      </w:r>
      <w:r w:rsidR="00FC430E" w:rsidRPr="00D63217">
        <w:t>ac/ha</w:t>
      </w:r>
      <w:r w:rsidRPr="00D63217">
        <w:t xml:space="preserve"> found no paraquat residues above the LOQ (0.01, 0.05 or 0.1 mg/kg) on fruit harvested from the trees at PHIs from 0 – 21 days. No residues of paraquat were detected in olive oil</w:t>
      </w:r>
      <w:r w:rsidR="00F63A95" w:rsidRPr="00D63217">
        <w:t xml:space="preserve"> (Anon., 1987; Roper, 1989(j); Anderson and Earl, 1993; Dick et al, 1995(b); Anon., </w:t>
      </w:r>
      <w:r w:rsidR="00CB0214" w:rsidRPr="00D63217">
        <w:t>1973</w:t>
      </w:r>
      <w:r w:rsidR="00F63A95" w:rsidRPr="00D63217">
        <w:t>; Massey, 1987</w:t>
      </w:r>
      <w:r w:rsidR="00F9767C" w:rsidRPr="00D63217">
        <w:t>(a)</w:t>
      </w:r>
      <w:r w:rsidR="00F63A95" w:rsidRPr="00D63217">
        <w:t>; Kennedy, 1987)</w:t>
      </w:r>
      <w:r w:rsidRPr="00D63217">
        <w:t>.</w:t>
      </w:r>
    </w:p>
    <w:p w14:paraId="7597F345" w14:textId="5B6F3F50" w:rsidR="008F5D01" w:rsidRPr="00D63217" w:rsidRDefault="008F5D01" w:rsidP="008F5D01">
      <w:pPr>
        <w:pStyle w:val="NormalText"/>
      </w:pPr>
      <w:r w:rsidRPr="00D63217">
        <w:t xml:space="preserve">A North American processing study in figs at rates of 1.1 to 5.5 kg </w:t>
      </w:r>
      <w:r w:rsidR="00FC430E" w:rsidRPr="00D63217">
        <w:t>ac/ha</w:t>
      </w:r>
      <w:r w:rsidRPr="00D63217">
        <w:t xml:space="preserve"> found no paraquat residues above the LOQ in figs (0.01 mg/kg for fresh figs, 0.05 mg/kg for dried figs) at PHIs of 13-14 days</w:t>
      </w:r>
      <w:r w:rsidR="00F63A95" w:rsidRPr="00D63217">
        <w:t xml:space="preserve"> (Roper, 1989(k))</w:t>
      </w:r>
      <w:r w:rsidRPr="00D63217">
        <w:t>.</w:t>
      </w:r>
    </w:p>
    <w:p w14:paraId="20881338" w14:textId="22184A57" w:rsidR="008F5D01" w:rsidRPr="00D63217" w:rsidRDefault="008F5D01" w:rsidP="008F5D01">
      <w:pPr>
        <w:pStyle w:val="NormalText"/>
      </w:pPr>
      <w:r w:rsidRPr="00D63217">
        <w:t>Residue trials on olives, figs and a variety of fruit trees has shown that residues would not be found in fruit harvested from trees in orchards that have been treated with directed applications of paraquat. On this basis a MRL for the whole group, tropical fruits edible peel, can be established at the LOQ of *0.05 mg/kg noting that while a LOQ’s in the available olive and fig trials ranged from 0.01 to 0.1 mg/kg, and 0.05 mg/kg was the most common LOQ.</w:t>
      </w:r>
    </w:p>
    <w:p w14:paraId="1F56160D" w14:textId="77777777" w:rsidR="008F5D01" w:rsidRPr="00D63217" w:rsidRDefault="008F5D01" w:rsidP="008F5D01">
      <w:pPr>
        <w:pStyle w:val="NormalText"/>
      </w:pPr>
      <w:r w:rsidRPr="00D63217">
        <w:t>The recommended entry into the MRL Standard for tropical fruits – edible peel is:</w:t>
      </w:r>
    </w:p>
    <w:p w14:paraId="2F6CE3DD" w14:textId="040B8DB2" w:rsidR="008F5D01" w:rsidRPr="00D63217" w:rsidRDefault="008F5D01" w:rsidP="008F5D01">
      <w:pPr>
        <w:pStyle w:val="NormalText"/>
      </w:pPr>
      <w:r w:rsidRPr="00D63217">
        <w:lastRenderedPageBreak/>
        <w:tab/>
        <w:t>FT 0026 Assorted tropical and subtropical fruits – edible peel</w:t>
      </w:r>
      <w:r w:rsidRPr="00D63217">
        <w:tab/>
        <w:t>*0.05 mg/kg</w:t>
      </w:r>
    </w:p>
    <w:p w14:paraId="4914A288" w14:textId="1C8E860A" w:rsidR="008F5D01" w:rsidRPr="00D63217" w:rsidRDefault="008F5D01" w:rsidP="008F5D01">
      <w:pPr>
        <w:pStyle w:val="NormalText"/>
      </w:pPr>
      <w:r w:rsidRPr="00D63217">
        <w:t xml:space="preserve">The available paraquat residues data supports continued use in tropical fruit with edible peel. The current MRL for olives at 1 mg/kg can be deleted. Residues in table olives will be covered by this recommended MRL however </w:t>
      </w:r>
      <w:r w:rsidR="00B65433" w:rsidRPr="00D63217">
        <w:t>o</w:t>
      </w:r>
      <w:r w:rsidRPr="00D63217">
        <w:t>lives for oil production (SO 0305) will be covered by the oilseed MRL at the same level recommended below.</w:t>
      </w:r>
    </w:p>
    <w:p w14:paraId="60811A81" w14:textId="39E173B2" w:rsidR="008F5D01" w:rsidRPr="00D63217" w:rsidRDefault="008F5D01" w:rsidP="008F5D01">
      <w:pPr>
        <w:pStyle w:val="NormalText"/>
      </w:pPr>
      <w:r w:rsidRPr="00D63217">
        <w:t>As application is to the ground cover underneath the tree, a withholding period of “Not required when used as directed” is appropriate.</w:t>
      </w:r>
    </w:p>
    <w:p w14:paraId="3AEDCC06" w14:textId="431924EC" w:rsidR="008F5D01" w:rsidRPr="00D63217" w:rsidRDefault="00B65433" w:rsidP="00B65433">
      <w:pPr>
        <w:pStyle w:val="Heading3"/>
      </w:pPr>
      <w:bookmarkStart w:id="251" w:name="_Toc231480858"/>
      <w:bookmarkStart w:id="252" w:name="_Toc233036410"/>
      <w:r w:rsidRPr="00D63217">
        <w:t>T</w:t>
      </w:r>
      <w:r w:rsidR="008F5D01" w:rsidRPr="00D63217">
        <w:t>ree nuts</w:t>
      </w:r>
      <w:bookmarkEnd w:id="251"/>
      <w:bookmarkEnd w:id="252"/>
    </w:p>
    <w:p w14:paraId="524BD636" w14:textId="37F5FE45" w:rsidR="008F5D01" w:rsidRPr="00D63217" w:rsidRDefault="008F5D01" w:rsidP="008F5D01">
      <w:pPr>
        <w:pStyle w:val="NormalText"/>
      </w:pPr>
      <w:r w:rsidRPr="00D63217">
        <w:t xml:space="preserve">The maximum Australian label rate for orchards (including tree nuts) and for the specific use on walnuts is up to 0.8 kg </w:t>
      </w:r>
      <w:r w:rsidR="00FC430E" w:rsidRPr="00D63217">
        <w:t>ac/ha</w:t>
      </w:r>
      <w:r w:rsidRPr="00D63217">
        <w:t xml:space="preserve">. Overseas residue data from Canada, Italy and the USA on almonds, pecans, macadamias, pistachios, walnuts and hazelnuts which involved one to </w:t>
      </w:r>
      <w:r w:rsidR="004128B4" w:rsidRPr="00D63217">
        <w:t>8</w:t>
      </w:r>
      <w:r w:rsidRPr="00D63217">
        <w:t xml:space="preserve"> applications at rates between 0.54 to 4.55 kg </w:t>
      </w:r>
      <w:r w:rsidR="00FC430E" w:rsidRPr="00D63217">
        <w:t>ac/ha</w:t>
      </w:r>
      <w:r w:rsidRPr="00D63217">
        <w:t xml:space="preserve"> found no paraquat residues above the LOQ (0.01 mg/kg) on nuts harvested from the trees (PHI 1 – 73 days)</w:t>
      </w:r>
      <w:r w:rsidR="00C06468" w:rsidRPr="00D63217">
        <w:t xml:space="preserve"> (</w:t>
      </w:r>
      <w:bookmarkStart w:id="253" w:name="_Hlk167180427"/>
      <w:r w:rsidR="00C06468" w:rsidRPr="00D63217">
        <w:t>Anon., n.d.(</w:t>
      </w:r>
      <w:r w:rsidR="00D32941" w:rsidRPr="00D63217">
        <w:t>b</w:t>
      </w:r>
      <w:r w:rsidR="00C06468" w:rsidRPr="00D63217">
        <w:t>)</w:t>
      </w:r>
      <w:bookmarkEnd w:id="253"/>
      <w:r w:rsidR="00C06468" w:rsidRPr="00D63217">
        <w:t>; Anon., 1965</w:t>
      </w:r>
      <w:r w:rsidR="009F2B31" w:rsidRPr="00D63217">
        <w:t>(c)</w:t>
      </w:r>
      <w:r w:rsidR="00A201A4" w:rsidRPr="00D63217">
        <w:t>; Anon., 1966</w:t>
      </w:r>
      <w:r w:rsidR="00C06468" w:rsidRPr="00D63217">
        <w:t xml:space="preserve">; </w:t>
      </w:r>
      <w:r w:rsidR="00D32941" w:rsidRPr="00D63217">
        <w:t xml:space="preserve">Anon., 1971(b); </w:t>
      </w:r>
      <w:r w:rsidR="00C06468" w:rsidRPr="00D63217">
        <w:t>Anon., 197</w:t>
      </w:r>
      <w:r w:rsidR="00D32941" w:rsidRPr="00D63217">
        <w:t>7, Anon., 1987</w:t>
      </w:r>
      <w:r w:rsidR="00C06468" w:rsidRPr="00D63217">
        <w:t>)</w:t>
      </w:r>
      <w:r w:rsidRPr="00D63217">
        <w:t>.</w:t>
      </w:r>
    </w:p>
    <w:p w14:paraId="507F35E5" w14:textId="7D049CD5" w:rsidR="008F5D01" w:rsidRPr="00D63217" w:rsidRDefault="008F5D01" w:rsidP="008F5D01">
      <w:pPr>
        <w:pStyle w:val="NormalText"/>
      </w:pPr>
      <w:r w:rsidRPr="00D63217">
        <w:t xml:space="preserve"> Residues were detected in some nuts that were picked of the ground that had been sprayed a day before or sprayed directly whilst on the ground and from nuts that were picked of branches that were directly sprayed 3 days before picking. While almonds may be harvested from the ground, it would not be considered good agricultural practice to treat weeds 0 - 3 days before harvest. Residues were generally &lt;0.01 mg/kg in nuts sampled at longer PHIs 4 – 73 days (all &lt;LOQ (0.01 to 0.05 mg/kg)).</w:t>
      </w:r>
    </w:p>
    <w:p w14:paraId="7262A060" w14:textId="2C19D470" w:rsidR="00FE39CB" w:rsidRDefault="00FE39CB" w:rsidP="008F5D01">
      <w:pPr>
        <w:pStyle w:val="NormalText"/>
      </w:pPr>
      <w:r w:rsidRPr="00FE39CB">
        <w:t>Data for detections in almonds were also provided by the NRS in relation to MRLs set for almonds in key markets. The highest residue detected in almonds was 0.10 mg/kg, with all other detections in the range 0.01 – 0.04 mg/kg. While the data do not indicate an undue trade risk with the Codex paraquat Tree nuts MRL at 0.05 mg/kg, the low detections do suggest it may be prudent to retain the APVMA paraquat TN 0085 Tree nuts MRL at *0.05 mg/kg, rather than the suggested change to *0.01 mg/kg which was originally recommended in the earlier evaluation. It is noted that almonds are not currently considered to be a major export commodity.</w:t>
      </w:r>
    </w:p>
    <w:p w14:paraId="2746218B" w14:textId="6E0C8BF8" w:rsidR="008F5D01" w:rsidRPr="00D63217" w:rsidRDefault="008F5D01" w:rsidP="008F5D01">
      <w:pPr>
        <w:pStyle w:val="NormalText"/>
      </w:pPr>
      <w:r w:rsidRPr="00D63217">
        <w:t>The available paraquat residues data supports continued use in tree nuts. The recommended entry into the MRL Standard for tree nuts is:</w:t>
      </w:r>
    </w:p>
    <w:p w14:paraId="2D07C86C" w14:textId="2D59C231" w:rsidR="008F5D01" w:rsidRPr="00D63217" w:rsidRDefault="008F5D01" w:rsidP="008F5D01">
      <w:pPr>
        <w:pStyle w:val="NormalText"/>
      </w:pPr>
      <w:r w:rsidRPr="00D63217">
        <w:tab/>
        <w:t>TN 0085 Tree nuts</w:t>
      </w:r>
      <w:r w:rsidRPr="00D63217">
        <w:tab/>
      </w:r>
      <w:r w:rsidRPr="00D63217">
        <w:tab/>
      </w:r>
      <w:r w:rsidR="005A60F7" w:rsidRPr="00D63217">
        <w:tab/>
      </w:r>
      <w:r w:rsidR="005A60F7" w:rsidRPr="00D63217">
        <w:tab/>
      </w:r>
      <w:r w:rsidR="005A60F7" w:rsidRPr="00D63217">
        <w:tab/>
      </w:r>
      <w:r w:rsidR="005A60F7" w:rsidRPr="00D63217">
        <w:tab/>
      </w:r>
      <w:r w:rsidR="005A60F7" w:rsidRPr="00D63217">
        <w:tab/>
      </w:r>
      <w:r w:rsidR="005A60F7" w:rsidRPr="00D63217">
        <w:tab/>
      </w:r>
      <w:r w:rsidRPr="00D63217">
        <w:t>*0.0</w:t>
      </w:r>
      <w:r w:rsidR="00FE39CB">
        <w:t>5</w:t>
      </w:r>
      <w:r w:rsidRPr="00D63217">
        <w:t xml:space="preserve"> mg/kg</w:t>
      </w:r>
    </w:p>
    <w:p w14:paraId="136B91F6" w14:textId="07559F06" w:rsidR="008F5D01" w:rsidRPr="00D63217" w:rsidRDefault="008F5D01" w:rsidP="008F5D01">
      <w:pPr>
        <w:pStyle w:val="NormalText"/>
      </w:pPr>
      <w:r w:rsidRPr="00D63217">
        <w:t>As application is to the ground cover underneath the tree, a withholding period of “Not required when used as directed” is appropriate for tree nuts.</w:t>
      </w:r>
    </w:p>
    <w:p w14:paraId="2F809F9C" w14:textId="7AC24BB8" w:rsidR="008F5D01" w:rsidRPr="003D7941" w:rsidRDefault="00B65433" w:rsidP="003D7941">
      <w:pPr>
        <w:pStyle w:val="Heading2"/>
      </w:pPr>
      <w:bookmarkStart w:id="254" w:name="_Toc231480859"/>
      <w:bookmarkStart w:id="255" w:name="_Toc233036411"/>
      <w:r w:rsidRPr="003D7941">
        <w:t>V</w:t>
      </w:r>
      <w:r w:rsidR="008F5D01" w:rsidRPr="003D7941">
        <w:t>egetable</w:t>
      </w:r>
      <w:r w:rsidRPr="003D7941">
        <w:t xml:space="preserve"> </w:t>
      </w:r>
      <w:r w:rsidR="00D810E3" w:rsidRPr="003D7941">
        <w:t>c</w:t>
      </w:r>
      <w:r w:rsidRPr="003D7941">
        <w:t>rops</w:t>
      </w:r>
      <w:bookmarkEnd w:id="254"/>
      <w:bookmarkEnd w:id="255"/>
    </w:p>
    <w:p w14:paraId="369686AE" w14:textId="129FD8DE" w:rsidR="008F5D01" w:rsidRPr="00D63217" w:rsidRDefault="008F5D01" w:rsidP="008F5D01">
      <w:pPr>
        <w:pStyle w:val="NormalText"/>
      </w:pPr>
      <w:r w:rsidRPr="00D63217">
        <w:t>The current MRL for vegetables [except potato and pulses] is *0.05 mg/kg. The general vegetable MRL will be broken down to separate MRLs for the various codex classifications of vegetables.</w:t>
      </w:r>
    </w:p>
    <w:p w14:paraId="37CB8465" w14:textId="7BB09BA4" w:rsidR="008F5D01" w:rsidRPr="00D63217" w:rsidRDefault="008F5D01" w:rsidP="008F5D01">
      <w:pPr>
        <w:pStyle w:val="NormalText"/>
      </w:pPr>
      <w:r w:rsidRPr="00D63217">
        <w:t xml:space="preserve">Application rates for ‘Row crops, vegetables, market gardens, nurseries’, which is considered to cover all vegetables (except pulses), are ‘0.4 to 0.432 kg </w:t>
      </w:r>
      <w:r w:rsidR="00FC430E" w:rsidRPr="00D63217">
        <w:t>ac/ha</w:t>
      </w:r>
      <w:r w:rsidRPr="00D63217">
        <w:t xml:space="preserve"> or 50 g </w:t>
      </w:r>
      <w:r w:rsidR="00FC430E" w:rsidRPr="00D63217">
        <w:t>ac/</w:t>
      </w:r>
      <w:r w:rsidRPr="00D63217">
        <w:t xml:space="preserve">100 L’ for pre-emergent spraying and up to 0.6 kg </w:t>
      </w:r>
      <w:r w:rsidR="00FC430E" w:rsidRPr="00D63217">
        <w:t>ac/ha</w:t>
      </w:r>
      <w:r w:rsidRPr="00D63217">
        <w:t xml:space="preserve"> for post-emergence directed inter-row spraying. As a worst case, the maximum rate is considered to be 0.5 </w:t>
      </w:r>
      <w:r w:rsidRPr="00D63217">
        <w:lastRenderedPageBreak/>
        <w:t xml:space="preserve">kg </w:t>
      </w:r>
      <w:r w:rsidR="00FC430E" w:rsidRPr="00D63217">
        <w:t>ac/ha</w:t>
      </w:r>
      <w:r w:rsidRPr="00D63217">
        <w:t xml:space="preserve"> (50 g </w:t>
      </w:r>
      <w:r w:rsidR="00FC430E" w:rsidRPr="00D63217">
        <w:t>ac/</w:t>
      </w:r>
      <w:r w:rsidRPr="00D63217">
        <w:t xml:space="preserve">100 L for an assumed spray volume of 1000 L/ha) for pre-emergence spraying. Potatoes also have a pre-harvest desiccant application rate up to 0.7 kg </w:t>
      </w:r>
      <w:r w:rsidR="00FC430E" w:rsidRPr="00D63217">
        <w:t>ac/ha</w:t>
      </w:r>
      <w:r w:rsidRPr="00D63217">
        <w:t xml:space="preserve">. Pulses (chickpeas, faba beans, field peas, lentils, lupins and vetch) in general have a post-emergence use rate of 0.2 kg </w:t>
      </w:r>
      <w:r w:rsidR="00FC430E" w:rsidRPr="00D63217">
        <w:t>ac/ha</w:t>
      </w:r>
      <w:r w:rsidRPr="00D63217">
        <w:t>.</w:t>
      </w:r>
    </w:p>
    <w:p w14:paraId="243AC261" w14:textId="77777777" w:rsidR="008F5D01" w:rsidRPr="00D63217" w:rsidRDefault="008F5D01" w:rsidP="00B65433">
      <w:pPr>
        <w:pStyle w:val="Heading3"/>
      </w:pPr>
      <w:bookmarkStart w:id="256" w:name="_Toc231480860"/>
      <w:bookmarkStart w:id="257" w:name="_Toc233036412"/>
      <w:r w:rsidRPr="00D63217">
        <w:t>Bulb vegetables</w:t>
      </w:r>
      <w:bookmarkEnd w:id="256"/>
      <w:bookmarkEnd w:id="257"/>
    </w:p>
    <w:p w14:paraId="4F15BD76" w14:textId="77777777" w:rsidR="003D7941"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Canada, Germany and the UK on bulb onions and spring onions involved one to </w:t>
      </w:r>
      <w:r w:rsidR="004128B4" w:rsidRPr="00D63217">
        <w:t>4</w:t>
      </w:r>
      <w:r w:rsidRPr="00D63217">
        <w:t xml:space="preserve"> applications at 0.66 to 2.24 kg </w:t>
      </w:r>
      <w:r w:rsidR="00FC430E" w:rsidRPr="00D63217">
        <w:t>ac/ha</w:t>
      </w:r>
      <w:r w:rsidRPr="00D63217">
        <w:t>.</w:t>
      </w:r>
    </w:p>
    <w:p w14:paraId="21A3034C" w14:textId="31DB8F50" w:rsidR="008F5D01" w:rsidRPr="00D63217" w:rsidRDefault="008F5D01" w:rsidP="008F5D01">
      <w:pPr>
        <w:pStyle w:val="NormalText"/>
      </w:pPr>
      <w:r w:rsidRPr="00D63217">
        <w:t>Trials which best approximated Australian use rates, namely: 0.75; 0.66 + 0.96; 0.75 + 1, had residues at or less than the LOQ of 0.01 or 0.02 mg/kg (depending on the trial)</w:t>
      </w:r>
      <w:r w:rsidR="00FD60E3" w:rsidRPr="00D63217">
        <w:t xml:space="preserve"> </w:t>
      </w:r>
      <w:r w:rsidR="000B59B9" w:rsidRPr="00D63217">
        <w:t>(</w:t>
      </w:r>
      <w:r w:rsidR="005229C6" w:rsidRPr="00D63217">
        <w:t xml:space="preserve">Anon. n.d.(h); </w:t>
      </w:r>
      <w:r w:rsidR="000B59B9" w:rsidRPr="00D63217">
        <w:t xml:space="preserve">Calderbank and Yuan, 1963; </w:t>
      </w:r>
      <w:r w:rsidR="005229C6" w:rsidRPr="00D63217">
        <w:t xml:space="preserve">Reeve, 1970; </w:t>
      </w:r>
      <w:r w:rsidR="000B59B9" w:rsidRPr="00D63217">
        <w:t xml:space="preserve">Edwards, 1974; </w:t>
      </w:r>
      <w:r w:rsidR="005229C6" w:rsidRPr="00D63217">
        <w:t xml:space="preserve">Swaine, 1983(a); </w:t>
      </w:r>
      <w:r w:rsidR="000B59B9" w:rsidRPr="00D63217">
        <w:t>Kennedy, 1984</w:t>
      </w:r>
      <w:r w:rsidR="009F6608" w:rsidRPr="00D63217">
        <w:t>(a)</w:t>
      </w:r>
      <w:r w:rsidR="000B59B9" w:rsidRPr="00D63217">
        <w:t xml:space="preserve">; </w:t>
      </w:r>
      <w:r w:rsidR="005229C6" w:rsidRPr="00D63217">
        <w:t xml:space="preserve">Anon., 1985; </w:t>
      </w:r>
      <w:r w:rsidR="000B59B9" w:rsidRPr="00D63217">
        <w:t>Massey; 1987</w:t>
      </w:r>
      <w:r w:rsidR="00F9767C" w:rsidRPr="00D63217">
        <w:t>(b)</w:t>
      </w:r>
      <w:r w:rsidR="000B59B9" w:rsidRPr="00D63217">
        <w:t>)</w:t>
      </w:r>
      <w:r w:rsidRPr="00D63217">
        <w:t xml:space="preserve">. These trials demonstrated that residues should be &lt;LOQ (0.01 or 0.02 mg/kg) in bulb vegetables following application at the label rate for vegetables (0.6 kg </w:t>
      </w:r>
      <w:r w:rsidR="00FC430E" w:rsidRPr="00D63217">
        <w:t>ac/ha</w:t>
      </w:r>
      <w:r w:rsidRPr="00D63217">
        <w:t>) at PHI’s ranging from 0 – 143 days and therefore a LOQ MRL recommended.</w:t>
      </w:r>
    </w:p>
    <w:p w14:paraId="064F0995" w14:textId="25728BA2" w:rsidR="008F5D01" w:rsidRPr="00D63217" w:rsidRDefault="008F5D01" w:rsidP="008F5D01">
      <w:pPr>
        <w:pStyle w:val="NormalText"/>
      </w:pPr>
      <w:r w:rsidRPr="00D63217">
        <w:t xml:space="preserve">The available paraquat residues data </w:t>
      </w:r>
      <w:r w:rsidR="005229C6" w:rsidRPr="00D63217">
        <w:t>s</w:t>
      </w:r>
      <w:r w:rsidR="00F9767C" w:rsidRPr="00D63217">
        <w:t>uppor</w:t>
      </w:r>
      <w:r w:rsidRPr="00D63217">
        <w:t>ts continued use in bulb vegetables. The recommended entry into the MRL Standard for bulb vegetables is as follows noting that the majority of trials addressed the LOQ of 0.01 mg/kg:</w:t>
      </w:r>
    </w:p>
    <w:p w14:paraId="2C5BC1D9" w14:textId="406F2BEA" w:rsidR="008F5D01" w:rsidRPr="00D63217" w:rsidRDefault="008F5D01" w:rsidP="008F5D01">
      <w:pPr>
        <w:pStyle w:val="NormalText"/>
      </w:pPr>
      <w:r w:rsidRPr="00D63217">
        <w:tab/>
        <w:t>VA 0035 Bulb vegetables</w:t>
      </w:r>
      <w:r w:rsidRPr="00D63217">
        <w:tab/>
      </w:r>
      <w:r w:rsidRPr="00D63217">
        <w:tab/>
      </w:r>
      <w:r w:rsidR="005A60F7" w:rsidRPr="00D63217">
        <w:tab/>
      </w:r>
      <w:r w:rsidR="005A60F7" w:rsidRPr="00D63217">
        <w:tab/>
      </w:r>
      <w:r w:rsidR="005A60F7" w:rsidRPr="00D63217">
        <w:tab/>
      </w:r>
      <w:r w:rsidR="005A60F7" w:rsidRPr="00D63217">
        <w:tab/>
      </w:r>
      <w:r w:rsidR="005A60F7" w:rsidRPr="00D63217">
        <w:tab/>
      </w:r>
      <w:r w:rsidRPr="00D63217">
        <w:t>*0.01 mg/kg</w:t>
      </w:r>
    </w:p>
    <w:p w14:paraId="44152A13" w14:textId="5AA74A7A" w:rsidR="008F5D01" w:rsidRPr="00D63217" w:rsidRDefault="008F5D01" w:rsidP="008F5D01">
      <w:pPr>
        <w:pStyle w:val="NormalText"/>
      </w:pPr>
      <w:r w:rsidRPr="00D63217">
        <w:t>As th</w:t>
      </w:r>
      <w:r w:rsidR="00B65433" w:rsidRPr="00D63217">
        <w:t>e</w:t>
      </w:r>
      <w:r w:rsidRPr="00D63217">
        <w:t xml:space="preserve"> use is pre-emergent or targets inter-row weeds and not the crop, a harvest withholding period statement of ‘Not Required when used as directed’ is supported for bulb vegetables.</w:t>
      </w:r>
    </w:p>
    <w:p w14:paraId="27BBF23E" w14:textId="77777777" w:rsidR="008F5D01" w:rsidRPr="00D63217" w:rsidRDefault="008F5D01" w:rsidP="00B65433">
      <w:pPr>
        <w:pStyle w:val="Heading3"/>
      </w:pPr>
      <w:bookmarkStart w:id="258" w:name="_Toc231480861"/>
      <w:bookmarkStart w:id="259" w:name="_Toc233036413"/>
      <w:r w:rsidRPr="00D63217">
        <w:t>Root and tuber vegetables</w:t>
      </w:r>
      <w:bookmarkEnd w:id="258"/>
      <w:bookmarkEnd w:id="259"/>
    </w:p>
    <w:p w14:paraId="254BD0FF" w14:textId="12AB2CA3" w:rsidR="008F5D01" w:rsidRPr="00D63217" w:rsidRDefault="008F5D01" w:rsidP="008F5D01">
      <w:pPr>
        <w:pStyle w:val="NormalText"/>
      </w:pPr>
      <w:r w:rsidRPr="00D63217">
        <w:t xml:space="preserve">The maximum Australian label rate for pre-emergence and directed spray uses in vegetables is up to 0.6 kg </w:t>
      </w:r>
      <w:r w:rsidR="00FC430E" w:rsidRPr="00D63217">
        <w:t>ac/ha</w:t>
      </w:r>
      <w:r w:rsidRPr="00D63217">
        <w:t xml:space="preserve">. Potatoes have an additional label use to the rest of the group, namely a pre-harvest weed control application rate up to 0.7 kg </w:t>
      </w:r>
      <w:r w:rsidR="00FC430E" w:rsidRPr="00D63217">
        <w:t>ac/ha</w:t>
      </w:r>
      <w:r w:rsidRPr="00D63217">
        <w:t>.</w:t>
      </w:r>
    </w:p>
    <w:p w14:paraId="7F6A9949" w14:textId="682D2CCB" w:rsidR="008F5D01" w:rsidRPr="00D63217" w:rsidRDefault="008F5D01" w:rsidP="008F5D01">
      <w:pPr>
        <w:pStyle w:val="NormalText"/>
      </w:pPr>
      <w:r w:rsidRPr="00D63217">
        <w:t xml:space="preserve">Relevant to the pre-harvest use in potatoes, residues data from the UK, Canada and the USA involved pre-harvest treatment at rates ranging from 0.2 to 6.27 kg </w:t>
      </w:r>
      <w:r w:rsidR="00FC430E" w:rsidRPr="00D63217">
        <w:t>ac/ha</w:t>
      </w:r>
      <w:r w:rsidRPr="00D63217">
        <w:t>. Residues in potato tubers were &lt;LOQ (0.01 mg/kg) to 0.2 mg/kg at PHI’s of 14 to 41 days</w:t>
      </w:r>
      <w:r w:rsidR="00FA0DFC" w:rsidRPr="00D63217">
        <w:t xml:space="preserve"> (</w:t>
      </w:r>
      <w:r w:rsidR="005229C6" w:rsidRPr="00D63217">
        <w:t xml:space="preserve">Anon., n.d.(i), </w:t>
      </w:r>
      <w:r w:rsidR="00FA0DFC" w:rsidRPr="00D63217">
        <w:t xml:space="preserve">Calderbank and McKenna, 1964; </w:t>
      </w:r>
      <w:r w:rsidR="005229C6" w:rsidRPr="00D63217">
        <w:t xml:space="preserve">Reeve, 1970; Anon., 1970 (a); Anon., 1971(a); Anon., 1974; </w:t>
      </w:r>
      <w:r w:rsidR="00FA0DFC" w:rsidRPr="00D63217">
        <w:t>Kennedy, 1984</w:t>
      </w:r>
      <w:r w:rsidR="009F6608" w:rsidRPr="00D63217">
        <w:t>(a)</w:t>
      </w:r>
      <w:r w:rsidR="00FA0DFC" w:rsidRPr="00D63217">
        <w:t xml:space="preserve">; </w:t>
      </w:r>
      <w:r w:rsidR="005229C6" w:rsidRPr="00D63217">
        <w:t xml:space="preserve">Anon. 1985; Roper, 1989(m); </w:t>
      </w:r>
      <w:r w:rsidR="00FA0DFC" w:rsidRPr="00D63217">
        <w:t>Earl and Anderson 1991)</w:t>
      </w:r>
      <w:r w:rsidRPr="00D63217">
        <w:t xml:space="preserve">. Scaled to application rate the </w:t>
      </w:r>
      <w:r w:rsidR="000A2CEE" w:rsidRPr="00D63217">
        <w:t>high residue (</w:t>
      </w:r>
      <w:r w:rsidRPr="00D63217">
        <w:t>HR</w:t>
      </w:r>
      <w:r w:rsidR="000A2CEE" w:rsidRPr="00D63217">
        <w:t>)</w:t>
      </w:r>
      <w:r w:rsidRPr="00D63217">
        <w:t xml:space="preserve"> for potatoes is 0.13 mg/kg (at a 14 day PHI).</w:t>
      </w:r>
    </w:p>
    <w:p w14:paraId="03AA487C" w14:textId="6BA3662C" w:rsidR="008F5D01" w:rsidRPr="00D63217" w:rsidRDefault="008677ED" w:rsidP="008F5D01">
      <w:pPr>
        <w:pStyle w:val="NormalText"/>
      </w:pPr>
      <w:r>
        <w:t>S</w:t>
      </w:r>
      <w:r w:rsidR="008F5D01" w:rsidRPr="00D63217">
        <w:t xml:space="preserve">ome Australian labels indicate that applications should be made 3 to 7 days before digging. There is sufficient data relevant to an application timing of 14 days before digging (10 results for application at 1.12 kg </w:t>
      </w:r>
      <w:r w:rsidR="00FC430E" w:rsidRPr="00D63217">
        <w:t>ac/ha</w:t>
      </w:r>
      <w:r w:rsidR="008F5D01" w:rsidRPr="00D63217">
        <w:t>, 14 day PHI), however, the scaled HR (0.13 mg/kg) would give an unacceptable acute dietary exposure for children (111% of A</w:t>
      </w:r>
      <w:r w:rsidR="00526F99">
        <w:t>R</w:t>
      </w:r>
      <w:r w:rsidR="008F5D01" w:rsidRPr="00D63217">
        <w:t xml:space="preserve">fD). </w:t>
      </w:r>
      <w:r w:rsidR="005A477F">
        <w:t>N</w:t>
      </w:r>
      <w:r w:rsidR="005A477F" w:rsidRPr="005A477F">
        <w:t xml:space="preserve">ew data for a 7 day PHI provided in response to the </w:t>
      </w:r>
      <w:r w:rsidR="005A477F">
        <w:t xml:space="preserve">initial </w:t>
      </w:r>
      <w:r w:rsidR="005A477F" w:rsidRPr="005A477F">
        <w:t xml:space="preserve">consultation </w:t>
      </w:r>
      <w:r w:rsidR="005A477F">
        <w:t xml:space="preserve">but </w:t>
      </w:r>
      <w:r w:rsidR="005A477F" w:rsidRPr="005A477F">
        <w:t xml:space="preserve">has a similar high residue (0.14 mg/kg scaled) as the previously submitted 14 day PHI data. </w:t>
      </w:r>
      <w:r w:rsidR="00940C9C">
        <w:t>T</w:t>
      </w:r>
      <w:r w:rsidR="005A477F" w:rsidRPr="005A477F">
        <w:t>he results of a market basket survey conducted in the USA in 2004/05</w:t>
      </w:r>
      <w:r w:rsidR="00940C9C">
        <w:t xml:space="preserve"> were also submitted</w:t>
      </w:r>
      <w:r w:rsidR="005A477F" w:rsidRPr="005A477F">
        <w:t>. While the residue detected in potatoes in this survey would give an acceptable acute dietary exposure estimate, it is not appropriate to use residue survey data to address acute dietary exposure concerns, noting also that the market basket survey was not conducted in Australia and is also approximately 20 years old.</w:t>
      </w:r>
      <w:r w:rsidR="005A477F">
        <w:t xml:space="preserve"> </w:t>
      </w:r>
      <w:r w:rsidR="008F5D01" w:rsidRPr="00D63217">
        <w:t>Application to potatoes 14 days (or less) before digging therefore cannot be supported due to acute consumer safety concerns.</w:t>
      </w:r>
    </w:p>
    <w:p w14:paraId="6C363D43" w14:textId="6AB4885A" w:rsidR="008F5D01" w:rsidRPr="00D63217" w:rsidRDefault="008F5D01" w:rsidP="008F5D01">
      <w:pPr>
        <w:pStyle w:val="NormalText"/>
      </w:pPr>
      <w:r w:rsidRPr="00D63217">
        <w:lastRenderedPageBreak/>
        <w:t>For the alternative pre-harvest potato Good Agricultural Practice (GAP) on some labels which allows application to potatoes at 4-5 weeks before digging, the current MRL of 0.2 mg/kg would remain appropriate based on available data that addressed a 27-31 day PHI. Based on the HR of 0.09 mg/kg at a 27</w:t>
      </w:r>
      <w:r w:rsidR="00687F21" w:rsidRPr="00D63217">
        <w:t>–</w:t>
      </w:r>
      <w:r w:rsidRPr="00D63217">
        <w:t>31 day PHI, the acute dietary exposure is estimated to be acceptable for potatoes (77% of the A</w:t>
      </w:r>
      <w:r w:rsidR="00526F99">
        <w:t>R</w:t>
      </w:r>
      <w:r w:rsidRPr="00D63217">
        <w:t>fD for children and 32% of A</w:t>
      </w:r>
      <w:r w:rsidR="00526F99">
        <w:t>R</w:t>
      </w:r>
      <w:r w:rsidRPr="00D63217">
        <w:t>fD for general population). This use on potatoes 4-5 weeks before digging remains appropriate in conjunction with a harvest withholding period of “Not required when used as directed”. The current MRL at 0.2 mg/kg for potatoes remains appropriate.</w:t>
      </w:r>
    </w:p>
    <w:p w14:paraId="5DB5E5A1" w14:textId="77777777" w:rsidR="008F5D01" w:rsidRPr="00D63217" w:rsidRDefault="008F5D01" w:rsidP="008F5D01">
      <w:pPr>
        <w:pStyle w:val="NormalText"/>
      </w:pPr>
      <w:r w:rsidRPr="00D63217">
        <w:t>Labels that currently have the ‘3 to 7 days before digging and after tops have died down’ instruction must be changed to state that application must occur ‘4-5 weeks before digging’.</w:t>
      </w:r>
    </w:p>
    <w:p w14:paraId="2D9186AC" w14:textId="6694465F" w:rsidR="008F5D01" w:rsidRPr="00D63217" w:rsidRDefault="008F5D01" w:rsidP="008F5D01">
      <w:pPr>
        <w:pStyle w:val="NormalText"/>
      </w:pPr>
      <w:r w:rsidRPr="00D63217">
        <w:t xml:space="preserve">Relevant to the pre-emergence and directed spray uses on potatoes and other root and tuber vegetables, overseas residue data from the UK, Canada, the USA, Germany, South Africa, Japan and France on potatoes, beetroot, carrots, parsnip, swedes, turnip and black salsify addressed rates ranging from 0.28 to 2.24 kg </w:t>
      </w:r>
      <w:r w:rsidR="00FC430E" w:rsidRPr="00D63217">
        <w:t>ac/ha</w:t>
      </w:r>
      <w:r w:rsidRPr="00D63217">
        <w:t xml:space="preserve">. Pre-emergent and post-emergent directed applications of paraquat to potatoes, beetroot, carrot, parsnip, turnip and black salsify resulted in residues in the roots and tubers at &lt;LOQ (0.01 – 0.05 mg/kg) when scaled to the Australian rate (0.6 kg </w:t>
      </w:r>
      <w:r w:rsidR="00FC430E" w:rsidRPr="00D63217">
        <w:t>ac/ha</w:t>
      </w:r>
      <w:r w:rsidRPr="00D63217">
        <w:t xml:space="preserve">) </w:t>
      </w:r>
      <w:r w:rsidR="00FA0DFC" w:rsidRPr="00D63217">
        <w:t>(Calderbank and McKenna, 1964; Edwards, 1974; Anon., n.d.(i) Kennedy, 1984</w:t>
      </w:r>
      <w:r w:rsidR="009F6608" w:rsidRPr="00D63217">
        <w:t>(b)</w:t>
      </w:r>
      <w:r w:rsidR="00FA0DFC" w:rsidRPr="00D63217">
        <w:t>; Earl and Anderson 1991; Anon., 1974; Reeve, 1970; Anon., 1970</w:t>
      </w:r>
      <w:r w:rsidR="004A2F4E" w:rsidRPr="00D63217">
        <w:t xml:space="preserve"> (a)</w:t>
      </w:r>
      <w:r w:rsidR="00FA0DFC" w:rsidRPr="00D63217">
        <w:t>; Anon., 1971(a); Anon. 1985; Roper, 1989(m</w:t>
      </w:r>
      <w:r w:rsidR="00F9767C" w:rsidRPr="00D63217">
        <w:t>, n</w:t>
      </w:r>
      <w:r w:rsidR="00FA0DFC" w:rsidRPr="00D63217">
        <w:t>)).</w:t>
      </w:r>
    </w:p>
    <w:p w14:paraId="6287F50D" w14:textId="4605D97D" w:rsidR="008F5D01" w:rsidRPr="00D63217" w:rsidRDefault="008F5D01" w:rsidP="008F5D01">
      <w:pPr>
        <w:pStyle w:val="NormalText"/>
      </w:pPr>
      <w:r w:rsidRPr="00D63217">
        <w:t>The available paraquat residues data for root and tuber vegetables supports continued use as a pre-emergence and directed spray in all root and tuber vegetables and as a pre-harvest application to potatoes 4</w:t>
      </w:r>
      <w:r w:rsidR="003F36F0" w:rsidRPr="00D63217">
        <w:t>–</w:t>
      </w:r>
      <w:r w:rsidRPr="00D63217">
        <w:t>5 weeks before digging. The recommended entries into the MRL Standard for root and tuber vegetables is as follows noting that the majority of trials addressed the LOQ of 0.01 mg/kg:</w:t>
      </w:r>
    </w:p>
    <w:p w14:paraId="2AF1CD66" w14:textId="68BA9FD3" w:rsidR="008F5D01" w:rsidRPr="00D63217" w:rsidRDefault="008F5D01" w:rsidP="008F5D01">
      <w:pPr>
        <w:pStyle w:val="NormalText"/>
      </w:pPr>
      <w:r w:rsidRPr="00D63217">
        <w:tab/>
        <w:t>VR 0589 Potato</w:t>
      </w:r>
      <w:r w:rsidRPr="00D63217">
        <w:tab/>
      </w:r>
      <w:r w:rsidRPr="00D63217">
        <w:tab/>
      </w:r>
      <w:r w:rsidRPr="00D63217">
        <w:tab/>
      </w:r>
      <w:r w:rsidRPr="00D63217">
        <w:tab/>
      </w:r>
      <w:r w:rsidRPr="00D63217">
        <w:tab/>
      </w:r>
      <w:r w:rsidRPr="00D63217">
        <w:tab/>
      </w:r>
      <w:r w:rsidR="006B433C" w:rsidRPr="00D63217">
        <w:tab/>
      </w:r>
      <w:r w:rsidR="005A60F7" w:rsidRPr="00D63217">
        <w:tab/>
      </w:r>
      <w:r w:rsidRPr="00D63217">
        <w:t>0.2 mg/kg</w:t>
      </w:r>
    </w:p>
    <w:p w14:paraId="19618412" w14:textId="0808D093" w:rsidR="008F5D01" w:rsidRPr="00D63217" w:rsidRDefault="008F5D01" w:rsidP="008F5D01">
      <w:pPr>
        <w:pStyle w:val="NormalText"/>
      </w:pPr>
      <w:r w:rsidRPr="00D63217">
        <w:tab/>
        <w:t>VR 0075 Root and tuber vegetables {except Potatoes}</w:t>
      </w:r>
      <w:r w:rsidRPr="00D63217">
        <w:tab/>
      </w:r>
      <w:r w:rsidR="005A60F7" w:rsidRPr="00D63217">
        <w:tab/>
      </w:r>
      <w:r w:rsidRPr="00D63217">
        <w:t>*0.01 mg/kg</w:t>
      </w:r>
    </w:p>
    <w:p w14:paraId="20F37B72" w14:textId="69757D0E" w:rsidR="008F5D01" w:rsidRPr="00D63217" w:rsidRDefault="008F5D01" w:rsidP="008F5D01">
      <w:pPr>
        <w:pStyle w:val="NormalText"/>
      </w:pPr>
      <w:r w:rsidRPr="00D63217">
        <w:t>For the pre-emergence and directed spray use in root and tuber vegetables, a harvest withholding period statement of ‘Not Required when used as directed’ is supported as the use is pre-emergent or targets inter-row weeds and not the crop. The ‘Not Required when used as directed’ withholding period statement is also considered appropriate for the pre-harvest spray given that the pre-harvest application should be made 4</w:t>
      </w:r>
      <w:r w:rsidR="003F36F0" w:rsidRPr="00D63217">
        <w:t>–</w:t>
      </w:r>
      <w:r w:rsidRPr="00D63217">
        <w:t>5 weeks before digging.</w:t>
      </w:r>
    </w:p>
    <w:p w14:paraId="36D457C3" w14:textId="77777777" w:rsidR="008F5D01" w:rsidRPr="003D7941" w:rsidRDefault="008F5D01" w:rsidP="003D7941">
      <w:pPr>
        <w:pStyle w:val="Heading3"/>
      </w:pPr>
      <w:bookmarkStart w:id="260" w:name="_Toc231480862"/>
      <w:bookmarkStart w:id="261" w:name="_Toc233036414"/>
      <w:r w:rsidRPr="003D7941">
        <w:t>Leafy vegetables</w:t>
      </w:r>
      <w:bookmarkEnd w:id="260"/>
      <w:bookmarkEnd w:id="261"/>
    </w:p>
    <w:p w14:paraId="17E66C64" w14:textId="46C5FDB6" w:rsidR="008F5D01" w:rsidRPr="00D63217"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Germany, the UK and the USA on lettuce treated at rates ranging from 0.5 to 0.97 kg </w:t>
      </w:r>
      <w:r w:rsidR="00FC430E" w:rsidRPr="00D63217">
        <w:t>ac/ha</w:t>
      </w:r>
      <w:r w:rsidRPr="00D63217">
        <w:t xml:space="preserve"> found no paraquat residues above the LOQ (0.01 or 0.02 mg/kg). Trials on lettuce, turnip tops and kale at rates in excess of 1 kg </w:t>
      </w:r>
      <w:r w:rsidR="00FC430E" w:rsidRPr="00D63217">
        <w:t>ac/ha</w:t>
      </w:r>
      <w:r w:rsidRPr="00D63217">
        <w:t xml:space="preserve"> did detect residues at time of harvest but these generally were less than 0.01 mg/kg when scaled for the proposed rate or were from samples collected at very short PHI’s</w:t>
      </w:r>
      <w:r w:rsidR="00F9767C" w:rsidRPr="00D63217">
        <w:t xml:space="preserve"> (Anon., n.d; Kennedy, 1984</w:t>
      </w:r>
      <w:r w:rsidR="003E061B" w:rsidRPr="00D63217">
        <w:t>(a)</w:t>
      </w:r>
      <w:r w:rsidR="00F9767C" w:rsidRPr="00D63217">
        <w:t>; Roper, 1989(o); Swaine, 1983</w:t>
      </w:r>
      <w:r w:rsidR="009A484C" w:rsidRPr="00D63217">
        <w:t>(b)</w:t>
      </w:r>
      <w:r w:rsidR="00F9767C" w:rsidRPr="00D63217">
        <w:t>; Massey, 1987(c,d)).</w:t>
      </w:r>
    </w:p>
    <w:p w14:paraId="05AFF174" w14:textId="58463EE9" w:rsidR="008F5D01" w:rsidRPr="00D63217" w:rsidRDefault="008F5D01" w:rsidP="008F5D01">
      <w:pPr>
        <w:pStyle w:val="NormalText"/>
      </w:pPr>
      <w:r w:rsidRPr="00D63217">
        <w:lastRenderedPageBreak/>
        <w:t xml:space="preserve">Although data was available only for lettuce </w:t>
      </w:r>
      <w:r w:rsidR="000A2CEE" w:rsidRPr="00D63217">
        <w:t xml:space="preserve">for </w:t>
      </w:r>
      <w:r w:rsidRPr="00D63217">
        <w:t xml:space="preserve">Australian GAP, use in the leafy vegetable crop group can be supported based upon the pattern of </w:t>
      </w:r>
      <w:r w:rsidR="00580DF4" w:rsidRPr="00D63217">
        <w:t>non-detects</w:t>
      </w:r>
      <w:r w:rsidRPr="00D63217">
        <w:t xml:space="preserve"> in a large variety of vegetable produce with directed inter row application of paraquat. The recommended entry into the MRL Standard for leafy vegetables is:</w:t>
      </w:r>
    </w:p>
    <w:p w14:paraId="14F6F375" w14:textId="46E76B43" w:rsidR="008F5D01" w:rsidRPr="00D63217" w:rsidRDefault="008F5D01" w:rsidP="008F5D01">
      <w:pPr>
        <w:pStyle w:val="NormalText"/>
      </w:pPr>
      <w:r w:rsidRPr="00D63217">
        <w:tab/>
        <w:t>VA 0035 Leafy vegetables</w:t>
      </w:r>
      <w:r w:rsidRPr="00D63217">
        <w:tab/>
      </w:r>
      <w:r w:rsidRPr="00D63217">
        <w:tab/>
      </w:r>
      <w:r w:rsidR="005A60F7" w:rsidRPr="00D63217">
        <w:tab/>
      </w:r>
      <w:r w:rsidR="005A60F7" w:rsidRPr="00D63217">
        <w:tab/>
      </w:r>
      <w:r w:rsidR="005A60F7" w:rsidRPr="00D63217">
        <w:tab/>
      </w:r>
      <w:r w:rsidR="005A60F7" w:rsidRPr="00D63217">
        <w:tab/>
      </w:r>
      <w:r w:rsidR="005A60F7" w:rsidRPr="00D63217">
        <w:tab/>
      </w:r>
      <w:r w:rsidRPr="00D63217">
        <w:t>*0.02 mg/kg</w:t>
      </w:r>
    </w:p>
    <w:p w14:paraId="05ABEF53"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leafy vegetables.</w:t>
      </w:r>
    </w:p>
    <w:p w14:paraId="14AE2A2B" w14:textId="77777777" w:rsidR="008F5D01" w:rsidRPr="00D63217" w:rsidRDefault="008F5D01" w:rsidP="00B65433">
      <w:pPr>
        <w:pStyle w:val="Heading3"/>
      </w:pPr>
      <w:bookmarkStart w:id="262" w:name="_Toc231480863"/>
      <w:bookmarkStart w:id="263" w:name="_Toc233036415"/>
      <w:r w:rsidRPr="00D63217">
        <w:t>Brassica vegetables</w:t>
      </w:r>
      <w:bookmarkEnd w:id="262"/>
      <w:bookmarkEnd w:id="263"/>
    </w:p>
    <w:p w14:paraId="09A7EA56" w14:textId="574BBB3F" w:rsidR="008F5D01" w:rsidRPr="00D63217"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Japan, Canada and the Netherlands on cabbage, broccoli and cauliflower treated at rates ranging from 0.96 to 2.24 kg </w:t>
      </w:r>
      <w:r w:rsidR="00FC430E" w:rsidRPr="00D63217">
        <w:t>ac/ha</w:t>
      </w:r>
      <w:r w:rsidRPr="00D63217">
        <w:t xml:space="preserve"> all found no paraquat residues above the LOQ (0.01 or 0.03 mg/kg) with exception of a cabbage trial conducted at 2.24 mg/kg which found a residue of 0.09 mg/kg which would be below the LOQ of 0.03 mg/kg when corrected to the Australian rate (0.6 kg </w:t>
      </w:r>
      <w:r w:rsidR="00FC430E" w:rsidRPr="00D63217">
        <w:t>ac/ha</w:t>
      </w:r>
      <w:r w:rsidRPr="00D63217">
        <w:t>)</w:t>
      </w:r>
      <w:r w:rsidR="006A1C5F" w:rsidRPr="00D63217">
        <w:t>(Edwards, 1974; Anon., n.d.(b))</w:t>
      </w:r>
      <w:r w:rsidRPr="00D63217">
        <w:t>.</w:t>
      </w:r>
    </w:p>
    <w:p w14:paraId="65197C71" w14:textId="77777777" w:rsidR="008F5D01" w:rsidRPr="00D63217" w:rsidRDefault="008F5D01" w:rsidP="008F5D01">
      <w:pPr>
        <w:pStyle w:val="NormalText"/>
      </w:pPr>
      <w:r w:rsidRPr="00D63217">
        <w:t>The available paraquat residues data supports continued use in brassica vegetables. The recommended entry into the MRL Standard for brassica vegetables is:</w:t>
      </w:r>
    </w:p>
    <w:p w14:paraId="183EA97C" w14:textId="692AB9FF" w:rsidR="008F5D01" w:rsidRPr="00D63217" w:rsidRDefault="008F5D01" w:rsidP="008F5D01">
      <w:pPr>
        <w:pStyle w:val="NormalText"/>
      </w:pPr>
      <w:r w:rsidRPr="00D63217">
        <w:tab/>
        <w:t>VB 0040 Brassica vegetables</w:t>
      </w:r>
      <w:r w:rsidRPr="00D63217">
        <w:tab/>
      </w:r>
      <w:r w:rsidRPr="00D63217">
        <w:tab/>
      </w:r>
      <w:r w:rsidR="005A60F7" w:rsidRPr="00D63217">
        <w:tab/>
      </w:r>
      <w:r w:rsidR="005A60F7" w:rsidRPr="00D63217">
        <w:tab/>
      </w:r>
      <w:r w:rsidR="005A60F7" w:rsidRPr="00D63217">
        <w:tab/>
      </w:r>
      <w:r w:rsidR="005A60F7" w:rsidRPr="00D63217">
        <w:tab/>
      </w:r>
      <w:r w:rsidRPr="00D63217">
        <w:t>*0.03 mg/kg</w:t>
      </w:r>
    </w:p>
    <w:p w14:paraId="7C624824"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brassica vegetables.</w:t>
      </w:r>
    </w:p>
    <w:p w14:paraId="50348DE0" w14:textId="77777777" w:rsidR="008F5D01" w:rsidRPr="00D63217" w:rsidRDefault="008F5D01" w:rsidP="00B65433">
      <w:pPr>
        <w:pStyle w:val="Heading3"/>
      </w:pPr>
      <w:bookmarkStart w:id="264" w:name="_Toc231480864"/>
      <w:bookmarkStart w:id="265" w:name="_Toc233036416"/>
      <w:r w:rsidRPr="00D63217">
        <w:t>Stalk and stem vegetables</w:t>
      </w:r>
      <w:bookmarkEnd w:id="264"/>
      <w:bookmarkEnd w:id="265"/>
    </w:p>
    <w:p w14:paraId="0006E6DF" w14:textId="6F395E0D" w:rsidR="00B65433" w:rsidRPr="00D63217"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Canada on asparagus and celery treated at rates of 1.12 or 2.24 kg </w:t>
      </w:r>
      <w:r w:rsidR="00FC430E" w:rsidRPr="00D63217">
        <w:t>ac/ha</w:t>
      </w:r>
      <w:r w:rsidRPr="00D63217">
        <w:t xml:space="preserve"> found residues to be less than the LOQ of 0.05 mg/kg in most trials</w:t>
      </w:r>
      <w:r w:rsidR="003C155C" w:rsidRPr="00D63217">
        <w:t xml:space="preserve"> (Calderbank and McKenna, 1964; Anon., n.d.(b))</w:t>
      </w:r>
      <w:r w:rsidRPr="00D63217">
        <w:t xml:space="preserve">. When scaled for the Australian rate (0.6 kg </w:t>
      </w:r>
      <w:r w:rsidR="00FC430E" w:rsidRPr="00D63217">
        <w:t>ac/ha</w:t>
      </w:r>
      <w:r w:rsidRPr="00D63217">
        <w:t>) the high residue of 0.07 mg/kg is below the LOQ.</w:t>
      </w:r>
    </w:p>
    <w:p w14:paraId="2854B14E" w14:textId="6B8247BC" w:rsidR="008F5D01" w:rsidRPr="00D63217" w:rsidRDefault="008F5D01" w:rsidP="008F5D01">
      <w:pPr>
        <w:pStyle w:val="NormalText"/>
      </w:pPr>
      <w:r w:rsidRPr="00D63217">
        <w:t>The available paraquat residues data supports continued use in stalk and stem vegetables. The recommended entry into the MRL Standard for stalk and stem vegetables is:</w:t>
      </w:r>
    </w:p>
    <w:p w14:paraId="551088C3" w14:textId="7165F209" w:rsidR="008F5D01" w:rsidRPr="00D63217" w:rsidRDefault="008F5D01" w:rsidP="008F5D01">
      <w:pPr>
        <w:pStyle w:val="NormalText"/>
      </w:pPr>
      <w:r w:rsidRPr="00D63217">
        <w:tab/>
        <w:t>VS 0078 Stalk and stem vegetables</w:t>
      </w:r>
      <w:r w:rsidRPr="00D63217">
        <w:tab/>
      </w:r>
      <w:r w:rsidRPr="00D63217">
        <w:tab/>
      </w:r>
      <w:r w:rsidR="005A60F7" w:rsidRPr="00D63217">
        <w:tab/>
      </w:r>
      <w:r w:rsidR="005A60F7" w:rsidRPr="00D63217">
        <w:tab/>
      </w:r>
      <w:r w:rsidR="005A60F7" w:rsidRPr="00D63217">
        <w:tab/>
      </w:r>
      <w:r w:rsidRPr="00D63217">
        <w:t>*0.05 mg/kg</w:t>
      </w:r>
    </w:p>
    <w:p w14:paraId="327D88D8"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stalk and stem vegetables.</w:t>
      </w:r>
    </w:p>
    <w:p w14:paraId="2057CBE6" w14:textId="77777777" w:rsidR="008F5D01" w:rsidRPr="00D63217" w:rsidRDefault="008F5D01" w:rsidP="00B65433">
      <w:pPr>
        <w:pStyle w:val="Heading3"/>
      </w:pPr>
      <w:bookmarkStart w:id="266" w:name="_Toc231480865"/>
      <w:bookmarkStart w:id="267" w:name="_Toc233036417"/>
      <w:r w:rsidRPr="00D63217">
        <w:t>Fruiting vegetables, cucurbits</w:t>
      </w:r>
      <w:bookmarkEnd w:id="266"/>
      <w:bookmarkEnd w:id="267"/>
    </w:p>
    <w:p w14:paraId="20391C65" w14:textId="383D704F" w:rsidR="008F5D01" w:rsidRPr="00D63217"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the USA on cucumber, summer squash (zucchini), and melons (including watermelon) treated one to </w:t>
      </w:r>
      <w:r w:rsidR="004128B4" w:rsidRPr="00D63217">
        <w:t>4</w:t>
      </w:r>
      <w:r w:rsidRPr="00D63217">
        <w:t xml:space="preserve"> times at rates ranging </w:t>
      </w:r>
      <w:r w:rsidR="00B65433" w:rsidRPr="00D63217">
        <w:t>f</w:t>
      </w:r>
      <w:r w:rsidRPr="00D63217">
        <w:t xml:space="preserve">rom 0.56 to 1.12 kg </w:t>
      </w:r>
      <w:r w:rsidR="00FC430E" w:rsidRPr="00D63217">
        <w:t>ac/ha</w:t>
      </w:r>
      <w:r w:rsidRPr="00D63217">
        <w:t xml:space="preserve"> found no paraquat residues above the LOQ (0.01 to 0.03 mg/kg)</w:t>
      </w:r>
      <w:r w:rsidR="003C155C" w:rsidRPr="00D63217">
        <w:t>(Roper, 1989(p), Reeve, 1970)</w:t>
      </w:r>
      <w:r w:rsidRPr="00D63217">
        <w:t>.</w:t>
      </w:r>
    </w:p>
    <w:p w14:paraId="73739AE4" w14:textId="77777777" w:rsidR="008F5D01" w:rsidRPr="00D63217" w:rsidRDefault="008F5D01" w:rsidP="008F5D01">
      <w:pPr>
        <w:pStyle w:val="NormalText"/>
      </w:pPr>
      <w:r w:rsidRPr="00D63217">
        <w:lastRenderedPageBreak/>
        <w:t>The available paraquat residues data supports continued use in cucurbits. The recommended entry into the MRL Standard for fruiting vegetables, cucurbits is:</w:t>
      </w:r>
    </w:p>
    <w:p w14:paraId="5CAA3473" w14:textId="64FE315A" w:rsidR="008F5D01" w:rsidRPr="00D63217" w:rsidRDefault="008F5D01" w:rsidP="008F5D01">
      <w:pPr>
        <w:pStyle w:val="NormalText"/>
      </w:pPr>
      <w:r w:rsidRPr="00D63217">
        <w:tab/>
        <w:t>VC 0045 Fruiting vegetables, cucurbits</w:t>
      </w:r>
      <w:r w:rsidRPr="00D63217">
        <w:tab/>
      </w:r>
      <w:r w:rsidRPr="00D63217">
        <w:tab/>
      </w:r>
      <w:r w:rsidR="005A60F7" w:rsidRPr="00D63217">
        <w:tab/>
      </w:r>
      <w:r w:rsidR="005A60F7" w:rsidRPr="00D63217">
        <w:tab/>
      </w:r>
      <w:r w:rsidR="005A60F7" w:rsidRPr="00D63217">
        <w:tab/>
      </w:r>
      <w:r w:rsidRPr="00D63217">
        <w:t>*0.03 mg/kg</w:t>
      </w:r>
    </w:p>
    <w:p w14:paraId="247E79D2"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cucurbit vegetables.</w:t>
      </w:r>
    </w:p>
    <w:p w14:paraId="12A37299" w14:textId="77777777" w:rsidR="008F5D01" w:rsidRPr="00D63217" w:rsidRDefault="008F5D01" w:rsidP="00B65433">
      <w:pPr>
        <w:pStyle w:val="Heading3"/>
      </w:pPr>
      <w:bookmarkStart w:id="268" w:name="_Toc231480866"/>
      <w:bookmarkStart w:id="269" w:name="_Toc233036418"/>
      <w:r w:rsidRPr="00D63217">
        <w:t>Fruiting vegetables, other than cucurbits</w:t>
      </w:r>
      <w:bookmarkEnd w:id="268"/>
      <w:bookmarkEnd w:id="269"/>
    </w:p>
    <w:p w14:paraId="5FC749C0" w14:textId="569CD728" w:rsidR="008F5D01" w:rsidRPr="00D63217"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Canada and the USA at 0.11 to 0.22 kg </w:t>
      </w:r>
      <w:r w:rsidR="00FC430E" w:rsidRPr="00D63217">
        <w:t>ac/ha</w:t>
      </w:r>
      <w:r w:rsidRPr="00D63217">
        <w:t xml:space="preserve"> in one tomato trial or rates ranging from 1.12 to 11.2 kg </w:t>
      </w:r>
      <w:r w:rsidR="00FC430E" w:rsidRPr="00D63217">
        <w:t>ac/ha</w:t>
      </w:r>
      <w:r w:rsidRPr="00D63217">
        <w:t xml:space="preserve"> on tomatoes and peppers treated found no paraquat residues above the LOQ (0.005 mg/kg or 0.01 mg/kg)</w:t>
      </w:r>
      <w:r w:rsidR="006B433C" w:rsidRPr="00D63217">
        <w:t xml:space="preserve"> </w:t>
      </w:r>
      <w:r w:rsidR="003C155C" w:rsidRPr="00D63217">
        <w:t>(Calderbank and McKenna, 1964; Edwards, 1974; Roper 1989(q,r)</w:t>
      </w:r>
      <w:r w:rsidRPr="00D63217">
        <w:t>.</w:t>
      </w:r>
    </w:p>
    <w:p w14:paraId="7341FAA0" w14:textId="77777777" w:rsidR="008F5D01" w:rsidRPr="00D63217" w:rsidRDefault="008F5D01" w:rsidP="008F5D01">
      <w:pPr>
        <w:pStyle w:val="NormalText"/>
      </w:pPr>
      <w:r w:rsidRPr="00D63217">
        <w:t>The available paraquat residues data support continued use in fruiting vegetables. The recommended entry into the MRL Standard for fruiting vegetables, other than cucurbits is:</w:t>
      </w:r>
    </w:p>
    <w:p w14:paraId="2FA47D05" w14:textId="18A2309A" w:rsidR="008F5D01" w:rsidRPr="00D63217" w:rsidRDefault="008F5D01" w:rsidP="008F5D01">
      <w:pPr>
        <w:pStyle w:val="NormalText"/>
      </w:pPr>
      <w:r w:rsidRPr="00D63217">
        <w:tab/>
        <w:t>VO 0050 Fruiting vegetables, other than cucurbits</w:t>
      </w:r>
      <w:r w:rsidRPr="00D63217">
        <w:tab/>
      </w:r>
      <w:r w:rsidR="005A60F7" w:rsidRPr="00D63217">
        <w:tab/>
      </w:r>
      <w:r w:rsidRPr="00D63217">
        <w:tab/>
        <w:t>*0.01 mg/kg</w:t>
      </w:r>
    </w:p>
    <w:p w14:paraId="101ECE7D"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fruiting vegetables.</w:t>
      </w:r>
    </w:p>
    <w:p w14:paraId="13297026" w14:textId="2EB93985" w:rsidR="008F5D01" w:rsidRPr="00D63217" w:rsidRDefault="008F5D01" w:rsidP="0042363B">
      <w:pPr>
        <w:pStyle w:val="Heading3"/>
      </w:pPr>
      <w:bookmarkStart w:id="270" w:name="_Toc231480867"/>
      <w:bookmarkStart w:id="271" w:name="_Toc233036419"/>
      <w:r w:rsidRPr="00D63217">
        <w:t>Legume vegetables</w:t>
      </w:r>
      <w:bookmarkEnd w:id="270"/>
      <w:bookmarkEnd w:id="271"/>
    </w:p>
    <w:p w14:paraId="5F399A1C" w14:textId="06DA067F" w:rsidR="008F5D01" w:rsidRPr="00D63217" w:rsidRDefault="008F5D01" w:rsidP="008F5D01">
      <w:pPr>
        <w:pStyle w:val="NormalText"/>
      </w:pPr>
      <w:r w:rsidRPr="00D63217">
        <w:t xml:space="preserve">The maximum Australian label rate for vegetables is up to 0.6 kg </w:t>
      </w:r>
      <w:r w:rsidR="00FC430E" w:rsidRPr="00D63217">
        <w:t>ac/ha</w:t>
      </w:r>
      <w:r w:rsidRPr="00D63217">
        <w:t xml:space="preserve">. Overseas residue data from Canada, Guatemala and the UK on a variety of beans and peas treated at post-emergence application rate from 0.14 to 2.24 kg </w:t>
      </w:r>
      <w:r w:rsidR="00FC430E" w:rsidRPr="00D63217">
        <w:t>ac/ha</w:t>
      </w:r>
      <w:r w:rsidRPr="00D63217">
        <w:t xml:space="preserve"> found no paraquat residues above the LOQ (0.01 to 0.05 mg/kg)</w:t>
      </w:r>
      <w:r w:rsidR="006B433C" w:rsidRPr="00D63217">
        <w:t xml:space="preserve"> </w:t>
      </w:r>
      <w:r w:rsidR="00216F0E" w:rsidRPr="00D63217">
        <w:t>(Calderbank and McKenna, 1964; Edwards, 1974; Anon., n.d.(b); Kennedy, 1984; Anon. 1985; Anon. n.d.(</w:t>
      </w:r>
      <w:r w:rsidR="006F0D47" w:rsidRPr="00D63217">
        <w:t>b</w:t>
      </w:r>
      <w:r w:rsidR="00216F0E" w:rsidRPr="00D63217">
        <w:t>))</w:t>
      </w:r>
      <w:r w:rsidRPr="00D63217">
        <w:t>.</w:t>
      </w:r>
    </w:p>
    <w:p w14:paraId="2D287A44" w14:textId="77777777" w:rsidR="008F5D01" w:rsidRPr="00D63217" w:rsidRDefault="008F5D01" w:rsidP="008F5D01">
      <w:pPr>
        <w:pStyle w:val="NormalText"/>
      </w:pPr>
      <w:r w:rsidRPr="00D63217">
        <w:t>The available paraquat residues data support continued use in legume vegetables. The recommended entry into the MRL Standard for legume vegetables is:</w:t>
      </w:r>
    </w:p>
    <w:p w14:paraId="392405B2" w14:textId="05268C9F" w:rsidR="008F5D01" w:rsidRPr="00D63217" w:rsidRDefault="008F5D01" w:rsidP="008F5D01">
      <w:pPr>
        <w:pStyle w:val="NormalText"/>
      </w:pPr>
      <w:r w:rsidRPr="00D63217">
        <w:tab/>
        <w:t>VP 0060 Legume vegetables</w:t>
      </w:r>
      <w:r w:rsidRPr="00D63217">
        <w:tab/>
      </w:r>
      <w:r w:rsidRPr="00D63217">
        <w:tab/>
      </w:r>
      <w:r w:rsidR="005A60F7" w:rsidRPr="00D63217">
        <w:tab/>
      </w:r>
      <w:r w:rsidR="005A60F7" w:rsidRPr="00D63217">
        <w:tab/>
      </w:r>
      <w:r w:rsidR="005A60F7" w:rsidRPr="00D63217">
        <w:tab/>
      </w:r>
      <w:r w:rsidR="005A60F7" w:rsidRPr="00D63217">
        <w:tab/>
      </w:r>
      <w:r w:rsidRPr="00D63217">
        <w:t>*0.05 mg/kg</w:t>
      </w:r>
    </w:p>
    <w:p w14:paraId="078C53B3"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legume vegetables.</w:t>
      </w:r>
    </w:p>
    <w:p w14:paraId="6095AA7F" w14:textId="77777777" w:rsidR="008F5D01" w:rsidRPr="00D901C7" w:rsidRDefault="008F5D01" w:rsidP="00D901C7">
      <w:pPr>
        <w:pStyle w:val="Heading2"/>
      </w:pPr>
      <w:bookmarkStart w:id="272" w:name="_Toc231480868"/>
      <w:bookmarkStart w:id="273" w:name="_Toc233036420"/>
      <w:r w:rsidRPr="00D901C7">
        <w:t>Pulses</w:t>
      </w:r>
      <w:bookmarkEnd w:id="272"/>
      <w:bookmarkEnd w:id="273"/>
    </w:p>
    <w:p w14:paraId="2C9EB0EC" w14:textId="34BFFD87" w:rsidR="008F5D01" w:rsidRPr="00D63217" w:rsidRDefault="008F5D01" w:rsidP="008F5D01">
      <w:pPr>
        <w:pStyle w:val="NormalText"/>
      </w:pPr>
      <w:r w:rsidRPr="00D63217">
        <w:t xml:space="preserve">Paraquat has registered uses in pulses (under the vegetables label claim or cultivation aid label claim on paraquat and diquat combination products) as a pre-emergence herbicide (0.4-0.6 kg </w:t>
      </w:r>
      <w:r w:rsidR="00FC430E" w:rsidRPr="00D63217">
        <w:t>ac/ha</w:t>
      </w:r>
      <w:r w:rsidRPr="00D63217">
        <w:t xml:space="preserve">) or spray topping treatment to reduce seed set of ryegrass weeds (0.2 kg </w:t>
      </w:r>
      <w:r w:rsidR="00FC430E" w:rsidRPr="00D63217">
        <w:t>ac/ha</w:t>
      </w:r>
      <w:r w:rsidRPr="00D63217">
        <w:t xml:space="preserve">) in </w:t>
      </w:r>
      <w:r w:rsidR="00580DF4" w:rsidRPr="00D63217">
        <w:t>chickpeas</w:t>
      </w:r>
      <w:r w:rsidRPr="00D63217">
        <w:t>, faba beans, field peas and lupins with a WHP of 7 or 14 days.</w:t>
      </w:r>
    </w:p>
    <w:p w14:paraId="22D7D568" w14:textId="7DA536B8" w:rsidR="008F5D01" w:rsidRPr="00D63217" w:rsidRDefault="008F5D01" w:rsidP="008F5D01">
      <w:pPr>
        <w:pStyle w:val="NormalText"/>
      </w:pPr>
      <w:r w:rsidRPr="00D63217">
        <w:lastRenderedPageBreak/>
        <w:t xml:space="preserve">Australian trials which addressed the spray topping use were submitted on field peas, </w:t>
      </w:r>
      <w:r w:rsidR="00580DF4" w:rsidRPr="00D63217">
        <w:t>chickpeas</w:t>
      </w:r>
      <w:r w:rsidRPr="00D63217">
        <w:t xml:space="preserve"> and lupins at 0.2 and 0.4 kg </w:t>
      </w:r>
      <w:r w:rsidR="00FC430E" w:rsidRPr="00D63217">
        <w:t>ac/ha</w:t>
      </w:r>
      <w:r w:rsidRPr="00D63217">
        <w:t xml:space="preserve">. Trials on soybeans which addressed a pre-harvest desiccant treatment (which is not on Australian labels for soybeans) or a pre-emergent application at 1.12 kg </w:t>
      </w:r>
      <w:r w:rsidR="00FC430E" w:rsidRPr="00D63217">
        <w:t>ac/ha</w:t>
      </w:r>
      <w:r w:rsidR="00AE7BDF" w:rsidRPr="00D63217">
        <w:t xml:space="preserve"> (Roper, 1989(s)</w:t>
      </w:r>
      <w:r w:rsidRPr="00D63217">
        <w:t>. The current MRL for pulses is 1 mg/kg for</w:t>
      </w:r>
      <w:r w:rsidR="0042363B" w:rsidRPr="00D63217">
        <w:t xml:space="preserve"> </w:t>
      </w:r>
      <w:r w:rsidRPr="00D63217">
        <w:t>the whole group.</w:t>
      </w:r>
    </w:p>
    <w:p w14:paraId="506EF213" w14:textId="77777777" w:rsidR="00D901C7" w:rsidRDefault="008F5D01" w:rsidP="008F5D01">
      <w:pPr>
        <w:pStyle w:val="NormalText"/>
      </w:pPr>
      <w:r w:rsidRPr="00D63217">
        <w:t xml:space="preserve">Soybean trials with pre-emergence applications at 1.12 kg </w:t>
      </w:r>
      <w:r w:rsidR="00FC430E" w:rsidRPr="00D63217">
        <w:t>ac/ha</w:t>
      </w:r>
      <w:r w:rsidRPr="00D63217">
        <w:t xml:space="preserve"> did not detect any residues above the LOQ (0.05 mg/kg in the majority of trials)</w:t>
      </w:r>
      <w:r w:rsidR="00AE7BDF" w:rsidRPr="00D63217">
        <w:t>(</w:t>
      </w:r>
      <w:r w:rsidR="00216F0E" w:rsidRPr="00D63217">
        <w:t>Roper, 1989(</w:t>
      </w:r>
      <w:r w:rsidR="00AE7BDF" w:rsidRPr="00D63217">
        <w:t>t,u</w:t>
      </w:r>
      <w:r w:rsidR="00216F0E" w:rsidRPr="00D63217">
        <w:t>)</w:t>
      </w:r>
      <w:r w:rsidR="00AE7BDF" w:rsidRPr="00D63217">
        <w:t>;</w:t>
      </w:r>
      <w:r w:rsidR="00216F0E" w:rsidRPr="00D63217">
        <w:t xml:space="preserve"> Anon</w:t>
      </w:r>
      <w:r w:rsidR="00AE7BDF" w:rsidRPr="00D63217">
        <w:t>.,</w:t>
      </w:r>
      <w:r w:rsidR="00216F0E" w:rsidRPr="00D63217">
        <w:t xml:space="preserve"> 1972</w:t>
      </w:r>
      <w:r w:rsidR="000F3F0F" w:rsidRPr="00D63217">
        <w:t>(a)</w:t>
      </w:r>
      <w:r w:rsidR="00AE7BDF" w:rsidRPr="00D63217">
        <w:t>; Anon., 1978; Hayward and Robbins, 1981; Kennedy and Robbins, 198</w:t>
      </w:r>
      <w:r w:rsidR="0066413E" w:rsidRPr="00D63217">
        <w:t>2</w:t>
      </w:r>
      <w:r w:rsidR="00AE7BDF" w:rsidRPr="00D63217">
        <w:t>; Hayward and Robbins, 1981; Kennedy et al,198</w:t>
      </w:r>
      <w:r w:rsidR="0066413E" w:rsidRPr="00D63217">
        <w:t>3</w:t>
      </w:r>
      <w:r w:rsidR="00AE7BDF" w:rsidRPr="00D63217">
        <w:t>; Earl and Muir, 1988; Roper, 1993; Roper and Elvira, 1996</w:t>
      </w:r>
      <w:r w:rsidR="007F1120" w:rsidRPr="00D63217">
        <w:t>(a)</w:t>
      </w:r>
      <w:r w:rsidR="00AE7BDF" w:rsidRPr="00D63217">
        <w:t>).</w:t>
      </w:r>
    </w:p>
    <w:p w14:paraId="481DDE4D" w14:textId="742F2A19" w:rsidR="008F5D01" w:rsidRPr="00D63217" w:rsidRDefault="008F5D01" w:rsidP="008F5D01">
      <w:pPr>
        <w:pStyle w:val="NormalText"/>
      </w:pPr>
      <w:r w:rsidRPr="00D63217">
        <w:t>This data supports an MRL of *0.05 mg/kg for pulse crops which only have an approved pre-emergent use vegetables label claim or cultivation aid label claim on paraquat and diquat combination products.</w:t>
      </w:r>
    </w:p>
    <w:p w14:paraId="5FB186A1" w14:textId="0AB41FE6" w:rsidR="008F5D01" w:rsidRPr="00D63217" w:rsidRDefault="008F5D01" w:rsidP="008F5D01">
      <w:pPr>
        <w:pStyle w:val="NormalText"/>
      </w:pPr>
      <w:r w:rsidRPr="00D63217">
        <w:t xml:space="preserve">Australian trials with </w:t>
      </w:r>
      <w:r w:rsidR="00580DF4" w:rsidRPr="00D63217">
        <w:t>chickpeas</w:t>
      </w:r>
      <w:r w:rsidRPr="00D63217">
        <w:t xml:space="preserve">, field peas and lupins at 0.2 and 0.4 kg </w:t>
      </w:r>
      <w:r w:rsidR="00FC430E" w:rsidRPr="00D63217">
        <w:t>ac/ha</w:t>
      </w:r>
      <w:r w:rsidRPr="00D63217">
        <w:t xml:space="preserve"> found residues in seed were up to 0.41 mg/kg at the label rate and up to 0.54 mg/kg at double the maximum application rate following a 14 day PHI. Residues at 14-15 day PHI (or later if higher) following one application at 0.2 kg </w:t>
      </w:r>
      <w:r w:rsidR="00FC430E" w:rsidRPr="00D63217">
        <w:t>ac/ha</w:t>
      </w:r>
      <w:r w:rsidRPr="00D63217">
        <w:t xml:space="preserve"> were 0.05, 0.1, 0.31 and 0.41 mg/kg</w:t>
      </w:r>
      <w:r w:rsidR="00AE7BDF" w:rsidRPr="00D63217">
        <w:t xml:space="preserve"> (Roy, 1973; Marcus, </w:t>
      </w:r>
      <w:r w:rsidR="004A6294" w:rsidRPr="00D63217">
        <w:t>1</w:t>
      </w:r>
      <w:r w:rsidR="00AE7BDF" w:rsidRPr="00D63217">
        <w:t>993 (a,b,c) Brown, 1994 (a,b</w:t>
      </w:r>
      <w:r w:rsidR="00363750" w:rsidRPr="00D63217">
        <w:t>,c</w:t>
      </w:r>
      <w:r w:rsidR="00AE7BDF" w:rsidRPr="00D63217">
        <w:t>))</w:t>
      </w:r>
      <w:r w:rsidRPr="00D63217">
        <w:t>. The OECD MRL calculator estimates an MRL of 0.9 mg/kg based on this dataset (STMR 0.21 mg/kg). This data supports an MRL a 1 mg/kg for chickpeas, faba beans, field peas, lentils and lupins which have an approved spray topping use noting that data for chickpeas and field peas are relevant to other dried peas (i.e. lentils) while data for lupins are relevant to other dried beans (i.e. faba beans). The MRL for other pulses that only have a pre-emergent use will be *0.05 mg/kg for ‘Pulses {except Broad bean (dry); Chick-pea (dry); Field pea (dry); Lentil (dry); Lupin (dry)}.</w:t>
      </w:r>
    </w:p>
    <w:p w14:paraId="24A345C5" w14:textId="4B40ABA2" w:rsidR="008F5D01" w:rsidRPr="00D63217" w:rsidRDefault="008F5D01" w:rsidP="008F5D01">
      <w:pPr>
        <w:pStyle w:val="NormalText"/>
      </w:pPr>
      <w:r w:rsidRPr="00D63217">
        <w:t xml:space="preserve">The available paraquat residues data support continued use in pulses. This data supports a 14 day withholding period for the spray toping use at 0.2 kg </w:t>
      </w:r>
      <w:r w:rsidR="00FC430E" w:rsidRPr="00D63217">
        <w:t>ac/ha</w:t>
      </w:r>
      <w:r w:rsidRPr="00D63217">
        <w:t xml:space="preserve"> for chickpeas, faba beans, field peas, lentils and lupins. For labels with a 7 day withholding period for this use pattern, the withholding period should be changed to 14 days as there was insufficient residues data addressing a 7 day withholding period.</w:t>
      </w:r>
      <w:r w:rsidR="00096C89">
        <w:t xml:space="preserve"> </w:t>
      </w:r>
      <w:r w:rsidR="00096C89" w:rsidRPr="00096C89">
        <w:t xml:space="preserve">Responses were received to the initial consultation requesting that the 7 day harvest withholding period for the spray topping use should remain in place based on the data for pulses published by the National Residue Survey (NRS). One response indicated that across the 1,255 samples tested by the NRS (lentils, chickpeas, field peas and faba beans) nationally, over the reported 10-year period, one hundred percent were below the Australian 1 mg/kg. While the NRS data shows a high compliance with the pulse MRL, there is no information on how the crops were treated and </w:t>
      </w:r>
      <w:r w:rsidR="00883B13">
        <w:t>the time between treatment and harvest</w:t>
      </w:r>
      <w:r w:rsidR="00096C89" w:rsidRPr="00096C89">
        <w:t>. It is not considered good practice to set an MRL in conjunction with a withholding period based on survey data.</w:t>
      </w:r>
      <w:r w:rsidR="00096C89">
        <w:t xml:space="preserve"> The supported withholding period for the spray topping use on selected pulses remains 14 days. </w:t>
      </w:r>
      <w:r w:rsidRPr="00D63217">
        <w:t>For other pulses the supported withholding period is “Not required when used as directed” as the use would be pre-emergent or directed to inter row weeds.</w:t>
      </w:r>
    </w:p>
    <w:p w14:paraId="0B52E7C0" w14:textId="77777777" w:rsidR="008F5D01" w:rsidRPr="00D63217" w:rsidRDefault="008F5D01" w:rsidP="00061859">
      <w:pPr>
        <w:pStyle w:val="NormalText"/>
        <w:spacing w:after="0"/>
      </w:pPr>
      <w:r w:rsidRPr="00D63217">
        <w:t>The recommended entries into the MRL Standard for pulses are as follows noting that the most common LOQ in the available pulse trials was 0.05 mg/kg:</w:t>
      </w:r>
    </w:p>
    <w:p w14:paraId="366C5A42" w14:textId="2CF64585" w:rsidR="00061859" w:rsidRPr="00D63217" w:rsidRDefault="008F5D01" w:rsidP="00061859">
      <w:pPr>
        <w:pStyle w:val="NormalText"/>
        <w:spacing w:after="0"/>
        <w:ind w:firstLine="567"/>
      </w:pPr>
      <w:r w:rsidRPr="00D63217">
        <w:t xml:space="preserve">VD 0070 Pulses </w:t>
      </w:r>
      <w:r w:rsidR="00061859" w:rsidRPr="00D63217">
        <w:tab/>
      </w:r>
      <w:r w:rsidR="00061859" w:rsidRPr="00D63217">
        <w:tab/>
      </w:r>
      <w:r w:rsidR="00061859" w:rsidRPr="00D63217">
        <w:tab/>
      </w:r>
      <w:r w:rsidR="00061859" w:rsidRPr="00D63217">
        <w:tab/>
      </w:r>
      <w:r w:rsidR="00061859" w:rsidRPr="00D63217">
        <w:tab/>
      </w:r>
      <w:r w:rsidR="00061859" w:rsidRPr="00D63217">
        <w:tab/>
      </w:r>
      <w:r w:rsidR="00061859" w:rsidRPr="00D63217">
        <w:tab/>
      </w:r>
      <w:r w:rsidR="00061859" w:rsidRPr="00D63217">
        <w:tab/>
      </w:r>
      <w:r w:rsidR="00061859" w:rsidRPr="00D63217">
        <w:tab/>
        <w:t>*0.05 mg/kg</w:t>
      </w:r>
    </w:p>
    <w:p w14:paraId="6C797173" w14:textId="61907C62" w:rsidR="00061859" w:rsidRPr="00D63217" w:rsidRDefault="008F5D01" w:rsidP="00061859">
      <w:pPr>
        <w:pStyle w:val="NormalText"/>
        <w:spacing w:before="0"/>
        <w:ind w:firstLine="567"/>
      </w:pPr>
      <w:r w:rsidRPr="00D63217">
        <w:t>{except Broad bean (dry); Chick-pea (dry); Field pea (dry); Lentil (dry); Lupin (dry)}</w:t>
      </w:r>
    </w:p>
    <w:p w14:paraId="2FF7EB1D" w14:textId="46AED109" w:rsidR="008F5D01" w:rsidRPr="00D63217" w:rsidRDefault="008F5D01" w:rsidP="00061859">
      <w:pPr>
        <w:pStyle w:val="NormalText"/>
        <w:spacing w:before="0"/>
        <w:ind w:firstLine="567"/>
      </w:pPr>
      <w:r w:rsidRPr="00D63217">
        <w:t>VD 0523 Broad bean (dry) [faba bean (dry)]</w:t>
      </w:r>
      <w:r w:rsidRPr="00D63217">
        <w:tab/>
      </w:r>
      <w:r w:rsidRPr="00D63217">
        <w:tab/>
      </w:r>
      <w:r w:rsidRPr="00D63217">
        <w:tab/>
      </w:r>
      <w:r w:rsidRPr="00D63217">
        <w:tab/>
      </w:r>
      <w:r w:rsidR="005A60F7" w:rsidRPr="00D63217">
        <w:tab/>
      </w:r>
      <w:r w:rsidRPr="00D63217">
        <w:t>1 mg/kg</w:t>
      </w:r>
    </w:p>
    <w:p w14:paraId="55037713" w14:textId="20EC0ED9" w:rsidR="008F5D01" w:rsidRPr="00D63217" w:rsidRDefault="008F5D01" w:rsidP="008F5D01">
      <w:pPr>
        <w:pStyle w:val="NormalText"/>
      </w:pPr>
      <w:r w:rsidRPr="00D63217">
        <w:tab/>
        <w:t>VD 0524 Chick-pea (dry)</w:t>
      </w:r>
      <w:r w:rsidRPr="00D63217">
        <w:tab/>
      </w:r>
      <w:r w:rsidRPr="00D63217">
        <w:tab/>
      </w:r>
      <w:r w:rsidRPr="00D63217">
        <w:tab/>
      </w:r>
      <w:r w:rsidRPr="00D63217">
        <w:tab/>
      </w:r>
      <w:r w:rsidRPr="00D63217">
        <w:tab/>
      </w:r>
      <w:r w:rsidRPr="00D63217">
        <w:tab/>
      </w:r>
      <w:r w:rsidR="002E6782" w:rsidRPr="00D63217">
        <w:tab/>
      </w:r>
      <w:r w:rsidR="005A60F7" w:rsidRPr="00D63217">
        <w:tab/>
      </w:r>
      <w:r w:rsidRPr="00D63217">
        <w:t>1 mg/kg</w:t>
      </w:r>
    </w:p>
    <w:p w14:paraId="00FBEEF2" w14:textId="525FD600" w:rsidR="008F5D01" w:rsidRPr="00D63217" w:rsidRDefault="008F5D01" w:rsidP="008F5D01">
      <w:pPr>
        <w:pStyle w:val="NormalText"/>
      </w:pPr>
      <w:r w:rsidRPr="00D63217">
        <w:lastRenderedPageBreak/>
        <w:tab/>
        <w:t>VD 0561 Field pea (dry)</w:t>
      </w:r>
      <w:r w:rsidRPr="00D63217">
        <w:tab/>
      </w:r>
      <w:r w:rsidRPr="00D63217">
        <w:tab/>
      </w:r>
      <w:r w:rsidRPr="00D63217">
        <w:tab/>
      </w:r>
      <w:r w:rsidRPr="00D63217">
        <w:tab/>
      </w:r>
      <w:r w:rsidRPr="00D63217">
        <w:tab/>
      </w:r>
      <w:r w:rsidRPr="00D63217">
        <w:tab/>
      </w:r>
      <w:r w:rsidR="002E6782" w:rsidRPr="00D63217">
        <w:tab/>
      </w:r>
      <w:r w:rsidR="005A60F7" w:rsidRPr="00D63217">
        <w:tab/>
      </w:r>
      <w:r w:rsidRPr="00D63217">
        <w:t>1 mg/kg</w:t>
      </w:r>
    </w:p>
    <w:p w14:paraId="5C0A61A0" w14:textId="4BE9F703" w:rsidR="008F5D01" w:rsidRPr="00D63217" w:rsidRDefault="008F5D01" w:rsidP="002E6782">
      <w:pPr>
        <w:pStyle w:val="NormalText"/>
        <w:ind w:firstLine="567"/>
      </w:pPr>
      <w:r w:rsidRPr="00D63217">
        <w:t>VD 0533 Lentil (dry)</w:t>
      </w:r>
      <w:r w:rsidRPr="00D63217">
        <w:tab/>
      </w:r>
      <w:r w:rsidRPr="00D63217">
        <w:tab/>
      </w:r>
      <w:r w:rsidRPr="00D63217">
        <w:tab/>
      </w:r>
      <w:r w:rsidRPr="00D63217">
        <w:tab/>
      </w:r>
      <w:r w:rsidRPr="00D63217">
        <w:tab/>
      </w:r>
      <w:r w:rsidRPr="00D63217">
        <w:tab/>
      </w:r>
      <w:r w:rsidRPr="00D63217">
        <w:tab/>
      </w:r>
      <w:r w:rsidR="003B26D9" w:rsidRPr="00D63217">
        <w:tab/>
      </w:r>
      <w:r w:rsidR="005A60F7" w:rsidRPr="00D63217">
        <w:tab/>
      </w:r>
      <w:r w:rsidRPr="00D63217">
        <w:t>1 mg/kg</w:t>
      </w:r>
    </w:p>
    <w:p w14:paraId="15501B4F" w14:textId="6665A096" w:rsidR="008F5D01" w:rsidRPr="00D63217" w:rsidRDefault="008F5D01" w:rsidP="002E6782">
      <w:pPr>
        <w:pStyle w:val="NormalText"/>
        <w:ind w:firstLine="567"/>
      </w:pPr>
      <w:r w:rsidRPr="00D63217">
        <w:t>VD 0545 Lupin (dry)</w:t>
      </w:r>
      <w:r w:rsidRPr="00D63217">
        <w:tab/>
      </w:r>
      <w:r w:rsidRPr="00D63217">
        <w:tab/>
      </w:r>
      <w:r w:rsidRPr="00D63217">
        <w:tab/>
      </w:r>
      <w:r w:rsidRPr="00D63217">
        <w:tab/>
      </w:r>
      <w:r w:rsidRPr="00D63217">
        <w:tab/>
      </w:r>
      <w:r w:rsidR="003B26D9" w:rsidRPr="00D63217">
        <w:tab/>
      </w:r>
      <w:r w:rsidRPr="00D63217">
        <w:tab/>
      </w:r>
      <w:r w:rsidRPr="00D63217">
        <w:tab/>
      </w:r>
      <w:r w:rsidR="005A60F7" w:rsidRPr="00D63217">
        <w:tab/>
      </w:r>
      <w:r w:rsidRPr="00D63217">
        <w:t>1 mg/kg</w:t>
      </w:r>
    </w:p>
    <w:p w14:paraId="0CCC0DAE" w14:textId="062A4D3F" w:rsidR="008F5D01" w:rsidRPr="00D901C7" w:rsidRDefault="0080355A" w:rsidP="00D901C7">
      <w:pPr>
        <w:pStyle w:val="Heading2"/>
      </w:pPr>
      <w:bookmarkStart w:id="274" w:name="_Toc231480869"/>
      <w:bookmarkStart w:id="275" w:name="_Toc233036421"/>
      <w:r w:rsidRPr="00D901C7">
        <w:t>C</w:t>
      </w:r>
      <w:r w:rsidR="008F5D01" w:rsidRPr="00D901C7">
        <w:t>ereals</w:t>
      </w:r>
      <w:bookmarkEnd w:id="274"/>
      <w:bookmarkEnd w:id="275"/>
    </w:p>
    <w:p w14:paraId="110DF25F" w14:textId="4631383D" w:rsidR="008F5D01" w:rsidRPr="00D63217" w:rsidRDefault="008F5D01" w:rsidP="008F5D01">
      <w:pPr>
        <w:pStyle w:val="NormalText"/>
      </w:pPr>
      <w:r w:rsidRPr="00D63217">
        <w:t xml:space="preserve">In Australia the maximum rate for cereals is 0.6 kg </w:t>
      </w:r>
      <w:r w:rsidR="00FC430E" w:rsidRPr="00D63217">
        <w:t>ac/ha</w:t>
      </w:r>
      <w:r w:rsidRPr="00D63217">
        <w:t xml:space="preserve"> as pre-sowing cultivation aid application. Rice has a separate entry on some Australian labels with a pre-sowing maximum rate of 0.4 kg </w:t>
      </w:r>
      <w:r w:rsidR="00FC430E" w:rsidRPr="00D63217">
        <w:t>ac/ha</w:t>
      </w:r>
      <w:r w:rsidRPr="00D63217">
        <w:t xml:space="preserve"> and a pre-emergent maximum rate at 0.2 kg </w:t>
      </w:r>
      <w:r w:rsidR="00FC430E" w:rsidRPr="00D63217">
        <w:t>ac/ha</w:t>
      </w:r>
      <w:r w:rsidRPr="00D63217">
        <w:t>. Australian trials on rice, wheat and barley were submitted along with overseas trials from a range of countries on sorghum, rice, corn, wheat, barley, oats and buckwheat. The current MRL for cereals (except maize and rice) is *0.05 mg/kg with MRLs for maize being 0.1 mg/kg, rice being 10 mg/kg and polished rice being 0.5 mg/kg.</w:t>
      </w:r>
    </w:p>
    <w:p w14:paraId="3107111A" w14:textId="6A6F2C9F" w:rsidR="008F5D01" w:rsidRPr="00D63217" w:rsidRDefault="008F5D01" w:rsidP="008F5D01">
      <w:pPr>
        <w:pStyle w:val="NormalText"/>
      </w:pPr>
      <w:r w:rsidRPr="00D63217">
        <w:t xml:space="preserve">Sorghum trials with pre-emergence treatment at 1.12 kg </w:t>
      </w:r>
      <w:r w:rsidR="00FC430E" w:rsidRPr="00D63217">
        <w:t>ac/ha</w:t>
      </w:r>
      <w:r w:rsidRPr="00D63217">
        <w:t xml:space="preserve"> combined with post-emergence application at 0.56 kg </w:t>
      </w:r>
      <w:r w:rsidR="00FC430E" w:rsidRPr="00D63217">
        <w:t>ac/ha</w:t>
      </w:r>
      <w:r w:rsidRPr="00D63217">
        <w:t xml:space="preserve"> did not detect paraquat residues above the LOQ (0.025 mg/kg) in grain</w:t>
      </w:r>
      <w:r w:rsidR="004A2F4E" w:rsidRPr="00D63217">
        <w:t xml:space="preserve"> (Anon., n.d.(d); Anon., 1970 (b,c)); Ward, 1979; Roper, 1989 (w))</w:t>
      </w:r>
      <w:r w:rsidRPr="00D63217">
        <w:t>.</w:t>
      </w:r>
    </w:p>
    <w:p w14:paraId="4E47E4BB" w14:textId="0F760D0E" w:rsidR="008F5D01" w:rsidRPr="00D63217" w:rsidRDefault="008F5D01" w:rsidP="008F5D01">
      <w:pPr>
        <w:pStyle w:val="NormalText"/>
      </w:pPr>
      <w:r w:rsidRPr="00D63217">
        <w:t xml:space="preserve">No paraquat residues above the LOQ (0.05 mg/kg) were detected in rice grain in trials that involved rates ranging from 0.13 to 1 kg </w:t>
      </w:r>
      <w:r w:rsidR="00FC430E" w:rsidRPr="00D63217">
        <w:t>ac/ha</w:t>
      </w:r>
      <w:r w:rsidR="004A2F4E" w:rsidRPr="00D63217">
        <w:t xml:space="preserve"> (Anderson et al, 1995; Reeve, 1970) Anon., 1972 (b</w:t>
      </w:r>
      <w:r w:rsidR="000F3F0F" w:rsidRPr="00D63217">
        <w:t>,c</w:t>
      </w:r>
      <w:r w:rsidR="004A2F4E" w:rsidRPr="00D63217">
        <w:t>); Kennedy, 1984</w:t>
      </w:r>
      <w:r w:rsidR="000F3F0F" w:rsidRPr="00D63217">
        <w:t>(c)</w:t>
      </w:r>
      <w:r w:rsidR="004A2F4E" w:rsidRPr="00D63217">
        <w:t>)</w:t>
      </w:r>
      <w:r w:rsidRPr="00D63217">
        <w:t>. The current MRL of 10 mg/kg for rice is based upon a pre-harvest use on rice which is not on current labels.</w:t>
      </w:r>
    </w:p>
    <w:p w14:paraId="2FE3849A" w14:textId="3EDF95F9" w:rsidR="008F5D01" w:rsidRPr="00D63217" w:rsidRDefault="008F5D01" w:rsidP="008F5D01">
      <w:pPr>
        <w:pStyle w:val="NormalText"/>
      </w:pPr>
      <w:r w:rsidRPr="00D63217">
        <w:t xml:space="preserve">Pre-emergence and pre-sowing use patterns at rates ranging from 0.28 to 1.12 kg </w:t>
      </w:r>
      <w:r w:rsidR="00FC430E" w:rsidRPr="00D63217">
        <w:t>ac/ha</w:t>
      </w:r>
      <w:r w:rsidRPr="00D63217">
        <w:t xml:space="preserve"> did not detect residues above the LOQ (0.01 to 0.05 mg/kg) in maize/corn</w:t>
      </w:r>
      <w:r w:rsidR="00373EF1" w:rsidRPr="00D63217">
        <w:t xml:space="preserve"> (Calderbank and McKenna, 1964; Anon., n.d.(a) Anderson and Lant,1994; Reeve, 1970; Kennedy, 1984</w:t>
      </w:r>
      <w:r w:rsidR="000F3F0F" w:rsidRPr="00D63217">
        <w:t>(d)</w:t>
      </w:r>
      <w:r w:rsidR="00373EF1" w:rsidRPr="00D63217">
        <w:t>; Roper, 1989 (x)).</w:t>
      </w:r>
    </w:p>
    <w:p w14:paraId="5A6B6E77" w14:textId="22893AAA" w:rsidR="008F5D01" w:rsidRPr="00D63217" w:rsidRDefault="008F5D01" w:rsidP="008F5D01">
      <w:pPr>
        <w:pStyle w:val="NormalText"/>
      </w:pPr>
      <w:r w:rsidRPr="00D63217">
        <w:t xml:space="preserve">Pre-emergence trials on wheat, barley and oats did not detect residues above the LOQ (0.01 to 0.05 mg/kg) in grain after application at 1.12 – 5.6 kg </w:t>
      </w:r>
      <w:r w:rsidR="00FC430E" w:rsidRPr="00D63217">
        <w:t>ac/ha</w:t>
      </w:r>
      <w:r w:rsidRPr="00D63217">
        <w:t xml:space="preserve"> (up to 9× the proposed rate)</w:t>
      </w:r>
      <w:r w:rsidR="007833A6" w:rsidRPr="00D63217">
        <w:t xml:space="preserve"> </w:t>
      </w:r>
      <w:r w:rsidR="00373EF1" w:rsidRPr="00D63217">
        <w:t xml:space="preserve">(Calderbank and McKenna, 1964; Roper, 1989(y); Reeve, 1970; Reeve, 1972; Brown, </w:t>
      </w:r>
      <w:r w:rsidR="00A560B6" w:rsidRPr="00D63217">
        <w:t>1</w:t>
      </w:r>
      <w:r w:rsidR="00373EF1" w:rsidRPr="00D63217">
        <w:t>994(</w:t>
      </w:r>
      <w:r w:rsidR="00A560B6" w:rsidRPr="00D63217">
        <w:t>d,e</w:t>
      </w:r>
      <w:r w:rsidR="00373EF1" w:rsidRPr="00D63217">
        <w:t>)).</w:t>
      </w:r>
    </w:p>
    <w:p w14:paraId="6761CB4F" w14:textId="68ED277D" w:rsidR="008F5D01" w:rsidRPr="00D63217" w:rsidRDefault="008F5D01" w:rsidP="008F5D01">
      <w:pPr>
        <w:pStyle w:val="NormalText"/>
      </w:pPr>
      <w:r w:rsidRPr="00D63217">
        <w:t xml:space="preserve">The available paraquat residues data support continued use in cereals. As the use pattern for all cereals is a pre-emergent/pre-sowing use pattern no </w:t>
      </w:r>
      <w:r w:rsidR="00247CBF" w:rsidRPr="00D63217">
        <w:t>paraquat</w:t>
      </w:r>
      <w:r w:rsidRPr="00D63217">
        <w:t xml:space="preserve"> residues above the LOQ in seed is expected or was found in residue trials. Therefore</w:t>
      </w:r>
      <w:r w:rsidR="00DD2C1E" w:rsidRPr="00D63217">
        <w:t>,</w:t>
      </w:r>
      <w:r w:rsidRPr="00D63217">
        <w:t xml:space="preserve"> a single entry can be established for the whole group at *0.05 mg/kg whilst deleting the existing MRLs for rice, polished rice and maize.</w:t>
      </w:r>
    </w:p>
    <w:p w14:paraId="71EF06A5" w14:textId="77777777" w:rsidR="008F5D01" w:rsidRPr="00D63217" w:rsidRDefault="008F5D01" w:rsidP="008F5D01">
      <w:pPr>
        <w:pStyle w:val="NormalText"/>
      </w:pPr>
      <w:r w:rsidRPr="00D63217">
        <w:t>The recommended entry into the MRL Standard for cereals is as follows noting that the most common LOQ in the available cereal trials was 0.05 mg/kg:</w:t>
      </w:r>
    </w:p>
    <w:p w14:paraId="76DBAC6D" w14:textId="7EB9D62B" w:rsidR="008F5D01" w:rsidRPr="00D63217" w:rsidRDefault="008F5D01" w:rsidP="005A60F7">
      <w:pPr>
        <w:pStyle w:val="NormalText"/>
        <w:ind w:firstLine="567"/>
      </w:pPr>
      <w:r w:rsidRPr="00D63217">
        <w:t>GC 0080 Cereal grains</w:t>
      </w:r>
      <w:r w:rsidRPr="00D63217">
        <w:tab/>
      </w:r>
      <w:r w:rsidRPr="00D63217">
        <w:tab/>
      </w:r>
      <w:r w:rsidRPr="00D63217">
        <w:tab/>
      </w:r>
      <w:r w:rsidR="005A60F7" w:rsidRPr="00D63217">
        <w:tab/>
      </w:r>
      <w:r w:rsidR="005A60F7" w:rsidRPr="00D63217">
        <w:tab/>
      </w:r>
      <w:r w:rsidR="005A60F7" w:rsidRPr="00D63217">
        <w:tab/>
      </w:r>
      <w:r w:rsidR="005A60F7" w:rsidRPr="00D63217">
        <w:tab/>
      </w:r>
      <w:r w:rsidR="005A60F7" w:rsidRPr="00D63217">
        <w:tab/>
      </w:r>
      <w:r w:rsidR="000443D8">
        <w:tab/>
      </w:r>
      <w:r w:rsidRPr="00D63217">
        <w:t>*0.05 mg/kg</w:t>
      </w:r>
    </w:p>
    <w:p w14:paraId="24FB6ACE" w14:textId="77777777" w:rsidR="008F5D01" w:rsidRDefault="008F5D01" w:rsidP="008F5D01">
      <w:pPr>
        <w:pStyle w:val="NormalText"/>
      </w:pPr>
      <w:r w:rsidRPr="00D63217">
        <w:t>A harvest withholding period statement of ‘NOT required when used as directed’ is appropriate for cereals as the use is pre-sowing or post sowing / pre-crop emergence.</w:t>
      </w:r>
    </w:p>
    <w:p w14:paraId="217329FC" w14:textId="77777777" w:rsidR="00D901C7" w:rsidRDefault="001A23BB" w:rsidP="008F5D01">
      <w:pPr>
        <w:pStyle w:val="NormalText"/>
      </w:pPr>
      <w:r w:rsidRPr="001A23BB">
        <w:t>A publicly available journal article by Gupta et al (Environmental Science and Pollution Research (2023) 30:54242–54243)</w:t>
      </w:r>
      <w:r w:rsidR="000C014B">
        <w:t xml:space="preserve"> was</w:t>
      </w:r>
      <w:r w:rsidRPr="001A23BB">
        <w:t xml:space="preserve"> </w:t>
      </w:r>
      <w:r>
        <w:t xml:space="preserve">submitted in response to the initial consultation </w:t>
      </w:r>
      <w:r w:rsidRPr="001A23BB">
        <w:t xml:space="preserve">explored paraquat residues in wheat grain in field experiments conducted in India from 2018 - 2020. Paraquat was applied prior to sowing of wheat over two </w:t>
      </w:r>
      <w:r w:rsidRPr="001A23BB">
        <w:lastRenderedPageBreak/>
        <w:t>seasons each at rates corresponding to 1.02 kg ai/ha. The article indicated that they found paraquat in wheat grains ranging between 21.6 and 49.02 mg/kg with residues also found in the control crop (3.1 mg/kg). This is inconsistent with the cereal residue trials presented to the review where pre-emergence trials on wheat, barley and oats did not detect residues above the LOQ (0.01 to 0.05 mg/kg) in grain after application at 1.12 – 5.6 kg ai/ha (up to 9× the current rate).</w:t>
      </w:r>
    </w:p>
    <w:p w14:paraId="4ED56319" w14:textId="57C7A789" w:rsidR="001A23BB" w:rsidRPr="00D63217" w:rsidRDefault="001A23BB" w:rsidP="008F5D01">
      <w:pPr>
        <w:pStyle w:val="NormalText"/>
      </w:pPr>
      <w:r w:rsidRPr="001A23BB">
        <w:t>It is also noted that data for cereal grains reported by the National Residue Survey does not show paraquat residues in cereals at the levels reported in the journal article. The non-GLP journal article is not considered to be a reliable measure of potential residues in wheat grain from the registered uses of paraquat.</w:t>
      </w:r>
    </w:p>
    <w:p w14:paraId="332EF9F6" w14:textId="43096845" w:rsidR="008F5D01" w:rsidRPr="00D63217" w:rsidRDefault="00B20878" w:rsidP="00B20878">
      <w:pPr>
        <w:pStyle w:val="Heading2"/>
      </w:pPr>
      <w:bookmarkStart w:id="276" w:name="_Toc231480870"/>
      <w:bookmarkStart w:id="277" w:name="_Toc233036422"/>
      <w:r w:rsidRPr="00D63217">
        <w:t>O</w:t>
      </w:r>
      <w:r w:rsidR="008F5D01" w:rsidRPr="00D63217">
        <w:t>ilseeds</w:t>
      </w:r>
      <w:bookmarkEnd w:id="276"/>
      <w:bookmarkEnd w:id="277"/>
    </w:p>
    <w:p w14:paraId="628F3EFE" w14:textId="4F76486A" w:rsidR="008F5D01" w:rsidRPr="00D63217" w:rsidRDefault="008F5D01" w:rsidP="008F5D01">
      <w:pPr>
        <w:pStyle w:val="NormalText"/>
      </w:pPr>
      <w:r w:rsidRPr="00D63217">
        <w:t xml:space="preserve">Current Australian use patterns differ amongst the oilseeds. All oilseeds have a pre-emergent use as a cultivation aid at up to 0.6 kg </w:t>
      </w:r>
      <w:r w:rsidR="00FC430E" w:rsidRPr="00D63217">
        <w:t>ac/ha</w:t>
      </w:r>
      <w:r w:rsidRPr="00D63217">
        <w:t xml:space="preserve">. Cotton has an additional pre-harvest desiccant application at 0.216 kg </w:t>
      </w:r>
      <w:r w:rsidR="00FC430E" w:rsidRPr="00D63217">
        <w:t>ac/ha</w:t>
      </w:r>
      <w:r w:rsidRPr="00D63217">
        <w:t xml:space="preserve"> with a WHP of 7 days. Peanuts have an additional post-emergent application (up to 7</w:t>
      </w:r>
      <w:r w:rsidR="000C58C9" w:rsidRPr="00D63217">
        <w:t>–</w:t>
      </w:r>
      <w:r w:rsidRPr="00D63217">
        <w:t xml:space="preserve">8 leaf stage) at 0.25 kg </w:t>
      </w:r>
      <w:r w:rsidR="00FC430E" w:rsidRPr="00D63217">
        <w:t>ac/ha</w:t>
      </w:r>
      <w:r w:rsidRPr="00D63217">
        <w:t>.</w:t>
      </w:r>
    </w:p>
    <w:p w14:paraId="75D24D52" w14:textId="77777777" w:rsidR="008F5D01" w:rsidRPr="00D63217" w:rsidRDefault="008F5D01" w:rsidP="00B20878">
      <w:pPr>
        <w:pStyle w:val="Heading3"/>
      </w:pPr>
      <w:bookmarkStart w:id="278" w:name="_Toc231480871"/>
      <w:bookmarkStart w:id="279" w:name="_Toc233036423"/>
      <w:r w:rsidRPr="00D63217">
        <w:t>Cotton</w:t>
      </w:r>
      <w:bookmarkEnd w:id="278"/>
      <w:bookmarkEnd w:id="279"/>
    </w:p>
    <w:p w14:paraId="1FED2A44" w14:textId="0F17900E" w:rsidR="008F5D01" w:rsidRPr="00D63217" w:rsidRDefault="008F5D01" w:rsidP="008F5D01">
      <w:pPr>
        <w:pStyle w:val="NormalText"/>
      </w:pPr>
      <w:r w:rsidRPr="00D63217">
        <w:t xml:space="preserve">An Australian study found that that the spray topping use at 0.4 kg </w:t>
      </w:r>
      <w:r w:rsidR="00FC430E" w:rsidRPr="00D63217">
        <w:t>ac/ha</w:t>
      </w:r>
      <w:r w:rsidRPr="00D63217">
        <w:t xml:space="preserve"> (1.9x the label rate) resulted in residues &lt;0.1 mg/kg (n=2) in cotton seed a</w:t>
      </w:r>
      <w:r w:rsidR="00363750" w:rsidRPr="00D63217">
        <w:t>fter</w:t>
      </w:r>
      <w:r w:rsidRPr="00D63217">
        <w:t xml:space="preserve"> </w:t>
      </w:r>
      <w:r w:rsidR="00363750" w:rsidRPr="00D63217">
        <w:t xml:space="preserve">the current </w:t>
      </w:r>
      <w:r w:rsidRPr="00D63217">
        <w:t>7 day WHP</w:t>
      </w:r>
      <w:r w:rsidR="00363750" w:rsidRPr="00D63217">
        <w:t xml:space="preserve"> (Roper and Elvira, 1996</w:t>
      </w:r>
      <w:r w:rsidR="007F1120" w:rsidRPr="00D63217">
        <w:t>(b)</w:t>
      </w:r>
      <w:r w:rsidR="00363750" w:rsidRPr="00D63217">
        <w:t>)</w:t>
      </w:r>
      <w:r w:rsidRPr="00D63217">
        <w:t>. Additional relevant pre-harvest desiccation application cotton trials presented in the 2004 JMPR indicate that at Australian GAP, finite residues could be expected in cotton seed</w:t>
      </w:r>
      <w:r w:rsidR="00363750" w:rsidRPr="00D63217">
        <w:t xml:space="preserve"> (Roper, 1994; Roper, 1990; Brown and Marcus, 1996)</w:t>
      </w:r>
      <w:r w:rsidRPr="00D63217">
        <w:t xml:space="preserve">. At a WHP of 7 days after pre-harvest applications at 0.14 to 0.28 kg </w:t>
      </w:r>
      <w:r w:rsidR="00FC430E" w:rsidRPr="00D63217">
        <w:t>ac/ha</w:t>
      </w:r>
      <w:r w:rsidRPr="00D63217">
        <w:t>, residues in cotton seed would be expected to be less than 0.2 mg/kg.</w:t>
      </w:r>
    </w:p>
    <w:p w14:paraId="5C540C41" w14:textId="77777777" w:rsidR="008F5D01" w:rsidRPr="00D63217" w:rsidRDefault="008F5D01" w:rsidP="008F5D01">
      <w:pPr>
        <w:pStyle w:val="NormalText"/>
      </w:pPr>
      <w:bookmarkStart w:id="280" w:name="_Hlk168239930"/>
      <w:r w:rsidRPr="00D63217">
        <w:t>The available paraquat residues data support continued use in cotton. The current and recommended entry into the MRL Standard for cotton is:</w:t>
      </w:r>
    </w:p>
    <w:p w14:paraId="4DB2E280" w14:textId="413F4673" w:rsidR="008F5D01" w:rsidRPr="00D63217" w:rsidRDefault="008F5D01" w:rsidP="008F5D01">
      <w:pPr>
        <w:pStyle w:val="NormalText"/>
      </w:pPr>
      <w:r w:rsidRPr="00D63217">
        <w:tab/>
        <w:t>SO 0691 Cotton seed</w:t>
      </w:r>
      <w:r w:rsidR="00363750" w:rsidRPr="00D63217">
        <w:t xml:space="preserve"> </w:t>
      </w:r>
      <w:r w:rsidR="005A60F7" w:rsidRPr="00D63217">
        <w:tab/>
      </w:r>
      <w:r w:rsidR="005A60F7" w:rsidRPr="00D63217">
        <w:tab/>
      </w:r>
      <w:r w:rsidR="005A60F7" w:rsidRPr="00D63217">
        <w:tab/>
      </w:r>
      <w:r w:rsidR="005A60F7" w:rsidRPr="00D63217">
        <w:tab/>
      </w:r>
      <w:r w:rsidR="005A60F7" w:rsidRPr="00D63217">
        <w:tab/>
      </w:r>
      <w:r w:rsidR="005A60F7" w:rsidRPr="00D63217">
        <w:tab/>
      </w:r>
      <w:r w:rsidR="005A60F7" w:rsidRPr="00D63217">
        <w:tab/>
      </w:r>
      <w:r w:rsidR="005A60F7" w:rsidRPr="00D63217">
        <w:tab/>
      </w:r>
      <w:r w:rsidR="000443D8">
        <w:tab/>
      </w:r>
      <w:r w:rsidRPr="00D63217">
        <w:t>0.2 mg/kg</w:t>
      </w:r>
    </w:p>
    <w:bookmarkEnd w:id="280"/>
    <w:p w14:paraId="660982FC" w14:textId="77777777" w:rsidR="008F5D01" w:rsidRPr="00D63217" w:rsidRDefault="008F5D01" w:rsidP="008F5D01">
      <w:pPr>
        <w:pStyle w:val="NormalText"/>
      </w:pPr>
      <w:r w:rsidRPr="00D63217">
        <w:t>The current entry for cotton seed oil of 0.05 mg/kg in the MRL Standard can be deleted (see Section 2.4.7).</w:t>
      </w:r>
    </w:p>
    <w:p w14:paraId="2265A9CF" w14:textId="77777777" w:rsidR="008F5D01" w:rsidRPr="00D63217" w:rsidRDefault="008F5D01" w:rsidP="008F5D01">
      <w:pPr>
        <w:pStyle w:val="NormalText"/>
      </w:pPr>
      <w:r w:rsidRPr="00D63217">
        <w:t>A 7 day withholding period is supported for the desiccation use pattern on cotton.</w:t>
      </w:r>
    </w:p>
    <w:p w14:paraId="2005EF78" w14:textId="77777777" w:rsidR="008F5D01" w:rsidRPr="00D63217" w:rsidRDefault="008F5D01" w:rsidP="00B20878">
      <w:pPr>
        <w:pStyle w:val="Heading3"/>
      </w:pPr>
      <w:bookmarkStart w:id="281" w:name="_Toc231480872"/>
      <w:bookmarkStart w:id="282" w:name="_Toc233036424"/>
      <w:r w:rsidRPr="00D63217">
        <w:t>Peanuts</w:t>
      </w:r>
      <w:bookmarkEnd w:id="281"/>
      <w:bookmarkEnd w:id="282"/>
    </w:p>
    <w:p w14:paraId="5A563DB1" w14:textId="52E217BB" w:rsidR="008F5D01" w:rsidRPr="00D63217" w:rsidRDefault="008F5D01" w:rsidP="008F5D01">
      <w:pPr>
        <w:pStyle w:val="NormalText"/>
      </w:pPr>
      <w:r w:rsidRPr="00D63217">
        <w:t xml:space="preserve">Two Australian residue trials for peanuts were submitted for review. No </w:t>
      </w:r>
      <w:r w:rsidR="00F50E9F" w:rsidRPr="00D63217">
        <w:t>paraquat</w:t>
      </w:r>
      <w:r w:rsidRPr="00D63217">
        <w:t xml:space="preserve"> residues above the LOQ (0.01 mg/kg) were seen in peanut kernels or nuts in shell at post-emergent application rates up to 0.6 kg </w:t>
      </w:r>
      <w:r w:rsidR="00FC430E" w:rsidRPr="00D63217">
        <w:t>ac/ha</w:t>
      </w:r>
      <w:r w:rsidR="00363750" w:rsidRPr="00D63217">
        <w:t xml:space="preserve"> (Williams, 1989 (a,b))</w:t>
      </w:r>
      <w:r w:rsidRPr="00D63217">
        <w:t xml:space="preserve">. The maximum label rate for post-emergent application is 0.25 kg </w:t>
      </w:r>
      <w:r w:rsidR="00FC430E" w:rsidRPr="00D63217">
        <w:t>ac/ha</w:t>
      </w:r>
      <w:r w:rsidRPr="00D63217">
        <w:t>.</w:t>
      </w:r>
    </w:p>
    <w:p w14:paraId="31E6128B" w14:textId="46B541BE" w:rsidR="00B80806" w:rsidRPr="00D63217" w:rsidRDefault="008F5D01" w:rsidP="008F5D01">
      <w:pPr>
        <w:pStyle w:val="NormalText"/>
      </w:pPr>
      <w:r w:rsidRPr="00D63217">
        <w:t xml:space="preserve">The available paraquat residues data support continued use in peanuts. </w:t>
      </w:r>
      <w:bookmarkStart w:id="283" w:name="_Hlk168239798"/>
      <w:r w:rsidRPr="00D63217">
        <w:t xml:space="preserve">The current Australian MRL of </w:t>
      </w:r>
      <w:bookmarkStart w:id="284" w:name="_Hlk168240709"/>
      <w:r w:rsidRPr="00D63217">
        <w:t xml:space="preserve">*0.01 </w:t>
      </w:r>
      <w:bookmarkEnd w:id="284"/>
      <w:r w:rsidRPr="00D63217">
        <w:t>mg/kg in peanuts is not considered necessary as the recommended MRL for ‘</w:t>
      </w:r>
      <w:bookmarkStart w:id="285" w:name="_Hlk168239232"/>
      <w:r w:rsidRPr="00D63217">
        <w:t xml:space="preserve">Oilseeds {except Cotton seed}’ </w:t>
      </w:r>
      <w:bookmarkEnd w:id="285"/>
      <w:r w:rsidRPr="00D63217">
        <w:t>below at *0.05 mg/kg will cover this use on peanuts.</w:t>
      </w:r>
      <w:bookmarkEnd w:id="283"/>
    </w:p>
    <w:p w14:paraId="5F9A9CEB" w14:textId="297B84DB" w:rsidR="00B80806" w:rsidRPr="00D63217" w:rsidRDefault="00B80806" w:rsidP="00B80806">
      <w:pPr>
        <w:pStyle w:val="NormalText"/>
        <w:ind w:firstLine="567"/>
      </w:pPr>
      <w:r w:rsidRPr="00D63217">
        <w:t>SO 0088 Oilseed {except Cotton seed}</w:t>
      </w:r>
      <w:r w:rsidRPr="00D63217">
        <w:tab/>
      </w:r>
      <w:r w:rsidRPr="00D63217">
        <w:tab/>
      </w:r>
      <w:r w:rsidRPr="00D63217">
        <w:tab/>
      </w:r>
      <w:r w:rsidRPr="00D63217">
        <w:tab/>
      </w:r>
      <w:r w:rsidRPr="00D63217">
        <w:tab/>
      </w:r>
      <w:r w:rsidRPr="00D63217">
        <w:tab/>
        <w:t>*0.01 mg/kg</w:t>
      </w:r>
    </w:p>
    <w:p w14:paraId="6F9516C3" w14:textId="07C4F1C3" w:rsidR="008F5D01" w:rsidRPr="00D63217" w:rsidRDefault="008F5D01" w:rsidP="008F5D01">
      <w:pPr>
        <w:pStyle w:val="NormalText"/>
      </w:pPr>
      <w:r w:rsidRPr="00D63217">
        <w:lastRenderedPageBreak/>
        <w:t>A current harvest withholding period statement of ‘NOT required when used as directed’ is appropriate as the use is only permitted up to the 7</w:t>
      </w:r>
      <w:r w:rsidR="00785561" w:rsidRPr="00D63217">
        <w:t>–</w:t>
      </w:r>
      <w:r w:rsidRPr="00D63217">
        <w:t>8 leaf stage.</w:t>
      </w:r>
    </w:p>
    <w:p w14:paraId="50EEA35E" w14:textId="77777777" w:rsidR="008F5D01" w:rsidRPr="00D63217" w:rsidRDefault="008F5D01" w:rsidP="00B20878">
      <w:pPr>
        <w:pStyle w:val="Heading3"/>
      </w:pPr>
      <w:bookmarkStart w:id="286" w:name="_Toc231480873"/>
      <w:bookmarkStart w:id="287" w:name="_Toc233036425"/>
      <w:r w:rsidRPr="00D63217">
        <w:t>Oilseeds other than cotton and peanuts</w:t>
      </w:r>
      <w:bookmarkEnd w:id="286"/>
      <w:bookmarkEnd w:id="287"/>
    </w:p>
    <w:p w14:paraId="6DFE3C7D" w14:textId="720880AB" w:rsidR="008F5D01" w:rsidRPr="00D63217" w:rsidRDefault="008F5D01" w:rsidP="008F5D01">
      <w:pPr>
        <w:pStyle w:val="NormalText"/>
      </w:pPr>
      <w:r w:rsidRPr="00D63217">
        <w:t>The current product labels only have a pre-emergent use pattern for oilseeds. Only a US trial on sunflowers provided data on pre-emergent application of paraquat. Even though the application rates were 2.5 to 12 times the maximum Australian label rate no paraquat residues above the LOQ were detected in seed (LOQ 0.05 mg/kg)</w:t>
      </w:r>
      <w:r w:rsidR="007833A6" w:rsidRPr="00D63217">
        <w:t xml:space="preserve"> </w:t>
      </w:r>
      <w:r w:rsidR="00F50E9F" w:rsidRPr="00D63217">
        <w:t>(Roper, 1989 (v); Wilde, 1978; Ward, 1979; Cowdy, 1976; Roper, 1995; Anon., n.d.(</w:t>
      </w:r>
      <w:r w:rsidR="001251E7" w:rsidRPr="00D63217">
        <w:t>c</w:t>
      </w:r>
      <w:r w:rsidR="00F50E9F" w:rsidRPr="00D63217">
        <w:t>); Marcus, 1996).</w:t>
      </w:r>
    </w:p>
    <w:p w14:paraId="7DDDA936" w14:textId="4B3D0E31" w:rsidR="008F5D01" w:rsidRPr="00D63217" w:rsidRDefault="008F5D01" w:rsidP="008F5D01">
      <w:pPr>
        <w:pStyle w:val="NormalText"/>
      </w:pPr>
      <w:r w:rsidRPr="00D63217">
        <w:t>The available paraquat residues data support continued pre-emergent use in oilseeds. A LOQ MRL at *0.05 mg/kg is recommended for ‘Oilseeds {except Cotton seed}. A harvest withholding period statement of ‘NOT required when used as directed’ is appropriate as the use is pre-sowing.</w:t>
      </w:r>
    </w:p>
    <w:p w14:paraId="0988CCFE" w14:textId="5B9398CC" w:rsidR="008F5D01" w:rsidRPr="00D901C7" w:rsidRDefault="009A2B0F" w:rsidP="00D901C7">
      <w:pPr>
        <w:pStyle w:val="Heading2"/>
      </w:pPr>
      <w:r w:rsidRPr="00D901C7">
        <w:t xml:space="preserve"> </w:t>
      </w:r>
      <w:r w:rsidRPr="00D901C7">
        <w:tab/>
      </w:r>
      <w:bookmarkStart w:id="288" w:name="_Toc231480874"/>
      <w:bookmarkStart w:id="289" w:name="_Toc233036426"/>
      <w:r w:rsidR="00B20878" w:rsidRPr="00D901C7">
        <w:t>S</w:t>
      </w:r>
      <w:r w:rsidR="008F5D01" w:rsidRPr="00D901C7">
        <w:t>ugar cane</w:t>
      </w:r>
      <w:bookmarkEnd w:id="288"/>
      <w:bookmarkEnd w:id="289"/>
    </w:p>
    <w:p w14:paraId="4C2C5FE3" w14:textId="791D31BC" w:rsidR="008F5D01" w:rsidRPr="00D63217" w:rsidRDefault="008F5D01" w:rsidP="008F5D01">
      <w:pPr>
        <w:pStyle w:val="NormalText"/>
      </w:pPr>
      <w:r w:rsidRPr="00D63217">
        <w:t xml:space="preserve">Australian label rates for sugar cane are: 0.432 kg </w:t>
      </w:r>
      <w:r w:rsidR="00FC430E" w:rsidRPr="00D63217">
        <w:t>ac/ha</w:t>
      </w:r>
      <w:r w:rsidRPr="00D63217">
        <w:t xml:space="preserve"> for pre-sowing applications; and 0.4 kg </w:t>
      </w:r>
      <w:r w:rsidR="00FC430E" w:rsidRPr="00D63217">
        <w:t>ac/ha</w:t>
      </w:r>
      <w:r w:rsidRPr="00D63217">
        <w:t xml:space="preserve"> for post-emergent treatments which include over the top spraying of cane at the 3 to 4 leaf stage and directed inter-row spraying after cane has reached the ¾ leaf stage. The current Australian MRL for cane is *0.05 mg/kg.</w:t>
      </w:r>
    </w:p>
    <w:p w14:paraId="60469371" w14:textId="3E098C84" w:rsidR="008F5D01" w:rsidRPr="00D63217" w:rsidRDefault="008F5D01" w:rsidP="008F5D01">
      <w:pPr>
        <w:pStyle w:val="NormalText"/>
      </w:pPr>
      <w:r w:rsidRPr="00D63217">
        <w:t>Available data for sugarcane consists of Argentinian trials involving a pre-harvest treatment 7 days before harvest</w:t>
      </w:r>
      <w:r w:rsidR="00373EF1" w:rsidRPr="00D63217">
        <w:t xml:space="preserve"> (Anon., n.d.(</w:t>
      </w:r>
      <w:r w:rsidR="00BE3D0D" w:rsidRPr="00D63217">
        <w:t>b</w:t>
      </w:r>
      <w:r w:rsidR="00373EF1" w:rsidRPr="00D63217">
        <w:t>))</w:t>
      </w:r>
      <w:r w:rsidRPr="00D63217">
        <w:t>. Suitable trial data reflective of the Australian pre-emergent, post emergent or inter-row treatments have not been submitted for sugar cane. Data on the post-emergent application, particularly the over-the-top spraying are required to support this specific use pattern.</w:t>
      </w:r>
    </w:p>
    <w:p w14:paraId="3F679216" w14:textId="41D9D46F" w:rsidR="008F5D01" w:rsidRPr="00D63217" w:rsidRDefault="008F5D01" w:rsidP="008F5D01">
      <w:pPr>
        <w:pStyle w:val="NormalText"/>
      </w:pPr>
      <w:r w:rsidRPr="00D63217">
        <w:t>Metabolism data indicate that pre-emergent or post-emergent directed spraying is unlikely to result in detectable residues in sugar cane</w:t>
      </w:r>
      <w:r w:rsidR="007E3ABE" w:rsidRPr="00D63217">
        <w:t xml:space="preserve"> (</w:t>
      </w:r>
      <w:bookmarkStart w:id="290" w:name="_Hlk171437687"/>
      <w:r w:rsidR="007E3ABE" w:rsidRPr="00D63217">
        <w:t>California Chemical Compan</w:t>
      </w:r>
      <w:bookmarkEnd w:id="290"/>
      <w:r w:rsidR="007E3ABE" w:rsidRPr="00D63217">
        <w:t>y, 1965)</w:t>
      </w:r>
      <w:r w:rsidRPr="00D63217">
        <w:t xml:space="preserve">. A plethora of pre-emergent data for fruits, vegetables, cereals and oilseeds supports the conclusion that residues above the LOQ should not occur in sugar cane at harvest following the pre-emergent or directed (inter-row) treatment and these uses therefore can be supported from a </w:t>
      </w:r>
      <w:r w:rsidR="007833A6" w:rsidRPr="00D63217">
        <w:t>residue’s</w:t>
      </w:r>
      <w:r w:rsidRPr="00D63217">
        <w:t xml:space="preserve"> perspective.</w:t>
      </w:r>
    </w:p>
    <w:p w14:paraId="036D0701" w14:textId="46D12329" w:rsidR="008F5D01" w:rsidRPr="00D63217" w:rsidRDefault="008F5D01" w:rsidP="008F5D01">
      <w:pPr>
        <w:pStyle w:val="NormalText"/>
      </w:pPr>
      <w:r w:rsidRPr="00D63217">
        <w:t>However, Australian labels currently include over the top spraying at 3-4 leaf stage. Post emergent applications can result in direct contact with plants and can potentially result in quantifiable residues</w:t>
      </w:r>
      <w:r w:rsidR="007A41D1">
        <w:t>.</w:t>
      </w:r>
      <w:r w:rsidRPr="00D63217">
        <w:t xml:space="preserve"> The continued post-emergent use on sugar cane </w:t>
      </w:r>
      <w:r w:rsidR="00BF2279">
        <w:t>initially</w:t>
      </w:r>
      <w:r w:rsidRPr="00D63217">
        <w:t xml:space="preserve"> </w:t>
      </w:r>
      <w:r w:rsidR="007A41D1">
        <w:t xml:space="preserve">was </w:t>
      </w:r>
      <w:r w:rsidRPr="00D63217">
        <w:t>not supported from a Residues and Trade perspective due to a lack of residues data relevant to that use pattern.</w:t>
      </w:r>
    </w:p>
    <w:p w14:paraId="57A74778" w14:textId="2597AEB9" w:rsidR="009A2B0F" w:rsidRDefault="007A41D1" w:rsidP="009A2B0F">
      <w:pPr>
        <w:pStyle w:val="NormalText"/>
      </w:pPr>
      <w:r>
        <w:t>I</w:t>
      </w:r>
      <w:r w:rsidR="00BF2279" w:rsidRPr="00BF2279">
        <w:t xml:space="preserve">n response to the initial </w:t>
      </w:r>
      <w:r w:rsidR="00BF2279">
        <w:t>consultation</w:t>
      </w:r>
      <w:r w:rsidR="00BF2279" w:rsidRPr="00BF2279">
        <w:t>, 4 studies conducted on sugar cane grown in Brazil</w:t>
      </w:r>
      <w:r w:rsidR="00940C9C" w:rsidRPr="00940C9C">
        <w:t xml:space="preserve"> </w:t>
      </w:r>
      <w:r w:rsidR="00940C9C">
        <w:t xml:space="preserve">were </w:t>
      </w:r>
      <w:r w:rsidR="00940C9C" w:rsidRPr="00BF2279">
        <w:t>submitted</w:t>
      </w:r>
      <w:r w:rsidR="00BF2279" w:rsidRPr="00BF2279">
        <w:t xml:space="preserve">. Two studies were relevant involving application at 600 g ai/ha (1.5×) at BBCH 23-36 (i.e. after leaf development) in one study or 7-8 leaves in the other. Both application timings are later than previously allowed. Residues were &lt;0.01 (4) and &lt;0.05 (2) mg/kg, i.e. below the respective study LOQ. The previously allowed over the top post-emergent application to sugar cane up the 3 to 4 leaf stage can therefore now be supported without any changes required to the current MRL of *0.05 mg/kg for paraquat on GS 0659 Sugar cane. Based on the residue data considered previously for other grass crops, the paraquat </w:t>
      </w:r>
      <w:r w:rsidR="009A2B0F">
        <w:t>p</w:t>
      </w:r>
      <w:r w:rsidR="009A2B0F" w:rsidRPr="00BF2279">
        <w:t xml:space="preserve">rimary </w:t>
      </w:r>
      <w:r w:rsidR="00BF2279" w:rsidRPr="00BF2279">
        <w:t>feed commodities MRL at 500 mg/kg should be sufficient to cover residues in sugarcane forage and fodder at a 1 day grazing withholding period for this over-the-top use, noting the higher biomass for sugarcane compared to other grasses.</w:t>
      </w:r>
    </w:p>
    <w:p w14:paraId="24064EDC" w14:textId="53FDEE6B" w:rsidR="008F5D01" w:rsidRPr="00D901C7" w:rsidRDefault="009A2B0F" w:rsidP="00D901C7">
      <w:pPr>
        <w:pStyle w:val="Heading2"/>
      </w:pPr>
      <w:r w:rsidRPr="00D901C7">
        <w:lastRenderedPageBreak/>
        <w:t xml:space="preserve"> </w:t>
      </w:r>
      <w:r w:rsidRPr="00D901C7">
        <w:tab/>
      </w:r>
      <w:bookmarkStart w:id="291" w:name="_Toc231480875"/>
      <w:bookmarkStart w:id="292" w:name="_Toc233036427"/>
      <w:r w:rsidR="00B20878" w:rsidRPr="00D901C7">
        <w:t>H</w:t>
      </w:r>
      <w:r w:rsidR="008F5D01" w:rsidRPr="00D901C7">
        <w:t>ops</w:t>
      </w:r>
      <w:bookmarkEnd w:id="291"/>
      <w:bookmarkEnd w:id="292"/>
    </w:p>
    <w:p w14:paraId="378910F6" w14:textId="42435B9C" w:rsidR="008F5D01" w:rsidRPr="00D63217" w:rsidRDefault="008F5D01" w:rsidP="008F5D01">
      <w:pPr>
        <w:pStyle w:val="NormalText"/>
      </w:pPr>
      <w:r w:rsidRPr="00D63217">
        <w:t xml:space="preserve">The maximum Australian label rate is up to 0.4 kg </w:t>
      </w:r>
      <w:r w:rsidR="00FC430E" w:rsidRPr="00D63217">
        <w:t>ac/ha</w:t>
      </w:r>
      <w:r w:rsidRPr="00D63217">
        <w:t xml:space="preserve"> for hops. The current MRL for hops is 0.2 mg/kg. Overseas trial data from Canada, Germany and the USA on hops treated at 1 to 2.8 kg </w:t>
      </w:r>
      <w:r w:rsidR="00FC430E" w:rsidRPr="00D63217">
        <w:t>ac/ha</w:t>
      </w:r>
      <w:r w:rsidRPr="00D63217">
        <w:t xml:space="preserve"> found no paraquat residues above the LOQ (0.01, 0.05 or 0.1 mg/kg) mg/kg in dried and fresh hops. No residues were detected in processed hops treated at 2.8 kg </w:t>
      </w:r>
      <w:r w:rsidR="00FC430E" w:rsidRPr="00D63217">
        <w:t>ac/ha</w:t>
      </w:r>
      <w:r w:rsidRPr="00D63217">
        <w:t xml:space="preserve">. In Australian data for hops, paraquat residues were &lt;0.05 mg/kg (n = 2) at 12 – 14 days after 2-3 applications at 432 g </w:t>
      </w:r>
      <w:r w:rsidR="00FC430E" w:rsidRPr="00D63217">
        <w:t>ac/ha</w:t>
      </w:r>
      <w:r w:rsidRPr="00D63217">
        <w:t xml:space="preserve"> by inter row boom spray</w:t>
      </w:r>
      <w:r w:rsidR="00875B69" w:rsidRPr="00D63217">
        <w:t xml:space="preserve"> (Anon., n.d.(</w:t>
      </w:r>
      <w:r w:rsidR="00A201A4" w:rsidRPr="00D63217">
        <w:t>b</w:t>
      </w:r>
      <w:r w:rsidR="00875B69" w:rsidRPr="00D63217">
        <w:t>); Roper, 1989(</w:t>
      </w:r>
      <w:r w:rsidR="00247CBF" w:rsidRPr="00D63217">
        <w:t>l</w:t>
      </w:r>
      <w:r w:rsidR="00875B69" w:rsidRPr="00D63217">
        <w:t>); Anon., 1979)</w:t>
      </w:r>
      <w:r w:rsidRPr="00D63217">
        <w:t>.</w:t>
      </w:r>
    </w:p>
    <w:p w14:paraId="150CF859" w14:textId="77777777" w:rsidR="008F5D01" w:rsidRPr="00D63217" w:rsidRDefault="008F5D01" w:rsidP="008F5D01">
      <w:pPr>
        <w:pStyle w:val="NormalText"/>
      </w:pPr>
      <w:r w:rsidRPr="00D63217">
        <w:t>The available paraquat residues data support continued use in hops. The recommended entry into the MRL Standard for hops is as follows noting that the LOQ in the majority of hops trials was 0.05 mg/kg:</w:t>
      </w:r>
    </w:p>
    <w:p w14:paraId="74858520" w14:textId="02A4962F" w:rsidR="008F5D01" w:rsidRPr="00D63217" w:rsidRDefault="008F5D01" w:rsidP="008F5D01">
      <w:pPr>
        <w:pStyle w:val="NormalText"/>
      </w:pPr>
      <w:r w:rsidRPr="00D63217">
        <w:tab/>
        <w:t>DH 1100 Hops, dry</w:t>
      </w:r>
      <w:r w:rsidRPr="00D63217">
        <w:tab/>
      </w:r>
      <w:r w:rsidRPr="00D63217">
        <w:tab/>
      </w:r>
      <w:r w:rsidR="00B80806" w:rsidRPr="00D63217">
        <w:tab/>
      </w:r>
      <w:r w:rsidR="00B80806" w:rsidRPr="00D63217">
        <w:tab/>
      </w:r>
      <w:r w:rsidR="00B80806" w:rsidRPr="00D63217">
        <w:tab/>
      </w:r>
      <w:r w:rsidR="00B80806" w:rsidRPr="00D63217">
        <w:tab/>
      </w:r>
      <w:r w:rsidR="00B80806" w:rsidRPr="00D63217">
        <w:tab/>
      </w:r>
      <w:r w:rsidR="00B80806" w:rsidRPr="00D63217">
        <w:tab/>
      </w:r>
      <w:r w:rsidRPr="00D63217">
        <w:t>*0.05 mg/kg</w:t>
      </w:r>
    </w:p>
    <w:p w14:paraId="4AACF9A1" w14:textId="77777777" w:rsidR="008F5D01" w:rsidRPr="00D63217" w:rsidRDefault="008F5D01" w:rsidP="008F5D01">
      <w:pPr>
        <w:pStyle w:val="NormalText"/>
      </w:pPr>
      <w:r w:rsidRPr="00D63217">
        <w:t>As the use is targeting inter-row weeds and not the crop, a harvest withholding period statement of ‘Not required when used as directed’ is supported for hops.</w:t>
      </w:r>
    </w:p>
    <w:p w14:paraId="049DACFE" w14:textId="42DE477E" w:rsidR="008F5D01" w:rsidRPr="00D63217" w:rsidRDefault="009A2B0F" w:rsidP="00B20878">
      <w:pPr>
        <w:pStyle w:val="Heading2"/>
      </w:pPr>
      <w:r>
        <w:t xml:space="preserve"> </w:t>
      </w:r>
      <w:r>
        <w:tab/>
      </w:r>
      <w:bookmarkStart w:id="293" w:name="_Toc231480876"/>
      <w:bookmarkStart w:id="294" w:name="_Toc233036428"/>
      <w:r w:rsidR="00B20878" w:rsidRPr="00D63217">
        <w:t>H</w:t>
      </w:r>
      <w:r w:rsidR="008F5D01" w:rsidRPr="00D63217">
        <w:t>erbs and spices</w:t>
      </w:r>
      <w:bookmarkEnd w:id="293"/>
      <w:bookmarkEnd w:id="294"/>
    </w:p>
    <w:p w14:paraId="30024778" w14:textId="77777777" w:rsidR="008F5D01" w:rsidRPr="00D63217" w:rsidRDefault="008F5D01" w:rsidP="008F5D01">
      <w:pPr>
        <w:pStyle w:val="NormalText"/>
      </w:pPr>
      <w:r w:rsidRPr="00D63217">
        <w:t>No residues data for herbs and spices have been provided.</w:t>
      </w:r>
    </w:p>
    <w:p w14:paraId="5F3DF55C" w14:textId="3EF1E0C9" w:rsidR="008F5D01" w:rsidRPr="00D63217" w:rsidRDefault="008F5D01" w:rsidP="008F5D01">
      <w:pPr>
        <w:pStyle w:val="NormalText"/>
      </w:pPr>
      <w:r w:rsidRPr="00D63217">
        <w:t xml:space="preserve">Herbs and spices are also grown in market gardens and hence have a potential label use pattern; namely that of a pre-planting/pre-emergent application up to 0.5 kg </w:t>
      </w:r>
      <w:r w:rsidR="00FC430E" w:rsidRPr="00D63217">
        <w:t>ac/ha</w:t>
      </w:r>
      <w:r w:rsidRPr="00D63217">
        <w:t xml:space="preserve"> and post-emergent directed spray at up to 0.6 kg </w:t>
      </w:r>
      <w:r w:rsidR="00FC430E" w:rsidRPr="00D63217">
        <w:t>ac/ha</w:t>
      </w:r>
      <w:r w:rsidRPr="00D63217">
        <w:t>. Data for pre-emergent use in a plethora of fruit, vegetable, cereal and oilseed crops, including leafy vegetables which are physiologically similar to herbs, show that no detectable residues would be expected under these pre-emergent use patterns and hence MRL at the LOQ of *0.05 mg/kg can be considered for herbs and spices.</w:t>
      </w:r>
    </w:p>
    <w:p w14:paraId="3C874174" w14:textId="77777777" w:rsidR="008F5D01" w:rsidRPr="00D63217" w:rsidRDefault="008F5D01" w:rsidP="008F5D01">
      <w:pPr>
        <w:pStyle w:val="NormalText"/>
      </w:pPr>
      <w:r w:rsidRPr="00D63217">
        <w:t>As the use is pre-emergent or targets inter-row weeds and not the crop, a harvest withholding period statement of ‘Not required when used as directed’ is supported for herbs and spices.</w:t>
      </w:r>
    </w:p>
    <w:p w14:paraId="53F091E7" w14:textId="77777777" w:rsidR="008F5D01" w:rsidRPr="00D63217" w:rsidRDefault="008F5D01" w:rsidP="008F5D01">
      <w:pPr>
        <w:pStyle w:val="NormalText"/>
      </w:pPr>
      <w:r w:rsidRPr="00D63217">
        <w:t>The recommended entry into the MRL Standard for herbs and spices are:</w:t>
      </w:r>
    </w:p>
    <w:p w14:paraId="4F1A3B3C" w14:textId="05130A74" w:rsidR="008F5D01" w:rsidRPr="00D63217" w:rsidRDefault="008F5D01" w:rsidP="008F5D01">
      <w:pPr>
        <w:pStyle w:val="NormalText"/>
      </w:pPr>
      <w:r w:rsidRPr="00D63217">
        <w:tab/>
        <w:t>HH 0092 Herbs</w:t>
      </w:r>
      <w:r w:rsidRPr="00D63217">
        <w:tab/>
      </w:r>
      <w:r w:rsidRPr="00D63217">
        <w:tab/>
      </w:r>
      <w:r w:rsidR="00B80806" w:rsidRPr="00D63217">
        <w:tab/>
      </w:r>
      <w:r w:rsidR="00B80806" w:rsidRPr="00D63217">
        <w:tab/>
      </w:r>
      <w:r w:rsidR="00B80806" w:rsidRPr="00D63217">
        <w:tab/>
      </w:r>
      <w:r w:rsidR="00B80806" w:rsidRPr="00D63217">
        <w:tab/>
      </w:r>
      <w:r w:rsidR="00B80806" w:rsidRPr="00D63217">
        <w:tab/>
      </w:r>
      <w:r w:rsidR="00B80806" w:rsidRPr="00D63217">
        <w:tab/>
      </w:r>
      <w:r w:rsidRPr="00D63217">
        <w:t>*0.05 mg/kg</w:t>
      </w:r>
    </w:p>
    <w:p w14:paraId="6AFCD609" w14:textId="146CA3F5" w:rsidR="008F5D01" w:rsidRPr="00D63217" w:rsidRDefault="008F5D01" w:rsidP="008F5D01">
      <w:pPr>
        <w:pStyle w:val="NormalText"/>
      </w:pPr>
      <w:r w:rsidRPr="00D63217">
        <w:tab/>
        <w:t>HS 0093 Spices</w:t>
      </w:r>
      <w:r w:rsidRPr="00D63217">
        <w:tab/>
      </w:r>
      <w:r w:rsidRPr="00D63217">
        <w:tab/>
      </w:r>
      <w:r w:rsidR="00B80806" w:rsidRPr="00D63217">
        <w:tab/>
      </w:r>
      <w:r w:rsidR="00B80806" w:rsidRPr="00D63217">
        <w:tab/>
      </w:r>
      <w:r w:rsidR="00B80806" w:rsidRPr="00D63217">
        <w:tab/>
      </w:r>
      <w:r w:rsidR="00B80806" w:rsidRPr="00D63217">
        <w:tab/>
      </w:r>
      <w:r w:rsidR="00B80806" w:rsidRPr="00D63217">
        <w:tab/>
      </w:r>
      <w:r w:rsidR="00B80806" w:rsidRPr="00D63217">
        <w:tab/>
      </w:r>
      <w:r w:rsidRPr="00D63217">
        <w:t>*0.05 mg/kg</w:t>
      </w:r>
    </w:p>
    <w:p w14:paraId="481B3649" w14:textId="6FF6A2AA" w:rsidR="001A096D" w:rsidRPr="00D63217" w:rsidRDefault="00F06860" w:rsidP="001A096D">
      <w:pPr>
        <w:pStyle w:val="Heading2"/>
      </w:pPr>
      <w:bookmarkStart w:id="295" w:name="_Toc157628258"/>
      <w:r>
        <w:t xml:space="preserve"> </w:t>
      </w:r>
      <w:r>
        <w:tab/>
      </w:r>
      <w:bookmarkStart w:id="296" w:name="_Toc231480877"/>
      <w:bookmarkStart w:id="297" w:name="_Toc233036429"/>
      <w:r w:rsidR="001A096D" w:rsidRPr="00D63217">
        <w:t>Processed commodities</w:t>
      </w:r>
      <w:bookmarkEnd w:id="296"/>
      <w:bookmarkEnd w:id="297"/>
    </w:p>
    <w:p w14:paraId="56FE5746" w14:textId="011C7724" w:rsidR="001A096D" w:rsidRPr="00D63217" w:rsidRDefault="001A096D" w:rsidP="001A096D">
      <w:pPr>
        <w:pStyle w:val="NormalText"/>
      </w:pPr>
      <w:r w:rsidRPr="00D63217">
        <w:t>Processing data demonstrated that residues of paraquat in major food processed items (flour, peeled potatoes, malt, sugar, oil, juice and beer) can be reduced by processing.</w:t>
      </w:r>
    </w:p>
    <w:p w14:paraId="76670094" w14:textId="2D1E5367" w:rsidR="001A096D" w:rsidRPr="00D63217" w:rsidRDefault="001A096D" w:rsidP="001A096D">
      <w:pPr>
        <w:pStyle w:val="NormalText"/>
      </w:pPr>
      <w:r w:rsidRPr="00D63217">
        <w:t>Data from processing studies demonstrated that paraquat does not concentrate in oil produced from cereal grains, oilseeds or olives. Application at label rates to cereals, olives and oilseeds is unlikely to produce detectable residues in oil</w:t>
      </w:r>
      <w:r w:rsidR="0072113F" w:rsidRPr="00D63217">
        <w:t xml:space="preserve"> </w:t>
      </w:r>
      <w:r w:rsidR="00C756FA" w:rsidRPr="00D63217">
        <w:t>(</w:t>
      </w:r>
      <w:r w:rsidR="0072113F" w:rsidRPr="00D63217">
        <w:t>Anon</w:t>
      </w:r>
      <w:r w:rsidR="00C756FA" w:rsidRPr="00D63217">
        <w:t xml:space="preserve">., </w:t>
      </w:r>
      <w:r w:rsidR="0072113F" w:rsidRPr="00D63217">
        <w:t>1973</w:t>
      </w:r>
      <w:r w:rsidR="00C756FA" w:rsidRPr="00D63217">
        <w:t xml:space="preserve">; </w:t>
      </w:r>
      <w:r w:rsidR="0072113F" w:rsidRPr="00D63217">
        <w:t>Kennedy</w:t>
      </w:r>
      <w:r w:rsidR="00C756FA" w:rsidRPr="00D63217">
        <w:t xml:space="preserve">, </w:t>
      </w:r>
      <w:r w:rsidR="0072113F" w:rsidRPr="00D63217">
        <w:t>1985</w:t>
      </w:r>
      <w:r w:rsidR="00C756FA" w:rsidRPr="00D63217">
        <w:t>;</w:t>
      </w:r>
      <w:r w:rsidR="0072113F" w:rsidRPr="00D63217">
        <w:t xml:space="preserve"> Rope</w:t>
      </w:r>
      <w:r w:rsidR="00247CBF" w:rsidRPr="00D63217">
        <w:t>r</w:t>
      </w:r>
      <w:r w:rsidR="00C756FA" w:rsidRPr="00D63217">
        <w:t xml:space="preserve">, </w:t>
      </w:r>
      <w:r w:rsidR="0072113F" w:rsidRPr="00D63217">
        <w:t>1989(j, aa, ab</w:t>
      </w:r>
      <w:r w:rsidR="00C756FA" w:rsidRPr="00D63217">
        <w:t>, ac</w:t>
      </w:r>
      <w:r w:rsidR="0072113F" w:rsidRPr="00D63217">
        <w:t>)</w:t>
      </w:r>
      <w:r w:rsidR="00C756FA" w:rsidRPr="00D63217">
        <w:t>;</w:t>
      </w:r>
      <w:r w:rsidR="0072113F" w:rsidRPr="00D63217">
        <w:t xml:space="preserve"> Anderson and Earl</w:t>
      </w:r>
      <w:r w:rsidR="00C756FA" w:rsidRPr="00D63217">
        <w:t xml:space="preserve">, </w:t>
      </w:r>
      <w:r w:rsidR="0072113F" w:rsidRPr="00D63217">
        <w:t>1993</w:t>
      </w:r>
      <w:r w:rsidR="00C756FA" w:rsidRPr="00D63217">
        <w:t xml:space="preserve">; </w:t>
      </w:r>
      <w:r w:rsidR="0072113F" w:rsidRPr="00D63217">
        <w:t>Dick et al, 1995; Calderbank and McKenna</w:t>
      </w:r>
      <w:r w:rsidR="00C756FA" w:rsidRPr="00D63217">
        <w:t xml:space="preserve">, </w:t>
      </w:r>
      <w:r w:rsidR="0072113F" w:rsidRPr="00D63217">
        <w:t>1964</w:t>
      </w:r>
      <w:r w:rsidR="00C756FA" w:rsidRPr="00D63217">
        <w:t>; Roper and Elvira, 1996)</w:t>
      </w:r>
      <w:r w:rsidR="0072113F" w:rsidRPr="00D63217">
        <w:t>.</w:t>
      </w:r>
    </w:p>
    <w:p w14:paraId="688E1A09" w14:textId="14FC964B" w:rsidR="001A096D" w:rsidRPr="00D63217" w:rsidRDefault="001A096D" w:rsidP="001A096D">
      <w:pPr>
        <w:pStyle w:val="NormalText"/>
      </w:pPr>
      <w:r w:rsidRPr="00D63217">
        <w:lastRenderedPageBreak/>
        <w:t xml:space="preserve">Potatoes exposed to pre-harvest desiccant applications of paraquat demonstrated decreases in residues by </w:t>
      </w:r>
      <w:r w:rsidRPr="00D63217">
        <w:rPr>
          <w:rFonts w:ascii="Tahoma" w:hAnsi="Tahoma" w:cs="Tahoma"/>
        </w:rPr>
        <w:t>⁓</w:t>
      </w:r>
      <w:r w:rsidRPr="00D63217">
        <w:t>70% after peeling</w:t>
      </w:r>
      <w:r w:rsidR="0072113F" w:rsidRPr="00D63217">
        <w:t xml:space="preserve"> (Roper, 1989 (z); Alary et al, 1974)</w:t>
      </w:r>
      <w:r w:rsidRPr="00D63217">
        <w:t>.</w:t>
      </w:r>
    </w:p>
    <w:p w14:paraId="2E89B73E" w14:textId="080FFB60" w:rsidR="001A096D" w:rsidRPr="00D63217" w:rsidRDefault="001A096D" w:rsidP="001A096D">
      <w:pPr>
        <w:pStyle w:val="NormalText"/>
      </w:pPr>
      <w:r w:rsidRPr="00D63217">
        <w:t xml:space="preserve">Juice from pineapples exposed to exaggerated rates of paraquat (11 kg </w:t>
      </w:r>
      <w:r w:rsidR="00FC430E" w:rsidRPr="00D63217">
        <w:t>ac/ha</w:t>
      </w:r>
      <w:r w:rsidRPr="00D63217">
        <w:t>) decreased by 25% from the raw fruit. Under normal label rates no residues would be expected in fruit juices</w:t>
      </w:r>
      <w:r w:rsidR="00C756FA" w:rsidRPr="00D63217">
        <w:t xml:space="preserve"> (Roper, 1989(af))</w:t>
      </w:r>
      <w:r w:rsidRPr="00D63217">
        <w:t>.</w:t>
      </w:r>
    </w:p>
    <w:p w14:paraId="7447958B" w14:textId="68F3468E" w:rsidR="001A096D" w:rsidRPr="00D63217" w:rsidRDefault="001A096D" w:rsidP="001A096D">
      <w:pPr>
        <w:pStyle w:val="NormalText"/>
      </w:pPr>
      <w:r w:rsidRPr="00D63217">
        <w:t>Residues in refined sugar would not be expected under GAP. Residues in malt derived from treated barley would be expected to decrease by 20 to 70%</w:t>
      </w:r>
      <w:r w:rsidR="00C756FA" w:rsidRPr="00D63217">
        <w:t xml:space="preserve"> (Roper, 1989(ad, ae))</w:t>
      </w:r>
      <w:r w:rsidRPr="00D63217">
        <w:t>.</w:t>
      </w:r>
    </w:p>
    <w:p w14:paraId="7940F565" w14:textId="57E69D96" w:rsidR="001A096D" w:rsidRPr="00D63217" w:rsidRDefault="001A096D" w:rsidP="001A096D">
      <w:pPr>
        <w:pStyle w:val="NormalText"/>
      </w:pPr>
      <w:r w:rsidRPr="00D63217">
        <w:t>Processing studies did show that paraquat would concentrate in the outer covering of cereal grains and oilseeds by 2 to 5 times. However</w:t>
      </w:r>
      <w:r w:rsidR="005229C6" w:rsidRPr="00D63217">
        <w:t>,</w:t>
      </w:r>
      <w:r w:rsidRPr="00D63217">
        <w:t xml:space="preserve"> residues in flour would decrease by 70 to 90%</w:t>
      </w:r>
      <w:r w:rsidR="00C756FA" w:rsidRPr="00D63217">
        <w:t xml:space="preserve"> (Roper, 1989(aa))</w:t>
      </w:r>
      <w:r w:rsidRPr="00D63217">
        <w:t>.</w:t>
      </w:r>
    </w:p>
    <w:p w14:paraId="4C13264A" w14:textId="77777777" w:rsidR="001A096D" w:rsidRPr="00D901C7" w:rsidRDefault="001A096D" w:rsidP="00D901C7">
      <w:pPr>
        <w:pStyle w:val="Heading3"/>
      </w:pPr>
      <w:bookmarkStart w:id="298" w:name="_Toc231480878"/>
      <w:bookmarkStart w:id="299" w:name="_Toc233036430"/>
      <w:r w:rsidRPr="00D901C7">
        <w:t>Vegetable oil</w:t>
      </w:r>
      <w:bookmarkEnd w:id="298"/>
      <w:bookmarkEnd w:id="299"/>
    </w:p>
    <w:p w14:paraId="15B0D5CD" w14:textId="682B4E0B" w:rsidR="001A096D" w:rsidRPr="00D63217" w:rsidRDefault="001A096D" w:rsidP="001A096D">
      <w:pPr>
        <w:pStyle w:val="NormalText"/>
      </w:pPr>
      <w:r w:rsidRPr="00D63217">
        <w:t>Vegetable oils can be derived from a variety of sources: cottonseed; peanuts; other oilseeds; olives and pulses. Except for cotton seed which has a proposed MRL of 0.2 mg/kg, the remaining commodities have proposed MRLs at the LOQ (generally 0.05 mg/kg). Processing studies</w:t>
      </w:r>
      <w:r w:rsidR="00C756FA" w:rsidRPr="00D63217">
        <w:t xml:space="preserve"> described above</w:t>
      </w:r>
      <w:r w:rsidRPr="00D63217">
        <w:t xml:space="preserve"> have indicated that even with residues of 0.2 mg/kg in the primary commodity, no residues above the LOQ were detected in oil. </w:t>
      </w:r>
      <w:r w:rsidR="007833A6" w:rsidRPr="00D63217">
        <w:t>Therefore,</w:t>
      </w:r>
      <w:r w:rsidRPr="00D63217">
        <w:t xml:space="preserve"> an MRL can be established at the LOQ (0.05 mg/kg).</w:t>
      </w:r>
    </w:p>
    <w:p w14:paraId="3C06E90C" w14:textId="77777777" w:rsidR="001A096D" w:rsidRPr="00D63217" w:rsidRDefault="001A096D" w:rsidP="001A096D">
      <w:pPr>
        <w:pStyle w:val="NormalText"/>
      </w:pPr>
      <w:r w:rsidRPr="00D63217">
        <w:t>The recommended entry into the MRL Standard for edible vegetable oil is:</w:t>
      </w:r>
    </w:p>
    <w:p w14:paraId="70274773" w14:textId="6ECA3860" w:rsidR="001A096D" w:rsidRPr="00D63217" w:rsidRDefault="001A096D" w:rsidP="001A096D">
      <w:pPr>
        <w:pStyle w:val="NormalText"/>
      </w:pPr>
      <w:r w:rsidRPr="00D63217">
        <w:tab/>
        <w:t>OR 0172 Vegetable oils, edible</w:t>
      </w:r>
      <w:r w:rsidRPr="00D63217">
        <w:tab/>
      </w:r>
      <w:r w:rsidR="00B80806" w:rsidRPr="00D63217">
        <w:tab/>
      </w:r>
      <w:r w:rsidR="00B80806" w:rsidRPr="00D63217">
        <w:tab/>
      </w:r>
      <w:r w:rsidR="00B80806" w:rsidRPr="00D63217">
        <w:tab/>
      </w:r>
      <w:r w:rsidR="00B80806" w:rsidRPr="00D63217">
        <w:tab/>
      </w:r>
      <w:r w:rsidR="00B80806" w:rsidRPr="00D63217">
        <w:tab/>
      </w:r>
      <w:r w:rsidRPr="00D63217">
        <w:t>*0.05 mg/kg</w:t>
      </w:r>
    </w:p>
    <w:p w14:paraId="47EAC2CF" w14:textId="55363A9E" w:rsidR="00B20878" w:rsidRPr="00D63217" w:rsidRDefault="009A2B0F" w:rsidP="00B20878">
      <w:pPr>
        <w:pStyle w:val="Heading2"/>
      </w:pPr>
      <w:r>
        <w:t xml:space="preserve"> </w:t>
      </w:r>
      <w:r>
        <w:tab/>
      </w:r>
      <w:bookmarkStart w:id="300" w:name="_Toc231480879"/>
      <w:bookmarkStart w:id="301" w:name="_Toc233036431"/>
      <w:r w:rsidR="00B20878" w:rsidRPr="00D63217">
        <w:t>Residues in animal feed commodities</w:t>
      </w:r>
      <w:bookmarkEnd w:id="295"/>
      <w:bookmarkEnd w:id="300"/>
      <w:bookmarkEnd w:id="301"/>
    </w:p>
    <w:p w14:paraId="62D71447" w14:textId="7A1373E2" w:rsidR="00B20878" w:rsidRPr="00D63217" w:rsidRDefault="00B20878" w:rsidP="00B20878">
      <w:pPr>
        <w:pStyle w:val="NormalText"/>
      </w:pPr>
      <w:r w:rsidRPr="00D63217">
        <w:t>The current MRL for animal feed commodities is 500 mg/kg for primary feed commodities.</w:t>
      </w:r>
    </w:p>
    <w:p w14:paraId="7031E2AD" w14:textId="1AB1BFF8" w:rsidR="00B20878" w:rsidRPr="00D63217" w:rsidRDefault="00B20878" w:rsidP="00B20878">
      <w:pPr>
        <w:pStyle w:val="NormalText"/>
      </w:pPr>
      <w:r w:rsidRPr="00D63217">
        <w:t xml:space="preserve">The critical use will be for pastures where the grazing WHP is 1 day (except for horses which is 7 days) and application rates are up to 0.6 kg </w:t>
      </w:r>
      <w:r w:rsidR="00FC430E" w:rsidRPr="00D63217">
        <w:t>ac/ha</w:t>
      </w:r>
      <w:r w:rsidRPr="00D63217">
        <w:t>.</w:t>
      </w:r>
    </w:p>
    <w:p w14:paraId="2D7E0675" w14:textId="77777777" w:rsidR="00B20878" w:rsidRPr="00D63217" w:rsidRDefault="00B20878" w:rsidP="00B20878">
      <w:pPr>
        <w:pStyle w:val="Heading3"/>
      </w:pPr>
      <w:bookmarkStart w:id="302" w:name="_Toc231480880"/>
      <w:bookmarkStart w:id="303" w:name="_Toc233036432"/>
      <w:r w:rsidRPr="00D63217">
        <w:t>Animal feeds derived from grasses</w:t>
      </w:r>
      <w:bookmarkEnd w:id="302"/>
      <w:bookmarkEnd w:id="303"/>
    </w:p>
    <w:p w14:paraId="3205292E" w14:textId="3231FE9F" w:rsidR="00B20878" w:rsidRPr="00D63217" w:rsidRDefault="00B20878" w:rsidP="00B20878">
      <w:pPr>
        <w:pStyle w:val="NormalText"/>
      </w:pPr>
      <w:r w:rsidRPr="00D63217">
        <w:t xml:space="preserve">In pre-emergence grass pasture trials from the US indicate that at Australian rates up to 0.6 kg </w:t>
      </w:r>
      <w:r w:rsidR="00FC430E" w:rsidRPr="00D63217">
        <w:t>ac/ha</w:t>
      </w:r>
      <w:r w:rsidRPr="00D63217">
        <w:t>, no detectable residues in grass forage or hay would be expected. No residues are expected in cereal grain forage or fodder as the use pattern is solely a pre-emergent/pre-sowing one</w:t>
      </w:r>
      <w:r w:rsidR="00152843" w:rsidRPr="00D63217">
        <w:t xml:space="preserve"> (Calderbank and McKenna, 1964; Roper, EM (1989(an,</w:t>
      </w:r>
      <w:r w:rsidR="009A2B0F">
        <w:t xml:space="preserve"> </w:t>
      </w:r>
      <w:r w:rsidR="00152843" w:rsidRPr="00D63217">
        <w:t>ao))</w:t>
      </w:r>
      <w:r w:rsidRPr="00D63217">
        <w:t>. The hay-freezing use on some labels would be expected to be covered by the assessment for pastures grasses below.</w:t>
      </w:r>
    </w:p>
    <w:p w14:paraId="092DC86B" w14:textId="1F0DCFCB" w:rsidR="00B20878" w:rsidRPr="00D63217" w:rsidRDefault="00B20878" w:rsidP="00B20878">
      <w:pPr>
        <w:pStyle w:val="NormalText"/>
      </w:pPr>
      <w:r w:rsidRPr="00D63217">
        <w:t xml:space="preserve">Residues in forage in pasture grasses treated at 0.55 kg </w:t>
      </w:r>
      <w:r w:rsidR="00FC430E" w:rsidRPr="00D63217">
        <w:t>ac/ha</w:t>
      </w:r>
      <w:r w:rsidRPr="00D63217">
        <w:t xml:space="preserve"> (0.9x) ranged from 100 to 140 mg/kg dry weight (DW) at 1 day after application. Residues in grass hay ranged from 120 to 220 mg/kg </w:t>
      </w:r>
      <w:r w:rsidR="002F187B" w:rsidRPr="00D63217">
        <w:t>dry matter (</w:t>
      </w:r>
      <w:r w:rsidRPr="00D63217">
        <w:t>DM</w:t>
      </w:r>
      <w:r w:rsidR="002F187B" w:rsidRPr="00D63217">
        <w:t>)</w:t>
      </w:r>
      <w:r w:rsidRPr="00D63217">
        <w:t xml:space="preserve"> at 1 day after application </w:t>
      </w:r>
      <w:r w:rsidR="0089529F" w:rsidRPr="00D63217">
        <w:t>(Calderbank and Yuan, 1963; Calderbank and McKenna, 1964: Anon., n.d.(a); Reeve, 1970; Fletcher, 1972, Roper, 1989(ag, ah)).</w:t>
      </w:r>
    </w:p>
    <w:p w14:paraId="7400A580" w14:textId="43FED8B3" w:rsidR="00B20878" w:rsidRPr="00D63217" w:rsidRDefault="00B20878" w:rsidP="00B20878">
      <w:pPr>
        <w:pStyle w:val="NormalText"/>
      </w:pPr>
      <w:r w:rsidRPr="00D63217">
        <w:t>No changes are required to the current MRL of 500 mg/kg for paraquat on Primary feed commodities to cover the cereal / grass pasture uses.</w:t>
      </w:r>
    </w:p>
    <w:p w14:paraId="71C94C6E" w14:textId="77777777" w:rsidR="00B20878" w:rsidRPr="00D63217" w:rsidRDefault="00B20878" w:rsidP="00B20878">
      <w:pPr>
        <w:pStyle w:val="Heading3"/>
      </w:pPr>
      <w:bookmarkStart w:id="304" w:name="_Toc231480881"/>
      <w:bookmarkStart w:id="305" w:name="_Toc233036433"/>
      <w:r w:rsidRPr="00D63217">
        <w:lastRenderedPageBreak/>
        <w:t>Legume animal feeds</w:t>
      </w:r>
      <w:bookmarkEnd w:id="304"/>
      <w:bookmarkEnd w:id="305"/>
    </w:p>
    <w:p w14:paraId="7DC71016" w14:textId="0C36F904" w:rsidR="00B20878" w:rsidRPr="00D63217" w:rsidRDefault="00B20878" w:rsidP="00B20878">
      <w:pPr>
        <w:pStyle w:val="NormalText"/>
      </w:pPr>
      <w:r w:rsidRPr="00D63217">
        <w:t xml:space="preserve">Legume animal feeds </w:t>
      </w:r>
      <w:r w:rsidR="001F7AC8" w:rsidRPr="00D63217">
        <w:t>include</w:t>
      </w:r>
      <w:r w:rsidRPr="00D63217">
        <w:t xml:space="preserve"> fodder from pulses, from legume vegetables and fodder from pasture legumes such as lucerne, vetch clover. The current Australian use pattern for pulses (including vetch) is 0.2 kg </w:t>
      </w:r>
      <w:r w:rsidR="00FC430E" w:rsidRPr="00D63217">
        <w:t>ac/ha</w:t>
      </w:r>
      <w:r w:rsidRPr="00D63217">
        <w:t xml:space="preserve"> with a </w:t>
      </w:r>
      <w:r w:rsidR="00F86015" w:rsidRPr="00D63217">
        <w:t xml:space="preserve">7 or </w:t>
      </w:r>
      <w:r w:rsidRPr="00D63217">
        <w:t xml:space="preserve">14 day WHP for livestock while the legume vegetable use is pre-emergent. The use pattern for pastures and lucerne is 0.6 kg </w:t>
      </w:r>
      <w:r w:rsidR="00FC430E" w:rsidRPr="00D63217">
        <w:t>ac/ha</w:t>
      </w:r>
      <w:r w:rsidRPr="00D63217">
        <w:t xml:space="preserve"> with a 1 day grazing WHP. Therefore</w:t>
      </w:r>
      <w:r w:rsidR="00F86015" w:rsidRPr="00D63217">
        <w:t>,</w:t>
      </w:r>
      <w:r w:rsidRPr="00D63217">
        <w:t xml:space="preserve"> the </w:t>
      </w:r>
      <w:r w:rsidR="001F7AC8" w:rsidRPr="00D63217">
        <w:t xml:space="preserve">highest </w:t>
      </w:r>
      <w:r w:rsidRPr="00D63217">
        <w:t>residues for legume animal feeds are likely to come from pasture legumes.</w:t>
      </w:r>
    </w:p>
    <w:p w14:paraId="03E4D605" w14:textId="205759F1" w:rsidR="00B20878" w:rsidRPr="00D63217" w:rsidRDefault="00B20878" w:rsidP="00B20878">
      <w:pPr>
        <w:pStyle w:val="NormalText"/>
      </w:pPr>
      <w:r w:rsidRPr="00D63217">
        <w:t>The maximum residue in fodder or straw of pulses was 12 mg/kg following the Australian GAP</w:t>
      </w:r>
      <w:r w:rsidR="00AD322F" w:rsidRPr="00D63217">
        <w:t xml:space="preserve"> (Roper, 1989(ak, al</w:t>
      </w:r>
      <w:r w:rsidR="00FA0099" w:rsidRPr="00D63217">
        <w:t>, am</w:t>
      </w:r>
      <w:r w:rsidR="00AD322F" w:rsidRPr="00D63217">
        <w:t>))</w:t>
      </w:r>
      <w:r w:rsidRPr="00D63217">
        <w:t>.</w:t>
      </w:r>
    </w:p>
    <w:p w14:paraId="1999F1B4" w14:textId="7F60F063" w:rsidR="00B20878" w:rsidRPr="00D63217" w:rsidRDefault="00B20878" w:rsidP="00B20878">
      <w:pPr>
        <w:pStyle w:val="NormalText"/>
      </w:pPr>
      <w:r w:rsidRPr="00D63217">
        <w:t>Residues in lucerne fodder and forage at GAP ranged from 40 to 170 mg/kg DM</w:t>
      </w:r>
      <w:r w:rsidR="0089529F" w:rsidRPr="00D63217">
        <w:t xml:space="preserve"> (Anon., n.d.(</w:t>
      </w:r>
      <w:r w:rsidR="00BE3D0D" w:rsidRPr="00D63217">
        <w:t>b</w:t>
      </w:r>
      <w:r w:rsidR="0089529F" w:rsidRPr="00D63217">
        <w:t>); Reeve, 1970; Anon</w:t>
      </w:r>
      <w:r w:rsidR="00FA0099" w:rsidRPr="00D63217">
        <w:t>., n.d.(e)</w:t>
      </w:r>
      <w:r w:rsidR="0089529F" w:rsidRPr="00D63217">
        <w:t>; Roper</w:t>
      </w:r>
      <w:r w:rsidR="00AD322F" w:rsidRPr="00D63217">
        <w:t>,</w:t>
      </w:r>
      <w:r w:rsidR="0089529F" w:rsidRPr="00D63217">
        <w:t xml:space="preserve"> 1989(a</w:t>
      </w:r>
      <w:r w:rsidR="00FA0099" w:rsidRPr="00D63217">
        <w:t>j</w:t>
      </w:r>
      <w:r w:rsidR="0089529F" w:rsidRPr="00D63217">
        <w:t>)</w:t>
      </w:r>
      <w:r w:rsidR="00AD322F" w:rsidRPr="00D63217">
        <w:t>;</w:t>
      </w:r>
      <w:r w:rsidR="0089529F" w:rsidRPr="00D63217">
        <w:t xml:space="preserve"> Coombe</w:t>
      </w:r>
      <w:r w:rsidR="00AD322F" w:rsidRPr="00D63217">
        <w:t>,</w:t>
      </w:r>
      <w:r w:rsidR="0089529F" w:rsidRPr="00D63217">
        <w:t xml:space="preserve"> 1990)</w:t>
      </w:r>
      <w:r w:rsidRPr="00D63217">
        <w:t>. Residues in clover fodder and forage ranged from 50 to 180 mg/kg</w:t>
      </w:r>
      <w:r w:rsidR="00AD322F" w:rsidRPr="00D63217">
        <w:t xml:space="preserve"> (Roper, 1989(a</w:t>
      </w:r>
      <w:r w:rsidR="00AA0914" w:rsidRPr="00D63217">
        <w:t>m</w:t>
      </w:r>
      <w:r w:rsidR="00AD322F" w:rsidRPr="00D63217">
        <w:t>))</w:t>
      </w:r>
      <w:r w:rsidRPr="00D63217">
        <w:t>. Residues in birdsfoot trefoil fodder and forage ranged from 100 to 250 mg/kg</w:t>
      </w:r>
      <w:r w:rsidR="00152843" w:rsidRPr="00D63217">
        <w:t xml:space="preserve"> (Roper, 1989(a</w:t>
      </w:r>
      <w:r w:rsidR="00A215D5" w:rsidRPr="00D63217">
        <w:t>o</w:t>
      </w:r>
      <w:r w:rsidR="00152843" w:rsidRPr="00D63217">
        <w:t>))</w:t>
      </w:r>
      <w:r w:rsidRPr="00D63217">
        <w:t>.</w:t>
      </w:r>
    </w:p>
    <w:p w14:paraId="6ED069F4" w14:textId="7F224DA1" w:rsidR="00B20878" w:rsidRPr="00D63217" w:rsidRDefault="00B20878" w:rsidP="00B20878">
      <w:pPr>
        <w:pStyle w:val="NormalText"/>
      </w:pPr>
      <w:r w:rsidRPr="00D63217">
        <w:t xml:space="preserve">No changes are required to the current MRL of 500 mg/kg for paraquat on </w:t>
      </w:r>
      <w:r w:rsidR="000C58C9" w:rsidRPr="00D63217">
        <w:t>p</w:t>
      </w:r>
      <w:r w:rsidRPr="00D63217">
        <w:t xml:space="preserve">rimary feed commodities to cover the uses on </w:t>
      </w:r>
      <w:r w:rsidR="001F7AC8" w:rsidRPr="00D63217">
        <w:t>l</w:t>
      </w:r>
      <w:r w:rsidRPr="00D63217">
        <w:t>egume animal feeds.</w:t>
      </w:r>
    </w:p>
    <w:p w14:paraId="0988A154" w14:textId="77777777" w:rsidR="00B20878" w:rsidRPr="00D63217" w:rsidRDefault="00B20878" w:rsidP="00B20878">
      <w:pPr>
        <w:pStyle w:val="Heading3"/>
      </w:pPr>
      <w:bookmarkStart w:id="306" w:name="_Toc231480882"/>
      <w:bookmarkStart w:id="307" w:name="_Toc233036434"/>
      <w:r w:rsidRPr="00D63217">
        <w:t>Cotton trash</w:t>
      </w:r>
      <w:bookmarkEnd w:id="306"/>
      <w:bookmarkEnd w:id="307"/>
    </w:p>
    <w:p w14:paraId="59A1CC03" w14:textId="77777777" w:rsidR="00B20878" w:rsidRPr="00D63217" w:rsidRDefault="00B20878" w:rsidP="00B20878">
      <w:pPr>
        <w:pStyle w:val="NormalText"/>
      </w:pPr>
      <w:r w:rsidRPr="00D63217">
        <w:t>No suitable data on cotton trash at the Australian label rates was presented, however processing data indicates that paraquat will concentrate in cotton trash by 3 to 190 times. Without cotton trash data relevant to the Australian use pattern, an appropriate MRL cannot be established for cotton trash.</w:t>
      </w:r>
    </w:p>
    <w:p w14:paraId="6FB306FA" w14:textId="34AE02A0" w:rsidR="00B20878" w:rsidRPr="00D63217" w:rsidRDefault="00B20878" w:rsidP="00B20878">
      <w:pPr>
        <w:pStyle w:val="NormalText"/>
      </w:pPr>
      <w:r w:rsidRPr="00D63217">
        <w:t>In the absence of relevant data for cotton trash or fodder, the restraint of ‘DO NOT feed cotton fodder, stubble or trash to livestock’ is recommended for cotton uses.</w:t>
      </w:r>
      <w:r w:rsidR="005029F1">
        <w:t xml:space="preserve"> </w:t>
      </w:r>
      <w:r w:rsidR="00940C9C">
        <w:t>C</w:t>
      </w:r>
      <w:r w:rsidR="005029F1" w:rsidRPr="005029F1">
        <w:t xml:space="preserve">otton trash is not used as an animal feed due to unacceptable residue risks from multiple pesticides currently used in cotton. </w:t>
      </w:r>
      <w:r w:rsidR="00940C9C">
        <w:t>As noted in submissions, t</w:t>
      </w:r>
      <w:r w:rsidR="005029F1" w:rsidRPr="005029F1">
        <w:t>his is normally managed by a label statement prohibiting the feeding of cotton trash to animals, which is considered cotton industry best practice.</w:t>
      </w:r>
    </w:p>
    <w:p w14:paraId="4F5053DD" w14:textId="77777777" w:rsidR="00B20878" w:rsidRPr="00D63217" w:rsidRDefault="00B20878" w:rsidP="00B20878">
      <w:pPr>
        <w:pStyle w:val="Heading3"/>
      </w:pPr>
      <w:bookmarkStart w:id="308" w:name="_Toc231480883"/>
      <w:bookmarkStart w:id="309" w:name="_Toc233036435"/>
      <w:r w:rsidRPr="00D63217">
        <w:t>Almond hulls</w:t>
      </w:r>
      <w:bookmarkEnd w:id="308"/>
      <w:bookmarkEnd w:id="309"/>
    </w:p>
    <w:p w14:paraId="57AE18C1" w14:textId="14DC9A18" w:rsidR="00B20878" w:rsidRPr="00D63217" w:rsidRDefault="00B20878" w:rsidP="00B20878">
      <w:pPr>
        <w:pStyle w:val="NormalText"/>
      </w:pPr>
      <w:r w:rsidRPr="00D63217">
        <w:t xml:space="preserve">Residues in almond hulls (from almonds collected from the tree) at 1 day after application at 1.1 kg </w:t>
      </w:r>
      <w:r w:rsidR="00FC430E" w:rsidRPr="00D63217">
        <w:t>ac/ha</w:t>
      </w:r>
      <w:r w:rsidRPr="00D63217">
        <w:t xml:space="preserve"> (1.4×) were &lt;0.01 (3), 0.02 (2), 0.06 and 0.12 mg/kg</w:t>
      </w:r>
      <w:r w:rsidR="005B2548" w:rsidRPr="00D63217">
        <w:t xml:space="preserve"> (Anon., (196</w:t>
      </w:r>
      <w:r w:rsidR="00A215D5" w:rsidRPr="00D63217">
        <w:t>6</w:t>
      </w:r>
      <w:r w:rsidR="005B2548" w:rsidRPr="00D63217">
        <w:t>)</w:t>
      </w:r>
      <w:r w:rsidRPr="00D63217">
        <w:t>. The OECD MRL calculator recommends an MRL of 0.2 mg/kg, the STMR is 0.02 mg/kg. An MRL of 0.2 mg/kg is recommended for paraquat on almond hulls in conjunction with a withholding period of “Not required when used as directed”.</w:t>
      </w:r>
    </w:p>
    <w:p w14:paraId="7604744A" w14:textId="77777777" w:rsidR="00B20878" w:rsidRPr="00D63217" w:rsidRDefault="00B20878" w:rsidP="00B20878">
      <w:pPr>
        <w:pStyle w:val="Heading3"/>
      </w:pPr>
      <w:bookmarkStart w:id="310" w:name="_Toc231480884"/>
      <w:bookmarkStart w:id="311" w:name="_Toc233036436"/>
      <w:bookmarkStart w:id="312" w:name="_Hlk157627411"/>
      <w:r w:rsidRPr="00D63217">
        <w:t>Other animal feeds</w:t>
      </w:r>
      <w:bookmarkEnd w:id="310"/>
      <w:bookmarkEnd w:id="311"/>
    </w:p>
    <w:p w14:paraId="23EE35FE" w14:textId="233C0807" w:rsidR="00B20878" w:rsidRPr="00D63217" w:rsidRDefault="00B20878" w:rsidP="00B20878">
      <w:pPr>
        <w:pStyle w:val="NormalText"/>
      </w:pPr>
      <w:r w:rsidRPr="00D63217">
        <w:t>Residues in minor animal feed commodities form no more than 20% of the diet livestock and will not influence animal MRLs due to the higher residues of paraquat in pastures, hay and fodder. Such animal feeds include citrus pulp, grape pomace, apple pomace and tomato pomace and the primary crops may be treated with pre-emergent or directed applications and should not result in residues in the raw commodity or animal feed. MRLs in Table 4 of the MRL standard are not considered necessary as residues above the LOQ are not expected.</w:t>
      </w:r>
    </w:p>
    <w:p w14:paraId="7120AF21" w14:textId="16C222CF" w:rsidR="00B20878" w:rsidRPr="00D63217" w:rsidRDefault="00F06860" w:rsidP="00B20878">
      <w:pPr>
        <w:pStyle w:val="Heading2"/>
      </w:pPr>
      <w:bookmarkStart w:id="313" w:name="_Toc501347743"/>
      <w:bookmarkStart w:id="314" w:name="_Toc64425220"/>
      <w:bookmarkStart w:id="315" w:name="_Toc89488090"/>
      <w:bookmarkStart w:id="316" w:name="_Toc89501500"/>
      <w:bookmarkStart w:id="317" w:name="_Toc89676036"/>
      <w:bookmarkStart w:id="318" w:name="_Toc89684505"/>
      <w:bookmarkStart w:id="319" w:name="_Toc89829963"/>
      <w:bookmarkEnd w:id="312"/>
      <w:r>
        <w:lastRenderedPageBreak/>
        <w:t xml:space="preserve"> </w:t>
      </w:r>
      <w:r>
        <w:tab/>
      </w:r>
      <w:bookmarkStart w:id="320" w:name="_Toc231480885"/>
      <w:bookmarkStart w:id="321" w:name="_Toc233036437"/>
      <w:r w:rsidR="00B20878" w:rsidRPr="00D63217">
        <w:t>Animal transfer studies and required animal commodity MRLs</w:t>
      </w:r>
      <w:bookmarkEnd w:id="313"/>
      <w:bookmarkEnd w:id="314"/>
      <w:bookmarkEnd w:id="315"/>
      <w:bookmarkEnd w:id="316"/>
      <w:bookmarkEnd w:id="317"/>
      <w:bookmarkEnd w:id="318"/>
      <w:bookmarkEnd w:id="319"/>
      <w:bookmarkEnd w:id="320"/>
      <w:bookmarkEnd w:id="321"/>
    </w:p>
    <w:p w14:paraId="0FC11FEF" w14:textId="635E0917" w:rsidR="00B20878" w:rsidRPr="00D63217" w:rsidRDefault="00B20878" w:rsidP="00306C6F">
      <w:pPr>
        <w:pStyle w:val="NormalText"/>
      </w:pPr>
      <w:r w:rsidRPr="00D63217">
        <w:t xml:space="preserve">Metabolism and animal residue studies indicate that paraquat is not fat-soluble. The WHP of 7 days for horses </w:t>
      </w:r>
      <w:r w:rsidR="00AF125A" w:rsidRPr="00D63217">
        <w:t>appear</w:t>
      </w:r>
      <w:r w:rsidRPr="00D63217">
        <w:t xml:space="preserve"> to be based upon toxic/irritant effects on oral mucous membranes of horses after consuming herbage freshly treated with paraquat rather than residue related reasons</w:t>
      </w:r>
      <w:r w:rsidR="007750B9" w:rsidRPr="00D63217">
        <w:t xml:space="preserve"> (Walley et al, 1966; Calderbank et al, 1968)</w:t>
      </w:r>
      <w:r w:rsidRPr="00D63217">
        <w:t>. This horse withholding period will not be reconsidered as part of this residues assessment.</w:t>
      </w:r>
    </w:p>
    <w:p w14:paraId="7EF2D3E2" w14:textId="77777777" w:rsidR="00B20878" w:rsidRPr="00D63217" w:rsidRDefault="00B20878" w:rsidP="00306C6F">
      <w:pPr>
        <w:pStyle w:val="Heading3"/>
      </w:pPr>
      <w:bookmarkStart w:id="322" w:name="_Toc231480886"/>
      <w:bookmarkStart w:id="323" w:name="_Toc233036438"/>
      <w:r w:rsidRPr="00D63217">
        <w:t>Poultry</w:t>
      </w:r>
      <w:bookmarkEnd w:id="322"/>
      <w:bookmarkEnd w:id="323"/>
    </w:p>
    <w:p w14:paraId="44B790EB" w14:textId="08CA58C2" w:rsidR="00B20878" w:rsidRPr="00D63217" w:rsidRDefault="00B20878" w:rsidP="00306C6F">
      <w:pPr>
        <w:pStyle w:val="NormalText"/>
      </w:pPr>
      <w:r w:rsidRPr="00D63217">
        <w:t>Metabolism studies indicate that there is little metabolism of paraquat in the hen (97</w:t>
      </w:r>
      <w:r w:rsidR="00785561" w:rsidRPr="00D63217">
        <w:t>–</w:t>
      </w:r>
      <w:r w:rsidRPr="00D63217">
        <w:t>98% of radioactivity is the parent compound) and that elimination is entirely by the faecal route (at least 99% of radioactivity at 30 and 60 ppm). Radioactive labelling also indicated that egg residues were mainly the parent compound with most being found in the yolk and very little in the albumen. At 6 ppm in the diet, whole egg residues showed a plateau around 0.01 mg/kg, but at 30 ppm in the diet, no plateau effect occurred after 10 days with residues reaching 0.05/0.06 mg/kg. Highest tissue levels were 0.113 and 0.072 mg/kg in the kidney and liver respectively</w:t>
      </w:r>
      <w:r w:rsidR="007750B9" w:rsidRPr="00D63217">
        <w:t xml:space="preserve"> (Fletcher, 1974; Leary, 1974)</w:t>
      </w:r>
      <w:r w:rsidRPr="00D63217">
        <w:t>.</w:t>
      </w:r>
    </w:p>
    <w:p w14:paraId="0730A9EA" w14:textId="066C6053" w:rsidR="00B20878" w:rsidRPr="00D63217" w:rsidRDefault="00B20878" w:rsidP="00306C6F">
      <w:pPr>
        <w:pStyle w:val="NormalText"/>
      </w:pPr>
      <w:r w:rsidRPr="00D63217">
        <w:t>Two animal transfer studies in hens produced similar residue levels as seen in the metabolism studies. Plateaux in whole egg residues were seen at 0.01, 0.02 and 0.05 mg/kg with dietary feeding of 6, 13 and 30/36 ppm respectively. The whole egg residues did not accumulate and declined further when an untreated diet was fed. Tissue residues were less than 0.01 mg/kg when fed diets containing 1.8, 3.6,6, or 7.2 ppm paraquat. At a feeding rate of 13 ppm, tissue levels were less than 0.01 mg/kg with the exception of the kidney where residues of 0.05</w:t>
      </w:r>
      <w:r w:rsidR="00785561" w:rsidRPr="00D63217">
        <w:t> </w:t>
      </w:r>
      <w:r w:rsidRPr="00D63217">
        <w:t>and 0.06 mg/kg were found. At 30 ppm in the diet kidney residues were up to 0.14 mg/kg, liver residues were up to 0.1 mg/kg and muscle residues up to 0.05 mg/kg but all decreased to less than 0.05 mg/kg after a 7 day withdrawal period</w:t>
      </w:r>
      <w:r w:rsidR="007750B9" w:rsidRPr="00D63217">
        <w:t xml:space="preserve"> (Anon., 1976; Earl and Boseley, 1988</w:t>
      </w:r>
      <w:r w:rsidR="00255E26" w:rsidRPr="00D63217">
        <w:t>(c)</w:t>
      </w:r>
      <w:r w:rsidR="007750B9" w:rsidRPr="00D63217">
        <w:t>)</w:t>
      </w:r>
      <w:r w:rsidRPr="00D63217">
        <w:t>.</w:t>
      </w:r>
    </w:p>
    <w:p w14:paraId="0D57D775" w14:textId="76E02D14" w:rsidR="00B20878" w:rsidRPr="00D63217" w:rsidRDefault="00B20878" w:rsidP="00306C6F">
      <w:pPr>
        <w:pStyle w:val="NormalText"/>
      </w:pPr>
      <w:r w:rsidRPr="00D63217">
        <w:t>A typical poultry ration would contain up to 70% cereal grains, 10% animal protein and 20% vegetable protein. Pulses can be up to 25% of the ration but usually at the expense of some grain or vegetable protein. The only feed components of poultry diet that would have residues above the LOQ are cotton seed (0.2 mg/kg) and pulses (1</w:t>
      </w:r>
      <w:r w:rsidR="001E0FCA" w:rsidRPr="00D63217">
        <w:t> </w:t>
      </w:r>
      <w:r w:rsidRPr="00D63217">
        <w:t>mg/kg). The 2004 JMPR reported residues of 0.02 mg/kg in cotton meal when residues in fuzzy seed were 0.18</w:t>
      </w:r>
      <w:r w:rsidR="001E0FCA" w:rsidRPr="00D63217">
        <w:t> </w:t>
      </w:r>
      <w:r w:rsidRPr="00D63217">
        <w:t>mg/kg. A diet based on pulses as a worst case containing maximum residues of 1 mg/kg would only produce a diet containing 1 ppm of paraquat. More refined dietary burden</w:t>
      </w:r>
      <w:r w:rsidR="000867BF" w:rsidRPr="00D63217">
        <w:t xml:space="preserve"> calculations</w:t>
      </w:r>
      <w:r w:rsidRPr="00D63217">
        <w:t xml:space="preserve"> for poultry broilers and layers are </w:t>
      </w:r>
      <w:r w:rsidR="000867BF" w:rsidRPr="00D63217">
        <w:t xml:space="preserve">presented in </w:t>
      </w:r>
      <w:r w:rsidR="000867BF" w:rsidRPr="00D63217">
        <w:fldChar w:fldCharType="begin"/>
      </w:r>
      <w:r w:rsidR="000867BF" w:rsidRPr="00D63217">
        <w:instrText xml:space="preserve"> REF _Ref167093108 \h </w:instrText>
      </w:r>
      <w:r w:rsidR="00D63217">
        <w:instrText xml:space="preserve"> \* MERGEFORMAT </w:instrText>
      </w:r>
      <w:r w:rsidR="000867BF" w:rsidRPr="00D63217">
        <w:fldChar w:fldCharType="separate"/>
      </w:r>
      <w:r w:rsidR="008A397D" w:rsidRPr="00D63217">
        <w:t xml:space="preserve">Table </w:t>
      </w:r>
      <w:r w:rsidR="008A397D">
        <w:rPr>
          <w:noProof/>
        </w:rPr>
        <w:t>15</w:t>
      </w:r>
      <w:r w:rsidR="000867BF" w:rsidRPr="00D63217">
        <w:fldChar w:fldCharType="end"/>
      </w:r>
      <w:r w:rsidR="000867BF" w:rsidRPr="00D63217">
        <w:t xml:space="preserve"> and </w:t>
      </w:r>
      <w:r w:rsidR="000867BF" w:rsidRPr="00D63217">
        <w:fldChar w:fldCharType="begin"/>
      </w:r>
      <w:r w:rsidR="000867BF" w:rsidRPr="00D63217">
        <w:instrText xml:space="preserve"> REF _Ref167093119 \h </w:instrText>
      </w:r>
      <w:r w:rsidR="00D63217">
        <w:instrText xml:space="preserve"> \* MERGEFORMAT </w:instrText>
      </w:r>
      <w:r w:rsidR="000867BF" w:rsidRPr="00D63217">
        <w:fldChar w:fldCharType="separate"/>
      </w:r>
      <w:r w:rsidR="008A397D" w:rsidRPr="00D63217">
        <w:t xml:space="preserve">Table </w:t>
      </w:r>
      <w:r w:rsidR="008A397D">
        <w:rPr>
          <w:noProof/>
        </w:rPr>
        <w:t>16</w:t>
      </w:r>
      <w:r w:rsidR="000867BF" w:rsidRPr="00D63217">
        <w:fldChar w:fldCharType="end"/>
      </w:r>
      <w:r w:rsidR="000867BF" w:rsidRPr="00D63217">
        <w:t xml:space="preserve"> </w:t>
      </w:r>
      <w:r w:rsidRPr="00D63217">
        <w:t>below</w:t>
      </w:r>
      <w:r w:rsidR="000867BF" w:rsidRPr="00D63217">
        <w:t xml:space="preserve"> </w:t>
      </w:r>
      <w:r w:rsidRPr="00D63217">
        <w:t xml:space="preserve">using the OECD Feed Calculator and the relevant </w:t>
      </w:r>
      <w:r w:rsidR="000867BF" w:rsidRPr="00D63217">
        <w:t>High Residue (</w:t>
      </w:r>
      <w:r w:rsidRPr="00D63217">
        <w:t>HR</w:t>
      </w:r>
      <w:r w:rsidR="000867BF" w:rsidRPr="00D63217">
        <w:t xml:space="preserve">) or Supervised Trials </w:t>
      </w:r>
      <w:r w:rsidR="007C338F" w:rsidRPr="00D63217">
        <w:t>Median</w:t>
      </w:r>
      <w:r w:rsidR="000867BF" w:rsidRPr="00D63217">
        <w:t xml:space="preserve"> Residue (</w:t>
      </w:r>
      <w:r w:rsidRPr="00D63217">
        <w:t>STMR</w:t>
      </w:r>
      <w:r w:rsidR="000867BF" w:rsidRPr="00D63217">
        <w:t>).</w:t>
      </w:r>
    </w:p>
    <w:p w14:paraId="14BBDFEA" w14:textId="7E1F6B95" w:rsidR="00F56484" w:rsidRPr="00D901C7" w:rsidRDefault="00F56484" w:rsidP="00D901C7">
      <w:pPr>
        <w:pStyle w:val="Caption"/>
      </w:pPr>
      <w:bookmarkStart w:id="324" w:name="_Ref167093108"/>
      <w:bookmarkStart w:id="325" w:name="_Toc230692281"/>
      <w:bookmarkStart w:id="326" w:name="_Toc233036502"/>
      <w:r w:rsidRPr="00D901C7">
        <w:lastRenderedPageBreak/>
        <w:t xml:space="preserve">Table </w:t>
      </w:r>
      <w:fldSimple w:instr=" SEQ Table \* ARABIC ">
        <w:r w:rsidR="00D901C7">
          <w:rPr>
            <w:noProof/>
          </w:rPr>
          <w:t>15</w:t>
        </w:r>
      </w:fldSimple>
      <w:bookmarkEnd w:id="324"/>
      <w:r w:rsidRPr="00D901C7">
        <w:t>: Calculation of poultry</w:t>
      </w:r>
      <w:r w:rsidR="00B70721" w:rsidRPr="00D901C7">
        <w:t xml:space="preserve"> broiler</w:t>
      </w:r>
      <w:r w:rsidRPr="00D901C7">
        <w:t xml:space="preserve"> dietary burden of paraquat</w:t>
      </w:r>
      <w:bookmarkEnd w:id="325"/>
      <w:bookmarkEnd w:id="326"/>
    </w:p>
    <w:tbl>
      <w:tblPr>
        <w:tblStyle w:val="TableGrid"/>
        <w:tblW w:w="0" w:type="auto"/>
        <w:tblLook w:val="04A0" w:firstRow="1" w:lastRow="0" w:firstColumn="1" w:lastColumn="0" w:noHBand="0" w:noVBand="1"/>
      </w:tblPr>
      <w:tblGrid>
        <w:gridCol w:w="1203"/>
        <w:gridCol w:w="1194"/>
        <w:gridCol w:w="1199"/>
        <w:gridCol w:w="1197"/>
        <w:gridCol w:w="1199"/>
        <w:gridCol w:w="1200"/>
        <w:gridCol w:w="1200"/>
        <w:gridCol w:w="1236"/>
      </w:tblGrid>
      <w:tr w:rsidR="00F56484" w:rsidRPr="00D63217" w14:paraId="107ECB8C" w14:textId="77777777" w:rsidTr="00D901C7">
        <w:trPr>
          <w:cantSplit/>
          <w:tblHeader/>
        </w:trPr>
        <w:tc>
          <w:tcPr>
            <w:tcW w:w="9628" w:type="dxa"/>
            <w:gridSpan w:val="8"/>
            <w:shd w:val="clear" w:color="auto" w:fill="5C2946"/>
          </w:tcPr>
          <w:p w14:paraId="429CB2A9" w14:textId="695FA2D3" w:rsidR="00F56484" w:rsidRPr="00D63217" w:rsidRDefault="00F56484" w:rsidP="00F56484">
            <w:pPr>
              <w:pStyle w:val="TableHead"/>
            </w:pPr>
            <w:bookmarkStart w:id="327" w:name="_Hlk167094258"/>
            <w:r w:rsidRPr="00D63217">
              <w:t>Poultry Broiler – for MRLs</w:t>
            </w:r>
          </w:p>
        </w:tc>
      </w:tr>
      <w:tr w:rsidR="005229C6" w:rsidRPr="00D63217" w14:paraId="47039F7E" w14:textId="77777777" w:rsidTr="00D901C7">
        <w:trPr>
          <w:cantSplit/>
          <w:tblHeader/>
        </w:trPr>
        <w:tc>
          <w:tcPr>
            <w:tcW w:w="1203" w:type="dxa"/>
            <w:shd w:val="clear" w:color="auto" w:fill="5C2946"/>
          </w:tcPr>
          <w:p w14:paraId="6B537EA4" w14:textId="3D72BA08" w:rsidR="00F56484" w:rsidRPr="00D63217" w:rsidRDefault="00F56484" w:rsidP="00F56484">
            <w:pPr>
              <w:pStyle w:val="TableHead"/>
            </w:pPr>
            <w:r w:rsidRPr="00D63217">
              <w:t>Commodity</w:t>
            </w:r>
          </w:p>
        </w:tc>
        <w:tc>
          <w:tcPr>
            <w:tcW w:w="1194" w:type="dxa"/>
            <w:shd w:val="clear" w:color="auto" w:fill="5C2946"/>
          </w:tcPr>
          <w:p w14:paraId="7D2E5009" w14:textId="53262BC9" w:rsidR="00F56484" w:rsidRPr="00D63217" w:rsidRDefault="00F56484" w:rsidP="009B75F2">
            <w:pPr>
              <w:pStyle w:val="TableHead"/>
              <w:jc w:val="right"/>
            </w:pPr>
            <w:r w:rsidRPr="00D63217">
              <w:t>C</w:t>
            </w:r>
            <w:r w:rsidR="004207F7" w:rsidRPr="00D63217">
              <w:t>odex Commodity Code</w:t>
            </w:r>
            <w:r w:rsidR="00C0077E" w:rsidRPr="00D63217">
              <w:rPr>
                <w:rStyle w:val="FootnoteReference"/>
              </w:rPr>
              <w:footnoteReference w:id="6"/>
            </w:r>
          </w:p>
        </w:tc>
        <w:tc>
          <w:tcPr>
            <w:tcW w:w="1199" w:type="dxa"/>
            <w:shd w:val="clear" w:color="auto" w:fill="5C2946"/>
          </w:tcPr>
          <w:p w14:paraId="74C17036" w14:textId="01E438A8" w:rsidR="00F56484" w:rsidRPr="00D63217" w:rsidRDefault="00F56484" w:rsidP="009B75F2">
            <w:pPr>
              <w:pStyle w:val="TableHead"/>
              <w:jc w:val="right"/>
            </w:pPr>
            <w:r w:rsidRPr="00D63217">
              <w:t>Residue (mg/kg)</w:t>
            </w:r>
          </w:p>
        </w:tc>
        <w:tc>
          <w:tcPr>
            <w:tcW w:w="1197" w:type="dxa"/>
            <w:shd w:val="clear" w:color="auto" w:fill="5C2946"/>
          </w:tcPr>
          <w:p w14:paraId="3BFACD11" w14:textId="6C3ABFEC" w:rsidR="00F56484" w:rsidRPr="00D63217" w:rsidRDefault="00F56484" w:rsidP="009B75F2">
            <w:pPr>
              <w:pStyle w:val="TableHead"/>
              <w:jc w:val="right"/>
            </w:pPr>
            <w:r w:rsidRPr="00D63217">
              <w:t>Basis</w:t>
            </w:r>
          </w:p>
        </w:tc>
        <w:tc>
          <w:tcPr>
            <w:tcW w:w="1199" w:type="dxa"/>
            <w:shd w:val="clear" w:color="auto" w:fill="5C2946"/>
          </w:tcPr>
          <w:p w14:paraId="1F99CBFC" w14:textId="3C36E70F" w:rsidR="00F56484" w:rsidRPr="00D63217" w:rsidRDefault="00F56484" w:rsidP="009B75F2">
            <w:pPr>
              <w:pStyle w:val="TableHead"/>
              <w:jc w:val="right"/>
            </w:pPr>
            <w:r w:rsidRPr="00D63217">
              <w:t>D</w:t>
            </w:r>
            <w:r w:rsidR="004207F7" w:rsidRPr="00D63217">
              <w:t>ry matter</w:t>
            </w:r>
            <w:r w:rsidR="00637F01" w:rsidRPr="00D63217">
              <w:t xml:space="preserve"> </w:t>
            </w:r>
            <w:r w:rsidRPr="00D63217">
              <w:t>(%)</w:t>
            </w:r>
          </w:p>
        </w:tc>
        <w:tc>
          <w:tcPr>
            <w:tcW w:w="1200" w:type="dxa"/>
            <w:shd w:val="clear" w:color="auto" w:fill="5C2946"/>
          </w:tcPr>
          <w:p w14:paraId="6A334EF9" w14:textId="60FC5A4F" w:rsidR="00F56484" w:rsidRPr="00D63217" w:rsidRDefault="00F56484" w:rsidP="009B75F2">
            <w:pPr>
              <w:pStyle w:val="TableHead"/>
              <w:jc w:val="right"/>
            </w:pPr>
            <w:r w:rsidRPr="00D63217">
              <w:t>Residue d</w:t>
            </w:r>
            <w:r w:rsidR="004207F7" w:rsidRPr="00D63217">
              <w:t>ry weight</w:t>
            </w:r>
            <w:r w:rsidRPr="00D63217">
              <w:t xml:space="preserve"> (mg/kg)</w:t>
            </w:r>
          </w:p>
        </w:tc>
        <w:tc>
          <w:tcPr>
            <w:tcW w:w="1200" w:type="dxa"/>
            <w:shd w:val="clear" w:color="auto" w:fill="5C2946"/>
          </w:tcPr>
          <w:p w14:paraId="4D698AC9" w14:textId="202EF017" w:rsidR="00F56484" w:rsidRPr="00D63217" w:rsidRDefault="00F56484" w:rsidP="009B75F2">
            <w:pPr>
              <w:pStyle w:val="TableHead"/>
              <w:jc w:val="right"/>
            </w:pPr>
            <w:r w:rsidRPr="00D63217">
              <w:t>Diet content (%)</w:t>
            </w:r>
          </w:p>
        </w:tc>
        <w:tc>
          <w:tcPr>
            <w:tcW w:w="1236" w:type="dxa"/>
            <w:shd w:val="clear" w:color="auto" w:fill="5C2946"/>
          </w:tcPr>
          <w:p w14:paraId="64FE232C" w14:textId="60B3622D" w:rsidR="00F56484" w:rsidRPr="00D63217" w:rsidRDefault="00F56484" w:rsidP="009B75F2">
            <w:pPr>
              <w:pStyle w:val="TableHead"/>
              <w:jc w:val="right"/>
            </w:pPr>
            <w:r w:rsidRPr="00D63217">
              <w:t>Residue Contribution (ppm)</w:t>
            </w:r>
          </w:p>
        </w:tc>
      </w:tr>
      <w:tr w:rsidR="005229C6" w:rsidRPr="00D63217" w14:paraId="62492BB9" w14:textId="77777777" w:rsidTr="00D901C7">
        <w:trPr>
          <w:cantSplit/>
          <w:tblHeader/>
        </w:trPr>
        <w:tc>
          <w:tcPr>
            <w:tcW w:w="1203" w:type="dxa"/>
          </w:tcPr>
          <w:p w14:paraId="61D7F978" w14:textId="6A2BFC45" w:rsidR="00F56484" w:rsidRPr="00D63217" w:rsidRDefault="00F56484" w:rsidP="000C58C9">
            <w:pPr>
              <w:pStyle w:val="TableText"/>
            </w:pPr>
            <w:r w:rsidRPr="00D63217">
              <w:t>Alfalfa forage</w:t>
            </w:r>
          </w:p>
        </w:tc>
        <w:tc>
          <w:tcPr>
            <w:tcW w:w="1194" w:type="dxa"/>
          </w:tcPr>
          <w:p w14:paraId="358A6868" w14:textId="34E795BE" w:rsidR="00F56484" w:rsidRPr="00D63217" w:rsidRDefault="00F56484" w:rsidP="009B75F2">
            <w:pPr>
              <w:pStyle w:val="TableText"/>
              <w:jc w:val="right"/>
            </w:pPr>
            <w:r w:rsidRPr="00D63217">
              <w:t>AL</w:t>
            </w:r>
          </w:p>
        </w:tc>
        <w:tc>
          <w:tcPr>
            <w:tcW w:w="1199" w:type="dxa"/>
          </w:tcPr>
          <w:p w14:paraId="19D42245" w14:textId="38A5BC49" w:rsidR="00F56484" w:rsidRPr="00D63217" w:rsidRDefault="00F56484" w:rsidP="009B75F2">
            <w:pPr>
              <w:pStyle w:val="TableText"/>
              <w:jc w:val="right"/>
            </w:pPr>
            <w:r w:rsidRPr="00D63217">
              <w:t>170</w:t>
            </w:r>
          </w:p>
        </w:tc>
        <w:tc>
          <w:tcPr>
            <w:tcW w:w="1197" w:type="dxa"/>
          </w:tcPr>
          <w:p w14:paraId="7A33654A" w14:textId="08C117A9" w:rsidR="00F56484" w:rsidRPr="00D63217" w:rsidRDefault="00F56484" w:rsidP="009B75F2">
            <w:pPr>
              <w:pStyle w:val="TableText"/>
              <w:jc w:val="right"/>
            </w:pPr>
            <w:r w:rsidRPr="00D63217">
              <w:t>HR</w:t>
            </w:r>
          </w:p>
        </w:tc>
        <w:tc>
          <w:tcPr>
            <w:tcW w:w="1199" w:type="dxa"/>
          </w:tcPr>
          <w:p w14:paraId="20C1B8E0" w14:textId="7A4D254C" w:rsidR="00F56484" w:rsidRPr="00D63217" w:rsidRDefault="00F56484" w:rsidP="009B75F2">
            <w:pPr>
              <w:pStyle w:val="TableText"/>
              <w:jc w:val="right"/>
            </w:pPr>
            <w:r w:rsidRPr="00D63217">
              <w:t>100</w:t>
            </w:r>
          </w:p>
        </w:tc>
        <w:tc>
          <w:tcPr>
            <w:tcW w:w="1200" w:type="dxa"/>
          </w:tcPr>
          <w:p w14:paraId="42DE3FEB" w14:textId="5096DC11" w:rsidR="00F56484" w:rsidRPr="00D63217" w:rsidRDefault="00F56484" w:rsidP="009B75F2">
            <w:pPr>
              <w:pStyle w:val="TableText"/>
              <w:jc w:val="right"/>
            </w:pPr>
            <w:r w:rsidRPr="00D63217">
              <w:t>170</w:t>
            </w:r>
          </w:p>
        </w:tc>
        <w:tc>
          <w:tcPr>
            <w:tcW w:w="1200" w:type="dxa"/>
          </w:tcPr>
          <w:p w14:paraId="6346EC57" w14:textId="77777777" w:rsidR="00F56484" w:rsidRPr="00D63217" w:rsidRDefault="00F56484" w:rsidP="009B75F2">
            <w:pPr>
              <w:pStyle w:val="TableText"/>
              <w:jc w:val="right"/>
            </w:pPr>
          </w:p>
        </w:tc>
        <w:tc>
          <w:tcPr>
            <w:tcW w:w="1236" w:type="dxa"/>
          </w:tcPr>
          <w:p w14:paraId="32E5BADF" w14:textId="77777777" w:rsidR="00F56484" w:rsidRPr="00D63217" w:rsidRDefault="00F56484" w:rsidP="009B75F2">
            <w:pPr>
              <w:pStyle w:val="TableText"/>
              <w:jc w:val="right"/>
            </w:pPr>
          </w:p>
        </w:tc>
      </w:tr>
      <w:tr w:rsidR="005229C6" w:rsidRPr="00D63217" w14:paraId="15C0B5B1" w14:textId="77777777" w:rsidTr="00D901C7">
        <w:trPr>
          <w:cantSplit/>
          <w:tblHeader/>
        </w:trPr>
        <w:tc>
          <w:tcPr>
            <w:tcW w:w="1203" w:type="dxa"/>
          </w:tcPr>
          <w:p w14:paraId="2B8F4B5E" w14:textId="2D62AA94" w:rsidR="00F56484" w:rsidRPr="00D63217" w:rsidRDefault="00F56484" w:rsidP="000C58C9">
            <w:pPr>
              <w:pStyle w:val="TableText"/>
            </w:pPr>
            <w:r w:rsidRPr="00D63217">
              <w:t xml:space="preserve">Potato </w:t>
            </w:r>
            <w:r w:rsidR="009B75F2" w:rsidRPr="00D63217">
              <w:t>c</w:t>
            </w:r>
            <w:r w:rsidRPr="00D63217">
              <w:t>ulls</w:t>
            </w:r>
          </w:p>
        </w:tc>
        <w:tc>
          <w:tcPr>
            <w:tcW w:w="1194" w:type="dxa"/>
          </w:tcPr>
          <w:p w14:paraId="334B130A" w14:textId="019E166F" w:rsidR="00F56484" w:rsidRPr="00D63217" w:rsidRDefault="00F56484" w:rsidP="009B75F2">
            <w:pPr>
              <w:pStyle w:val="TableText"/>
              <w:jc w:val="right"/>
            </w:pPr>
            <w:r w:rsidRPr="00D63217">
              <w:t>VR</w:t>
            </w:r>
          </w:p>
        </w:tc>
        <w:tc>
          <w:tcPr>
            <w:tcW w:w="1199" w:type="dxa"/>
          </w:tcPr>
          <w:p w14:paraId="622641D2" w14:textId="30C68C4A" w:rsidR="00F56484" w:rsidRPr="00D63217" w:rsidRDefault="00F56484" w:rsidP="009B75F2">
            <w:pPr>
              <w:pStyle w:val="TableText"/>
              <w:jc w:val="right"/>
            </w:pPr>
            <w:r w:rsidRPr="00D63217">
              <w:t>0.</w:t>
            </w:r>
            <w:r w:rsidR="00B70721" w:rsidRPr="00D63217">
              <w:t>0</w:t>
            </w:r>
            <w:r w:rsidRPr="00D63217">
              <w:t>9</w:t>
            </w:r>
          </w:p>
        </w:tc>
        <w:tc>
          <w:tcPr>
            <w:tcW w:w="1197" w:type="dxa"/>
          </w:tcPr>
          <w:p w14:paraId="70B7F14C" w14:textId="172A0D31" w:rsidR="00F56484" w:rsidRPr="00D63217" w:rsidRDefault="00F56484" w:rsidP="009B75F2">
            <w:pPr>
              <w:pStyle w:val="TableText"/>
              <w:jc w:val="right"/>
            </w:pPr>
            <w:r w:rsidRPr="00D63217">
              <w:t>HR</w:t>
            </w:r>
          </w:p>
        </w:tc>
        <w:tc>
          <w:tcPr>
            <w:tcW w:w="1199" w:type="dxa"/>
          </w:tcPr>
          <w:p w14:paraId="5BB0F2E9" w14:textId="5ADEFE5F" w:rsidR="00F56484" w:rsidRPr="00D63217" w:rsidRDefault="00F56484" w:rsidP="009B75F2">
            <w:pPr>
              <w:pStyle w:val="TableText"/>
              <w:jc w:val="right"/>
            </w:pPr>
            <w:r w:rsidRPr="00D63217">
              <w:t>20</w:t>
            </w:r>
          </w:p>
        </w:tc>
        <w:tc>
          <w:tcPr>
            <w:tcW w:w="1200" w:type="dxa"/>
          </w:tcPr>
          <w:p w14:paraId="2E63A9B1" w14:textId="2B89A1E0" w:rsidR="00F56484" w:rsidRPr="00D63217" w:rsidRDefault="00F56484" w:rsidP="009B75F2">
            <w:pPr>
              <w:pStyle w:val="TableText"/>
              <w:jc w:val="right"/>
            </w:pPr>
            <w:r w:rsidRPr="00D63217">
              <w:t>0.45</w:t>
            </w:r>
          </w:p>
        </w:tc>
        <w:tc>
          <w:tcPr>
            <w:tcW w:w="1200" w:type="dxa"/>
          </w:tcPr>
          <w:p w14:paraId="4071A4FF" w14:textId="77777777" w:rsidR="00F56484" w:rsidRPr="00D63217" w:rsidRDefault="00F56484" w:rsidP="009B75F2">
            <w:pPr>
              <w:pStyle w:val="TableText"/>
              <w:jc w:val="right"/>
            </w:pPr>
          </w:p>
        </w:tc>
        <w:tc>
          <w:tcPr>
            <w:tcW w:w="1236" w:type="dxa"/>
          </w:tcPr>
          <w:p w14:paraId="62D39F3B" w14:textId="77777777" w:rsidR="00F56484" w:rsidRPr="00D63217" w:rsidRDefault="00F56484" w:rsidP="009B75F2">
            <w:pPr>
              <w:pStyle w:val="TableText"/>
              <w:jc w:val="right"/>
            </w:pPr>
          </w:p>
        </w:tc>
      </w:tr>
      <w:tr w:rsidR="005229C6" w:rsidRPr="00D63217" w14:paraId="74D62F56" w14:textId="77777777" w:rsidTr="00D901C7">
        <w:trPr>
          <w:cantSplit/>
          <w:tblHeader/>
        </w:trPr>
        <w:tc>
          <w:tcPr>
            <w:tcW w:w="1203" w:type="dxa"/>
          </w:tcPr>
          <w:p w14:paraId="2033CE52" w14:textId="304BB532" w:rsidR="00F56484" w:rsidRPr="00D63217" w:rsidRDefault="00F56484" w:rsidP="000C58C9">
            <w:pPr>
              <w:pStyle w:val="TableText"/>
            </w:pPr>
            <w:r w:rsidRPr="00D63217">
              <w:t>Bean seed</w:t>
            </w:r>
          </w:p>
        </w:tc>
        <w:tc>
          <w:tcPr>
            <w:tcW w:w="1194" w:type="dxa"/>
          </w:tcPr>
          <w:p w14:paraId="7E7ED3DC" w14:textId="572C3663" w:rsidR="00F56484" w:rsidRPr="00D63217" w:rsidRDefault="00F56484" w:rsidP="009B75F2">
            <w:pPr>
              <w:pStyle w:val="TableText"/>
              <w:jc w:val="right"/>
            </w:pPr>
            <w:r w:rsidRPr="00D63217">
              <w:t>VD</w:t>
            </w:r>
          </w:p>
        </w:tc>
        <w:tc>
          <w:tcPr>
            <w:tcW w:w="1199" w:type="dxa"/>
          </w:tcPr>
          <w:p w14:paraId="6292A857" w14:textId="25DC27FF" w:rsidR="00F56484" w:rsidRPr="00D63217" w:rsidRDefault="00F56484" w:rsidP="009B75F2">
            <w:pPr>
              <w:pStyle w:val="TableText"/>
              <w:jc w:val="right"/>
            </w:pPr>
            <w:r w:rsidRPr="00D63217">
              <w:t>0.21</w:t>
            </w:r>
          </w:p>
        </w:tc>
        <w:tc>
          <w:tcPr>
            <w:tcW w:w="1197" w:type="dxa"/>
          </w:tcPr>
          <w:p w14:paraId="2F50F08A" w14:textId="596DC530" w:rsidR="00F56484" w:rsidRPr="00D63217" w:rsidRDefault="00F56484" w:rsidP="009B75F2">
            <w:pPr>
              <w:pStyle w:val="TableText"/>
              <w:jc w:val="right"/>
            </w:pPr>
            <w:r w:rsidRPr="00D63217">
              <w:t>STMR</w:t>
            </w:r>
          </w:p>
        </w:tc>
        <w:tc>
          <w:tcPr>
            <w:tcW w:w="1199" w:type="dxa"/>
          </w:tcPr>
          <w:p w14:paraId="4F28BD4B" w14:textId="67DCBE6A" w:rsidR="00F56484" w:rsidRPr="00D63217" w:rsidRDefault="00F56484" w:rsidP="009B75F2">
            <w:pPr>
              <w:pStyle w:val="TableText"/>
              <w:jc w:val="right"/>
            </w:pPr>
            <w:r w:rsidRPr="00D63217">
              <w:t>88</w:t>
            </w:r>
          </w:p>
        </w:tc>
        <w:tc>
          <w:tcPr>
            <w:tcW w:w="1200" w:type="dxa"/>
          </w:tcPr>
          <w:p w14:paraId="68F2B3F2" w14:textId="446C27F3" w:rsidR="00F56484" w:rsidRPr="00D63217" w:rsidRDefault="00F56484" w:rsidP="009B75F2">
            <w:pPr>
              <w:pStyle w:val="TableText"/>
              <w:jc w:val="right"/>
            </w:pPr>
            <w:r w:rsidRPr="00D63217">
              <w:t>0.24</w:t>
            </w:r>
          </w:p>
        </w:tc>
        <w:tc>
          <w:tcPr>
            <w:tcW w:w="1200" w:type="dxa"/>
          </w:tcPr>
          <w:p w14:paraId="41EE329D" w14:textId="18DBD0A1" w:rsidR="00F56484" w:rsidRPr="00D63217" w:rsidRDefault="00F56484" w:rsidP="009B75F2">
            <w:pPr>
              <w:pStyle w:val="TableText"/>
              <w:jc w:val="right"/>
            </w:pPr>
            <w:r w:rsidRPr="00D63217">
              <w:t>70</w:t>
            </w:r>
          </w:p>
        </w:tc>
        <w:tc>
          <w:tcPr>
            <w:tcW w:w="1236" w:type="dxa"/>
          </w:tcPr>
          <w:p w14:paraId="6A1899DC" w14:textId="4F02B2B2" w:rsidR="00F56484" w:rsidRPr="00D63217" w:rsidRDefault="00F56484" w:rsidP="009B75F2">
            <w:pPr>
              <w:pStyle w:val="TableText"/>
              <w:jc w:val="right"/>
            </w:pPr>
            <w:r w:rsidRPr="00D63217">
              <w:t>0.17</w:t>
            </w:r>
          </w:p>
        </w:tc>
      </w:tr>
      <w:tr w:rsidR="005229C6" w:rsidRPr="00D63217" w14:paraId="5102C932" w14:textId="77777777" w:rsidTr="00D901C7">
        <w:trPr>
          <w:cantSplit/>
          <w:tblHeader/>
        </w:trPr>
        <w:tc>
          <w:tcPr>
            <w:tcW w:w="1203" w:type="dxa"/>
          </w:tcPr>
          <w:p w14:paraId="65C3B0E1" w14:textId="0D190B80" w:rsidR="00F56484" w:rsidRPr="00D63217" w:rsidRDefault="00F56484" w:rsidP="000C58C9">
            <w:pPr>
              <w:pStyle w:val="TableText"/>
            </w:pPr>
            <w:r w:rsidRPr="00D63217">
              <w:t>Lupin seed</w:t>
            </w:r>
          </w:p>
        </w:tc>
        <w:tc>
          <w:tcPr>
            <w:tcW w:w="1194" w:type="dxa"/>
          </w:tcPr>
          <w:p w14:paraId="1F659A88" w14:textId="5A6126D1" w:rsidR="00F56484" w:rsidRPr="00D63217" w:rsidRDefault="00F56484" w:rsidP="009B75F2">
            <w:pPr>
              <w:pStyle w:val="TableText"/>
              <w:jc w:val="right"/>
            </w:pPr>
            <w:r w:rsidRPr="00D63217">
              <w:t>VD</w:t>
            </w:r>
          </w:p>
        </w:tc>
        <w:tc>
          <w:tcPr>
            <w:tcW w:w="1199" w:type="dxa"/>
          </w:tcPr>
          <w:p w14:paraId="17E61160" w14:textId="78A75D19" w:rsidR="00F56484" w:rsidRPr="00D63217" w:rsidRDefault="00F56484" w:rsidP="009B75F2">
            <w:pPr>
              <w:pStyle w:val="TableText"/>
              <w:jc w:val="right"/>
            </w:pPr>
            <w:r w:rsidRPr="00D63217">
              <w:t>0.21</w:t>
            </w:r>
          </w:p>
        </w:tc>
        <w:tc>
          <w:tcPr>
            <w:tcW w:w="1197" w:type="dxa"/>
          </w:tcPr>
          <w:p w14:paraId="70354BAA" w14:textId="312F07D8" w:rsidR="00F56484" w:rsidRPr="00D63217" w:rsidRDefault="00F56484" w:rsidP="009B75F2">
            <w:pPr>
              <w:pStyle w:val="TableText"/>
              <w:jc w:val="right"/>
            </w:pPr>
            <w:r w:rsidRPr="00D63217">
              <w:t>STMR</w:t>
            </w:r>
          </w:p>
        </w:tc>
        <w:tc>
          <w:tcPr>
            <w:tcW w:w="1199" w:type="dxa"/>
          </w:tcPr>
          <w:p w14:paraId="47A4B703" w14:textId="4072B106" w:rsidR="00F56484" w:rsidRPr="00D63217" w:rsidRDefault="00F56484" w:rsidP="009B75F2">
            <w:pPr>
              <w:pStyle w:val="TableText"/>
              <w:jc w:val="right"/>
            </w:pPr>
            <w:r w:rsidRPr="00D63217">
              <w:t>88</w:t>
            </w:r>
          </w:p>
        </w:tc>
        <w:tc>
          <w:tcPr>
            <w:tcW w:w="1200" w:type="dxa"/>
          </w:tcPr>
          <w:p w14:paraId="150DCA7B" w14:textId="50AF978A" w:rsidR="00F56484" w:rsidRPr="00D63217" w:rsidRDefault="00F56484" w:rsidP="009B75F2">
            <w:pPr>
              <w:pStyle w:val="TableText"/>
              <w:jc w:val="right"/>
            </w:pPr>
            <w:r w:rsidRPr="00D63217">
              <w:t>0.24</w:t>
            </w:r>
          </w:p>
        </w:tc>
        <w:tc>
          <w:tcPr>
            <w:tcW w:w="1200" w:type="dxa"/>
          </w:tcPr>
          <w:p w14:paraId="4D1D82BC" w14:textId="77777777" w:rsidR="00F56484" w:rsidRPr="00D63217" w:rsidRDefault="00F56484" w:rsidP="009B75F2">
            <w:pPr>
              <w:pStyle w:val="TableText"/>
              <w:jc w:val="right"/>
            </w:pPr>
          </w:p>
        </w:tc>
        <w:tc>
          <w:tcPr>
            <w:tcW w:w="1236" w:type="dxa"/>
          </w:tcPr>
          <w:p w14:paraId="002D4D07" w14:textId="77777777" w:rsidR="00F56484" w:rsidRPr="00D63217" w:rsidRDefault="00F56484" w:rsidP="009B75F2">
            <w:pPr>
              <w:pStyle w:val="TableText"/>
              <w:jc w:val="right"/>
            </w:pPr>
          </w:p>
        </w:tc>
      </w:tr>
      <w:tr w:rsidR="005229C6" w:rsidRPr="00D63217" w14:paraId="22627EC9" w14:textId="77777777" w:rsidTr="00D901C7">
        <w:trPr>
          <w:cantSplit/>
          <w:tblHeader/>
        </w:trPr>
        <w:tc>
          <w:tcPr>
            <w:tcW w:w="1203" w:type="dxa"/>
          </w:tcPr>
          <w:p w14:paraId="0221E48E" w14:textId="2332253B" w:rsidR="00F56484" w:rsidRPr="00D63217" w:rsidRDefault="00F56484" w:rsidP="000C58C9">
            <w:pPr>
              <w:pStyle w:val="TableText"/>
            </w:pPr>
            <w:r w:rsidRPr="00D63217">
              <w:t>Pea seed</w:t>
            </w:r>
          </w:p>
        </w:tc>
        <w:tc>
          <w:tcPr>
            <w:tcW w:w="1194" w:type="dxa"/>
          </w:tcPr>
          <w:p w14:paraId="6949C58B" w14:textId="42C0A321" w:rsidR="00F56484" w:rsidRPr="00D63217" w:rsidRDefault="00F56484" w:rsidP="009B75F2">
            <w:pPr>
              <w:pStyle w:val="TableText"/>
              <w:jc w:val="right"/>
            </w:pPr>
            <w:r w:rsidRPr="00D63217">
              <w:t>VD</w:t>
            </w:r>
          </w:p>
        </w:tc>
        <w:tc>
          <w:tcPr>
            <w:tcW w:w="1199" w:type="dxa"/>
          </w:tcPr>
          <w:p w14:paraId="4E2C5AE9" w14:textId="5432D5F2" w:rsidR="00F56484" w:rsidRPr="00D63217" w:rsidRDefault="00F56484" w:rsidP="009B75F2">
            <w:pPr>
              <w:pStyle w:val="TableText"/>
              <w:jc w:val="right"/>
            </w:pPr>
            <w:r w:rsidRPr="00D63217">
              <w:t>0.21</w:t>
            </w:r>
          </w:p>
        </w:tc>
        <w:tc>
          <w:tcPr>
            <w:tcW w:w="1197" w:type="dxa"/>
          </w:tcPr>
          <w:p w14:paraId="16A87F54" w14:textId="744CB31F" w:rsidR="00F56484" w:rsidRPr="00D63217" w:rsidRDefault="00F56484" w:rsidP="009B75F2">
            <w:pPr>
              <w:pStyle w:val="TableText"/>
              <w:jc w:val="right"/>
            </w:pPr>
            <w:r w:rsidRPr="00D63217">
              <w:t>STMR</w:t>
            </w:r>
          </w:p>
        </w:tc>
        <w:tc>
          <w:tcPr>
            <w:tcW w:w="1199" w:type="dxa"/>
          </w:tcPr>
          <w:p w14:paraId="59297575" w14:textId="706DF099" w:rsidR="00F56484" w:rsidRPr="00D63217" w:rsidRDefault="00F56484" w:rsidP="009B75F2">
            <w:pPr>
              <w:pStyle w:val="TableText"/>
              <w:jc w:val="right"/>
            </w:pPr>
            <w:r w:rsidRPr="00D63217">
              <w:t>90</w:t>
            </w:r>
          </w:p>
        </w:tc>
        <w:tc>
          <w:tcPr>
            <w:tcW w:w="1200" w:type="dxa"/>
          </w:tcPr>
          <w:p w14:paraId="268BEF55" w14:textId="0C0B348E" w:rsidR="00F56484" w:rsidRPr="00D63217" w:rsidRDefault="00F56484" w:rsidP="009B75F2">
            <w:pPr>
              <w:pStyle w:val="TableText"/>
              <w:jc w:val="right"/>
            </w:pPr>
            <w:r w:rsidRPr="00D63217">
              <w:t>0.23</w:t>
            </w:r>
          </w:p>
        </w:tc>
        <w:tc>
          <w:tcPr>
            <w:tcW w:w="1200" w:type="dxa"/>
          </w:tcPr>
          <w:p w14:paraId="616963F2" w14:textId="77777777" w:rsidR="00F56484" w:rsidRPr="00D63217" w:rsidRDefault="00F56484" w:rsidP="009B75F2">
            <w:pPr>
              <w:pStyle w:val="TableText"/>
              <w:jc w:val="right"/>
            </w:pPr>
          </w:p>
        </w:tc>
        <w:tc>
          <w:tcPr>
            <w:tcW w:w="1236" w:type="dxa"/>
          </w:tcPr>
          <w:p w14:paraId="232C337A" w14:textId="77777777" w:rsidR="00F56484" w:rsidRPr="00D63217" w:rsidRDefault="00F56484" w:rsidP="009B75F2">
            <w:pPr>
              <w:pStyle w:val="TableText"/>
              <w:jc w:val="right"/>
            </w:pPr>
          </w:p>
        </w:tc>
      </w:tr>
      <w:tr w:rsidR="005229C6" w:rsidRPr="00D63217" w14:paraId="6A9C9AF2" w14:textId="77777777" w:rsidTr="00D901C7">
        <w:trPr>
          <w:cantSplit/>
          <w:tblHeader/>
        </w:trPr>
        <w:tc>
          <w:tcPr>
            <w:tcW w:w="1203" w:type="dxa"/>
          </w:tcPr>
          <w:p w14:paraId="5C87EC94" w14:textId="65A2B5E5" w:rsidR="00F56484" w:rsidRPr="00D63217" w:rsidRDefault="00F56484" w:rsidP="000C58C9">
            <w:pPr>
              <w:pStyle w:val="TableText"/>
            </w:pPr>
            <w:r w:rsidRPr="00D63217">
              <w:t xml:space="preserve">Sorghum, grain </w:t>
            </w:r>
          </w:p>
        </w:tc>
        <w:tc>
          <w:tcPr>
            <w:tcW w:w="1194" w:type="dxa"/>
          </w:tcPr>
          <w:p w14:paraId="658BDE94" w14:textId="47C56AFD" w:rsidR="00F56484" w:rsidRPr="00D63217" w:rsidRDefault="00F56484" w:rsidP="009B75F2">
            <w:pPr>
              <w:pStyle w:val="TableText"/>
              <w:jc w:val="right"/>
            </w:pPr>
            <w:r w:rsidRPr="00D63217">
              <w:t>GC</w:t>
            </w:r>
          </w:p>
        </w:tc>
        <w:tc>
          <w:tcPr>
            <w:tcW w:w="1199" w:type="dxa"/>
          </w:tcPr>
          <w:p w14:paraId="41E6B46C" w14:textId="59F0C2EA" w:rsidR="00F56484" w:rsidRPr="00D63217" w:rsidRDefault="00F56484" w:rsidP="009B75F2">
            <w:pPr>
              <w:pStyle w:val="TableText"/>
              <w:jc w:val="right"/>
            </w:pPr>
            <w:r w:rsidRPr="00D63217">
              <w:t>0.05</w:t>
            </w:r>
          </w:p>
        </w:tc>
        <w:tc>
          <w:tcPr>
            <w:tcW w:w="1197" w:type="dxa"/>
          </w:tcPr>
          <w:p w14:paraId="4AA47936" w14:textId="3D809B4E" w:rsidR="00F56484" w:rsidRPr="00D63217" w:rsidRDefault="00F56484" w:rsidP="009B75F2">
            <w:pPr>
              <w:pStyle w:val="TableText"/>
              <w:jc w:val="right"/>
            </w:pPr>
            <w:r w:rsidRPr="00D63217">
              <w:t>STMR</w:t>
            </w:r>
          </w:p>
        </w:tc>
        <w:tc>
          <w:tcPr>
            <w:tcW w:w="1199" w:type="dxa"/>
          </w:tcPr>
          <w:p w14:paraId="22CAEEA0" w14:textId="2B71A886" w:rsidR="00F56484" w:rsidRPr="00D63217" w:rsidRDefault="00F56484" w:rsidP="009B75F2">
            <w:pPr>
              <w:pStyle w:val="TableText"/>
              <w:jc w:val="right"/>
            </w:pPr>
            <w:r w:rsidRPr="00D63217">
              <w:t>86</w:t>
            </w:r>
          </w:p>
        </w:tc>
        <w:tc>
          <w:tcPr>
            <w:tcW w:w="1200" w:type="dxa"/>
          </w:tcPr>
          <w:p w14:paraId="5E313A14" w14:textId="5C613A3F" w:rsidR="00F56484" w:rsidRPr="00D63217" w:rsidRDefault="00F56484" w:rsidP="009B75F2">
            <w:pPr>
              <w:pStyle w:val="TableText"/>
              <w:jc w:val="right"/>
            </w:pPr>
            <w:r w:rsidRPr="00D63217">
              <w:t>0.06</w:t>
            </w:r>
          </w:p>
        </w:tc>
        <w:tc>
          <w:tcPr>
            <w:tcW w:w="1200" w:type="dxa"/>
          </w:tcPr>
          <w:p w14:paraId="218DF5D2" w14:textId="03E6EF75" w:rsidR="00F56484" w:rsidRPr="00D63217" w:rsidRDefault="00F56484" w:rsidP="009B75F2">
            <w:pPr>
              <w:pStyle w:val="TableText"/>
              <w:jc w:val="right"/>
            </w:pPr>
            <w:r w:rsidRPr="00D63217">
              <w:t>30</w:t>
            </w:r>
          </w:p>
        </w:tc>
        <w:tc>
          <w:tcPr>
            <w:tcW w:w="1236" w:type="dxa"/>
          </w:tcPr>
          <w:p w14:paraId="5E1C49FC" w14:textId="25696BFD" w:rsidR="00F56484" w:rsidRPr="00D63217" w:rsidRDefault="00F56484" w:rsidP="009B75F2">
            <w:pPr>
              <w:pStyle w:val="TableText"/>
              <w:jc w:val="right"/>
            </w:pPr>
            <w:r w:rsidRPr="00D63217">
              <w:t>0.02</w:t>
            </w:r>
          </w:p>
        </w:tc>
      </w:tr>
      <w:tr w:rsidR="005229C6" w:rsidRPr="00D63217" w14:paraId="2D671C17" w14:textId="77777777" w:rsidTr="00D901C7">
        <w:trPr>
          <w:cantSplit/>
          <w:tblHeader/>
        </w:trPr>
        <w:tc>
          <w:tcPr>
            <w:tcW w:w="1203" w:type="dxa"/>
          </w:tcPr>
          <w:p w14:paraId="7F2C3EA5" w14:textId="0E4BBDB9" w:rsidR="00F56484" w:rsidRPr="00D63217" w:rsidRDefault="00F56484" w:rsidP="000C58C9">
            <w:pPr>
              <w:pStyle w:val="TableText"/>
            </w:pPr>
            <w:r w:rsidRPr="00D63217">
              <w:t>Corn, field grain</w:t>
            </w:r>
          </w:p>
        </w:tc>
        <w:tc>
          <w:tcPr>
            <w:tcW w:w="1194" w:type="dxa"/>
          </w:tcPr>
          <w:p w14:paraId="5F6C3487" w14:textId="08C5957F" w:rsidR="00F56484" w:rsidRPr="00D63217" w:rsidRDefault="00F56484" w:rsidP="009B75F2">
            <w:pPr>
              <w:pStyle w:val="TableText"/>
              <w:jc w:val="right"/>
            </w:pPr>
            <w:r w:rsidRPr="00D63217">
              <w:t>GC</w:t>
            </w:r>
          </w:p>
        </w:tc>
        <w:tc>
          <w:tcPr>
            <w:tcW w:w="1199" w:type="dxa"/>
          </w:tcPr>
          <w:p w14:paraId="55281128" w14:textId="7FD7A03F" w:rsidR="00F56484" w:rsidRPr="00D63217" w:rsidRDefault="00F56484" w:rsidP="009B75F2">
            <w:pPr>
              <w:pStyle w:val="TableText"/>
              <w:jc w:val="right"/>
            </w:pPr>
            <w:r w:rsidRPr="00D63217">
              <w:t>0.05</w:t>
            </w:r>
          </w:p>
        </w:tc>
        <w:tc>
          <w:tcPr>
            <w:tcW w:w="1197" w:type="dxa"/>
          </w:tcPr>
          <w:p w14:paraId="7D271DDE" w14:textId="09D2E0AC" w:rsidR="00F56484" w:rsidRPr="00D63217" w:rsidRDefault="00F56484" w:rsidP="009B75F2">
            <w:pPr>
              <w:pStyle w:val="TableText"/>
              <w:jc w:val="right"/>
            </w:pPr>
            <w:r w:rsidRPr="00D63217">
              <w:t>STMR</w:t>
            </w:r>
          </w:p>
        </w:tc>
        <w:tc>
          <w:tcPr>
            <w:tcW w:w="1199" w:type="dxa"/>
          </w:tcPr>
          <w:p w14:paraId="60B1D4E4" w14:textId="65C85D2A" w:rsidR="00F56484" w:rsidRPr="00D63217" w:rsidRDefault="00F56484" w:rsidP="009B75F2">
            <w:pPr>
              <w:pStyle w:val="TableText"/>
              <w:jc w:val="right"/>
            </w:pPr>
            <w:r w:rsidRPr="00D63217">
              <w:t>88</w:t>
            </w:r>
          </w:p>
        </w:tc>
        <w:tc>
          <w:tcPr>
            <w:tcW w:w="1200" w:type="dxa"/>
          </w:tcPr>
          <w:p w14:paraId="214129CA" w14:textId="548C8D94" w:rsidR="00F56484" w:rsidRPr="00D63217" w:rsidRDefault="00F56484" w:rsidP="009B75F2">
            <w:pPr>
              <w:pStyle w:val="TableText"/>
              <w:jc w:val="right"/>
            </w:pPr>
            <w:r w:rsidRPr="00D63217">
              <w:t>0.06</w:t>
            </w:r>
          </w:p>
        </w:tc>
        <w:tc>
          <w:tcPr>
            <w:tcW w:w="1200" w:type="dxa"/>
          </w:tcPr>
          <w:p w14:paraId="5BECE0A1" w14:textId="77777777" w:rsidR="00F56484" w:rsidRPr="00D63217" w:rsidRDefault="00F56484" w:rsidP="009B75F2">
            <w:pPr>
              <w:pStyle w:val="TableText"/>
              <w:jc w:val="right"/>
            </w:pPr>
          </w:p>
        </w:tc>
        <w:tc>
          <w:tcPr>
            <w:tcW w:w="1236" w:type="dxa"/>
          </w:tcPr>
          <w:p w14:paraId="29726DCF" w14:textId="77777777" w:rsidR="00F56484" w:rsidRPr="00D63217" w:rsidRDefault="00F56484" w:rsidP="009B75F2">
            <w:pPr>
              <w:pStyle w:val="TableText"/>
              <w:jc w:val="right"/>
            </w:pPr>
          </w:p>
        </w:tc>
      </w:tr>
      <w:tr w:rsidR="005229C6" w:rsidRPr="00D63217" w14:paraId="44C508F4" w14:textId="77777777" w:rsidTr="00D901C7">
        <w:trPr>
          <w:cantSplit/>
          <w:tblHeader/>
        </w:trPr>
        <w:tc>
          <w:tcPr>
            <w:tcW w:w="1203" w:type="dxa"/>
          </w:tcPr>
          <w:p w14:paraId="557D0866" w14:textId="0E57E025" w:rsidR="00F56484" w:rsidRPr="00D63217" w:rsidRDefault="00F56484" w:rsidP="000C58C9">
            <w:pPr>
              <w:pStyle w:val="TableText"/>
            </w:pPr>
            <w:r w:rsidRPr="00D63217">
              <w:t>Cotton meal</w:t>
            </w:r>
          </w:p>
        </w:tc>
        <w:tc>
          <w:tcPr>
            <w:tcW w:w="1194" w:type="dxa"/>
          </w:tcPr>
          <w:p w14:paraId="38B813F6" w14:textId="01408697" w:rsidR="00F56484" w:rsidRPr="00D63217" w:rsidRDefault="00F56484" w:rsidP="009B75F2">
            <w:pPr>
              <w:pStyle w:val="TableText"/>
              <w:jc w:val="right"/>
            </w:pPr>
            <w:r w:rsidRPr="00D63217">
              <w:t>SM</w:t>
            </w:r>
          </w:p>
        </w:tc>
        <w:tc>
          <w:tcPr>
            <w:tcW w:w="1199" w:type="dxa"/>
          </w:tcPr>
          <w:p w14:paraId="08E29538" w14:textId="0AEE62B0" w:rsidR="00F56484" w:rsidRPr="00D63217" w:rsidRDefault="00F56484" w:rsidP="009B75F2">
            <w:pPr>
              <w:pStyle w:val="TableText"/>
              <w:jc w:val="right"/>
            </w:pPr>
            <w:r w:rsidRPr="00D63217">
              <w:t>0.02</w:t>
            </w:r>
          </w:p>
        </w:tc>
        <w:tc>
          <w:tcPr>
            <w:tcW w:w="1197" w:type="dxa"/>
          </w:tcPr>
          <w:p w14:paraId="77833871" w14:textId="7A01D815" w:rsidR="00F56484" w:rsidRPr="00D63217" w:rsidRDefault="00F56484" w:rsidP="009B75F2">
            <w:pPr>
              <w:pStyle w:val="TableText"/>
              <w:jc w:val="right"/>
            </w:pPr>
            <w:r w:rsidRPr="00D63217">
              <w:t>STMR</w:t>
            </w:r>
          </w:p>
        </w:tc>
        <w:tc>
          <w:tcPr>
            <w:tcW w:w="1199" w:type="dxa"/>
          </w:tcPr>
          <w:p w14:paraId="0019429D" w14:textId="0D1E9056" w:rsidR="00F56484" w:rsidRPr="00D63217" w:rsidRDefault="00F56484" w:rsidP="009B75F2">
            <w:pPr>
              <w:pStyle w:val="TableText"/>
              <w:jc w:val="right"/>
            </w:pPr>
            <w:r w:rsidRPr="00D63217">
              <w:t>89</w:t>
            </w:r>
          </w:p>
        </w:tc>
        <w:tc>
          <w:tcPr>
            <w:tcW w:w="1200" w:type="dxa"/>
          </w:tcPr>
          <w:p w14:paraId="641D2260" w14:textId="4CA9BEA8" w:rsidR="00F56484" w:rsidRPr="00D63217" w:rsidRDefault="00F56484" w:rsidP="009B75F2">
            <w:pPr>
              <w:pStyle w:val="TableText"/>
              <w:jc w:val="right"/>
            </w:pPr>
            <w:r w:rsidRPr="00D63217">
              <w:t>0.0</w:t>
            </w:r>
          </w:p>
        </w:tc>
        <w:tc>
          <w:tcPr>
            <w:tcW w:w="1200" w:type="dxa"/>
          </w:tcPr>
          <w:p w14:paraId="4CBCB68F" w14:textId="77777777" w:rsidR="00F56484" w:rsidRPr="00D63217" w:rsidRDefault="00F56484" w:rsidP="009B75F2">
            <w:pPr>
              <w:pStyle w:val="TableText"/>
              <w:jc w:val="right"/>
            </w:pPr>
          </w:p>
        </w:tc>
        <w:tc>
          <w:tcPr>
            <w:tcW w:w="1236" w:type="dxa"/>
          </w:tcPr>
          <w:p w14:paraId="7EB472D2" w14:textId="77777777" w:rsidR="00F56484" w:rsidRPr="00D63217" w:rsidRDefault="00F56484" w:rsidP="009B75F2">
            <w:pPr>
              <w:pStyle w:val="TableText"/>
              <w:jc w:val="right"/>
            </w:pPr>
          </w:p>
        </w:tc>
      </w:tr>
      <w:tr w:rsidR="005229C6" w:rsidRPr="00D63217" w14:paraId="24AA2B56" w14:textId="77777777" w:rsidTr="00D901C7">
        <w:trPr>
          <w:cantSplit/>
          <w:tblHeader/>
        </w:trPr>
        <w:tc>
          <w:tcPr>
            <w:tcW w:w="1203" w:type="dxa"/>
          </w:tcPr>
          <w:p w14:paraId="785A7CCB" w14:textId="62B2BD51" w:rsidR="00F56484" w:rsidRPr="00D63217" w:rsidRDefault="00F56484" w:rsidP="000C58C9">
            <w:pPr>
              <w:pStyle w:val="TableText"/>
            </w:pPr>
            <w:r w:rsidRPr="00D63217">
              <w:t>Total</w:t>
            </w:r>
          </w:p>
        </w:tc>
        <w:tc>
          <w:tcPr>
            <w:tcW w:w="1194" w:type="dxa"/>
          </w:tcPr>
          <w:p w14:paraId="42727CD2" w14:textId="77777777" w:rsidR="00F56484" w:rsidRPr="00D63217" w:rsidRDefault="00F56484" w:rsidP="009B75F2">
            <w:pPr>
              <w:pStyle w:val="TableText"/>
              <w:jc w:val="right"/>
            </w:pPr>
          </w:p>
        </w:tc>
        <w:tc>
          <w:tcPr>
            <w:tcW w:w="1199" w:type="dxa"/>
          </w:tcPr>
          <w:p w14:paraId="3D2B4E8B" w14:textId="77777777" w:rsidR="00F56484" w:rsidRPr="00D63217" w:rsidRDefault="00F56484" w:rsidP="009B75F2">
            <w:pPr>
              <w:pStyle w:val="TableText"/>
              <w:jc w:val="right"/>
            </w:pPr>
          </w:p>
        </w:tc>
        <w:tc>
          <w:tcPr>
            <w:tcW w:w="1197" w:type="dxa"/>
          </w:tcPr>
          <w:p w14:paraId="4171048F" w14:textId="77777777" w:rsidR="00F56484" w:rsidRPr="00D63217" w:rsidRDefault="00F56484" w:rsidP="009B75F2">
            <w:pPr>
              <w:pStyle w:val="TableText"/>
              <w:jc w:val="right"/>
            </w:pPr>
          </w:p>
        </w:tc>
        <w:tc>
          <w:tcPr>
            <w:tcW w:w="1199" w:type="dxa"/>
          </w:tcPr>
          <w:p w14:paraId="27C8C887" w14:textId="77777777" w:rsidR="00F56484" w:rsidRPr="00D63217" w:rsidRDefault="00F56484" w:rsidP="009B75F2">
            <w:pPr>
              <w:pStyle w:val="TableText"/>
              <w:jc w:val="right"/>
            </w:pPr>
          </w:p>
        </w:tc>
        <w:tc>
          <w:tcPr>
            <w:tcW w:w="1200" w:type="dxa"/>
          </w:tcPr>
          <w:p w14:paraId="5CC1B011" w14:textId="77777777" w:rsidR="00F56484" w:rsidRPr="00D63217" w:rsidRDefault="00F56484" w:rsidP="009B75F2">
            <w:pPr>
              <w:pStyle w:val="TableText"/>
              <w:jc w:val="right"/>
            </w:pPr>
          </w:p>
        </w:tc>
        <w:tc>
          <w:tcPr>
            <w:tcW w:w="1200" w:type="dxa"/>
          </w:tcPr>
          <w:p w14:paraId="0D8C71E4" w14:textId="41516BDA" w:rsidR="00F56484" w:rsidRPr="00D63217" w:rsidRDefault="00F56484" w:rsidP="009B75F2">
            <w:pPr>
              <w:pStyle w:val="TableText"/>
              <w:jc w:val="right"/>
            </w:pPr>
            <w:r w:rsidRPr="00D63217">
              <w:t>100</w:t>
            </w:r>
          </w:p>
        </w:tc>
        <w:tc>
          <w:tcPr>
            <w:tcW w:w="1236" w:type="dxa"/>
          </w:tcPr>
          <w:p w14:paraId="5FF9F904" w14:textId="15569743" w:rsidR="00F56484" w:rsidRPr="00D63217" w:rsidRDefault="00F56484" w:rsidP="009B75F2">
            <w:pPr>
              <w:pStyle w:val="TableText"/>
              <w:jc w:val="right"/>
            </w:pPr>
            <w:r w:rsidRPr="00D63217">
              <w:t>0.18</w:t>
            </w:r>
          </w:p>
        </w:tc>
      </w:tr>
    </w:tbl>
    <w:p w14:paraId="0C389D06" w14:textId="0C5C9602" w:rsidR="00B70721" w:rsidRPr="00D901C7" w:rsidRDefault="00B70721" w:rsidP="00D901C7">
      <w:pPr>
        <w:pStyle w:val="Caption"/>
      </w:pPr>
      <w:bookmarkStart w:id="328" w:name="_Ref167093119"/>
      <w:bookmarkStart w:id="329" w:name="_Toc230692282"/>
      <w:bookmarkStart w:id="330" w:name="_Toc233036503"/>
      <w:bookmarkEnd w:id="327"/>
      <w:r w:rsidRPr="00D901C7">
        <w:t xml:space="preserve">Table </w:t>
      </w:r>
      <w:fldSimple w:instr=" SEQ Table \* ARABIC ">
        <w:r w:rsidR="00D901C7">
          <w:rPr>
            <w:noProof/>
          </w:rPr>
          <w:t>16</w:t>
        </w:r>
      </w:fldSimple>
      <w:bookmarkEnd w:id="328"/>
      <w:r w:rsidRPr="00D901C7">
        <w:t>: Calculation of poultry layer dietary burden of paraquat</w:t>
      </w:r>
      <w:bookmarkEnd w:id="329"/>
      <w:bookmarkEnd w:id="330"/>
    </w:p>
    <w:tbl>
      <w:tblPr>
        <w:tblStyle w:val="TableGrid"/>
        <w:tblW w:w="0" w:type="auto"/>
        <w:tblLook w:val="04A0" w:firstRow="1" w:lastRow="0" w:firstColumn="1" w:lastColumn="0" w:noHBand="0" w:noVBand="1"/>
      </w:tblPr>
      <w:tblGrid>
        <w:gridCol w:w="1203"/>
        <w:gridCol w:w="1194"/>
        <w:gridCol w:w="1199"/>
        <w:gridCol w:w="1197"/>
        <w:gridCol w:w="1199"/>
        <w:gridCol w:w="1200"/>
        <w:gridCol w:w="1200"/>
        <w:gridCol w:w="1236"/>
      </w:tblGrid>
      <w:tr w:rsidR="00B70721" w:rsidRPr="00D63217" w14:paraId="15D94098" w14:textId="77777777" w:rsidTr="0042269F">
        <w:trPr>
          <w:tblHeader/>
        </w:trPr>
        <w:tc>
          <w:tcPr>
            <w:tcW w:w="9628" w:type="dxa"/>
            <w:gridSpan w:val="8"/>
            <w:shd w:val="clear" w:color="auto" w:fill="5C2946"/>
          </w:tcPr>
          <w:p w14:paraId="73A4D701" w14:textId="3D36C63C" w:rsidR="00B70721" w:rsidRPr="00D63217" w:rsidRDefault="00B70721" w:rsidP="00AF5BA7">
            <w:pPr>
              <w:pStyle w:val="TableHead"/>
            </w:pPr>
            <w:r w:rsidRPr="00D63217">
              <w:t xml:space="preserve">Poultry </w:t>
            </w:r>
            <w:r w:rsidR="00C860D1" w:rsidRPr="00D63217">
              <w:t>b</w:t>
            </w:r>
            <w:r w:rsidRPr="00D63217">
              <w:t>roiler – for MRLs</w:t>
            </w:r>
          </w:p>
        </w:tc>
      </w:tr>
      <w:tr w:rsidR="005229C6" w:rsidRPr="00D63217" w14:paraId="26829DBD" w14:textId="77777777" w:rsidTr="009B75F2">
        <w:trPr>
          <w:tblHeader/>
        </w:trPr>
        <w:tc>
          <w:tcPr>
            <w:tcW w:w="1203" w:type="dxa"/>
            <w:shd w:val="clear" w:color="auto" w:fill="5C2946"/>
          </w:tcPr>
          <w:p w14:paraId="4A8FCB2E" w14:textId="77777777" w:rsidR="004207F7" w:rsidRPr="00D63217" w:rsidRDefault="004207F7" w:rsidP="004207F7">
            <w:pPr>
              <w:pStyle w:val="TableHead"/>
            </w:pPr>
            <w:r w:rsidRPr="00D63217">
              <w:t>Commodity</w:t>
            </w:r>
          </w:p>
        </w:tc>
        <w:tc>
          <w:tcPr>
            <w:tcW w:w="1194" w:type="dxa"/>
            <w:shd w:val="clear" w:color="auto" w:fill="5C2946"/>
          </w:tcPr>
          <w:p w14:paraId="097273E3" w14:textId="0AC8B9FA" w:rsidR="004207F7" w:rsidRPr="00D63217" w:rsidRDefault="004207F7" w:rsidP="009B75F2">
            <w:pPr>
              <w:pStyle w:val="TableHead"/>
              <w:jc w:val="right"/>
            </w:pPr>
            <w:r w:rsidRPr="00D63217">
              <w:t>Codex Commodity Code</w:t>
            </w:r>
          </w:p>
        </w:tc>
        <w:tc>
          <w:tcPr>
            <w:tcW w:w="1199" w:type="dxa"/>
            <w:shd w:val="clear" w:color="auto" w:fill="5C2946"/>
          </w:tcPr>
          <w:p w14:paraId="06D48C95" w14:textId="08D128F7" w:rsidR="004207F7" w:rsidRPr="00D63217" w:rsidRDefault="004207F7" w:rsidP="009B75F2">
            <w:pPr>
              <w:pStyle w:val="TableHead"/>
              <w:jc w:val="right"/>
            </w:pPr>
            <w:r w:rsidRPr="00D63217">
              <w:t>Residue (mg/kg)</w:t>
            </w:r>
          </w:p>
        </w:tc>
        <w:tc>
          <w:tcPr>
            <w:tcW w:w="1197" w:type="dxa"/>
            <w:shd w:val="clear" w:color="auto" w:fill="5C2946"/>
          </w:tcPr>
          <w:p w14:paraId="2321DDB0" w14:textId="0DE610B8" w:rsidR="004207F7" w:rsidRPr="00D63217" w:rsidRDefault="004207F7" w:rsidP="009B75F2">
            <w:pPr>
              <w:pStyle w:val="TableHead"/>
              <w:jc w:val="right"/>
            </w:pPr>
            <w:r w:rsidRPr="00D63217">
              <w:t>Basis</w:t>
            </w:r>
          </w:p>
        </w:tc>
        <w:tc>
          <w:tcPr>
            <w:tcW w:w="1199" w:type="dxa"/>
            <w:shd w:val="clear" w:color="auto" w:fill="5C2946"/>
          </w:tcPr>
          <w:p w14:paraId="65426D32" w14:textId="28B340E4" w:rsidR="004207F7" w:rsidRPr="00D63217" w:rsidRDefault="004207F7" w:rsidP="009B75F2">
            <w:pPr>
              <w:pStyle w:val="TableHead"/>
              <w:jc w:val="right"/>
            </w:pPr>
            <w:r w:rsidRPr="00D63217">
              <w:t>Dry matter (%)</w:t>
            </w:r>
          </w:p>
        </w:tc>
        <w:tc>
          <w:tcPr>
            <w:tcW w:w="1200" w:type="dxa"/>
            <w:shd w:val="clear" w:color="auto" w:fill="5C2946"/>
          </w:tcPr>
          <w:p w14:paraId="40640336" w14:textId="07683EF6" w:rsidR="004207F7" w:rsidRPr="00D63217" w:rsidRDefault="004207F7" w:rsidP="009B75F2">
            <w:pPr>
              <w:pStyle w:val="TableHead"/>
              <w:jc w:val="right"/>
            </w:pPr>
            <w:r w:rsidRPr="00D63217">
              <w:t>Residue dry weight (mg/kg)</w:t>
            </w:r>
          </w:p>
        </w:tc>
        <w:tc>
          <w:tcPr>
            <w:tcW w:w="1200" w:type="dxa"/>
            <w:shd w:val="clear" w:color="auto" w:fill="5C2946"/>
          </w:tcPr>
          <w:p w14:paraId="57DC059C" w14:textId="62A2B1D1" w:rsidR="004207F7" w:rsidRPr="00D63217" w:rsidRDefault="004207F7" w:rsidP="009B75F2">
            <w:pPr>
              <w:pStyle w:val="TableHead"/>
              <w:jc w:val="right"/>
            </w:pPr>
            <w:r w:rsidRPr="00D63217">
              <w:t>Diet content (%)</w:t>
            </w:r>
          </w:p>
        </w:tc>
        <w:tc>
          <w:tcPr>
            <w:tcW w:w="1236" w:type="dxa"/>
            <w:shd w:val="clear" w:color="auto" w:fill="5C2946"/>
          </w:tcPr>
          <w:p w14:paraId="2ED00717" w14:textId="28AB0A3A" w:rsidR="004207F7" w:rsidRPr="00D63217" w:rsidRDefault="004207F7" w:rsidP="009B75F2">
            <w:pPr>
              <w:pStyle w:val="TableHead"/>
              <w:jc w:val="right"/>
            </w:pPr>
            <w:r w:rsidRPr="00D63217">
              <w:t>Residue Contribution (ppm)</w:t>
            </w:r>
          </w:p>
        </w:tc>
      </w:tr>
      <w:tr w:rsidR="005229C6" w:rsidRPr="00D63217" w14:paraId="49EDE016" w14:textId="77777777" w:rsidTr="009B75F2">
        <w:tc>
          <w:tcPr>
            <w:tcW w:w="1203" w:type="dxa"/>
          </w:tcPr>
          <w:p w14:paraId="3DA4595F" w14:textId="10AE9351" w:rsidR="00B70721" w:rsidRPr="00D63217" w:rsidRDefault="00B70721" w:rsidP="000C58C9">
            <w:pPr>
              <w:pStyle w:val="TableText"/>
            </w:pPr>
            <w:r w:rsidRPr="00D63217">
              <w:t>Trefoil forage</w:t>
            </w:r>
          </w:p>
        </w:tc>
        <w:tc>
          <w:tcPr>
            <w:tcW w:w="1194" w:type="dxa"/>
          </w:tcPr>
          <w:p w14:paraId="6505705E" w14:textId="77777777" w:rsidR="00B70721" w:rsidRPr="00D63217" w:rsidRDefault="00B70721" w:rsidP="009B75F2">
            <w:pPr>
              <w:pStyle w:val="TableText"/>
              <w:jc w:val="right"/>
            </w:pPr>
            <w:r w:rsidRPr="00D63217">
              <w:t>AL</w:t>
            </w:r>
          </w:p>
        </w:tc>
        <w:tc>
          <w:tcPr>
            <w:tcW w:w="1199" w:type="dxa"/>
          </w:tcPr>
          <w:p w14:paraId="1CB4C4B4" w14:textId="7DE82883" w:rsidR="00B70721" w:rsidRPr="00D63217" w:rsidRDefault="00B70721" w:rsidP="009B75F2">
            <w:pPr>
              <w:pStyle w:val="TableText"/>
              <w:jc w:val="right"/>
            </w:pPr>
            <w:r w:rsidRPr="00D63217">
              <w:t>250</w:t>
            </w:r>
          </w:p>
        </w:tc>
        <w:tc>
          <w:tcPr>
            <w:tcW w:w="1197" w:type="dxa"/>
          </w:tcPr>
          <w:p w14:paraId="5DEAFF36" w14:textId="77777777" w:rsidR="00B70721" w:rsidRPr="00D63217" w:rsidRDefault="00B70721" w:rsidP="009B75F2">
            <w:pPr>
              <w:pStyle w:val="TableText"/>
              <w:jc w:val="right"/>
            </w:pPr>
            <w:r w:rsidRPr="00D63217">
              <w:t>HR</w:t>
            </w:r>
          </w:p>
        </w:tc>
        <w:tc>
          <w:tcPr>
            <w:tcW w:w="1199" w:type="dxa"/>
          </w:tcPr>
          <w:p w14:paraId="1B4DA1F2" w14:textId="77777777" w:rsidR="00B70721" w:rsidRPr="00D63217" w:rsidRDefault="00B70721" w:rsidP="009B75F2">
            <w:pPr>
              <w:pStyle w:val="TableText"/>
              <w:jc w:val="right"/>
            </w:pPr>
            <w:r w:rsidRPr="00D63217">
              <w:t>100</w:t>
            </w:r>
          </w:p>
        </w:tc>
        <w:tc>
          <w:tcPr>
            <w:tcW w:w="1200" w:type="dxa"/>
          </w:tcPr>
          <w:p w14:paraId="0C4A86E7" w14:textId="415AADE8" w:rsidR="00B70721" w:rsidRPr="00D63217" w:rsidRDefault="00B70721" w:rsidP="009B75F2">
            <w:pPr>
              <w:pStyle w:val="TableText"/>
              <w:jc w:val="right"/>
            </w:pPr>
            <w:r w:rsidRPr="00D63217">
              <w:t>250</w:t>
            </w:r>
          </w:p>
        </w:tc>
        <w:tc>
          <w:tcPr>
            <w:tcW w:w="1200" w:type="dxa"/>
          </w:tcPr>
          <w:p w14:paraId="2225F20F" w14:textId="77777777" w:rsidR="00B70721" w:rsidRPr="00D63217" w:rsidRDefault="00B70721" w:rsidP="009B75F2">
            <w:pPr>
              <w:pStyle w:val="TableText"/>
              <w:jc w:val="right"/>
            </w:pPr>
          </w:p>
        </w:tc>
        <w:tc>
          <w:tcPr>
            <w:tcW w:w="1236" w:type="dxa"/>
          </w:tcPr>
          <w:p w14:paraId="24C3EE63" w14:textId="77777777" w:rsidR="00B70721" w:rsidRPr="00D63217" w:rsidRDefault="00B70721" w:rsidP="009B75F2">
            <w:pPr>
              <w:pStyle w:val="TableText"/>
              <w:jc w:val="right"/>
            </w:pPr>
          </w:p>
        </w:tc>
      </w:tr>
      <w:tr w:rsidR="005229C6" w:rsidRPr="00D63217" w14:paraId="31FA2BF8" w14:textId="77777777" w:rsidTr="009B75F2">
        <w:tc>
          <w:tcPr>
            <w:tcW w:w="1203" w:type="dxa"/>
          </w:tcPr>
          <w:p w14:paraId="55654BA6" w14:textId="74D47F7A" w:rsidR="00B70721" w:rsidRPr="00D63217" w:rsidRDefault="00B70721" w:rsidP="000C58C9">
            <w:pPr>
              <w:pStyle w:val="TableText"/>
            </w:pPr>
            <w:r w:rsidRPr="00D63217">
              <w:t>Grass hay</w:t>
            </w:r>
          </w:p>
        </w:tc>
        <w:tc>
          <w:tcPr>
            <w:tcW w:w="1194" w:type="dxa"/>
          </w:tcPr>
          <w:p w14:paraId="2A14068F" w14:textId="0490E643" w:rsidR="00B70721" w:rsidRPr="00D63217" w:rsidRDefault="00B70721" w:rsidP="009B75F2">
            <w:pPr>
              <w:pStyle w:val="TableText"/>
              <w:jc w:val="right"/>
            </w:pPr>
            <w:r w:rsidRPr="00D63217">
              <w:t>AF/AS</w:t>
            </w:r>
          </w:p>
        </w:tc>
        <w:tc>
          <w:tcPr>
            <w:tcW w:w="1199" w:type="dxa"/>
          </w:tcPr>
          <w:p w14:paraId="5D4C5AF6" w14:textId="14A95646" w:rsidR="00B70721" w:rsidRPr="00D63217" w:rsidRDefault="00B70721" w:rsidP="009B75F2">
            <w:pPr>
              <w:pStyle w:val="TableText"/>
              <w:jc w:val="right"/>
            </w:pPr>
            <w:r w:rsidRPr="00D63217">
              <w:t>220</w:t>
            </w:r>
          </w:p>
        </w:tc>
        <w:tc>
          <w:tcPr>
            <w:tcW w:w="1197" w:type="dxa"/>
          </w:tcPr>
          <w:p w14:paraId="554A865A" w14:textId="44AC2E2E" w:rsidR="00B70721" w:rsidRPr="00D63217" w:rsidRDefault="00B70721" w:rsidP="009B75F2">
            <w:pPr>
              <w:pStyle w:val="TableText"/>
              <w:jc w:val="right"/>
            </w:pPr>
            <w:r w:rsidRPr="00D63217">
              <w:t>HR</w:t>
            </w:r>
          </w:p>
        </w:tc>
        <w:tc>
          <w:tcPr>
            <w:tcW w:w="1199" w:type="dxa"/>
          </w:tcPr>
          <w:p w14:paraId="2711159F" w14:textId="4C3D5575" w:rsidR="00B70721" w:rsidRPr="00D63217" w:rsidRDefault="00B70721" w:rsidP="009B75F2">
            <w:pPr>
              <w:pStyle w:val="TableText"/>
              <w:jc w:val="right"/>
            </w:pPr>
            <w:r w:rsidRPr="00D63217">
              <w:t>100</w:t>
            </w:r>
          </w:p>
        </w:tc>
        <w:tc>
          <w:tcPr>
            <w:tcW w:w="1200" w:type="dxa"/>
          </w:tcPr>
          <w:p w14:paraId="55772FF4" w14:textId="179CBF17" w:rsidR="00B70721" w:rsidRPr="00D63217" w:rsidRDefault="00B70721" w:rsidP="009B75F2">
            <w:pPr>
              <w:pStyle w:val="TableText"/>
              <w:jc w:val="right"/>
            </w:pPr>
            <w:r w:rsidRPr="00D63217">
              <w:t>220</w:t>
            </w:r>
          </w:p>
        </w:tc>
        <w:tc>
          <w:tcPr>
            <w:tcW w:w="1200" w:type="dxa"/>
          </w:tcPr>
          <w:p w14:paraId="58779083" w14:textId="77777777" w:rsidR="00B70721" w:rsidRPr="00D63217" w:rsidRDefault="00B70721" w:rsidP="009B75F2">
            <w:pPr>
              <w:pStyle w:val="TableText"/>
              <w:jc w:val="right"/>
            </w:pPr>
          </w:p>
        </w:tc>
        <w:tc>
          <w:tcPr>
            <w:tcW w:w="1236" w:type="dxa"/>
          </w:tcPr>
          <w:p w14:paraId="7DEFC881" w14:textId="77777777" w:rsidR="00B70721" w:rsidRPr="00D63217" w:rsidRDefault="00B70721" w:rsidP="009B75F2">
            <w:pPr>
              <w:pStyle w:val="TableText"/>
              <w:jc w:val="right"/>
            </w:pPr>
          </w:p>
        </w:tc>
      </w:tr>
      <w:tr w:rsidR="005229C6" w:rsidRPr="00D63217" w14:paraId="18013CF2" w14:textId="77777777" w:rsidTr="009B75F2">
        <w:tc>
          <w:tcPr>
            <w:tcW w:w="1203" w:type="dxa"/>
          </w:tcPr>
          <w:p w14:paraId="21A15C7C" w14:textId="795FB6CC" w:rsidR="00B70721" w:rsidRPr="00D63217" w:rsidRDefault="00B70721" w:rsidP="000C58C9">
            <w:pPr>
              <w:pStyle w:val="TableText"/>
            </w:pPr>
            <w:r w:rsidRPr="00D63217">
              <w:t xml:space="preserve">Potato </w:t>
            </w:r>
            <w:r w:rsidR="009B75F2" w:rsidRPr="00D63217">
              <w:t>c</w:t>
            </w:r>
            <w:r w:rsidRPr="00D63217">
              <w:t>ulls</w:t>
            </w:r>
          </w:p>
        </w:tc>
        <w:tc>
          <w:tcPr>
            <w:tcW w:w="1194" w:type="dxa"/>
          </w:tcPr>
          <w:p w14:paraId="4665B379" w14:textId="77777777" w:rsidR="00B70721" w:rsidRPr="00D63217" w:rsidRDefault="00B70721" w:rsidP="009B75F2">
            <w:pPr>
              <w:pStyle w:val="TableText"/>
              <w:jc w:val="right"/>
            </w:pPr>
            <w:r w:rsidRPr="00D63217">
              <w:t>VR</w:t>
            </w:r>
          </w:p>
        </w:tc>
        <w:tc>
          <w:tcPr>
            <w:tcW w:w="1199" w:type="dxa"/>
          </w:tcPr>
          <w:p w14:paraId="46A30C29" w14:textId="1F770352" w:rsidR="00B70721" w:rsidRPr="00D63217" w:rsidRDefault="00B70721" w:rsidP="009B75F2">
            <w:pPr>
              <w:pStyle w:val="TableText"/>
              <w:jc w:val="right"/>
            </w:pPr>
            <w:r w:rsidRPr="00D63217">
              <w:t>0.09</w:t>
            </w:r>
          </w:p>
        </w:tc>
        <w:tc>
          <w:tcPr>
            <w:tcW w:w="1197" w:type="dxa"/>
          </w:tcPr>
          <w:p w14:paraId="78166D9D" w14:textId="77777777" w:rsidR="00B70721" w:rsidRPr="00D63217" w:rsidRDefault="00B70721" w:rsidP="009B75F2">
            <w:pPr>
              <w:pStyle w:val="TableText"/>
              <w:jc w:val="right"/>
            </w:pPr>
            <w:r w:rsidRPr="00D63217">
              <w:t>HR</w:t>
            </w:r>
          </w:p>
        </w:tc>
        <w:tc>
          <w:tcPr>
            <w:tcW w:w="1199" w:type="dxa"/>
          </w:tcPr>
          <w:p w14:paraId="0F780F62" w14:textId="77777777" w:rsidR="00B70721" w:rsidRPr="00D63217" w:rsidRDefault="00B70721" w:rsidP="009B75F2">
            <w:pPr>
              <w:pStyle w:val="TableText"/>
              <w:jc w:val="right"/>
            </w:pPr>
            <w:r w:rsidRPr="00D63217">
              <w:t>20</w:t>
            </w:r>
          </w:p>
        </w:tc>
        <w:tc>
          <w:tcPr>
            <w:tcW w:w="1200" w:type="dxa"/>
          </w:tcPr>
          <w:p w14:paraId="0BF2D315" w14:textId="77777777" w:rsidR="00B70721" w:rsidRPr="00D63217" w:rsidRDefault="00B70721" w:rsidP="009B75F2">
            <w:pPr>
              <w:pStyle w:val="TableText"/>
              <w:jc w:val="right"/>
            </w:pPr>
            <w:r w:rsidRPr="00D63217">
              <w:t>0.45</w:t>
            </w:r>
          </w:p>
        </w:tc>
        <w:tc>
          <w:tcPr>
            <w:tcW w:w="1200" w:type="dxa"/>
          </w:tcPr>
          <w:p w14:paraId="7D98941B" w14:textId="77777777" w:rsidR="00B70721" w:rsidRPr="00D63217" w:rsidRDefault="00B70721" w:rsidP="009B75F2">
            <w:pPr>
              <w:pStyle w:val="TableText"/>
              <w:jc w:val="right"/>
            </w:pPr>
          </w:p>
        </w:tc>
        <w:tc>
          <w:tcPr>
            <w:tcW w:w="1236" w:type="dxa"/>
          </w:tcPr>
          <w:p w14:paraId="6176DAF3" w14:textId="77777777" w:rsidR="00B70721" w:rsidRPr="00D63217" w:rsidRDefault="00B70721" w:rsidP="009B75F2">
            <w:pPr>
              <w:pStyle w:val="TableText"/>
              <w:jc w:val="right"/>
            </w:pPr>
          </w:p>
        </w:tc>
      </w:tr>
      <w:tr w:rsidR="005229C6" w:rsidRPr="00D63217" w14:paraId="62F1A53D" w14:textId="77777777" w:rsidTr="009B75F2">
        <w:tc>
          <w:tcPr>
            <w:tcW w:w="1203" w:type="dxa"/>
          </w:tcPr>
          <w:p w14:paraId="39185A23" w14:textId="77777777" w:rsidR="00B70721" w:rsidRPr="00D63217" w:rsidRDefault="00B70721" w:rsidP="000C58C9">
            <w:pPr>
              <w:pStyle w:val="TableText"/>
            </w:pPr>
            <w:r w:rsidRPr="00D63217">
              <w:t>Bean seed</w:t>
            </w:r>
          </w:p>
        </w:tc>
        <w:tc>
          <w:tcPr>
            <w:tcW w:w="1194" w:type="dxa"/>
          </w:tcPr>
          <w:p w14:paraId="7646CB26" w14:textId="77777777" w:rsidR="00B70721" w:rsidRPr="00D63217" w:rsidRDefault="00B70721" w:rsidP="009B75F2">
            <w:pPr>
              <w:pStyle w:val="TableText"/>
              <w:jc w:val="right"/>
            </w:pPr>
            <w:r w:rsidRPr="00D63217">
              <w:t>VD</w:t>
            </w:r>
          </w:p>
        </w:tc>
        <w:tc>
          <w:tcPr>
            <w:tcW w:w="1199" w:type="dxa"/>
          </w:tcPr>
          <w:p w14:paraId="14EC7A3A" w14:textId="77777777" w:rsidR="00B70721" w:rsidRPr="00D63217" w:rsidRDefault="00B70721" w:rsidP="009B75F2">
            <w:pPr>
              <w:pStyle w:val="TableText"/>
              <w:jc w:val="right"/>
            </w:pPr>
            <w:r w:rsidRPr="00D63217">
              <w:t>0.21</w:t>
            </w:r>
          </w:p>
        </w:tc>
        <w:tc>
          <w:tcPr>
            <w:tcW w:w="1197" w:type="dxa"/>
          </w:tcPr>
          <w:p w14:paraId="4F19BBA4" w14:textId="77777777" w:rsidR="00B70721" w:rsidRPr="00D63217" w:rsidRDefault="00B70721" w:rsidP="009B75F2">
            <w:pPr>
              <w:pStyle w:val="TableText"/>
              <w:jc w:val="right"/>
            </w:pPr>
            <w:r w:rsidRPr="00D63217">
              <w:t>STMR</w:t>
            </w:r>
          </w:p>
        </w:tc>
        <w:tc>
          <w:tcPr>
            <w:tcW w:w="1199" w:type="dxa"/>
          </w:tcPr>
          <w:p w14:paraId="294061BD" w14:textId="77777777" w:rsidR="00B70721" w:rsidRPr="00D63217" w:rsidRDefault="00B70721" w:rsidP="009B75F2">
            <w:pPr>
              <w:pStyle w:val="TableText"/>
              <w:jc w:val="right"/>
            </w:pPr>
            <w:r w:rsidRPr="00D63217">
              <w:t>88</w:t>
            </w:r>
          </w:p>
        </w:tc>
        <w:tc>
          <w:tcPr>
            <w:tcW w:w="1200" w:type="dxa"/>
          </w:tcPr>
          <w:p w14:paraId="25F25D5D" w14:textId="77777777" w:rsidR="00B70721" w:rsidRPr="00D63217" w:rsidRDefault="00B70721" w:rsidP="009B75F2">
            <w:pPr>
              <w:pStyle w:val="TableText"/>
              <w:jc w:val="right"/>
            </w:pPr>
            <w:r w:rsidRPr="00D63217">
              <w:t>0.24</w:t>
            </w:r>
          </w:p>
        </w:tc>
        <w:tc>
          <w:tcPr>
            <w:tcW w:w="1200" w:type="dxa"/>
          </w:tcPr>
          <w:p w14:paraId="5DF47A1F" w14:textId="77777777" w:rsidR="00B70721" w:rsidRPr="00D63217" w:rsidRDefault="00B70721" w:rsidP="009B75F2">
            <w:pPr>
              <w:pStyle w:val="TableText"/>
              <w:jc w:val="right"/>
            </w:pPr>
            <w:r w:rsidRPr="00D63217">
              <w:t>70</w:t>
            </w:r>
          </w:p>
        </w:tc>
        <w:tc>
          <w:tcPr>
            <w:tcW w:w="1236" w:type="dxa"/>
          </w:tcPr>
          <w:p w14:paraId="06FDE017" w14:textId="77777777" w:rsidR="00B70721" w:rsidRPr="00D63217" w:rsidRDefault="00B70721" w:rsidP="009B75F2">
            <w:pPr>
              <w:pStyle w:val="TableText"/>
              <w:jc w:val="right"/>
            </w:pPr>
            <w:r w:rsidRPr="00D63217">
              <w:t>0.17</w:t>
            </w:r>
          </w:p>
        </w:tc>
      </w:tr>
      <w:tr w:rsidR="005229C6" w:rsidRPr="00D63217" w14:paraId="5C4C8FF7" w14:textId="77777777" w:rsidTr="009B75F2">
        <w:tc>
          <w:tcPr>
            <w:tcW w:w="1203" w:type="dxa"/>
          </w:tcPr>
          <w:p w14:paraId="61E6A66B" w14:textId="77777777" w:rsidR="00B70721" w:rsidRPr="00D63217" w:rsidRDefault="00B70721" w:rsidP="000C58C9">
            <w:pPr>
              <w:pStyle w:val="TableText"/>
            </w:pPr>
            <w:r w:rsidRPr="00D63217">
              <w:t>Lupin seed</w:t>
            </w:r>
          </w:p>
        </w:tc>
        <w:tc>
          <w:tcPr>
            <w:tcW w:w="1194" w:type="dxa"/>
          </w:tcPr>
          <w:p w14:paraId="688B49A9" w14:textId="77777777" w:rsidR="00B70721" w:rsidRPr="00D63217" w:rsidRDefault="00B70721" w:rsidP="009B75F2">
            <w:pPr>
              <w:pStyle w:val="TableText"/>
              <w:jc w:val="right"/>
            </w:pPr>
            <w:r w:rsidRPr="00D63217">
              <w:t>VD</w:t>
            </w:r>
          </w:p>
        </w:tc>
        <w:tc>
          <w:tcPr>
            <w:tcW w:w="1199" w:type="dxa"/>
          </w:tcPr>
          <w:p w14:paraId="4295BCB9" w14:textId="77777777" w:rsidR="00B70721" w:rsidRPr="00D63217" w:rsidRDefault="00B70721" w:rsidP="009B75F2">
            <w:pPr>
              <w:pStyle w:val="TableText"/>
              <w:jc w:val="right"/>
            </w:pPr>
            <w:r w:rsidRPr="00D63217">
              <w:t>0.21</w:t>
            </w:r>
          </w:p>
        </w:tc>
        <w:tc>
          <w:tcPr>
            <w:tcW w:w="1197" w:type="dxa"/>
          </w:tcPr>
          <w:p w14:paraId="0575E75E" w14:textId="77777777" w:rsidR="00B70721" w:rsidRPr="00D63217" w:rsidRDefault="00B70721" w:rsidP="009B75F2">
            <w:pPr>
              <w:pStyle w:val="TableText"/>
              <w:jc w:val="right"/>
            </w:pPr>
            <w:r w:rsidRPr="00D63217">
              <w:t>STMR</w:t>
            </w:r>
          </w:p>
        </w:tc>
        <w:tc>
          <w:tcPr>
            <w:tcW w:w="1199" w:type="dxa"/>
          </w:tcPr>
          <w:p w14:paraId="1739B2AE" w14:textId="77777777" w:rsidR="00B70721" w:rsidRPr="00D63217" w:rsidRDefault="00B70721" w:rsidP="009B75F2">
            <w:pPr>
              <w:pStyle w:val="TableText"/>
              <w:jc w:val="right"/>
            </w:pPr>
            <w:r w:rsidRPr="00D63217">
              <w:t>88</w:t>
            </w:r>
          </w:p>
        </w:tc>
        <w:tc>
          <w:tcPr>
            <w:tcW w:w="1200" w:type="dxa"/>
          </w:tcPr>
          <w:p w14:paraId="1B887329" w14:textId="77777777" w:rsidR="00B70721" w:rsidRPr="00D63217" w:rsidRDefault="00B70721" w:rsidP="009B75F2">
            <w:pPr>
              <w:pStyle w:val="TableText"/>
              <w:jc w:val="right"/>
            </w:pPr>
            <w:r w:rsidRPr="00D63217">
              <w:t>0.24</w:t>
            </w:r>
          </w:p>
        </w:tc>
        <w:tc>
          <w:tcPr>
            <w:tcW w:w="1200" w:type="dxa"/>
          </w:tcPr>
          <w:p w14:paraId="5CB6BD57" w14:textId="77777777" w:rsidR="00B70721" w:rsidRPr="00D63217" w:rsidRDefault="00B70721" w:rsidP="009B75F2">
            <w:pPr>
              <w:pStyle w:val="TableText"/>
              <w:jc w:val="right"/>
            </w:pPr>
          </w:p>
        </w:tc>
        <w:tc>
          <w:tcPr>
            <w:tcW w:w="1236" w:type="dxa"/>
          </w:tcPr>
          <w:p w14:paraId="698A9D73" w14:textId="77777777" w:rsidR="00B70721" w:rsidRPr="00D63217" w:rsidRDefault="00B70721" w:rsidP="009B75F2">
            <w:pPr>
              <w:pStyle w:val="TableText"/>
              <w:jc w:val="right"/>
            </w:pPr>
          </w:p>
        </w:tc>
      </w:tr>
      <w:tr w:rsidR="005229C6" w:rsidRPr="00D63217" w14:paraId="53B9A6FE" w14:textId="77777777" w:rsidTr="009B75F2">
        <w:tc>
          <w:tcPr>
            <w:tcW w:w="1203" w:type="dxa"/>
          </w:tcPr>
          <w:p w14:paraId="48CAE190" w14:textId="77777777" w:rsidR="00B70721" w:rsidRPr="00D63217" w:rsidRDefault="00B70721" w:rsidP="000C58C9">
            <w:pPr>
              <w:pStyle w:val="TableText"/>
            </w:pPr>
            <w:r w:rsidRPr="00D63217">
              <w:t>Pea seed</w:t>
            </w:r>
          </w:p>
        </w:tc>
        <w:tc>
          <w:tcPr>
            <w:tcW w:w="1194" w:type="dxa"/>
          </w:tcPr>
          <w:p w14:paraId="2A3C27DB" w14:textId="77777777" w:rsidR="00B70721" w:rsidRPr="00D63217" w:rsidRDefault="00B70721" w:rsidP="009B75F2">
            <w:pPr>
              <w:pStyle w:val="TableText"/>
              <w:jc w:val="right"/>
            </w:pPr>
            <w:r w:rsidRPr="00D63217">
              <w:t>VD</w:t>
            </w:r>
          </w:p>
        </w:tc>
        <w:tc>
          <w:tcPr>
            <w:tcW w:w="1199" w:type="dxa"/>
          </w:tcPr>
          <w:p w14:paraId="60D1CE87" w14:textId="77777777" w:rsidR="00B70721" w:rsidRPr="00D63217" w:rsidRDefault="00B70721" w:rsidP="009B75F2">
            <w:pPr>
              <w:pStyle w:val="TableText"/>
              <w:jc w:val="right"/>
            </w:pPr>
            <w:r w:rsidRPr="00D63217">
              <w:t>0.21</w:t>
            </w:r>
          </w:p>
        </w:tc>
        <w:tc>
          <w:tcPr>
            <w:tcW w:w="1197" w:type="dxa"/>
          </w:tcPr>
          <w:p w14:paraId="6BED064E" w14:textId="77777777" w:rsidR="00B70721" w:rsidRPr="00D63217" w:rsidRDefault="00B70721" w:rsidP="009B75F2">
            <w:pPr>
              <w:pStyle w:val="TableText"/>
              <w:jc w:val="right"/>
            </w:pPr>
            <w:r w:rsidRPr="00D63217">
              <w:t>STMR</w:t>
            </w:r>
          </w:p>
        </w:tc>
        <w:tc>
          <w:tcPr>
            <w:tcW w:w="1199" w:type="dxa"/>
          </w:tcPr>
          <w:p w14:paraId="7F17C270" w14:textId="77777777" w:rsidR="00B70721" w:rsidRPr="00D63217" w:rsidRDefault="00B70721" w:rsidP="009B75F2">
            <w:pPr>
              <w:pStyle w:val="TableText"/>
              <w:jc w:val="right"/>
            </w:pPr>
            <w:r w:rsidRPr="00D63217">
              <w:t>90</w:t>
            </w:r>
          </w:p>
        </w:tc>
        <w:tc>
          <w:tcPr>
            <w:tcW w:w="1200" w:type="dxa"/>
          </w:tcPr>
          <w:p w14:paraId="4D8B364D" w14:textId="77777777" w:rsidR="00B70721" w:rsidRPr="00D63217" w:rsidRDefault="00B70721" w:rsidP="009B75F2">
            <w:pPr>
              <w:pStyle w:val="TableText"/>
              <w:jc w:val="right"/>
            </w:pPr>
            <w:r w:rsidRPr="00D63217">
              <w:t>0.23</w:t>
            </w:r>
          </w:p>
        </w:tc>
        <w:tc>
          <w:tcPr>
            <w:tcW w:w="1200" w:type="dxa"/>
          </w:tcPr>
          <w:p w14:paraId="70AF0C4D" w14:textId="77777777" w:rsidR="00B70721" w:rsidRPr="00D63217" w:rsidRDefault="00B70721" w:rsidP="009B75F2">
            <w:pPr>
              <w:pStyle w:val="TableText"/>
              <w:jc w:val="right"/>
            </w:pPr>
          </w:p>
        </w:tc>
        <w:tc>
          <w:tcPr>
            <w:tcW w:w="1236" w:type="dxa"/>
          </w:tcPr>
          <w:p w14:paraId="0677C822" w14:textId="77777777" w:rsidR="00B70721" w:rsidRPr="00D63217" w:rsidRDefault="00B70721" w:rsidP="009B75F2">
            <w:pPr>
              <w:pStyle w:val="TableText"/>
              <w:jc w:val="right"/>
            </w:pPr>
          </w:p>
        </w:tc>
      </w:tr>
      <w:tr w:rsidR="005229C6" w:rsidRPr="00D63217" w14:paraId="73570842" w14:textId="77777777" w:rsidTr="00687F21">
        <w:tc>
          <w:tcPr>
            <w:tcW w:w="1203" w:type="dxa"/>
          </w:tcPr>
          <w:p w14:paraId="4F3460CA" w14:textId="542337E8" w:rsidR="00B70721" w:rsidRPr="00D63217" w:rsidRDefault="00B70721" w:rsidP="00AF5BA7">
            <w:pPr>
              <w:pStyle w:val="TableText"/>
            </w:pPr>
            <w:r w:rsidRPr="00D63217">
              <w:t xml:space="preserve">Sorghum, grain </w:t>
            </w:r>
          </w:p>
        </w:tc>
        <w:tc>
          <w:tcPr>
            <w:tcW w:w="1194" w:type="dxa"/>
          </w:tcPr>
          <w:p w14:paraId="277214F4" w14:textId="77777777" w:rsidR="00B70721" w:rsidRPr="00D63217" w:rsidRDefault="00B70721" w:rsidP="00687F21">
            <w:pPr>
              <w:pStyle w:val="TableText"/>
              <w:jc w:val="right"/>
            </w:pPr>
            <w:r w:rsidRPr="00D63217">
              <w:t>GC</w:t>
            </w:r>
          </w:p>
        </w:tc>
        <w:tc>
          <w:tcPr>
            <w:tcW w:w="1199" w:type="dxa"/>
          </w:tcPr>
          <w:p w14:paraId="5E9A99DF" w14:textId="77777777" w:rsidR="00B70721" w:rsidRPr="00D63217" w:rsidRDefault="00B70721" w:rsidP="00687F21">
            <w:pPr>
              <w:pStyle w:val="TableText"/>
              <w:jc w:val="right"/>
            </w:pPr>
            <w:r w:rsidRPr="00D63217">
              <w:t>0.05</w:t>
            </w:r>
          </w:p>
        </w:tc>
        <w:tc>
          <w:tcPr>
            <w:tcW w:w="1197" w:type="dxa"/>
          </w:tcPr>
          <w:p w14:paraId="6C0DF9EB" w14:textId="77777777" w:rsidR="00B70721" w:rsidRPr="00D63217" w:rsidRDefault="00B70721" w:rsidP="00687F21">
            <w:pPr>
              <w:pStyle w:val="TableText"/>
              <w:jc w:val="right"/>
            </w:pPr>
            <w:r w:rsidRPr="00D63217">
              <w:t>STMR</w:t>
            </w:r>
          </w:p>
        </w:tc>
        <w:tc>
          <w:tcPr>
            <w:tcW w:w="1199" w:type="dxa"/>
          </w:tcPr>
          <w:p w14:paraId="6F399A83" w14:textId="77777777" w:rsidR="00B70721" w:rsidRPr="00D63217" w:rsidRDefault="00B70721" w:rsidP="00687F21">
            <w:pPr>
              <w:pStyle w:val="TableText"/>
              <w:jc w:val="right"/>
            </w:pPr>
            <w:r w:rsidRPr="00D63217">
              <w:t>86</w:t>
            </w:r>
          </w:p>
        </w:tc>
        <w:tc>
          <w:tcPr>
            <w:tcW w:w="1200" w:type="dxa"/>
          </w:tcPr>
          <w:p w14:paraId="0FE99465" w14:textId="77777777" w:rsidR="00B70721" w:rsidRPr="00D63217" w:rsidRDefault="00B70721" w:rsidP="00687F21">
            <w:pPr>
              <w:pStyle w:val="TableText"/>
              <w:jc w:val="right"/>
            </w:pPr>
            <w:r w:rsidRPr="00D63217">
              <w:t>0.06</w:t>
            </w:r>
          </w:p>
        </w:tc>
        <w:tc>
          <w:tcPr>
            <w:tcW w:w="1200" w:type="dxa"/>
          </w:tcPr>
          <w:p w14:paraId="0EEEA376" w14:textId="77777777" w:rsidR="00B70721" w:rsidRPr="00D63217" w:rsidRDefault="00B70721" w:rsidP="00687F21">
            <w:pPr>
              <w:pStyle w:val="TableText"/>
              <w:jc w:val="right"/>
            </w:pPr>
            <w:r w:rsidRPr="00D63217">
              <w:t>30</w:t>
            </w:r>
          </w:p>
        </w:tc>
        <w:tc>
          <w:tcPr>
            <w:tcW w:w="1236" w:type="dxa"/>
          </w:tcPr>
          <w:p w14:paraId="7401A541" w14:textId="77777777" w:rsidR="00B70721" w:rsidRPr="00D63217" w:rsidRDefault="00B70721" w:rsidP="00687F21">
            <w:pPr>
              <w:pStyle w:val="TableText"/>
              <w:jc w:val="right"/>
            </w:pPr>
            <w:r w:rsidRPr="00D63217">
              <w:t>0.02</w:t>
            </w:r>
          </w:p>
        </w:tc>
      </w:tr>
      <w:tr w:rsidR="005229C6" w:rsidRPr="00D63217" w14:paraId="5BD9FA2C" w14:textId="77777777" w:rsidTr="00687F21">
        <w:tc>
          <w:tcPr>
            <w:tcW w:w="1203" w:type="dxa"/>
          </w:tcPr>
          <w:p w14:paraId="37AFAFA9" w14:textId="77777777" w:rsidR="00B70721" w:rsidRPr="00D63217" w:rsidRDefault="00B70721" w:rsidP="00AF5BA7">
            <w:pPr>
              <w:pStyle w:val="TableText"/>
            </w:pPr>
            <w:r w:rsidRPr="00D63217">
              <w:lastRenderedPageBreak/>
              <w:t>Corn, field grain</w:t>
            </w:r>
          </w:p>
        </w:tc>
        <w:tc>
          <w:tcPr>
            <w:tcW w:w="1194" w:type="dxa"/>
          </w:tcPr>
          <w:p w14:paraId="69F2AA81" w14:textId="77777777" w:rsidR="00B70721" w:rsidRPr="00D63217" w:rsidRDefault="00B70721" w:rsidP="00687F21">
            <w:pPr>
              <w:pStyle w:val="TableText"/>
              <w:jc w:val="right"/>
            </w:pPr>
            <w:r w:rsidRPr="00D63217">
              <w:t>GC</w:t>
            </w:r>
          </w:p>
        </w:tc>
        <w:tc>
          <w:tcPr>
            <w:tcW w:w="1199" w:type="dxa"/>
          </w:tcPr>
          <w:p w14:paraId="1D83F4FA" w14:textId="77777777" w:rsidR="00B70721" w:rsidRPr="00D63217" w:rsidRDefault="00B70721" w:rsidP="00687F21">
            <w:pPr>
              <w:pStyle w:val="TableText"/>
              <w:jc w:val="right"/>
            </w:pPr>
            <w:r w:rsidRPr="00D63217">
              <w:t>0.05</w:t>
            </w:r>
          </w:p>
        </w:tc>
        <w:tc>
          <w:tcPr>
            <w:tcW w:w="1197" w:type="dxa"/>
          </w:tcPr>
          <w:p w14:paraId="6A59D3B0" w14:textId="77777777" w:rsidR="00B70721" w:rsidRPr="00D63217" w:rsidRDefault="00B70721" w:rsidP="00687F21">
            <w:pPr>
              <w:pStyle w:val="TableText"/>
              <w:jc w:val="right"/>
            </w:pPr>
            <w:r w:rsidRPr="00D63217">
              <w:t>STMR</w:t>
            </w:r>
          </w:p>
        </w:tc>
        <w:tc>
          <w:tcPr>
            <w:tcW w:w="1199" w:type="dxa"/>
          </w:tcPr>
          <w:p w14:paraId="131B01F9" w14:textId="77777777" w:rsidR="00B70721" w:rsidRPr="00D63217" w:rsidRDefault="00B70721" w:rsidP="00687F21">
            <w:pPr>
              <w:pStyle w:val="TableText"/>
              <w:jc w:val="right"/>
            </w:pPr>
            <w:r w:rsidRPr="00D63217">
              <w:t>88</w:t>
            </w:r>
          </w:p>
        </w:tc>
        <w:tc>
          <w:tcPr>
            <w:tcW w:w="1200" w:type="dxa"/>
          </w:tcPr>
          <w:p w14:paraId="0E276AAD" w14:textId="77777777" w:rsidR="00B70721" w:rsidRPr="00D63217" w:rsidRDefault="00B70721" w:rsidP="00687F21">
            <w:pPr>
              <w:pStyle w:val="TableText"/>
              <w:jc w:val="right"/>
            </w:pPr>
            <w:r w:rsidRPr="00D63217">
              <w:t>0.06</w:t>
            </w:r>
          </w:p>
        </w:tc>
        <w:tc>
          <w:tcPr>
            <w:tcW w:w="1200" w:type="dxa"/>
          </w:tcPr>
          <w:p w14:paraId="193431B0" w14:textId="77777777" w:rsidR="00B70721" w:rsidRPr="00D63217" w:rsidRDefault="00B70721" w:rsidP="00687F21">
            <w:pPr>
              <w:pStyle w:val="TableText"/>
              <w:jc w:val="right"/>
            </w:pPr>
          </w:p>
        </w:tc>
        <w:tc>
          <w:tcPr>
            <w:tcW w:w="1236" w:type="dxa"/>
          </w:tcPr>
          <w:p w14:paraId="0262E151" w14:textId="77777777" w:rsidR="00B70721" w:rsidRPr="00D63217" w:rsidRDefault="00B70721" w:rsidP="00687F21">
            <w:pPr>
              <w:pStyle w:val="TableText"/>
              <w:jc w:val="right"/>
            </w:pPr>
          </w:p>
        </w:tc>
      </w:tr>
      <w:tr w:rsidR="005229C6" w:rsidRPr="00D63217" w14:paraId="1771FD71" w14:textId="77777777" w:rsidTr="00687F21">
        <w:tc>
          <w:tcPr>
            <w:tcW w:w="1203" w:type="dxa"/>
          </w:tcPr>
          <w:p w14:paraId="6187F8CA" w14:textId="77777777" w:rsidR="00B70721" w:rsidRPr="00D63217" w:rsidRDefault="00B70721" w:rsidP="00AF5BA7">
            <w:pPr>
              <w:pStyle w:val="TableText"/>
            </w:pPr>
            <w:r w:rsidRPr="00D63217">
              <w:t>Cotton meal</w:t>
            </w:r>
          </w:p>
        </w:tc>
        <w:tc>
          <w:tcPr>
            <w:tcW w:w="1194" w:type="dxa"/>
          </w:tcPr>
          <w:p w14:paraId="3860471B" w14:textId="77777777" w:rsidR="00B70721" w:rsidRPr="00D63217" w:rsidRDefault="00B70721" w:rsidP="00687F21">
            <w:pPr>
              <w:pStyle w:val="TableText"/>
              <w:jc w:val="right"/>
            </w:pPr>
            <w:r w:rsidRPr="00D63217">
              <w:t>SM</w:t>
            </w:r>
          </w:p>
        </w:tc>
        <w:tc>
          <w:tcPr>
            <w:tcW w:w="1199" w:type="dxa"/>
          </w:tcPr>
          <w:p w14:paraId="6094BBF6" w14:textId="77777777" w:rsidR="00B70721" w:rsidRPr="00D63217" w:rsidRDefault="00B70721" w:rsidP="00687F21">
            <w:pPr>
              <w:pStyle w:val="TableText"/>
              <w:jc w:val="right"/>
            </w:pPr>
            <w:r w:rsidRPr="00D63217">
              <w:t>0.02</w:t>
            </w:r>
          </w:p>
        </w:tc>
        <w:tc>
          <w:tcPr>
            <w:tcW w:w="1197" w:type="dxa"/>
          </w:tcPr>
          <w:p w14:paraId="44FBAE73" w14:textId="77777777" w:rsidR="00B70721" w:rsidRPr="00D63217" w:rsidRDefault="00B70721" w:rsidP="00687F21">
            <w:pPr>
              <w:pStyle w:val="TableText"/>
              <w:jc w:val="right"/>
            </w:pPr>
            <w:r w:rsidRPr="00D63217">
              <w:t>STMR</w:t>
            </w:r>
          </w:p>
        </w:tc>
        <w:tc>
          <w:tcPr>
            <w:tcW w:w="1199" w:type="dxa"/>
          </w:tcPr>
          <w:p w14:paraId="066042B4" w14:textId="77777777" w:rsidR="00B70721" w:rsidRPr="00D63217" w:rsidRDefault="00B70721" w:rsidP="00687F21">
            <w:pPr>
              <w:pStyle w:val="TableText"/>
              <w:jc w:val="right"/>
            </w:pPr>
            <w:r w:rsidRPr="00D63217">
              <w:t>89</w:t>
            </w:r>
          </w:p>
        </w:tc>
        <w:tc>
          <w:tcPr>
            <w:tcW w:w="1200" w:type="dxa"/>
          </w:tcPr>
          <w:p w14:paraId="35EBAD76" w14:textId="77777777" w:rsidR="00B70721" w:rsidRPr="00D63217" w:rsidRDefault="00B70721" w:rsidP="00687F21">
            <w:pPr>
              <w:pStyle w:val="TableText"/>
              <w:jc w:val="right"/>
            </w:pPr>
            <w:r w:rsidRPr="00D63217">
              <w:t>0.0</w:t>
            </w:r>
          </w:p>
        </w:tc>
        <w:tc>
          <w:tcPr>
            <w:tcW w:w="1200" w:type="dxa"/>
          </w:tcPr>
          <w:p w14:paraId="2D6A58F1" w14:textId="77777777" w:rsidR="00B70721" w:rsidRPr="00D63217" w:rsidRDefault="00B70721" w:rsidP="00687F21">
            <w:pPr>
              <w:pStyle w:val="TableText"/>
              <w:jc w:val="right"/>
            </w:pPr>
          </w:p>
        </w:tc>
        <w:tc>
          <w:tcPr>
            <w:tcW w:w="1236" w:type="dxa"/>
          </w:tcPr>
          <w:p w14:paraId="63E2DD8E" w14:textId="77777777" w:rsidR="00B70721" w:rsidRPr="00D63217" w:rsidRDefault="00B70721" w:rsidP="00687F21">
            <w:pPr>
              <w:pStyle w:val="TableText"/>
              <w:jc w:val="right"/>
            </w:pPr>
          </w:p>
        </w:tc>
      </w:tr>
      <w:tr w:rsidR="005229C6" w:rsidRPr="00D63217" w14:paraId="3A04B599" w14:textId="77777777" w:rsidTr="00687F21">
        <w:tc>
          <w:tcPr>
            <w:tcW w:w="1203" w:type="dxa"/>
          </w:tcPr>
          <w:p w14:paraId="57E4E469" w14:textId="77777777" w:rsidR="00B70721" w:rsidRPr="00D63217" w:rsidRDefault="00B70721" w:rsidP="00AF5BA7">
            <w:pPr>
              <w:pStyle w:val="TableText"/>
            </w:pPr>
            <w:r w:rsidRPr="00D63217">
              <w:t>Total</w:t>
            </w:r>
          </w:p>
        </w:tc>
        <w:tc>
          <w:tcPr>
            <w:tcW w:w="1194" w:type="dxa"/>
          </w:tcPr>
          <w:p w14:paraId="031B784D" w14:textId="77777777" w:rsidR="00B70721" w:rsidRPr="00D63217" w:rsidRDefault="00B70721" w:rsidP="00687F21">
            <w:pPr>
              <w:pStyle w:val="TableText"/>
              <w:jc w:val="right"/>
            </w:pPr>
          </w:p>
        </w:tc>
        <w:tc>
          <w:tcPr>
            <w:tcW w:w="1199" w:type="dxa"/>
          </w:tcPr>
          <w:p w14:paraId="4FE2C184" w14:textId="77777777" w:rsidR="00B70721" w:rsidRPr="00D63217" w:rsidRDefault="00B70721" w:rsidP="00687F21">
            <w:pPr>
              <w:pStyle w:val="TableText"/>
              <w:jc w:val="right"/>
            </w:pPr>
          </w:p>
        </w:tc>
        <w:tc>
          <w:tcPr>
            <w:tcW w:w="1197" w:type="dxa"/>
          </w:tcPr>
          <w:p w14:paraId="4926D0DA" w14:textId="77777777" w:rsidR="00B70721" w:rsidRPr="00D63217" w:rsidRDefault="00B70721" w:rsidP="00687F21">
            <w:pPr>
              <w:pStyle w:val="TableText"/>
              <w:jc w:val="right"/>
            </w:pPr>
          </w:p>
        </w:tc>
        <w:tc>
          <w:tcPr>
            <w:tcW w:w="1199" w:type="dxa"/>
          </w:tcPr>
          <w:p w14:paraId="71271B40" w14:textId="77777777" w:rsidR="00B70721" w:rsidRPr="00D63217" w:rsidRDefault="00B70721" w:rsidP="00687F21">
            <w:pPr>
              <w:pStyle w:val="TableText"/>
              <w:jc w:val="right"/>
            </w:pPr>
          </w:p>
        </w:tc>
        <w:tc>
          <w:tcPr>
            <w:tcW w:w="1200" w:type="dxa"/>
          </w:tcPr>
          <w:p w14:paraId="044D6136" w14:textId="77777777" w:rsidR="00B70721" w:rsidRPr="00D63217" w:rsidRDefault="00B70721" w:rsidP="00687F21">
            <w:pPr>
              <w:pStyle w:val="TableText"/>
              <w:jc w:val="right"/>
            </w:pPr>
          </w:p>
        </w:tc>
        <w:tc>
          <w:tcPr>
            <w:tcW w:w="1200" w:type="dxa"/>
          </w:tcPr>
          <w:p w14:paraId="27970AF1" w14:textId="77777777" w:rsidR="00B70721" w:rsidRPr="00D63217" w:rsidRDefault="00B70721" w:rsidP="00687F21">
            <w:pPr>
              <w:pStyle w:val="TableText"/>
              <w:jc w:val="right"/>
            </w:pPr>
            <w:r w:rsidRPr="00D63217">
              <w:t>100</w:t>
            </w:r>
          </w:p>
        </w:tc>
        <w:tc>
          <w:tcPr>
            <w:tcW w:w="1236" w:type="dxa"/>
          </w:tcPr>
          <w:p w14:paraId="688B8D79" w14:textId="77777777" w:rsidR="00B70721" w:rsidRPr="00D63217" w:rsidRDefault="00B70721" w:rsidP="00687F21">
            <w:pPr>
              <w:pStyle w:val="TableText"/>
              <w:jc w:val="right"/>
            </w:pPr>
            <w:r w:rsidRPr="00D63217">
              <w:t>0.18</w:t>
            </w:r>
          </w:p>
        </w:tc>
      </w:tr>
    </w:tbl>
    <w:p w14:paraId="75B874A3" w14:textId="3ADE2462" w:rsidR="00B20878" w:rsidRPr="00D63217" w:rsidRDefault="00B20878" w:rsidP="00B70721">
      <w:pPr>
        <w:pStyle w:val="NormalText"/>
      </w:pPr>
      <w:r w:rsidRPr="00D63217">
        <w:t xml:space="preserve">Current MRLs for poultry are *0.05 for meat and offal and *0.01 for eggs. Data from the animal transfer studies in poultry indicate that a dietary intake of 7.2 ppm or less would not produce residues in excess of the current MRLs for meat, offal or eggs. </w:t>
      </w:r>
      <w:r w:rsidR="00C247D9" w:rsidRPr="00D63217">
        <w:t>Therefore,</w:t>
      </w:r>
      <w:r w:rsidRPr="00D63217">
        <w:t xml:space="preserve"> the estimated dietary burdens for commodities that would be relevant to poultry feed of 0.18 ppm should not result in residues for poultry meat, offal or eggs exceeding current LOQ MRLs.</w:t>
      </w:r>
    </w:p>
    <w:p w14:paraId="2DADE3CB" w14:textId="2F10AE68" w:rsidR="00B20878" w:rsidRPr="00D63217" w:rsidRDefault="00B20878" w:rsidP="00B70721">
      <w:pPr>
        <w:pStyle w:val="NormalText"/>
      </w:pPr>
      <w:r w:rsidRPr="00D63217">
        <w:t xml:space="preserve">It is concluded that the following poultry commodity MRLs which are currently in the MRL standard remain </w:t>
      </w:r>
      <w:r w:rsidR="00306C6F" w:rsidRPr="00D63217">
        <w:t>appropriate</w:t>
      </w:r>
      <w:r w:rsidRPr="00D63217">
        <w:t>:</w:t>
      </w:r>
    </w:p>
    <w:p w14:paraId="007CC093" w14:textId="53FC1E37" w:rsidR="00B20878" w:rsidRPr="00D63217" w:rsidRDefault="00B20878" w:rsidP="00306C6F">
      <w:pPr>
        <w:pStyle w:val="NormalText"/>
      </w:pPr>
      <w:r w:rsidRPr="00D63217">
        <w:tab/>
        <w:t>PE 0112 Eggs</w:t>
      </w:r>
      <w:r w:rsidRPr="00D63217">
        <w:tab/>
      </w:r>
      <w:r w:rsidRPr="00D63217">
        <w:tab/>
      </w:r>
      <w:r w:rsidRPr="00D63217">
        <w:tab/>
      </w:r>
      <w:r w:rsidRPr="00D63217">
        <w:tab/>
      </w:r>
      <w:r w:rsidR="00B80806" w:rsidRPr="00D63217">
        <w:tab/>
      </w:r>
      <w:r w:rsidR="00B80806" w:rsidRPr="00D63217">
        <w:tab/>
      </w:r>
      <w:r w:rsidR="00B80806" w:rsidRPr="00D63217">
        <w:tab/>
      </w:r>
      <w:r w:rsidR="00B80806" w:rsidRPr="00D63217">
        <w:tab/>
      </w:r>
      <w:r w:rsidR="000443D8">
        <w:tab/>
      </w:r>
      <w:r w:rsidRPr="00D63217">
        <w:t>*0.01 mg/kg</w:t>
      </w:r>
    </w:p>
    <w:p w14:paraId="4CF479C2" w14:textId="05496890" w:rsidR="00B20878" w:rsidRPr="00D63217" w:rsidRDefault="00B20878" w:rsidP="00306C6F">
      <w:pPr>
        <w:pStyle w:val="NormalText"/>
      </w:pPr>
      <w:r w:rsidRPr="00D63217">
        <w:tab/>
        <w:t>PO 0111 Poultry, edible offal</w:t>
      </w:r>
      <w:r w:rsidRPr="00D63217">
        <w:tab/>
      </w:r>
      <w:r w:rsidRPr="00D63217">
        <w:tab/>
      </w:r>
      <w:r w:rsidR="00B80806" w:rsidRPr="00D63217">
        <w:tab/>
      </w:r>
      <w:r w:rsidR="00B80806" w:rsidRPr="00D63217">
        <w:tab/>
      </w:r>
      <w:r w:rsidR="00B80806" w:rsidRPr="00D63217">
        <w:tab/>
      </w:r>
      <w:r w:rsidR="00B80806" w:rsidRPr="00D63217">
        <w:tab/>
      </w:r>
      <w:r w:rsidR="000443D8">
        <w:tab/>
      </w:r>
      <w:r w:rsidRPr="00D63217">
        <w:t>*0.05 mg/kg</w:t>
      </w:r>
    </w:p>
    <w:p w14:paraId="59EFD459" w14:textId="4CC79711" w:rsidR="00B20878" w:rsidRPr="00D63217" w:rsidRDefault="00B20878" w:rsidP="00306C6F">
      <w:pPr>
        <w:pStyle w:val="NormalText"/>
      </w:pPr>
      <w:r w:rsidRPr="00D63217">
        <w:tab/>
        <w:t>PM 0110 Poultry meat</w:t>
      </w:r>
      <w:r w:rsidRPr="00D63217">
        <w:tab/>
      </w:r>
      <w:r w:rsidRPr="00D63217">
        <w:tab/>
      </w:r>
      <w:r w:rsidRPr="00D63217">
        <w:tab/>
      </w:r>
      <w:r w:rsidR="00B80806" w:rsidRPr="00D63217">
        <w:tab/>
      </w:r>
      <w:r w:rsidR="00B80806" w:rsidRPr="00D63217">
        <w:tab/>
      </w:r>
      <w:r w:rsidR="00B80806" w:rsidRPr="00D63217">
        <w:tab/>
      </w:r>
      <w:r w:rsidR="00B80806" w:rsidRPr="00D63217">
        <w:tab/>
      </w:r>
      <w:r w:rsidR="00DA0C94">
        <w:tab/>
      </w:r>
      <w:r w:rsidRPr="00D63217">
        <w:t>*0.05 mg/kg</w:t>
      </w:r>
    </w:p>
    <w:p w14:paraId="1F1D0279" w14:textId="77777777" w:rsidR="00B20878" w:rsidRPr="00D901C7" w:rsidRDefault="00B20878" w:rsidP="00D901C7">
      <w:pPr>
        <w:pStyle w:val="Heading3"/>
      </w:pPr>
      <w:bookmarkStart w:id="331" w:name="_Toc231480887"/>
      <w:bookmarkStart w:id="332" w:name="_Toc233036439"/>
      <w:r w:rsidRPr="00D901C7">
        <w:t>Pigs</w:t>
      </w:r>
      <w:bookmarkEnd w:id="331"/>
      <w:bookmarkEnd w:id="332"/>
    </w:p>
    <w:p w14:paraId="5EFE8931" w14:textId="15C8FCD3" w:rsidR="00B20878" w:rsidRPr="00D63217" w:rsidRDefault="00B20878" w:rsidP="00306C6F">
      <w:pPr>
        <w:pStyle w:val="NormalText"/>
      </w:pPr>
      <w:r w:rsidRPr="00D63217">
        <w:t>The pig residue transfer study indicated that diets containing 150 ppm paraquat ion produced residues in offal at 0.4 mg/kg or less and residues in meat had a plateau at 0.1 mg/kg but dissipated to 0.04 and 0.02 mg/kg on continued dosing out to 30-36 days. There was no accumulation in pig tissues. A diet containing 50 ppm paraquat ion had offal residues less than 0.09 mg/kg and muscle residues of 0.02 mg/kg. Metabolism studies with single doses of paraquat at 50 ppm produced offal residues up to 0.5 mg/kg and meat residues up to 0.06 mg/kg. Feeding at 8 ppm found no detectable residues in tissues</w:t>
      </w:r>
      <w:r w:rsidR="007750B9" w:rsidRPr="00D63217">
        <w:t xml:space="preserve"> (Hemingway</w:t>
      </w:r>
      <w:r w:rsidR="00A215D5" w:rsidRPr="00D63217">
        <w:t xml:space="preserve"> et al</w:t>
      </w:r>
      <w:r w:rsidR="007750B9" w:rsidRPr="00D63217">
        <w:t>, 1975)</w:t>
      </w:r>
      <w:r w:rsidRPr="00D63217">
        <w:t>.</w:t>
      </w:r>
    </w:p>
    <w:p w14:paraId="2D6E6D53" w14:textId="5601A0E2" w:rsidR="00B20878" w:rsidRPr="00D63217" w:rsidRDefault="00B20878" w:rsidP="00306C6F">
      <w:pPr>
        <w:pStyle w:val="NormalText"/>
      </w:pPr>
      <w:r w:rsidRPr="00D63217">
        <w:t>Typical Australian pig feed can contain up to 85% grain and up to 15% protein meals (mainly meat meal and soybean meal).</w:t>
      </w:r>
      <w:r w:rsidR="009B75F2" w:rsidRPr="00D63217">
        <w:t xml:space="preserve"> </w:t>
      </w:r>
      <w:r w:rsidRPr="00D63217">
        <w:t>Pig diets are therefore unlikely to contain any significant residues of paraquat.</w:t>
      </w:r>
    </w:p>
    <w:p w14:paraId="0A897777" w14:textId="77777777" w:rsidR="00B20878" w:rsidRPr="00D901C7" w:rsidRDefault="00B20878" w:rsidP="00D901C7">
      <w:pPr>
        <w:pStyle w:val="Heading3"/>
      </w:pPr>
      <w:bookmarkStart w:id="333" w:name="_Toc231480888"/>
      <w:bookmarkStart w:id="334" w:name="_Toc233036440"/>
      <w:r w:rsidRPr="00D901C7">
        <w:t>Ruminants</w:t>
      </w:r>
      <w:bookmarkEnd w:id="333"/>
      <w:bookmarkEnd w:id="334"/>
    </w:p>
    <w:p w14:paraId="1AD2C5FA" w14:textId="54626983" w:rsidR="00B70721" w:rsidRPr="00D63217" w:rsidRDefault="00B20878" w:rsidP="00306C6F">
      <w:pPr>
        <w:pStyle w:val="NormalText"/>
      </w:pPr>
      <w:r w:rsidRPr="00D63217">
        <w:t>Dietary burdens</w:t>
      </w:r>
      <w:r w:rsidR="00617A57" w:rsidRPr="00D63217">
        <w:t xml:space="preserve"> calculations</w:t>
      </w:r>
      <w:r w:rsidRPr="00D63217">
        <w:t xml:space="preserve"> for beef and dairy cattle using the OECD Feed Calculator</w:t>
      </w:r>
      <w:r w:rsidR="00617A57" w:rsidRPr="00D63217">
        <w:t xml:space="preserve"> are presented in </w:t>
      </w:r>
      <w:r w:rsidR="00617A57" w:rsidRPr="00D63217">
        <w:fldChar w:fldCharType="begin"/>
      </w:r>
      <w:r w:rsidR="00617A57" w:rsidRPr="00D63217">
        <w:instrText xml:space="preserve"> REF _Ref166857034 \h </w:instrText>
      </w:r>
      <w:r w:rsidR="00D63217">
        <w:instrText xml:space="preserve"> \* MERGEFORMAT </w:instrText>
      </w:r>
      <w:r w:rsidR="00617A57" w:rsidRPr="00D63217">
        <w:fldChar w:fldCharType="separate"/>
      </w:r>
      <w:r w:rsidR="008A397D" w:rsidRPr="00D63217">
        <w:t xml:space="preserve">Table </w:t>
      </w:r>
      <w:r w:rsidR="008A397D">
        <w:rPr>
          <w:noProof/>
        </w:rPr>
        <w:t>17</w:t>
      </w:r>
      <w:r w:rsidR="00617A57" w:rsidRPr="00D63217">
        <w:fldChar w:fldCharType="end"/>
      </w:r>
      <w:r w:rsidR="001E0FCA" w:rsidRPr="00D63217">
        <w:t> </w:t>
      </w:r>
      <w:r w:rsidR="00617A57" w:rsidRPr="00D63217">
        <w:t xml:space="preserve">and </w:t>
      </w:r>
      <w:r w:rsidR="00617A57" w:rsidRPr="00D63217">
        <w:fldChar w:fldCharType="begin"/>
      </w:r>
      <w:r w:rsidR="00617A57" w:rsidRPr="00D63217">
        <w:instrText xml:space="preserve"> REF _Ref166857055 \h </w:instrText>
      </w:r>
      <w:r w:rsidR="00D63217">
        <w:instrText xml:space="preserve"> \* MERGEFORMAT </w:instrText>
      </w:r>
      <w:r w:rsidR="00617A57" w:rsidRPr="00D63217">
        <w:fldChar w:fldCharType="separate"/>
      </w:r>
      <w:r w:rsidR="008A397D" w:rsidRPr="00D63217">
        <w:t xml:space="preserve">Table </w:t>
      </w:r>
      <w:r w:rsidR="008A397D">
        <w:rPr>
          <w:noProof/>
        </w:rPr>
        <w:t>18</w:t>
      </w:r>
      <w:r w:rsidR="00617A57" w:rsidRPr="00D63217">
        <w:fldChar w:fldCharType="end"/>
      </w:r>
      <w:r w:rsidR="00617A57" w:rsidRPr="00D63217">
        <w:t xml:space="preserve"> below.</w:t>
      </w:r>
    </w:p>
    <w:p w14:paraId="19E1AF15" w14:textId="0D83B738" w:rsidR="00B70721" w:rsidRPr="00D901C7" w:rsidRDefault="00B70721" w:rsidP="00D901C7">
      <w:pPr>
        <w:pStyle w:val="Caption"/>
      </w:pPr>
      <w:bookmarkStart w:id="335" w:name="_Ref166857034"/>
      <w:bookmarkStart w:id="336" w:name="_Toc230692283"/>
      <w:bookmarkStart w:id="337" w:name="_Toc233036504"/>
      <w:r w:rsidRPr="00D901C7">
        <w:lastRenderedPageBreak/>
        <w:t xml:space="preserve">Table </w:t>
      </w:r>
      <w:fldSimple w:instr=" SEQ Table \* ARABIC ">
        <w:r w:rsidR="00D901C7">
          <w:rPr>
            <w:noProof/>
          </w:rPr>
          <w:t>17</w:t>
        </w:r>
      </w:fldSimple>
      <w:bookmarkEnd w:id="335"/>
      <w:r w:rsidRPr="00D901C7">
        <w:t>: Calculation of beef cattle dietary burden of paraquat</w:t>
      </w:r>
      <w:bookmarkEnd w:id="336"/>
      <w:bookmarkEnd w:id="337"/>
    </w:p>
    <w:tbl>
      <w:tblPr>
        <w:tblStyle w:val="TableGrid"/>
        <w:tblW w:w="0" w:type="auto"/>
        <w:tblLook w:val="04A0" w:firstRow="1" w:lastRow="0" w:firstColumn="1" w:lastColumn="0" w:noHBand="0" w:noVBand="1"/>
      </w:tblPr>
      <w:tblGrid>
        <w:gridCol w:w="1203"/>
        <w:gridCol w:w="1194"/>
        <w:gridCol w:w="1199"/>
        <w:gridCol w:w="1197"/>
        <w:gridCol w:w="1199"/>
        <w:gridCol w:w="1200"/>
        <w:gridCol w:w="1200"/>
        <w:gridCol w:w="1236"/>
      </w:tblGrid>
      <w:tr w:rsidR="00B70721" w:rsidRPr="00D63217" w14:paraId="4FFA451A" w14:textId="77777777" w:rsidTr="00AF5BA7">
        <w:tc>
          <w:tcPr>
            <w:tcW w:w="9628" w:type="dxa"/>
            <w:gridSpan w:val="8"/>
            <w:shd w:val="clear" w:color="auto" w:fill="5C2946"/>
          </w:tcPr>
          <w:p w14:paraId="02068A74" w14:textId="03C667A4" w:rsidR="00B70721" w:rsidRPr="00D63217" w:rsidRDefault="0042269F" w:rsidP="00D901C7">
            <w:pPr>
              <w:pStyle w:val="TableHead"/>
            </w:pPr>
            <w:r w:rsidRPr="00D63217">
              <w:t xml:space="preserve">Beef </w:t>
            </w:r>
            <w:r w:rsidR="00C860D1" w:rsidRPr="00D63217">
              <w:t>c</w:t>
            </w:r>
            <w:r w:rsidRPr="00D63217">
              <w:t>attle</w:t>
            </w:r>
            <w:r w:rsidR="00B70721" w:rsidRPr="00D63217">
              <w:t xml:space="preserve"> – for </w:t>
            </w:r>
            <w:r w:rsidR="00B70721" w:rsidRPr="00D901C7">
              <w:t>MRLs</w:t>
            </w:r>
          </w:p>
        </w:tc>
      </w:tr>
      <w:tr w:rsidR="00C0077E" w:rsidRPr="00D63217" w14:paraId="39B41936" w14:textId="77777777" w:rsidTr="009B75F2">
        <w:tc>
          <w:tcPr>
            <w:tcW w:w="1203" w:type="dxa"/>
            <w:shd w:val="clear" w:color="auto" w:fill="5C2946"/>
          </w:tcPr>
          <w:p w14:paraId="4F39E2CB" w14:textId="77777777" w:rsidR="004207F7" w:rsidRPr="00D63217" w:rsidRDefault="004207F7" w:rsidP="004207F7">
            <w:pPr>
              <w:pStyle w:val="TableHead"/>
            </w:pPr>
            <w:r w:rsidRPr="00D63217">
              <w:t>Commodity</w:t>
            </w:r>
          </w:p>
        </w:tc>
        <w:tc>
          <w:tcPr>
            <w:tcW w:w="1194" w:type="dxa"/>
            <w:shd w:val="clear" w:color="auto" w:fill="5C2946"/>
          </w:tcPr>
          <w:p w14:paraId="7ABE693F" w14:textId="6538E9CB" w:rsidR="004207F7" w:rsidRPr="00D63217" w:rsidRDefault="004207F7" w:rsidP="009B75F2">
            <w:pPr>
              <w:pStyle w:val="TableHead"/>
              <w:jc w:val="right"/>
            </w:pPr>
            <w:r w:rsidRPr="00D63217">
              <w:t>Codex Commodity Code</w:t>
            </w:r>
          </w:p>
        </w:tc>
        <w:tc>
          <w:tcPr>
            <w:tcW w:w="1199" w:type="dxa"/>
            <w:shd w:val="clear" w:color="auto" w:fill="5C2946"/>
          </w:tcPr>
          <w:p w14:paraId="75D89E7A" w14:textId="3D2EB2BF" w:rsidR="004207F7" w:rsidRPr="00D63217" w:rsidRDefault="004207F7" w:rsidP="009B75F2">
            <w:pPr>
              <w:pStyle w:val="TableHead"/>
              <w:jc w:val="right"/>
            </w:pPr>
            <w:r w:rsidRPr="00D63217">
              <w:t>Residue (mg/kg)</w:t>
            </w:r>
          </w:p>
        </w:tc>
        <w:tc>
          <w:tcPr>
            <w:tcW w:w="1197" w:type="dxa"/>
            <w:shd w:val="clear" w:color="auto" w:fill="5C2946"/>
          </w:tcPr>
          <w:p w14:paraId="1244B39F" w14:textId="736C6B83" w:rsidR="004207F7" w:rsidRPr="00D63217" w:rsidRDefault="004207F7" w:rsidP="009B75F2">
            <w:pPr>
              <w:pStyle w:val="TableHead"/>
              <w:jc w:val="right"/>
            </w:pPr>
            <w:r w:rsidRPr="00D63217">
              <w:t>Basis</w:t>
            </w:r>
          </w:p>
        </w:tc>
        <w:tc>
          <w:tcPr>
            <w:tcW w:w="1199" w:type="dxa"/>
            <w:shd w:val="clear" w:color="auto" w:fill="5C2946"/>
          </w:tcPr>
          <w:p w14:paraId="70AB93A1" w14:textId="4F07B21D" w:rsidR="004207F7" w:rsidRPr="00D63217" w:rsidRDefault="004207F7" w:rsidP="009B75F2">
            <w:pPr>
              <w:pStyle w:val="TableHead"/>
              <w:jc w:val="right"/>
            </w:pPr>
            <w:r w:rsidRPr="00D63217">
              <w:t>Dry matter (%)</w:t>
            </w:r>
          </w:p>
        </w:tc>
        <w:tc>
          <w:tcPr>
            <w:tcW w:w="1200" w:type="dxa"/>
            <w:shd w:val="clear" w:color="auto" w:fill="5C2946"/>
          </w:tcPr>
          <w:p w14:paraId="014B8286" w14:textId="51ADFBF2" w:rsidR="004207F7" w:rsidRPr="00D63217" w:rsidRDefault="004207F7" w:rsidP="009B75F2">
            <w:pPr>
              <w:pStyle w:val="TableHead"/>
              <w:jc w:val="right"/>
            </w:pPr>
            <w:r w:rsidRPr="00D63217">
              <w:t>Residue dry weight (mg/kg)</w:t>
            </w:r>
          </w:p>
        </w:tc>
        <w:tc>
          <w:tcPr>
            <w:tcW w:w="1200" w:type="dxa"/>
            <w:shd w:val="clear" w:color="auto" w:fill="5C2946"/>
          </w:tcPr>
          <w:p w14:paraId="48DB0C0C" w14:textId="1E46E4A7" w:rsidR="004207F7" w:rsidRPr="00D63217" w:rsidRDefault="004207F7" w:rsidP="009B75F2">
            <w:pPr>
              <w:pStyle w:val="TableHead"/>
              <w:jc w:val="right"/>
            </w:pPr>
            <w:r w:rsidRPr="00D63217">
              <w:t>Diet content (%)</w:t>
            </w:r>
          </w:p>
        </w:tc>
        <w:tc>
          <w:tcPr>
            <w:tcW w:w="1236" w:type="dxa"/>
            <w:shd w:val="clear" w:color="auto" w:fill="5C2946"/>
          </w:tcPr>
          <w:p w14:paraId="1669F923" w14:textId="49713256" w:rsidR="004207F7" w:rsidRPr="00D63217" w:rsidRDefault="004207F7" w:rsidP="009B75F2">
            <w:pPr>
              <w:pStyle w:val="TableHead"/>
              <w:jc w:val="right"/>
            </w:pPr>
            <w:r w:rsidRPr="00D63217">
              <w:t>Residue Contribution (ppm)</w:t>
            </w:r>
          </w:p>
        </w:tc>
      </w:tr>
      <w:tr w:rsidR="00C0077E" w:rsidRPr="00D63217" w14:paraId="6D499698" w14:textId="77777777" w:rsidTr="009B75F2">
        <w:tc>
          <w:tcPr>
            <w:tcW w:w="1203" w:type="dxa"/>
          </w:tcPr>
          <w:p w14:paraId="6211296C" w14:textId="40CC111C" w:rsidR="00B70721" w:rsidRPr="00D63217" w:rsidRDefault="00B70721" w:rsidP="00AF5BA7">
            <w:pPr>
              <w:pStyle w:val="TableText"/>
            </w:pPr>
            <w:r w:rsidRPr="00D63217">
              <w:t>Trefoil forage</w:t>
            </w:r>
          </w:p>
        </w:tc>
        <w:tc>
          <w:tcPr>
            <w:tcW w:w="1194" w:type="dxa"/>
          </w:tcPr>
          <w:p w14:paraId="476F0BE5" w14:textId="77777777" w:rsidR="00B70721" w:rsidRPr="00D63217" w:rsidRDefault="00B70721" w:rsidP="009B75F2">
            <w:pPr>
              <w:pStyle w:val="TableText"/>
              <w:jc w:val="right"/>
            </w:pPr>
            <w:r w:rsidRPr="00D63217">
              <w:t>AL</w:t>
            </w:r>
          </w:p>
        </w:tc>
        <w:tc>
          <w:tcPr>
            <w:tcW w:w="1199" w:type="dxa"/>
          </w:tcPr>
          <w:p w14:paraId="0A282D1B" w14:textId="6E34685B" w:rsidR="00B70721" w:rsidRPr="00D63217" w:rsidRDefault="00B70721" w:rsidP="009B75F2">
            <w:pPr>
              <w:pStyle w:val="TableText"/>
              <w:jc w:val="right"/>
            </w:pPr>
            <w:r w:rsidRPr="00D63217">
              <w:t>250</w:t>
            </w:r>
          </w:p>
        </w:tc>
        <w:tc>
          <w:tcPr>
            <w:tcW w:w="1197" w:type="dxa"/>
          </w:tcPr>
          <w:p w14:paraId="42572147" w14:textId="77777777" w:rsidR="00B70721" w:rsidRPr="00D63217" w:rsidRDefault="00B70721" w:rsidP="009B75F2">
            <w:pPr>
              <w:pStyle w:val="TableText"/>
              <w:jc w:val="right"/>
            </w:pPr>
            <w:r w:rsidRPr="00D63217">
              <w:t>HR</w:t>
            </w:r>
          </w:p>
        </w:tc>
        <w:tc>
          <w:tcPr>
            <w:tcW w:w="1199" w:type="dxa"/>
          </w:tcPr>
          <w:p w14:paraId="23A46AAD" w14:textId="77777777" w:rsidR="00B70721" w:rsidRPr="00D63217" w:rsidRDefault="00B70721" w:rsidP="009B75F2">
            <w:pPr>
              <w:pStyle w:val="TableText"/>
              <w:jc w:val="right"/>
            </w:pPr>
            <w:r w:rsidRPr="00D63217">
              <w:t>100</w:t>
            </w:r>
          </w:p>
        </w:tc>
        <w:tc>
          <w:tcPr>
            <w:tcW w:w="1200" w:type="dxa"/>
          </w:tcPr>
          <w:p w14:paraId="759D2611" w14:textId="38984DE3" w:rsidR="00B70721" w:rsidRPr="00D63217" w:rsidRDefault="00B70721" w:rsidP="009B75F2">
            <w:pPr>
              <w:pStyle w:val="TableText"/>
              <w:jc w:val="right"/>
            </w:pPr>
            <w:r w:rsidRPr="00D63217">
              <w:t>250</w:t>
            </w:r>
          </w:p>
        </w:tc>
        <w:tc>
          <w:tcPr>
            <w:tcW w:w="1200" w:type="dxa"/>
          </w:tcPr>
          <w:p w14:paraId="28CA555C" w14:textId="48715414" w:rsidR="00B70721" w:rsidRPr="00D63217" w:rsidRDefault="00617A57" w:rsidP="009B75F2">
            <w:pPr>
              <w:pStyle w:val="TableText"/>
              <w:jc w:val="right"/>
            </w:pPr>
            <w:r w:rsidRPr="00D63217">
              <w:t>100</w:t>
            </w:r>
          </w:p>
        </w:tc>
        <w:tc>
          <w:tcPr>
            <w:tcW w:w="1236" w:type="dxa"/>
          </w:tcPr>
          <w:p w14:paraId="75397592" w14:textId="22230121" w:rsidR="00B70721" w:rsidRPr="00D63217" w:rsidRDefault="00617A57" w:rsidP="009B75F2">
            <w:pPr>
              <w:pStyle w:val="TableText"/>
              <w:jc w:val="right"/>
            </w:pPr>
            <w:r w:rsidRPr="00D63217">
              <w:t>250</w:t>
            </w:r>
          </w:p>
        </w:tc>
      </w:tr>
      <w:tr w:rsidR="00C0077E" w:rsidRPr="00D63217" w14:paraId="1C85320D" w14:textId="77777777" w:rsidTr="009B75F2">
        <w:tc>
          <w:tcPr>
            <w:tcW w:w="1203" w:type="dxa"/>
          </w:tcPr>
          <w:p w14:paraId="70FF6041" w14:textId="4B206B9D" w:rsidR="00B70721" w:rsidRPr="00D63217" w:rsidRDefault="00B70721" w:rsidP="00AF5BA7">
            <w:pPr>
              <w:pStyle w:val="TableText"/>
            </w:pPr>
            <w:r w:rsidRPr="00D63217">
              <w:t>Grass hay</w:t>
            </w:r>
          </w:p>
        </w:tc>
        <w:tc>
          <w:tcPr>
            <w:tcW w:w="1194" w:type="dxa"/>
          </w:tcPr>
          <w:p w14:paraId="101C8E15" w14:textId="361A0A2E" w:rsidR="00B70721" w:rsidRPr="00D63217" w:rsidRDefault="00B70721" w:rsidP="009B75F2">
            <w:pPr>
              <w:pStyle w:val="TableText"/>
              <w:jc w:val="right"/>
            </w:pPr>
            <w:r w:rsidRPr="00D63217">
              <w:t>AF/AS</w:t>
            </w:r>
          </w:p>
        </w:tc>
        <w:tc>
          <w:tcPr>
            <w:tcW w:w="1199" w:type="dxa"/>
          </w:tcPr>
          <w:p w14:paraId="328387D5" w14:textId="072BEDFC" w:rsidR="00B70721" w:rsidRPr="00D63217" w:rsidRDefault="00B70721" w:rsidP="009B75F2">
            <w:pPr>
              <w:pStyle w:val="TableText"/>
              <w:jc w:val="right"/>
            </w:pPr>
            <w:r w:rsidRPr="00D63217">
              <w:t>220</w:t>
            </w:r>
          </w:p>
        </w:tc>
        <w:tc>
          <w:tcPr>
            <w:tcW w:w="1197" w:type="dxa"/>
          </w:tcPr>
          <w:p w14:paraId="7AFEC5CD" w14:textId="4CEBAEE8" w:rsidR="00B70721" w:rsidRPr="00D63217" w:rsidRDefault="00B70721" w:rsidP="009B75F2">
            <w:pPr>
              <w:pStyle w:val="TableText"/>
              <w:jc w:val="right"/>
            </w:pPr>
            <w:r w:rsidRPr="00D63217">
              <w:t>HR</w:t>
            </w:r>
          </w:p>
        </w:tc>
        <w:tc>
          <w:tcPr>
            <w:tcW w:w="1199" w:type="dxa"/>
          </w:tcPr>
          <w:p w14:paraId="1AF737FF" w14:textId="5C8F2257" w:rsidR="00B70721" w:rsidRPr="00D63217" w:rsidRDefault="00B70721" w:rsidP="009B75F2">
            <w:pPr>
              <w:pStyle w:val="TableText"/>
              <w:jc w:val="right"/>
            </w:pPr>
            <w:r w:rsidRPr="00D63217">
              <w:t>100</w:t>
            </w:r>
          </w:p>
        </w:tc>
        <w:tc>
          <w:tcPr>
            <w:tcW w:w="1200" w:type="dxa"/>
          </w:tcPr>
          <w:p w14:paraId="192BE21E" w14:textId="45F0DFD8" w:rsidR="00B70721" w:rsidRPr="00D63217" w:rsidRDefault="00B70721" w:rsidP="009B75F2">
            <w:pPr>
              <w:pStyle w:val="TableText"/>
              <w:jc w:val="right"/>
            </w:pPr>
            <w:r w:rsidRPr="00D63217">
              <w:t>220</w:t>
            </w:r>
          </w:p>
        </w:tc>
        <w:tc>
          <w:tcPr>
            <w:tcW w:w="1200" w:type="dxa"/>
          </w:tcPr>
          <w:p w14:paraId="438E6061" w14:textId="77777777" w:rsidR="00B70721" w:rsidRPr="00D63217" w:rsidRDefault="00B70721" w:rsidP="009B75F2">
            <w:pPr>
              <w:pStyle w:val="TableText"/>
              <w:jc w:val="right"/>
            </w:pPr>
          </w:p>
        </w:tc>
        <w:tc>
          <w:tcPr>
            <w:tcW w:w="1236" w:type="dxa"/>
          </w:tcPr>
          <w:p w14:paraId="48144E04" w14:textId="77777777" w:rsidR="00B70721" w:rsidRPr="00D63217" w:rsidRDefault="00B70721" w:rsidP="009B75F2">
            <w:pPr>
              <w:pStyle w:val="TableText"/>
              <w:jc w:val="right"/>
            </w:pPr>
          </w:p>
        </w:tc>
      </w:tr>
      <w:tr w:rsidR="00C0077E" w:rsidRPr="00D63217" w14:paraId="149545DC" w14:textId="77777777" w:rsidTr="009B75F2">
        <w:tc>
          <w:tcPr>
            <w:tcW w:w="1203" w:type="dxa"/>
          </w:tcPr>
          <w:p w14:paraId="7ECA8EC7" w14:textId="627EC6C6" w:rsidR="00617A57" w:rsidRPr="00D63217" w:rsidRDefault="00617A57" w:rsidP="00617A57">
            <w:pPr>
              <w:pStyle w:val="TableText"/>
            </w:pPr>
            <w:r w:rsidRPr="00D63217">
              <w:t>Clover forage</w:t>
            </w:r>
          </w:p>
        </w:tc>
        <w:tc>
          <w:tcPr>
            <w:tcW w:w="1194" w:type="dxa"/>
          </w:tcPr>
          <w:p w14:paraId="3BD46832" w14:textId="07D4DFCA" w:rsidR="00617A57" w:rsidRPr="00D63217" w:rsidRDefault="00617A57" w:rsidP="009B75F2">
            <w:pPr>
              <w:pStyle w:val="TableText"/>
              <w:jc w:val="right"/>
            </w:pPr>
            <w:r w:rsidRPr="00D63217">
              <w:t>AL</w:t>
            </w:r>
          </w:p>
        </w:tc>
        <w:tc>
          <w:tcPr>
            <w:tcW w:w="1199" w:type="dxa"/>
          </w:tcPr>
          <w:p w14:paraId="5EAE2266" w14:textId="1D68B5F0" w:rsidR="00617A57" w:rsidRPr="00D63217" w:rsidRDefault="00617A57" w:rsidP="009B75F2">
            <w:pPr>
              <w:pStyle w:val="TableText"/>
              <w:jc w:val="right"/>
            </w:pPr>
            <w:r w:rsidRPr="00D63217">
              <w:t>180</w:t>
            </w:r>
          </w:p>
        </w:tc>
        <w:tc>
          <w:tcPr>
            <w:tcW w:w="1197" w:type="dxa"/>
          </w:tcPr>
          <w:p w14:paraId="596A93E5" w14:textId="6808F143" w:rsidR="00617A57" w:rsidRPr="00D63217" w:rsidRDefault="00617A57" w:rsidP="009B75F2">
            <w:pPr>
              <w:pStyle w:val="TableText"/>
              <w:jc w:val="right"/>
            </w:pPr>
            <w:r w:rsidRPr="00D63217">
              <w:t>HR</w:t>
            </w:r>
          </w:p>
        </w:tc>
        <w:tc>
          <w:tcPr>
            <w:tcW w:w="1199" w:type="dxa"/>
          </w:tcPr>
          <w:p w14:paraId="68B8A728" w14:textId="0BE7D9A8" w:rsidR="00617A57" w:rsidRPr="00D63217" w:rsidRDefault="00617A57" w:rsidP="009B75F2">
            <w:pPr>
              <w:pStyle w:val="TableText"/>
              <w:jc w:val="right"/>
            </w:pPr>
            <w:r w:rsidRPr="00D63217">
              <w:t>100</w:t>
            </w:r>
          </w:p>
        </w:tc>
        <w:tc>
          <w:tcPr>
            <w:tcW w:w="1200" w:type="dxa"/>
          </w:tcPr>
          <w:p w14:paraId="0EF1AA1D" w14:textId="696733CC" w:rsidR="00617A57" w:rsidRPr="00D63217" w:rsidRDefault="00617A57" w:rsidP="009B75F2">
            <w:pPr>
              <w:pStyle w:val="TableText"/>
              <w:jc w:val="right"/>
            </w:pPr>
            <w:r w:rsidRPr="00D63217">
              <w:t>180</w:t>
            </w:r>
          </w:p>
        </w:tc>
        <w:tc>
          <w:tcPr>
            <w:tcW w:w="1200" w:type="dxa"/>
          </w:tcPr>
          <w:p w14:paraId="6817C252" w14:textId="77777777" w:rsidR="00617A57" w:rsidRPr="00D63217" w:rsidRDefault="00617A57" w:rsidP="009B75F2">
            <w:pPr>
              <w:pStyle w:val="TableText"/>
              <w:jc w:val="right"/>
            </w:pPr>
          </w:p>
        </w:tc>
        <w:tc>
          <w:tcPr>
            <w:tcW w:w="1236" w:type="dxa"/>
          </w:tcPr>
          <w:p w14:paraId="7286AEEF" w14:textId="77777777" w:rsidR="00617A57" w:rsidRPr="00D63217" w:rsidRDefault="00617A57" w:rsidP="009B75F2">
            <w:pPr>
              <w:pStyle w:val="TableText"/>
              <w:jc w:val="right"/>
            </w:pPr>
          </w:p>
        </w:tc>
      </w:tr>
      <w:tr w:rsidR="00C0077E" w:rsidRPr="00D63217" w14:paraId="641376D1" w14:textId="77777777" w:rsidTr="009B75F2">
        <w:tc>
          <w:tcPr>
            <w:tcW w:w="1203" w:type="dxa"/>
          </w:tcPr>
          <w:p w14:paraId="65B6CA0F" w14:textId="213E2ED7" w:rsidR="00617A57" w:rsidRPr="00D63217" w:rsidRDefault="00617A57" w:rsidP="00617A57">
            <w:pPr>
              <w:pStyle w:val="TableText"/>
            </w:pPr>
            <w:r w:rsidRPr="00D63217">
              <w:t>Alfalfa forage</w:t>
            </w:r>
          </w:p>
        </w:tc>
        <w:tc>
          <w:tcPr>
            <w:tcW w:w="1194" w:type="dxa"/>
          </w:tcPr>
          <w:p w14:paraId="307280E9" w14:textId="6997BD4D" w:rsidR="00617A57" w:rsidRPr="00D63217" w:rsidRDefault="00617A57" w:rsidP="009B75F2">
            <w:pPr>
              <w:pStyle w:val="TableText"/>
              <w:jc w:val="right"/>
            </w:pPr>
            <w:r w:rsidRPr="00D63217">
              <w:t>AL</w:t>
            </w:r>
          </w:p>
        </w:tc>
        <w:tc>
          <w:tcPr>
            <w:tcW w:w="1199" w:type="dxa"/>
          </w:tcPr>
          <w:p w14:paraId="33C82DDB" w14:textId="7D4632F2" w:rsidR="00617A57" w:rsidRPr="00D63217" w:rsidRDefault="00617A57" w:rsidP="009B75F2">
            <w:pPr>
              <w:pStyle w:val="TableText"/>
              <w:jc w:val="right"/>
            </w:pPr>
            <w:r w:rsidRPr="00D63217">
              <w:t>170</w:t>
            </w:r>
          </w:p>
        </w:tc>
        <w:tc>
          <w:tcPr>
            <w:tcW w:w="1197" w:type="dxa"/>
          </w:tcPr>
          <w:p w14:paraId="219401C7" w14:textId="091D7769" w:rsidR="00617A57" w:rsidRPr="00D63217" w:rsidRDefault="00617A57" w:rsidP="009B75F2">
            <w:pPr>
              <w:pStyle w:val="TableText"/>
              <w:jc w:val="right"/>
            </w:pPr>
            <w:r w:rsidRPr="00D63217">
              <w:t>HR</w:t>
            </w:r>
          </w:p>
        </w:tc>
        <w:tc>
          <w:tcPr>
            <w:tcW w:w="1199" w:type="dxa"/>
          </w:tcPr>
          <w:p w14:paraId="4614F341" w14:textId="4A7AB69C" w:rsidR="00617A57" w:rsidRPr="00D63217" w:rsidRDefault="00617A57" w:rsidP="009B75F2">
            <w:pPr>
              <w:pStyle w:val="TableText"/>
              <w:jc w:val="right"/>
            </w:pPr>
            <w:r w:rsidRPr="00D63217">
              <w:t>100</w:t>
            </w:r>
          </w:p>
        </w:tc>
        <w:tc>
          <w:tcPr>
            <w:tcW w:w="1200" w:type="dxa"/>
          </w:tcPr>
          <w:p w14:paraId="2CC4D4CA" w14:textId="5771A0EB" w:rsidR="00617A57" w:rsidRPr="00D63217" w:rsidRDefault="00617A57" w:rsidP="009B75F2">
            <w:pPr>
              <w:pStyle w:val="TableText"/>
              <w:jc w:val="right"/>
            </w:pPr>
            <w:r w:rsidRPr="00D63217">
              <w:t>170</w:t>
            </w:r>
          </w:p>
        </w:tc>
        <w:tc>
          <w:tcPr>
            <w:tcW w:w="1200" w:type="dxa"/>
          </w:tcPr>
          <w:p w14:paraId="16240A80" w14:textId="77777777" w:rsidR="00617A57" w:rsidRPr="00D63217" w:rsidRDefault="00617A57" w:rsidP="009B75F2">
            <w:pPr>
              <w:pStyle w:val="TableText"/>
              <w:jc w:val="right"/>
            </w:pPr>
          </w:p>
        </w:tc>
        <w:tc>
          <w:tcPr>
            <w:tcW w:w="1236" w:type="dxa"/>
          </w:tcPr>
          <w:p w14:paraId="7FB37E0E" w14:textId="77777777" w:rsidR="00617A57" w:rsidRPr="00D63217" w:rsidRDefault="00617A57" w:rsidP="009B75F2">
            <w:pPr>
              <w:pStyle w:val="TableText"/>
              <w:jc w:val="right"/>
            </w:pPr>
          </w:p>
        </w:tc>
      </w:tr>
      <w:tr w:rsidR="00C0077E" w:rsidRPr="00D63217" w14:paraId="12735188" w14:textId="77777777" w:rsidTr="009B75F2">
        <w:tc>
          <w:tcPr>
            <w:tcW w:w="1203" w:type="dxa"/>
          </w:tcPr>
          <w:p w14:paraId="3BBB2831" w14:textId="6D82AAB5" w:rsidR="00617A57" w:rsidRPr="00D63217" w:rsidRDefault="00617A57" w:rsidP="00617A57">
            <w:pPr>
              <w:pStyle w:val="TableText"/>
            </w:pPr>
            <w:r w:rsidRPr="00D63217">
              <w:t xml:space="preserve">Potato </w:t>
            </w:r>
            <w:r w:rsidR="009B75F2" w:rsidRPr="00D63217">
              <w:t>c</w:t>
            </w:r>
            <w:r w:rsidRPr="00D63217">
              <w:t>ulls</w:t>
            </w:r>
          </w:p>
        </w:tc>
        <w:tc>
          <w:tcPr>
            <w:tcW w:w="1194" w:type="dxa"/>
          </w:tcPr>
          <w:p w14:paraId="1601BB24" w14:textId="55F33569" w:rsidR="00617A57" w:rsidRPr="00D63217" w:rsidRDefault="00617A57" w:rsidP="009B75F2">
            <w:pPr>
              <w:pStyle w:val="TableText"/>
              <w:jc w:val="right"/>
            </w:pPr>
            <w:r w:rsidRPr="00D63217">
              <w:t>VR</w:t>
            </w:r>
          </w:p>
        </w:tc>
        <w:tc>
          <w:tcPr>
            <w:tcW w:w="1199" w:type="dxa"/>
          </w:tcPr>
          <w:p w14:paraId="5B7517A9" w14:textId="6E54E91D" w:rsidR="00617A57" w:rsidRPr="00D63217" w:rsidRDefault="00617A57" w:rsidP="009B75F2">
            <w:pPr>
              <w:pStyle w:val="TableText"/>
              <w:jc w:val="right"/>
            </w:pPr>
            <w:r w:rsidRPr="00D63217">
              <w:t>0.09</w:t>
            </w:r>
          </w:p>
        </w:tc>
        <w:tc>
          <w:tcPr>
            <w:tcW w:w="1197" w:type="dxa"/>
          </w:tcPr>
          <w:p w14:paraId="3619A874" w14:textId="4A7FF3EC" w:rsidR="00617A57" w:rsidRPr="00D63217" w:rsidRDefault="00617A57" w:rsidP="009B75F2">
            <w:pPr>
              <w:pStyle w:val="TableText"/>
              <w:jc w:val="right"/>
            </w:pPr>
            <w:r w:rsidRPr="00D63217">
              <w:t>HR</w:t>
            </w:r>
          </w:p>
        </w:tc>
        <w:tc>
          <w:tcPr>
            <w:tcW w:w="1199" w:type="dxa"/>
          </w:tcPr>
          <w:p w14:paraId="11603FDD" w14:textId="29BD7E46" w:rsidR="00617A57" w:rsidRPr="00D63217" w:rsidRDefault="00617A57" w:rsidP="009B75F2">
            <w:pPr>
              <w:pStyle w:val="TableText"/>
              <w:jc w:val="right"/>
            </w:pPr>
            <w:r w:rsidRPr="00D63217">
              <w:t>20</w:t>
            </w:r>
          </w:p>
        </w:tc>
        <w:tc>
          <w:tcPr>
            <w:tcW w:w="1200" w:type="dxa"/>
          </w:tcPr>
          <w:p w14:paraId="347EACF8" w14:textId="35BDDA30" w:rsidR="00617A57" w:rsidRPr="00D63217" w:rsidRDefault="00617A57" w:rsidP="009B75F2">
            <w:pPr>
              <w:pStyle w:val="TableText"/>
              <w:jc w:val="right"/>
            </w:pPr>
            <w:r w:rsidRPr="00D63217">
              <w:t>0.5</w:t>
            </w:r>
          </w:p>
        </w:tc>
        <w:tc>
          <w:tcPr>
            <w:tcW w:w="1200" w:type="dxa"/>
          </w:tcPr>
          <w:p w14:paraId="7ABE7BF5" w14:textId="77777777" w:rsidR="00617A57" w:rsidRPr="00D63217" w:rsidRDefault="00617A57" w:rsidP="009B75F2">
            <w:pPr>
              <w:pStyle w:val="TableText"/>
              <w:jc w:val="right"/>
            </w:pPr>
          </w:p>
        </w:tc>
        <w:tc>
          <w:tcPr>
            <w:tcW w:w="1236" w:type="dxa"/>
          </w:tcPr>
          <w:p w14:paraId="78A66C59" w14:textId="77777777" w:rsidR="00617A57" w:rsidRPr="00D63217" w:rsidRDefault="00617A57" w:rsidP="009B75F2">
            <w:pPr>
              <w:pStyle w:val="TableText"/>
              <w:jc w:val="right"/>
            </w:pPr>
          </w:p>
        </w:tc>
      </w:tr>
      <w:tr w:rsidR="00C0077E" w:rsidRPr="00D63217" w14:paraId="1715E11E" w14:textId="77777777" w:rsidTr="009B75F2">
        <w:tc>
          <w:tcPr>
            <w:tcW w:w="1203" w:type="dxa"/>
          </w:tcPr>
          <w:p w14:paraId="2DDB9D79" w14:textId="123A2040" w:rsidR="00617A57" w:rsidRPr="00D63217" w:rsidRDefault="00617A57" w:rsidP="00617A57">
            <w:pPr>
              <w:pStyle w:val="TableText"/>
            </w:pPr>
            <w:r w:rsidRPr="00D63217">
              <w:t>Sorghum grain</w:t>
            </w:r>
          </w:p>
        </w:tc>
        <w:tc>
          <w:tcPr>
            <w:tcW w:w="1194" w:type="dxa"/>
          </w:tcPr>
          <w:p w14:paraId="5D34F343" w14:textId="77777777" w:rsidR="00617A57" w:rsidRPr="00D63217" w:rsidRDefault="00617A57" w:rsidP="009B75F2">
            <w:pPr>
              <w:pStyle w:val="TableText"/>
              <w:jc w:val="right"/>
            </w:pPr>
            <w:r w:rsidRPr="00D63217">
              <w:t>GC</w:t>
            </w:r>
          </w:p>
        </w:tc>
        <w:tc>
          <w:tcPr>
            <w:tcW w:w="1199" w:type="dxa"/>
          </w:tcPr>
          <w:p w14:paraId="5365360B" w14:textId="77777777" w:rsidR="00617A57" w:rsidRPr="00D63217" w:rsidRDefault="00617A57" w:rsidP="009B75F2">
            <w:pPr>
              <w:pStyle w:val="TableText"/>
              <w:jc w:val="right"/>
            </w:pPr>
            <w:r w:rsidRPr="00D63217">
              <w:t>0.05</w:t>
            </w:r>
          </w:p>
        </w:tc>
        <w:tc>
          <w:tcPr>
            <w:tcW w:w="1197" w:type="dxa"/>
          </w:tcPr>
          <w:p w14:paraId="6CD722A1" w14:textId="77777777" w:rsidR="00617A57" w:rsidRPr="00D63217" w:rsidRDefault="00617A57" w:rsidP="009B75F2">
            <w:pPr>
              <w:pStyle w:val="TableText"/>
              <w:jc w:val="right"/>
            </w:pPr>
            <w:r w:rsidRPr="00D63217">
              <w:t>STMR</w:t>
            </w:r>
          </w:p>
        </w:tc>
        <w:tc>
          <w:tcPr>
            <w:tcW w:w="1199" w:type="dxa"/>
          </w:tcPr>
          <w:p w14:paraId="14586424" w14:textId="77777777" w:rsidR="00617A57" w:rsidRPr="00D63217" w:rsidRDefault="00617A57" w:rsidP="009B75F2">
            <w:pPr>
              <w:pStyle w:val="TableText"/>
              <w:jc w:val="right"/>
            </w:pPr>
            <w:r w:rsidRPr="00D63217">
              <w:t>86</w:t>
            </w:r>
          </w:p>
        </w:tc>
        <w:tc>
          <w:tcPr>
            <w:tcW w:w="1200" w:type="dxa"/>
          </w:tcPr>
          <w:p w14:paraId="1E06710D" w14:textId="74FECA27" w:rsidR="00617A57" w:rsidRPr="00D63217" w:rsidRDefault="00617A57" w:rsidP="009B75F2">
            <w:pPr>
              <w:pStyle w:val="TableText"/>
              <w:jc w:val="right"/>
            </w:pPr>
            <w:r w:rsidRPr="00D63217">
              <w:t>0.1</w:t>
            </w:r>
          </w:p>
        </w:tc>
        <w:tc>
          <w:tcPr>
            <w:tcW w:w="1200" w:type="dxa"/>
          </w:tcPr>
          <w:p w14:paraId="782BCD7F" w14:textId="0F1D9C6B" w:rsidR="00617A57" w:rsidRPr="00D63217" w:rsidRDefault="00617A57" w:rsidP="009B75F2">
            <w:pPr>
              <w:pStyle w:val="TableText"/>
              <w:jc w:val="right"/>
            </w:pPr>
          </w:p>
        </w:tc>
        <w:tc>
          <w:tcPr>
            <w:tcW w:w="1236" w:type="dxa"/>
          </w:tcPr>
          <w:p w14:paraId="43776FCE" w14:textId="59A7A2CE" w:rsidR="00617A57" w:rsidRPr="00D63217" w:rsidRDefault="00617A57" w:rsidP="009B75F2">
            <w:pPr>
              <w:pStyle w:val="TableText"/>
              <w:jc w:val="right"/>
            </w:pPr>
          </w:p>
        </w:tc>
      </w:tr>
      <w:tr w:rsidR="00C0077E" w:rsidRPr="00D63217" w14:paraId="29D80D50" w14:textId="77777777" w:rsidTr="009B75F2">
        <w:tc>
          <w:tcPr>
            <w:tcW w:w="1203" w:type="dxa"/>
          </w:tcPr>
          <w:p w14:paraId="6FB56AA3" w14:textId="31FF63E4" w:rsidR="00617A57" w:rsidRPr="00D63217" w:rsidRDefault="00617A57" w:rsidP="00617A57">
            <w:pPr>
              <w:pStyle w:val="TableText"/>
            </w:pPr>
            <w:r w:rsidRPr="00D63217">
              <w:t>Barley grain</w:t>
            </w:r>
          </w:p>
        </w:tc>
        <w:tc>
          <w:tcPr>
            <w:tcW w:w="1194" w:type="dxa"/>
          </w:tcPr>
          <w:p w14:paraId="1DC8D4BF" w14:textId="77777777" w:rsidR="00617A57" w:rsidRPr="00D63217" w:rsidRDefault="00617A57" w:rsidP="009B75F2">
            <w:pPr>
              <w:pStyle w:val="TableText"/>
              <w:jc w:val="right"/>
            </w:pPr>
            <w:r w:rsidRPr="00D63217">
              <w:t>GC</w:t>
            </w:r>
          </w:p>
        </w:tc>
        <w:tc>
          <w:tcPr>
            <w:tcW w:w="1199" w:type="dxa"/>
          </w:tcPr>
          <w:p w14:paraId="3C965BA9" w14:textId="77777777" w:rsidR="00617A57" w:rsidRPr="00D63217" w:rsidRDefault="00617A57" w:rsidP="009B75F2">
            <w:pPr>
              <w:pStyle w:val="TableText"/>
              <w:jc w:val="right"/>
            </w:pPr>
            <w:r w:rsidRPr="00D63217">
              <w:t>0.05</w:t>
            </w:r>
          </w:p>
        </w:tc>
        <w:tc>
          <w:tcPr>
            <w:tcW w:w="1197" w:type="dxa"/>
          </w:tcPr>
          <w:p w14:paraId="6F4725AD" w14:textId="77777777" w:rsidR="00617A57" w:rsidRPr="00D63217" w:rsidRDefault="00617A57" w:rsidP="009B75F2">
            <w:pPr>
              <w:pStyle w:val="TableText"/>
              <w:jc w:val="right"/>
            </w:pPr>
            <w:r w:rsidRPr="00D63217">
              <w:t>STMR</w:t>
            </w:r>
          </w:p>
        </w:tc>
        <w:tc>
          <w:tcPr>
            <w:tcW w:w="1199" w:type="dxa"/>
          </w:tcPr>
          <w:p w14:paraId="177D6266" w14:textId="77777777" w:rsidR="00617A57" w:rsidRPr="00D63217" w:rsidRDefault="00617A57" w:rsidP="009B75F2">
            <w:pPr>
              <w:pStyle w:val="TableText"/>
              <w:jc w:val="right"/>
            </w:pPr>
            <w:r w:rsidRPr="00D63217">
              <w:t>88</w:t>
            </w:r>
          </w:p>
        </w:tc>
        <w:tc>
          <w:tcPr>
            <w:tcW w:w="1200" w:type="dxa"/>
          </w:tcPr>
          <w:p w14:paraId="4034A2F8" w14:textId="2A2BDF4E" w:rsidR="00617A57" w:rsidRPr="00D63217" w:rsidRDefault="00617A57" w:rsidP="009B75F2">
            <w:pPr>
              <w:pStyle w:val="TableText"/>
              <w:jc w:val="right"/>
            </w:pPr>
            <w:r w:rsidRPr="00D63217">
              <w:t>0.1</w:t>
            </w:r>
          </w:p>
        </w:tc>
        <w:tc>
          <w:tcPr>
            <w:tcW w:w="1200" w:type="dxa"/>
          </w:tcPr>
          <w:p w14:paraId="3E5CDB9C" w14:textId="77777777" w:rsidR="00617A57" w:rsidRPr="00D63217" w:rsidRDefault="00617A57" w:rsidP="009B75F2">
            <w:pPr>
              <w:pStyle w:val="TableText"/>
              <w:jc w:val="right"/>
            </w:pPr>
          </w:p>
        </w:tc>
        <w:tc>
          <w:tcPr>
            <w:tcW w:w="1236" w:type="dxa"/>
          </w:tcPr>
          <w:p w14:paraId="0B61CF82" w14:textId="77777777" w:rsidR="00617A57" w:rsidRPr="00D63217" w:rsidRDefault="00617A57" w:rsidP="009B75F2">
            <w:pPr>
              <w:pStyle w:val="TableText"/>
              <w:jc w:val="right"/>
            </w:pPr>
          </w:p>
        </w:tc>
      </w:tr>
      <w:tr w:rsidR="00C0077E" w:rsidRPr="00D63217" w14:paraId="68D3B34B" w14:textId="77777777" w:rsidTr="009B75F2">
        <w:tc>
          <w:tcPr>
            <w:tcW w:w="1203" w:type="dxa"/>
          </w:tcPr>
          <w:p w14:paraId="1E4CE5BE" w14:textId="77777777" w:rsidR="00617A57" w:rsidRPr="00D63217" w:rsidRDefault="00617A57" w:rsidP="00617A57">
            <w:pPr>
              <w:pStyle w:val="TableText"/>
            </w:pPr>
            <w:r w:rsidRPr="00D63217">
              <w:t>Total</w:t>
            </w:r>
          </w:p>
        </w:tc>
        <w:tc>
          <w:tcPr>
            <w:tcW w:w="1194" w:type="dxa"/>
          </w:tcPr>
          <w:p w14:paraId="071674F5" w14:textId="77777777" w:rsidR="00617A57" w:rsidRPr="00D63217" w:rsidRDefault="00617A57" w:rsidP="009B75F2">
            <w:pPr>
              <w:pStyle w:val="TableText"/>
              <w:jc w:val="right"/>
            </w:pPr>
          </w:p>
        </w:tc>
        <w:tc>
          <w:tcPr>
            <w:tcW w:w="1199" w:type="dxa"/>
          </w:tcPr>
          <w:p w14:paraId="039180B2" w14:textId="77777777" w:rsidR="00617A57" w:rsidRPr="00D63217" w:rsidRDefault="00617A57" w:rsidP="009B75F2">
            <w:pPr>
              <w:pStyle w:val="TableText"/>
              <w:jc w:val="right"/>
            </w:pPr>
          </w:p>
        </w:tc>
        <w:tc>
          <w:tcPr>
            <w:tcW w:w="1197" w:type="dxa"/>
          </w:tcPr>
          <w:p w14:paraId="0002EE28" w14:textId="77777777" w:rsidR="00617A57" w:rsidRPr="00D63217" w:rsidRDefault="00617A57" w:rsidP="009B75F2">
            <w:pPr>
              <w:pStyle w:val="TableText"/>
              <w:jc w:val="right"/>
            </w:pPr>
          </w:p>
        </w:tc>
        <w:tc>
          <w:tcPr>
            <w:tcW w:w="1199" w:type="dxa"/>
          </w:tcPr>
          <w:p w14:paraId="0B771E92" w14:textId="77777777" w:rsidR="00617A57" w:rsidRPr="00D63217" w:rsidRDefault="00617A57" w:rsidP="009B75F2">
            <w:pPr>
              <w:pStyle w:val="TableText"/>
              <w:jc w:val="right"/>
            </w:pPr>
          </w:p>
        </w:tc>
        <w:tc>
          <w:tcPr>
            <w:tcW w:w="1200" w:type="dxa"/>
          </w:tcPr>
          <w:p w14:paraId="73DC76B1" w14:textId="77777777" w:rsidR="00617A57" w:rsidRPr="00D63217" w:rsidRDefault="00617A57" w:rsidP="009B75F2">
            <w:pPr>
              <w:pStyle w:val="TableText"/>
              <w:jc w:val="right"/>
            </w:pPr>
          </w:p>
        </w:tc>
        <w:tc>
          <w:tcPr>
            <w:tcW w:w="1200" w:type="dxa"/>
          </w:tcPr>
          <w:p w14:paraId="6BC2600D" w14:textId="77777777" w:rsidR="00617A57" w:rsidRPr="00D63217" w:rsidRDefault="00617A57" w:rsidP="009B75F2">
            <w:pPr>
              <w:pStyle w:val="TableText"/>
              <w:jc w:val="right"/>
            </w:pPr>
            <w:r w:rsidRPr="00D63217">
              <w:t>100</w:t>
            </w:r>
          </w:p>
        </w:tc>
        <w:tc>
          <w:tcPr>
            <w:tcW w:w="1236" w:type="dxa"/>
          </w:tcPr>
          <w:p w14:paraId="1AEBCE48" w14:textId="0847EEF4" w:rsidR="00617A57" w:rsidRPr="00D63217" w:rsidRDefault="00617A57" w:rsidP="009B75F2">
            <w:pPr>
              <w:pStyle w:val="TableText"/>
              <w:jc w:val="right"/>
            </w:pPr>
            <w:r w:rsidRPr="00D63217">
              <w:t>250</w:t>
            </w:r>
          </w:p>
        </w:tc>
      </w:tr>
    </w:tbl>
    <w:p w14:paraId="5E7E5C9B" w14:textId="2430C3F1" w:rsidR="00B70721" w:rsidRPr="00D901C7" w:rsidRDefault="00B70721" w:rsidP="00D901C7">
      <w:pPr>
        <w:pStyle w:val="Caption"/>
      </w:pPr>
      <w:bookmarkStart w:id="338" w:name="_Ref166857055"/>
      <w:bookmarkStart w:id="339" w:name="_Ref166857046"/>
      <w:bookmarkStart w:id="340" w:name="_Toc230692284"/>
      <w:bookmarkStart w:id="341" w:name="_Toc233036505"/>
      <w:r w:rsidRPr="00D901C7">
        <w:t xml:space="preserve">Table </w:t>
      </w:r>
      <w:fldSimple w:instr=" SEQ Table \* ARABIC ">
        <w:r w:rsidR="00D901C7">
          <w:rPr>
            <w:noProof/>
          </w:rPr>
          <w:t>18</w:t>
        </w:r>
      </w:fldSimple>
      <w:bookmarkEnd w:id="338"/>
      <w:r w:rsidRPr="00D901C7">
        <w:t>: Calculation of dairy cattle dietary burden of paraquat</w:t>
      </w:r>
      <w:bookmarkEnd w:id="339"/>
      <w:bookmarkEnd w:id="340"/>
      <w:bookmarkEnd w:id="341"/>
    </w:p>
    <w:tbl>
      <w:tblPr>
        <w:tblStyle w:val="TableGrid"/>
        <w:tblW w:w="0" w:type="auto"/>
        <w:tblLook w:val="04A0" w:firstRow="1" w:lastRow="0" w:firstColumn="1" w:lastColumn="0" w:noHBand="0" w:noVBand="1"/>
      </w:tblPr>
      <w:tblGrid>
        <w:gridCol w:w="1203"/>
        <w:gridCol w:w="1194"/>
        <w:gridCol w:w="1199"/>
        <w:gridCol w:w="1197"/>
        <w:gridCol w:w="1199"/>
        <w:gridCol w:w="1200"/>
        <w:gridCol w:w="1200"/>
        <w:gridCol w:w="1236"/>
      </w:tblGrid>
      <w:tr w:rsidR="00B70721" w:rsidRPr="00D63217" w14:paraId="71310482" w14:textId="77777777" w:rsidTr="00AF5BA7">
        <w:tc>
          <w:tcPr>
            <w:tcW w:w="9628" w:type="dxa"/>
            <w:gridSpan w:val="8"/>
            <w:shd w:val="clear" w:color="auto" w:fill="5C2946"/>
          </w:tcPr>
          <w:p w14:paraId="30B37F8D" w14:textId="48DBE16E" w:rsidR="00B70721" w:rsidRPr="00D63217" w:rsidRDefault="005569FA" w:rsidP="00AF5BA7">
            <w:pPr>
              <w:pStyle w:val="TableHead"/>
            </w:pPr>
            <w:bookmarkStart w:id="342" w:name="_Hlk167094449"/>
            <w:r w:rsidRPr="00D63217">
              <w:t xml:space="preserve">Dairy </w:t>
            </w:r>
            <w:r w:rsidR="00C860D1" w:rsidRPr="00D63217">
              <w:t>c</w:t>
            </w:r>
            <w:r w:rsidRPr="00D63217">
              <w:t>attle</w:t>
            </w:r>
            <w:r w:rsidR="00B70721" w:rsidRPr="00D63217">
              <w:t xml:space="preserve"> – for MRLs</w:t>
            </w:r>
          </w:p>
        </w:tc>
      </w:tr>
      <w:tr w:rsidR="00C0077E" w:rsidRPr="00D63217" w14:paraId="7245629C" w14:textId="77777777" w:rsidTr="009B75F2">
        <w:tc>
          <w:tcPr>
            <w:tcW w:w="1203" w:type="dxa"/>
            <w:shd w:val="clear" w:color="auto" w:fill="5C2946"/>
          </w:tcPr>
          <w:p w14:paraId="0086E997" w14:textId="77777777" w:rsidR="004207F7" w:rsidRPr="00D63217" w:rsidRDefault="004207F7" w:rsidP="004207F7">
            <w:pPr>
              <w:pStyle w:val="TableHead"/>
            </w:pPr>
            <w:r w:rsidRPr="00D63217">
              <w:t>Commodity</w:t>
            </w:r>
          </w:p>
        </w:tc>
        <w:tc>
          <w:tcPr>
            <w:tcW w:w="1194" w:type="dxa"/>
            <w:shd w:val="clear" w:color="auto" w:fill="5C2946"/>
          </w:tcPr>
          <w:p w14:paraId="52BBEACB" w14:textId="4F877CDA" w:rsidR="004207F7" w:rsidRPr="00D63217" w:rsidRDefault="004207F7" w:rsidP="009B75F2">
            <w:pPr>
              <w:pStyle w:val="TableHead"/>
              <w:jc w:val="right"/>
            </w:pPr>
            <w:r w:rsidRPr="00D63217">
              <w:t>Codex Commodity Code</w:t>
            </w:r>
          </w:p>
        </w:tc>
        <w:tc>
          <w:tcPr>
            <w:tcW w:w="1199" w:type="dxa"/>
            <w:shd w:val="clear" w:color="auto" w:fill="5C2946"/>
          </w:tcPr>
          <w:p w14:paraId="0E2B5CA5" w14:textId="3781409B" w:rsidR="004207F7" w:rsidRPr="00D63217" w:rsidRDefault="004207F7" w:rsidP="009B75F2">
            <w:pPr>
              <w:pStyle w:val="TableHead"/>
              <w:jc w:val="right"/>
            </w:pPr>
            <w:r w:rsidRPr="00D63217">
              <w:t>Residue (mg/kg)</w:t>
            </w:r>
          </w:p>
        </w:tc>
        <w:tc>
          <w:tcPr>
            <w:tcW w:w="1197" w:type="dxa"/>
            <w:shd w:val="clear" w:color="auto" w:fill="5C2946"/>
          </w:tcPr>
          <w:p w14:paraId="308DDE4A" w14:textId="13F21B32" w:rsidR="004207F7" w:rsidRPr="00D63217" w:rsidRDefault="004207F7" w:rsidP="009B75F2">
            <w:pPr>
              <w:pStyle w:val="TableHead"/>
              <w:jc w:val="right"/>
            </w:pPr>
            <w:r w:rsidRPr="00D63217">
              <w:t>Basis</w:t>
            </w:r>
          </w:p>
        </w:tc>
        <w:tc>
          <w:tcPr>
            <w:tcW w:w="1199" w:type="dxa"/>
            <w:shd w:val="clear" w:color="auto" w:fill="5C2946"/>
          </w:tcPr>
          <w:p w14:paraId="4D958723" w14:textId="7B8B3379" w:rsidR="004207F7" w:rsidRPr="00D63217" w:rsidRDefault="004207F7" w:rsidP="009B75F2">
            <w:pPr>
              <w:pStyle w:val="TableHead"/>
              <w:jc w:val="right"/>
            </w:pPr>
            <w:r w:rsidRPr="00D63217">
              <w:t>Dry matter (%)</w:t>
            </w:r>
          </w:p>
        </w:tc>
        <w:tc>
          <w:tcPr>
            <w:tcW w:w="1200" w:type="dxa"/>
            <w:shd w:val="clear" w:color="auto" w:fill="5C2946"/>
          </w:tcPr>
          <w:p w14:paraId="7C6E23C6" w14:textId="26E4A704" w:rsidR="004207F7" w:rsidRPr="00D63217" w:rsidRDefault="004207F7" w:rsidP="009B75F2">
            <w:pPr>
              <w:pStyle w:val="TableHead"/>
              <w:jc w:val="right"/>
            </w:pPr>
            <w:r w:rsidRPr="00D63217">
              <w:t>Residue dry weight (mg/kg)</w:t>
            </w:r>
          </w:p>
        </w:tc>
        <w:tc>
          <w:tcPr>
            <w:tcW w:w="1200" w:type="dxa"/>
            <w:shd w:val="clear" w:color="auto" w:fill="5C2946"/>
          </w:tcPr>
          <w:p w14:paraId="285F6FDF" w14:textId="5ED960AF" w:rsidR="004207F7" w:rsidRPr="00D63217" w:rsidRDefault="004207F7" w:rsidP="009B75F2">
            <w:pPr>
              <w:pStyle w:val="TableHead"/>
              <w:jc w:val="right"/>
            </w:pPr>
            <w:r w:rsidRPr="00D63217">
              <w:t>Diet content (%)</w:t>
            </w:r>
          </w:p>
        </w:tc>
        <w:tc>
          <w:tcPr>
            <w:tcW w:w="1236" w:type="dxa"/>
            <w:shd w:val="clear" w:color="auto" w:fill="5C2946"/>
          </w:tcPr>
          <w:p w14:paraId="70538B1C" w14:textId="5E10E89D" w:rsidR="004207F7" w:rsidRPr="00D63217" w:rsidRDefault="004207F7" w:rsidP="009B75F2">
            <w:pPr>
              <w:pStyle w:val="TableHead"/>
              <w:jc w:val="right"/>
            </w:pPr>
            <w:r w:rsidRPr="00D63217">
              <w:t>Residue Contribution (ppm)</w:t>
            </w:r>
          </w:p>
        </w:tc>
      </w:tr>
      <w:tr w:rsidR="00C0077E" w:rsidRPr="00D63217" w14:paraId="03855CE1" w14:textId="77777777" w:rsidTr="009B75F2">
        <w:tc>
          <w:tcPr>
            <w:tcW w:w="1203" w:type="dxa"/>
          </w:tcPr>
          <w:p w14:paraId="6FD86246" w14:textId="77777777" w:rsidR="00B70721" w:rsidRPr="00D63217" w:rsidRDefault="00B70721" w:rsidP="00AF5BA7">
            <w:pPr>
              <w:pStyle w:val="TableText"/>
            </w:pPr>
            <w:r w:rsidRPr="00D63217">
              <w:t>Trefoil forage</w:t>
            </w:r>
          </w:p>
        </w:tc>
        <w:tc>
          <w:tcPr>
            <w:tcW w:w="1194" w:type="dxa"/>
          </w:tcPr>
          <w:p w14:paraId="5B3F135C" w14:textId="77777777" w:rsidR="00B70721" w:rsidRPr="00D63217" w:rsidRDefault="00B70721" w:rsidP="009B75F2">
            <w:pPr>
              <w:pStyle w:val="TableText"/>
              <w:jc w:val="right"/>
            </w:pPr>
            <w:r w:rsidRPr="00D63217">
              <w:t>AL</w:t>
            </w:r>
          </w:p>
        </w:tc>
        <w:tc>
          <w:tcPr>
            <w:tcW w:w="1199" w:type="dxa"/>
          </w:tcPr>
          <w:p w14:paraId="1DD69B0C" w14:textId="77777777" w:rsidR="00B70721" w:rsidRPr="00D63217" w:rsidRDefault="00B70721" w:rsidP="009B75F2">
            <w:pPr>
              <w:pStyle w:val="TableText"/>
              <w:jc w:val="right"/>
            </w:pPr>
            <w:r w:rsidRPr="00D63217">
              <w:t>170</w:t>
            </w:r>
          </w:p>
        </w:tc>
        <w:tc>
          <w:tcPr>
            <w:tcW w:w="1197" w:type="dxa"/>
          </w:tcPr>
          <w:p w14:paraId="4D06E10B" w14:textId="77777777" w:rsidR="00B70721" w:rsidRPr="00D63217" w:rsidRDefault="00B70721" w:rsidP="009B75F2">
            <w:pPr>
              <w:pStyle w:val="TableText"/>
              <w:jc w:val="right"/>
            </w:pPr>
            <w:r w:rsidRPr="00D63217">
              <w:t>HR</w:t>
            </w:r>
          </w:p>
        </w:tc>
        <w:tc>
          <w:tcPr>
            <w:tcW w:w="1199" w:type="dxa"/>
          </w:tcPr>
          <w:p w14:paraId="1BF439FE" w14:textId="77777777" w:rsidR="00B70721" w:rsidRPr="00D63217" w:rsidRDefault="00B70721" w:rsidP="009B75F2">
            <w:pPr>
              <w:pStyle w:val="TableText"/>
              <w:jc w:val="right"/>
            </w:pPr>
            <w:r w:rsidRPr="00D63217">
              <w:t>100</w:t>
            </w:r>
          </w:p>
        </w:tc>
        <w:tc>
          <w:tcPr>
            <w:tcW w:w="1200" w:type="dxa"/>
          </w:tcPr>
          <w:p w14:paraId="03617455" w14:textId="77777777" w:rsidR="00B70721" w:rsidRPr="00D63217" w:rsidRDefault="00B70721" w:rsidP="009B75F2">
            <w:pPr>
              <w:pStyle w:val="TableText"/>
              <w:jc w:val="right"/>
            </w:pPr>
            <w:r w:rsidRPr="00D63217">
              <w:t>250.0</w:t>
            </w:r>
          </w:p>
        </w:tc>
        <w:tc>
          <w:tcPr>
            <w:tcW w:w="1200" w:type="dxa"/>
          </w:tcPr>
          <w:p w14:paraId="4CB8970D" w14:textId="4AC3E479" w:rsidR="00B70721" w:rsidRPr="00D63217" w:rsidRDefault="00D1509A" w:rsidP="009B75F2">
            <w:pPr>
              <w:pStyle w:val="TableText"/>
              <w:jc w:val="right"/>
            </w:pPr>
            <w:r w:rsidRPr="00D63217">
              <w:t>40</w:t>
            </w:r>
          </w:p>
        </w:tc>
        <w:tc>
          <w:tcPr>
            <w:tcW w:w="1236" w:type="dxa"/>
          </w:tcPr>
          <w:p w14:paraId="6087B413" w14:textId="5A879F74" w:rsidR="00B70721" w:rsidRPr="00D63217" w:rsidRDefault="00D1509A" w:rsidP="009B75F2">
            <w:pPr>
              <w:pStyle w:val="TableText"/>
              <w:jc w:val="right"/>
            </w:pPr>
            <w:r w:rsidRPr="00D63217">
              <w:t>100</w:t>
            </w:r>
          </w:p>
        </w:tc>
      </w:tr>
      <w:tr w:rsidR="00C0077E" w:rsidRPr="00D63217" w14:paraId="4F42F0F0" w14:textId="77777777" w:rsidTr="009B75F2">
        <w:tc>
          <w:tcPr>
            <w:tcW w:w="1203" w:type="dxa"/>
          </w:tcPr>
          <w:p w14:paraId="0B6B80AE" w14:textId="77777777" w:rsidR="00B70721" w:rsidRPr="00D63217" w:rsidRDefault="00B70721" w:rsidP="00AF5BA7">
            <w:pPr>
              <w:pStyle w:val="TableText"/>
            </w:pPr>
            <w:r w:rsidRPr="00D63217">
              <w:t>Grass hay</w:t>
            </w:r>
          </w:p>
        </w:tc>
        <w:tc>
          <w:tcPr>
            <w:tcW w:w="1194" w:type="dxa"/>
          </w:tcPr>
          <w:p w14:paraId="36345347" w14:textId="77777777" w:rsidR="00B70721" w:rsidRPr="00D63217" w:rsidRDefault="00B70721" w:rsidP="009B75F2">
            <w:pPr>
              <w:pStyle w:val="TableText"/>
              <w:jc w:val="right"/>
            </w:pPr>
            <w:r w:rsidRPr="00D63217">
              <w:t>AF/AS</w:t>
            </w:r>
          </w:p>
        </w:tc>
        <w:tc>
          <w:tcPr>
            <w:tcW w:w="1199" w:type="dxa"/>
          </w:tcPr>
          <w:p w14:paraId="106B89E3" w14:textId="77777777" w:rsidR="00B70721" w:rsidRPr="00D63217" w:rsidRDefault="00B70721" w:rsidP="009B75F2">
            <w:pPr>
              <w:pStyle w:val="TableText"/>
              <w:jc w:val="right"/>
            </w:pPr>
            <w:r w:rsidRPr="00D63217">
              <w:t>220</w:t>
            </w:r>
          </w:p>
        </w:tc>
        <w:tc>
          <w:tcPr>
            <w:tcW w:w="1197" w:type="dxa"/>
          </w:tcPr>
          <w:p w14:paraId="08957AB2" w14:textId="77777777" w:rsidR="00B70721" w:rsidRPr="00D63217" w:rsidRDefault="00B70721" w:rsidP="009B75F2">
            <w:pPr>
              <w:pStyle w:val="TableText"/>
              <w:jc w:val="right"/>
            </w:pPr>
            <w:r w:rsidRPr="00D63217">
              <w:t>HR</w:t>
            </w:r>
          </w:p>
        </w:tc>
        <w:tc>
          <w:tcPr>
            <w:tcW w:w="1199" w:type="dxa"/>
          </w:tcPr>
          <w:p w14:paraId="6990BF1A" w14:textId="77777777" w:rsidR="00B70721" w:rsidRPr="00D63217" w:rsidRDefault="00B70721" w:rsidP="009B75F2">
            <w:pPr>
              <w:pStyle w:val="TableText"/>
              <w:jc w:val="right"/>
            </w:pPr>
            <w:r w:rsidRPr="00D63217">
              <w:t>100</w:t>
            </w:r>
          </w:p>
        </w:tc>
        <w:tc>
          <w:tcPr>
            <w:tcW w:w="1200" w:type="dxa"/>
          </w:tcPr>
          <w:p w14:paraId="71002A60" w14:textId="77777777" w:rsidR="00B70721" w:rsidRPr="00D63217" w:rsidRDefault="00B70721" w:rsidP="009B75F2">
            <w:pPr>
              <w:pStyle w:val="TableText"/>
              <w:jc w:val="right"/>
            </w:pPr>
            <w:r w:rsidRPr="00D63217">
              <w:t>220.0</w:t>
            </w:r>
          </w:p>
        </w:tc>
        <w:tc>
          <w:tcPr>
            <w:tcW w:w="1200" w:type="dxa"/>
          </w:tcPr>
          <w:p w14:paraId="2E668E3A" w14:textId="4331C764" w:rsidR="00B70721" w:rsidRPr="00D63217" w:rsidRDefault="00D1509A" w:rsidP="009B75F2">
            <w:pPr>
              <w:pStyle w:val="TableText"/>
              <w:jc w:val="right"/>
            </w:pPr>
            <w:r w:rsidRPr="00D63217">
              <w:t>60</w:t>
            </w:r>
          </w:p>
        </w:tc>
        <w:tc>
          <w:tcPr>
            <w:tcW w:w="1236" w:type="dxa"/>
          </w:tcPr>
          <w:p w14:paraId="2F6B0988" w14:textId="676B623D" w:rsidR="00B70721" w:rsidRPr="00D63217" w:rsidRDefault="00D1509A" w:rsidP="009B75F2">
            <w:pPr>
              <w:pStyle w:val="TableText"/>
              <w:jc w:val="right"/>
            </w:pPr>
            <w:r w:rsidRPr="00D63217">
              <w:t>132</w:t>
            </w:r>
          </w:p>
        </w:tc>
      </w:tr>
      <w:tr w:rsidR="00C0077E" w:rsidRPr="00D63217" w14:paraId="14E23028" w14:textId="77777777" w:rsidTr="009B75F2">
        <w:tc>
          <w:tcPr>
            <w:tcW w:w="1203" w:type="dxa"/>
          </w:tcPr>
          <w:p w14:paraId="5D435AED" w14:textId="36642695" w:rsidR="00B70721" w:rsidRPr="00D63217" w:rsidRDefault="00B70721" w:rsidP="00AF5BA7">
            <w:pPr>
              <w:pStyle w:val="TableText"/>
            </w:pPr>
            <w:r w:rsidRPr="00D63217">
              <w:t xml:space="preserve">Potato </w:t>
            </w:r>
            <w:r w:rsidR="009B75F2" w:rsidRPr="00D63217">
              <w:t>c</w:t>
            </w:r>
            <w:r w:rsidRPr="00D63217">
              <w:t>ulls</w:t>
            </w:r>
          </w:p>
        </w:tc>
        <w:tc>
          <w:tcPr>
            <w:tcW w:w="1194" w:type="dxa"/>
          </w:tcPr>
          <w:p w14:paraId="7C0428E2" w14:textId="77777777" w:rsidR="00B70721" w:rsidRPr="00D63217" w:rsidRDefault="00B70721" w:rsidP="009B75F2">
            <w:pPr>
              <w:pStyle w:val="TableText"/>
              <w:jc w:val="right"/>
            </w:pPr>
            <w:r w:rsidRPr="00D63217">
              <w:t>VR</w:t>
            </w:r>
          </w:p>
        </w:tc>
        <w:tc>
          <w:tcPr>
            <w:tcW w:w="1199" w:type="dxa"/>
          </w:tcPr>
          <w:p w14:paraId="46A170CB" w14:textId="77777777" w:rsidR="00B70721" w:rsidRPr="00D63217" w:rsidRDefault="00B70721" w:rsidP="009B75F2">
            <w:pPr>
              <w:pStyle w:val="TableText"/>
              <w:jc w:val="right"/>
            </w:pPr>
            <w:r w:rsidRPr="00D63217">
              <w:t>0.09</w:t>
            </w:r>
          </w:p>
        </w:tc>
        <w:tc>
          <w:tcPr>
            <w:tcW w:w="1197" w:type="dxa"/>
          </w:tcPr>
          <w:p w14:paraId="3A70FDFA" w14:textId="77777777" w:rsidR="00B70721" w:rsidRPr="00D63217" w:rsidRDefault="00B70721" w:rsidP="009B75F2">
            <w:pPr>
              <w:pStyle w:val="TableText"/>
              <w:jc w:val="right"/>
            </w:pPr>
            <w:r w:rsidRPr="00D63217">
              <w:t>HR</w:t>
            </w:r>
          </w:p>
        </w:tc>
        <w:tc>
          <w:tcPr>
            <w:tcW w:w="1199" w:type="dxa"/>
          </w:tcPr>
          <w:p w14:paraId="1BCC3EAF" w14:textId="77777777" w:rsidR="00B70721" w:rsidRPr="00D63217" w:rsidRDefault="00B70721" w:rsidP="009B75F2">
            <w:pPr>
              <w:pStyle w:val="TableText"/>
              <w:jc w:val="right"/>
            </w:pPr>
            <w:r w:rsidRPr="00D63217">
              <w:t>20</w:t>
            </w:r>
          </w:p>
        </w:tc>
        <w:tc>
          <w:tcPr>
            <w:tcW w:w="1200" w:type="dxa"/>
          </w:tcPr>
          <w:p w14:paraId="058D7168" w14:textId="77777777" w:rsidR="00B70721" w:rsidRPr="00D63217" w:rsidRDefault="00B70721" w:rsidP="009B75F2">
            <w:pPr>
              <w:pStyle w:val="TableText"/>
              <w:jc w:val="right"/>
            </w:pPr>
            <w:r w:rsidRPr="00D63217">
              <w:t>0.45</w:t>
            </w:r>
          </w:p>
        </w:tc>
        <w:tc>
          <w:tcPr>
            <w:tcW w:w="1200" w:type="dxa"/>
          </w:tcPr>
          <w:p w14:paraId="1E444E3E" w14:textId="77777777" w:rsidR="00B70721" w:rsidRPr="00D63217" w:rsidRDefault="00B70721" w:rsidP="009B75F2">
            <w:pPr>
              <w:pStyle w:val="TableText"/>
              <w:jc w:val="right"/>
            </w:pPr>
          </w:p>
        </w:tc>
        <w:tc>
          <w:tcPr>
            <w:tcW w:w="1236" w:type="dxa"/>
          </w:tcPr>
          <w:p w14:paraId="3D7A617D" w14:textId="77777777" w:rsidR="00B70721" w:rsidRPr="00D63217" w:rsidRDefault="00B70721" w:rsidP="009B75F2">
            <w:pPr>
              <w:pStyle w:val="TableText"/>
              <w:jc w:val="right"/>
            </w:pPr>
          </w:p>
        </w:tc>
      </w:tr>
      <w:tr w:rsidR="00C0077E" w:rsidRPr="00D63217" w14:paraId="020A47D5" w14:textId="77777777" w:rsidTr="009B75F2">
        <w:tc>
          <w:tcPr>
            <w:tcW w:w="1203" w:type="dxa"/>
          </w:tcPr>
          <w:p w14:paraId="36B85FE5" w14:textId="5C6F1CFF" w:rsidR="00B70721" w:rsidRPr="00D63217" w:rsidRDefault="00B70721" w:rsidP="00AF5BA7">
            <w:pPr>
              <w:pStyle w:val="TableText"/>
            </w:pPr>
            <w:r w:rsidRPr="00D63217">
              <w:t>Sorghum grain</w:t>
            </w:r>
          </w:p>
        </w:tc>
        <w:tc>
          <w:tcPr>
            <w:tcW w:w="1194" w:type="dxa"/>
          </w:tcPr>
          <w:p w14:paraId="5A43A497" w14:textId="77777777" w:rsidR="00B70721" w:rsidRPr="00D63217" w:rsidRDefault="00B70721" w:rsidP="009B75F2">
            <w:pPr>
              <w:pStyle w:val="TableText"/>
              <w:jc w:val="right"/>
            </w:pPr>
            <w:r w:rsidRPr="00D63217">
              <w:t>GC</w:t>
            </w:r>
          </w:p>
        </w:tc>
        <w:tc>
          <w:tcPr>
            <w:tcW w:w="1199" w:type="dxa"/>
          </w:tcPr>
          <w:p w14:paraId="700E0ADF" w14:textId="77777777" w:rsidR="00B70721" w:rsidRPr="00D63217" w:rsidRDefault="00B70721" w:rsidP="009B75F2">
            <w:pPr>
              <w:pStyle w:val="TableText"/>
              <w:jc w:val="right"/>
            </w:pPr>
            <w:r w:rsidRPr="00D63217">
              <w:t>0.05</w:t>
            </w:r>
          </w:p>
        </w:tc>
        <w:tc>
          <w:tcPr>
            <w:tcW w:w="1197" w:type="dxa"/>
          </w:tcPr>
          <w:p w14:paraId="65C3FAEE" w14:textId="77777777" w:rsidR="00B70721" w:rsidRPr="00D63217" w:rsidRDefault="00B70721" w:rsidP="009B75F2">
            <w:pPr>
              <w:pStyle w:val="TableText"/>
              <w:jc w:val="right"/>
            </w:pPr>
            <w:r w:rsidRPr="00D63217">
              <w:t>STMR</w:t>
            </w:r>
          </w:p>
        </w:tc>
        <w:tc>
          <w:tcPr>
            <w:tcW w:w="1199" w:type="dxa"/>
          </w:tcPr>
          <w:p w14:paraId="2A7E6849" w14:textId="77777777" w:rsidR="00B70721" w:rsidRPr="00D63217" w:rsidRDefault="00B70721" w:rsidP="009B75F2">
            <w:pPr>
              <w:pStyle w:val="TableText"/>
              <w:jc w:val="right"/>
            </w:pPr>
            <w:r w:rsidRPr="00D63217">
              <w:t>86</w:t>
            </w:r>
          </w:p>
        </w:tc>
        <w:tc>
          <w:tcPr>
            <w:tcW w:w="1200" w:type="dxa"/>
          </w:tcPr>
          <w:p w14:paraId="4E737A9B" w14:textId="77777777" w:rsidR="00B70721" w:rsidRPr="00D63217" w:rsidRDefault="00B70721" w:rsidP="009B75F2">
            <w:pPr>
              <w:pStyle w:val="TableText"/>
              <w:jc w:val="right"/>
            </w:pPr>
            <w:r w:rsidRPr="00D63217">
              <w:t>0.06</w:t>
            </w:r>
          </w:p>
        </w:tc>
        <w:tc>
          <w:tcPr>
            <w:tcW w:w="1200" w:type="dxa"/>
          </w:tcPr>
          <w:p w14:paraId="3F336E17" w14:textId="5E814ACE" w:rsidR="00B70721" w:rsidRPr="00D63217" w:rsidRDefault="00B70721" w:rsidP="009B75F2">
            <w:pPr>
              <w:pStyle w:val="TableText"/>
              <w:jc w:val="right"/>
            </w:pPr>
          </w:p>
        </w:tc>
        <w:tc>
          <w:tcPr>
            <w:tcW w:w="1236" w:type="dxa"/>
          </w:tcPr>
          <w:p w14:paraId="331343C5" w14:textId="0F8438BC" w:rsidR="00B70721" w:rsidRPr="00D63217" w:rsidRDefault="00B70721" w:rsidP="009B75F2">
            <w:pPr>
              <w:pStyle w:val="TableText"/>
              <w:jc w:val="right"/>
            </w:pPr>
          </w:p>
        </w:tc>
      </w:tr>
      <w:tr w:rsidR="00C0077E" w:rsidRPr="00D63217" w14:paraId="201B6A72" w14:textId="77777777" w:rsidTr="009B75F2">
        <w:tc>
          <w:tcPr>
            <w:tcW w:w="1203" w:type="dxa"/>
          </w:tcPr>
          <w:p w14:paraId="0B00DA24" w14:textId="77777777" w:rsidR="00B70721" w:rsidRPr="00D63217" w:rsidRDefault="00B70721" w:rsidP="00AF5BA7">
            <w:pPr>
              <w:pStyle w:val="TableText"/>
            </w:pPr>
            <w:r w:rsidRPr="00D63217">
              <w:t>Total</w:t>
            </w:r>
          </w:p>
        </w:tc>
        <w:tc>
          <w:tcPr>
            <w:tcW w:w="1194" w:type="dxa"/>
          </w:tcPr>
          <w:p w14:paraId="3ABD587E" w14:textId="77777777" w:rsidR="00B70721" w:rsidRPr="00D63217" w:rsidRDefault="00B70721" w:rsidP="009B75F2">
            <w:pPr>
              <w:pStyle w:val="TableText"/>
              <w:jc w:val="right"/>
            </w:pPr>
          </w:p>
        </w:tc>
        <w:tc>
          <w:tcPr>
            <w:tcW w:w="1199" w:type="dxa"/>
          </w:tcPr>
          <w:p w14:paraId="0CF8A335" w14:textId="77777777" w:rsidR="00B70721" w:rsidRPr="00D63217" w:rsidRDefault="00B70721" w:rsidP="009B75F2">
            <w:pPr>
              <w:pStyle w:val="TableText"/>
              <w:jc w:val="right"/>
            </w:pPr>
          </w:p>
        </w:tc>
        <w:tc>
          <w:tcPr>
            <w:tcW w:w="1197" w:type="dxa"/>
          </w:tcPr>
          <w:p w14:paraId="3999DC08" w14:textId="77777777" w:rsidR="00B70721" w:rsidRPr="00D63217" w:rsidRDefault="00B70721" w:rsidP="009B75F2">
            <w:pPr>
              <w:pStyle w:val="TableText"/>
              <w:jc w:val="right"/>
            </w:pPr>
          </w:p>
        </w:tc>
        <w:tc>
          <w:tcPr>
            <w:tcW w:w="1199" w:type="dxa"/>
          </w:tcPr>
          <w:p w14:paraId="5E9AE616" w14:textId="77777777" w:rsidR="00B70721" w:rsidRPr="00D63217" w:rsidRDefault="00B70721" w:rsidP="009B75F2">
            <w:pPr>
              <w:pStyle w:val="TableText"/>
              <w:jc w:val="right"/>
            </w:pPr>
          </w:p>
        </w:tc>
        <w:tc>
          <w:tcPr>
            <w:tcW w:w="1200" w:type="dxa"/>
          </w:tcPr>
          <w:p w14:paraId="7779C942" w14:textId="77777777" w:rsidR="00B70721" w:rsidRPr="00D63217" w:rsidRDefault="00B70721" w:rsidP="009B75F2">
            <w:pPr>
              <w:pStyle w:val="TableText"/>
              <w:jc w:val="right"/>
            </w:pPr>
          </w:p>
        </w:tc>
        <w:tc>
          <w:tcPr>
            <w:tcW w:w="1200" w:type="dxa"/>
          </w:tcPr>
          <w:p w14:paraId="162ADF11" w14:textId="77777777" w:rsidR="00B70721" w:rsidRPr="00D63217" w:rsidRDefault="00B70721" w:rsidP="009B75F2">
            <w:pPr>
              <w:pStyle w:val="TableText"/>
              <w:jc w:val="right"/>
            </w:pPr>
            <w:r w:rsidRPr="00D63217">
              <w:t>100</w:t>
            </w:r>
          </w:p>
        </w:tc>
        <w:tc>
          <w:tcPr>
            <w:tcW w:w="1236" w:type="dxa"/>
          </w:tcPr>
          <w:p w14:paraId="05BC4CD8" w14:textId="4D639B80" w:rsidR="00B70721" w:rsidRPr="00D63217" w:rsidRDefault="00D1509A" w:rsidP="009B75F2">
            <w:pPr>
              <w:pStyle w:val="TableText"/>
              <w:jc w:val="right"/>
            </w:pPr>
            <w:r w:rsidRPr="00D63217">
              <w:t>232</w:t>
            </w:r>
          </w:p>
        </w:tc>
      </w:tr>
    </w:tbl>
    <w:bookmarkEnd w:id="342"/>
    <w:p w14:paraId="000860C1" w14:textId="77777777" w:rsidR="00D901C7" w:rsidRDefault="00B20878" w:rsidP="009B75F2">
      <w:pPr>
        <w:pStyle w:val="NormalText"/>
      </w:pPr>
      <w:r w:rsidRPr="00D63217">
        <w:t>Metabolism studies in the cow, goat, sheep and pig indicated that paraquat was not readily metabolised but was rapidly eliminated, mainly in the faeces with a very small amount in the urine</w:t>
      </w:r>
      <w:r w:rsidR="007750B9" w:rsidRPr="00D63217">
        <w:t xml:space="preserve"> </w:t>
      </w:r>
      <w:r w:rsidR="00D96147" w:rsidRPr="00D63217">
        <w:t>(</w:t>
      </w:r>
      <w:r w:rsidR="007750B9" w:rsidRPr="00D63217">
        <w:t>Toral and Kay, 1964</w:t>
      </w:r>
      <w:r w:rsidR="00D96147" w:rsidRPr="00D63217">
        <w:t>;</w:t>
      </w:r>
      <w:r w:rsidR="007750B9" w:rsidRPr="00D63217">
        <w:t xml:space="preserve"> Sarfety</w:t>
      </w:r>
      <w:r w:rsidR="00D96147" w:rsidRPr="00D63217">
        <w:t>,</w:t>
      </w:r>
      <w:r w:rsidR="007750B9" w:rsidRPr="00D63217">
        <w:t xml:space="preserve"> 1963</w:t>
      </w:r>
      <w:r w:rsidR="00D96147" w:rsidRPr="00D63217">
        <w:t>)</w:t>
      </w:r>
      <w:r w:rsidRPr="00D63217">
        <w:t>.</w:t>
      </w:r>
      <w:r w:rsidR="009B75F2" w:rsidRPr="00D63217">
        <w:t xml:space="preserve"> </w:t>
      </w:r>
      <w:r w:rsidRPr="00D63217">
        <w:t>Highest tissue residues were generally seen in the kidney then liver then muscle. There was very little in the fat. Single oral dosing at 8 mg/kg to cows found 0.005 ppm in the milk with paraquat, monoquat and the monopyridone of paraquat all present at 0.01 ppm or less.</w:t>
      </w:r>
    </w:p>
    <w:p w14:paraId="498C17E2" w14:textId="23FB701A" w:rsidR="00B20878" w:rsidRPr="00D63217" w:rsidRDefault="00B20878" w:rsidP="009B75F2">
      <w:pPr>
        <w:pStyle w:val="NormalText"/>
      </w:pPr>
      <w:r w:rsidRPr="00D63217">
        <w:lastRenderedPageBreak/>
        <w:t xml:space="preserve">Dosing over </w:t>
      </w:r>
      <w:r w:rsidR="004128B4" w:rsidRPr="00D63217">
        <w:t>3</w:t>
      </w:r>
      <w:r w:rsidRPr="00D63217">
        <w:t xml:space="preserve"> consecutive days found a maximum of 0.01 mg/kg in the milk, but chemical analysis did not detect any parent paraquat (limit of determination 0.005 mg/kg). Goats dosed over 7 days demonstrated increasing milk residues to a maximum of 0.009 mg/kg</w:t>
      </w:r>
      <w:r w:rsidR="00D96147" w:rsidRPr="00D63217">
        <w:t xml:space="preserve"> (Hendley et al, 1976</w:t>
      </w:r>
      <w:r w:rsidR="009860C4" w:rsidRPr="00D63217">
        <w:t>(a)</w:t>
      </w:r>
      <w:r w:rsidR="00D96147" w:rsidRPr="00D63217">
        <w:t>)</w:t>
      </w:r>
      <w:r w:rsidRPr="00D63217">
        <w:t>.</w:t>
      </w:r>
    </w:p>
    <w:p w14:paraId="3CDF9528" w14:textId="6768DBF0" w:rsidR="00B20878" w:rsidRPr="00D63217" w:rsidRDefault="00B20878" w:rsidP="00306C6F">
      <w:pPr>
        <w:pStyle w:val="NormalText"/>
      </w:pPr>
      <w:r w:rsidRPr="00D63217">
        <w:t>Five feeding trials with cattle were submitted. Three were trials where cattle grazed treated pasture and hence were exposed to decreasing residue intakes over time though initial residues were high (up to 1000 ppm). The pasture applications were at rates double the maximum label rate for pastures.</w:t>
      </w:r>
    </w:p>
    <w:p w14:paraId="6B950653" w14:textId="10445A2F" w:rsidR="00B20878" w:rsidRPr="00D63217" w:rsidRDefault="00B20878" w:rsidP="00306C6F">
      <w:pPr>
        <w:pStyle w:val="NormalText"/>
      </w:pPr>
      <w:r w:rsidRPr="00D63217">
        <w:t>Feeding studies concentrations up to 100 ppm for 30 days and at feed concentrations up to 170 ppm for 95 days found milk residues to be 0.001 mg/kg or less, offal residues were 0.3 mg/kg or less and muscle residues were less than 0.03 mg/kg. Pasture trials did not detect paraquat in milk or muscle. Residues in offal were mainly seen in the kidney with the highest residue being 0.16 mg/kg. Residues up to 72 mg/kg were seen in the digestive tract but this was due to the presence of treated fodder</w:t>
      </w:r>
      <w:r w:rsidR="00D96147" w:rsidRPr="00D63217">
        <w:t xml:space="preserve"> (Sarfety, 1963; Edwards at al, 1974; Walley et al, 1966; Calderbank et al, 1966; Calderbank et al, 1968; Litchfield, 1969; Edwards, 1977; Anon., 1985)</w:t>
      </w:r>
      <w:r w:rsidRPr="00D63217">
        <w:t>.</w:t>
      </w:r>
    </w:p>
    <w:p w14:paraId="2F5132DC" w14:textId="294467A3" w:rsidR="00B20878" w:rsidRPr="00D63217" w:rsidRDefault="00B20878" w:rsidP="00306C6F">
      <w:pPr>
        <w:pStyle w:val="NormalText"/>
      </w:pPr>
      <w:r w:rsidRPr="00D63217">
        <w:t>Residue studies with pasture grasses and legumes have indicated that the maximum residue limit should be set at 500 mg/kg DM. The HR was 250 mg/kg (dw) in legume animal feeds (trefoil fodder and forage). This MRL will be set on a use pattern based on pasture spraying with subsequent grazing. Under this setting, the pasture residues would decrease with time as indicated in the pasture trials.</w:t>
      </w:r>
    </w:p>
    <w:p w14:paraId="2F5C8F8E" w14:textId="369033E2" w:rsidR="00B20878" w:rsidRPr="00D63217" w:rsidRDefault="00B20878" w:rsidP="00306C6F">
      <w:pPr>
        <w:pStyle w:val="NormalText"/>
      </w:pPr>
      <w:r w:rsidRPr="00D63217">
        <w:t>Current MRLs for meat (mammalian) are *0.05, for edible offal (mammalian) are 0.5 and for milks are *0.01 mg/kg. Data from the animal transfer studies indicate that a dietary intake of 460 to 1030 ppm as an initial pasture residue would not exceed current MRLs for milks. Meat and offal residues would not exceed the current MRLs under such a feeding regime. Data from the other animal transfer studies indicated that cattle can be fed diets containing up to 170 ppm paraquat ion on a daily basis without exceeding current MRLs. The submitted studies have indicated the depletion of residues once access to paraquat has ceased with no residues were observed in tissues after a depuration period of 12-13 days.</w:t>
      </w:r>
    </w:p>
    <w:p w14:paraId="3C079E06" w14:textId="77777777" w:rsidR="00B20878" w:rsidRPr="00D63217" w:rsidRDefault="00B20878" w:rsidP="00306C6F">
      <w:pPr>
        <w:pStyle w:val="NormalText"/>
      </w:pPr>
      <w:r w:rsidRPr="00D63217">
        <w:t>It is concluded that the following mammalian commodity MRLs which are currently in the MRL standard remain appropriate:</w:t>
      </w:r>
    </w:p>
    <w:p w14:paraId="1AAC5C55" w14:textId="7EEE297B" w:rsidR="00B20878" w:rsidRPr="00D63217" w:rsidRDefault="00B20878" w:rsidP="00306C6F">
      <w:pPr>
        <w:pStyle w:val="NormalText"/>
      </w:pPr>
      <w:r w:rsidRPr="00D63217">
        <w:tab/>
        <w:t>MO 0105 Edible offal (mammalian)</w:t>
      </w:r>
      <w:r w:rsidRPr="00D63217">
        <w:tab/>
      </w:r>
      <w:r w:rsidRPr="00D63217">
        <w:tab/>
      </w:r>
      <w:r w:rsidR="00B80806" w:rsidRPr="00D63217">
        <w:tab/>
      </w:r>
      <w:r w:rsidR="00B80806" w:rsidRPr="00D63217">
        <w:tab/>
      </w:r>
      <w:r w:rsidR="00B80806" w:rsidRPr="00D63217">
        <w:tab/>
      </w:r>
      <w:r w:rsidR="000443D8">
        <w:tab/>
      </w:r>
      <w:r w:rsidRPr="00D63217">
        <w:t>0.5 mg/kg</w:t>
      </w:r>
    </w:p>
    <w:p w14:paraId="615EDA2E" w14:textId="1ACDB2A3" w:rsidR="00B20878" w:rsidRPr="00D63217" w:rsidRDefault="00B20878" w:rsidP="00306C6F">
      <w:pPr>
        <w:pStyle w:val="NormalText"/>
      </w:pPr>
      <w:r w:rsidRPr="00D63217">
        <w:tab/>
        <w:t>MM 0095 Meat (mammalian)</w:t>
      </w:r>
      <w:r w:rsidRPr="00D63217">
        <w:tab/>
      </w:r>
      <w:r w:rsidRPr="00D63217">
        <w:tab/>
      </w:r>
      <w:r w:rsidRPr="00D63217">
        <w:tab/>
      </w:r>
      <w:r w:rsidR="00B80806" w:rsidRPr="00D63217">
        <w:tab/>
      </w:r>
      <w:r w:rsidR="00B80806" w:rsidRPr="00D63217">
        <w:tab/>
      </w:r>
      <w:r w:rsidR="00B80806" w:rsidRPr="00D63217">
        <w:tab/>
      </w:r>
      <w:r w:rsidR="00883B13">
        <w:tab/>
      </w:r>
      <w:r w:rsidRPr="00D63217">
        <w:t>*0.05 mg/kg</w:t>
      </w:r>
    </w:p>
    <w:p w14:paraId="0EE5047C" w14:textId="5A79872A" w:rsidR="00B20878" w:rsidRPr="00D63217" w:rsidRDefault="00B20878" w:rsidP="00306C6F">
      <w:pPr>
        <w:pStyle w:val="NormalText"/>
      </w:pPr>
      <w:r w:rsidRPr="00D63217">
        <w:tab/>
        <w:t>ML 0106 Milks</w:t>
      </w:r>
      <w:r w:rsidRPr="00D63217">
        <w:tab/>
      </w:r>
      <w:r w:rsidRPr="00D63217">
        <w:tab/>
      </w:r>
      <w:r w:rsidRPr="00D63217">
        <w:tab/>
      </w:r>
      <w:r w:rsidRPr="00D63217">
        <w:tab/>
      </w:r>
      <w:r w:rsidR="00B80806" w:rsidRPr="00D63217">
        <w:tab/>
      </w:r>
      <w:r w:rsidR="00B80806" w:rsidRPr="00D63217">
        <w:tab/>
      </w:r>
      <w:r w:rsidR="00B80806" w:rsidRPr="00D63217">
        <w:tab/>
      </w:r>
      <w:r w:rsidR="00306C6F" w:rsidRPr="00D63217">
        <w:tab/>
      </w:r>
      <w:r w:rsidR="000443D8">
        <w:tab/>
      </w:r>
      <w:r w:rsidRPr="00D63217">
        <w:t>*0.05 mg/kg</w:t>
      </w:r>
    </w:p>
    <w:p w14:paraId="5C8A8B7F" w14:textId="3F21926B" w:rsidR="00B20878" w:rsidRPr="00D63217" w:rsidRDefault="00B20878" w:rsidP="00306C6F">
      <w:pPr>
        <w:pStyle w:val="NormalText"/>
      </w:pPr>
      <w:r w:rsidRPr="00D63217">
        <w:t xml:space="preserve">As residues in tissues will meet current MRLs without the requirement for a slaughter (clean feed) interval, the 3 day slaughter interval </w:t>
      </w:r>
      <w:r w:rsidR="000A2CEE" w:rsidRPr="00D63217">
        <w:t xml:space="preserve">can </w:t>
      </w:r>
      <w:r w:rsidRPr="00D63217">
        <w:t>be removed from the grazing WHP statement. A one day grazing withholding period remains appropriate for livestock other than horses.</w:t>
      </w:r>
    </w:p>
    <w:p w14:paraId="59454BF7" w14:textId="1AADCF1C" w:rsidR="00B20878" w:rsidRPr="00D63217" w:rsidRDefault="00B20878" w:rsidP="00306C6F">
      <w:pPr>
        <w:pStyle w:val="NormalText"/>
      </w:pPr>
      <w:r w:rsidRPr="00D63217">
        <w:t xml:space="preserve">In relation to the slaughter (clean feed) interval, it is noted that residues in kidney plateaued at higher </w:t>
      </w:r>
      <w:r w:rsidR="000A2CEE" w:rsidRPr="00D63217">
        <w:t>levels than in tissue.</w:t>
      </w:r>
      <w:r w:rsidRPr="00D63217">
        <w:t xml:space="preserve"> The HR in kidney after feeding at 170 ppm was 0.24 mg/kg. The estimated residue in kidney from feeding at the dietary burden for beef cattle of 250 ppm is 0.35 mg/kg. Residues in kidney were &lt;0.04 mg/kg after 12 days on clean feed, the first sampling point after initial feeding at 170 ppm. The estimated half-life in kidney is therefore ≤4.64 days. It would take ≤13 days for the estimated kidney residue of 0.35 mg/kg to decline to the Codex mammalian offal MRL of 0.05 mg/kg.</w:t>
      </w:r>
    </w:p>
    <w:p w14:paraId="1AE2BB89" w14:textId="05FADF14" w:rsidR="00B20878" w:rsidRPr="00D63217" w:rsidRDefault="00B20878" w:rsidP="00306C6F">
      <w:pPr>
        <w:pStyle w:val="NormalText"/>
      </w:pPr>
      <w:r w:rsidRPr="00D63217">
        <w:lastRenderedPageBreak/>
        <w:t>To prevent an undue risk to international trade, it is considered appropriate to conduct a contemporary assessment of an Export Slaughter Interval (ESI) noting MRLs for animal commodities are not established in the EU and Korea, and that the Codex Edible offal (mammalian) MRL is 0.05 mg/kg (see Section 4). The available data suggests that after 13 days on clean feed, paraquat residues in kidney should be below 0.05 mg/kg, which is the Codex MRL. A 13 day ESI is recommended to prevent an undue risk to international trade of mammalian offal.</w:t>
      </w:r>
    </w:p>
    <w:p w14:paraId="1C8F3443" w14:textId="77777777" w:rsidR="00B20878" w:rsidRPr="00D63217" w:rsidRDefault="00B20878" w:rsidP="00306C6F">
      <w:pPr>
        <w:pStyle w:val="NormalText"/>
      </w:pPr>
      <w:r w:rsidRPr="00D63217">
        <w:t>The following label statements are appropriate:</w:t>
      </w:r>
    </w:p>
    <w:p w14:paraId="0131B85C" w14:textId="77777777" w:rsidR="00B20878" w:rsidRPr="00D63217" w:rsidRDefault="00B20878" w:rsidP="00306C6F">
      <w:pPr>
        <w:pStyle w:val="NormalText"/>
        <w:ind w:firstLine="567"/>
      </w:pPr>
      <w:r w:rsidRPr="00D63217">
        <w:t>LIVESTOCK DESTINED FOR EXPORT MARKETS</w:t>
      </w:r>
    </w:p>
    <w:p w14:paraId="6B7A6574" w14:textId="77777777" w:rsidR="00B20878" w:rsidRPr="00D63217" w:rsidRDefault="00B20878" w:rsidP="00306C6F">
      <w:pPr>
        <w:pStyle w:val="NormalText"/>
        <w:ind w:left="567"/>
      </w:pPr>
      <w:r w:rsidRPr="00D63217">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11F278EA" w14:textId="77777777" w:rsidR="00B20878" w:rsidRPr="00D63217" w:rsidRDefault="00B20878" w:rsidP="00306C6F">
      <w:pPr>
        <w:pStyle w:val="NormalText"/>
        <w:ind w:firstLine="567"/>
      </w:pPr>
      <w:r w:rsidRPr="00D63217">
        <w:t>EXPORT SLAUGHTER INTERVAL (ESI) 13 DAYS</w:t>
      </w:r>
    </w:p>
    <w:p w14:paraId="1E155CDC" w14:textId="77777777" w:rsidR="00B20878" w:rsidRPr="00D63217" w:rsidRDefault="00B20878" w:rsidP="00306C6F">
      <w:pPr>
        <w:pStyle w:val="NormalText"/>
        <w:ind w:left="567"/>
      </w:pPr>
      <w:r w:rsidRPr="00D63217">
        <w:t>Livestock that has grazed on or been fed treated crops should be placed on clean feed for 13 days prior to slaughter</w:t>
      </w:r>
    </w:p>
    <w:p w14:paraId="4A30F4D9" w14:textId="5425EEE0" w:rsidR="00130AB3" w:rsidRPr="00D901C7" w:rsidRDefault="00F06860" w:rsidP="00D901C7">
      <w:pPr>
        <w:pStyle w:val="Heading2"/>
      </w:pPr>
      <w:bookmarkStart w:id="343" w:name="_Toc89488093"/>
      <w:bookmarkStart w:id="344" w:name="_Toc89501503"/>
      <w:bookmarkStart w:id="345" w:name="_Toc89676037"/>
      <w:bookmarkStart w:id="346" w:name="_Toc89684506"/>
      <w:bookmarkStart w:id="347" w:name="_Toc89829964"/>
      <w:bookmarkStart w:id="348" w:name="_Toc157628260"/>
      <w:bookmarkStart w:id="349" w:name="_Toc64425221"/>
      <w:bookmarkStart w:id="350" w:name="_Toc89488091"/>
      <w:bookmarkStart w:id="351" w:name="_Toc89501501"/>
      <w:r w:rsidRPr="00D901C7">
        <w:t xml:space="preserve"> </w:t>
      </w:r>
      <w:r w:rsidRPr="00D901C7">
        <w:tab/>
      </w:r>
      <w:bookmarkStart w:id="352" w:name="_Toc231480889"/>
      <w:bookmarkStart w:id="353" w:name="_Toc233036441"/>
      <w:r w:rsidR="00130AB3" w:rsidRPr="00D901C7">
        <w:t>Crop rotation</w:t>
      </w:r>
      <w:bookmarkEnd w:id="343"/>
      <w:bookmarkEnd w:id="344"/>
      <w:bookmarkEnd w:id="345"/>
      <w:bookmarkEnd w:id="346"/>
      <w:bookmarkEnd w:id="347"/>
      <w:bookmarkEnd w:id="348"/>
      <w:bookmarkEnd w:id="352"/>
      <w:bookmarkEnd w:id="353"/>
    </w:p>
    <w:bookmarkEnd w:id="349"/>
    <w:bookmarkEnd w:id="350"/>
    <w:bookmarkEnd w:id="351"/>
    <w:p w14:paraId="262C5D8A" w14:textId="0C557DAD" w:rsidR="00130AB3" w:rsidRPr="00D63217" w:rsidRDefault="00130AB3" w:rsidP="00130AB3">
      <w:pPr>
        <w:pStyle w:val="NormalText"/>
      </w:pPr>
      <w:r w:rsidRPr="00D63217">
        <w:t xml:space="preserve">Studies undertaken with radiolabelled paraquat applied to soil at 1.3x (1.05 kg </w:t>
      </w:r>
      <w:r w:rsidR="00FC430E" w:rsidRPr="00D63217">
        <w:t>ac/ha</w:t>
      </w:r>
      <w:r w:rsidRPr="00D63217">
        <w:t xml:space="preserve">) and 20x (14.3 – 14.7 kg </w:t>
      </w:r>
      <w:r w:rsidR="00FC430E" w:rsidRPr="00D63217">
        <w:t>ac/ha</w:t>
      </w:r>
      <w:r w:rsidRPr="00D63217">
        <w:t>) maximum label rates in which wheat, lettuce and carrot were subsequently planted indicated that detectable residues would not present in the plant commodities of following crops</w:t>
      </w:r>
      <w:r w:rsidR="00EC0552" w:rsidRPr="00D63217">
        <w:t xml:space="preserve"> (Vickers et al, 1990; Wilkinson, 1980)</w:t>
      </w:r>
      <w:r w:rsidRPr="00D63217">
        <w:t>. Consideration of MRL coverage for following or plant back intervals is not required from a residues perspective.</w:t>
      </w:r>
    </w:p>
    <w:p w14:paraId="102DA8A7" w14:textId="1AC7C4AF" w:rsidR="00130AB3" w:rsidRPr="00D901C7" w:rsidRDefault="00F06860" w:rsidP="00D901C7">
      <w:pPr>
        <w:pStyle w:val="Heading2"/>
      </w:pPr>
      <w:bookmarkStart w:id="354" w:name="_Toc157628261"/>
      <w:r w:rsidRPr="00D901C7">
        <w:t xml:space="preserve"> </w:t>
      </w:r>
      <w:r w:rsidRPr="00D901C7">
        <w:tab/>
      </w:r>
      <w:bookmarkStart w:id="355" w:name="_Toc231480890"/>
      <w:bookmarkStart w:id="356" w:name="_Toc233036442"/>
      <w:r w:rsidR="00130AB3" w:rsidRPr="00D901C7">
        <w:t>Spray drift</w:t>
      </w:r>
      <w:bookmarkEnd w:id="354"/>
      <w:r w:rsidR="000443D8" w:rsidRPr="00D901C7">
        <w:t xml:space="preserve"> for livestock areas</w:t>
      </w:r>
      <w:bookmarkEnd w:id="355"/>
      <w:bookmarkEnd w:id="356"/>
    </w:p>
    <w:p w14:paraId="51B6FD73" w14:textId="33656967" w:rsidR="00130AB3" w:rsidRPr="00D63217" w:rsidRDefault="00130AB3" w:rsidP="00130AB3">
      <w:pPr>
        <w:pStyle w:val="NormalText"/>
      </w:pPr>
      <w:r w:rsidRPr="00D63217">
        <w:t xml:space="preserve">Paraquat labels indicate application should be by ground application only. Droplet sizes are often not specified, some labels indicate droplets in the </w:t>
      </w:r>
      <w:r w:rsidR="00A47E5E" w:rsidRPr="00D63217">
        <w:t xml:space="preserve">medium </w:t>
      </w:r>
      <w:r w:rsidRPr="00D63217">
        <w:t>diameter range should be used.</w:t>
      </w:r>
    </w:p>
    <w:p w14:paraId="72189462" w14:textId="39F44DB7" w:rsidR="00130AB3" w:rsidRPr="00D63217" w:rsidRDefault="00130AB3" w:rsidP="00130AB3">
      <w:pPr>
        <w:pStyle w:val="NormalText"/>
      </w:pPr>
      <w:r w:rsidRPr="00D63217">
        <w:t>The Regulatory Acceptable Level (RAL) and the buffer zon</w:t>
      </w:r>
      <w:r w:rsidR="00C247D9" w:rsidRPr="00D63217">
        <w:t>es</w:t>
      </w:r>
      <w:r w:rsidRPr="00D63217">
        <w:t xml:space="preserve"> for livestock areas for the protection of international trade are</w:t>
      </w:r>
      <w:r w:rsidR="00754646" w:rsidRPr="00D63217">
        <w:t xml:space="preserve"> assessed and set by the</w:t>
      </w:r>
      <w:r w:rsidRPr="00D63217">
        <w:t xml:space="preserve"> Residues and Trade section of the APVMA</w:t>
      </w:r>
      <w:r w:rsidR="00754646" w:rsidRPr="00D63217">
        <w:t>.</w:t>
      </w:r>
    </w:p>
    <w:p w14:paraId="3E1380DB" w14:textId="2093A43E" w:rsidR="00C25478" w:rsidRDefault="00130AB3" w:rsidP="00130AB3">
      <w:pPr>
        <w:pStyle w:val="NormalText"/>
      </w:pPr>
      <w:r w:rsidRPr="00D63217">
        <w:t>It is noted that the risk</w:t>
      </w:r>
      <w:r w:rsidR="00754646" w:rsidRPr="00D63217">
        <w:t xml:space="preserve"> through spray drift is</w:t>
      </w:r>
      <w:r w:rsidRPr="00D63217">
        <w:t xml:space="preserve"> only for offal and that appropriate offal MRLs are established in Japan, Taiwan and the USA. However, offal MRLs are not established in the EU or Korea and the Codex Edible offal (mammalian) MRL is at 0.05 mg/kg. In an available dairy cattle transfer study, feeding at 25 ppm gave a high residue of 0.13 mg/kg in kidney. The feeding level for residues in kidney to be at the Codex Edible offal (mammalian) MRL of 0.05 mg/kg is 9.62 ppm</w:t>
      </w:r>
      <w:r w:rsidR="005E37FD">
        <w:t xml:space="preserve"> so the RAL for paraquat</w:t>
      </w:r>
      <w:r w:rsidR="00C25478">
        <w:t xml:space="preserve"> spray drift to livestock areas</w:t>
      </w:r>
      <w:r w:rsidR="005E37FD">
        <w:t xml:space="preserve"> is establi</w:t>
      </w:r>
      <w:r w:rsidR="00C25478">
        <w:t>shed at 9.62 mg/kg.</w:t>
      </w:r>
    </w:p>
    <w:p w14:paraId="3787EECA" w14:textId="1A7BF2FC" w:rsidR="00130AB3" w:rsidRDefault="00C25478" w:rsidP="00130AB3">
      <w:pPr>
        <w:pStyle w:val="NormalText"/>
      </w:pPr>
      <w:r>
        <w:t xml:space="preserve">The RAL for the combination of paraquat plus diquat in products containing both active constituents is </w:t>
      </w:r>
      <w:r w:rsidRPr="00C25478">
        <w:t>adjusted for the combined total active applied but driven by paraquat</w:t>
      </w:r>
      <w:r>
        <w:t xml:space="preserve"> (as the more sensitive endpoint)</w:t>
      </w:r>
      <w:r w:rsidR="00DF0C46">
        <w:t>, resulting in a RAL for the combined actives of 17.8 mg/kg</w:t>
      </w:r>
      <w:r w:rsidR="00130AB3" w:rsidRPr="00D63217">
        <w:t>.</w:t>
      </w:r>
    </w:p>
    <w:p w14:paraId="7A744183" w14:textId="3158C52E" w:rsidR="00130AB3" w:rsidRPr="00D901C7" w:rsidRDefault="00F06860" w:rsidP="00D901C7">
      <w:pPr>
        <w:pStyle w:val="Heading2"/>
      </w:pPr>
      <w:bookmarkStart w:id="357" w:name="_Toc89488095"/>
      <w:bookmarkStart w:id="358" w:name="_Toc89501505"/>
      <w:bookmarkStart w:id="359" w:name="_Toc89676041"/>
      <w:bookmarkStart w:id="360" w:name="_Toc89684511"/>
      <w:bookmarkStart w:id="361" w:name="_Toc89829968"/>
      <w:bookmarkStart w:id="362" w:name="_Toc157628262"/>
      <w:r w:rsidRPr="00D901C7">
        <w:lastRenderedPageBreak/>
        <w:t xml:space="preserve"> </w:t>
      </w:r>
      <w:r w:rsidRPr="00D901C7">
        <w:tab/>
      </w:r>
      <w:bookmarkStart w:id="363" w:name="_Toc231480891"/>
      <w:bookmarkStart w:id="364" w:name="_Toc233036443"/>
      <w:r w:rsidR="00130AB3" w:rsidRPr="00D901C7">
        <w:t>Dietary risk assessment</w:t>
      </w:r>
      <w:bookmarkEnd w:id="357"/>
      <w:bookmarkEnd w:id="358"/>
      <w:bookmarkEnd w:id="359"/>
      <w:bookmarkEnd w:id="360"/>
      <w:bookmarkEnd w:id="361"/>
      <w:bookmarkEnd w:id="362"/>
      <w:bookmarkEnd w:id="363"/>
      <w:bookmarkEnd w:id="364"/>
    </w:p>
    <w:p w14:paraId="59024B01" w14:textId="72C163E0" w:rsidR="00130AB3" w:rsidRPr="00D63217" w:rsidRDefault="00130AB3" w:rsidP="00AB5583">
      <w:pPr>
        <w:pStyle w:val="NormalText"/>
      </w:pPr>
      <w:bookmarkStart w:id="365" w:name="_Toc89676042"/>
      <w:bookmarkStart w:id="366" w:name="_Toc89684512"/>
      <w:bookmarkStart w:id="367" w:name="_Toc89829969"/>
      <w:r w:rsidRPr="00D63217">
        <w:t>The following health standards have been established in the APVMA ADI and ARfD lists, as of 18 December 2023 and by the JMPR (2003).</w:t>
      </w:r>
      <w:r w:rsidR="00DE389B">
        <w:t xml:space="preserve"> The APVMA’s conclusions following consideration of all information received during consultation on the proposed regulatory decisions published on </w:t>
      </w:r>
      <w:r w:rsidR="000973A8">
        <w:t xml:space="preserve">30 July 2024, is that the ADI and ARfD </w:t>
      </w:r>
      <w:r w:rsidR="00A01F9F">
        <w:t xml:space="preserve">established </w:t>
      </w:r>
      <w:r w:rsidR="000973A8">
        <w:t>at 0.004 mg/kg bw are appropriate.</w:t>
      </w:r>
    </w:p>
    <w:p w14:paraId="6843E52E" w14:textId="2D8DC5F3" w:rsidR="00130AB3" w:rsidRPr="00D901C7" w:rsidRDefault="00AB5583" w:rsidP="00D901C7">
      <w:pPr>
        <w:pStyle w:val="Caption"/>
      </w:pPr>
      <w:bookmarkStart w:id="368" w:name="_Toc230692285"/>
      <w:bookmarkStart w:id="369" w:name="_Toc233036506"/>
      <w:r w:rsidRPr="00D901C7">
        <w:t xml:space="preserve">Table </w:t>
      </w:r>
      <w:fldSimple w:instr=" SEQ Table \* ARABIC ">
        <w:r w:rsidR="00D901C7">
          <w:rPr>
            <w:noProof/>
          </w:rPr>
          <w:t>19</w:t>
        </w:r>
      </w:fldSimple>
      <w:r w:rsidRPr="00D901C7">
        <w:t xml:space="preserve">: </w:t>
      </w:r>
      <w:r w:rsidR="00130AB3" w:rsidRPr="00D901C7">
        <w:t>Health Standards established for paraquat</w:t>
      </w:r>
      <w:bookmarkEnd w:id="368"/>
      <w:bookmarkEnd w:id="36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93"/>
        <w:gridCol w:w="1021"/>
        <w:gridCol w:w="2551"/>
        <w:gridCol w:w="1247"/>
        <w:gridCol w:w="1276"/>
      </w:tblGrid>
      <w:tr w:rsidR="00130AB3" w:rsidRPr="00D63217" w14:paraId="7D2599E1" w14:textId="77777777" w:rsidTr="00AB5583">
        <w:trPr>
          <w:cantSplit/>
        </w:trPr>
        <w:tc>
          <w:tcPr>
            <w:tcW w:w="2126" w:type="dxa"/>
            <w:tcBorders>
              <w:bottom w:val="single" w:sz="4" w:space="0" w:color="auto"/>
            </w:tcBorders>
            <w:shd w:val="clear" w:color="auto" w:fill="5C2946"/>
          </w:tcPr>
          <w:p w14:paraId="0FBBF267" w14:textId="77777777" w:rsidR="00130AB3" w:rsidRPr="00D901C7" w:rsidRDefault="00130AB3" w:rsidP="00D901C7">
            <w:pPr>
              <w:pStyle w:val="TableHead"/>
            </w:pPr>
            <w:r w:rsidRPr="00D901C7">
              <w:t>Compound</w:t>
            </w:r>
          </w:p>
        </w:tc>
        <w:tc>
          <w:tcPr>
            <w:tcW w:w="2014" w:type="dxa"/>
            <w:gridSpan w:val="2"/>
            <w:tcBorders>
              <w:bottom w:val="single" w:sz="4" w:space="0" w:color="auto"/>
            </w:tcBorders>
            <w:shd w:val="clear" w:color="auto" w:fill="5C2946"/>
          </w:tcPr>
          <w:p w14:paraId="384F00FB" w14:textId="167B7723" w:rsidR="00130AB3" w:rsidRPr="00D901C7" w:rsidRDefault="00130AB3" w:rsidP="00D901C7">
            <w:pPr>
              <w:pStyle w:val="TableHead"/>
            </w:pPr>
            <w:r w:rsidRPr="00D901C7">
              <w:t xml:space="preserve">Dietary </w:t>
            </w:r>
            <w:r w:rsidR="009B75F2" w:rsidRPr="00D901C7">
              <w:t>s</w:t>
            </w:r>
            <w:r w:rsidRPr="00D901C7">
              <w:t xml:space="preserve">tandard, </w:t>
            </w:r>
            <w:r w:rsidRPr="00D901C7">
              <w:br/>
              <w:t>mg/kg bw</w:t>
            </w:r>
          </w:p>
        </w:tc>
        <w:tc>
          <w:tcPr>
            <w:tcW w:w="2551" w:type="dxa"/>
            <w:tcBorders>
              <w:bottom w:val="single" w:sz="4" w:space="0" w:color="auto"/>
            </w:tcBorders>
            <w:shd w:val="clear" w:color="auto" w:fill="5C2946"/>
          </w:tcPr>
          <w:p w14:paraId="49E5736D" w14:textId="77777777" w:rsidR="00130AB3" w:rsidRPr="00D63217" w:rsidRDefault="00130AB3" w:rsidP="009B75F2">
            <w:pPr>
              <w:pStyle w:val="TableHead"/>
            </w:pPr>
            <w:r w:rsidRPr="00D63217">
              <w:t>No Observable Adverse Effect Level (NOAEL), mg/kg bw</w:t>
            </w:r>
          </w:p>
          <w:p w14:paraId="0289F910" w14:textId="77777777" w:rsidR="00130AB3" w:rsidRPr="00D63217" w:rsidRDefault="00130AB3" w:rsidP="009B75F2">
            <w:pPr>
              <w:pStyle w:val="TableHead"/>
            </w:pPr>
            <w:r w:rsidRPr="00D63217">
              <w:t>(study)</w:t>
            </w:r>
          </w:p>
        </w:tc>
        <w:tc>
          <w:tcPr>
            <w:tcW w:w="1247" w:type="dxa"/>
            <w:tcBorders>
              <w:bottom w:val="single" w:sz="4" w:space="0" w:color="auto"/>
            </w:tcBorders>
            <w:shd w:val="clear" w:color="auto" w:fill="5C2946"/>
          </w:tcPr>
          <w:p w14:paraId="022493D6" w14:textId="19963C7B" w:rsidR="00130AB3" w:rsidRPr="00D63217" w:rsidRDefault="00130AB3" w:rsidP="009B75F2">
            <w:pPr>
              <w:pStyle w:val="TableHead"/>
            </w:pPr>
            <w:r w:rsidRPr="00D63217">
              <w:t xml:space="preserve">Uncertainty </w:t>
            </w:r>
            <w:r w:rsidR="009B75F2" w:rsidRPr="00D63217">
              <w:t>f</w:t>
            </w:r>
            <w:r w:rsidRPr="00D63217">
              <w:t>actor</w:t>
            </w:r>
          </w:p>
        </w:tc>
        <w:tc>
          <w:tcPr>
            <w:tcW w:w="1276" w:type="dxa"/>
            <w:tcBorders>
              <w:bottom w:val="single" w:sz="4" w:space="0" w:color="auto"/>
            </w:tcBorders>
            <w:shd w:val="clear" w:color="auto" w:fill="5C2946"/>
          </w:tcPr>
          <w:p w14:paraId="504834FC" w14:textId="2504481A" w:rsidR="00130AB3" w:rsidRPr="00D63217" w:rsidRDefault="00130AB3" w:rsidP="009B75F2">
            <w:pPr>
              <w:pStyle w:val="TableHead"/>
            </w:pPr>
            <w:r w:rsidRPr="00D63217">
              <w:t>Reference/ date set</w:t>
            </w:r>
          </w:p>
        </w:tc>
      </w:tr>
      <w:tr w:rsidR="00130AB3" w:rsidRPr="00D63217" w14:paraId="33189D87" w14:textId="77777777" w:rsidTr="00AB5583">
        <w:trPr>
          <w:cantSplit/>
        </w:trPr>
        <w:tc>
          <w:tcPr>
            <w:tcW w:w="2126" w:type="dxa"/>
            <w:vMerge w:val="restart"/>
            <w:shd w:val="clear" w:color="auto" w:fill="FFFFFF"/>
          </w:tcPr>
          <w:p w14:paraId="268D4C58" w14:textId="77777777" w:rsidR="00130AB3" w:rsidRPr="00D63217" w:rsidRDefault="00130AB3" w:rsidP="009B75F2">
            <w:pPr>
              <w:pStyle w:val="TableText"/>
            </w:pPr>
            <w:r w:rsidRPr="00D63217">
              <w:t>Paraquat (as cation)</w:t>
            </w:r>
          </w:p>
        </w:tc>
        <w:tc>
          <w:tcPr>
            <w:tcW w:w="993" w:type="dxa"/>
            <w:shd w:val="clear" w:color="auto" w:fill="FFFFFF"/>
          </w:tcPr>
          <w:p w14:paraId="15B68C56" w14:textId="01BA6B3B" w:rsidR="00130AB3" w:rsidRPr="00D63217" w:rsidRDefault="00130AB3" w:rsidP="009B75F2">
            <w:pPr>
              <w:pStyle w:val="TableText"/>
            </w:pPr>
            <w:r w:rsidRPr="00D63217">
              <w:t>ADI</w:t>
            </w:r>
          </w:p>
        </w:tc>
        <w:tc>
          <w:tcPr>
            <w:tcW w:w="1021" w:type="dxa"/>
            <w:shd w:val="clear" w:color="auto" w:fill="FFFFFF"/>
          </w:tcPr>
          <w:p w14:paraId="173273D8" w14:textId="77777777" w:rsidR="00130AB3" w:rsidRPr="00D63217" w:rsidRDefault="00130AB3" w:rsidP="009B75F2">
            <w:pPr>
              <w:pStyle w:val="TableText"/>
            </w:pPr>
            <w:r w:rsidRPr="00D63217">
              <w:t>0.004</w:t>
            </w:r>
          </w:p>
        </w:tc>
        <w:tc>
          <w:tcPr>
            <w:tcW w:w="2551" w:type="dxa"/>
            <w:shd w:val="clear" w:color="auto" w:fill="FFFFFF"/>
          </w:tcPr>
          <w:p w14:paraId="0592EC94" w14:textId="77777777" w:rsidR="00130AB3" w:rsidRPr="00D63217" w:rsidRDefault="00130AB3" w:rsidP="009B75F2">
            <w:pPr>
              <w:pStyle w:val="TableText"/>
            </w:pPr>
            <w:r w:rsidRPr="00D63217">
              <w:t>0.45 (1-year dog)</w:t>
            </w:r>
          </w:p>
        </w:tc>
        <w:tc>
          <w:tcPr>
            <w:tcW w:w="1247" w:type="dxa"/>
            <w:shd w:val="clear" w:color="auto" w:fill="FFFFFF"/>
          </w:tcPr>
          <w:p w14:paraId="708AABB3" w14:textId="77777777" w:rsidR="00130AB3" w:rsidRPr="00D63217" w:rsidRDefault="00130AB3" w:rsidP="009B75F2">
            <w:pPr>
              <w:pStyle w:val="TableText"/>
            </w:pPr>
            <w:r w:rsidRPr="00D63217">
              <w:t>100</w:t>
            </w:r>
          </w:p>
        </w:tc>
        <w:tc>
          <w:tcPr>
            <w:tcW w:w="1276" w:type="dxa"/>
            <w:shd w:val="clear" w:color="auto" w:fill="FFFFFF"/>
          </w:tcPr>
          <w:p w14:paraId="12E9EC3D" w14:textId="339AE817" w:rsidR="00130AB3" w:rsidRPr="00D63217" w:rsidRDefault="00130AB3" w:rsidP="009B75F2">
            <w:pPr>
              <w:pStyle w:val="TableText"/>
            </w:pPr>
            <w:r w:rsidRPr="00D63217">
              <w:t xml:space="preserve">APVMA </w:t>
            </w:r>
            <w:r w:rsidR="009B75F2" w:rsidRPr="00D63217">
              <w:br/>
            </w:r>
            <w:r w:rsidRPr="00D63217">
              <w:t>27</w:t>
            </w:r>
            <w:r w:rsidR="009B75F2" w:rsidRPr="00D63217">
              <w:t xml:space="preserve"> June 20</w:t>
            </w:r>
            <w:r w:rsidRPr="00D63217">
              <w:t>03</w:t>
            </w:r>
          </w:p>
        </w:tc>
      </w:tr>
      <w:tr w:rsidR="00130AB3" w:rsidRPr="00D63217" w14:paraId="4118C0A0" w14:textId="77777777" w:rsidTr="00AB5583">
        <w:trPr>
          <w:cantSplit/>
        </w:trPr>
        <w:tc>
          <w:tcPr>
            <w:tcW w:w="2126" w:type="dxa"/>
            <w:vMerge/>
            <w:shd w:val="clear" w:color="auto" w:fill="FFFFFF"/>
          </w:tcPr>
          <w:p w14:paraId="526014D1" w14:textId="77777777" w:rsidR="00130AB3" w:rsidRPr="00D63217" w:rsidRDefault="00130AB3" w:rsidP="009B75F2">
            <w:pPr>
              <w:pStyle w:val="TableText"/>
            </w:pPr>
          </w:p>
        </w:tc>
        <w:tc>
          <w:tcPr>
            <w:tcW w:w="993" w:type="dxa"/>
            <w:shd w:val="clear" w:color="auto" w:fill="FFFFFF"/>
          </w:tcPr>
          <w:p w14:paraId="4B0B686C" w14:textId="480EC769" w:rsidR="00130AB3" w:rsidRPr="00D63217" w:rsidRDefault="00130AB3" w:rsidP="009B75F2">
            <w:pPr>
              <w:pStyle w:val="TableText"/>
            </w:pPr>
            <w:r w:rsidRPr="00D63217">
              <w:t>ARfD</w:t>
            </w:r>
          </w:p>
        </w:tc>
        <w:tc>
          <w:tcPr>
            <w:tcW w:w="1021" w:type="dxa"/>
            <w:shd w:val="clear" w:color="auto" w:fill="FFFFFF"/>
          </w:tcPr>
          <w:p w14:paraId="0FB1D08D" w14:textId="77777777" w:rsidR="00130AB3" w:rsidRPr="00D63217" w:rsidRDefault="00130AB3" w:rsidP="009B75F2">
            <w:pPr>
              <w:pStyle w:val="TableText"/>
            </w:pPr>
            <w:r w:rsidRPr="00D63217">
              <w:t>0.004</w:t>
            </w:r>
          </w:p>
        </w:tc>
        <w:tc>
          <w:tcPr>
            <w:tcW w:w="2551" w:type="dxa"/>
            <w:shd w:val="clear" w:color="auto" w:fill="FFFFFF"/>
          </w:tcPr>
          <w:p w14:paraId="339A787B" w14:textId="77777777" w:rsidR="00130AB3" w:rsidRPr="00D63217" w:rsidRDefault="00130AB3" w:rsidP="009B75F2">
            <w:pPr>
              <w:pStyle w:val="TableText"/>
            </w:pPr>
            <w:r w:rsidRPr="00D63217">
              <w:t>0.45 (1-year dog)</w:t>
            </w:r>
          </w:p>
        </w:tc>
        <w:tc>
          <w:tcPr>
            <w:tcW w:w="1247" w:type="dxa"/>
            <w:shd w:val="clear" w:color="auto" w:fill="FFFFFF"/>
          </w:tcPr>
          <w:p w14:paraId="480CD68F" w14:textId="77777777" w:rsidR="00130AB3" w:rsidRPr="00D63217" w:rsidRDefault="00130AB3" w:rsidP="009B75F2">
            <w:pPr>
              <w:pStyle w:val="TableText"/>
            </w:pPr>
            <w:r w:rsidRPr="00D63217">
              <w:t>100</w:t>
            </w:r>
          </w:p>
        </w:tc>
        <w:tc>
          <w:tcPr>
            <w:tcW w:w="1276" w:type="dxa"/>
            <w:shd w:val="clear" w:color="auto" w:fill="FFFFFF"/>
          </w:tcPr>
          <w:p w14:paraId="2F8FF78E" w14:textId="2478B5F8" w:rsidR="00130AB3" w:rsidRPr="00D63217" w:rsidRDefault="00130AB3" w:rsidP="009B75F2">
            <w:pPr>
              <w:pStyle w:val="TableText"/>
            </w:pPr>
            <w:r w:rsidRPr="00D63217">
              <w:t xml:space="preserve">APVMA </w:t>
            </w:r>
            <w:r w:rsidR="009B75F2" w:rsidRPr="00D63217">
              <w:br/>
            </w:r>
            <w:r w:rsidRPr="00D63217">
              <w:t>27</w:t>
            </w:r>
            <w:r w:rsidR="009B75F2" w:rsidRPr="00D63217">
              <w:t xml:space="preserve"> June 20</w:t>
            </w:r>
            <w:r w:rsidRPr="00D63217">
              <w:t>03</w:t>
            </w:r>
          </w:p>
        </w:tc>
      </w:tr>
      <w:tr w:rsidR="00130AB3" w:rsidRPr="00D63217" w14:paraId="4E09F99D" w14:textId="77777777" w:rsidTr="00AB5583">
        <w:trPr>
          <w:cantSplit/>
        </w:trPr>
        <w:tc>
          <w:tcPr>
            <w:tcW w:w="2126" w:type="dxa"/>
            <w:vMerge w:val="restart"/>
            <w:shd w:val="clear" w:color="auto" w:fill="FFFFFF"/>
          </w:tcPr>
          <w:p w14:paraId="6DA2A33F" w14:textId="77777777" w:rsidR="00130AB3" w:rsidRPr="00D63217" w:rsidRDefault="00130AB3" w:rsidP="009B75F2">
            <w:pPr>
              <w:pStyle w:val="TableText"/>
            </w:pPr>
            <w:r w:rsidRPr="00D63217">
              <w:t>Paraquat (ion)</w:t>
            </w:r>
          </w:p>
        </w:tc>
        <w:tc>
          <w:tcPr>
            <w:tcW w:w="993" w:type="dxa"/>
            <w:shd w:val="clear" w:color="auto" w:fill="FFFFFF"/>
          </w:tcPr>
          <w:p w14:paraId="135DA206" w14:textId="77777777" w:rsidR="00130AB3" w:rsidRPr="00D63217" w:rsidRDefault="00130AB3" w:rsidP="009B75F2">
            <w:pPr>
              <w:pStyle w:val="TableText"/>
            </w:pPr>
            <w:r w:rsidRPr="00D63217">
              <w:t>ADI</w:t>
            </w:r>
          </w:p>
        </w:tc>
        <w:tc>
          <w:tcPr>
            <w:tcW w:w="1021" w:type="dxa"/>
            <w:shd w:val="clear" w:color="auto" w:fill="FFFFFF"/>
          </w:tcPr>
          <w:p w14:paraId="0A1D76A8" w14:textId="77777777" w:rsidR="00130AB3" w:rsidRPr="00D63217" w:rsidRDefault="00130AB3" w:rsidP="009B75F2">
            <w:pPr>
              <w:pStyle w:val="TableText"/>
            </w:pPr>
            <w:r w:rsidRPr="00D63217">
              <w:t>0.005</w:t>
            </w:r>
          </w:p>
        </w:tc>
        <w:tc>
          <w:tcPr>
            <w:tcW w:w="2551" w:type="dxa"/>
            <w:shd w:val="clear" w:color="auto" w:fill="FFFFFF"/>
          </w:tcPr>
          <w:p w14:paraId="275DC088" w14:textId="77777777" w:rsidR="00130AB3" w:rsidRPr="00D63217" w:rsidRDefault="00130AB3" w:rsidP="009B75F2">
            <w:pPr>
              <w:pStyle w:val="TableText"/>
            </w:pPr>
            <w:r w:rsidRPr="00D63217">
              <w:t xml:space="preserve">0.45 (1-year dog) </w:t>
            </w:r>
          </w:p>
        </w:tc>
        <w:tc>
          <w:tcPr>
            <w:tcW w:w="1247" w:type="dxa"/>
            <w:shd w:val="clear" w:color="auto" w:fill="FFFFFF"/>
          </w:tcPr>
          <w:p w14:paraId="52AFEF68" w14:textId="77777777" w:rsidR="00130AB3" w:rsidRPr="00D63217" w:rsidRDefault="00130AB3" w:rsidP="009B75F2">
            <w:pPr>
              <w:pStyle w:val="TableText"/>
            </w:pPr>
            <w:r w:rsidRPr="00D63217">
              <w:t>100</w:t>
            </w:r>
          </w:p>
        </w:tc>
        <w:tc>
          <w:tcPr>
            <w:tcW w:w="1276" w:type="dxa"/>
            <w:shd w:val="clear" w:color="auto" w:fill="FFFFFF"/>
          </w:tcPr>
          <w:p w14:paraId="428045FE" w14:textId="77777777" w:rsidR="00130AB3" w:rsidRPr="00D63217" w:rsidRDefault="00130AB3" w:rsidP="009B75F2">
            <w:pPr>
              <w:pStyle w:val="TableText"/>
            </w:pPr>
            <w:r w:rsidRPr="00D63217">
              <w:t>JMPR (2003)</w:t>
            </w:r>
          </w:p>
        </w:tc>
      </w:tr>
      <w:tr w:rsidR="00130AB3" w:rsidRPr="00D63217" w14:paraId="32271C54" w14:textId="77777777" w:rsidTr="00AB5583">
        <w:trPr>
          <w:cantSplit/>
        </w:trPr>
        <w:tc>
          <w:tcPr>
            <w:tcW w:w="2126" w:type="dxa"/>
            <w:vMerge/>
            <w:shd w:val="clear" w:color="auto" w:fill="FFFFFF"/>
          </w:tcPr>
          <w:p w14:paraId="6FB9DBCA" w14:textId="77777777" w:rsidR="00130AB3" w:rsidRPr="00D63217" w:rsidRDefault="00130AB3" w:rsidP="009B75F2">
            <w:pPr>
              <w:pStyle w:val="TableText"/>
            </w:pPr>
          </w:p>
        </w:tc>
        <w:tc>
          <w:tcPr>
            <w:tcW w:w="993" w:type="dxa"/>
            <w:shd w:val="clear" w:color="auto" w:fill="FFFFFF"/>
          </w:tcPr>
          <w:p w14:paraId="4831D9D4" w14:textId="77777777" w:rsidR="00130AB3" w:rsidRPr="00D63217" w:rsidRDefault="00130AB3" w:rsidP="009B75F2">
            <w:pPr>
              <w:pStyle w:val="TableText"/>
            </w:pPr>
            <w:r w:rsidRPr="00D63217">
              <w:t>ARfD</w:t>
            </w:r>
          </w:p>
        </w:tc>
        <w:tc>
          <w:tcPr>
            <w:tcW w:w="1021" w:type="dxa"/>
            <w:shd w:val="clear" w:color="auto" w:fill="FFFFFF"/>
          </w:tcPr>
          <w:p w14:paraId="3B7E8730" w14:textId="77777777" w:rsidR="00130AB3" w:rsidRPr="00D63217" w:rsidRDefault="00130AB3" w:rsidP="009B75F2">
            <w:pPr>
              <w:pStyle w:val="TableText"/>
            </w:pPr>
            <w:r w:rsidRPr="00D63217">
              <w:t>0.006</w:t>
            </w:r>
          </w:p>
        </w:tc>
        <w:tc>
          <w:tcPr>
            <w:tcW w:w="2551" w:type="dxa"/>
            <w:shd w:val="clear" w:color="auto" w:fill="FFFFFF"/>
          </w:tcPr>
          <w:p w14:paraId="001508DE" w14:textId="77777777" w:rsidR="00130AB3" w:rsidRPr="00D63217" w:rsidRDefault="00130AB3" w:rsidP="009B75F2">
            <w:pPr>
              <w:pStyle w:val="TableText"/>
            </w:pPr>
            <w:r w:rsidRPr="00D63217">
              <w:t>0.55 (13-week dog)</w:t>
            </w:r>
          </w:p>
        </w:tc>
        <w:tc>
          <w:tcPr>
            <w:tcW w:w="1247" w:type="dxa"/>
            <w:shd w:val="clear" w:color="auto" w:fill="FFFFFF"/>
          </w:tcPr>
          <w:p w14:paraId="4201EA9D" w14:textId="77777777" w:rsidR="00130AB3" w:rsidRPr="00D63217" w:rsidRDefault="00130AB3" w:rsidP="009B75F2">
            <w:pPr>
              <w:pStyle w:val="TableText"/>
            </w:pPr>
            <w:r w:rsidRPr="00D63217">
              <w:t>100</w:t>
            </w:r>
          </w:p>
        </w:tc>
        <w:tc>
          <w:tcPr>
            <w:tcW w:w="1276" w:type="dxa"/>
            <w:shd w:val="clear" w:color="auto" w:fill="FFFFFF"/>
          </w:tcPr>
          <w:p w14:paraId="5E926B31" w14:textId="77777777" w:rsidR="00130AB3" w:rsidRPr="00D63217" w:rsidRDefault="00130AB3" w:rsidP="009B75F2">
            <w:pPr>
              <w:pStyle w:val="TableText"/>
            </w:pPr>
            <w:r w:rsidRPr="00D63217">
              <w:t>JMPR (2003)</w:t>
            </w:r>
          </w:p>
        </w:tc>
      </w:tr>
    </w:tbl>
    <w:p w14:paraId="5F0E3895" w14:textId="77777777" w:rsidR="00130AB3" w:rsidRPr="00D901C7" w:rsidRDefault="00130AB3" w:rsidP="00D901C7">
      <w:pPr>
        <w:pStyle w:val="Heading3"/>
      </w:pPr>
      <w:bookmarkStart w:id="370" w:name="_Toc157628263"/>
      <w:bookmarkStart w:id="371" w:name="_Toc231480892"/>
      <w:bookmarkStart w:id="372" w:name="_Toc233036444"/>
      <w:r w:rsidRPr="00D901C7">
        <w:t>Chronic dietary exposure assessment</w:t>
      </w:r>
      <w:bookmarkEnd w:id="365"/>
      <w:bookmarkEnd w:id="366"/>
      <w:bookmarkEnd w:id="367"/>
      <w:bookmarkEnd w:id="370"/>
      <w:bookmarkEnd w:id="371"/>
      <w:bookmarkEnd w:id="372"/>
    </w:p>
    <w:p w14:paraId="1A6E1E28" w14:textId="3B20CB98" w:rsidR="00130AB3" w:rsidRPr="00D63217" w:rsidRDefault="00130AB3" w:rsidP="00AB5583">
      <w:pPr>
        <w:pStyle w:val="NormalText"/>
      </w:pPr>
      <w:r w:rsidRPr="00D63217">
        <w:t>The chronic dietary exposure to paraquat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w:t>
      </w:r>
      <w:bookmarkStart w:id="373" w:name="_Ref63661283"/>
      <w:r w:rsidRPr="00D63217">
        <w:t xml:space="preserve"> accordance with WHO Guidelines</w:t>
      </w:r>
      <w:bookmarkEnd w:id="373"/>
      <w:r w:rsidR="00A47E5E" w:rsidRPr="00D63217">
        <w:t xml:space="preserve"> (WHO, 2008)</w:t>
      </w:r>
      <w:r w:rsidRPr="00D63217">
        <w:t xml:space="preserve"> and is a conservative estimate of dietary exposure to chemical residues in food. The NEDI for paraquat is equivalent to &lt;20% of the Australian ADI.</w:t>
      </w:r>
    </w:p>
    <w:p w14:paraId="2502005C" w14:textId="77777777" w:rsidR="00130AB3" w:rsidRPr="00D63217" w:rsidRDefault="00130AB3" w:rsidP="00AB5583">
      <w:pPr>
        <w:pStyle w:val="NormalText"/>
      </w:pPr>
      <w:r w:rsidRPr="00D63217">
        <w:t>It is concluded that the chronic dietary exposure of paraquat is acceptable.</w:t>
      </w:r>
    </w:p>
    <w:p w14:paraId="6D0F6EEA" w14:textId="77777777" w:rsidR="00130AB3" w:rsidRPr="00D901C7" w:rsidRDefault="00130AB3" w:rsidP="00D901C7">
      <w:pPr>
        <w:pStyle w:val="Heading3"/>
      </w:pPr>
      <w:bookmarkStart w:id="374" w:name="_Toc89676043"/>
      <w:bookmarkStart w:id="375" w:name="_Toc89684513"/>
      <w:bookmarkStart w:id="376" w:name="_Toc89829970"/>
      <w:bookmarkStart w:id="377" w:name="_Toc157628264"/>
      <w:bookmarkStart w:id="378" w:name="_Toc231480893"/>
      <w:bookmarkStart w:id="379" w:name="_Toc233036445"/>
      <w:r w:rsidRPr="00D901C7">
        <w:t>Acute dietary exposure assessment</w:t>
      </w:r>
      <w:bookmarkEnd w:id="374"/>
      <w:bookmarkEnd w:id="375"/>
      <w:bookmarkEnd w:id="376"/>
      <w:bookmarkEnd w:id="377"/>
      <w:bookmarkEnd w:id="378"/>
      <w:bookmarkEnd w:id="379"/>
    </w:p>
    <w:p w14:paraId="3564745D" w14:textId="45E9A8D6" w:rsidR="00130AB3" w:rsidRPr="00D63217" w:rsidRDefault="00130AB3" w:rsidP="00AB5583">
      <w:pPr>
        <w:pStyle w:val="NormalText"/>
      </w:pPr>
      <w:r w:rsidRPr="00D63217">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C23C09" w:rsidRPr="00D63217">
        <w:t>–</w:t>
      </w:r>
      <w:r w:rsidRPr="00D63217">
        <w:t>12 National Nutritional and Physical Activity Survey. NESTI calculations are conservative estimates of short-term exposure (24 hour period) to chemical residues in food.</w:t>
      </w:r>
    </w:p>
    <w:p w14:paraId="1032F98C" w14:textId="2C725594" w:rsidR="00130AB3" w:rsidRPr="00D63217" w:rsidRDefault="00130AB3" w:rsidP="00AB5583">
      <w:pPr>
        <w:pStyle w:val="NormalText"/>
      </w:pPr>
      <w:r w:rsidRPr="00D63217">
        <w:t>The highest acute dietary intake was estimated at &lt;80%</w:t>
      </w:r>
      <w:r w:rsidRPr="00D63217">
        <w:rPr>
          <w:color w:val="70AD47"/>
        </w:rPr>
        <w:t xml:space="preserve"> </w:t>
      </w:r>
      <w:r w:rsidRPr="00D63217">
        <w:t xml:space="preserve">of the Australian ARfD for the uses supported by this </w:t>
      </w:r>
      <w:r w:rsidR="007735C2">
        <w:t xml:space="preserve">residues and trade </w:t>
      </w:r>
      <w:r w:rsidRPr="00D63217">
        <w:t>evaluation. It is concluded that the acute dietary exposure is acceptable.</w:t>
      </w:r>
    </w:p>
    <w:p w14:paraId="1AB6215E" w14:textId="77777777" w:rsidR="00130AB3" w:rsidRPr="00D63217" w:rsidRDefault="00130AB3" w:rsidP="00AB5583">
      <w:pPr>
        <w:pStyle w:val="NormalText"/>
      </w:pPr>
      <w:r w:rsidRPr="00D63217">
        <w:lastRenderedPageBreak/>
        <w:t>It is noted that if residues in potatoes were at the current MRL of 0.2 mg/kg the acute dietary exposure for children would be equivalent to 171% of the ARfD. It is also noted that if an application timing of 14 days before digging was considered for potatoes then the scaled HR of 0.13 mg/kg would give an unacceptable acute dietary exposure for children (111% of the ARfD). The estimated acute exposure associated with the scaled HR of 0.09 mg/kg for the supported use (application 4-5 weeks before digging) is however acceptable (77% of the ARfD for children and 32% of ARfD for general population).</w:t>
      </w:r>
    </w:p>
    <w:p w14:paraId="7FCA2EFD" w14:textId="5970811B" w:rsidR="00130AB3" w:rsidRPr="00D63217" w:rsidRDefault="00F06860" w:rsidP="00130AB3">
      <w:pPr>
        <w:pStyle w:val="Heading2"/>
      </w:pPr>
      <w:bookmarkStart w:id="380" w:name="_Trade"/>
      <w:bookmarkStart w:id="381" w:name="_Toc157628265"/>
      <w:bookmarkStart w:id="382" w:name="_Ref166852839"/>
      <w:bookmarkStart w:id="383" w:name="_Toc64425226"/>
      <w:bookmarkEnd w:id="380"/>
      <w:r>
        <w:t xml:space="preserve"> </w:t>
      </w:r>
      <w:r>
        <w:tab/>
      </w:r>
      <w:bookmarkStart w:id="384" w:name="_Toc231480894"/>
      <w:bookmarkStart w:id="385" w:name="_Toc233036446"/>
      <w:r w:rsidR="00130AB3" w:rsidRPr="00D63217">
        <w:t>Trade</w:t>
      </w:r>
      <w:bookmarkEnd w:id="381"/>
      <w:bookmarkEnd w:id="382"/>
      <w:bookmarkEnd w:id="384"/>
      <w:bookmarkEnd w:id="385"/>
    </w:p>
    <w:p w14:paraId="73BBCFD7" w14:textId="3E784883" w:rsidR="00130AB3" w:rsidRPr="00D901C7" w:rsidRDefault="00AB5583" w:rsidP="00D901C7">
      <w:pPr>
        <w:pStyle w:val="Caption"/>
      </w:pPr>
      <w:bookmarkStart w:id="386" w:name="_Toc230692286"/>
      <w:bookmarkStart w:id="387" w:name="_Toc233036507"/>
      <w:r w:rsidRPr="00D901C7">
        <w:t xml:space="preserve">Table </w:t>
      </w:r>
      <w:fldSimple w:instr=" SEQ Table \* ARABIC ">
        <w:r w:rsidR="00D901C7">
          <w:rPr>
            <w:noProof/>
          </w:rPr>
          <w:t>20</w:t>
        </w:r>
      </w:fldSimple>
      <w:r w:rsidRPr="00D901C7">
        <w:t>: O</w:t>
      </w:r>
      <w:r w:rsidR="00130AB3" w:rsidRPr="00D901C7">
        <w:t>verseas MRLs established for major export commodities (December 2023)</w:t>
      </w:r>
      <w:bookmarkEnd w:id="386"/>
      <w:bookmarkEnd w:id="3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732"/>
        <w:gridCol w:w="1160"/>
        <w:gridCol w:w="1004"/>
        <w:gridCol w:w="1190"/>
        <w:gridCol w:w="1018"/>
        <w:gridCol w:w="1087"/>
        <w:gridCol w:w="1112"/>
      </w:tblGrid>
      <w:tr w:rsidR="00061859" w:rsidRPr="00D63217" w14:paraId="5CC114AE" w14:textId="77777777" w:rsidTr="002F187B">
        <w:trPr>
          <w:tblHeader/>
        </w:trPr>
        <w:tc>
          <w:tcPr>
            <w:tcW w:w="1346" w:type="dxa"/>
            <w:shd w:val="clear" w:color="auto" w:fill="5C2946"/>
          </w:tcPr>
          <w:p w14:paraId="07214E77" w14:textId="77777777" w:rsidR="00130AB3" w:rsidRPr="00D63217" w:rsidRDefault="00130AB3" w:rsidP="00AB5583">
            <w:pPr>
              <w:pStyle w:val="TableHead"/>
              <w:rPr>
                <w:rFonts w:eastAsia="Calibri"/>
              </w:rPr>
            </w:pPr>
            <w:r w:rsidRPr="00D63217">
              <w:rPr>
                <w:rFonts w:eastAsia="Calibri"/>
              </w:rPr>
              <w:t>Commodity</w:t>
            </w:r>
          </w:p>
        </w:tc>
        <w:tc>
          <w:tcPr>
            <w:tcW w:w="1213" w:type="dxa"/>
            <w:shd w:val="clear" w:color="auto" w:fill="5C2946"/>
          </w:tcPr>
          <w:p w14:paraId="23CBD950" w14:textId="77777777" w:rsidR="00130AB3" w:rsidRPr="00D63217" w:rsidRDefault="00130AB3" w:rsidP="00AB5583">
            <w:pPr>
              <w:pStyle w:val="TableHead"/>
              <w:rPr>
                <w:rFonts w:eastAsia="Calibri"/>
              </w:rPr>
            </w:pPr>
            <w:r w:rsidRPr="00D63217">
              <w:rPr>
                <w:rFonts w:eastAsia="Calibri"/>
              </w:rPr>
              <w:t>Australia</w:t>
            </w:r>
          </w:p>
        </w:tc>
        <w:tc>
          <w:tcPr>
            <w:tcW w:w="1201" w:type="dxa"/>
            <w:shd w:val="clear" w:color="auto" w:fill="5C2946"/>
          </w:tcPr>
          <w:p w14:paraId="5E5CA0BC" w14:textId="77777777" w:rsidR="00130AB3" w:rsidRPr="00D63217" w:rsidRDefault="00130AB3" w:rsidP="00AB5583">
            <w:pPr>
              <w:pStyle w:val="TableHead"/>
              <w:rPr>
                <w:rFonts w:eastAsia="Calibri"/>
              </w:rPr>
            </w:pPr>
            <w:r w:rsidRPr="00D63217">
              <w:rPr>
                <w:rFonts w:eastAsia="Calibri"/>
              </w:rPr>
              <w:t>Codex</w:t>
            </w:r>
            <w:r w:rsidRPr="00D63217">
              <w:rPr>
                <w:rStyle w:val="FootnoteReference"/>
              </w:rPr>
              <w:footnoteReference w:id="7"/>
            </w:r>
          </w:p>
        </w:tc>
        <w:tc>
          <w:tcPr>
            <w:tcW w:w="1025" w:type="dxa"/>
            <w:shd w:val="clear" w:color="auto" w:fill="5C2946"/>
          </w:tcPr>
          <w:p w14:paraId="228F41DD" w14:textId="77777777" w:rsidR="00130AB3" w:rsidRPr="00D63217" w:rsidRDefault="00130AB3" w:rsidP="00AB5583">
            <w:pPr>
              <w:pStyle w:val="TableHead"/>
              <w:rPr>
                <w:rFonts w:eastAsia="Calibri"/>
              </w:rPr>
            </w:pPr>
            <w:r w:rsidRPr="00D63217">
              <w:rPr>
                <w:rFonts w:eastAsia="Calibri"/>
              </w:rPr>
              <w:t>EU</w:t>
            </w:r>
            <w:r w:rsidRPr="00D63217">
              <w:rPr>
                <w:rStyle w:val="FootnoteReference"/>
              </w:rPr>
              <w:footnoteReference w:id="8"/>
            </w:r>
          </w:p>
        </w:tc>
        <w:tc>
          <w:tcPr>
            <w:tcW w:w="1152" w:type="dxa"/>
            <w:shd w:val="clear" w:color="auto" w:fill="5C2946"/>
          </w:tcPr>
          <w:p w14:paraId="6CDE6E89" w14:textId="77777777" w:rsidR="00130AB3" w:rsidRPr="00D63217" w:rsidRDefault="00130AB3" w:rsidP="00AB5583">
            <w:pPr>
              <w:pStyle w:val="TableHead"/>
              <w:rPr>
                <w:rFonts w:eastAsia="Calibri"/>
              </w:rPr>
            </w:pPr>
            <w:r w:rsidRPr="00D63217">
              <w:rPr>
                <w:rFonts w:eastAsia="Calibri"/>
              </w:rPr>
              <w:t>Japan</w:t>
            </w:r>
            <w:r w:rsidRPr="00D63217">
              <w:rPr>
                <w:rStyle w:val="FootnoteReference"/>
              </w:rPr>
              <w:footnoteReference w:id="9"/>
            </w:r>
          </w:p>
        </w:tc>
        <w:tc>
          <w:tcPr>
            <w:tcW w:w="1119" w:type="dxa"/>
            <w:shd w:val="clear" w:color="auto" w:fill="5C2946"/>
          </w:tcPr>
          <w:p w14:paraId="2C4360E7" w14:textId="77777777" w:rsidR="00130AB3" w:rsidRPr="00D63217" w:rsidRDefault="00130AB3" w:rsidP="00AB5583">
            <w:pPr>
              <w:pStyle w:val="TableHead"/>
              <w:rPr>
                <w:rFonts w:eastAsia="Calibri"/>
              </w:rPr>
            </w:pPr>
            <w:r w:rsidRPr="00D63217">
              <w:rPr>
                <w:rFonts w:eastAsia="Calibri"/>
              </w:rPr>
              <w:t>Korea</w:t>
            </w:r>
            <w:r w:rsidRPr="00D63217">
              <w:rPr>
                <w:rStyle w:val="FootnoteReference"/>
              </w:rPr>
              <w:footnoteReference w:id="10"/>
            </w:r>
          </w:p>
        </w:tc>
        <w:tc>
          <w:tcPr>
            <w:tcW w:w="1105" w:type="dxa"/>
            <w:shd w:val="clear" w:color="auto" w:fill="5C2946"/>
          </w:tcPr>
          <w:p w14:paraId="2FE93D62" w14:textId="77777777" w:rsidR="00130AB3" w:rsidRPr="00D63217" w:rsidRDefault="00130AB3" w:rsidP="00AB5583">
            <w:pPr>
              <w:pStyle w:val="TableHead"/>
              <w:rPr>
                <w:rFonts w:eastAsia="Calibri"/>
              </w:rPr>
            </w:pPr>
            <w:r w:rsidRPr="00D63217">
              <w:rPr>
                <w:rFonts w:eastAsia="Calibri"/>
              </w:rPr>
              <w:t>Taiwan</w:t>
            </w:r>
            <w:r w:rsidRPr="00D63217">
              <w:rPr>
                <w:rStyle w:val="FootnoteReference"/>
              </w:rPr>
              <w:footnoteReference w:id="11"/>
            </w:r>
          </w:p>
        </w:tc>
        <w:tc>
          <w:tcPr>
            <w:tcW w:w="1125" w:type="dxa"/>
            <w:shd w:val="clear" w:color="auto" w:fill="5C2946"/>
          </w:tcPr>
          <w:p w14:paraId="21E4ACAC" w14:textId="77777777" w:rsidR="00130AB3" w:rsidRPr="00D63217" w:rsidRDefault="00130AB3" w:rsidP="00AB5583">
            <w:pPr>
              <w:pStyle w:val="TableHead"/>
              <w:rPr>
                <w:rFonts w:eastAsia="Calibri"/>
              </w:rPr>
            </w:pPr>
            <w:r w:rsidRPr="00D63217">
              <w:rPr>
                <w:rFonts w:eastAsia="Calibri"/>
              </w:rPr>
              <w:t>USA</w:t>
            </w:r>
            <w:r w:rsidRPr="00D63217">
              <w:rPr>
                <w:rStyle w:val="FootnoteReference"/>
              </w:rPr>
              <w:footnoteReference w:id="12"/>
            </w:r>
          </w:p>
        </w:tc>
      </w:tr>
      <w:tr w:rsidR="00130AB3" w:rsidRPr="00D63217" w14:paraId="2D5E1B55" w14:textId="77777777" w:rsidTr="004E2271">
        <w:tc>
          <w:tcPr>
            <w:tcW w:w="1346" w:type="dxa"/>
          </w:tcPr>
          <w:p w14:paraId="76433B03" w14:textId="77777777" w:rsidR="00130AB3" w:rsidRPr="00D63217" w:rsidRDefault="00130AB3" w:rsidP="00C23C09">
            <w:pPr>
              <w:pStyle w:val="TableText"/>
              <w:rPr>
                <w:rFonts w:eastAsia="Calibri"/>
              </w:rPr>
            </w:pPr>
            <w:r w:rsidRPr="00D63217">
              <w:rPr>
                <w:rFonts w:eastAsia="Calibri"/>
              </w:rPr>
              <w:t>Residue definition</w:t>
            </w:r>
          </w:p>
        </w:tc>
        <w:tc>
          <w:tcPr>
            <w:tcW w:w="1213" w:type="dxa"/>
          </w:tcPr>
          <w:p w14:paraId="0C3BE033" w14:textId="77777777" w:rsidR="00130AB3" w:rsidRPr="00D63217" w:rsidRDefault="00130AB3" w:rsidP="00C23C09">
            <w:pPr>
              <w:pStyle w:val="TableText"/>
              <w:rPr>
                <w:rFonts w:eastAsia="Calibri"/>
              </w:rPr>
            </w:pPr>
            <w:r w:rsidRPr="00D63217">
              <w:rPr>
                <w:rFonts w:eastAsia="Calibri"/>
              </w:rPr>
              <w:t>Paraquat cation</w:t>
            </w:r>
          </w:p>
        </w:tc>
        <w:tc>
          <w:tcPr>
            <w:tcW w:w="1201" w:type="dxa"/>
          </w:tcPr>
          <w:p w14:paraId="7014AC9D" w14:textId="77777777" w:rsidR="00130AB3" w:rsidRPr="00D63217" w:rsidRDefault="00130AB3" w:rsidP="00C23C09">
            <w:pPr>
              <w:pStyle w:val="TableText"/>
              <w:rPr>
                <w:rFonts w:eastAsia="Calibri"/>
              </w:rPr>
            </w:pPr>
            <w:r w:rsidRPr="00D63217">
              <w:rPr>
                <w:rFonts w:eastAsia="Calibri"/>
              </w:rPr>
              <w:t>Paraquat cation</w:t>
            </w:r>
          </w:p>
        </w:tc>
        <w:tc>
          <w:tcPr>
            <w:tcW w:w="1025" w:type="dxa"/>
          </w:tcPr>
          <w:p w14:paraId="642EE3B1" w14:textId="77777777" w:rsidR="00130AB3" w:rsidRPr="00D63217" w:rsidRDefault="00130AB3" w:rsidP="00C23C09">
            <w:pPr>
              <w:pStyle w:val="TableText"/>
              <w:rPr>
                <w:rFonts w:eastAsia="Calibri"/>
              </w:rPr>
            </w:pPr>
            <w:r w:rsidRPr="00D63217">
              <w:rPr>
                <w:rFonts w:eastAsia="Calibri"/>
              </w:rPr>
              <w:t>Paraquat</w:t>
            </w:r>
          </w:p>
        </w:tc>
        <w:tc>
          <w:tcPr>
            <w:tcW w:w="1152" w:type="dxa"/>
          </w:tcPr>
          <w:p w14:paraId="75E1E36D" w14:textId="77777777" w:rsidR="00130AB3" w:rsidRPr="00D63217" w:rsidRDefault="00130AB3" w:rsidP="00C23C09">
            <w:pPr>
              <w:pStyle w:val="TableText"/>
              <w:rPr>
                <w:rFonts w:eastAsia="Calibri"/>
              </w:rPr>
            </w:pPr>
            <w:r w:rsidRPr="00D63217">
              <w:rPr>
                <w:rFonts w:eastAsia="Calibri"/>
              </w:rPr>
              <w:t>Paraquat</w:t>
            </w:r>
          </w:p>
        </w:tc>
        <w:tc>
          <w:tcPr>
            <w:tcW w:w="1119" w:type="dxa"/>
          </w:tcPr>
          <w:p w14:paraId="75DEBC8A" w14:textId="77777777" w:rsidR="00130AB3" w:rsidRPr="00D63217" w:rsidRDefault="00130AB3" w:rsidP="00C23C09">
            <w:pPr>
              <w:pStyle w:val="TableText"/>
              <w:rPr>
                <w:rFonts w:eastAsia="Calibri"/>
              </w:rPr>
            </w:pPr>
            <w:r w:rsidRPr="00D63217">
              <w:rPr>
                <w:rFonts w:eastAsia="Calibri"/>
              </w:rPr>
              <w:t>-</w:t>
            </w:r>
          </w:p>
        </w:tc>
        <w:tc>
          <w:tcPr>
            <w:tcW w:w="1105" w:type="dxa"/>
          </w:tcPr>
          <w:p w14:paraId="7CF3E25B" w14:textId="77777777" w:rsidR="00130AB3" w:rsidRPr="00D63217" w:rsidRDefault="00130AB3" w:rsidP="00C23C09">
            <w:pPr>
              <w:pStyle w:val="TableText"/>
              <w:rPr>
                <w:rFonts w:eastAsia="Calibri"/>
              </w:rPr>
            </w:pPr>
            <w:r w:rsidRPr="00D63217">
              <w:rPr>
                <w:rFonts w:eastAsia="Calibri"/>
              </w:rPr>
              <w:t>-</w:t>
            </w:r>
          </w:p>
        </w:tc>
        <w:tc>
          <w:tcPr>
            <w:tcW w:w="1125" w:type="dxa"/>
          </w:tcPr>
          <w:p w14:paraId="333FB060" w14:textId="77777777" w:rsidR="00130AB3" w:rsidRPr="00D63217" w:rsidRDefault="00130AB3" w:rsidP="00C23C09">
            <w:pPr>
              <w:pStyle w:val="TableText"/>
              <w:rPr>
                <w:rFonts w:eastAsia="Calibri"/>
              </w:rPr>
            </w:pPr>
            <w:r w:rsidRPr="00D63217">
              <w:rPr>
                <w:rFonts w:eastAsia="Calibri"/>
              </w:rPr>
              <w:t>Calculated as the cation</w:t>
            </w:r>
          </w:p>
        </w:tc>
      </w:tr>
      <w:tr w:rsidR="00130AB3" w:rsidRPr="00D63217" w14:paraId="78D78527" w14:textId="77777777" w:rsidTr="004E2271">
        <w:tc>
          <w:tcPr>
            <w:tcW w:w="1346" w:type="dxa"/>
          </w:tcPr>
          <w:p w14:paraId="0E4B5829" w14:textId="77777777" w:rsidR="00130AB3" w:rsidRPr="00D63217" w:rsidRDefault="00130AB3" w:rsidP="00C23C09">
            <w:pPr>
              <w:pStyle w:val="TableText"/>
              <w:rPr>
                <w:rFonts w:eastAsia="Calibri"/>
              </w:rPr>
            </w:pPr>
            <w:r w:rsidRPr="00D63217">
              <w:rPr>
                <w:rFonts w:eastAsia="Calibri"/>
              </w:rPr>
              <w:t>Cereal grains</w:t>
            </w:r>
          </w:p>
        </w:tc>
        <w:tc>
          <w:tcPr>
            <w:tcW w:w="1213" w:type="dxa"/>
          </w:tcPr>
          <w:p w14:paraId="7B81CCEC" w14:textId="77777777" w:rsidR="00130AB3" w:rsidRPr="00D63217" w:rsidRDefault="00130AB3" w:rsidP="00C23C09">
            <w:pPr>
              <w:pStyle w:val="TableText"/>
              <w:rPr>
                <w:rFonts w:eastAsia="Calibri"/>
              </w:rPr>
            </w:pPr>
            <w:r w:rsidRPr="00D63217">
              <w:rPr>
                <w:rFonts w:eastAsia="Calibri"/>
              </w:rPr>
              <w:t>*0.05 (proposed)</w:t>
            </w:r>
          </w:p>
          <w:p w14:paraId="26D1437F" w14:textId="77777777" w:rsidR="00130AB3" w:rsidRPr="00D63217" w:rsidRDefault="00130AB3" w:rsidP="00C23C09">
            <w:pPr>
              <w:pStyle w:val="TableText"/>
              <w:rPr>
                <w:rFonts w:eastAsia="Calibri"/>
              </w:rPr>
            </w:pPr>
            <w:r w:rsidRPr="00D63217">
              <w:rPr>
                <w:rFonts w:eastAsia="Calibri"/>
              </w:rPr>
              <w:t>Current:</w:t>
            </w:r>
          </w:p>
          <w:p w14:paraId="46C19B42" w14:textId="18B5C60C" w:rsidR="00130AB3" w:rsidRPr="00D63217" w:rsidRDefault="00130AB3" w:rsidP="00C23C09">
            <w:pPr>
              <w:pStyle w:val="TableText"/>
              <w:rPr>
                <w:rFonts w:eastAsia="Calibri"/>
              </w:rPr>
            </w:pPr>
            <w:r w:rsidRPr="00D63217">
              <w:rPr>
                <w:rFonts w:eastAsia="Calibri"/>
              </w:rPr>
              <w:t>0.1 (maize)</w:t>
            </w:r>
            <w:r w:rsidR="00070348" w:rsidRPr="00D63217">
              <w:rPr>
                <w:rFonts w:eastAsia="Calibri"/>
              </w:rPr>
              <w:br/>
            </w:r>
            <w:r w:rsidRPr="00D63217">
              <w:rPr>
                <w:rFonts w:eastAsia="Calibri"/>
              </w:rPr>
              <w:t>10 (rice)</w:t>
            </w:r>
            <w:r w:rsidR="00070348" w:rsidRPr="00D63217">
              <w:rPr>
                <w:rFonts w:eastAsia="Calibri"/>
              </w:rPr>
              <w:br/>
            </w:r>
            <w:r w:rsidRPr="00D63217">
              <w:rPr>
                <w:rFonts w:eastAsia="Calibri"/>
              </w:rPr>
              <w:t>0.5 (rice, polished)</w:t>
            </w:r>
          </w:p>
          <w:p w14:paraId="0C6E0A6C" w14:textId="77777777" w:rsidR="00130AB3" w:rsidRPr="00D63217" w:rsidRDefault="00130AB3" w:rsidP="00C23C09">
            <w:pPr>
              <w:pStyle w:val="TableText"/>
              <w:rPr>
                <w:rFonts w:eastAsia="Calibri"/>
              </w:rPr>
            </w:pPr>
            <w:r w:rsidRPr="00D63217">
              <w:rPr>
                <w:rFonts w:eastAsia="Calibri"/>
              </w:rPr>
              <w:t>*0.05 (other cereals)</w:t>
            </w:r>
          </w:p>
        </w:tc>
        <w:tc>
          <w:tcPr>
            <w:tcW w:w="1201" w:type="dxa"/>
          </w:tcPr>
          <w:p w14:paraId="53DCD063" w14:textId="65D5E01D" w:rsidR="00130AB3" w:rsidRPr="00D63217" w:rsidRDefault="00130AB3" w:rsidP="00070348">
            <w:pPr>
              <w:pStyle w:val="TableText"/>
              <w:rPr>
                <w:rFonts w:eastAsia="Calibri"/>
              </w:rPr>
            </w:pPr>
            <w:r w:rsidRPr="00D63217">
              <w:rPr>
                <w:rFonts w:eastAsia="Calibri"/>
              </w:rPr>
              <w:t>0.03 (maize)</w:t>
            </w:r>
            <w:r w:rsidR="00070348" w:rsidRPr="00D63217">
              <w:rPr>
                <w:rFonts w:eastAsia="Calibri"/>
              </w:rPr>
              <w:br/>
            </w:r>
            <w:r w:rsidRPr="00D63217">
              <w:rPr>
                <w:rFonts w:eastAsia="Calibri"/>
              </w:rPr>
              <w:t>0.05 (maize flour)</w:t>
            </w:r>
            <w:r w:rsidR="00070348" w:rsidRPr="00D63217">
              <w:rPr>
                <w:rFonts w:eastAsia="Calibri"/>
              </w:rPr>
              <w:br/>
            </w:r>
            <w:r w:rsidRPr="00D63217">
              <w:rPr>
                <w:rFonts w:eastAsia="Calibri"/>
              </w:rPr>
              <w:t>0.05 (rice)</w:t>
            </w:r>
            <w:r w:rsidR="00070348" w:rsidRPr="00D63217">
              <w:rPr>
                <w:rFonts w:eastAsia="Calibri"/>
              </w:rPr>
              <w:br/>
            </w:r>
            <w:r w:rsidRPr="00D63217">
              <w:rPr>
                <w:rFonts w:eastAsia="Calibri"/>
              </w:rPr>
              <w:t>0.03</w:t>
            </w:r>
            <w:r w:rsidR="00070348" w:rsidRPr="00D63217">
              <w:rPr>
                <w:rFonts w:eastAsia="Calibri"/>
              </w:rPr>
              <w:t xml:space="preserve"> </w:t>
            </w:r>
            <w:r w:rsidRPr="00D63217">
              <w:rPr>
                <w:rFonts w:eastAsia="Calibri"/>
              </w:rPr>
              <w:t>(sorghum)</w:t>
            </w:r>
          </w:p>
        </w:tc>
        <w:tc>
          <w:tcPr>
            <w:tcW w:w="1025" w:type="dxa"/>
          </w:tcPr>
          <w:p w14:paraId="22456F62" w14:textId="7415A1B2" w:rsidR="00130AB3" w:rsidRPr="00D63217" w:rsidRDefault="00130AB3" w:rsidP="00070348">
            <w:pPr>
              <w:pStyle w:val="TableText"/>
              <w:rPr>
                <w:rFonts w:eastAsia="Calibri"/>
              </w:rPr>
            </w:pPr>
            <w:r w:rsidRPr="00D63217">
              <w:rPr>
                <w:rFonts w:eastAsia="Calibri"/>
              </w:rPr>
              <w:t>*0.02 (barley, maize, oat, rye, wheat)</w:t>
            </w:r>
            <w:r w:rsidR="00070348" w:rsidRPr="00D63217">
              <w:rPr>
                <w:rFonts w:eastAsia="Calibri"/>
              </w:rPr>
              <w:br/>
            </w:r>
            <w:r w:rsidRPr="00D63217">
              <w:rPr>
                <w:rFonts w:eastAsia="Calibri"/>
              </w:rPr>
              <w:t>0.05 (rice)</w:t>
            </w:r>
          </w:p>
        </w:tc>
        <w:tc>
          <w:tcPr>
            <w:tcW w:w="1152" w:type="dxa"/>
          </w:tcPr>
          <w:p w14:paraId="06A3EFE5" w14:textId="32BBD696" w:rsidR="00130AB3" w:rsidRPr="00D63217" w:rsidRDefault="00130AB3" w:rsidP="00070348">
            <w:pPr>
              <w:pStyle w:val="TableText"/>
              <w:rPr>
                <w:rFonts w:eastAsia="Calibri"/>
              </w:rPr>
            </w:pPr>
            <w:r w:rsidRPr="00D63217">
              <w:rPr>
                <w:rFonts w:eastAsia="Calibri"/>
              </w:rPr>
              <w:t>0.1 (brown rice)</w:t>
            </w:r>
            <w:r w:rsidR="00070348" w:rsidRPr="00D63217">
              <w:rPr>
                <w:rFonts w:eastAsia="Calibri"/>
              </w:rPr>
              <w:br/>
            </w:r>
            <w:r w:rsidRPr="00D63217">
              <w:rPr>
                <w:rFonts w:eastAsia="Calibri"/>
              </w:rPr>
              <w:t>0.05 (wheat)</w:t>
            </w:r>
            <w:r w:rsidR="00070348" w:rsidRPr="00D63217">
              <w:rPr>
                <w:rFonts w:eastAsia="Calibri"/>
              </w:rPr>
              <w:br/>
            </w:r>
            <w:r w:rsidRPr="00D63217">
              <w:rPr>
                <w:rFonts w:eastAsia="Calibri"/>
              </w:rPr>
              <w:t>0.05 (barley)</w:t>
            </w:r>
            <w:r w:rsidR="00070348" w:rsidRPr="00D63217">
              <w:rPr>
                <w:rFonts w:eastAsia="Calibri"/>
              </w:rPr>
              <w:br/>
            </w:r>
            <w:r w:rsidRPr="00D63217">
              <w:rPr>
                <w:rFonts w:eastAsia="Calibri"/>
              </w:rPr>
              <w:t>0.05 (rye)</w:t>
            </w:r>
            <w:r w:rsidR="00070348" w:rsidRPr="00D63217">
              <w:rPr>
                <w:rFonts w:eastAsia="Calibri"/>
              </w:rPr>
              <w:br/>
            </w:r>
            <w:r w:rsidRPr="00D63217">
              <w:rPr>
                <w:rFonts w:eastAsia="Calibri"/>
              </w:rPr>
              <w:t>0.1 (corn)</w:t>
            </w:r>
          </w:p>
        </w:tc>
        <w:tc>
          <w:tcPr>
            <w:tcW w:w="1119" w:type="dxa"/>
          </w:tcPr>
          <w:p w14:paraId="06136041" w14:textId="7A946D37" w:rsidR="00130AB3" w:rsidRPr="00D63217" w:rsidRDefault="00130AB3" w:rsidP="00070348">
            <w:pPr>
              <w:pStyle w:val="TableText"/>
              <w:rPr>
                <w:rFonts w:eastAsia="Calibri"/>
              </w:rPr>
            </w:pPr>
            <w:r w:rsidRPr="00D63217">
              <w:rPr>
                <w:rFonts w:eastAsia="Calibri"/>
              </w:rPr>
              <w:t>0.05 (rice)</w:t>
            </w:r>
            <w:r w:rsidR="00070348" w:rsidRPr="00D63217">
              <w:rPr>
                <w:rFonts w:eastAsia="Calibri"/>
              </w:rPr>
              <w:br/>
            </w:r>
            <w:r w:rsidRPr="00D63217">
              <w:rPr>
                <w:rFonts w:eastAsia="Calibri"/>
              </w:rPr>
              <w:t>0.03 (corn)</w:t>
            </w:r>
          </w:p>
        </w:tc>
        <w:tc>
          <w:tcPr>
            <w:tcW w:w="1105" w:type="dxa"/>
          </w:tcPr>
          <w:p w14:paraId="2DB1C919" w14:textId="1636673C" w:rsidR="00130AB3" w:rsidRPr="00D63217" w:rsidRDefault="00130AB3" w:rsidP="00070348">
            <w:pPr>
              <w:pStyle w:val="TableText"/>
              <w:rPr>
                <w:rFonts w:eastAsia="Calibri"/>
              </w:rPr>
            </w:pPr>
            <w:r w:rsidRPr="00D63217">
              <w:rPr>
                <w:rFonts w:eastAsia="Calibri"/>
              </w:rPr>
              <w:t>0.03 (corn)</w:t>
            </w:r>
            <w:r w:rsidR="00070348" w:rsidRPr="00D63217">
              <w:rPr>
                <w:rFonts w:eastAsia="Calibri"/>
              </w:rPr>
              <w:br/>
            </w:r>
            <w:r w:rsidRPr="00D63217">
              <w:rPr>
                <w:rFonts w:eastAsia="Calibri"/>
              </w:rPr>
              <w:t>0.2 (rice)</w:t>
            </w:r>
            <w:r w:rsidR="00070348" w:rsidRPr="00D63217">
              <w:rPr>
                <w:rFonts w:eastAsia="Calibri"/>
              </w:rPr>
              <w:br/>
            </w:r>
            <w:r w:rsidRPr="00D63217">
              <w:rPr>
                <w:rFonts w:eastAsia="Calibri"/>
              </w:rPr>
              <w:t>0.03 (sorghum)</w:t>
            </w:r>
          </w:p>
        </w:tc>
        <w:tc>
          <w:tcPr>
            <w:tcW w:w="1125" w:type="dxa"/>
          </w:tcPr>
          <w:p w14:paraId="5B26C16E" w14:textId="22CFF17C" w:rsidR="00130AB3" w:rsidRPr="00D63217" w:rsidRDefault="00130AB3" w:rsidP="00070348">
            <w:pPr>
              <w:pStyle w:val="TableText"/>
              <w:rPr>
                <w:rFonts w:eastAsia="Calibri"/>
              </w:rPr>
            </w:pPr>
            <w:r w:rsidRPr="00D63217">
              <w:rPr>
                <w:rFonts w:eastAsia="Calibri"/>
              </w:rPr>
              <w:t>0.05 (barley)</w:t>
            </w:r>
            <w:r w:rsidR="00070348" w:rsidRPr="00D63217">
              <w:rPr>
                <w:rFonts w:eastAsia="Calibri"/>
              </w:rPr>
              <w:br/>
            </w:r>
            <w:r w:rsidRPr="00D63217">
              <w:rPr>
                <w:rFonts w:eastAsia="Calibri"/>
              </w:rPr>
              <w:t>0.1 (corn, field, grain)</w:t>
            </w:r>
            <w:r w:rsidR="00070348" w:rsidRPr="00D63217">
              <w:rPr>
                <w:rFonts w:eastAsia="Calibri"/>
              </w:rPr>
              <w:br/>
            </w:r>
            <w:r w:rsidRPr="00D63217">
              <w:rPr>
                <w:rFonts w:eastAsia="Calibri"/>
              </w:rPr>
              <w:t>0.05 (rice, grain)</w:t>
            </w:r>
            <w:r w:rsidR="00070348" w:rsidRPr="00D63217">
              <w:rPr>
                <w:rFonts w:eastAsia="Calibri"/>
              </w:rPr>
              <w:br/>
            </w:r>
            <w:r w:rsidRPr="00D63217">
              <w:rPr>
                <w:rFonts w:eastAsia="Calibri"/>
              </w:rPr>
              <w:t>1.1 (wheat grain)</w:t>
            </w:r>
          </w:p>
        </w:tc>
      </w:tr>
      <w:tr w:rsidR="00130AB3" w:rsidRPr="00D63217" w14:paraId="28EF7B3C" w14:textId="77777777" w:rsidTr="004E2271">
        <w:tc>
          <w:tcPr>
            <w:tcW w:w="1346" w:type="dxa"/>
          </w:tcPr>
          <w:p w14:paraId="7F1C3475" w14:textId="77777777" w:rsidR="00130AB3" w:rsidRPr="00D63217" w:rsidRDefault="00130AB3" w:rsidP="00C23C09">
            <w:pPr>
              <w:pStyle w:val="TableText"/>
              <w:rPr>
                <w:rFonts w:eastAsia="Calibri"/>
              </w:rPr>
            </w:pPr>
            <w:r w:rsidRPr="00D63217">
              <w:rPr>
                <w:rFonts w:eastAsia="Calibri"/>
              </w:rPr>
              <w:t>Cotton seed</w:t>
            </w:r>
          </w:p>
        </w:tc>
        <w:tc>
          <w:tcPr>
            <w:tcW w:w="1213" w:type="dxa"/>
          </w:tcPr>
          <w:p w14:paraId="7815601D" w14:textId="77777777" w:rsidR="00130AB3" w:rsidRPr="00D63217" w:rsidRDefault="00130AB3" w:rsidP="00C23C09">
            <w:pPr>
              <w:pStyle w:val="TableText"/>
              <w:rPr>
                <w:rFonts w:eastAsia="Calibri"/>
              </w:rPr>
            </w:pPr>
            <w:r w:rsidRPr="00D63217">
              <w:rPr>
                <w:rFonts w:eastAsia="Calibri"/>
              </w:rPr>
              <w:t>0.2 (current)</w:t>
            </w:r>
          </w:p>
        </w:tc>
        <w:tc>
          <w:tcPr>
            <w:tcW w:w="1201" w:type="dxa"/>
          </w:tcPr>
          <w:p w14:paraId="6715433A" w14:textId="77777777" w:rsidR="00130AB3" w:rsidRPr="00D63217" w:rsidRDefault="00130AB3" w:rsidP="00C23C09">
            <w:pPr>
              <w:pStyle w:val="TableText"/>
              <w:rPr>
                <w:rFonts w:eastAsia="Calibri"/>
              </w:rPr>
            </w:pPr>
            <w:r w:rsidRPr="00D63217">
              <w:rPr>
                <w:rFonts w:eastAsia="Calibri"/>
              </w:rPr>
              <w:t>2</w:t>
            </w:r>
          </w:p>
        </w:tc>
        <w:tc>
          <w:tcPr>
            <w:tcW w:w="1025" w:type="dxa"/>
          </w:tcPr>
          <w:p w14:paraId="35C0EA4D" w14:textId="77777777" w:rsidR="00130AB3" w:rsidRPr="00D63217" w:rsidRDefault="00130AB3" w:rsidP="00C23C09">
            <w:pPr>
              <w:pStyle w:val="TableText"/>
              <w:rPr>
                <w:rFonts w:eastAsia="Calibri"/>
              </w:rPr>
            </w:pPr>
            <w:r w:rsidRPr="00D63217">
              <w:rPr>
                <w:rFonts w:eastAsia="Calibri"/>
              </w:rPr>
              <w:t>*0.02</w:t>
            </w:r>
          </w:p>
        </w:tc>
        <w:tc>
          <w:tcPr>
            <w:tcW w:w="1152" w:type="dxa"/>
          </w:tcPr>
          <w:p w14:paraId="44E96AD5" w14:textId="77777777" w:rsidR="00130AB3" w:rsidRPr="00D63217" w:rsidRDefault="00130AB3" w:rsidP="00C23C09">
            <w:pPr>
              <w:pStyle w:val="TableText"/>
              <w:rPr>
                <w:rFonts w:eastAsia="Calibri"/>
              </w:rPr>
            </w:pPr>
            <w:r w:rsidRPr="00D63217">
              <w:rPr>
                <w:rFonts w:eastAsia="Calibri"/>
              </w:rPr>
              <w:t>0.2</w:t>
            </w:r>
          </w:p>
        </w:tc>
        <w:tc>
          <w:tcPr>
            <w:tcW w:w="1119" w:type="dxa"/>
          </w:tcPr>
          <w:p w14:paraId="49B44592" w14:textId="77777777" w:rsidR="00130AB3" w:rsidRPr="00D63217" w:rsidRDefault="00130AB3" w:rsidP="00C23C09">
            <w:pPr>
              <w:pStyle w:val="TableText"/>
              <w:rPr>
                <w:rFonts w:eastAsia="Calibri"/>
              </w:rPr>
            </w:pPr>
            <w:r w:rsidRPr="00D63217">
              <w:rPr>
                <w:rFonts w:eastAsia="Calibri"/>
              </w:rPr>
              <w:t>2.0</w:t>
            </w:r>
          </w:p>
        </w:tc>
        <w:tc>
          <w:tcPr>
            <w:tcW w:w="1105" w:type="dxa"/>
          </w:tcPr>
          <w:p w14:paraId="23DDC3DD" w14:textId="77777777" w:rsidR="00130AB3" w:rsidRPr="00D63217" w:rsidRDefault="00130AB3" w:rsidP="00C23C09">
            <w:pPr>
              <w:pStyle w:val="TableText"/>
              <w:rPr>
                <w:rFonts w:eastAsia="Calibri"/>
              </w:rPr>
            </w:pPr>
            <w:r w:rsidRPr="00D63217">
              <w:rPr>
                <w:rFonts w:eastAsia="Calibri"/>
              </w:rPr>
              <w:t>-</w:t>
            </w:r>
          </w:p>
        </w:tc>
        <w:tc>
          <w:tcPr>
            <w:tcW w:w="1125" w:type="dxa"/>
          </w:tcPr>
          <w:p w14:paraId="0DAFB640" w14:textId="77777777" w:rsidR="00130AB3" w:rsidRPr="00D63217" w:rsidRDefault="00130AB3" w:rsidP="00C23C09">
            <w:pPr>
              <w:pStyle w:val="TableText"/>
              <w:rPr>
                <w:rFonts w:eastAsia="Calibri"/>
              </w:rPr>
            </w:pPr>
            <w:r w:rsidRPr="00D63217">
              <w:rPr>
                <w:rFonts w:eastAsia="Calibri"/>
              </w:rPr>
              <w:t>3.5</w:t>
            </w:r>
          </w:p>
        </w:tc>
      </w:tr>
      <w:tr w:rsidR="00130AB3" w:rsidRPr="00D63217" w14:paraId="5FC330EC" w14:textId="77777777" w:rsidTr="004E2271">
        <w:tc>
          <w:tcPr>
            <w:tcW w:w="1346" w:type="dxa"/>
          </w:tcPr>
          <w:p w14:paraId="0657794D" w14:textId="16EB6CF7" w:rsidR="00130AB3" w:rsidRPr="00D63217" w:rsidRDefault="00130AB3" w:rsidP="00C23C09">
            <w:pPr>
              <w:pStyle w:val="TableText"/>
              <w:rPr>
                <w:rFonts w:eastAsia="Calibri"/>
              </w:rPr>
            </w:pPr>
            <w:r w:rsidRPr="00D63217">
              <w:rPr>
                <w:rFonts w:eastAsia="Calibri"/>
              </w:rPr>
              <w:t>Oilseed {except cotton seed}</w:t>
            </w:r>
          </w:p>
        </w:tc>
        <w:tc>
          <w:tcPr>
            <w:tcW w:w="1213" w:type="dxa"/>
          </w:tcPr>
          <w:p w14:paraId="64D543E8" w14:textId="77777777" w:rsidR="00130AB3" w:rsidRPr="00D63217" w:rsidRDefault="00130AB3" w:rsidP="00C23C09">
            <w:pPr>
              <w:pStyle w:val="TableText"/>
              <w:rPr>
                <w:rFonts w:eastAsia="Calibri"/>
              </w:rPr>
            </w:pPr>
            <w:r w:rsidRPr="00D63217">
              <w:rPr>
                <w:rFonts w:eastAsia="Calibri"/>
              </w:rPr>
              <w:t>*0.05 (current)</w:t>
            </w:r>
          </w:p>
        </w:tc>
        <w:tc>
          <w:tcPr>
            <w:tcW w:w="1201" w:type="dxa"/>
          </w:tcPr>
          <w:p w14:paraId="649AF950" w14:textId="77777777" w:rsidR="00130AB3" w:rsidRPr="00D63217" w:rsidRDefault="00130AB3" w:rsidP="00C23C09">
            <w:pPr>
              <w:pStyle w:val="TableText"/>
              <w:rPr>
                <w:rFonts w:eastAsia="Calibri"/>
              </w:rPr>
            </w:pPr>
            <w:r w:rsidRPr="00D63217">
              <w:rPr>
                <w:rFonts w:eastAsia="Calibri"/>
              </w:rPr>
              <w:t>2 (sunflower seed)</w:t>
            </w:r>
          </w:p>
        </w:tc>
        <w:tc>
          <w:tcPr>
            <w:tcW w:w="1025" w:type="dxa"/>
          </w:tcPr>
          <w:p w14:paraId="285B70B1" w14:textId="77777777" w:rsidR="00130AB3" w:rsidRPr="00D63217" w:rsidRDefault="00130AB3" w:rsidP="00C23C09">
            <w:pPr>
              <w:pStyle w:val="TableText"/>
              <w:rPr>
                <w:rFonts w:eastAsia="Calibri"/>
              </w:rPr>
            </w:pPr>
            <w:r w:rsidRPr="00D63217">
              <w:rPr>
                <w:rFonts w:eastAsia="Calibri"/>
              </w:rPr>
              <w:t>*0.02</w:t>
            </w:r>
          </w:p>
        </w:tc>
        <w:tc>
          <w:tcPr>
            <w:tcW w:w="1152" w:type="dxa"/>
          </w:tcPr>
          <w:p w14:paraId="56FF0F17" w14:textId="77777777" w:rsidR="00130AB3" w:rsidRPr="00D63217" w:rsidRDefault="00130AB3" w:rsidP="00C23C09">
            <w:pPr>
              <w:pStyle w:val="TableText"/>
              <w:rPr>
                <w:rFonts w:eastAsia="Calibri"/>
              </w:rPr>
            </w:pPr>
            <w:r w:rsidRPr="00D63217">
              <w:rPr>
                <w:rFonts w:eastAsia="Calibri"/>
              </w:rPr>
              <w:t>0.05 (rapeseeds)</w:t>
            </w:r>
          </w:p>
        </w:tc>
        <w:tc>
          <w:tcPr>
            <w:tcW w:w="1119" w:type="dxa"/>
          </w:tcPr>
          <w:p w14:paraId="11F2C890" w14:textId="77777777" w:rsidR="00130AB3" w:rsidRPr="00D63217" w:rsidRDefault="00130AB3" w:rsidP="00C23C09">
            <w:pPr>
              <w:pStyle w:val="TableText"/>
              <w:rPr>
                <w:rFonts w:eastAsia="Calibri"/>
              </w:rPr>
            </w:pPr>
            <w:r w:rsidRPr="00D63217">
              <w:rPr>
                <w:rFonts w:eastAsia="Calibri"/>
              </w:rPr>
              <w:t>-</w:t>
            </w:r>
          </w:p>
        </w:tc>
        <w:tc>
          <w:tcPr>
            <w:tcW w:w="1105" w:type="dxa"/>
          </w:tcPr>
          <w:p w14:paraId="2A0502AC" w14:textId="77777777" w:rsidR="00130AB3" w:rsidRPr="00D63217" w:rsidRDefault="00130AB3" w:rsidP="00C23C09">
            <w:pPr>
              <w:pStyle w:val="TableText"/>
              <w:rPr>
                <w:rFonts w:eastAsia="Calibri"/>
              </w:rPr>
            </w:pPr>
            <w:r w:rsidRPr="00D63217">
              <w:rPr>
                <w:rFonts w:eastAsia="Calibri"/>
              </w:rPr>
              <w:t>-</w:t>
            </w:r>
          </w:p>
        </w:tc>
        <w:tc>
          <w:tcPr>
            <w:tcW w:w="1125" w:type="dxa"/>
          </w:tcPr>
          <w:p w14:paraId="1D444978" w14:textId="77777777" w:rsidR="00130AB3" w:rsidRPr="00D63217" w:rsidRDefault="00130AB3" w:rsidP="00C23C09">
            <w:pPr>
              <w:pStyle w:val="TableText"/>
              <w:rPr>
                <w:rFonts w:eastAsia="Calibri"/>
              </w:rPr>
            </w:pPr>
            <w:r w:rsidRPr="00D63217">
              <w:rPr>
                <w:rFonts w:eastAsia="Calibri"/>
              </w:rPr>
              <w:t>2 (sunflower seed)</w:t>
            </w:r>
          </w:p>
        </w:tc>
      </w:tr>
      <w:tr w:rsidR="00130AB3" w:rsidRPr="00D63217" w14:paraId="37A2B64D" w14:textId="77777777" w:rsidTr="004E2271">
        <w:tc>
          <w:tcPr>
            <w:tcW w:w="1346" w:type="dxa"/>
          </w:tcPr>
          <w:p w14:paraId="5E38ADA4" w14:textId="77777777" w:rsidR="00130AB3" w:rsidRPr="00D63217" w:rsidRDefault="00130AB3" w:rsidP="00C23C09">
            <w:pPr>
              <w:pStyle w:val="TableText"/>
              <w:rPr>
                <w:rFonts w:eastAsia="Calibri"/>
              </w:rPr>
            </w:pPr>
            <w:r w:rsidRPr="00D63217">
              <w:rPr>
                <w:rFonts w:eastAsia="Calibri"/>
              </w:rPr>
              <w:t xml:space="preserve">Pulses </w:t>
            </w:r>
          </w:p>
        </w:tc>
        <w:tc>
          <w:tcPr>
            <w:tcW w:w="1213" w:type="dxa"/>
          </w:tcPr>
          <w:p w14:paraId="3F6A5999" w14:textId="77777777" w:rsidR="00130AB3" w:rsidRPr="00D63217" w:rsidRDefault="00130AB3" w:rsidP="00C23C09">
            <w:pPr>
              <w:pStyle w:val="TableText"/>
              <w:rPr>
                <w:rFonts w:eastAsia="Calibri"/>
              </w:rPr>
            </w:pPr>
            <w:r w:rsidRPr="00D63217">
              <w:rPr>
                <w:rFonts w:eastAsia="Calibri"/>
              </w:rPr>
              <w:t>1 (chickpeas, faba beans, field peas, lentils, lupins)</w:t>
            </w:r>
          </w:p>
          <w:p w14:paraId="74C567AC" w14:textId="5C6806C4" w:rsidR="00130AB3" w:rsidRPr="00D63217" w:rsidRDefault="00130AB3" w:rsidP="00C23C09">
            <w:pPr>
              <w:pStyle w:val="TableText"/>
              <w:rPr>
                <w:rFonts w:eastAsia="Calibri"/>
              </w:rPr>
            </w:pPr>
            <w:r w:rsidRPr="00D63217">
              <w:rPr>
                <w:rFonts w:eastAsia="Calibri"/>
              </w:rPr>
              <w:lastRenderedPageBreak/>
              <w:t>*0.05 (others</w:t>
            </w:r>
            <w:r w:rsidR="00061859" w:rsidRPr="00D63217">
              <w:rPr>
                <w:rFonts w:eastAsia="Calibri"/>
              </w:rPr>
              <w:t>)(</w:t>
            </w:r>
            <w:r w:rsidRPr="00D63217">
              <w:rPr>
                <w:rFonts w:eastAsia="Calibri"/>
              </w:rPr>
              <w:t>proposed</w:t>
            </w:r>
            <w:r w:rsidR="00061859" w:rsidRPr="00D63217">
              <w:rPr>
                <w:rFonts w:eastAsia="Calibri"/>
              </w:rPr>
              <w:t>)</w:t>
            </w:r>
          </w:p>
          <w:p w14:paraId="54271776" w14:textId="77777777" w:rsidR="00130AB3" w:rsidRPr="00D63217" w:rsidRDefault="00130AB3" w:rsidP="00C23C09">
            <w:pPr>
              <w:pStyle w:val="TableText"/>
              <w:rPr>
                <w:rFonts w:eastAsia="Calibri"/>
              </w:rPr>
            </w:pPr>
            <w:r w:rsidRPr="00D63217">
              <w:rPr>
                <w:rFonts w:eastAsia="Calibri"/>
              </w:rPr>
              <w:t>1 (current for all pulses)</w:t>
            </w:r>
          </w:p>
        </w:tc>
        <w:tc>
          <w:tcPr>
            <w:tcW w:w="1201" w:type="dxa"/>
          </w:tcPr>
          <w:p w14:paraId="7ABBEBF2" w14:textId="77777777" w:rsidR="00130AB3" w:rsidRPr="00D63217" w:rsidRDefault="00130AB3" w:rsidP="00C23C09">
            <w:pPr>
              <w:pStyle w:val="TableText"/>
              <w:rPr>
                <w:rFonts w:eastAsia="Calibri"/>
              </w:rPr>
            </w:pPr>
            <w:r w:rsidRPr="00D63217">
              <w:rPr>
                <w:rFonts w:eastAsia="Calibri"/>
              </w:rPr>
              <w:lastRenderedPageBreak/>
              <w:t>0.5 (pulses)</w:t>
            </w:r>
          </w:p>
        </w:tc>
        <w:tc>
          <w:tcPr>
            <w:tcW w:w="1025" w:type="dxa"/>
          </w:tcPr>
          <w:p w14:paraId="16579A34" w14:textId="77777777" w:rsidR="00130AB3" w:rsidRPr="00D63217" w:rsidRDefault="00130AB3" w:rsidP="00C23C09">
            <w:pPr>
              <w:pStyle w:val="TableText"/>
              <w:rPr>
                <w:rFonts w:eastAsia="Calibri"/>
              </w:rPr>
            </w:pPr>
            <w:r w:rsidRPr="00D63217">
              <w:rPr>
                <w:rFonts w:eastAsia="Calibri"/>
              </w:rPr>
              <w:t>*0.02</w:t>
            </w:r>
          </w:p>
        </w:tc>
        <w:tc>
          <w:tcPr>
            <w:tcW w:w="1152" w:type="dxa"/>
          </w:tcPr>
          <w:p w14:paraId="0E93930F" w14:textId="0683041D" w:rsidR="00130AB3" w:rsidRPr="00D63217" w:rsidRDefault="00130AB3" w:rsidP="00070348">
            <w:pPr>
              <w:pStyle w:val="TableText"/>
              <w:rPr>
                <w:rFonts w:eastAsia="Calibri"/>
              </w:rPr>
            </w:pPr>
            <w:r w:rsidRPr="00D63217">
              <w:rPr>
                <w:rFonts w:eastAsia="Calibri"/>
              </w:rPr>
              <w:t>0.05 (beans, dried)</w:t>
            </w:r>
            <w:r w:rsidR="00070348" w:rsidRPr="00D63217">
              <w:rPr>
                <w:rFonts w:eastAsia="Calibri"/>
              </w:rPr>
              <w:br/>
            </w:r>
            <w:r w:rsidRPr="00D63217">
              <w:rPr>
                <w:rFonts w:eastAsia="Calibri"/>
              </w:rPr>
              <w:t xml:space="preserve">0.05 (other legumes / </w:t>
            </w:r>
            <w:r w:rsidRPr="00D63217">
              <w:rPr>
                <w:rFonts w:eastAsia="Calibri"/>
              </w:rPr>
              <w:lastRenderedPageBreak/>
              <w:t>pulses)</w:t>
            </w:r>
            <w:r w:rsidR="00070348" w:rsidRPr="00D63217">
              <w:rPr>
                <w:rFonts w:eastAsia="Calibri"/>
              </w:rPr>
              <w:br/>
            </w:r>
            <w:r w:rsidRPr="00D63217">
              <w:rPr>
                <w:rFonts w:eastAsia="Calibri"/>
              </w:rPr>
              <w:t>0.1 (soya bean)</w:t>
            </w:r>
          </w:p>
        </w:tc>
        <w:tc>
          <w:tcPr>
            <w:tcW w:w="1119" w:type="dxa"/>
          </w:tcPr>
          <w:p w14:paraId="3D22E5EA" w14:textId="6F39EA56" w:rsidR="00130AB3" w:rsidRPr="00D63217" w:rsidRDefault="00130AB3" w:rsidP="00C23C09">
            <w:pPr>
              <w:pStyle w:val="TableText"/>
              <w:rPr>
                <w:rFonts w:eastAsia="Calibri"/>
              </w:rPr>
            </w:pPr>
            <w:r w:rsidRPr="00D63217">
              <w:rPr>
                <w:rFonts w:eastAsia="Calibri"/>
              </w:rPr>
              <w:lastRenderedPageBreak/>
              <w:t>0.2</w:t>
            </w:r>
            <w:r w:rsidR="00C23C09" w:rsidRPr="00D63217">
              <w:rPr>
                <w:rFonts w:eastAsia="Calibri"/>
              </w:rPr>
              <w:t xml:space="preserve"> </w:t>
            </w:r>
            <w:r w:rsidRPr="00D63217">
              <w:rPr>
                <w:rFonts w:eastAsia="Calibri"/>
              </w:rPr>
              <w:t>(soya bean)</w:t>
            </w:r>
          </w:p>
        </w:tc>
        <w:tc>
          <w:tcPr>
            <w:tcW w:w="1105" w:type="dxa"/>
          </w:tcPr>
          <w:p w14:paraId="7EDB03CB" w14:textId="77777777" w:rsidR="00130AB3" w:rsidRPr="00D63217" w:rsidRDefault="00130AB3" w:rsidP="00C23C09">
            <w:pPr>
              <w:pStyle w:val="TableText"/>
              <w:rPr>
                <w:rFonts w:eastAsia="Calibri"/>
              </w:rPr>
            </w:pPr>
            <w:r w:rsidRPr="00D63217">
              <w:rPr>
                <w:rFonts w:eastAsia="Calibri"/>
              </w:rPr>
              <w:t>0.5 (soya bean)</w:t>
            </w:r>
          </w:p>
        </w:tc>
        <w:tc>
          <w:tcPr>
            <w:tcW w:w="1125" w:type="dxa"/>
          </w:tcPr>
          <w:p w14:paraId="7B639D9E" w14:textId="486620F4" w:rsidR="00130AB3" w:rsidRPr="00D63217" w:rsidRDefault="00130AB3" w:rsidP="00070348">
            <w:pPr>
              <w:pStyle w:val="TableText"/>
              <w:rPr>
                <w:rFonts w:eastAsia="Calibri"/>
              </w:rPr>
            </w:pPr>
            <w:r w:rsidRPr="00D63217">
              <w:rPr>
                <w:rFonts w:eastAsia="Calibri"/>
              </w:rPr>
              <w:t>0.3 (lentil, seed)</w:t>
            </w:r>
            <w:r w:rsidR="00070348" w:rsidRPr="00D63217">
              <w:rPr>
                <w:rFonts w:eastAsia="Calibri"/>
              </w:rPr>
              <w:br/>
            </w:r>
            <w:r w:rsidRPr="00D63217">
              <w:rPr>
                <w:rFonts w:eastAsia="Calibri"/>
              </w:rPr>
              <w:t xml:space="preserve">0.3 (pea and bean, dried and </w:t>
            </w:r>
            <w:r w:rsidRPr="00D63217">
              <w:rPr>
                <w:rFonts w:eastAsia="Calibri"/>
              </w:rPr>
              <w:lastRenderedPageBreak/>
              <w:t>shelled except soybean, guar bean)</w:t>
            </w:r>
            <w:r w:rsidR="00C23C09" w:rsidRPr="00D63217">
              <w:rPr>
                <w:rFonts w:eastAsia="Calibri"/>
              </w:rPr>
              <w:t xml:space="preserve"> </w:t>
            </w:r>
            <w:r w:rsidRPr="00D63217">
              <w:rPr>
                <w:rFonts w:eastAsia="Calibri"/>
              </w:rPr>
              <w:t>0.7 (soya bean)</w:t>
            </w:r>
          </w:p>
        </w:tc>
      </w:tr>
      <w:tr w:rsidR="00130AB3" w:rsidRPr="00D63217" w14:paraId="0D7E725B" w14:textId="77777777" w:rsidTr="004E2271">
        <w:tc>
          <w:tcPr>
            <w:tcW w:w="1346" w:type="dxa"/>
          </w:tcPr>
          <w:p w14:paraId="78388435" w14:textId="77777777" w:rsidR="00130AB3" w:rsidRPr="00D63217" w:rsidRDefault="00130AB3" w:rsidP="00AB5583">
            <w:pPr>
              <w:pStyle w:val="TableText"/>
              <w:rPr>
                <w:rFonts w:eastAsia="Calibri"/>
              </w:rPr>
            </w:pPr>
            <w:r w:rsidRPr="00D63217">
              <w:rPr>
                <w:rFonts w:eastAsia="Calibri"/>
              </w:rPr>
              <w:lastRenderedPageBreak/>
              <w:t>Sugar cane</w:t>
            </w:r>
          </w:p>
        </w:tc>
        <w:tc>
          <w:tcPr>
            <w:tcW w:w="1213" w:type="dxa"/>
          </w:tcPr>
          <w:p w14:paraId="2B34D619" w14:textId="77777777" w:rsidR="00130AB3" w:rsidRPr="00D63217" w:rsidRDefault="00130AB3" w:rsidP="00AB5583">
            <w:pPr>
              <w:pStyle w:val="TableText"/>
              <w:rPr>
                <w:rFonts w:eastAsia="Calibri"/>
              </w:rPr>
            </w:pPr>
            <w:r w:rsidRPr="00D63217">
              <w:rPr>
                <w:rFonts w:eastAsia="Calibri"/>
              </w:rPr>
              <w:t>*0.05 (current)</w:t>
            </w:r>
          </w:p>
        </w:tc>
        <w:tc>
          <w:tcPr>
            <w:tcW w:w="1201" w:type="dxa"/>
          </w:tcPr>
          <w:p w14:paraId="250645D7" w14:textId="77777777" w:rsidR="00130AB3" w:rsidRPr="00D63217" w:rsidRDefault="00130AB3" w:rsidP="00AB5583">
            <w:pPr>
              <w:pStyle w:val="TableText"/>
              <w:rPr>
                <w:rFonts w:eastAsia="Calibri"/>
              </w:rPr>
            </w:pPr>
            <w:r w:rsidRPr="00D63217">
              <w:rPr>
                <w:rFonts w:eastAsia="Calibri"/>
              </w:rPr>
              <w:t>-</w:t>
            </w:r>
          </w:p>
        </w:tc>
        <w:tc>
          <w:tcPr>
            <w:tcW w:w="1025" w:type="dxa"/>
          </w:tcPr>
          <w:p w14:paraId="7CB20AE4" w14:textId="77777777" w:rsidR="00130AB3" w:rsidRPr="00D63217" w:rsidRDefault="00130AB3" w:rsidP="00AB5583">
            <w:pPr>
              <w:pStyle w:val="TableText"/>
              <w:rPr>
                <w:rFonts w:eastAsia="Calibri"/>
              </w:rPr>
            </w:pPr>
            <w:r w:rsidRPr="00D63217">
              <w:rPr>
                <w:rFonts w:eastAsia="Calibri"/>
              </w:rPr>
              <w:t>*0.02</w:t>
            </w:r>
          </w:p>
        </w:tc>
        <w:tc>
          <w:tcPr>
            <w:tcW w:w="1152" w:type="dxa"/>
          </w:tcPr>
          <w:p w14:paraId="5558B919" w14:textId="77777777" w:rsidR="00130AB3" w:rsidRPr="00D63217" w:rsidRDefault="00130AB3" w:rsidP="00AB5583">
            <w:pPr>
              <w:pStyle w:val="TableText"/>
              <w:rPr>
                <w:rFonts w:eastAsia="Calibri"/>
              </w:rPr>
            </w:pPr>
            <w:r w:rsidRPr="00D63217">
              <w:rPr>
                <w:rFonts w:eastAsia="Calibri"/>
              </w:rPr>
              <w:t>0.3</w:t>
            </w:r>
          </w:p>
        </w:tc>
        <w:tc>
          <w:tcPr>
            <w:tcW w:w="1119" w:type="dxa"/>
          </w:tcPr>
          <w:p w14:paraId="47C1E00E" w14:textId="77777777" w:rsidR="00130AB3" w:rsidRPr="00D63217" w:rsidRDefault="00130AB3" w:rsidP="00AB5583">
            <w:pPr>
              <w:pStyle w:val="TableText"/>
              <w:rPr>
                <w:rFonts w:eastAsia="Calibri"/>
              </w:rPr>
            </w:pPr>
            <w:r w:rsidRPr="00D63217">
              <w:rPr>
                <w:rFonts w:eastAsia="Calibri"/>
              </w:rPr>
              <w:t>-</w:t>
            </w:r>
          </w:p>
        </w:tc>
        <w:tc>
          <w:tcPr>
            <w:tcW w:w="1105" w:type="dxa"/>
          </w:tcPr>
          <w:p w14:paraId="73BD491B" w14:textId="77777777" w:rsidR="00130AB3" w:rsidRPr="00D63217" w:rsidRDefault="00130AB3" w:rsidP="00AB5583">
            <w:pPr>
              <w:pStyle w:val="TableText"/>
              <w:rPr>
                <w:rFonts w:eastAsia="Calibri"/>
              </w:rPr>
            </w:pPr>
            <w:r w:rsidRPr="00D63217">
              <w:rPr>
                <w:rFonts w:eastAsia="Calibri"/>
              </w:rPr>
              <w:t>-</w:t>
            </w:r>
          </w:p>
        </w:tc>
        <w:tc>
          <w:tcPr>
            <w:tcW w:w="1125" w:type="dxa"/>
          </w:tcPr>
          <w:p w14:paraId="3FAA90B6" w14:textId="77777777" w:rsidR="00130AB3" w:rsidRPr="00D63217" w:rsidRDefault="00130AB3" w:rsidP="00AB5583">
            <w:pPr>
              <w:pStyle w:val="TableText"/>
              <w:rPr>
                <w:rFonts w:eastAsia="Calibri"/>
              </w:rPr>
            </w:pPr>
            <w:r w:rsidRPr="00D63217">
              <w:rPr>
                <w:rFonts w:eastAsia="Calibri"/>
              </w:rPr>
              <w:t>0.5</w:t>
            </w:r>
          </w:p>
        </w:tc>
      </w:tr>
      <w:tr w:rsidR="00130AB3" w:rsidRPr="00D63217" w14:paraId="785768CE" w14:textId="77777777" w:rsidTr="004E2271">
        <w:tc>
          <w:tcPr>
            <w:tcW w:w="1346" w:type="dxa"/>
          </w:tcPr>
          <w:p w14:paraId="46F5D78A" w14:textId="3D042EF2" w:rsidR="00130AB3" w:rsidRPr="00D63217" w:rsidRDefault="00130AB3" w:rsidP="00AB5583">
            <w:pPr>
              <w:pStyle w:val="TableText"/>
              <w:rPr>
                <w:rFonts w:eastAsia="Calibri"/>
              </w:rPr>
            </w:pPr>
            <w:r w:rsidRPr="00D63217">
              <w:rPr>
                <w:rFonts w:eastAsia="Calibri"/>
              </w:rPr>
              <w:t>Berries and other small fruits (grapes)</w:t>
            </w:r>
          </w:p>
        </w:tc>
        <w:tc>
          <w:tcPr>
            <w:tcW w:w="1213" w:type="dxa"/>
          </w:tcPr>
          <w:p w14:paraId="0D95D9E1" w14:textId="456D16C4" w:rsidR="00130AB3" w:rsidRPr="00D63217" w:rsidRDefault="00130AB3" w:rsidP="00AB5583">
            <w:pPr>
              <w:pStyle w:val="TableText"/>
              <w:rPr>
                <w:rFonts w:eastAsia="Calibri"/>
              </w:rPr>
            </w:pPr>
            <w:r w:rsidRPr="00D63217">
              <w:rPr>
                <w:rFonts w:eastAsia="Calibri"/>
              </w:rPr>
              <w:t>*0.01 (proposed)</w:t>
            </w:r>
          </w:p>
          <w:p w14:paraId="48D43486" w14:textId="35158347" w:rsidR="00130AB3" w:rsidRPr="00D63217" w:rsidRDefault="00130AB3" w:rsidP="00AB5583">
            <w:pPr>
              <w:pStyle w:val="TableText"/>
              <w:rPr>
                <w:rFonts w:eastAsia="Calibri"/>
              </w:rPr>
            </w:pPr>
            <w:r w:rsidRPr="00D63217">
              <w:rPr>
                <w:rFonts w:eastAsia="Calibri"/>
              </w:rPr>
              <w:t>Current:</w:t>
            </w:r>
          </w:p>
          <w:p w14:paraId="0FEFE3D5" w14:textId="155A1C81" w:rsidR="00130AB3" w:rsidRPr="00D63217" w:rsidRDefault="00130AB3" w:rsidP="00AB5583">
            <w:pPr>
              <w:pStyle w:val="TableText"/>
              <w:rPr>
                <w:rFonts w:eastAsia="Calibri"/>
              </w:rPr>
            </w:pPr>
            <w:r w:rsidRPr="00D63217">
              <w:rPr>
                <w:rFonts w:eastAsia="Calibri"/>
              </w:rPr>
              <w:t>*0.05 (Fruits, except olives)</w:t>
            </w:r>
          </w:p>
        </w:tc>
        <w:tc>
          <w:tcPr>
            <w:tcW w:w="1201" w:type="dxa"/>
          </w:tcPr>
          <w:p w14:paraId="01040C1E" w14:textId="6F98E372" w:rsidR="00130AB3" w:rsidRPr="00D63217" w:rsidRDefault="00130AB3" w:rsidP="00AB5583">
            <w:pPr>
              <w:pStyle w:val="TableText"/>
              <w:rPr>
                <w:rFonts w:eastAsia="Calibri"/>
              </w:rPr>
            </w:pPr>
            <w:r w:rsidRPr="00D63217">
              <w:rPr>
                <w:rFonts w:eastAsia="Calibri"/>
              </w:rPr>
              <w:t>0.01</w:t>
            </w:r>
          </w:p>
        </w:tc>
        <w:tc>
          <w:tcPr>
            <w:tcW w:w="1025" w:type="dxa"/>
          </w:tcPr>
          <w:p w14:paraId="1351950C" w14:textId="0B62FD37" w:rsidR="00130AB3" w:rsidRPr="00D63217" w:rsidRDefault="00130AB3" w:rsidP="00AB5583">
            <w:pPr>
              <w:pStyle w:val="TableText"/>
              <w:rPr>
                <w:rFonts w:eastAsia="Calibri"/>
              </w:rPr>
            </w:pPr>
            <w:r w:rsidRPr="00D63217">
              <w:rPr>
                <w:rFonts w:eastAsia="Calibri"/>
              </w:rPr>
              <w:t>*0.02 (grapes)</w:t>
            </w:r>
          </w:p>
        </w:tc>
        <w:tc>
          <w:tcPr>
            <w:tcW w:w="1152" w:type="dxa"/>
          </w:tcPr>
          <w:p w14:paraId="3BCF9F0A" w14:textId="70A880D2" w:rsidR="00130AB3" w:rsidRPr="00D63217" w:rsidRDefault="00130AB3" w:rsidP="00AB5583">
            <w:pPr>
              <w:pStyle w:val="TableText"/>
              <w:rPr>
                <w:rFonts w:eastAsia="Calibri"/>
              </w:rPr>
            </w:pPr>
            <w:r w:rsidRPr="00D63217">
              <w:rPr>
                <w:rFonts w:eastAsia="Calibri"/>
              </w:rPr>
              <w:t>0.05</w:t>
            </w:r>
          </w:p>
        </w:tc>
        <w:tc>
          <w:tcPr>
            <w:tcW w:w="1119" w:type="dxa"/>
          </w:tcPr>
          <w:p w14:paraId="27151205" w14:textId="77777777" w:rsidR="00130AB3" w:rsidRPr="00D63217" w:rsidRDefault="00130AB3" w:rsidP="00AB5583">
            <w:pPr>
              <w:pStyle w:val="TableText"/>
              <w:rPr>
                <w:rFonts w:eastAsia="Calibri"/>
              </w:rPr>
            </w:pPr>
          </w:p>
        </w:tc>
        <w:tc>
          <w:tcPr>
            <w:tcW w:w="1105" w:type="dxa"/>
          </w:tcPr>
          <w:p w14:paraId="6E6121A1" w14:textId="64C83BBC" w:rsidR="00130AB3" w:rsidRPr="00D63217" w:rsidRDefault="00130AB3" w:rsidP="00AB5583">
            <w:pPr>
              <w:pStyle w:val="TableText"/>
              <w:rPr>
                <w:rFonts w:eastAsia="Calibri"/>
              </w:rPr>
            </w:pPr>
            <w:r w:rsidRPr="00D63217">
              <w:rPr>
                <w:rFonts w:eastAsia="Calibri"/>
              </w:rPr>
              <w:t>0.01 (grape)</w:t>
            </w:r>
          </w:p>
        </w:tc>
        <w:tc>
          <w:tcPr>
            <w:tcW w:w="1125" w:type="dxa"/>
          </w:tcPr>
          <w:p w14:paraId="1F541932" w14:textId="0386C88B" w:rsidR="00130AB3" w:rsidRPr="00D63217" w:rsidRDefault="00130AB3" w:rsidP="00AB5583">
            <w:pPr>
              <w:pStyle w:val="TableText"/>
              <w:rPr>
                <w:rFonts w:eastAsia="Calibri"/>
              </w:rPr>
            </w:pPr>
            <w:r w:rsidRPr="00D63217">
              <w:rPr>
                <w:rFonts w:eastAsia="Calibri"/>
              </w:rPr>
              <w:t>0.05 (grape)</w:t>
            </w:r>
          </w:p>
        </w:tc>
      </w:tr>
      <w:tr w:rsidR="00130AB3" w:rsidRPr="00D63217" w14:paraId="11B31F14" w14:textId="77777777" w:rsidTr="004E2271">
        <w:tc>
          <w:tcPr>
            <w:tcW w:w="1346" w:type="dxa"/>
          </w:tcPr>
          <w:p w14:paraId="4C5C9847" w14:textId="3A1E1CF9" w:rsidR="00130AB3" w:rsidRPr="00D63217" w:rsidRDefault="00130AB3" w:rsidP="00AB5583">
            <w:pPr>
              <w:pStyle w:val="TableText"/>
              <w:rPr>
                <w:rFonts w:eastAsia="Calibri"/>
              </w:rPr>
            </w:pPr>
            <w:r w:rsidRPr="00D63217">
              <w:rPr>
                <w:rFonts w:eastAsia="Calibri"/>
              </w:rPr>
              <w:t>Citrus fruit</w:t>
            </w:r>
          </w:p>
        </w:tc>
        <w:tc>
          <w:tcPr>
            <w:tcW w:w="1213" w:type="dxa"/>
          </w:tcPr>
          <w:p w14:paraId="28325902" w14:textId="3AF775B2" w:rsidR="00130AB3" w:rsidRPr="00D63217" w:rsidRDefault="00130AB3" w:rsidP="00AB5583">
            <w:pPr>
              <w:pStyle w:val="TableText"/>
              <w:rPr>
                <w:rFonts w:eastAsia="Calibri"/>
              </w:rPr>
            </w:pPr>
            <w:r w:rsidRPr="00D63217">
              <w:rPr>
                <w:rFonts w:eastAsia="Calibri"/>
              </w:rPr>
              <w:t>*0.01 (proposed)</w:t>
            </w:r>
          </w:p>
          <w:p w14:paraId="2E8D6AA2" w14:textId="1F424F15" w:rsidR="00130AB3" w:rsidRPr="00D63217" w:rsidRDefault="00130AB3" w:rsidP="00AB5583">
            <w:pPr>
              <w:pStyle w:val="TableText"/>
              <w:rPr>
                <w:rFonts w:eastAsia="Calibri"/>
              </w:rPr>
            </w:pPr>
            <w:r w:rsidRPr="00D63217">
              <w:rPr>
                <w:rFonts w:eastAsia="Calibri"/>
              </w:rPr>
              <w:t>Current:</w:t>
            </w:r>
          </w:p>
          <w:p w14:paraId="02409894" w14:textId="4DE08A15" w:rsidR="00130AB3" w:rsidRPr="00D63217" w:rsidRDefault="00130AB3" w:rsidP="00AB5583">
            <w:pPr>
              <w:pStyle w:val="TableText"/>
              <w:rPr>
                <w:rFonts w:eastAsia="Calibri"/>
              </w:rPr>
            </w:pPr>
            <w:r w:rsidRPr="00D63217">
              <w:rPr>
                <w:rFonts w:eastAsia="Calibri"/>
              </w:rPr>
              <w:t>*0.05 (Fruits, except olives)</w:t>
            </w:r>
          </w:p>
        </w:tc>
        <w:tc>
          <w:tcPr>
            <w:tcW w:w="1201" w:type="dxa"/>
          </w:tcPr>
          <w:p w14:paraId="032A2370" w14:textId="731FC99E" w:rsidR="00130AB3" w:rsidRPr="00D63217" w:rsidRDefault="00130AB3" w:rsidP="00AB5583">
            <w:pPr>
              <w:pStyle w:val="TableText"/>
              <w:rPr>
                <w:rFonts w:eastAsia="Calibri"/>
              </w:rPr>
            </w:pPr>
            <w:r w:rsidRPr="00D63217">
              <w:rPr>
                <w:rFonts w:eastAsia="Calibri"/>
              </w:rPr>
              <w:t>0.02</w:t>
            </w:r>
          </w:p>
        </w:tc>
        <w:tc>
          <w:tcPr>
            <w:tcW w:w="1025" w:type="dxa"/>
          </w:tcPr>
          <w:p w14:paraId="029E1F9D" w14:textId="3E0F7C49" w:rsidR="00130AB3" w:rsidRPr="00D63217" w:rsidRDefault="00130AB3" w:rsidP="00AB5583">
            <w:pPr>
              <w:pStyle w:val="TableText"/>
              <w:rPr>
                <w:rFonts w:eastAsia="Calibri"/>
              </w:rPr>
            </w:pPr>
            <w:r w:rsidRPr="00D63217">
              <w:rPr>
                <w:rFonts w:eastAsia="Calibri"/>
              </w:rPr>
              <w:t>*0.02</w:t>
            </w:r>
          </w:p>
        </w:tc>
        <w:tc>
          <w:tcPr>
            <w:tcW w:w="1152" w:type="dxa"/>
          </w:tcPr>
          <w:p w14:paraId="072F7CB0" w14:textId="22F57829" w:rsidR="00130AB3" w:rsidRPr="00D63217" w:rsidRDefault="00130AB3" w:rsidP="00AB5583">
            <w:pPr>
              <w:pStyle w:val="TableText"/>
              <w:rPr>
                <w:rFonts w:eastAsia="Calibri"/>
              </w:rPr>
            </w:pPr>
            <w:r w:rsidRPr="00D63217">
              <w:rPr>
                <w:rFonts w:eastAsia="Calibri"/>
              </w:rPr>
              <w:t>0.05</w:t>
            </w:r>
          </w:p>
        </w:tc>
        <w:tc>
          <w:tcPr>
            <w:tcW w:w="1119" w:type="dxa"/>
          </w:tcPr>
          <w:p w14:paraId="43CF0FB2" w14:textId="1A64AAB4" w:rsidR="00130AB3" w:rsidRPr="00D63217" w:rsidRDefault="00130AB3" w:rsidP="00AB5583">
            <w:pPr>
              <w:pStyle w:val="TableText"/>
              <w:rPr>
                <w:rFonts w:eastAsia="Calibri"/>
              </w:rPr>
            </w:pPr>
            <w:r w:rsidRPr="00D63217">
              <w:rPr>
                <w:rFonts w:eastAsia="Calibri"/>
              </w:rPr>
              <w:t>-</w:t>
            </w:r>
          </w:p>
        </w:tc>
        <w:tc>
          <w:tcPr>
            <w:tcW w:w="1105" w:type="dxa"/>
          </w:tcPr>
          <w:p w14:paraId="7999F34F" w14:textId="14E1180F" w:rsidR="00130AB3" w:rsidRPr="00D63217" w:rsidRDefault="00130AB3" w:rsidP="00AB5583">
            <w:pPr>
              <w:pStyle w:val="TableText"/>
              <w:rPr>
                <w:rFonts w:eastAsia="Calibri"/>
              </w:rPr>
            </w:pPr>
            <w:r w:rsidRPr="00D63217">
              <w:rPr>
                <w:rFonts w:eastAsia="Calibri"/>
              </w:rPr>
              <w:t>-</w:t>
            </w:r>
          </w:p>
        </w:tc>
        <w:tc>
          <w:tcPr>
            <w:tcW w:w="1125" w:type="dxa"/>
          </w:tcPr>
          <w:p w14:paraId="22181A3B" w14:textId="6489C896" w:rsidR="00130AB3" w:rsidRPr="00D63217" w:rsidRDefault="00130AB3" w:rsidP="00AB5583">
            <w:pPr>
              <w:pStyle w:val="TableText"/>
              <w:rPr>
                <w:rFonts w:eastAsia="Calibri"/>
              </w:rPr>
            </w:pPr>
            <w:r w:rsidRPr="00D63217">
              <w:rPr>
                <w:rFonts w:eastAsia="Calibri"/>
              </w:rPr>
              <w:t>0.05</w:t>
            </w:r>
          </w:p>
        </w:tc>
      </w:tr>
      <w:tr w:rsidR="00130AB3" w:rsidRPr="00D63217" w14:paraId="5EB55D2F" w14:textId="77777777" w:rsidTr="004E2271">
        <w:tc>
          <w:tcPr>
            <w:tcW w:w="1346" w:type="dxa"/>
          </w:tcPr>
          <w:p w14:paraId="1FBC0D59" w14:textId="466F59B1" w:rsidR="00130AB3" w:rsidRPr="00D63217" w:rsidRDefault="00130AB3" w:rsidP="00AB5583">
            <w:pPr>
              <w:pStyle w:val="TableText"/>
              <w:rPr>
                <w:rFonts w:eastAsia="Calibri"/>
              </w:rPr>
            </w:pPr>
            <w:r w:rsidRPr="00D63217">
              <w:rPr>
                <w:rFonts w:eastAsia="Calibri"/>
              </w:rPr>
              <w:t>Pome fruit</w:t>
            </w:r>
          </w:p>
        </w:tc>
        <w:tc>
          <w:tcPr>
            <w:tcW w:w="1213" w:type="dxa"/>
          </w:tcPr>
          <w:p w14:paraId="0C58C2F6" w14:textId="5F79854D" w:rsidR="00130AB3" w:rsidRPr="00D63217" w:rsidRDefault="00130AB3" w:rsidP="00AB5583">
            <w:pPr>
              <w:pStyle w:val="TableText"/>
              <w:rPr>
                <w:rFonts w:eastAsia="Calibri"/>
              </w:rPr>
            </w:pPr>
            <w:r w:rsidRPr="00D63217">
              <w:rPr>
                <w:rFonts w:eastAsia="Calibri"/>
              </w:rPr>
              <w:t>*0.01 (proposed)</w:t>
            </w:r>
          </w:p>
          <w:p w14:paraId="4F56282F" w14:textId="7AA7BD7B" w:rsidR="00130AB3" w:rsidRPr="00D63217" w:rsidRDefault="00130AB3" w:rsidP="00AB5583">
            <w:pPr>
              <w:pStyle w:val="TableText"/>
              <w:rPr>
                <w:rFonts w:eastAsia="Calibri"/>
              </w:rPr>
            </w:pPr>
            <w:r w:rsidRPr="00D63217">
              <w:rPr>
                <w:rFonts w:eastAsia="Calibri"/>
              </w:rPr>
              <w:t>Current:</w:t>
            </w:r>
          </w:p>
          <w:p w14:paraId="3750620D" w14:textId="101D1305" w:rsidR="00130AB3" w:rsidRPr="00D63217" w:rsidRDefault="00130AB3" w:rsidP="00AB5583">
            <w:pPr>
              <w:pStyle w:val="TableText"/>
              <w:rPr>
                <w:rFonts w:eastAsia="Calibri"/>
              </w:rPr>
            </w:pPr>
            <w:r w:rsidRPr="00D63217">
              <w:rPr>
                <w:rFonts w:eastAsia="Calibri"/>
              </w:rPr>
              <w:t>*0.05 (Fruits, except olives)</w:t>
            </w:r>
          </w:p>
        </w:tc>
        <w:tc>
          <w:tcPr>
            <w:tcW w:w="1201" w:type="dxa"/>
          </w:tcPr>
          <w:p w14:paraId="21CE516F" w14:textId="7E73A390" w:rsidR="00130AB3" w:rsidRPr="00D63217" w:rsidRDefault="00130AB3" w:rsidP="00AB5583">
            <w:pPr>
              <w:pStyle w:val="TableText"/>
              <w:rPr>
                <w:rFonts w:eastAsia="Calibri"/>
              </w:rPr>
            </w:pPr>
            <w:r w:rsidRPr="00D63217">
              <w:rPr>
                <w:rFonts w:eastAsia="Calibri"/>
              </w:rPr>
              <w:t>0.01</w:t>
            </w:r>
          </w:p>
        </w:tc>
        <w:tc>
          <w:tcPr>
            <w:tcW w:w="1025" w:type="dxa"/>
          </w:tcPr>
          <w:p w14:paraId="0316D875" w14:textId="0B6D62CA" w:rsidR="00130AB3" w:rsidRPr="00D63217" w:rsidRDefault="00130AB3" w:rsidP="00AB5583">
            <w:pPr>
              <w:pStyle w:val="TableText"/>
              <w:rPr>
                <w:rFonts w:eastAsia="Calibri"/>
              </w:rPr>
            </w:pPr>
            <w:r w:rsidRPr="00D63217">
              <w:rPr>
                <w:rFonts w:eastAsia="Calibri"/>
              </w:rPr>
              <w:t>*0.02</w:t>
            </w:r>
          </w:p>
        </w:tc>
        <w:tc>
          <w:tcPr>
            <w:tcW w:w="1152" w:type="dxa"/>
          </w:tcPr>
          <w:p w14:paraId="1E7ABEC6" w14:textId="4FB26F87" w:rsidR="00130AB3" w:rsidRPr="00D63217" w:rsidRDefault="00130AB3" w:rsidP="00AB5583">
            <w:pPr>
              <w:pStyle w:val="TableText"/>
              <w:rPr>
                <w:rFonts w:eastAsia="Calibri"/>
              </w:rPr>
            </w:pPr>
            <w:r w:rsidRPr="00D63217">
              <w:rPr>
                <w:rFonts w:eastAsia="Calibri"/>
              </w:rPr>
              <w:t>0.05</w:t>
            </w:r>
          </w:p>
        </w:tc>
        <w:tc>
          <w:tcPr>
            <w:tcW w:w="1119" w:type="dxa"/>
          </w:tcPr>
          <w:p w14:paraId="65F5633C" w14:textId="72EED6C6" w:rsidR="00130AB3" w:rsidRPr="00D63217" w:rsidRDefault="00130AB3" w:rsidP="00AB5583">
            <w:pPr>
              <w:pStyle w:val="TableText"/>
              <w:rPr>
                <w:rFonts w:eastAsia="Calibri"/>
              </w:rPr>
            </w:pPr>
            <w:r w:rsidRPr="00D63217">
              <w:rPr>
                <w:rFonts w:eastAsia="Calibri"/>
              </w:rPr>
              <w:t>-</w:t>
            </w:r>
          </w:p>
        </w:tc>
        <w:tc>
          <w:tcPr>
            <w:tcW w:w="1105" w:type="dxa"/>
          </w:tcPr>
          <w:p w14:paraId="11ECD336" w14:textId="2E399AA7" w:rsidR="00130AB3" w:rsidRPr="00D63217" w:rsidRDefault="00130AB3" w:rsidP="00AB5583">
            <w:pPr>
              <w:pStyle w:val="TableText"/>
              <w:rPr>
                <w:rFonts w:eastAsia="Calibri"/>
              </w:rPr>
            </w:pPr>
            <w:r w:rsidRPr="00D63217">
              <w:rPr>
                <w:rFonts w:eastAsia="Calibri"/>
              </w:rPr>
              <w:t>0.01</w:t>
            </w:r>
          </w:p>
        </w:tc>
        <w:tc>
          <w:tcPr>
            <w:tcW w:w="1125" w:type="dxa"/>
          </w:tcPr>
          <w:p w14:paraId="456F6CFF" w14:textId="304A5207" w:rsidR="00130AB3" w:rsidRPr="00D63217" w:rsidRDefault="00130AB3" w:rsidP="00AB5583">
            <w:pPr>
              <w:pStyle w:val="TableText"/>
              <w:rPr>
                <w:rFonts w:eastAsia="Calibri"/>
              </w:rPr>
            </w:pPr>
            <w:r w:rsidRPr="00D63217">
              <w:rPr>
                <w:rFonts w:eastAsia="Calibri"/>
              </w:rPr>
              <w:t>0.05</w:t>
            </w:r>
          </w:p>
        </w:tc>
      </w:tr>
      <w:tr w:rsidR="00130AB3" w:rsidRPr="00D63217" w14:paraId="7898339B" w14:textId="77777777" w:rsidTr="004E2271">
        <w:tc>
          <w:tcPr>
            <w:tcW w:w="1346" w:type="dxa"/>
          </w:tcPr>
          <w:p w14:paraId="6EC4B926" w14:textId="4332C1CA" w:rsidR="00130AB3" w:rsidRPr="00D63217" w:rsidRDefault="00130AB3" w:rsidP="00AB5583">
            <w:pPr>
              <w:pStyle w:val="TableText"/>
              <w:rPr>
                <w:rFonts w:eastAsia="Calibri"/>
              </w:rPr>
            </w:pPr>
            <w:r w:rsidRPr="00D63217">
              <w:rPr>
                <w:rFonts w:eastAsia="Calibri"/>
              </w:rPr>
              <w:t>Stone fruit</w:t>
            </w:r>
          </w:p>
        </w:tc>
        <w:tc>
          <w:tcPr>
            <w:tcW w:w="1213" w:type="dxa"/>
          </w:tcPr>
          <w:p w14:paraId="0BFFE849" w14:textId="64708714" w:rsidR="00130AB3" w:rsidRPr="00D63217" w:rsidRDefault="00130AB3" w:rsidP="00AB5583">
            <w:pPr>
              <w:pStyle w:val="TableText"/>
              <w:rPr>
                <w:rFonts w:eastAsia="Calibri"/>
              </w:rPr>
            </w:pPr>
            <w:r w:rsidRPr="00D63217">
              <w:rPr>
                <w:rFonts w:eastAsia="Calibri"/>
              </w:rPr>
              <w:t>*0.01 (proposed)</w:t>
            </w:r>
          </w:p>
          <w:p w14:paraId="66786F95" w14:textId="763E0CC0" w:rsidR="00130AB3" w:rsidRPr="00D63217" w:rsidRDefault="00130AB3" w:rsidP="00AB5583">
            <w:pPr>
              <w:pStyle w:val="TableText"/>
              <w:rPr>
                <w:rFonts w:eastAsia="Calibri"/>
              </w:rPr>
            </w:pPr>
            <w:r w:rsidRPr="00D63217">
              <w:rPr>
                <w:rFonts w:eastAsia="Calibri"/>
              </w:rPr>
              <w:t>Current:</w:t>
            </w:r>
          </w:p>
          <w:p w14:paraId="355DA23D" w14:textId="457C0E05" w:rsidR="00130AB3" w:rsidRPr="00D63217" w:rsidRDefault="00130AB3" w:rsidP="00AB5583">
            <w:pPr>
              <w:pStyle w:val="TableText"/>
              <w:rPr>
                <w:rFonts w:eastAsia="Calibri"/>
              </w:rPr>
            </w:pPr>
            <w:r w:rsidRPr="00D63217">
              <w:rPr>
                <w:rFonts w:eastAsia="Calibri"/>
              </w:rPr>
              <w:t>*0.05 (Fruits, except olives)</w:t>
            </w:r>
          </w:p>
        </w:tc>
        <w:tc>
          <w:tcPr>
            <w:tcW w:w="1201" w:type="dxa"/>
          </w:tcPr>
          <w:p w14:paraId="6425C258" w14:textId="5A60C855" w:rsidR="00130AB3" w:rsidRPr="00D63217" w:rsidRDefault="00130AB3" w:rsidP="00AB5583">
            <w:pPr>
              <w:pStyle w:val="TableText"/>
              <w:rPr>
                <w:rFonts w:eastAsia="Calibri"/>
              </w:rPr>
            </w:pPr>
            <w:r w:rsidRPr="00D63217">
              <w:rPr>
                <w:rFonts w:eastAsia="Calibri"/>
              </w:rPr>
              <w:t>0.01</w:t>
            </w:r>
          </w:p>
        </w:tc>
        <w:tc>
          <w:tcPr>
            <w:tcW w:w="1025" w:type="dxa"/>
          </w:tcPr>
          <w:p w14:paraId="179D8F0D" w14:textId="7F89892F" w:rsidR="00130AB3" w:rsidRPr="00D63217" w:rsidRDefault="00130AB3" w:rsidP="00AB5583">
            <w:pPr>
              <w:pStyle w:val="TableText"/>
              <w:rPr>
                <w:rFonts w:eastAsia="Calibri"/>
              </w:rPr>
            </w:pPr>
            <w:r w:rsidRPr="00D63217">
              <w:rPr>
                <w:rFonts w:eastAsia="Calibri"/>
              </w:rPr>
              <w:t>*0.02</w:t>
            </w:r>
          </w:p>
        </w:tc>
        <w:tc>
          <w:tcPr>
            <w:tcW w:w="1152" w:type="dxa"/>
          </w:tcPr>
          <w:p w14:paraId="12859A7A" w14:textId="306A77FA" w:rsidR="00130AB3" w:rsidRPr="00D63217" w:rsidRDefault="00130AB3" w:rsidP="00AB5583">
            <w:pPr>
              <w:pStyle w:val="TableText"/>
              <w:rPr>
                <w:rFonts w:eastAsia="Calibri"/>
              </w:rPr>
            </w:pPr>
            <w:r w:rsidRPr="00D63217">
              <w:rPr>
                <w:rFonts w:eastAsia="Calibri"/>
              </w:rPr>
              <w:t>0.05</w:t>
            </w:r>
          </w:p>
        </w:tc>
        <w:tc>
          <w:tcPr>
            <w:tcW w:w="1119" w:type="dxa"/>
          </w:tcPr>
          <w:p w14:paraId="2A83E901" w14:textId="0A531572" w:rsidR="00130AB3" w:rsidRPr="00D63217" w:rsidRDefault="00130AB3" w:rsidP="00AB5583">
            <w:pPr>
              <w:pStyle w:val="TableText"/>
              <w:rPr>
                <w:rFonts w:eastAsia="Calibri"/>
              </w:rPr>
            </w:pPr>
            <w:r w:rsidRPr="00D63217">
              <w:rPr>
                <w:rFonts w:eastAsia="Calibri"/>
              </w:rPr>
              <w:t>-</w:t>
            </w:r>
          </w:p>
        </w:tc>
        <w:tc>
          <w:tcPr>
            <w:tcW w:w="1105" w:type="dxa"/>
          </w:tcPr>
          <w:p w14:paraId="218E850F" w14:textId="3BAD81A3" w:rsidR="00130AB3" w:rsidRPr="00D63217" w:rsidRDefault="00130AB3" w:rsidP="00AB5583">
            <w:pPr>
              <w:pStyle w:val="TableText"/>
              <w:rPr>
                <w:rFonts w:eastAsia="Calibri"/>
              </w:rPr>
            </w:pPr>
            <w:r w:rsidRPr="00D63217">
              <w:rPr>
                <w:rFonts w:eastAsia="Calibri"/>
              </w:rPr>
              <w:t>0.01 (cherry, nectarine, peach, plum, prune))</w:t>
            </w:r>
          </w:p>
        </w:tc>
        <w:tc>
          <w:tcPr>
            <w:tcW w:w="1125" w:type="dxa"/>
          </w:tcPr>
          <w:p w14:paraId="7393650A" w14:textId="38D0C1F4" w:rsidR="00130AB3" w:rsidRPr="00D63217" w:rsidRDefault="00130AB3" w:rsidP="00AB5583">
            <w:pPr>
              <w:pStyle w:val="TableText"/>
              <w:rPr>
                <w:rFonts w:eastAsia="Calibri"/>
              </w:rPr>
            </w:pPr>
            <w:r w:rsidRPr="00D63217">
              <w:rPr>
                <w:rFonts w:eastAsia="Calibri"/>
              </w:rPr>
              <w:t>0.05</w:t>
            </w:r>
          </w:p>
        </w:tc>
      </w:tr>
      <w:tr w:rsidR="00130AB3" w:rsidRPr="00D63217" w14:paraId="285C1A16" w14:textId="77777777" w:rsidTr="004E2271">
        <w:tc>
          <w:tcPr>
            <w:tcW w:w="1346" w:type="dxa"/>
          </w:tcPr>
          <w:p w14:paraId="0200AEA2" w14:textId="77777777" w:rsidR="00130AB3" w:rsidRPr="00D63217" w:rsidRDefault="00130AB3" w:rsidP="00AB5583">
            <w:pPr>
              <w:pStyle w:val="TableText"/>
              <w:rPr>
                <w:rFonts w:eastAsia="Calibri"/>
              </w:rPr>
            </w:pPr>
            <w:r w:rsidRPr="00D63217">
              <w:rPr>
                <w:rFonts w:eastAsia="Calibri"/>
              </w:rPr>
              <w:t>Edible offal (mammalian)</w:t>
            </w:r>
          </w:p>
        </w:tc>
        <w:tc>
          <w:tcPr>
            <w:tcW w:w="1213" w:type="dxa"/>
          </w:tcPr>
          <w:p w14:paraId="6F3830ED" w14:textId="77777777" w:rsidR="00130AB3" w:rsidRPr="00D63217" w:rsidRDefault="00130AB3" w:rsidP="00AB5583">
            <w:pPr>
              <w:pStyle w:val="TableText"/>
              <w:rPr>
                <w:rFonts w:eastAsia="Calibri"/>
              </w:rPr>
            </w:pPr>
            <w:r w:rsidRPr="00D63217">
              <w:rPr>
                <w:rFonts w:eastAsia="Calibri"/>
              </w:rPr>
              <w:t>0.5 (current)</w:t>
            </w:r>
          </w:p>
        </w:tc>
        <w:tc>
          <w:tcPr>
            <w:tcW w:w="1201" w:type="dxa"/>
          </w:tcPr>
          <w:p w14:paraId="59B9D727" w14:textId="77777777" w:rsidR="00130AB3" w:rsidRPr="00D63217" w:rsidRDefault="00130AB3" w:rsidP="00AB5583">
            <w:pPr>
              <w:pStyle w:val="TableText"/>
              <w:rPr>
                <w:rFonts w:eastAsia="Calibri"/>
              </w:rPr>
            </w:pPr>
            <w:r w:rsidRPr="00D63217">
              <w:rPr>
                <w:rFonts w:eastAsia="Calibri"/>
              </w:rPr>
              <w:t>0.05</w:t>
            </w:r>
          </w:p>
        </w:tc>
        <w:tc>
          <w:tcPr>
            <w:tcW w:w="1025" w:type="dxa"/>
          </w:tcPr>
          <w:p w14:paraId="497FE908" w14:textId="77777777" w:rsidR="00130AB3" w:rsidRPr="00D63217" w:rsidRDefault="00130AB3" w:rsidP="00AB5583">
            <w:pPr>
              <w:pStyle w:val="TableText"/>
              <w:rPr>
                <w:rFonts w:eastAsia="Calibri"/>
              </w:rPr>
            </w:pPr>
            <w:r w:rsidRPr="00D63217">
              <w:rPr>
                <w:rFonts w:eastAsia="Calibri"/>
              </w:rPr>
              <w:t>-</w:t>
            </w:r>
          </w:p>
        </w:tc>
        <w:tc>
          <w:tcPr>
            <w:tcW w:w="1152" w:type="dxa"/>
          </w:tcPr>
          <w:p w14:paraId="7EE3B08C" w14:textId="02BE8687" w:rsidR="00130AB3" w:rsidRPr="00D63217" w:rsidRDefault="00130AB3" w:rsidP="00070348">
            <w:pPr>
              <w:pStyle w:val="TableText"/>
              <w:rPr>
                <w:rFonts w:eastAsia="Calibri"/>
              </w:rPr>
            </w:pPr>
            <w:r w:rsidRPr="00D63217">
              <w:rPr>
                <w:rFonts w:eastAsia="Calibri"/>
              </w:rPr>
              <w:t>0.3 (cattle liver)</w:t>
            </w:r>
            <w:r w:rsidR="00070348" w:rsidRPr="00D63217">
              <w:rPr>
                <w:rFonts w:eastAsia="Calibri"/>
              </w:rPr>
              <w:br/>
            </w:r>
            <w:r w:rsidRPr="00D63217">
              <w:rPr>
                <w:rFonts w:eastAsia="Calibri"/>
              </w:rPr>
              <w:t>0.5 (cattle kidney)</w:t>
            </w:r>
          </w:p>
        </w:tc>
        <w:tc>
          <w:tcPr>
            <w:tcW w:w="1119" w:type="dxa"/>
          </w:tcPr>
          <w:p w14:paraId="7FF8F878" w14:textId="77777777" w:rsidR="00130AB3" w:rsidRPr="00D63217" w:rsidRDefault="00130AB3" w:rsidP="00AB5583">
            <w:pPr>
              <w:pStyle w:val="TableText"/>
              <w:rPr>
                <w:rFonts w:eastAsia="Calibri"/>
              </w:rPr>
            </w:pPr>
            <w:r w:rsidRPr="00D63217">
              <w:rPr>
                <w:rFonts w:eastAsia="Calibri"/>
              </w:rPr>
              <w:t>-</w:t>
            </w:r>
          </w:p>
        </w:tc>
        <w:tc>
          <w:tcPr>
            <w:tcW w:w="1105" w:type="dxa"/>
          </w:tcPr>
          <w:p w14:paraId="6201B6AE" w14:textId="268E2DDC" w:rsidR="00130AB3" w:rsidRPr="00D63217" w:rsidRDefault="00130AB3" w:rsidP="00070348">
            <w:pPr>
              <w:pStyle w:val="TableText"/>
              <w:rPr>
                <w:rFonts w:eastAsia="Calibri"/>
              </w:rPr>
            </w:pPr>
            <w:r w:rsidRPr="00D63217">
              <w:rPr>
                <w:rFonts w:eastAsia="Calibri"/>
              </w:rPr>
              <w:t>0.5 (kidney)</w:t>
            </w:r>
            <w:r w:rsidR="00070348" w:rsidRPr="00D63217">
              <w:rPr>
                <w:rFonts w:eastAsia="Calibri"/>
              </w:rPr>
              <w:br/>
            </w:r>
            <w:r w:rsidRPr="00D63217">
              <w:rPr>
                <w:rFonts w:eastAsia="Calibri"/>
              </w:rPr>
              <w:t>0.05 (edible offal except kidney)</w:t>
            </w:r>
          </w:p>
        </w:tc>
        <w:tc>
          <w:tcPr>
            <w:tcW w:w="1125" w:type="dxa"/>
          </w:tcPr>
          <w:p w14:paraId="4275481B" w14:textId="1525A9BE" w:rsidR="00130AB3" w:rsidRPr="00D63217" w:rsidRDefault="00130AB3" w:rsidP="00070348">
            <w:pPr>
              <w:pStyle w:val="TableText"/>
              <w:rPr>
                <w:rFonts w:eastAsia="Calibri"/>
              </w:rPr>
            </w:pPr>
            <w:r w:rsidRPr="00D63217">
              <w:rPr>
                <w:rFonts w:eastAsia="Calibri"/>
              </w:rPr>
              <w:t>0.5 (cattle kidney)</w:t>
            </w:r>
            <w:r w:rsidR="00070348" w:rsidRPr="00D63217">
              <w:rPr>
                <w:rFonts w:eastAsia="Calibri"/>
              </w:rPr>
              <w:br/>
            </w:r>
            <w:r w:rsidRPr="00D63217">
              <w:rPr>
                <w:rFonts w:eastAsia="Calibri"/>
              </w:rPr>
              <w:t>0.05 (cattle meat by-products, except kidney)</w:t>
            </w:r>
          </w:p>
        </w:tc>
      </w:tr>
      <w:tr w:rsidR="00130AB3" w:rsidRPr="00D63217" w14:paraId="53D971E2" w14:textId="77777777" w:rsidTr="00C908E7">
        <w:tc>
          <w:tcPr>
            <w:tcW w:w="1346" w:type="dxa"/>
          </w:tcPr>
          <w:p w14:paraId="70619581" w14:textId="77777777" w:rsidR="00130AB3" w:rsidRPr="00D63217" w:rsidRDefault="00130AB3" w:rsidP="00AB5583">
            <w:pPr>
              <w:pStyle w:val="TableText"/>
              <w:rPr>
                <w:rFonts w:eastAsia="Calibri"/>
              </w:rPr>
            </w:pPr>
            <w:r w:rsidRPr="00D63217">
              <w:rPr>
                <w:rFonts w:eastAsia="Calibri"/>
              </w:rPr>
              <w:t>Meat [mammalian]</w:t>
            </w:r>
          </w:p>
        </w:tc>
        <w:tc>
          <w:tcPr>
            <w:tcW w:w="1213" w:type="dxa"/>
          </w:tcPr>
          <w:p w14:paraId="6AB17C0F" w14:textId="77777777" w:rsidR="00130AB3" w:rsidRPr="00D63217" w:rsidRDefault="00130AB3" w:rsidP="00AB5583">
            <w:pPr>
              <w:pStyle w:val="TableText"/>
              <w:rPr>
                <w:rFonts w:eastAsia="Calibri"/>
              </w:rPr>
            </w:pPr>
            <w:r w:rsidRPr="00D63217">
              <w:rPr>
                <w:rFonts w:eastAsia="Calibri"/>
              </w:rPr>
              <w:t>*0.05 (current)</w:t>
            </w:r>
          </w:p>
        </w:tc>
        <w:tc>
          <w:tcPr>
            <w:tcW w:w="1201" w:type="dxa"/>
            <w:vAlign w:val="center"/>
          </w:tcPr>
          <w:p w14:paraId="35F13194" w14:textId="77777777" w:rsidR="00130AB3" w:rsidRPr="00D63217" w:rsidRDefault="00130AB3" w:rsidP="00C908E7">
            <w:pPr>
              <w:pStyle w:val="TableText"/>
              <w:rPr>
                <w:rFonts w:eastAsia="Calibri"/>
              </w:rPr>
            </w:pPr>
            <w:r w:rsidRPr="00D63217">
              <w:rPr>
                <w:rFonts w:eastAsia="Calibri"/>
              </w:rPr>
              <w:t>0.005</w:t>
            </w:r>
          </w:p>
        </w:tc>
        <w:tc>
          <w:tcPr>
            <w:tcW w:w="1025" w:type="dxa"/>
          </w:tcPr>
          <w:p w14:paraId="0107C459" w14:textId="77777777" w:rsidR="00130AB3" w:rsidRPr="00D63217" w:rsidRDefault="00130AB3" w:rsidP="003855C4">
            <w:pPr>
              <w:pStyle w:val="TableText"/>
              <w:rPr>
                <w:rFonts w:eastAsia="Calibri"/>
              </w:rPr>
            </w:pPr>
            <w:r w:rsidRPr="00D63217">
              <w:rPr>
                <w:rFonts w:eastAsia="Calibri"/>
              </w:rPr>
              <w:t>-</w:t>
            </w:r>
          </w:p>
        </w:tc>
        <w:tc>
          <w:tcPr>
            <w:tcW w:w="1152" w:type="dxa"/>
          </w:tcPr>
          <w:p w14:paraId="19E6274E" w14:textId="6B7933C8" w:rsidR="00130AB3" w:rsidRPr="00D63217" w:rsidRDefault="00130AB3" w:rsidP="00816969">
            <w:pPr>
              <w:pStyle w:val="TableText"/>
              <w:jc w:val="right"/>
              <w:rPr>
                <w:rFonts w:eastAsia="Calibri"/>
              </w:rPr>
            </w:pPr>
            <w:r w:rsidRPr="00D63217">
              <w:rPr>
                <w:rFonts w:eastAsia="Calibri"/>
              </w:rPr>
              <w:t>0.05 (cattle muscle)</w:t>
            </w:r>
            <w:r w:rsidR="00070348" w:rsidRPr="00D63217">
              <w:rPr>
                <w:rFonts w:eastAsia="Calibri"/>
              </w:rPr>
              <w:br/>
            </w:r>
            <w:r w:rsidRPr="00D63217">
              <w:rPr>
                <w:rFonts w:eastAsia="Calibri"/>
              </w:rPr>
              <w:t>0.05 (cattle fat)</w:t>
            </w:r>
          </w:p>
        </w:tc>
        <w:tc>
          <w:tcPr>
            <w:tcW w:w="1119" w:type="dxa"/>
          </w:tcPr>
          <w:p w14:paraId="2D7E8A21" w14:textId="77777777" w:rsidR="00130AB3" w:rsidRPr="00D63217" w:rsidRDefault="00130AB3" w:rsidP="00AB5583">
            <w:pPr>
              <w:pStyle w:val="TableText"/>
              <w:rPr>
                <w:rFonts w:eastAsia="Calibri"/>
              </w:rPr>
            </w:pPr>
            <w:r w:rsidRPr="00D63217">
              <w:rPr>
                <w:rFonts w:eastAsia="Calibri"/>
              </w:rPr>
              <w:t>-</w:t>
            </w:r>
          </w:p>
        </w:tc>
        <w:tc>
          <w:tcPr>
            <w:tcW w:w="1105" w:type="dxa"/>
          </w:tcPr>
          <w:p w14:paraId="6A85EB51" w14:textId="77777777" w:rsidR="00130AB3" w:rsidRPr="00D63217" w:rsidRDefault="00130AB3" w:rsidP="00AB5583">
            <w:pPr>
              <w:pStyle w:val="TableText"/>
              <w:rPr>
                <w:rFonts w:eastAsia="Calibri"/>
              </w:rPr>
            </w:pPr>
            <w:r w:rsidRPr="00D63217">
              <w:rPr>
                <w:rFonts w:eastAsia="Calibri"/>
              </w:rPr>
              <w:t>0.05</w:t>
            </w:r>
          </w:p>
        </w:tc>
        <w:tc>
          <w:tcPr>
            <w:tcW w:w="1125" w:type="dxa"/>
          </w:tcPr>
          <w:p w14:paraId="0086F108" w14:textId="0187AEAE" w:rsidR="00130AB3" w:rsidRPr="00D63217" w:rsidRDefault="00130AB3" w:rsidP="00070348">
            <w:pPr>
              <w:pStyle w:val="TableText"/>
              <w:rPr>
                <w:rFonts w:eastAsia="Calibri"/>
              </w:rPr>
            </w:pPr>
            <w:r w:rsidRPr="00D63217">
              <w:rPr>
                <w:rFonts w:eastAsia="Calibri"/>
              </w:rPr>
              <w:t>0.05 (cattle meat)</w:t>
            </w:r>
            <w:r w:rsidR="00070348" w:rsidRPr="00D63217">
              <w:rPr>
                <w:rFonts w:eastAsia="Calibri"/>
              </w:rPr>
              <w:br/>
            </w:r>
            <w:r w:rsidRPr="00D63217">
              <w:rPr>
                <w:rFonts w:eastAsia="Calibri"/>
              </w:rPr>
              <w:t>0.05</w:t>
            </w:r>
            <w:r w:rsidR="00070348" w:rsidRPr="00D63217">
              <w:rPr>
                <w:rFonts w:eastAsia="Calibri"/>
              </w:rPr>
              <w:t xml:space="preserve"> </w:t>
            </w:r>
            <w:r w:rsidRPr="00D63217">
              <w:rPr>
                <w:rFonts w:eastAsia="Calibri"/>
              </w:rPr>
              <w:t>(cattle fat)</w:t>
            </w:r>
          </w:p>
        </w:tc>
      </w:tr>
      <w:tr w:rsidR="00130AB3" w:rsidRPr="00D63217" w14:paraId="1BB91B21" w14:textId="77777777" w:rsidTr="004E2271">
        <w:tc>
          <w:tcPr>
            <w:tcW w:w="1346" w:type="dxa"/>
          </w:tcPr>
          <w:p w14:paraId="57F2CADC" w14:textId="77777777" w:rsidR="00130AB3" w:rsidRPr="00D63217" w:rsidRDefault="00130AB3" w:rsidP="00AB5583">
            <w:pPr>
              <w:pStyle w:val="TableText"/>
              <w:rPr>
                <w:rFonts w:eastAsia="Calibri"/>
              </w:rPr>
            </w:pPr>
            <w:r w:rsidRPr="00D63217">
              <w:rPr>
                <w:rFonts w:eastAsia="Calibri"/>
              </w:rPr>
              <w:t>Milks</w:t>
            </w:r>
          </w:p>
        </w:tc>
        <w:tc>
          <w:tcPr>
            <w:tcW w:w="1213" w:type="dxa"/>
          </w:tcPr>
          <w:p w14:paraId="185D4479" w14:textId="77777777" w:rsidR="00130AB3" w:rsidRPr="00D63217" w:rsidRDefault="00130AB3" w:rsidP="00AB5583">
            <w:pPr>
              <w:pStyle w:val="TableText"/>
              <w:rPr>
                <w:rFonts w:eastAsia="Calibri"/>
              </w:rPr>
            </w:pPr>
            <w:r w:rsidRPr="00D63217">
              <w:rPr>
                <w:rFonts w:eastAsia="Calibri"/>
              </w:rPr>
              <w:t>*0.01 (current)</w:t>
            </w:r>
          </w:p>
        </w:tc>
        <w:tc>
          <w:tcPr>
            <w:tcW w:w="1201" w:type="dxa"/>
          </w:tcPr>
          <w:p w14:paraId="4D1894AC" w14:textId="77777777" w:rsidR="00130AB3" w:rsidRPr="00D63217" w:rsidRDefault="00130AB3" w:rsidP="00AB5583">
            <w:pPr>
              <w:pStyle w:val="TableText"/>
              <w:rPr>
                <w:rFonts w:eastAsia="Calibri"/>
              </w:rPr>
            </w:pPr>
            <w:r w:rsidRPr="00D63217">
              <w:rPr>
                <w:rFonts w:eastAsia="Calibri"/>
              </w:rPr>
              <w:t>0.005</w:t>
            </w:r>
          </w:p>
        </w:tc>
        <w:tc>
          <w:tcPr>
            <w:tcW w:w="1025" w:type="dxa"/>
          </w:tcPr>
          <w:p w14:paraId="430C6599" w14:textId="77777777" w:rsidR="00130AB3" w:rsidRPr="00D63217" w:rsidRDefault="00130AB3" w:rsidP="00AB5583">
            <w:pPr>
              <w:pStyle w:val="TableText"/>
              <w:rPr>
                <w:rFonts w:eastAsia="Calibri"/>
              </w:rPr>
            </w:pPr>
            <w:r w:rsidRPr="00D63217">
              <w:rPr>
                <w:rFonts w:eastAsia="Calibri"/>
              </w:rPr>
              <w:t>-</w:t>
            </w:r>
          </w:p>
        </w:tc>
        <w:tc>
          <w:tcPr>
            <w:tcW w:w="1152" w:type="dxa"/>
          </w:tcPr>
          <w:p w14:paraId="4DA273A0" w14:textId="77777777" w:rsidR="00130AB3" w:rsidRPr="00D63217" w:rsidRDefault="00130AB3" w:rsidP="00AB5583">
            <w:pPr>
              <w:pStyle w:val="TableText"/>
              <w:rPr>
                <w:rFonts w:eastAsia="Calibri"/>
              </w:rPr>
            </w:pPr>
            <w:r w:rsidRPr="00D63217">
              <w:rPr>
                <w:rFonts w:eastAsia="Calibri"/>
              </w:rPr>
              <w:t>0.01</w:t>
            </w:r>
          </w:p>
        </w:tc>
        <w:tc>
          <w:tcPr>
            <w:tcW w:w="1119" w:type="dxa"/>
          </w:tcPr>
          <w:p w14:paraId="6C3AA12E" w14:textId="77777777" w:rsidR="00130AB3" w:rsidRPr="00D63217" w:rsidRDefault="00130AB3" w:rsidP="00AB5583">
            <w:pPr>
              <w:pStyle w:val="TableText"/>
              <w:rPr>
                <w:rFonts w:eastAsia="Calibri"/>
              </w:rPr>
            </w:pPr>
            <w:r w:rsidRPr="00D63217">
              <w:rPr>
                <w:rFonts w:eastAsia="Calibri"/>
              </w:rPr>
              <w:t>-</w:t>
            </w:r>
          </w:p>
        </w:tc>
        <w:tc>
          <w:tcPr>
            <w:tcW w:w="1105" w:type="dxa"/>
          </w:tcPr>
          <w:p w14:paraId="20465CAC" w14:textId="77777777" w:rsidR="00130AB3" w:rsidRPr="00D63217" w:rsidRDefault="00130AB3" w:rsidP="00AB5583">
            <w:pPr>
              <w:pStyle w:val="TableText"/>
              <w:rPr>
                <w:rFonts w:eastAsia="Calibri"/>
              </w:rPr>
            </w:pPr>
            <w:r w:rsidRPr="00D63217">
              <w:rPr>
                <w:rFonts w:eastAsia="Calibri"/>
              </w:rPr>
              <w:t>0.01</w:t>
            </w:r>
          </w:p>
        </w:tc>
        <w:tc>
          <w:tcPr>
            <w:tcW w:w="1125" w:type="dxa"/>
          </w:tcPr>
          <w:p w14:paraId="465DE8CF" w14:textId="77777777" w:rsidR="00130AB3" w:rsidRPr="00D63217" w:rsidRDefault="00130AB3" w:rsidP="00AB5583">
            <w:pPr>
              <w:pStyle w:val="TableText"/>
              <w:rPr>
                <w:rFonts w:eastAsia="Calibri"/>
              </w:rPr>
            </w:pPr>
            <w:r w:rsidRPr="00D63217">
              <w:rPr>
                <w:rFonts w:eastAsia="Calibri"/>
              </w:rPr>
              <w:t>0.01</w:t>
            </w:r>
          </w:p>
        </w:tc>
      </w:tr>
    </w:tbl>
    <w:p w14:paraId="20C0D11D" w14:textId="77777777" w:rsidR="00130AB3" w:rsidRPr="00D63217" w:rsidRDefault="00130AB3" w:rsidP="00AB5583">
      <w:pPr>
        <w:pStyle w:val="NormalText"/>
      </w:pPr>
      <w:r w:rsidRPr="00D63217">
        <w:t>Export of treated produce containing finite (measurable) residues of paraquat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798C7030" w14:textId="77777777" w:rsidR="00130AB3" w:rsidRPr="00D63217" w:rsidRDefault="00130AB3" w:rsidP="00AB5583">
      <w:pPr>
        <w:pStyle w:val="NormalText"/>
      </w:pPr>
      <w:r w:rsidRPr="00D63217">
        <w:lastRenderedPageBreak/>
        <w:t>The MRL changes proposed as part of this review are in general new MRLs at the LOQ for analytical methods (cereal grains, oilseed (except cotton), pulses {except chickpeas, faba beans, field peas, lentils and lupins}) and various fruit crops). The risk to trade in these commodities is low.</w:t>
      </w:r>
    </w:p>
    <w:p w14:paraId="2B7A71C0" w14:textId="0A35ED0C" w:rsidR="00130AB3" w:rsidRPr="00D63217" w:rsidRDefault="00130AB3" w:rsidP="00AB5583">
      <w:pPr>
        <w:pStyle w:val="NormalText"/>
      </w:pPr>
      <w:r w:rsidRPr="00D63217">
        <w:t>For cottonseed and specified pulses (chickpeas, faba beans, field peas, lentils and lupins) MRLs will remain in place at the same levels. The cotton MRL at 0.2 mg/kg is lower than that established by Codex and the USA and at the same level as those established in Japan and Korea. The chickpea, faba bean, field pea, lentil</w:t>
      </w:r>
      <w:r w:rsidR="00475951" w:rsidRPr="00D63217">
        <w:t xml:space="preserve"> </w:t>
      </w:r>
      <w:r w:rsidRPr="00D63217">
        <w:t>and lupin MRLs at 1 mg/kg are higher than tolerances established overseas, however the risk is unchanged to that which has currently been managed.</w:t>
      </w:r>
      <w:r w:rsidR="000A3608">
        <w:t xml:space="preserve"> </w:t>
      </w:r>
      <w:r w:rsidRPr="00D63217">
        <w:t>No changes have been recommended to the sugar cane MRL (at *0.05 mg/kg) with only the pre-planting use supported. The risk to trade in sugar is therefore reduced.</w:t>
      </w:r>
    </w:p>
    <w:p w14:paraId="7D4F5B54" w14:textId="04AC6EB9" w:rsidR="00130AB3" w:rsidRPr="00D63217" w:rsidRDefault="007540C4" w:rsidP="00AB5583">
      <w:pPr>
        <w:pStyle w:val="NormalText"/>
      </w:pPr>
      <w:r w:rsidRPr="00D63217">
        <w:t>N</w:t>
      </w:r>
      <w:r w:rsidR="00130AB3" w:rsidRPr="00D63217">
        <w:t>o changes have been proposed to the current animal commodity MRLs for paraquat. The meat and milk MRLs are at the LOQ, while the edible offal (mammalian) MRL is at the same level as those established for cattle kidney in Japan, Taiwan and the USA. However, MRLs for animal commodities are not established in the EU and Korea, and the Codex Edible offal (mammalian) MRL is 0.05 mg/kg. As finite residues may occur in mammalian offal as a result of the proposed use in pasture and hay, an Export Slaughter Interval (ESI) is recommended. The available data suggests that after 13 days on clean feed, paraquat residues should be below 0.05 mg/kg, which is the Codex MRL. A 13 day ESI is recommended to prevent an undue risk to international trade of mammalian offal.</w:t>
      </w:r>
    </w:p>
    <w:p w14:paraId="1C0A8EA1" w14:textId="7C068E85" w:rsidR="00130AB3" w:rsidRPr="00D63217" w:rsidRDefault="00130AB3" w:rsidP="00AB5583">
      <w:pPr>
        <w:pStyle w:val="NormalText"/>
      </w:pPr>
      <w:r w:rsidRPr="00D63217">
        <w:t xml:space="preserve">Oaten hay is also a major export commodity, noting that an MRL of 500 mg/kg has been supported for paraquat on Primary feed commodities. An animal feed MRL of 5 mg/kg has been established for paraquat on grass in Japan. </w:t>
      </w:r>
      <w:r w:rsidR="00C0077E" w:rsidRPr="00D63217">
        <w:t>T</w:t>
      </w:r>
      <w:r w:rsidRPr="00D63217">
        <w:t>his risk to trade is unchanged.</w:t>
      </w:r>
      <w:r w:rsidR="00FE39CB">
        <w:t xml:space="preserve"> </w:t>
      </w:r>
      <w:r w:rsidR="00FE39CB" w:rsidRPr="00FE39CB">
        <w:t>A response to the initial consultation was provided by AgriFutures Australia on behalf of the Australian Export Fodder Industry. The fodder industry supported the recommended label changes for paraquat to assist industry to meet market requirements. The fodder industry also supported the MRL recommendations made as part of the review evaluation.</w:t>
      </w:r>
    </w:p>
    <w:p w14:paraId="5DA4BE24" w14:textId="16EB9A7B" w:rsidR="00130AB3" w:rsidRPr="00D63217" w:rsidRDefault="00130AB3" w:rsidP="00C52B84">
      <w:pPr>
        <w:pStyle w:val="NormalText"/>
      </w:pPr>
      <w:r w:rsidRPr="00D63217">
        <w:t>For specified pulses (chickpeas, faba beans, field peas, lentils and lupins) and oaten hay, finite residues of paraquat are expected from the Australian uses. As the potential trade risk associated with paraquat residues expected in specified pulses (chickpeas, faba beans, field peas, lentils and lupins) and oaten hay have been managed by industry, and because international standards for paraquat have not significantly changed in recent years, it is currently considered that the trade risk associated with the uses of paraquat in pulses and oaten hay is not undue. However, as the Australian MRLs are higher than those set by Codex or major export destinations, it is recommended that</w:t>
      </w:r>
      <w:r w:rsidR="00CD4B55">
        <w:t xml:space="preserve"> t</w:t>
      </w:r>
      <w:r w:rsidRPr="00D63217">
        <w:t>he following Trade Advice statement should be added to the labels of products containing pre-harvest uses on cottonseed and specified pulses (chickpeas, faba beans, field peas, lentils and lupins) and the ‘hay-freezing’ use:</w:t>
      </w:r>
    </w:p>
    <w:p w14:paraId="1294AFA7" w14:textId="77777777" w:rsidR="00130AB3" w:rsidRPr="00D63217" w:rsidRDefault="00130AB3" w:rsidP="00CD4B55">
      <w:pPr>
        <w:pStyle w:val="NormalText"/>
        <w:ind w:left="567"/>
      </w:pPr>
      <w:r w:rsidRPr="00D63217">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33FEB234" w14:textId="0C151034" w:rsidR="00FE39CB" w:rsidRPr="00D63217" w:rsidRDefault="00FE39CB" w:rsidP="00D915E2">
      <w:pPr>
        <w:pStyle w:val="NormalText"/>
      </w:pPr>
      <w:r w:rsidRPr="00FE39CB">
        <w:t xml:space="preserve">At the request of participating industries, the National Residue Survey (NRS) submitted residue sampling data which demonstrates a high degree of export compliance with importing countries paraquat MRLs for cereals, pulses and oilseeds. The National Working Party on Grain Protection (NWPGP) indicated that it did not have any concerns with industry’s ability to continue to manage the potential risks to international trade for </w:t>
      </w:r>
      <w:r w:rsidR="007735C2">
        <w:t xml:space="preserve">any paraquat use </w:t>
      </w:r>
      <w:r w:rsidR="007735C2">
        <w:lastRenderedPageBreak/>
        <w:t xml:space="preserve">pattern, including the </w:t>
      </w:r>
      <w:r w:rsidRPr="00FE39CB">
        <w:t>pre-harvest uses of paraquat for spray topping treatment to reduce seed set of ryegrass in selected pulses (Broad bean, Chick-pea, Field pea, Lentil and Lupin).</w:t>
      </w:r>
    </w:p>
    <w:p w14:paraId="1B562BCA" w14:textId="2F4DCEFF" w:rsidR="00130AB3" w:rsidRPr="00D901C7" w:rsidRDefault="000A3608" w:rsidP="00D901C7">
      <w:pPr>
        <w:pStyle w:val="Heading2"/>
      </w:pPr>
      <w:bookmarkStart w:id="388" w:name="_Toc89488101"/>
      <w:bookmarkStart w:id="389" w:name="_Toc89501511"/>
      <w:bookmarkStart w:id="390" w:name="_Toc89676049"/>
      <w:bookmarkStart w:id="391" w:name="_Toc89684515"/>
      <w:bookmarkStart w:id="392" w:name="_Toc89829979"/>
      <w:bookmarkStart w:id="393" w:name="_Toc157628266"/>
      <w:r w:rsidRPr="00D901C7">
        <w:t xml:space="preserve"> </w:t>
      </w:r>
      <w:r w:rsidRPr="00D901C7">
        <w:tab/>
      </w:r>
      <w:bookmarkStart w:id="394" w:name="_Toc231480895"/>
      <w:bookmarkStart w:id="395" w:name="_Toc233036447"/>
      <w:r w:rsidR="00130AB3" w:rsidRPr="00D901C7">
        <w:t>C</w:t>
      </w:r>
      <w:bookmarkEnd w:id="383"/>
      <w:bookmarkEnd w:id="388"/>
      <w:bookmarkEnd w:id="389"/>
      <w:bookmarkEnd w:id="390"/>
      <w:r w:rsidR="00130AB3" w:rsidRPr="00D901C7">
        <w:t>onclusion</w:t>
      </w:r>
      <w:bookmarkEnd w:id="391"/>
      <w:bookmarkEnd w:id="392"/>
      <w:bookmarkEnd w:id="393"/>
      <w:r w:rsidR="00130AB3" w:rsidRPr="00D901C7">
        <w:t>s from the residues and trade assessment</w:t>
      </w:r>
      <w:bookmarkEnd w:id="394"/>
      <w:bookmarkEnd w:id="395"/>
    </w:p>
    <w:p w14:paraId="53DA9ED3" w14:textId="227CC992" w:rsidR="00130AB3" w:rsidRPr="00D63217" w:rsidRDefault="00130AB3" w:rsidP="00D918AF">
      <w:pPr>
        <w:pStyle w:val="NormalText"/>
      </w:pPr>
      <w:r w:rsidRPr="00D63217">
        <w:t>The Residues and Trade section recommends that the APVMA should be satisfied that the continued approval of the use patterns as currently described would not pose an undue hazard to the safety of people consuming anything containing its residues, according to the safety criteria as defined by Section 5A nor an undue risk to international trade as described by Section 5C of the Schedule to the Code Act, with the following exceptions:</w:t>
      </w:r>
    </w:p>
    <w:p w14:paraId="374BAC71" w14:textId="1D31847F" w:rsidR="00130AB3" w:rsidRPr="00D63217" w:rsidRDefault="00130AB3" w:rsidP="00CD4B55">
      <w:pPr>
        <w:pStyle w:val="NormalText"/>
        <w:ind w:left="567"/>
      </w:pPr>
      <w:r w:rsidRPr="00D63217">
        <w:t>Potato</w:t>
      </w:r>
      <w:r w:rsidR="000A3608">
        <w:t xml:space="preserve">: </w:t>
      </w:r>
      <w:r w:rsidRPr="00D63217">
        <w:t>There was sufficient residues data relevant to</w:t>
      </w:r>
      <w:r w:rsidR="001F55BC" w:rsidRPr="00D63217">
        <w:t xml:space="preserve"> support</w:t>
      </w:r>
      <w:r w:rsidRPr="00D63217">
        <w:t xml:space="preserve"> an application timing of </w:t>
      </w:r>
      <w:r w:rsidR="00D47AFE">
        <w:t xml:space="preserve">7 or </w:t>
      </w:r>
      <w:r w:rsidRPr="00D63217">
        <w:t>14 days before digging, however, the scaled HR</w:t>
      </w:r>
      <w:r w:rsidR="00D47AFE">
        <w:t xml:space="preserve"> at 14 days</w:t>
      </w:r>
      <w:r w:rsidRPr="00D63217">
        <w:t xml:space="preserve"> (0.13 mg/kg) would give an unacceptable acute dietary exposure for children (111% of ARfD). Application to potatoes 14 days (or less) before digging therefore cannot be supported due to acute consumer safety concerns. It is therefore recommended that labels that currently have the ‘3 to 7 days before digging and after tops have died down’ instruction must be changed to state that application must occur ‘4-5 weeks before digging’.</w:t>
      </w:r>
    </w:p>
    <w:p w14:paraId="7AD20A9F" w14:textId="39D044A6" w:rsidR="00130AB3" w:rsidRPr="00D63217" w:rsidRDefault="00130AB3" w:rsidP="00CD4B55">
      <w:pPr>
        <w:pStyle w:val="NormalText"/>
        <w:ind w:left="567"/>
      </w:pPr>
      <w:r w:rsidRPr="00D63217">
        <w:t xml:space="preserve">Sugar cane: </w:t>
      </w:r>
      <w:r w:rsidR="00D47AFE" w:rsidRPr="00D47AFE">
        <w:t>The over-the-top post-emergent application to sugar cane up the 3 to 4 leaf stage, which was not supported</w:t>
      </w:r>
      <w:r w:rsidR="007735C2">
        <w:t xml:space="preserve"> in the Proposed Regulatory Decision</w:t>
      </w:r>
      <w:r w:rsidR="00D47AFE" w:rsidRPr="00D47AFE">
        <w:t>, can now be supported without any changes required to MRL of *0.05 mg/kg for paraquat on GS 0659 Sugar cane based on additional residue data submitted</w:t>
      </w:r>
      <w:r w:rsidRPr="00D63217">
        <w:t>.</w:t>
      </w:r>
    </w:p>
    <w:p w14:paraId="63646B2B" w14:textId="271591CB" w:rsidR="00130AB3" w:rsidRPr="00D63217" w:rsidRDefault="00130AB3" w:rsidP="00D918AF">
      <w:pPr>
        <w:pStyle w:val="NormalText"/>
      </w:pPr>
      <w:r w:rsidRPr="00D63217">
        <w:t xml:space="preserve">Expression of crop groups: The following crops were considered against the broad claims for orchards (including bananas) and vineyards and </w:t>
      </w:r>
      <w:r w:rsidR="00475951" w:rsidRPr="00D63217">
        <w:t>r</w:t>
      </w:r>
      <w:r w:rsidRPr="00D63217">
        <w:t>ow crops, vegetables and market gardens:</w:t>
      </w:r>
    </w:p>
    <w:p w14:paraId="5227CADF" w14:textId="77777777" w:rsidR="00130AB3" w:rsidRPr="00D63217" w:rsidRDefault="00130AB3" w:rsidP="00070348">
      <w:pPr>
        <w:pStyle w:val="Bullet1"/>
      </w:pPr>
      <w:bookmarkStart w:id="396" w:name="_Hlk163225208"/>
      <w:r w:rsidRPr="00D63217">
        <w:t>Orchards (including bananas) and vineyards</w:t>
      </w:r>
      <w:bookmarkEnd w:id="396"/>
      <w:r w:rsidRPr="00D63217">
        <w:t>:</w:t>
      </w:r>
    </w:p>
    <w:p w14:paraId="5B9EB383" w14:textId="4E8028E9" w:rsidR="00130AB3" w:rsidRPr="00D63217" w:rsidRDefault="00130AB3" w:rsidP="008F49BA">
      <w:pPr>
        <w:pStyle w:val="Bullet2"/>
      </w:pPr>
      <w:r w:rsidRPr="00D63217">
        <w:t xml:space="preserve">Citrus, </w:t>
      </w:r>
      <w:r w:rsidR="00C6011F" w:rsidRPr="00D63217">
        <w:t>g</w:t>
      </w:r>
      <w:r w:rsidRPr="00D63217">
        <w:t xml:space="preserve">rapes, </w:t>
      </w:r>
      <w:r w:rsidR="00C6011F" w:rsidRPr="00D63217">
        <w:t>p</w:t>
      </w:r>
      <w:r w:rsidRPr="00D63217">
        <w:t xml:space="preserve">ome fruit, </w:t>
      </w:r>
      <w:r w:rsidR="00C6011F" w:rsidRPr="00D63217">
        <w:t>s</w:t>
      </w:r>
      <w:r w:rsidRPr="00D63217">
        <w:t xml:space="preserve">tone fruit, </w:t>
      </w:r>
      <w:r w:rsidR="00C6011F" w:rsidRPr="00D63217">
        <w:t>t</w:t>
      </w:r>
      <w:r w:rsidRPr="00D63217">
        <w:t xml:space="preserve">ree nuts, </w:t>
      </w:r>
      <w:r w:rsidR="00C6011F" w:rsidRPr="00D63217">
        <w:t>t</w:t>
      </w:r>
      <w:r w:rsidRPr="00D63217">
        <w:t xml:space="preserve">ropical fruit (edible peel), </w:t>
      </w:r>
      <w:r w:rsidR="00C6011F" w:rsidRPr="00D63217">
        <w:t>t</w:t>
      </w:r>
      <w:r w:rsidRPr="00D63217">
        <w:t>ropical fruit (inedible peel, except pineapple)</w:t>
      </w:r>
    </w:p>
    <w:p w14:paraId="71B6678F" w14:textId="53CAC6A4" w:rsidR="00130AB3" w:rsidRPr="00D63217" w:rsidRDefault="00130AB3" w:rsidP="00070348">
      <w:pPr>
        <w:pStyle w:val="Bullet1"/>
      </w:pPr>
      <w:r w:rsidRPr="00D63217">
        <w:t xml:space="preserve">Row crops, </w:t>
      </w:r>
      <w:r w:rsidR="00C6011F" w:rsidRPr="00D63217">
        <w:t>v</w:t>
      </w:r>
      <w:r w:rsidRPr="00D63217">
        <w:t xml:space="preserve">egetables and </w:t>
      </w:r>
      <w:r w:rsidR="00C6011F" w:rsidRPr="00D63217">
        <w:t>m</w:t>
      </w:r>
      <w:r w:rsidRPr="00D63217">
        <w:t>arket gardens:</w:t>
      </w:r>
    </w:p>
    <w:p w14:paraId="7DAFC046" w14:textId="7752C948" w:rsidR="00130AB3" w:rsidRPr="00D63217" w:rsidRDefault="00130AB3" w:rsidP="008F49BA">
      <w:pPr>
        <w:pStyle w:val="Bullet2"/>
      </w:pPr>
      <w:r w:rsidRPr="00D63217">
        <w:t xml:space="preserve">Berries and other small fruit (except grapes) </w:t>
      </w:r>
      <w:r w:rsidR="00C6011F" w:rsidRPr="00D63217">
        <w:t>b</w:t>
      </w:r>
      <w:r w:rsidRPr="00D63217">
        <w:t xml:space="preserve">rassica vegetables, </w:t>
      </w:r>
      <w:r w:rsidR="00C6011F" w:rsidRPr="00D63217">
        <w:t>b</w:t>
      </w:r>
      <w:r w:rsidRPr="00D63217">
        <w:t xml:space="preserve">ulb vegetables, </w:t>
      </w:r>
      <w:r w:rsidR="00C6011F" w:rsidRPr="00D63217">
        <w:t>f</w:t>
      </w:r>
      <w:r w:rsidRPr="00D63217">
        <w:t xml:space="preserve">ruiting vegetables (cucurbits), </w:t>
      </w:r>
      <w:r w:rsidR="00C6011F" w:rsidRPr="00D63217">
        <w:t>f</w:t>
      </w:r>
      <w:r w:rsidRPr="00D63217">
        <w:t xml:space="preserve">ruiting vegetables (other than cucurbits), </w:t>
      </w:r>
      <w:r w:rsidR="00C6011F" w:rsidRPr="00D63217">
        <w:t>l</w:t>
      </w:r>
      <w:r w:rsidRPr="00D63217">
        <w:t xml:space="preserve">eafy vegetables, </w:t>
      </w:r>
      <w:r w:rsidR="00C6011F" w:rsidRPr="00D63217">
        <w:t>l</w:t>
      </w:r>
      <w:r w:rsidRPr="00D63217">
        <w:t xml:space="preserve">egume vegetables, </w:t>
      </w:r>
      <w:r w:rsidR="00C6011F" w:rsidRPr="00D63217">
        <w:t>p</w:t>
      </w:r>
      <w:r w:rsidRPr="00D63217">
        <w:t xml:space="preserve">ineapple, </w:t>
      </w:r>
      <w:r w:rsidR="00C6011F" w:rsidRPr="00D63217">
        <w:t>r</w:t>
      </w:r>
      <w:r w:rsidRPr="00D63217">
        <w:t xml:space="preserve">oot and tuber vegetables; </w:t>
      </w:r>
      <w:r w:rsidR="00C6011F" w:rsidRPr="00D63217">
        <w:t>s</w:t>
      </w:r>
      <w:r w:rsidRPr="00D63217">
        <w:t xml:space="preserve">talk and stem vegetables, </w:t>
      </w:r>
      <w:r w:rsidR="00C6011F" w:rsidRPr="00D63217">
        <w:t>h</w:t>
      </w:r>
      <w:r w:rsidRPr="00D63217">
        <w:t xml:space="preserve">erbs and </w:t>
      </w:r>
      <w:r w:rsidR="00C6011F" w:rsidRPr="00D63217">
        <w:t>s</w:t>
      </w:r>
      <w:r w:rsidRPr="00D63217">
        <w:t>pices</w:t>
      </w:r>
    </w:p>
    <w:p w14:paraId="1C0263BE" w14:textId="32EC3804" w:rsidR="00130AB3" w:rsidRPr="00D63217" w:rsidRDefault="00130AB3" w:rsidP="00D918AF">
      <w:pPr>
        <w:pStyle w:val="NormalText"/>
      </w:pPr>
      <w:r w:rsidRPr="00D63217">
        <w:t>The directions for use tables on product labels should be amended to indicate the specified crops/crop groups as above for the orchards (including bananas) and vineyards</w:t>
      </w:r>
      <w:r w:rsidR="0002745F" w:rsidRPr="00D63217">
        <w:t>,</w:t>
      </w:r>
      <w:r w:rsidRPr="00D63217">
        <w:t xml:space="preserve"> and </w:t>
      </w:r>
      <w:r w:rsidR="00475951" w:rsidRPr="00D63217">
        <w:t>r</w:t>
      </w:r>
      <w:r w:rsidRPr="00D63217">
        <w:t>ow crops, vegetables and market gardens uses. The broad terms of ‘orchards (including bananas) and vineyards’ and ‘</w:t>
      </w:r>
      <w:r w:rsidR="00475951" w:rsidRPr="00D63217">
        <w:t>r</w:t>
      </w:r>
      <w:r w:rsidRPr="00D63217">
        <w:t>ow crops, vegetables and market gardens uses’ should be removed from labels as they are not directly linked to contemporary APVMA crop group guidelines.</w:t>
      </w:r>
    </w:p>
    <w:p w14:paraId="369EB420" w14:textId="79F8DE68" w:rsidR="00130AB3" w:rsidRPr="00D63217" w:rsidRDefault="00130AB3" w:rsidP="00D918AF">
      <w:pPr>
        <w:pStyle w:val="NormalText"/>
      </w:pPr>
      <w:r w:rsidRPr="00D63217">
        <w:t>The followi</w:t>
      </w:r>
      <w:r w:rsidR="00D918AF" w:rsidRPr="00D63217">
        <w:t>n</w:t>
      </w:r>
      <w:r w:rsidRPr="00D63217">
        <w:t>g withholding periods and trade advice statements are supported by this evaluation:</w:t>
      </w:r>
    </w:p>
    <w:p w14:paraId="67CFD40C" w14:textId="12D7BC38" w:rsidR="00130AB3" w:rsidRPr="00D63217" w:rsidRDefault="00130AB3" w:rsidP="00C6011F">
      <w:pPr>
        <w:pStyle w:val="Bullet1"/>
      </w:pPr>
      <w:bookmarkStart w:id="397" w:name="_Hlk163226168"/>
      <w:r w:rsidRPr="00D63217">
        <w:t xml:space="preserve">A </w:t>
      </w:r>
      <w:r w:rsidR="00A25FD3" w:rsidRPr="00D63217">
        <w:t>14-day</w:t>
      </w:r>
      <w:r w:rsidRPr="00D63217">
        <w:t xml:space="preserve"> harvest withholding period is recommended for the </w:t>
      </w:r>
      <w:bookmarkStart w:id="398" w:name="_Hlk162537626"/>
      <w:r w:rsidRPr="00D63217">
        <w:t xml:space="preserve">spray topping use on </w:t>
      </w:r>
      <w:r w:rsidR="00475951" w:rsidRPr="00D63217">
        <w:t>c</w:t>
      </w:r>
      <w:r w:rsidRPr="00D63217">
        <w:t xml:space="preserve">hickpeas, faba beans, field peas, lentils, lupins </w:t>
      </w:r>
      <w:bookmarkEnd w:id="398"/>
      <w:r w:rsidRPr="00D63217">
        <w:t>(some labels currently have 7 days, while others have 14 days)</w:t>
      </w:r>
    </w:p>
    <w:p w14:paraId="2B06C733" w14:textId="59FC3E5A" w:rsidR="00130AB3" w:rsidRPr="00D63217" w:rsidRDefault="00130AB3" w:rsidP="00C6011F">
      <w:pPr>
        <w:pStyle w:val="Bullet1"/>
      </w:pPr>
      <w:r w:rsidRPr="00D63217">
        <w:t xml:space="preserve">A </w:t>
      </w:r>
      <w:r w:rsidR="000A3608" w:rsidRPr="00D63217">
        <w:t>7-day</w:t>
      </w:r>
      <w:r w:rsidRPr="00D63217">
        <w:t xml:space="preserve"> harvest withholding period remains appropriate for the pre-harvest desiccation use on cotton</w:t>
      </w:r>
    </w:p>
    <w:p w14:paraId="3E14B19D" w14:textId="3D2EB00D" w:rsidR="00130AB3" w:rsidRPr="00D63217" w:rsidRDefault="00130AB3" w:rsidP="00C6011F">
      <w:pPr>
        <w:pStyle w:val="Bullet1"/>
      </w:pPr>
      <w:r w:rsidRPr="00D63217">
        <w:lastRenderedPageBreak/>
        <w:t>In the absence of relevant data for cotton trash or fodder, the restraint of ‘DO NOT feed cotton fodder, stubble or trash to livestock’ is recommended for cotton uses.</w:t>
      </w:r>
    </w:p>
    <w:p w14:paraId="3AEEB5D1" w14:textId="7308AD14" w:rsidR="00130AB3" w:rsidRPr="00D63217" w:rsidRDefault="00130AB3" w:rsidP="00C6011F">
      <w:pPr>
        <w:pStyle w:val="Bullet1"/>
      </w:pPr>
      <w:r w:rsidRPr="00D63217">
        <w:t xml:space="preserve">Recommended harvest withholding periods for all other uses are </w:t>
      </w:r>
      <w:r w:rsidR="00C6011F" w:rsidRPr="00D63217">
        <w:t>‘</w:t>
      </w:r>
      <w:r w:rsidRPr="00D63217">
        <w:t>Not required when used as directed</w:t>
      </w:r>
      <w:r w:rsidR="00C6011F" w:rsidRPr="00D63217">
        <w:t xml:space="preserve">’ </w:t>
      </w:r>
      <w:r w:rsidRPr="00D63217">
        <w:t xml:space="preserve">for </w:t>
      </w:r>
      <w:r w:rsidR="008F49BA" w:rsidRPr="00D63217">
        <w:br/>
      </w:r>
      <w:r w:rsidR="00475951" w:rsidRPr="00D63217">
        <w:t>p</w:t>
      </w:r>
      <w:r w:rsidRPr="00D63217">
        <w:t>re-emergent or pre-sowing applications (and for post emergent application in peanuts up to 7</w:t>
      </w:r>
      <w:r w:rsidR="008F49BA" w:rsidRPr="00D63217">
        <w:t>–</w:t>
      </w:r>
      <w:r w:rsidRPr="00D63217">
        <w:t>8 leaf stage, potatoes no later than 25% emergence and potatoes at 4</w:t>
      </w:r>
      <w:r w:rsidR="00C6011F" w:rsidRPr="00D63217">
        <w:t>–</w:t>
      </w:r>
      <w:r w:rsidRPr="00D63217">
        <w:t xml:space="preserve">5 weeks before digging) and for </w:t>
      </w:r>
      <w:r w:rsidR="00475951" w:rsidRPr="00D63217">
        <w:t>post-emergent</w:t>
      </w:r>
      <w:r w:rsidRPr="00D63217">
        <w:t xml:space="preserve"> directed applications</w:t>
      </w:r>
    </w:p>
    <w:bookmarkEnd w:id="397"/>
    <w:p w14:paraId="72C1EE56" w14:textId="7B41AE7F" w:rsidR="00130AB3" w:rsidRPr="00D63217" w:rsidRDefault="001F55BC" w:rsidP="00D918AF">
      <w:pPr>
        <w:pStyle w:val="NormalText"/>
      </w:pPr>
      <w:r w:rsidRPr="00D63217">
        <w:t>N</w:t>
      </w:r>
      <w:r w:rsidR="00130AB3" w:rsidRPr="00D63217">
        <w:t xml:space="preserve">o changes to the intent of the current grazing withholding periods </w:t>
      </w:r>
      <w:r w:rsidRPr="00D63217">
        <w:t xml:space="preserve">are required, however </w:t>
      </w:r>
      <w:r w:rsidR="00130AB3" w:rsidRPr="00D63217">
        <w:t>language changes are recommended based on the current Agricultural labelling code</w:t>
      </w:r>
      <w:r w:rsidRPr="00D63217">
        <w:t>. The</w:t>
      </w:r>
      <w:r w:rsidR="00130AB3" w:rsidRPr="00D63217">
        <w:t xml:space="preserve"> slaughter interval should be replaced with a </w:t>
      </w:r>
      <w:r w:rsidR="000A3608" w:rsidRPr="00D63217">
        <w:t>13-day</w:t>
      </w:r>
      <w:r w:rsidR="00130AB3" w:rsidRPr="00D63217">
        <w:t xml:space="preserve"> ESI. The following label statements are recommended:</w:t>
      </w:r>
    </w:p>
    <w:p w14:paraId="21E6D68C" w14:textId="33BCC6E0" w:rsidR="00130AB3" w:rsidRPr="00D63217" w:rsidRDefault="00130AB3" w:rsidP="00C6011F">
      <w:pPr>
        <w:pStyle w:val="Bullet1"/>
      </w:pPr>
      <w:r w:rsidRPr="00D63217">
        <w:t>LIVESTOCK: DO NOT GRAZE OR CUT FOR STOCK FOOD FOR 1 DAYS AFTER APPLICATION</w:t>
      </w:r>
    </w:p>
    <w:p w14:paraId="2FC16F8F" w14:textId="4490CA3E" w:rsidR="00130AB3" w:rsidRPr="00D63217" w:rsidRDefault="00130AB3" w:rsidP="00C6011F">
      <w:pPr>
        <w:pStyle w:val="Bullet1"/>
      </w:pPr>
      <w:r w:rsidRPr="00D63217">
        <w:t>HORSES: DO NOT GRAZE OR CUT FOR STOCK FOOD FOR 7 DAYS AFTER APPLICATION</w:t>
      </w:r>
    </w:p>
    <w:p w14:paraId="29ABE3B3" w14:textId="77777777" w:rsidR="00130AB3" w:rsidRPr="00D63217" w:rsidRDefault="00130AB3" w:rsidP="00C6011F">
      <w:pPr>
        <w:pStyle w:val="Bullet1"/>
      </w:pPr>
      <w:r w:rsidRPr="00D63217">
        <w:t>LIVESTOCK DESTINED FOR EXPORT MARKETS</w:t>
      </w:r>
    </w:p>
    <w:p w14:paraId="424B0200" w14:textId="77777777" w:rsidR="00130AB3" w:rsidRPr="00D63217" w:rsidRDefault="00130AB3" w:rsidP="001F55BC">
      <w:pPr>
        <w:pStyle w:val="NormalText"/>
        <w:ind w:left="567"/>
        <w:rPr>
          <w:i/>
          <w:iCs/>
        </w:rPr>
      </w:pPr>
      <w:r w:rsidRPr="00D63217">
        <w:rPr>
          <w:i/>
          <w:iCs/>
        </w:rP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409DA599" w14:textId="77777777" w:rsidR="00130AB3" w:rsidRPr="00D63217" w:rsidRDefault="00130AB3" w:rsidP="00C6011F">
      <w:pPr>
        <w:pStyle w:val="Bullet1"/>
      </w:pPr>
      <w:r w:rsidRPr="00D63217">
        <w:t>EXPORT SLAUGHTER INTERVAL (ESI) 13 DAYS</w:t>
      </w:r>
    </w:p>
    <w:p w14:paraId="7AE6C348" w14:textId="77777777" w:rsidR="00130AB3" w:rsidRPr="00D63217" w:rsidRDefault="00130AB3" w:rsidP="001F55BC">
      <w:pPr>
        <w:pStyle w:val="NormalText"/>
        <w:ind w:left="567"/>
        <w:rPr>
          <w:i/>
          <w:iCs/>
        </w:rPr>
      </w:pPr>
      <w:r w:rsidRPr="00D63217">
        <w:rPr>
          <w:i/>
          <w:iCs/>
        </w:rPr>
        <w:t>Livestock that has grazed on or been fed treated crops should be placed on clean feed for 13 days prior to slaughter</w:t>
      </w:r>
    </w:p>
    <w:p w14:paraId="55990FE4" w14:textId="77777777" w:rsidR="00130AB3" w:rsidRPr="00D63217" w:rsidRDefault="00130AB3" w:rsidP="00C6011F">
      <w:pPr>
        <w:pStyle w:val="Bullet1"/>
      </w:pPr>
      <w:r w:rsidRPr="00D63217">
        <w:t>The following Trade Advice statement should be added to the labels of products containing pre-harvest uses on cottonseed and specified pulses (chickpeas, faba beans, field peas, lentils and lupins) and the ‘hay-freezing’ use:</w:t>
      </w:r>
    </w:p>
    <w:p w14:paraId="5DC4D044" w14:textId="77777777" w:rsidR="00130AB3" w:rsidRPr="00D63217" w:rsidRDefault="00130AB3" w:rsidP="001F55BC">
      <w:pPr>
        <w:pStyle w:val="NormalText"/>
        <w:ind w:left="567"/>
        <w:rPr>
          <w:i/>
          <w:iCs/>
        </w:rPr>
      </w:pPr>
      <w:r w:rsidRPr="00D63217">
        <w:t xml:space="preserve">EXPORT OF TREATED PRODUCE: </w:t>
      </w:r>
      <w:r w:rsidRPr="00D63217">
        <w:rPr>
          <w:i/>
          <w:iCs/>
        </w:rPr>
        <w:t>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7E888A08" w14:textId="77777777" w:rsidR="00130AB3" w:rsidRPr="00D63217" w:rsidRDefault="00130AB3" w:rsidP="00D918AF">
      <w:pPr>
        <w:pStyle w:val="NormalText"/>
      </w:pPr>
      <w:r w:rsidRPr="00D63217">
        <w:t>The following amendments should be made to the Agricultural and Veterinary Chemicals (MRL Standard for Residues of Chemical Products) Instrument 2023</w:t>
      </w:r>
      <w:bookmarkStart w:id="399" w:name="_Hlk157627990"/>
      <w:r w:rsidRPr="00D63217">
        <w:t>, should all the uses supported in this Residues and Trade assessment of paraquat be supported by the APVMA chemical review</w:t>
      </w:r>
      <w:bookmarkEnd w:id="399"/>
      <w:r w:rsidRPr="00D63217">
        <w:t>:</w:t>
      </w:r>
    </w:p>
    <w:p w14:paraId="41A433E2" w14:textId="605B3302" w:rsidR="00130AB3" w:rsidRPr="00C52B84" w:rsidRDefault="001F7978" w:rsidP="00C52B84">
      <w:pPr>
        <w:pStyle w:val="Caption"/>
      </w:pPr>
      <w:bookmarkStart w:id="400" w:name="_Toc230692287"/>
      <w:bookmarkStart w:id="401" w:name="_Toc233036508"/>
      <w:r w:rsidRPr="00C52B84">
        <w:t xml:space="preserve">Table </w:t>
      </w:r>
      <w:fldSimple w:instr=" SEQ Table \* ARABIC ">
        <w:r w:rsidR="00C52B84">
          <w:rPr>
            <w:noProof/>
          </w:rPr>
          <w:t>21</w:t>
        </w:r>
      </w:fldSimple>
      <w:r w:rsidRPr="00C52B84">
        <w:t xml:space="preserve">: </w:t>
      </w:r>
      <w:r w:rsidR="00130AB3" w:rsidRPr="00C52B84">
        <w:t>Amendments to Table 1 of the MRL Standard</w:t>
      </w:r>
      <w:bookmarkEnd w:id="400"/>
      <w:bookmarkEnd w:id="40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19"/>
        <w:gridCol w:w="4929"/>
        <w:gridCol w:w="1363"/>
        <w:gridCol w:w="1527"/>
      </w:tblGrid>
      <w:tr w:rsidR="00130AB3" w:rsidRPr="00D63217" w14:paraId="16EFE1C8" w14:textId="77777777" w:rsidTr="00B553B4">
        <w:trPr>
          <w:cantSplit/>
          <w:tblHeader/>
        </w:trPr>
        <w:tc>
          <w:tcPr>
            <w:tcW w:w="944" w:type="pct"/>
            <w:shd w:val="clear" w:color="auto" w:fill="5C2946"/>
            <w:noWrap/>
          </w:tcPr>
          <w:p w14:paraId="53674755" w14:textId="77777777" w:rsidR="00130AB3" w:rsidRPr="00D63217" w:rsidRDefault="00130AB3" w:rsidP="002B0672">
            <w:pPr>
              <w:pStyle w:val="TableHead"/>
              <w:rPr>
                <w:lang w:val="en-US"/>
              </w:rPr>
            </w:pPr>
            <w:bookmarkStart w:id="402" w:name="_Hlk157609555"/>
            <w:r w:rsidRPr="00D63217">
              <w:rPr>
                <w:lang w:val="en-US"/>
              </w:rPr>
              <w:t>Code</w:t>
            </w:r>
          </w:p>
        </w:tc>
        <w:tc>
          <w:tcPr>
            <w:tcW w:w="2557" w:type="pct"/>
            <w:shd w:val="clear" w:color="auto" w:fill="5C2946"/>
            <w:noWrap/>
          </w:tcPr>
          <w:p w14:paraId="3C2866BD" w14:textId="77777777" w:rsidR="00130AB3" w:rsidRPr="00D63217" w:rsidRDefault="00130AB3" w:rsidP="002B0672">
            <w:pPr>
              <w:pStyle w:val="TableHead"/>
            </w:pPr>
            <w:r w:rsidRPr="00D63217">
              <w:t>Commodity</w:t>
            </w:r>
          </w:p>
        </w:tc>
        <w:tc>
          <w:tcPr>
            <w:tcW w:w="707" w:type="pct"/>
            <w:shd w:val="clear" w:color="auto" w:fill="5C2946"/>
            <w:noWrap/>
          </w:tcPr>
          <w:p w14:paraId="74FA38D9" w14:textId="77777777" w:rsidR="00130AB3" w:rsidRPr="00D63217" w:rsidRDefault="00130AB3" w:rsidP="006754A6">
            <w:pPr>
              <w:pStyle w:val="TableHead"/>
              <w:jc w:val="right"/>
            </w:pPr>
            <w:r w:rsidRPr="00D63217">
              <w:t>Current MRL</w:t>
            </w:r>
          </w:p>
        </w:tc>
        <w:tc>
          <w:tcPr>
            <w:tcW w:w="792" w:type="pct"/>
            <w:shd w:val="clear" w:color="auto" w:fill="5C2946"/>
          </w:tcPr>
          <w:p w14:paraId="3E63D504" w14:textId="77777777" w:rsidR="00130AB3" w:rsidRPr="00D63217" w:rsidRDefault="00130AB3" w:rsidP="006754A6">
            <w:pPr>
              <w:pStyle w:val="TableHead"/>
              <w:jc w:val="right"/>
            </w:pPr>
            <w:r w:rsidRPr="00D63217">
              <w:t>Recommended MRL</w:t>
            </w:r>
          </w:p>
        </w:tc>
      </w:tr>
      <w:tr w:rsidR="00130AB3" w:rsidRPr="00D63217" w14:paraId="772B9DAB" w14:textId="77777777" w:rsidTr="006754A6">
        <w:trPr>
          <w:cantSplit/>
        </w:trPr>
        <w:tc>
          <w:tcPr>
            <w:tcW w:w="944" w:type="pct"/>
            <w:noWrap/>
          </w:tcPr>
          <w:p w14:paraId="0BB57BA5" w14:textId="0E1E04C1" w:rsidR="00130AB3" w:rsidRPr="00D63217" w:rsidRDefault="00130AB3" w:rsidP="002B0672">
            <w:pPr>
              <w:pStyle w:val="TableText"/>
            </w:pPr>
            <w:bookmarkStart w:id="403" w:name="_Hlk163487573"/>
            <w:r w:rsidRPr="00D63217">
              <w:t>F</w:t>
            </w:r>
            <w:r w:rsidR="00820B32">
              <w:t>T</w:t>
            </w:r>
            <w:r w:rsidRPr="00D63217">
              <w:t xml:space="preserve"> 0026</w:t>
            </w:r>
          </w:p>
        </w:tc>
        <w:tc>
          <w:tcPr>
            <w:tcW w:w="2557" w:type="pct"/>
            <w:noWrap/>
          </w:tcPr>
          <w:p w14:paraId="4C550F14" w14:textId="77777777" w:rsidR="00130AB3" w:rsidRPr="00D63217" w:rsidRDefault="00130AB3" w:rsidP="002B0672">
            <w:pPr>
              <w:pStyle w:val="TableText"/>
            </w:pPr>
            <w:r w:rsidRPr="00D63217">
              <w:t>Assorted tropical and sub-tropical fruits – edible peel</w:t>
            </w:r>
          </w:p>
        </w:tc>
        <w:tc>
          <w:tcPr>
            <w:tcW w:w="707" w:type="pct"/>
            <w:noWrap/>
          </w:tcPr>
          <w:p w14:paraId="76305D8F" w14:textId="77777777" w:rsidR="00130AB3" w:rsidRPr="00D63217" w:rsidRDefault="00130AB3" w:rsidP="006754A6">
            <w:pPr>
              <w:pStyle w:val="TableText"/>
              <w:jc w:val="right"/>
            </w:pPr>
            <w:r w:rsidRPr="00D63217">
              <w:t>-</w:t>
            </w:r>
          </w:p>
        </w:tc>
        <w:tc>
          <w:tcPr>
            <w:tcW w:w="792" w:type="pct"/>
          </w:tcPr>
          <w:p w14:paraId="38823B59" w14:textId="77777777" w:rsidR="00130AB3" w:rsidRPr="00D63217" w:rsidRDefault="00130AB3" w:rsidP="006754A6">
            <w:pPr>
              <w:pStyle w:val="TableText"/>
              <w:jc w:val="right"/>
            </w:pPr>
            <w:r w:rsidRPr="00D63217">
              <w:t>*0.05</w:t>
            </w:r>
          </w:p>
        </w:tc>
      </w:tr>
      <w:tr w:rsidR="00130AB3" w:rsidRPr="00D63217" w14:paraId="74260703" w14:textId="77777777" w:rsidTr="006754A6">
        <w:trPr>
          <w:cantSplit/>
        </w:trPr>
        <w:tc>
          <w:tcPr>
            <w:tcW w:w="944" w:type="pct"/>
            <w:noWrap/>
          </w:tcPr>
          <w:p w14:paraId="5F4CAF3E" w14:textId="77777777" w:rsidR="00130AB3" w:rsidRPr="00D63217" w:rsidRDefault="00130AB3" w:rsidP="002B0672">
            <w:pPr>
              <w:pStyle w:val="TableText"/>
            </w:pPr>
            <w:r w:rsidRPr="00D63217">
              <w:t>FI 0030</w:t>
            </w:r>
          </w:p>
        </w:tc>
        <w:tc>
          <w:tcPr>
            <w:tcW w:w="2557" w:type="pct"/>
            <w:noWrap/>
          </w:tcPr>
          <w:p w14:paraId="1BEBBCC3" w14:textId="77777777" w:rsidR="00130AB3" w:rsidRPr="00D63217" w:rsidRDefault="00130AB3" w:rsidP="002B0672">
            <w:pPr>
              <w:pStyle w:val="TableText"/>
            </w:pPr>
            <w:r w:rsidRPr="00D63217">
              <w:t>Assorted tropical and sub-tropical fruits – inedible peel</w:t>
            </w:r>
          </w:p>
        </w:tc>
        <w:tc>
          <w:tcPr>
            <w:tcW w:w="707" w:type="pct"/>
            <w:noWrap/>
          </w:tcPr>
          <w:p w14:paraId="3DB53325" w14:textId="77777777" w:rsidR="00130AB3" w:rsidRPr="00D63217" w:rsidRDefault="00130AB3" w:rsidP="006754A6">
            <w:pPr>
              <w:pStyle w:val="TableText"/>
              <w:jc w:val="right"/>
            </w:pPr>
            <w:r w:rsidRPr="00D63217">
              <w:t>-</w:t>
            </w:r>
          </w:p>
        </w:tc>
        <w:tc>
          <w:tcPr>
            <w:tcW w:w="792" w:type="pct"/>
          </w:tcPr>
          <w:p w14:paraId="6B77F605" w14:textId="77777777" w:rsidR="00130AB3" w:rsidRPr="00D63217" w:rsidRDefault="00130AB3" w:rsidP="006754A6">
            <w:pPr>
              <w:pStyle w:val="TableText"/>
              <w:jc w:val="right"/>
            </w:pPr>
            <w:r w:rsidRPr="00D63217">
              <w:t>*0.01</w:t>
            </w:r>
          </w:p>
        </w:tc>
      </w:tr>
      <w:tr w:rsidR="00130AB3" w:rsidRPr="00D63217" w14:paraId="2E0AC952" w14:textId="77777777" w:rsidTr="006754A6">
        <w:trPr>
          <w:cantSplit/>
        </w:trPr>
        <w:tc>
          <w:tcPr>
            <w:tcW w:w="944" w:type="pct"/>
            <w:noWrap/>
          </w:tcPr>
          <w:p w14:paraId="71E7FF30" w14:textId="77777777" w:rsidR="00130AB3" w:rsidRPr="00D63217" w:rsidRDefault="00130AB3" w:rsidP="002B0672">
            <w:pPr>
              <w:pStyle w:val="TableText"/>
            </w:pPr>
            <w:r w:rsidRPr="00D63217">
              <w:t>FB 0018</w:t>
            </w:r>
          </w:p>
        </w:tc>
        <w:tc>
          <w:tcPr>
            <w:tcW w:w="2557" w:type="pct"/>
            <w:noWrap/>
          </w:tcPr>
          <w:p w14:paraId="6C35D370" w14:textId="77777777" w:rsidR="00130AB3" w:rsidRPr="00D63217" w:rsidRDefault="00130AB3" w:rsidP="002B0672">
            <w:pPr>
              <w:pStyle w:val="TableText"/>
            </w:pPr>
            <w:r w:rsidRPr="00D63217">
              <w:t>Berries and other small fruits</w:t>
            </w:r>
          </w:p>
        </w:tc>
        <w:tc>
          <w:tcPr>
            <w:tcW w:w="707" w:type="pct"/>
            <w:noWrap/>
          </w:tcPr>
          <w:p w14:paraId="67FD6B64" w14:textId="77777777" w:rsidR="00130AB3" w:rsidRPr="00D63217" w:rsidRDefault="00130AB3" w:rsidP="006754A6">
            <w:pPr>
              <w:pStyle w:val="TableText"/>
              <w:jc w:val="right"/>
            </w:pPr>
            <w:r w:rsidRPr="00D63217">
              <w:t>-</w:t>
            </w:r>
          </w:p>
        </w:tc>
        <w:tc>
          <w:tcPr>
            <w:tcW w:w="792" w:type="pct"/>
          </w:tcPr>
          <w:p w14:paraId="000DD757" w14:textId="77777777" w:rsidR="00130AB3" w:rsidRPr="00D63217" w:rsidRDefault="00130AB3" w:rsidP="006754A6">
            <w:pPr>
              <w:pStyle w:val="TableText"/>
              <w:jc w:val="right"/>
            </w:pPr>
            <w:r w:rsidRPr="00D63217">
              <w:t>*0.01</w:t>
            </w:r>
          </w:p>
        </w:tc>
      </w:tr>
      <w:tr w:rsidR="00130AB3" w:rsidRPr="00D63217" w14:paraId="7F56116D" w14:textId="77777777" w:rsidTr="006754A6">
        <w:trPr>
          <w:cantSplit/>
        </w:trPr>
        <w:tc>
          <w:tcPr>
            <w:tcW w:w="944" w:type="pct"/>
            <w:noWrap/>
          </w:tcPr>
          <w:p w14:paraId="6EDA28C7" w14:textId="77777777" w:rsidR="00130AB3" w:rsidRPr="00D63217" w:rsidRDefault="00130AB3" w:rsidP="002B0672">
            <w:pPr>
              <w:pStyle w:val="TableText"/>
            </w:pPr>
            <w:r w:rsidRPr="00D63217">
              <w:lastRenderedPageBreak/>
              <w:t>VB 0040</w:t>
            </w:r>
          </w:p>
        </w:tc>
        <w:tc>
          <w:tcPr>
            <w:tcW w:w="2557" w:type="pct"/>
            <w:noWrap/>
          </w:tcPr>
          <w:p w14:paraId="425B478A" w14:textId="5B259B60" w:rsidR="00130AB3" w:rsidRPr="00D63217" w:rsidRDefault="00130AB3" w:rsidP="002B0672">
            <w:pPr>
              <w:pStyle w:val="TableText"/>
            </w:pPr>
            <w:r w:rsidRPr="00D63217">
              <w:t xml:space="preserve">Brassica (cole or cabbage) vegetables, </w:t>
            </w:r>
            <w:r w:rsidR="006754A6" w:rsidRPr="00D63217">
              <w:t>h</w:t>
            </w:r>
            <w:r w:rsidRPr="00D63217">
              <w:t>ead cabbages</w:t>
            </w:r>
          </w:p>
          <w:p w14:paraId="42D44CAE" w14:textId="77777777" w:rsidR="00130AB3" w:rsidRPr="00D63217" w:rsidRDefault="00130AB3" w:rsidP="002B0672">
            <w:pPr>
              <w:pStyle w:val="TableText"/>
            </w:pPr>
            <w:r w:rsidRPr="00D63217">
              <w:t>Flowerhead brassicas</w:t>
            </w:r>
          </w:p>
        </w:tc>
        <w:tc>
          <w:tcPr>
            <w:tcW w:w="707" w:type="pct"/>
            <w:noWrap/>
          </w:tcPr>
          <w:p w14:paraId="658E76FE" w14:textId="77777777" w:rsidR="00130AB3" w:rsidRPr="00D63217" w:rsidRDefault="00130AB3" w:rsidP="006754A6">
            <w:pPr>
              <w:pStyle w:val="TableText"/>
              <w:jc w:val="right"/>
            </w:pPr>
            <w:r w:rsidRPr="00D63217">
              <w:t>-</w:t>
            </w:r>
          </w:p>
        </w:tc>
        <w:tc>
          <w:tcPr>
            <w:tcW w:w="792" w:type="pct"/>
          </w:tcPr>
          <w:p w14:paraId="2577C890" w14:textId="77777777" w:rsidR="00130AB3" w:rsidRPr="00D63217" w:rsidRDefault="00130AB3" w:rsidP="006754A6">
            <w:pPr>
              <w:pStyle w:val="TableText"/>
              <w:jc w:val="right"/>
            </w:pPr>
            <w:r w:rsidRPr="00D63217">
              <w:t>*0.03</w:t>
            </w:r>
          </w:p>
        </w:tc>
      </w:tr>
      <w:tr w:rsidR="00130AB3" w:rsidRPr="00D63217" w14:paraId="1FF6F436" w14:textId="77777777" w:rsidTr="006754A6">
        <w:trPr>
          <w:cantSplit/>
        </w:trPr>
        <w:tc>
          <w:tcPr>
            <w:tcW w:w="944" w:type="pct"/>
            <w:noWrap/>
          </w:tcPr>
          <w:p w14:paraId="23E78FFD" w14:textId="77777777" w:rsidR="00130AB3" w:rsidRPr="00D63217" w:rsidRDefault="00130AB3" w:rsidP="002B0672">
            <w:pPr>
              <w:pStyle w:val="TableText"/>
              <w:rPr>
                <w:lang w:val="en-US"/>
              </w:rPr>
            </w:pPr>
            <w:r w:rsidRPr="00D63217">
              <w:rPr>
                <w:lang w:val="en-US"/>
              </w:rPr>
              <w:t>VD 0523</w:t>
            </w:r>
          </w:p>
        </w:tc>
        <w:tc>
          <w:tcPr>
            <w:tcW w:w="2557" w:type="pct"/>
            <w:noWrap/>
          </w:tcPr>
          <w:p w14:paraId="058BAD76" w14:textId="166FF7E6" w:rsidR="00130AB3" w:rsidRPr="00D63217" w:rsidRDefault="00130AB3" w:rsidP="002B0672">
            <w:pPr>
              <w:pStyle w:val="TableText"/>
            </w:pPr>
            <w:r w:rsidRPr="00D63217">
              <w:t>Broad bean (dry)</w:t>
            </w:r>
            <w:r w:rsidR="006754A6" w:rsidRPr="00D63217">
              <w:t>,</w:t>
            </w:r>
            <w:r w:rsidRPr="00D63217">
              <w:t xml:space="preserve"> [faba bean (dry)]</w:t>
            </w:r>
          </w:p>
        </w:tc>
        <w:tc>
          <w:tcPr>
            <w:tcW w:w="707" w:type="pct"/>
            <w:noWrap/>
          </w:tcPr>
          <w:p w14:paraId="5A8A4575" w14:textId="77777777" w:rsidR="00130AB3" w:rsidRPr="00D63217" w:rsidRDefault="00130AB3" w:rsidP="006754A6">
            <w:pPr>
              <w:pStyle w:val="TableText"/>
              <w:jc w:val="right"/>
            </w:pPr>
            <w:r w:rsidRPr="00D63217">
              <w:t>-</w:t>
            </w:r>
          </w:p>
        </w:tc>
        <w:tc>
          <w:tcPr>
            <w:tcW w:w="792" w:type="pct"/>
          </w:tcPr>
          <w:p w14:paraId="05977F2F" w14:textId="77777777" w:rsidR="00130AB3" w:rsidRPr="00D63217" w:rsidRDefault="00130AB3" w:rsidP="006754A6">
            <w:pPr>
              <w:pStyle w:val="TableText"/>
              <w:jc w:val="right"/>
            </w:pPr>
            <w:r w:rsidRPr="00D63217">
              <w:t>1</w:t>
            </w:r>
          </w:p>
        </w:tc>
      </w:tr>
      <w:tr w:rsidR="00130AB3" w:rsidRPr="00D63217" w14:paraId="48DE441D" w14:textId="77777777" w:rsidTr="006754A6">
        <w:trPr>
          <w:cantSplit/>
        </w:trPr>
        <w:tc>
          <w:tcPr>
            <w:tcW w:w="944" w:type="pct"/>
            <w:noWrap/>
          </w:tcPr>
          <w:p w14:paraId="60036FB1" w14:textId="77777777" w:rsidR="00130AB3" w:rsidRPr="00D63217" w:rsidRDefault="00130AB3" w:rsidP="002B0672">
            <w:pPr>
              <w:pStyle w:val="TableText"/>
            </w:pPr>
            <w:r w:rsidRPr="00D63217">
              <w:t>VA 0035</w:t>
            </w:r>
          </w:p>
        </w:tc>
        <w:tc>
          <w:tcPr>
            <w:tcW w:w="2557" w:type="pct"/>
            <w:noWrap/>
          </w:tcPr>
          <w:p w14:paraId="7EE0BC5A" w14:textId="77777777" w:rsidR="00130AB3" w:rsidRPr="00D63217" w:rsidRDefault="00130AB3" w:rsidP="002B0672">
            <w:pPr>
              <w:pStyle w:val="TableText"/>
            </w:pPr>
            <w:r w:rsidRPr="00D63217">
              <w:t>Bulb vegetables</w:t>
            </w:r>
          </w:p>
        </w:tc>
        <w:tc>
          <w:tcPr>
            <w:tcW w:w="707" w:type="pct"/>
            <w:noWrap/>
          </w:tcPr>
          <w:p w14:paraId="0EA6CDD9" w14:textId="77777777" w:rsidR="00130AB3" w:rsidRPr="00D63217" w:rsidRDefault="00130AB3" w:rsidP="006754A6">
            <w:pPr>
              <w:pStyle w:val="TableText"/>
              <w:jc w:val="right"/>
            </w:pPr>
            <w:r w:rsidRPr="00D63217">
              <w:t>-</w:t>
            </w:r>
          </w:p>
        </w:tc>
        <w:tc>
          <w:tcPr>
            <w:tcW w:w="792" w:type="pct"/>
          </w:tcPr>
          <w:p w14:paraId="3033A8C4" w14:textId="77777777" w:rsidR="00130AB3" w:rsidRPr="00D63217" w:rsidRDefault="00130AB3" w:rsidP="006754A6">
            <w:pPr>
              <w:pStyle w:val="TableText"/>
              <w:jc w:val="right"/>
            </w:pPr>
            <w:r w:rsidRPr="00D63217">
              <w:t>*0.01</w:t>
            </w:r>
          </w:p>
        </w:tc>
      </w:tr>
      <w:bookmarkEnd w:id="403"/>
      <w:tr w:rsidR="00130AB3" w:rsidRPr="00D63217" w14:paraId="23BCF75B" w14:textId="77777777" w:rsidTr="006754A6">
        <w:trPr>
          <w:cantSplit/>
        </w:trPr>
        <w:tc>
          <w:tcPr>
            <w:tcW w:w="944" w:type="pct"/>
            <w:noWrap/>
            <w:hideMark/>
          </w:tcPr>
          <w:p w14:paraId="11E7EF5E" w14:textId="77777777" w:rsidR="00130AB3" w:rsidRPr="00D63217" w:rsidRDefault="00130AB3" w:rsidP="002B0672">
            <w:pPr>
              <w:pStyle w:val="TableText"/>
              <w:rPr>
                <w:lang w:val="en-US"/>
              </w:rPr>
            </w:pPr>
            <w:r w:rsidRPr="00D63217">
              <w:rPr>
                <w:lang w:val="en-US"/>
              </w:rPr>
              <w:t>GC 0080</w:t>
            </w:r>
          </w:p>
        </w:tc>
        <w:tc>
          <w:tcPr>
            <w:tcW w:w="2557" w:type="pct"/>
            <w:noWrap/>
            <w:hideMark/>
          </w:tcPr>
          <w:p w14:paraId="09D6B308" w14:textId="484FDBE7" w:rsidR="00130AB3" w:rsidRPr="00D63217" w:rsidRDefault="00130AB3" w:rsidP="002B0672">
            <w:pPr>
              <w:pStyle w:val="TableText"/>
            </w:pPr>
            <w:r w:rsidRPr="00D63217">
              <w:t>Cereal grains [except maize; rice]</w:t>
            </w:r>
          </w:p>
        </w:tc>
        <w:tc>
          <w:tcPr>
            <w:tcW w:w="707" w:type="pct"/>
            <w:noWrap/>
            <w:hideMark/>
          </w:tcPr>
          <w:p w14:paraId="0C9EF122" w14:textId="77777777" w:rsidR="00130AB3" w:rsidRPr="00D63217" w:rsidRDefault="00130AB3" w:rsidP="006754A6">
            <w:pPr>
              <w:pStyle w:val="TableText"/>
              <w:jc w:val="right"/>
            </w:pPr>
            <w:r w:rsidRPr="00D63217">
              <w:t>*0.05</w:t>
            </w:r>
          </w:p>
        </w:tc>
        <w:tc>
          <w:tcPr>
            <w:tcW w:w="792" w:type="pct"/>
          </w:tcPr>
          <w:p w14:paraId="489553CF" w14:textId="77777777" w:rsidR="00130AB3" w:rsidRPr="00D63217" w:rsidRDefault="00130AB3" w:rsidP="006754A6">
            <w:pPr>
              <w:pStyle w:val="TableText"/>
              <w:jc w:val="right"/>
            </w:pPr>
            <w:r w:rsidRPr="00D63217">
              <w:t>Delete</w:t>
            </w:r>
          </w:p>
        </w:tc>
      </w:tr>
      <w:tr w:rsidR="00130AB3" w:rsidRPr="00D63217" w14:paraId="7A4AAA99" w14:textId="77777777" w:rsidTr="006754A6">
        <w:trPr>
          <w:cantSplit/>
        </w:trPr>
        <w:tc>
          <w:tcPr>
            <w:tcW w:w="944" w:type="pct"/>
            <w:noWrap/>
          </w:tcPr>
          <w:p w14:paraId="236A18A8" w14:textId="77777777" w:rsidR="00130AB3" w:rsidRPr="00D63217" w:rsidRDefault="00130AB3" w:rsidP="002B0672">
            <w:pPr>
              <w:pStyle w:val="TableText"/>
              <w:rPr>
                <w:lang w:val="en-US"/>
              </w:rPr>
            </w:pPr>
            <w:r w:rsidRPr="00D63217">
              <w:rPr>
                <w:lang w:val="en-US"/>
              </w:rPr>
              <w:t>GC 0080</w:t>
            </w:r>
          </w:p>
        </w:tc>
        <w:tc>
          <w:tcPr>
            <w:tcW w:w="2557" w:type="pct"/>
            <w:noWrap/>
          </w:tcPr>
          <w:p w14:paraId="38409A28" w14:textId="77777777" w:rsidR="00130AB3" w:rsidRPr="00D63217" w:rsidRDefault="00130AB3" w:rsidP="002B0672">
            <w:pPr>
              <w:pStyle w:val="TableText"/>
            </w:pPr>
            <w:r w:rsidRPr="00D63217">
              <w:t>Cereal grains</w:t>
            </w:r>
          </w:p>
        </w:tc>
        <w:tc>
          <w:tcPr>
            <w:tcW w:w="707" w:type="pct"/>
            <w:noWrap/>
          </w:tcPr>
          <w:p w14:paraId="2166C20E" w14:textId="77777777" w:rsidR="00130AB3" w:rsidRPr="00D63217" w:rsidRDefault="00130AB3" w:rsidP="006754A6">
            <w:pPr>
              <w:pStyle w:val="TableText"/>
              <w:jc w:val="right"/>
            </w:pPr>
            <w:r w:rsidRPr="00D63217">
              <w:t>-</w:t>
            </w:r>
          </w:p>
        </w:tc>
        <w:tc>
          <w:tcPr>
            <w:tcW w:w="792" w:type="pct"/>
          </w:tcPr>
          <w:p w14:paraId="7E2F5E89" w14:textId="77777777" w:rsidR="00130AB3" w:rsidRPr="00D63217" w:rsidRDefault="00130AB3" w:rsidP="006754A6">
            <w:pPr>
              <w:pStyle w:val="TableText"/>
              <w:jc w:val="right"/>
            </w:pPr>
            <w:r w:rsidRPr="00D63217">
              <w:t>*0.05</w:t>
            </w:r>
          </w:p>
        </w:tc>
      </w:tr>
      <w:tr w:rsidR="00130AB3" w:rsidRPr="00D63217" w14:paraId="3B141CAD" w14:textId="77777777" w:rsidTr="006754A6">
        <w:trPr>
          <w:cantSplit/>
        </w:trPr>
        <w:tc>
          <w:tcPr>
            <w:tcW w:w="944" w:type="pct"/>
            <w:noWrap/>
          </w:tcPr>
          <w:p w14:paraId="1D7FA11A" w14:textId="77777777" w:rsidR="00130AB3" w:rsidRPr="00D63217" w:rsidRDefault="00130AB3" w:rsidP="002B0672">
            <w:pPr>
              <w:pStyle w:val="TableText"/>
              <w:rPr>
                <w:lang w:val="en-US"/>
              </w:rPr>
            </w:pPr>
            <w:r w:rsidRPr="00D63217">
              <w:t>VD 0524</w:t>
            </w:r>
          </w:p>
        </w:tc>
        <w:tc>
          <w:tcPr>
            <w:tcW w:w="2557" w:type="pct"/>
            <w:noWrap/>
          </w:tcPr>
          <w:p w14:paraId="44541D1D" w14:textId="77777777" w:rsidR="00130AB3" w:rsidRPr="00D63217" w:rsidRDefault="00130AB3" w:rsidP="002B0672">
            <w:pPr>
              <w:pStyle w:val="TableText"/>
            </w:pPr>
            <w:r w:rsidRPr="00D63217">
              <w:t xml:space="preserve">Chick-pea (dry) </w:t>
            </w:r>
          </w:p>
        </w:tc>
        <w:tc>
          <w:tcPr>
            <w:tcW w:w="707" w:type="pct"/>
            <w:noWrap/>
          </w:tcPr>
          <w:p w14:paraId="69EDC3FD" w14:textId="77777777" w:rsidR="00130AB3" w:rsidRPr="00D63217" w:rsidRDefault="00130AB3" w:rsidP="006754A6">
            <w:pPr>
              <w:pStyle w:val="TableText"/>
              <w:jc w:val="right"/>
            </w:pPr>
            <w:r w:rsidRPr="00D63217">
              <w:t>-</w:t>
            </w:r>
          </w:p>
        </w:tc>
        <w:tc>
          <w:tcPr>
            <w:tcW w:w="792" w:type="pct"/>
          </w:tcPr>
          <w:p w14:paraId="6184B4AC" w14:textId="77777777" w:rsidR="00130AB3" w:rsidRPr="00D63217" w:rsidRDefault="00130AB3" w:rsidP="006754A6">
            <w:pPr>
              <w:pStyle w:val="TableText"/>
              <w:jc w:val="right"/>
            </w:pPr>
            <w:r w:rsidRPr="00D63217">
              <w:t>1</w:t>
            </w:r>
          </w:p>
        </w:tc>
      </w:tr>
      <w:tr w:rsidR="00130AB3" w:rsidRPr="00D63217" w14:paraId="2F4DDA70" w14:textId="77777777" w:rsidTr="006754A6">
        <w:trPr>
          <w:cantSplit/>
        </w:trPr>
        <w:tc>
          <w:tcPr>
            <w:tcW w:w="944" w:type="pct"/>
            <w:noWrap/>
          </w:tcPr>
          <w:p w14:paraId="0D9CEBCC" w14:textId="77777777" w:rsidR="00130AB3" w:rsidRPr="00D63217" w:rsidRDefault="00130AB3" w:rsidP="002B0672">
            <w:pPr>
              <w:pStyle w:val="TableText"/>
            </w:pPr>
            <w:r w:rsidRPr="00D63217">
              <w:t>FC 0001</w:t>
            </w:r>
          </w:p>
        </w:tc>
        <w:tc>
          <w:tcPr>
            <w:tcW w:w="2557" w:type="pct"/>
            <w:noWrap/>
          </w:tcPr>
          <w:p w14:paraId="580EA782" w14:textId="77777777" w:rsidR="00130AB3" w:rsidRPr="00D63217" w:rsidRDefault="00130AB3" w:rsidP="002B0672">
            <w:pPr>
              <w:pStyle w:val="TableText"/>
            </w:pPr>
            <w:r w:rsidRPr="00D63217">
              <w:t>Citrus fruits</w:t>
            </w:r>
          </w:p>
        </w:tc>
        <w:tc>
          <w:tcPr>
            <w:tcW w:w="707" w:type="pct"/>
            <w:noWrap/>
          </w:tcPr>
          <w:p w14:paraId="453CFB1F" w14:textId="77777777" w:rsidR="00130AB3" w:rsidRPr="00D63217" w:rsidRDefault="00130AB3" w:rsidP="006754A6">
            <w:pPr>
              <w:pStyle w:val="TableText"/>
              <w:jc w:val="right"/>
            </w:pPr>
            <w:r w:rsidRPr="00D63217">
              <w:t>-</w:t>
            </w:r>
          </w:p>
        </w:tc>
        <w:tc>
          <w:tcPr>
            <w:tcW w:w="792" w:type="pct"/>
          </w:tcPr>
          <w:p w14:paraId="4F7AA662" w14:textId="77777777" w:rsidR="00130AB3" w:rsidRPr="00D63217" w:rsidRDefault="00130AB3" w:rsidP="006754A6">
            <w:pPr>
              <w:pStyle w:val="TableText"/>
              <w:jc w:val="right"/>
            </w:pPr>
            <w:r w:rsidRPr="00D63217">
              <w:t>*0.01</w:t>
            </w:r>
          </w:p>
        </w:tc>
      </w:tr>
      <w:tr w:rsidR="00130AB3" w:rsidRPr="00D63217" w14:paraId="426BD8F3" w14:textId="77777777" w:rsidTr="006754A6">
        <w:trPr>
          <w:cantSplit/>
        </w:trPr>
        <w:tc>
          <w:tcPr>
            <w:tcW w:w="944" w:type="pct"/>
            <w:noWrap/>
            <w:hideMark/>
          </w:tcPr>
          <w:p w14:paraId="58C1D68C" w14:textId="77777777" w:rsidR="00130AB3" w:rsidRPr="00D63217" w:rsidRDefault="00130AB3" w:rsidP="002B0672">
            <w:pPr>
              <w:pStyle w:val="TableText"/>
              <w:rPr>
                <w:lang w:val="en-US"/>
              </w:rPr>
            </w:pPr>
            <w:r w:rsidRPr="00D63217">
              <w:rPr>
                <w:lang w:val="en-US"/>
              </w:rPr>
              <w:t>SO 0691</w:t>
            </w:r>
          </w:p>
        </w:tc>
        <w:tc>
          <w:tcPr>
            <w:tcW w:w="2557" w:type="pct"/>
            <w:noWrap/>
            <w:hideMark/>
          </w:tcPr>
          <w:p w14:paraId="1F50AD3A" w14:textId="77777777" w:rsidR="00130AB3" w:rsidRPr="00D63217" w:rsidRDefault="00130AB3" w:rsidP="002B0672">
            <w:pPr>
              <w:pStyle w:val="TableText"/>
            </w:pPr>
            <w:r w:rsidRPr="00D63217">
              <w:t>Cotton seed</w:t>
            </w:r>
          </w:p>
        </w:tc>
        <w:tc>
          <w:tcPr>
            <w:tcW w:w="707" w:type="pct"/>
            <w:noWrap/>
            <w:hideMark/>
          </w:tcPr>
          <w:p w14:paraId="751240EA" w14:textId="77777777" w:rsidR="00130AB3" w:rsidRPr="00D63217" w:rsidRDefault="00130AB3" w:rsidP="006754A6">
            <w:pPr>
              <w:pStyle w:val="TableText"/>
              <w:jc w:val="right"/>
            </w:pPr>
            <w:r w:rsidRPr="00D63217">
              <w:t>0.2</w:t>
            </w:r>
          </w:p>
        </w:tc>
        <w:tc>
          <w:tcPr>
            <w:tcW w:w="792" w:type="pct"/>
          </w:tcPr>
          <w:p w14:paraId="58514FB6" w14:textId="77777777" w:rsidR="00130AB3" w:rsidRPr="00D63217" w:rsidRDefault="00130AB3" w:rsidP="006754A6">
            <w:pPr>
              <w:pStyle w:val="TableText"/>
              <w:jc w:val="right"/>
            </w:pPr>
            <w:r w:rsidRPr="00D63217">
              <w:t>0.2</w:t>
            </w:r>
          </w:p>
        </w:tc>
      </w:tr>
      <w:tr w:rsidR="00130AB3" w:rsidRPr="00D63217" w14:paraId="41951656" w14:textId="77777777" w:rsidTr="006754A6">
        <w:trPr>
          <w:cantSplit/>
        </w:trPr>
        <w:tc>
          <w:tcPr>
            <w:tcW w:w="944" w:type="pct"/>
            <w:noWrap/>
            <w:hideMark/>
          </w:tcPr>
          <w:p w14:paraId="3E6EC855" w14:textId="77777777" w:rsidR="00130AB3" w:rsidRPr="00D63217" w:rsidRDefault="00130AB3" w:rsidP="002B0672">
            <w:pPr>
              <w:pStyle w:val="TableText"/>
              <w:rPr>
                <w:lang w:val="en-US"/>
              </w:rPr>
            </w:pPr>
            <w:r w:rsidRPr="00D63217">
              <w:rPr>
                <w:lang w:val="en-US"/>
              </w:rPr>
              <w:t>OR 0691</w:t>
            </w:r>
          </w:p>
        </w:tc>
        <w:tc>
          <w:tcPr>
            <w:tcW w:w="2557" w:type="pct"/>
            <w:noWrap/>
            <w:hideMark/>
          </w:tcPr>
          <w:p w14:paraId="3B08277E" w14:textId="77777777" w:rsidR="00130AB3" w:rsidRPr="00D63217" w:rsidRDefault="00130AB3" w:rsidP="002B0672">
            <w:pPr>
              <w:pStyle w:val="TableText"/>
            </w:pPr>
            <w:r w:rsidRPr="00D63217">
              <w:t>Cotton seed oil, edible</w:t>
            </w:r>
          </w:p>
        </w:tc>
        <w:tc>
          <w:tcPr>
            <w:tcW w:w="707" w:type="pct"/>
            <w:noWrap/>
            <w:hideMark/>
          </w:tcPr>
          <w:p w14:paraId="42DFD29B" w14:textId="77777777" w:rsidR="00130AB3" w:rsidRPr="00D63217" w:rsidRDefault="00130AB3" w:rsidP="006754A6">
            <w:pPr>
              <w:pStyle w:val="TableText"/>
              <w:jc w:val="right"/>
            </w:pPr>
            <w:r w:rsidRPr="00D63217">
              <w:t>0.05</w:t>
            </w:r>
          </w:p>
        </w:tc>
        <w:tc>
          <w:tcPr>
            <w:tcW w:w="792" w:type="pct"/>
          </w:tcPr>
          <w:p w14:paraId="1F9F693D" w14:textId="77777777" w:rsidR="00130AB3" w:rsidRPr="00D63217" w:rsidRDefault="00130AB3" w:rsidP="006754A6">
            <w:pPr>
              <w:pStyle w:val="TableText"/>
              <w:jc w:val="right"/>
            </w:pPr>
            <w:r w:rsidRPr="00D63217">
              <w:t>Delete</w:t>
            </w:r>
          </w:p>
        </w:tc>
      </w:tr>
      <w:tr w:rsidR="00130AB3" w:rsidRPr="00D63217" w14:paraId="189F30D2" w14:textId="77777777" w:rsidTr="006754A6">
        <w:trPr>
          <w:cantSplit/>
        </w:trPr>
        <w:tc>
          <w:tcPr>
            <w:tcW w:w="944" w:type="pct"/>
            <w:noWrap/>
            <w:hideMark/>
          </w:tcPr>
          <w:p w14:paraId="0F86BE88" w14:textId="77777777" w:rsidR="00130AB3" w:rsidRPr="00D63217" w:rsidRDefault="00130AB3" w:rsidP="002B0672">
            <w:pPr>
              <w:pStyle w:val="TableText"/>
              <w:rPr>
                <w:lang w:val="en-US"/>
              </w:rPr>
            </w:pPr>
            <w:r w:rsidRPr="00D63217">
              <w:rPr>
                <w:lang w:val="en-US"/>
              </w:rPr>
              <w:t>MO 0105</w:t>
            </w:r>
          </w:p>
        </w:tc>
        <w:tc>
          <w:tcPr>
            <w:tcW w:w="2557" w:type="pct"/>
            <w:noWrap/>
            <w:hideMark/>
          </w:tcPr>
          <w:p w14:paraId="3F48205A" w14:textId="44807296" w:rsidR="00130AB3" w:rsidRPr="00D63217" w:rsidRDefault="00130AB3" w:rsidP="002B0672">
            <w:pPr>
              <w:pStyle w:val="TableText"/>
            </w:pPr>
            <w:r w:rsidRPr="00D63217">
              <w:t>Edible offal (Mammalian)</w:t>
            </w:r>
          </w:p>
        </w:tc>
        <w:tc>
          <w:tcPr>
            <w:tcW w:w="707" w:type="pct"/>
            <w:noWrap/>
            <w:hideMark/>
          </w:tcPr>
          <w:p w14:paraId="4D0DF855" w14:textId="77777777" w:rsidR="00130AB3" w:rsidRPr="00D63217" w:rsidRDefault="00130AB3" w:rsidP="006754A6">
            <w:pPr>
              <w:pStyle w:val="TableText"/>
              <w:jc w:val="right"/>
            </w:pPr>
            <w:r w:rsidRPr="00D63217">
              <w:t>0.5</w:t>
            </w:r>
          </w:p>
        </w:tc>
        <w:tc>
          <w:tcPr>
            <w:tcW w:w="792" w:type="pct"/>
          </w:tcPr>
          <w:p w14:paraId="2BFCB457" w14:textId="77777777" w:rsidR="00130AB3" w:rsidRPr="00D63217" w:rsidRDefault="00130AB3" w:rsidP="006754A6">
            <w:pPr>
              <w:pStyle w:val="TableText"/>
              <w:jc w:val="right"/>
            </w:pPr>
            <w:r w:rsidRPr="00D63217">
              <w:t>0.5</w:t>
            </w:r>
          </w:p>
        </w:tc>
      </w:tr>
      <w:tr w:rsidR="00130AB3" w:rsidRPr="00D63217" w14:paraId="3A21E3CD" w14:textId="77777777" w:rsidTr="006754A6">
        <w:trPr>
          <w:cantSplit/>
        </w:trPr>
        <w:tc>
          <w:tcPr>
            <w:tcW w:w="944" w:type="pct"/>
            <w:noWrap/>
            <w:hideMark/>
          </w:tcPr>
          <w:p w14:paraId="2E209925" w14:textId="77777777" w:rsidR="00130AB3" w:rsidRPr="00D63217" w:rsidRDefault="00130AB3" w:rsidP="002B0672">
            <w:pPr>
              <w:pStyle w:val="TableText"/>
              <w:rPr>
                <w:lang w:val="en-US"/>
              </w:rPr>
            </w:pPr>
            <w:r w:rsidRPr="00D63217">
              <w:rPr>
                <w:lang w:val="en-US"/>
              </w:rPr>
              <w:t>PE 0112</w:t>
            </w:r>
          </w:p>
        </w:tc>
        <w:tc>
          <w:tcPr>
            <w:tcW w:w="2557" w:type="pct"/>
            <w:noWrap/>
            <w:hideMark/>
          </w:tcPr>
          <w:p w14:paraId="339FE467" w14:textId="77777777" w:rsidR="00130AB3" w:rsidRPr="00D63217" w:rsidRDefault="00130AB3" w:rsidP="002B0672">
            <w:pPr>
              <w:pStyle w:val="TableText"/>
            </w:pPr>
            <w:r w:rsidRPr="00D63217">
              <w:t>Eggs</w:t>
            </w:r>
          </w:p>
        </w:tc>
        <w:tc>
          <w:tcPr>
            <w:tcW w:w="707" w:type="pct"/>
            <w:noWrap/>
            <w:hideMark/>
          </w:tcPr>
          <w:p w14:paraId="180A1398" w14:textId="77777777" w:rsidR="00130AB3" w:rsidRPr="00D63217" w:rsidRDefault="00130AB3" w:rsidP="006754A6">
            <w:pPr>
              <w:pStyle w:val="TableText"/>
              <w:jc w:val="right"/>
            </w:pPr>
            <w:r w:rsidRPr="00D63217">
              <w:t>*0.01</w:t>
            </w:r>
          </w:p>
        </w:tc>
        <w:tc>
          <w:tcPr>
            <w:tcW w:w="792" w:type="pct"/>
          </w:tcPr>
          <w:p w14:paraId="559E6F55" w14:textId="77777777" w:rsidR="00130AB3" w:rsidRPr="00D63217" w:rsidRDefault="00130AB3" w:rsidP="006754A6">
            <w:pPr>
              <w:pStyle w:val="TableText"/>
              <w:jc w:val="right"/>
            </w:pPr>
            <w:r w:rsidRPr="00D63217">
              <w:t>*0.01</w:t>
            </w:r>
          </w:p>
        </w:tc>
      </w:tr>
      <w:tr w:rsidR="00130AB3" w:rsidRPr="00D63217" w14:paraId="51E8AE9C" w14:textId="77777777" w:rsidTr="006754A6">
        <w:trPr>
          <w:cantSplit/>
        </w:trPr>
        <w:tc>
          <w:tcPr>
            <w:tcW w:w="944" w:type="pct"/>
            <w:noWrap/>
          </w:tcPr>
          <w:p w14:paraId="412CF3BC" w14:textId="77777777" w:rsidR="00130AB3" w:rsidRPr="00D63217" w:rsidRDefault="00130AB3" w:rsidP="002B0672">
            <w:pPr>
              <w:pStyle w:val="TableText"/>
              <w:rPr>
                <w:lang w:val="en-US"/>
              </w:rPr>
            </w:pPr>
            <w:r w:rsidRPr="00D63217">
              <w:rPr>
                <w:lang w:val="en-US"/>
              </w:rPr>
              <w:t>VD 0561</w:t>
            </w:r>
          </w:p>
        </w:tc>
        <w:tc>
          <w:tcPr>
            <w:tcW w:w="2557" w:type="pct"/>
            <w:noWrap/>
          </w:tcPr>
          <w:p w14:paraId="748F38FA" w14:textId="77777777" w:rsidR="00130AB3" w:rsidRPr="00D63217" w:rsidRDefault="00130AB3" w:rsidP="002B0672">
            <w:pPr>
              <w:pStyle w:val="TableText"/>
            </w:pPr>
            <w:r w:rsidRPr="00D63217">
              <w:t xml:space="preserve">Field pea (dry) </w:t>
            </w:r>
          </w:p>
        </w:tc>
        <w:tc>
          <w:tcPr>
            <w:tcW w:w="707" w:type="pct"/>
            <w:noWrap/>
          </w:tcPr>
          <w:p w14:paraId="3589CC2D" w14:textId="77777777" w:rsidR="00130AB3" w:rsidRPr="00D63217" w:rsidRDefault="00130AB3" w:rsidP="006754A6">
            <w:pPr>
              <w:pStyle w:val="TableText"/>
              <w:jc w:val="right"/>
            </w:pPr>
            <w:r w:rsidRPr="00D63217">
              <w:t>-</w:t>
            </w:r>
          </w:p>
        </w:tc>
        <w:tc>
          <w:tcPr>
            <w:tcW w:w="792" w:type="pct"/>
          </w:tcPr>
          <w:p w14:paraId="026AAFD8" w14:textId="77777777" w:rsidR="00130AB3" w:rsidRPr="00D63217" w:rsidRDefault="00130AB3" w:rsidP="006754A6">
            <w:pPr>
              <w:pStyle w:val="TableText"/>
              <w:jc w:val="right"/>
            </w:pPr>
            <w:r w:rsidRPr="00D63217">
              <w:t>1</w:t>
            </w:r>
          </w:p>
        </w:tc>
      </w:tr>
      <w:tr w:rsidR="00130AB3" w:rsidRPr="00D63217" w14:paraId="0966463A" w14:textId="77777777" w:rsidTr="006754A6">
        <w:trPr>
          <w:cantSplit/>
        </w:trPr>
        <w:tc>
          <w:tcPr>
            <w:tcW w:w="944" w:type="pct"/>
            <w:noWrap/>
          </w:tcPr>
          <w:p w14:paraId="667F78E7" w14:textId="77777777" w:rsidR="00130AB3" w:rsidRPr="00D63217" w:rsidRDefault="00130AB3" w:rsidP="002B0672">
            <w:pPr>
              <w:pStyle w:val="TableText"/>
            </w:pPr>
            <w:r w:rsidRPr="00D63217">
              <w:t>VC 0045</w:t>
            </w:r>
          </w:p>
        </w:tc>
        <w:tc>
          <w:tcPr>
            <w:tcW w:w="2557" w:type="pct"/>
            <w:noWrap/>
          </w:tcPr>
          <w:p w14:paraId="434E2BC8" w14:textId="77777777" w:rsidR="00130AB3" w:rsidRPr="00D63217" w:rsidRDefault="00130AB3" w:rsidP="002B0672">
            <w:pPr>
              <w:pStyle w:val="TableText"/>
            </w:pPr>
            <w:r w:rsidRPr="00D63217">
              <w:t>Fruiting vegetables, cucurbits</w:t>
            </w:r>
          </w:p>
        </w:tc>
        <w:tc>
          <w:tcPr>
            <w:tcW w:w="707" w:type="pct"/>
            <w:noWrap/>
          </w:tcPr>
          <w:p w14:paraId="28F266C8" w14:textId="77777777" w:rsidR="00130AB3" w:rsidRPr="00D63217" w:rsidRDefault="00130AB3" w:rsidP="006754A6">
            <w:pPr>
              <w:pStyle w:val="TableText"/>
              <w:jc w:val="right"/>
            </w:pPr>
            <w:r w:rsidRPr="00D63217">
              <w:t>-</w:t>
            </w:r>
          </w:p>
        </w:tc>
        <w:tc>
          <w:tcPr>
            <w:tcW w:w="792" w:type="pct"/>
          </w:tcPr>
          <w:p w14:paraId="765DD94D" w14:textId="77777777" w:rsidR="00130AB3" w:rsidRPr="00D63217" w:rsidRDefault="00130AB3" w:rsidP="006754A6">
            <w:pPr>
              <w:pStyle w:val="TableText"/>
              <w:jc w:val="right"/>
            </w:pPr>
            <w:r w:rsidRPr="00D63217">
              <w:t>*0.03</w:t>
            </w:r>
          </w:p>
        </w:tc>
      </w:tr>
      <w:tr w:rsidR="00130AB3" w:rsidRPr="00D63217" w14:paraId="3CD9C48F" w14:textId="77777777" w:rsidTr="006754A6">
        <w:trPr>
          <w:cantSplit/>
        </w:trPr>
        <w:tc>
          <w:tcPr>
            <w:tcW w:w="944" w:type="pct"/>
            <w:noWrap/>
          </w:tcPr>
          <w:p w14:paraId="33A0DE3C" w14:textId="77777777" w:rsidR="00130AB3" w:rsidRPr="00D63217" w:rsidRDefault="00130AB3" w:rsidP="002B0672">
            <w:pPr>
              <w:pStyle w:val="TableText"/>
            </w:pPr>
            <w:r w:rsidRPr="00D63217">
              <w:t>VO 0050</w:t>
            </w:r>
          </w:p>
        </w:tc>
        <w:tc>
          <w:tcPr>
            <w:tcW w:w="2557" w:type="pct"/>
            <w:noWrap/>
          </w:tcPr>
          <w:p w14:paraId="3D7A825B" w14:textId="77777777" w:rsidR="00130AB3" w:rsidRPr="00D63217" w:rsidRDefault="00130AB3" w:rsidP="002B0672">
            <w:pPr>
              <w:pStyle w:val="TableText"/>
            </w:pPr>
            <w:r w:rsidRPr="00D63217">
              <w:t>Fruiting vegetables, other than cucurbits</w:t>
            </w:r>
          </w:p>
        </w:tc>
        <w:tc>
          <w:tcPr>
            <w:tcW w:w="707" w:type="pct"/>
            <w:noWrap/>
          </w:tcPr>
          <w:p w14:paraId="1FE7BFBE" w14:textId="77777777" w:rsidR="00130AB3" w:rsidRPr="00D63217" w:rsidRDefault="00130AB3" w:rsidP="006754A6">
            <w:pPr>
              <w:pStyle w:val="TableText"/>
              <w:jc w:val="right"/>
            </w:pPr>
            <w:r w:rsidRPr="00D63217">
              <w:t>-</w:t>
            </w:r>
          </w:p>
        </w:tc>
        <w:tc>
          <w:tcPr>
            <w:tcW w:w="792" w:type="pct"/>
          </w:tcPr>
          <w:p w14:paraId="18B397F8" w14:textId="77777777" w:rsidR="00130AB3" w:rsidRPr="00D63217" w:rsidRDefault="00130AB3" w:rsidP="006754A6">
            <w:pPr>
              <w:pStyle w:val="TableText"/>
              <w:jc w:val="right"/>
            </w:pPr>
            <w:r w:rsidRPr="00D63217">
              <w:t>*0.01</w:t>
            </w:r>
          </w:p>
        </w:tc>
      </w:tr>
      <w:tr w:rsidR="00130AB3" w:rsidRPr="00D63217" w14:paraId="5B9CDD33" w14:textId="77777777" w:rsidTr="006754A6">
        <w:trPr>
          <w:cantSplit/>
        </w:trPr>
        <w:tc>
          <w:tcPr>
            <w:tcW w:w="944" w:type="pct"/>
            <w:noWrap/>
          </w:tcPr>
          <w:p w14:paraId="09567606" w14:textId="77777777" w:rsidR="00130AB3" w:rsidRPr="00D63217" w:rsidRDefault="00130AB3" w:rsidP="002B0672">
            <w:pPr>
              <w:pStyle w:val="TableText"/>
              <w:rPr>
                <w:lang w:val="en-US"/>
              </w:rPr>
            </w:pPr>
          </w:p>
        </w:tc>
        <w:tc>
          <w:tcPr>
            <w:tcW w:w="2557" w:type="pct"/>
            <w:noWrap/>
            <w:hideMark/>
          </w:tcPr>
          <w:p w14:paraId="54FA7003" w14:textId="063211BC" w:rsidR="00130AB3" w:rsidRPr="00D63217" w:rsidRDefault="00130AB3" w:rsidP="002B0672">
            <w:pPr>
              <w:pStyle w:val="TableText"/>
            </w:pPr>
            <w:r w:rsidRPr="00D63217">
              <w:t>Fruits [except olives]</w:t>
            </w:r>
          </w:p>
        </w:tc>
        <w:tc>
          <w:tcPr>
            <w:tcW w:w="707" w:type="pct"/>
            <w:noWrap/>
            <w:hideMark/>
          </w:tcPr>
          <w:p w14:paraId="26A806E5" w14:textId="77777777" w:rsidR="00130AB3" w:rsidRPr="00D63217" w:rsidRDefault="00130AB3" w:rsidP="006754A6">
            <w:pPr>
              <w:pStyle w:val="TableText"/>
              <w:jc w:val="right"/>
            </w:pPr>
            <w:r w:rsidRPr="00D63217">
              <w:t>*0.05</w:t>
            </w:r>
          </w:p>
        </w:tc>
        <w:tc>
          <w:tcPr>
            <w:tcW w:w="792" w:type="pct"/>
          </w:tcPr>
          <w:p w14:paraId="171D56EF" w14:textId="77777777" w:rsidR="00130AB3" w:rsidRPr="00D63217" w:rsidRDefault="00130AB3" w:rsidP="006754A6">
            <w:pPr>
              <w:pStyle w:val="TableText"/>
              <w:jc w:val="right"/>
            </w:pPr>
            <w:r w:rsidRPr="00D63217">
              <w:t>Delete</w:t>
            </w:r>
          </w:p>
        </w:tc>
      </w:tr>
      <w:tr w:rsidR="00130AB3" w:rsidRPr="00D63217" w14:paraId="70EA35D9" w14:textId="77777777" w:rsidTr="006754A6">
        <w:trPr>
          <w:cantSplit/>
        </w:trPr>
        <w:tc>
          <w:tcPr>
            <w:tcW w:w="944" w:type="pct"/>
            <w:noWrap/>
          </w:tcPr>
          <w:p w14:paraId="2BDEC738" w14:textId="77777777" w:rsidR="00130AB3" w:rsidRPr="00D63217" w:rsidRDefault="00130AB3" w:rsidP="002B0672">
            <w:pPr>
              <w:pStyle w:val="TableText"/>
              <w:rPr>
                <w:lang w:val="en-US"/>
              </w:rPr>
            </w:pPr>
            <w:r w:rsidRPr="00D63217">
              <w:rPr>
                <w:lang w:val="en-US"/>
              </w:rPr>
              <w:t>HH 0092</w:t>
            </w:r>
          </w:p>
        </w:tc>
        <w:tc>
          <w:tcPr>
            <w:tcW w:w="2557" w:type="pct"/>
            <w:noWrap/>
          </w:tcPr>
          <w:p w14:paraId="1C8D7315" w14:textId="77777777" w:rsidR="00130AB3" w:rsidRPr="00D63217" w:rsidRDefault="00130AB3" w:rsidP="002B0672">
            <w:pPr>
              <w:pStyle w:val="TableText"/>
            </w:pPr>
            <w:r w:rsidRPr="00D63217">
              <w:t>Herbs</w:t>
            </w:r>
          </w:p>
        </w:tc>
        <w:tc>
          <w:tcPr>
            <w:tcW w:w="707" w:type="pct"/>
            <w:noWrap/>
          </w:tcPr>
          <w:p w14:paraId="7984A7E5" w14:textId="77777777" w:rsidR="00130AB3" w:rsidRPr="00D63217" w:rsidRDefault="00130AB3" w:rsidP="006754A6">
            <w:pPr>
              <w:pStyle w:val="TableText"/>
              <w:jc w:val="right"/>
            </w:pPr>
            <w:r w:rsidRPr="00D63217">
              <w:t>-</w:t>
            </w:r>
          </w:p>
        </w:tc>
        <w:tc>
          <w:tcPr>
            <w:tcW w:w="792" w:type="pct"/>
          </w:tcPr>
          <w:p w14:paraId="7129F007" w14:textId="77777777" w:rsidR="00130AB3" w:rsidRPr="00D63217" w:rsidRDefault="00130AB3" w:rsidP="006754A6">
            <w:pPr>
              <w:pStyle w:val="TableText"/>
              <w:jc w:val="right"/>
            </w:pPr>
            <w:r w:rsidRPr="00D63217">
              <w:t>*0.05</w:t>
            </w:r>
          </w:p>
        </w:tc>
      </w:tr>
      <w:tr w:rsidR="00130AB3" w:rsidRPr="00D63217" w14:paraId="38D19202" w14:textId="77777777" w:rsidTr="006754A6">
        <w:trPr>
          <w:cantSplit/>
        </w:trPr>
        <w:tc>
          <w:tcPr>
            <w:tcW w:w="944" w:type="pct"/>
            <w:noWrap/>
            <w:hideMark/>
          </w:tcPr>
          <w:p w14:paraId="6420C908" w14:textId="77777777" w:rsidR="00130AB3" w:rsidRPr="00D63217" w:rsidRDefault="00130AB3" w:rsidP="002B0672">
            <w:pPr>
              <w:pStyle w:val="TableText"/>
              <w:rPr>
                <w:lang w:val="en-US"/>
              </w:rPr>
            </w:pPr>
            <w:r w:rsidRPr="00D63217">
              <w:rPr>
                <w:lang w:val="en-US"/>
              </w:rPr>
              <w:t>DH 1100</w:t>
            </w:r>
          </w:p>
        </w:tc>
        <w:tc>
          <w:tcPr>
            <w:tcW w:w="2557" w:type="pct"/>
            <w:noWrap/>
            <w:hideMark/>
          </w:tcPr>
          <w:p w14:paraId="58CD13D8" w14:textId="77777777" w:rsidR="00130AB3" w:rsidRPr="00D63217" w:rsidRDefault="00130AB3" w:rsidP="002B0672">
            <w:pPr>
              <w:pStyle w:val="TableText"/>
            </w:pPr>
            <w:r w:rsidRPr="00D63217">
              <w:t>Hops, dry</w:t>
            </w:r>
          </w:p>
        </w:tc>
        <w:tc>
          <w:tcPr>
            <w:tcW w:w="707" w:type="pct"/>
            <w:noWrap/>
            <w:hideMark/>
          </w:tcPr>
          <w:p w14:paraId="4E7F1A70" w14:textId="77777777" w:rsidR="00130AB3" w:rsidRPr="00D63217" w:rsidRDefault="00130AB3" w:rsidP="006754A6">
            <w:pPr>
              <w:pStyle w:val="TableText"/>
              <w:jc w:val="right"/>
            </w:pPr>
            <w:r w:rsidRPr="00D63217">
              <w:t>0.2</w:t>
            </w:r>
          </w:p>
        </w:tc>
        <w:tc>
          <w:tcPr>
            <w:tcW w:w="792" w:type="pct"/>
          </w:tcPr>
          <w:p w14:paraId="7D2613C6" w14:textId="77777777" w:rsidR="00130AB3" w:rsidRPr="00D63217" w:rsidRDefault="00130AB3" w:rsidP="006754A6">
            <w:pPr>
              <w:pStyle w:val="TableText"/>
              <w:jc w:val="right"/>
            </w:pPr>
            <w:r w:rsidRPr="00D63217">
              <w:t>*0.05</w:t>
            </w:r>
          </w:p>
        </w:tc>
      </w:tr>
      <w:tr w:rsidR="00130AB3" w:rsidRPr="00D63217" w14:paraId="448C37E2" w14:textId="77777777" w:rsidTr="006754A6">
        <w:trPr>
          <w:cantSplit/>
        </w:trPr>
        <w:tc>
          <w:tcPr>
            <w:tcW w:w="944" w:type="pct"/>
            <w:noWrap/>
          </w:tcPr>
          <w:p w14:paraId="5ADB32F6" w14:textId="77777777" w:rsidR="00130AB3" w:rsidRPr="00D63217" w:rsidRDefault="00130AB3" w:rsidP="002B0672">
            <w:pPr>
              <w:pStyle w:val="TableText"/>
            </w:pPr>
            <w:r w:rsidRPr="00D63217">
              <w:t>VL 0053</w:t>
            </w:r>
          </w:p>
        </w:tc>
        <w:tc>
          <w:tcPr>
            <w:tcW w:w="2557" w:type="pct"/>
            <w:noWrap/>
          </w:tcPr>
          <w:p w14:paraId="263EF836" w14:textId="77777777" w:rsidR="00130AB3" w:rsidRPr="00D63217" w:rsidRDefault="00130AB3" w:rsidP="002B0672">
            <w:pPr>
              <w:pStyle w:val="TableText"/>
            </w:pPr>
            <w:r w:rsidRPr="00D63217">
              <w:t>Leafy vegetables</w:t>
            </w:r>
          </w:p>
        </w:tc>
        <w:tc>
          <w:tcPr>
            <w:tcW w:w="707" w:type="pct"/>
            <w:noWrap/>
          </w:tcPr>
          <w:p w14:paraId="58C4F839" w14:textId="77777777" w:rsidR="00130AB3" w:rsidRPr="00D63217" w:rsidRDefault="00130AB3" w:rsidP="006754A6">
            <w:pPr>
              <w:pStyle w:val="TableText"/>
              <w:jc w:val="right"/>
            </w:pPr>
            <w:r w:rsidRPr="00D63217">
              <w:t>-</w:t>
            </w:r>
          </w:p>
        </w:tc>
        <w:tc>
          <w:tcPr>
            <w:tcW w:w="792" w:type="pct"/>
          </w:tcPr>
          <w:p w14:paraId="17737CEC" w14:textId="77777777" w:rsidR="00130AB3" w:rsidRPr="00D63217" w:rsidRDefault="00130AB3" w:rsidP="006754A6">
            <w:pPr>
              <w:pStyle w:val="TableText"/>
              <w:jc w:val="right"/>
            </w:pPr>
            <w:r w:rsidRPr="00D63217">
              <w:t>*0.02</w:t>
            </w:r>
          </w:p>
        </w:tc>
      </w:tr>
      <w:tr w:rsidR="00130AB3" w:rsidRPr="00D63217" w14:paraId="776FB2B0" w14:textId="77777777" w:rsidTr="006754A6">
        <w:trPr>
          <w:cantSplit/>
        </w:trPr>
        <w:tc>
          <w:tcPr>
            <w:tcW w:w="944" w:type="pct"/>
            <w:noWrap/>
          </w:tcPr>
          <w:p w14:paraId="5248C440" w14:textId="77777777" w:rsidR="00130AB3" w:rsidRPr="00D63217" w:rsidRDefault="00130AB3" w:rsidP="002B0672">
            <w:pPr>
              <w:pStyle w:val="TableText"/>
            </w:pPr>
            <w:r w:rsidRPr="00D63217">
              <w:t>VP 0060</w:t>
            </w:r>
          </w:p>
        </w:tc>
        <w:tc>
          <w:tcPr>
            <w:tcW w:w="2557" w:type="pct"/>
            <w:noWrap/>
          </w:tcPr>
          <w:p w14:paraId="4C9D9B59" w14:textId="77777777" w:rsidR="00130AB3" w:rsidRPr="00D63217" w:rsidRDefault="00130AB3" w:rsidP="002B0672">
            <w:pPr>
              <w:pStyle w:val="TableText"/>
            </w:pPr>
            <w:r w:rsidRPr="00D63217">
              <w:t>Legume vegetables</w:t>
            </w:r>
          </w:p>
        </w:tc>
        <w:tc>
          <w:tcPr>
            <w:tcW w:w="707" w:type="pct"/>
            <w:noWrap/>
          </w:tcPr>
          <w:p w14:paraId="555D85D7" w14:textId="77777777" w:rsidR="00130AB3" w:rsidRPr="00D63217" w:rsidRDefault="00130AB3" w:rsidP="006754A6">
            <w:pPr>
              <w:pStyle w:val="TableText"/>
              <w:jc w:val="right"/>
            </w:pPr>
            <w:r w:rsidRPr="00D63217">
              <w:t>-</w:t>
            </w:r>
          </w:p>
        </w:tc>
        <w:tc>
          <w:tcPr>
            <w:tcW w:w="792" w:type="pct"/>
          </w:tcPr>
          <w:p w14:paraId="7FE46125" w14:textId="77777777" w:rsidR="00130AB3" w:rsidRPr="00D63217" w:rsidRDefault="00130AB3" w:rsidP="006754A6">
            <w:pPr>
              <w:pStyle w:val="TableText"/>
              <w:jc w:val="right"/>
            </w:pPr>
            <w:r w:rsidRPr="00D63217">
              <w:t>*0.05</w:t>
            </w:r>
          </w:p>
        </w:tc>
      </w:tr>
      <w:tr w:rsidR="00130AB3" w:rsidRPr="00D63217" w14:paraId="7FDB4D1C" w14:textId="77777777" w:rsidTr="006754A6">
        <w:trPr>
          <w:cantSplit/>
        </w:trPr>
        <w:tc>
          <w:tcPr>
            <w:tcW w:w="944" w:type="pct"/>
            <w:noWrap/>
          </w:tcPr>
          <w:p w14:paraId="1326F9A9" w14:textId="77777777" w:rsidR="00130AB3" w:rsidRPr="00D63217" w:rsidRDefault="00130AB3" w:rsidP="002B0672">
            <w:pPr>
              <w:pStyle w:val="TableText"/>
              <w:rPr>
                <w:lang w:val="en-US"/>
              </w:rPr>
            </w:pPr>
            <w:r w:rsidRPr="00D63217">
              <w:t>VD 0533</w:t>
            </w:r>
          </w:p>
        </w:tc>
        <w:tc>
          <w:tcPr>
            <w:tcW w:w="2557" w:type="pct"/>
            <w:noWrap/>
          </w:tcPr>
          <w:p w14:paraId="59447546" w14:textId="77777777" w:rsidR="00130AB3" w:rsidRPr="00D63217" w:rsidRDefault="00130AB3" w:rsidP="002B0672">
            <w:pPr>
              <w:pStyle w:val="TableText"/>
            </w:pPr>
            <w:r w:rsidRPr="00D63217">
              <w:t>Lentil (dry)</w:t>
            </w:r>
          </w:p>
        </w:tc>
        <w:tc>
          <w:tcPr>
            <w:tcW w:w="707" w:type="pct"/>
            <w:noWrap/>
          </w:tcPr>
          <w:p w14:paraId="3253F711" w14:textId="77777777" w:rsidR="00130AB3" w:rsidRPr="00D63217" w:rsidRDefault="00130AB3" w:rsidP="006754A6">
            <w:pPr>
              <w:pStyle w:val="TableText"/>
              <w:jc w:val="right"/>
            </w:pPr>
            <w:r w:rsidRPr="00D63217">
              <w:t>-</w:t>
            </w:r>
          </w:p>
        </w:tc>
        <w:tc>
          <w:tcPr>
            <w:tcW w:w="792" w:type="pct"/>
          </w:tcPr>
          <w:p w14:paraId="5A3A0B96" w14:textId="77777777" w:rsidR="00130AB3" w:rsidRPr="00D63217" w:rsidRDefault="00130AB3" w:rsidP="006754A6">
            <w:pPr>
              <w:pStyle w:val="TableText"/>
              <w:jc w:val="right"/>
            </w:pPr>
            <w:r w:rsidRPr="00D63217">
              <w:t>1</w:t>
            </w:r>
          </w:p>
        </w:tc>
      </w:tr>
      <w:tr w:rsidR="00130AB3" w:rsidRPr="00D63217" w14:paraId="0F8525AB" w14:textId="77777777" w:rsidTr="006754A6">
        <w:trPr>
          <w:cantSplit/>
        </w:trPr>
        <w:tc>
          <w:tcPr>
            <w:tcW w:w="944" w:type="pct"/>
            <w:noWrap/>
          </w:tcPr>
          <w:p w14:paraId="1B2A204A" w14:textId="77777777" w:rsidR="00130AB3" w:rsidRPr="00D63217" w:rsidRDefault="00130AB3" w:rsidP="002B0672">
            <w:pPr>
              <w:pStyle w:val="TableText"/>
              <w:rPr>
                <w:lang w:val="en-US"/>
              </w:rPr>
            </w:pPr>
            <w:r w:rsidRPr="00D63217">
              <w:rPr>
                <w:lang w:val="en-US"/>
              </w:rPr>
              <w:t>VD 0545</w:t>
            </w:r>
          </w:p>
        </w:tc>
        <w:tc>
          <w:tcPr>
            <w:tcW w:w="2557" w:type="pct"/>
            <w:noWrap/>
          </w:tcPr>
          <w:p w14:paraId="3A2566C3" w14:textId="77777777" w:rsidR="00130AB3" w:rsidRPr="00D63217" w:rsidRDefault="00130AB3" w:rsidP="002B0672">
            <w:pPr>
              <w:pStyle w:val="TableText"/>
            </w:pPr>
            <w:r w:rsidRPr="00D63217">
              <w:t>Lupin (dry)</w:t>
            </w:r>
          </w:p>
        </w:tc>
        <w:tc>
          <w:tcPr>
            <w:tcW w:w="707" w:type="pct"/>
            <w:noWrap/>
          </w:tcPr>
          <w:p w14:paraId="47E4234D" w14:textId="77777777" w:rsidR="00130AB3" w:rsidRPr="00D63217" w:rsidRDefault="00130AB3" w:rsidP="006754A6">
            <w:pPr>
              <w:pStyle w:val="TableText"/>
              <w:jc w:val="right"/>
            </w:pPr>
            <w:r w:rsidRPr="00D63217">
              <w:t>-</w:t>
            </w:r>
          </w:p>
        </w:tc>
        <w:tc>
          <w:tcPr>
            <w:tcW w:w="792" w:type="pct"/>
          </w:tcPr>
          <w:p w14:paraId="162B205C" w14:textId="77777777" w:rsidR="00130AB3" w:rsidRPr="00D63217" w:rsidRDefault="00130AB3" w:rsidP="006754A6">
            <w:pPr>
              <w:pStyle w:val="TableText"/>
              <w:jc w:val="right"/>
            </w:pPr>
            <w:r w:rsidRPr="00D63217">
              <w:t>1</w:t>
            </w:r>
          </w:p>
        </w:tc>
      </w:tr>
      <w:tr w:rsidR="00130AB3" w:rsidRPr="00D63217" w14:paraId="2153AA49" w14:textId="77777777" w:rsidTr="006754A6">
        <w:trPr>
          <w:cantSplit/>
        </w:trPr>
        <w:tc>
          <w:tcPr>
            <w:tcW w:w="944" w:type="pct"/>
            <w:noWrap/>
            <w:hideMark/>
          </w:tcPr>
          <w:p w14:paraId="0202C619" w14:textId="77777777" w:rsidR="00130AB3" w:rsidRPr="00D63217" w:rsidRDefault="00130AB3" w:rsidP="002B0672">
            <w:pPr>
              <w:pStyle w:val="TableText"/>
              <w:rPr>
                <w:lang w:val="en-US"/>
              </w:rPr>
            </w:pPr>
            <w:r w:rsidRPr="00D63217">
              <w:rPr>
                <w:lang w:val="en-US"/>
              </w:rPr>
              <w:t>GC 0645</w:t>
            </w:r>
          </w:p>
        </w:tc>
        <w:tc>
          <w:tcPr>
            <w:tcW w:w="2557" w:type="pct"/>
            <w:noWrap/>
            <w:hideMark/>
          </w:tcPr>
          <w:p w14:paraId="3F7670AB" w14:textId="77777777" w:rsidR="00130AB3" w:rsidRPr="00D63217" w:rsidRDefault="00130AB3" w:rsidP="002B0672">
            <w:pPr>
              <w:pStyle w:val="TableText"/>
            </w:pPr>
            <w:r w:rsidRPr="00D63217">
              <w:t>Maize</w:t>
            </w:r>
          </w:p>
        </w:tc>
        <w:tc>
          <w:tcPr>
            <w:tcW w:w="707" w:type="pct"/>
            <w:noWrap/>
            <w:hideMark/>
          </w:tcPr>
          <w:p w14:paraId="3DCD23D2" w14:textId="77777777" w:rsidR="00130AB3" w:rsidRPr="00D63217" w:rsidRDefault="00130AB3" w:rsidP="006754A6">
            <w:pPr>
              <w:pStyle w:val="TableText"/>
              <w:jc w:val="right"/>
            </w:pPr>
            <w:r w:rsidRPr="00D63217">
              <w:t>0.1</w:t>
            </w:r>
          </w:p>
        </w:tc>
        <w:tc>
          <w:tcPr>
            <w:tcW w:w="792" w:type="pct"/>
          </w:tcPr>
          <w:p w14:paraId="01E3F5A7" w14:textId="77777777" w:rsidR="00130AB3" w:rsidRPr="00D63217" w:rsidRDefault="00130AB3" w:rsidP="006754A6">
            <w:pPr>
              <w:pStyle w:val="TableText"/>
              <w:jc w:val="right"/>
            </w:pPr>
            <w:r w:rsidRPr="00D63217">
              <w:t>Delete</w:t>
            </w:r>
          </w:p>
        </w:tc>
      </w:tr>
      <w:tr w:rsidR="00130AB3" w:rsidRPr="00D63217" w14:paraId="2018C2A3" w14:textId="77777777" w:rsidTr="006754A6">
        <w:trPr>
          <w:cantSplit/>
        </w:trPr>
        <w:tc>
          <w:tcPr>
            <w:tcW w:w="944" w:type="pct"/>
            <w:noWrap/>
            <w:hideMark/>
          </w:tcPr>
          <w:p w14:paraId="21B88937" w14:textId="77777777" w:rsidR="00130AB3" w:rsidRPr="00D63217" w:rsidRDefault="00130AB3" w:rsidP="002B0672">
            <w:pPr>
              <w:pStyle w:val="TableText"/>
              <w:rPr>
                <w:lang w:val="en-US"/>
              </w:rPr>
            </w:pPr>
            <w:r w:rsidRPr="00D63217">
              <w:rPr>
                <w:lang w:val="en-US"/>
              </w:rPr>
              <w:t>MM 0095</w:t>
            </w:r>
          </w:p>
        </w:tc>
        <w:tc>
          <w:tcPr>
            <w:tcW w:w="2557" w:type="pct"/>
            <w:noWrap/>
            <w:hideMark/>
          </w:tcPr>
          <w:p w14:paraId="3F74D387" w14:textId="42FAB743" w:rsidR="00130AB3" w:rsidRPr="00D63217" w:rsidRDefault="00130AB3" w:rsidP="002B0672">
            <w:pPr>
              <w:pStyle w:val="TableText"/>
            </w:pPr>
            <w:r w:rsidRPr="00D63217">
              <w:t>Meat [mammalian]</w:t>
            </w:r>
          </w:p>
        </w:tc>
        <w:tc>
          <w:tcPr>
            <w:tcW w:w="707" w:type="pct"/>
            <w:noWrap/>
            <w:hideMark/>
          </w:tcPr>
          <w:p w14:paraId="7FE3C5FE" w14:textId="77777777" w:rsidR="00130AB3" w:rsidRPr="00D63217" w:rsidRDefault="00130AB3" w:rsidP="006754A6">
            <w:pPr>
              <w:pStyle w:val="TableText"/>
              <w:jc w:val="right"/>
            </w:pPr>
            <w:r w:rsidRPr="00D63217">
              <w:t>*0.05</w:t>
            </w:r>
          </w:p>
        </w:tc>
        <w:tc>
          <w:tcPr>
            <w:tcW w:w="792" w:type="pct"/>
          </w:tcPr>
          <w:p w14:paraId="602FAD50" w14:textId="77777777" w:rsidR="00130AB3" w:rsidRPr="00D63217" w:rsidRDefault="00130AB3" w:rsidP="006754A6">
            <w:pPr>
              <w:pStyle w:val="TableText"/>
              <w:jc w:val="right"/>
            </w:pPr>
            <w:r w:rsidRPr="00D63217">
              <w:t>*0.05</w:t>
            </w:r>
          </w:p>
        </w:tc>
      </w:tr>
      <w:tr w:rsidR="00130AB3" w:rsidRPr="00D63217" w14:paraId="0D8A325D" w14:textId="77777777" w:rsidTr="006754A6">
        <w:trPr>
          <w:cantSplit/>
        </w:trPr>
        <w:tc>
          <w:tcPr>
            <w:tcW w:w="944" w:type="pct"/>
            <w:noWrap/>
            <w:hideMark/>
          </w:tcPr>
          <w:p w14:paraId="70EFA241" w14:textId="77777777" w:rsidR="00130AB3" w:rsidRPr="00D63217" w:rsidRDefault="00130AB3" w:rsidP="002B0672">
            <w:pPr>
              <w:pStyle w:val="TableText"/>
              <w:rPr>
                <w:lang w:val="en-US"/>
              </w:rPr>
            </w:pPr>
            <w:r w:rsidRPr="00D63217">
              <w:rPr>
                <w:lang w:val="en-US"/>
              </w:rPr>
              <w:t>ML 0106</w:t>
            </w:r>
          </w:p>
        </w:tc>
        <w:tc>
          <w:tcPr>
            <w:tcW w:w="2557" w:type="pct"/>
            <w:noWrap/>
            <w:hideMark/>
          </w:tcPr>
          <w:p w14:paraId="34309CE9" w14:textId="77777777" w:rsidR="00130AB3" w:rsidRPr="00D63217" w:rsidRDefault="00130AB3" w:rsidP="002B0672">
            <w:pPr>
              <w:pStyle w:val="TableText"/>
            </w:pPr>
            <w:r w:rsidRPr="00D63217">
              <w:t>Milks</w:t>
            </w:r>
          </w:p>
        </w:tc>
        <w:tc>
          <w:tcPr>
            <w:tcW w:w="707" w:type="pct"/>
            <w:noWrap/>
            <w:hideMark/>
          </w:tcPr>
          <w:p w14:paraId="480075E1" w14:textId="77777777" w:rsidR="00130AB3" w:rsidRPr="00D63217" w:rsidRDefault="00130AB3" w:rsidP="006754A6">
            <w:pPr>
              <w:pStyle w:val="TableText"/>
              <w:jc w:val="right"/>
            </w:pPr>
            <w:r w:rsidRPr="00D63217">
              <w:t>*0.01</w:t>
            </w:r>
          </w:p>
        </w:tc>
        <w:tc>
          <w:tcPr>
            <w:tcW w:w="792" w:type="pct"/>
          </w:tcPr>
          <w:p w14:paraId="54B70D68" w14:textId="77777777" w:rsidR="00130AB3" w:rsidRPr="00D63217" w:rsidRDefault="00130AB3" w:rsidP="006754A6">
            <w:pPr>
              <w:pStyle w:val="TableText"/>
              <w:jc w:val="right"/>
            </w:pPr>
            <w:r w:rsidRPr="00D63217">
              <w:t>*0.01</w:t>
            </w:r>
          </w:p>
        </w:tc>
      </w:tr>
      <w:tr w:rsidR="00130AB3" w:rsidRPr="00D63217" w14:paraId="1B184E0B" w14:textId="77777777" w:rsidTr="006754A6">
        <w:trPr>
          <w:cantSplit/>
        </w:trPr>
        <w:tc>
          <w:tcPr>
            <w:tcW w:w="944" w:type="pct"/>
            <w:noWrap/>
            <w:hideMark/>
          </w:tcPr>
          <w:p w14:paraId="09BADCA0" w14:textId="77777777" w:rsidR="00130AB3" w:rsidRPr="00D63217" w:rsidRDefault="00130AB3" w:rsidP="002B0672">
            <w:pPr>
              <w:pStyle w:val="TableText"/>
              <w:rPr>
                <w:lang w:val="en-US"/>
              </w:rPr>
            </w:pPr>
            <w:r w:rsidRPr="00D63217">
              <w:rPr>
                <w:lang w:val="en-US"/>
              </w:rPr>
              <w:t>SO 0088</w:t>
            </w:r>
          </w:p>
        </w:tc>
        <w:tc>
          <w:tcPr>
            <w:tcW w:w="2557" w:type="pct"/>
            <w:noWrap/>
            <w:hideMark/>
          </w:tcPr>
          <w:p w14:paraId="60AE9A80" w14:textId="74867D89" w:rsidR="00130AB3" w:rsidRPr="00D63217" w:rsidRDefault="00130AB3" w:rsidP="002B0672">
            <w:pPr>
              <w:pStyle w:val="TableText"/>
            </w:pPr>
            <w:r w:rsidRPr="00D63217">
              <w:t>Oilseed [except cotton seed; peanut]</w:t>
            </w:r>
          </w:p>
        </w:tc>
        <w:tc>
          <w:tcPr>
            <w:tcW w:w="707" w:type="pct"/>
            <w:noWrap/>
            <w:hideMark/>
          </w:tcPr>
          <w:p w14:paraId="2569F911" w14:textId="77777777" w:rsidR="00130AB3" w:rsidRPr="00D63217" w:rsidRDefault="00130AB3" w:rsidP="006754A6">
            <w:pPr>
              <w:pStyle w:val="TableText"/>
              <w:jc w:val="right"/>
            </w:pPr>
            <w:r w:rsidRPr="00D63217">
              <w:t>*0.05</w:t>
            </w:r>
          </w:p>
        </w:tc>
        <w:tc>
          <w:tcPr>
            <w:tcW w:w="792" w:type="pct"/>
          </w:tcPr>
          <w:p w14:paraId="6D84CF79" w14:textId="77777777" w:rsidR="00130AB3" w:rsidRPr="00D63217" w:rsidRDefault="00130AB3" w:rsidP="006754A6">
            <w:pPr>
              <w:pStyle w:val="TableText"/>
              <w:jc w:val="right"/>
            </w:pPr>
            <w:r w:rsidRPr="00D63217">
              <w:t>Delete</w:t>
            </w:r>
          </w:p>
        </w:tc>
      </w:tr>
      <w:tr w:rsidR="00130AB3" w:rsidRPr="00D63217" w14:paraId="3E5AF3B9" w14:textId="77777777" w:rsidTr="006754A6">
        <w:trPr>
          <w:cantSplit/>
        </w:trPr>
        <w:tc>
          <w:tcPr>
            <w:tcW w:w="944" w:type="pct"/>
            <w:noWrap/>
          </w:tcPr>
          <w:p w14:paraId="0E76C3DB" w14:textId="77777777" w:rsidR="00130AB3" w:rsidRPr="00D63217" w:rsidRDefault="00130AB3" w:rsidP="002B0672">
            <w:pPr>
              <w:pStyle w:val="TableText"/>
              <w:rPr>
                <w:lang w:val="en-US"/>
              </w:rPr>
            </w:pPr>
            <w:r w:rsidRPr="00D63217">
              <w:rPr>
                <w:lang w:val="en-US"/>
              </w:rPr>
              <w:lastRenderedPageBreak/>
              <w:t>SO 0088</w:t>
            </w:r>
          </w:p>
        </w:tc>
        <w:tc>
          <w:tcPr>
            <w:tcW w:w="2557" w:type="pct"/>
            <w:noWrap/>
          </w:tcPr>
          <w:p w14:paraId="7D446373" w14:textId="6B123A8E" w:rsidR="00130AB3" w:rsidRPr="00D63217" w:rsidRDefault="00130AB3" w:rsidP="002B0672">
            <w:pPr>
              <w:pStyle w:val="TableText"/>
            </w:pPr>
            <w:r w:rsidRPr="00D63217">
              <w:t xml:space="preserve">Oilseed {except </w:t>
            </w:r>
            <w:r w:rsidR="006754A6" w:rsidRPr="00D63217">
              <w:t>c</w:t>
            </w:r>
            <w:r w:rsidRPr="00D63217">
              <w:t>otton seed}</w:t>
            </w:r>
          </w:p>
        </w:tc>
        <w:tc>
          <w:tcPr>
            <w:tcW w:w="707" w:type="pct"/>
            <w:noWrap/>
          </w:tcPr>
          <w:p w14:paraId="43A82A23" w14:textId="77777777" w:rsidR="00130AB3" w:rsidRPr="00D63217" w:rsidRDefault="00130AB3" w:rsidP="006754A6">
            <w:pPr>
              <w:pStyle w:val="TableText"/>
              <w:jc w:val="right"/>
            </w:pPr>
            <w:r w:rsidRPr="00D63217">
              <w:t>-</w:t>
            </w:r>
          </w:p>
        </w:tc>
        <w:tc>
          <w:tcPr>
            <w:tcW w:w="792" w:type="pct"/>
          </w:tcPr>
          <w:p w14:paraId="25656831" w14:textId="77777777" w:rsidR="00130AB3" w:rsidRPr="00D63217" w:rsidRDefault="00130AB3" w:rsidP="006754A6">
            <w:pPr>
              <w:pStyle w:val="TableText"/>
              <w:jc w:val="right"/>
            </w:pPr>
            <w:r w:rsidRPr="00D63217">
              <w:t>*0.05</w:t>
            </w:r>
          </w:p>
        </w:tc>
      </w:tr>
      <w:tr w:rsidR="00130AB3" w:rsidRPr="00D63217" w14:paraId="60D2DC39" w14:textId="77777777" w:rsidTr="006754A6">
        <w:trPr>
          <w:cantSplit/>
        </w:trPr>
        <w:tc>
          <w:tcPr>
            <w:tcW w:w="944" w:type="pct"/>
            <w:noWrap/>
            <w:hideMark/>
          </w:tcPr>
          <w:p w14:paraId="4244C478" w14:textId="77777777" w:rsidR="00130AB3" w:rsidRPr="00D63217" w:rsidRDefault="00130AB3" w:rsidP="002B0672">
            <w:pPr>
              <w:pStyle w:val="TableText"/>
              <w:rPr>
                <w:lang w:val="en-US"/>
              </w:rPr>
            </w:pPr>
            <w:r w:rsidRPr="00D63217">
              <w:rPr>
                <w:lang w:val="en-US"/>
              </w:rPr>
              <w:t>FT 0305</w:t>
            </w:r>
          </w:p>
        </w:tc>
        <w:tc>
          <w:tcPr>
            <w:tcW w:w="2557" w:type="pct"/>
            <w:noWrap/>
            <w:hideMark/>
          </w:tcPr>
          <w:p w14:paraId="6331F546" w14:textId="77777777" w:rsidR="00130AB3" w:rsidRPr="00D63217" w:rsidRDefault="00130AB3" w:rsidP="002B0672">
            <w:pPr>
              <w:pStyle w:val="TableText"/>
            </w:pPr>
            <w:r w:rsidRPr="00D63217">
              <w:t>Olives</w:t>
            </w:r>
          </w:p>
        </w:tc>
        <w:tc>
          <w:tcPr>
            <w:tcW w:w="707" w:type="pct"/>
            <w:noWrap/>
            <w:hideMark/>
          </w:tcPr>
          <w:p w14:paraId="0E9B7BCA" w14:textId="77777777" w:rsidR="00130AB3" w:rsidRPr="00D63217" w:rsidRDefault="00130AB3" w:rsidP="006754A6">
            <w:pPr>
              <w:pStyle w:val="TableText"/>
              <w:jc w:val="right"/>
            </w:pPr>
            <w:r w:rsidRPr="00D63217">
              <w:t>1</w:t>
            </w:r>
          </w:p>
        </w:tc>
        <w:tc>
          <w:tcPr>
            <w:tcW w:w="792" w:type="pct"/>
          </w:tcPr>
          <w:p w14:paraId="7DE8A36F" w14:textId="77777777" w:rsidR="00130AB3" w:rsidRPr="00D63217" w:rsidRDefault="00130AB3" w:rsidP="006754A6">
            <w:pPr>
              <w:pStyle w:val="TableText"/>
              <w:jc w:val="right"/>
            </w:pPr>
            <w:r w:rsidRPr="00D63217">
              <w:t>Delete</w:t>
            </w:r>
          </w:p>
        </w:tc>
      </w:tr>
      <w:tr w:rsidR="00130AB3" w:rsidRPr="00D63217" w14:paraId="2E159AEF" w14:textId="77777777" w:rsidTr="006754A6">
        <w:trPr>
          <w:cantSplit/>
        </w:trPr>
        <w:tc>
          <w:tcPr>
            <w:tcW w:w="944" w:type="pct"/>
            <w:noWrap/>
            <w:hideMark/>
          </w:tcPr>
          <w:p w14:paraId="14575D23" w14:textId="77777777" w:rsidR="00130AB3" w:rsidRPr="00D63217" w:rsidRDefault="00130AB3" w:rsidP="002B0672">
            <w:pPr>
              <w:pStyle w:val="TableText"/>
              <w:rPr>
                <w:lang w:val="en-US"/>
              </w:rPr>
            </w:pPr>
            <w:r w:rsidRPr="00D63217">
              <w:rPr>
                <w:lang w:val="en-US"/>
              </w:rPr>
              <w:t>SO 0697</w:t>
            </w:r>
          </w:p>
        </w:tc>
        <w:tc>
          <w:tcPr>
            <w:tcW w:w="2557" w:type="pct"/>
            <w:noWrap/>
            <w:hideMark/>
          </w:tcPr>
          <w:p w14:paraId="769CC6CD" w14:textId="77777777" w:rsidR="00130AB3" w:rsidRPr="00D63217" w:rsidRDefault="00130AB3" w:rsidP="002B0672">
            <w:pPr>
              <w:pStyle w:val="TableText"/>
            </w:pPr>
            <w:r w:rsidRPr="00D63217">
              <w:t>Peanut</w:t>
            </w:r>
          </w:p>
        </w:tc>
        <w:tc>
          <w:tcPr>
            <w:tcW w:w="707" w:type="pct"/>
            <w:noWrap/>
            <w:hideMark/>
          </w:tcPr>
          <w:p w14:paraId="7783A46D" w14:textId="77777777" w:rsidR="00130AB3" w:rsidRPr="00D63217" w:rsidRDefault="00130AB3" w:rsidP="006754A6">
            <w:pPr>
              <w:pStyle w:val="TableText"/>
              <w:jc w:val="right"/>
            </w:pPr>
            <w:r w:rsidRPr="00D63217">
              <w:t>*0.01</w:t>
            </w:r>
          </w:p>
        </w:tc>
        <w:tc>
          <w:tcPr>
            <w:tcW w:w="792" w:type="pct"/>
          </w:tcPr>
          <w:p w14:paraId="1047D07A" w14:textId="77777777" w:rsidR="00130AB3" w:rsidRPr="00D63217" w:rsidRDefault="00130AB3" w:rsidP="006754A6">
            <w:pPr>
              <w:pStyle w:val="TableText"/>
              <w:jc w:val="right"/>
            </w:pPr>
            <w:r w:rsidRPr="00D63217">
              <w:t>Delete</w:t>
            </w:r>
          </w:p>
        </w:tc>
      </w:tr>
      <w:tr w:rsidR="00130AB3" w:rsidRPr="00D63217" w14:paraId="4B50FC0A" w14:textId="77777777" w:rsidTr="006754A6">
        <w:trPr>
          <w:cantSplit/>
        </w:trPr>
        <w:tc>
          <w:tcPr>
            <w:tcW w:w="944" w:type="pct"/>
            <w:noWrap/>
            <w:hideMark/>
          </w:tcPr>
          <w:p w14:paraId="0DE588A9" w14:textId="77777777" w:rsidR="00130AB3" w:rsidRPr="00D63217" w:rsidRDefault="00130AB3" w:rsidP="002B0672">
            <w:pPr>
              <w:pStyle w:val="TableText"/>
              <w:rPr>
                <w:lang w:val="en-US"/>
              </w:rPr>
            </w:pPr>
            <w:r w:rsidRPr="00D63217">
              <w:rPr>
                <w:lang w:val="en-US"/>
              </w:rPr>
              <w:t>SO 0703</w:t>
            </w:r>
          </w:p>
        </w:tc>
        <w:tc>
          <w:tcPr>
            <w:tcW w:w="2557" w:type="pct"/>
            <w:noWrap/>
            <w:hideMark/>
          </w:tcPr>
          <w:p w14:paraId="39B879F6" w14:textId="77777777" w:rsidR="00130AB3" w:rsidRPr="00D63217" w:rsidRDefault="00130AB3" w:rsidP="002B0672">
            <w:pPr>
              <w:pStyle w:val="TableText"/>
            </w:pPr>
            <w:r w:rsidRPr="00D63217">
              <w:t>Peanut, whole</w:t>
            </w:r>
          </w:p>
        </w:tc>
        <w:tc>
          <w:tcPr>
            <w:tcW w:w="707" w:type="pct"/>
            <w:noWrap/>
            <w:hideMark/>
          </w:tcPr>
          <w:p w14:paraId="752B9F8A" w14:textId="77777777" w:rsidR="00130AB3" w:rsidRPr="00D63217" w:rsidRDefault="00130AB3" w:rsidP="006754A6">
            <w:pPr>
              <w:pStyle w:val="TableText"/>
              <w:jc w:val="right"/>
            </w:pPr>
            <w:r w:rsidRPr="00D63217">
              <w:t>*0.01</w:t>
            </w:r>
          </w:p>
        </w:tc>
        <w:tc>
          <w:tcPr>
            <w:tcW w:w="792" w:type="pct"/>
          </w:tcPr>
          <w:p w14:paraId="259474C9" w14:textId="77777777" w:rsidR="00130AB3" w:rsidRPr="00D63217" w:rsidRDefault="00130AB3" w:rsidP="006754A6">
            <w:pPr>
              <w:pStyle w:val="TableText"/>
              <w:jc w:val="right"/>
            </w:pPr>
            <w:r w:rsidRPr="00D63217">
              <w:t>Delete</w:t>
            </w:r>
          </w:p>
        </w:tc>
      </w:tr>
      <w:tr w:rsidR="00130AB3" w:rsidRPr="00D63217" w14:paraId="317D448D" w14:textId="77777777" w:rsidTr="006754A6">
        <w:trPr>
          <w:cantSplit/>
        </w:trPr>
        <w:tc>
          <w:tcPr>
            <w:tcW w:w="944" w:type="pct"/>
            <w:noWrap/>
          </w:tcPr>
          <w:p w14:paraId="7CE1EE3C" w14:textId="77777777" w:rsidR="00130AB3" w:rsidRPr="00D63217" w:rsidRDefault="00130AB3" w:rsidP="002B0672">
            <w:pPr>
              <w:pStyle w:val="TableText"/>
            </w:pPr>
            <w:r w:rsidRPr="00D63217">
              <w:t>FP 0009</w:t>
            </w:r>
          </w:p>
        </w:tc>
        <w:tc>
          <w:tcPr>
            <w:tcW w:w="2557" w:type="pct"/>
            <w:noWrap/>
          </w:tcPr>
          <w:p w14:paraId="027D7580" w14:textId="77777777" w:rsidR="00130AB3" w:rsidRPr="00D63217" w:rsidRDefault="00130AB3" w:rsidP="002B0672">
            <w:pPr>
              <w:pStyle w:val="TableText"/>
            </w:pPr>
            <w:r w:rsidRPr="00D63217">
              <w:t>Pome fruits</w:t>
            </w:r>
          </w:p>
        </w:tc>
        <w:tc>
          <w:tcPr>
            <w:tcW w:w="707" w:type="pct"/>
            <w:noWrap/>
          </w:tcPr>
          <w:p w14:paraId="2211732A" w14:textId="77777777" w:rsidR="00130AB3" w:rsidRPr="00D63217" w:rsidRDefault="00130AB3" w:rsidP="006754A6">
            <w:pPr>
              <w:pStyle w:val="TableText"/>
              <w:jc w:val="right"/>
            </w:pPr>
            <w:r w:rsidRPr="00D63217">
              <w:t>-</w:t>
            </w:r>
          </w:p>
        </w:tc>
        <w:tc>
          <w:tcPr>
            <w:tcW w:w="792" w:type="pct"/>
          </w:tcPr>
          <w:p w14:paraId="127BC690" w14:textId="77777777" w:rsidR="00130AB3" w:rsidRPr="00D63217" w:rsidRDefault="00130AB3" w:rsidP="006754A6">
            <w:pPr>
              <w:pStyle w:val="TableText"/>
              <w:jc w:val="right"/>
            </w:pPr>
            <w:r w:rsidRPr="00D63217">
              <w:t>*0.01</w:t>
            </w:r>
          </w:p>
        </w:tc>
      </w:tr>
      <w:tr w:rsidR="00130AB3" w:rsidRPr="00D63217" w14:paraId="31C49595" w14:textId="77777777" w:rsidTr="006754A6">
        <w:trPr>
          <w:cantSplit/>
        </w:trPr>
        <w:tc>
          <w:tcPr>
            <w:tcW w:w="944" w:type="pct"/>
            <w:noWrap/>
            <w:hideMark/>
          </w:tcPr>
          <w:p w14:paraId="2DBB9E94" w14:textId="77777777" w:rsidR="00130AB3" w:rsidRPr="00D63217" w:rsidRDefault="00130AB3" w:rsidP="002B0672">
            <w:pPr>
              <w:pStyle w:val="TableText"/>
              <w:rPr>
                <w:lang w:val="en-US"/>
              </w:rPr>
            </w:pPr>
            <w:r w:rsidRPr="00D63217">
              <w:rPr>
                <w:lang w:val="en-US"/>
              </w:rPr>
              <w:t>VR 0589</w:t>
            </w:r>
          </w:p>
        </w:tc>
        <w:tc>
          <w:tcPr>
            <w:tcW w:w="2557" w:type="pct"/>
            <w:noWrap/>
            <w:hideMark/>
          </w:tcPr>
          <w:p w14:paraId="11BF66F0" w14:textId="77777777" w:rsidR="00130AB3" w:rsidRPr="00D63217" w:rsidRDefault="00130AB3" w:rsidP="002B0672">
            <w:pPr>
              <w:pStyle w:val="TableText"/>
            </w:pPr>
            <w:r w:rsidRPr="00D63217">
              <w:t>Potato</w:t>
            </w:r>
          </w:p>
        </w:tc>
        <w:tc>
          <w:tcPr>
            <w:tcW w:w="707" w:type="pct"/>
            <w:noWrap/>
            <w:hideMark/>
          </w:tcPr>
          <w:p w14:paraId="76DCD07D" w14:textId="77777777" w:rsidR="00130AB3" w:rsidRPr="00D63217" w:rsidRDefault="00130AB3" w:rsidP="006754A6">
            <w:pPr>
              <w:pStyle w:val="TableText"/>
              <w:jc w:val="right"/>
            </w:pPr>
            <w:r w:rsidRPr="00D63217">
              <w:t>0.2</w:t>
            </w:r>
          </w:p>
        </w:tc>
        <w:tc>
          <w:tcPr>
            <w:tcW w:w="792" w:type="pct"/>
          </w:tcPr>
          <w:p w14:paraId="10373A4F" w14:textId="77777777" w:rsidR="00130AB3" w:rsidRPr="00D63217" w:rsidRDefault="00130AB3" w:rsidP="006754A6">
            <w:pPr>
              <w:pStyle w:val="TableText"/>
              <w:jc w:val="right"/>
            </w:pPr>
            <w:r w:rsidRPr="00D63217">
              <w:t>0.2</w:t>
            </w:r>
          </w:p>
        </w:tc>
      </w:tr>
      <w:tr w:rsidR="00130AB3" w:rsidRPr="00D63217" w14:paraId="038096E7" w14:textId="77777777" w:rsidTr="006754A6">
        <w:trPr>
          <w:cantSplit/>
        </w:trPr>
        <w:tc>
          <w:tcPr>
            <w:tcW w:w="944" w:type="pct"/>
            <w:noWrap/>
            <w:hideMark/>
          </w:tcPr>
          <w:p w14:paraId="5DAB4766" w14:textId="77777777" w:rsidR="00130AB3" w:rsidRPr="00D63217" w:rsidRDefault="00130AB3" w:rsidP="002B0672">
            <w:pPr>
              <w:pStyle w:val="TableText"/>
              <w:rPr>
                <w:lang w:val="en-US"/>
              </w:rPr>
            </w:pPr>
            <w:r w:rsidRPr="00D63217">
              <w:rPr>
                <w:lang w:val="en-US"/>
              </w:rPr>
              <w:t>PO 0111</w:t>
            </w:r>
          </w:p>
        </w:tc>
        <w:tc>
          <w:tcPr>
            <w:tcW w:w="2557" w:type="pct"/>
            <w:noWrap/>
            <w:hideMark/>
          </w:tcPr>
          <w:p w14:paraId="0EDEFED5" w14:textId="54626D46" w:rsidR="00130AB3" w:rsidRPr="00D63217" w:rsidRDefault="00130AB3" w:rsidP="002B0672">
            <w:pPr>
              <w:pStyle w:val="TableText"/>
            </w:pPr>
            <w:r w:rsidRPr="00D63217">
              <w:t xml:space="preserve">Poultry, </w:t>
            </w:r>
            <w:r w:rsidR="006754A6" w:rsidRPr="00D63217">
              <w:t>e</w:t>
            </w:r>
            <w:r w:rsidRPr="00D63217">
              <w:t>dible offal of</w:t>
            </w:r>
          </w:p>
        </w:tc>
        <w:tc>
          <w:tcPr>
            <w:tcW w:w="707" w:type="pct"/>
            <w:noWrap/>
            <w:hideMark/>
          </w:tcPr>
          <w:p w14:paraId="1BE2DEA3" w14:textId="77777777" w:rsidR="00130AB3" w:rsidRPr="00D63217" w:rsidRDefault="00130AB3" w:rsidP="006754A6">
            <w:pPr>
              <w:pStyle w:val="TableText"/>
              <w:jc w:val="right"/>
            </w:pPr>
            <w:r w:rsidRPr="00D63217">
              <w:t>*0.05</w:t>
            </w:r>
          </w:p>
        </w:tc>
        <w:tc>
          <w:tcPr>
            <w:tcW w:w="792" w:type="pct"/>
          </w:tcPr>
          <w:p w14:paraId="6983E1F6" w14:textId="77777777" w:rsidR="00130AB3" w:rsidRPr="00D63217" w:rsidRDefault="00130AB3" w:rsidP="006754A6">
            <w:pPr>
              <w:pStyle w:val="TableText"/>
              <w:jc w:val="right"/>
            </w:pPr>
            <w:r w:rsidRPr="00D63217">
              <w:t>*0.05</w:t>
            </w:r>
          </w:p>
        </w:tc>
      </w:tr>
      <w:tr w:rsidR="00130AB3" w:rsidRPr="00D63217" w14:paraId="529777E7" w14:textId="77777777" w:rsidTr="006754A6">
        <w:trPr>
          <w:cantSplit/>
        </w:trPr>
        <w:tc>
          <w:tcPr>
            <w:tcW w:w="944" w:type="pct"/>
            <w:noWrap/>
            <w:hideMark/>
          </w:tcPr>
          <w:p w14:paraId="7729CB0B" w14:textId="77777777" w:rsidR="00130AB3" w:rsidRPr="00D63217" w:rsidRDefault="00130AB3" w:rsidP="002B0672">
            <w:pPr>
              <w:pStyle w:val="TableText"/>
              <w:rPr>
                <w:lang w:val="en-US"/>
              </w:rPr>
            </w:pPr>
            <w:r w:rsidRPr="00D63217">
              <w:rPr>
                <w:lang w:val="en-US"/>
              </w:rPr>
              <w:t>PM 0110</w:t>
            </w:r>
          </w:p>
        </w:tc>
        <w:tc>
          <w:tcPr>
            <w:tcW w:w="2557" w:type="pct"/>
            <w:noWrap/>
            <w:hideMark/>
          </w:tcPr>
          <w:p w14:paraId="195F6EDE" w14:textId="77777777" w:rsidR="00130AB3" w:rsidRPr="00D63217" w:rsidRDefault="00130AB3" w:rsidP="002B0672">
            <w:pPr>
              <w:pStyle w:val="TableText"/>
            </w:pPr>
            <w:r w:rsidRPr="00D63217">
              <w:t>Poultry meat</w:t>
            </w:r>
          </w:p>
        </w:tc>
        <w:tc>
          <w:tcPr>
            <w:tcW w:w="707" w:type="pct"/>
            <w:noWrap/>
            <w:hideMark/>
          </w:tcPr>
          <w:p w14:paraId="7D2CF683" w14:textId="77777777" w:rsidR="00130AB3" w:rsidRPr="00D63217" w:rsidRDefault="00130AB3" w:rsidP="006754A6">
            <w:pPr>
              <w:pStyle w:val="TableText"/>
              <w:jc w:val="right"/>
            </w:pPr>
            <w:r w:rsidRPr="00D63217">
              <w:t>*0.05</w:t>
            </w:r>
          </w:p>
        </w:tc>
        <w:tc>
          <w:tcPr>
            <w:tcW w:w="792" w:type="pct"/>
          </w:tcPr>
          <w:p w14:paraId="40FA04D0" w14:textId="77777777" w:rsidR="00130AB3" w:rsidRPr="00D63217" w:rsidRDefault="00130AB3" w:rsidP="006754A6">
            <w:pPr>
              <w:pStyle w:val="TableText"/>
              <w:jc w:val="right"/>
            </w:pPr>
            <w:r w:rsidRPr="00D63217">
              <w:t>*0.05</w:t>
            </w:r>
          </w:p>
        </w:tc>
      </w:tr>
      <w:tr w:rsidR="00130AB3" w:rsidRPr="00D63217" w14:paraId="13C3C34F" w14:textId="77777777" w:rsidTr="006754A6">
        <w:trPr>
          <w:cantSplit/>
        </w:trPr>
        <w:tc>
          <w:tcPr>
            <w:tcW w:w="944" w:type="pct"/>
            <w:noWrap/>
            <w:hideMark/>
          </w:tcPr>
          <w:p w14:paraId="17DFB8AE" w14:textId="77777777" w:rsidR="00130AB3" w:rsidRPr="00D63217" w:rsidRDefault="00130AB3" w:rsidP="002B0672">
            <w:pPr>
              <w:pStyle w:val="TableText"/>
              <w:rPr>
                <w:lang w:val="en-US"/>
              </w:rPr>
            </w:pPr>
            <w:r w:rsidRPr="00D63217">
              <w:rPr>
                <w:lang w:val="en-US"/>
              </w:rPr>
              <w:t>VD 0070</w:t>
            </w:r>
          </w:p>
        </w:tc>
        <w:tc>
          <w:tcPr>
            <w:tcW w:w="2557" w:type="pct"/>
            <w:noWrap/>
            <w:hideMark/>
          </w:tcPr>
          <w:p w14:paraId="7CBCA3EE" w14:textId="77777777" w:rsidR="00130AB3" w:rsidRPr="00D63217" w:rsidRDefault="00130AB3" w:rsidP="002B0672">
            <w:pPr>
              <w:pStyle w:val="TableText"/>
            </w:pPr>
            <w:r w:rsidRPr="00D63217">
              <w:t>Pulses</w:t>
            </w:r>
          </w:p>
        </w:tc>
        <w:tc>
          <w:tcPr>
            <w:tcW w:w="707" w:type="pct"/>
            <w:noWrap/>
            <w:hideMark/>
          </w:tcPr>
          <w:p w14:paraId="6BE9CE8E" w14:textId="77777777" w:rsidR="00130AB3" w:rsidRPr="00D63217" w:rsidRDefault="00130AB3" w:rsidP="006754A6">
            <w:pPr>
              <w:pStyle w:val="TableText"/>
              <w:jc w:val="right"/>
            </w:pPr>
            <w:r w:rsidRPr="00D63217">
              <w:t>1</w:t>
            </w:r>
          </w:p>
        </w:tc>
        <w:tc>
          <w:tcPr>
            <w:tcW w:w="792" w:type="pct"/>
          </w:tcPr>
          <w:p w14:paraId="03A60969" w14:textId="77777777" w:rsidR="00130AB3" w:rsidRPr="00D63217" w:rsidRDefault="00130AB3" w:rsidP="006754A6">
            <w:pPr>
              <w:pStyle w:val="TableText"/>
              <w:jc w:val="right"/>
            </w:pPr>
            <w:r w:rsidRPr="00D63217">
              <w:t>Delete</w:t>
            </w:r>
          </w:p>
        </w:tc>
      </w:tr>
      <w:tr w:rsidR="00130AB3" w:rsidRPr="00D63217" w14:paraId="6331D9EA" w14:textId="77777777" w:rsidTr="006754A6">
        <w:trPr>
          <w:cantSplit/>
        </w:trPr>
        <w:tc>
          <w:tcPr>
            <w:tcW w:w="944" w:type="pct"/>
            <w:noWrap/>
          </w:tcPr>
          <w:p w14:paraId="58287016" w14:textId="77777777" w:rsidR="00130AB3" w:rsidRPr="00D63217" w:rsidRDefault="00130AB3" w:rsidP="002B0672">
            <w:pPr>
              <w:pStyle w:val="TableText"/>
              <w:rPr>
                <w:lang w:val="en-US"/>
              </w:rPr>
            </w:pPr>
            <w:r w:rsidRPr="00D63217">
              <w:rPr>
                <w:lang w:val="en-US"/>
              </w:rPr>
              <w:t>VD 0070</w:t>
            </w:r>
          </w:p>
        </w:tc>
        <w:tc>
          <w:tcPr>
            <w:tcW w:w="2557" w:type="pct"/>
            <w:noWrap/>
          </w:tcPr>
          <w:p w14:paraId="2260D349" w14:textId="68E0963B" w:rsidR="00130AB3" w:rsidRPr="00D63217" w:rsidRDefault="00130AB3" w:rsidP="002B0672">
            <w:pPr>
              <w:pStyle w:val="TableText"/>
            </w:pPr>
            <w:r w:rsidRPr="00D63217">
              <w:t xml:space="preserve">Pulses {except </w:t>
            </w:r>
            <w:r w:rsidR="00251636" w:rsidRPr="00D63217">
              <w:t>b</w:t>
            </w:r>
            <w:r w:rsidRPr="00D63217">
              <w:t>road bean (dry); Chick-pea (dry);</w:t>
            </w:r>
          </w:p>
          <w:p w14:paraId="77966272" w14:textId="553C22C0" w:rsidR="00130AB3" w:rsidRPr="00D63217" w:rsidRDefault="00130AB3" w:rsidP="002B0672">
            <w:pPr>
              <w:pStyle w:val="TableText"/>
            </w:pPr>
            <w:r w:rsidRPr="00D63217">
              <w:t xml:space="preserve">Field pea (dry); </w:t>
            </w:r>
            <w:r w:rsidR="00251636" w:rsidRPr="00D63217">
              <w:t>l</w:t>
            </w:r>
            <w:r w:rsidRPr="00D63217">
              <w:t xml:space="preserve">entil (dry); </w:t>
            </w:r>
            <w:r w:rsidR="00251636" w:rsidRPr="00D63217">
              <w:t>l</w:t>
            </w:r>
            <w:r w:rsidRPr="00D63217">
              <w:t>upin (dry)}</w:t>
            </w:r>
          </w:p>
        </w:tc>
        <w:tc>
          <w:tcPr>
            <w:tcW w:w="707" w:type="pct"/>
            <w:noWrap/>
          </w:tcPr>
          <w:p w14:paraId="5F4BA1D4" w14:textId="77777777" w:rsidR="00130AB3" w:rsidRPr="00D63217" w:rsidRDefault="00130AB3" w:rsidP="006754A6">
            <w:pPr>
              <w:pStyle w:val="TableText"/>
              <w:jc w:val="right"/>
            </w:pPr>
            <w:r w:rsidRPr="00D63217">
              <w:t>-</w:t>
            </w:r>
          </w:p>
        </w:tc>
        <w:tc>
          <w:tcPr>
            <w:tcW w:w="792" w:type="pct"/>
          </w:tcPr>
          <w:p w14:paraId="738C29F0" w14:textId="77777777" w:rsidR="00130AB3" w:rsidRPr="00D63217" w:rsidRDefault="00130AB3" w:rsidP="006754A6">
            <w:pPr>
              <w:pStyle w:val="TableText"/>
              <w:jc w:val="right"/>
            </w:pPr>
            <w:r w:rsidRPr="00D63217">
              <w:t>*0.05</w:t>
            </w:r>
          </w:p>
        </w:tc>
      </w:tr>
      <w:tr w:rsidR="00130AB3" w:rsidRPr="00D63217" w14:paraId="38697C69" w14:textId="77777777" w:rsidTr="006754A6">
        <w:trPr>
          <w:cantSplit/>
        </w:trPr>
        <w:tc>
          <w:tcPr>
            <w:tcW w:w="944" w:type="pct"/>
            <w:noWrap/>
            <w:hideMark/>
          </w:tcPr>
          <w:p w14:paraId="0A81DE6C" w14:textId="77777777" w:rsidR="00130AB3" w:rsidRPr="00D63217" w:rsidRDefault="00130AB3" w:rsidP="002B0672">
            <w:pPr>
              <w:pStyle w:val="TableText"/>
              <w:rPr>
                <w:lang w:val="en-US"/>
              </w:rPr>
            </w:pPr>
            <w:r w:rsidRPr="00D63217">
              <w:rPr>
                <w:lang w:val="en-US"/>
              </w:rPr>
              <w:t>GC 0649</w:t>
            </w:r>
          </w:p>
        </w:tc>
        <w:tc>
          <w:tcPr>
            <w:tcW w:w="2557" w:type="pct"/>
            <w:noWrap/>
            <w:hideMark/>
          </w:tcPr>
          <w:p w14:paraId="333E84BD" w14:textId="77777777" w:rsidR="00130AB3" w:rsidRPr="00D63217" w:rsidRDefault="00130AB3" w:rsidP="002B0672">
            <w:pPr>
              <w:pStyle w:val="TableText"/>
            </w:pPr>
            <w:r w:rsidRPr="00D63217">
              <w:t>Rice</w:t>
            </w:r>
          </w:p>
        </w:tc>
        <w:tc>
          <w:tcPr>
            <w:tcW w:w="707" w:type="pct"/>
            <w:noWrap/>
            <w:hideMark/>
          </w:tcPr>
          <w:p w14:paraId="007726A6" w14:textId="77777777" w:rsidR="00130AB3" w:rsidRPr="00D63217" w:rsidRDefault="00130AB3" w:rsidP="006754A6">
            <w:pPr>
              <w:pStyle w:val="TableText"/>
              <w:jc w:val="right"/>
            </w:pPr>
            <w:r w:rsidRPr="00D63217">
              <w:t>10</w:t>
            </w:r>
          </w:p>
        </w:tc>
        <w:tc>
          <w:tcPr>
            <w:tcW w:w="792" w:type="pct"/>
          </w:tcPr>
          <w:p w14:paraId="76125590" w14:textId="77777777" w:rsidR="00130AB3" w:rsidRPr="00D63217" w:rsidRDefault="00130AB3" w:rsidP="006754A6">
            <w:pPr>
              <w:pStyle w:val="TableText"/>
              <w:jc w:val="right"/>
            </w:pPr>
            <w:r w:rsidRPr="00D63217">
              <w:t>Delete</w:t>
            </w:r>
          </w:p>
        </w:tc>
      </w:tr>
      <w:tr w:rsidR="00130AB3" w:rsidRPr="00D63217" w14:paraId="752521CB" w14:textId="77777777" w:rsidTr="006754A6">
        <w:trPr>
          <w:cantSplit/>
        </w:trPr>
        <w:tc>
          <w:tcPr>
            <w:tcW w:w="944" w:type="pct"/>
            <w:noWrap/>
            <w:hideMark/>
          </w:tcPr>
          <w:p w14:paraId="41D69A57" w14:textId="77777777" w:rsidR="00130AB3" w:rsidRPr="00D63217" w:rsidRDefault="00130AB3" w:rsidP="002B0672">
            <w:pPr>
              <w:pStyle w:val="TableText"/>
              <w:rPr>
                <w:lang w:val="en-US"/>
              </w:rPr>
            </w:pPr>
            <w:r w:rsidRPr="00D63217">
              <w:rPr>
                <w:lang w:val="en-US"/>
              </w:rPr>
              <w:t>CM 1205</w:t>
            </w:r>
          </w:p>
        </w:tc>
        <w:tc>
          <w:tcPr>
            <w:tcW w:w="2557" w:type="pct"/>
            <w:noWrap/>
            <w:hideMark/>
          </w:tcPr>
          <w:p w14:paraId="60EBDF69" w14:textId="77777777" w:rsidR="00130AB3" w:rsidRPr="00D63217" w:rsidRDefault="00130AB3" w:rsidP="002B0672">
            <w:pPr>
              <w:pStyle w:val="TableText"/>
            </w:pPr>
            <w:r w:rsidRPr="00D63217">
              <w:t>Rice, polished</w:t>
            </w:r>
          </w:p>
        </w:tc>
        <w:tc>
          <w:tcPr>
            <w:tcW w:w="707" w:type="pct"/>
            <w:noWrap/>
            <w:hideMark/>
          </w:tcPr>
          <w:p w14:paraId="53E696E2" w14:textId="77777777" w:rsidR="00130AB3" w:rsidRPr="00D63217" w:rsidRDefault="00130AB3" w:rsidP="006754A6">
            <w:pPr>
              <w:pStyle w:val="TableText"/>
              <w:jc w:val="right"/>
            </w:pPr>
            <w:r w:rsidRPr="00D63217">
              <w:t>0.5</w:t>
            </w:r>
          </w:p>
        </w:tc>
        <w:tc>
          <w:tcPr>
            <w:tcW w:w="792" w:type="pct"/>
          </w:tcPr>
          <w:p w14:paraId="503750D7" w14:textId="77777777" w:rsidR="00130AB3" w:rsidRPr="00D63217" w:rsidRDefault="00130AB3" w:rsidP="006754A6">
            <w:pPr>
              <w:pStyle w:val="TableText"/>
              <w:jc w:val="right"/>
            </w:pPr>
            <w:r w:rsidRPr="00D63217">
              <w:t>Delete</w:t>
            </w:r>
          </w:p>
        </w:tc>
      </w:tr>
      <w:tr w:rsidR="00130AB3" w:rsidRPr="00D63217" w14:paraId="095F540D" w14:textId="77777777" w:rsidTr="006754A6">
        <w:trPr>
          <w:cantSplit/>
        </w:trPr>
        <w:tc>
          <w:tcPr>
            <w:tcW w:w="944" w:type="pct"/>
            <w:noWrap/>
          </w:tcPr>
          <w:p w14:paraId="2C8E52D9" w14:textId="77777777" w:rsidR="00130AB3" w:rsidRPr="00D63217" w:rsidRDefault="00130AB3" w:rsidP="00746296">
            <w:pPr>
              <w:pStyle w:val="TableText"/>
            </w:pPr>
            <w:r w:rsidRPr="00D63217">
              <w:t>VR 0075</w:t>
            </w:r>
          </w:p>
        </w:tc>
        <w:tc>
          <w:tcPr>
            <w:tcW w:w="2557" w:type="pct"/>
            <w:noWrap/>
          </w:tcPr>
          <w:p w14:paraId="6B0D0A19" w14:textId="41041AB3" w:rsidR="00130AB3" w:rsidRPr="00D63217" w:rsidRDefault="00130AB3" w:rsidP="00746296">
            <w:pPr>
              <w:pStyle w:val="TableText"/>
            </w:pPr>
            <w:r w:rsidRPr="00D63217">
              <w:t>Root and tuber vegetables {except Potato}</w:t>
            </w:r>
          </w:p>
        </w:tc>
        <w:tc>
          <w:tcPr>
            <w:tcW w:w="707" w:type="pct"/>
            <w:noWrap/>
          </w:tcPr>
          <w:p w14:paraId="6E4954EB" w14:textId="77777777" w:rsidR="00130AB3" w:rsidRPr="00D63217" w:rsidRDefault="00130AB3" w:rsidP="006754A6">
            <w:pPr>
              <w:pStyle w:val="TableText"/>
              <w:jc w:val="right"/>
            </w:pPr>
            <w:r w:rsidRPr="00D63217">
              <w:t>-</w:t>
            </w:r>
          </w:p>
        </w:tc>
        <w:tc>
          <w:tcPr>
            <w:tcW w:w="792" w:type="pct"/>
          </w:tcPr>
          <w:p w14:paraId="0E4BB4AF" w14:textId="77777777" w:rsidR="00130AB3" w:rsidRPr="00D63217" w:rsidRDefault="00130AB3" w:rsidP="006754A6">
            <w:pPr>
              <w:pStyle w:val="TableText"/>
              <w:jc w:val="right"/>
            </w:pPr>
            <w:r w:rsidRPr="00D63217">
              <w:t>*0.01</w:t>
            </w:r>
          </w:p>
        </w:tc>
      </w:tr>
      <w:tr w:rsidR="00130AB3" w:rsidRPr="00D63217" w14:paraId="3DEFFE4C" w14:textId="77777777" w:rsidTr="006754A6">
        <w:trPr>
          <w:cantSplit/>
        </w:trPr>
        <w:tc>
          <w:tcPr>
            <w:tcW w:w="944" w:type="pct"/>
            <w:noWrap/>
          </w:tcPr>
          <w:p w14:paraId="29282C39" w14:textId="77777777" w:rsidR="00130AB3" w:rsidRPr="00D63217" w:rsidRDefault="00130AB3" w:rsidP="00746296">
            <w:pPr>
              <w:pStyle w:val="TableText"/>
            </w:pPr>
            <w:r w:rsidRPr="00D63217">
              <w:t>HS 0093</w:t>
            </w:r>
          </w:p>
        </w:tc>
        <w:tc>
          <w:tcPr>
            <w:tcW w:w="2557" w:type="pct"/>
            <w:noWrap/>
          </w:tcPr>
          <w:p w14:paraId="053554B6" w14:textId="77777777" w:rsidR="00130AB3" w:rsidRPr="00D63217" w:rsidRDefault="00130AB3" w:rsidP="00746296">
            <w:pPr>
              <w:pStyle w:val="TableText"/>
            </w:pPr>
            <w:r w:rsidRPr="00D63217">
              <w:t>Spices</w:t>
            </w:r>
          </w:p>
        </w:tc>
        <w:tc>
          <w:tcPr>
            <w:tcW w:w="707" w:type="pct"/>
            <w:noWrap/>
          </w:tcPr>
          <w:p w14:paraId="69FF80F6" w14:textId="77777777" w:rsidR="00130AB3" w:rsidRPr="00D63217" w:rsidRDefault="00130AB3" w:rsidP="006754A6">
            <w:pPr>
              <w:pStyle w:val="TableText"/>
              <w:jc w:val="right"/>
            </w:pPr>
            <w:r w:rsidRPr="00D63217">
              <w:t>-</w:t>
            </w:r>
          </w:p>
        </w:tc>
        <w:tc>
          <w:tcPr>
            <w:tcW w:w="792" w:type="pct"/>
          </w:tcPr>
          <w:p w14:paraId="0A035C13" w14:textId="77777777" w:rsidR="00130AB3" w:rsidRPr="00D63217" w:rsidRDefault="00130AB3" w:rsidP="006754A6">
            <w:pPr>
              <w:pStyle w:val="TableText"/>
              <w:jc w:val="right"/>
            </w:pPr>
            <w:r w:rsidRPr="00D63217">
              <w:t>*0.05</w:t>
            </w:r>
          </w:p>
        </w:tc>
      </w:tr>
      <w:tr w:rsidR="00130AB3" w:rsidRPr="00D63217" w14:paraId="3968C86A" w14:textId="77777777" w:rsidTr="006754A6">
        <w:trPr>
          <w:cantSplit/>
        </w:trPr>
        <w:tc>
          <w:tcPr>
            <w:tcW w:w="944" w:type="pct"/>
            <w:noWrap/>
          </w:tcPr>
          <w:p w14:paraId="3AFB88B2" w14:textId="77777777" w:rsidR="00130AB3" w:rsidRPr="00D63217" w:rsidRDefault="00130AB3" w:rsidP="00746296">
            <w:pPr>
              <w:pStyle w:val="TableText"/>
            </w:pPr>
            <w:r w:rsidRPr="00D63217">
              <w:t>VS 0078</w:t>
            </w:r>
          </w:p>
        </w:tc>
        <w:tc>
          <w:tcPr>
            <w:tcW w:w="2557" w:type="pct"/>
            <w:noWrap/>
          </w:tcPr>
          <w:p w14:paraId="5EB7DB65" w14:textId="77777777" w:rsidR="00130AB3" w:rsidRPr="00D63217" w:rsidRDefault="00130AB3" w:rsidP="00746296">
            <w:pPr>
              <w:pStyle w:val="TableText"/>
            </w:pPr>
            <w:r w:rsidRPr="00D63217">
              <w:t>Stalk and stem vegetables</w:t>
            </w:r>
          </w:p>
        </w:tc>
        <w:tc>
          <w:tcPr>
            <w:tcW w:w="707" w:type="pct"/>
            <w:noWrap/>
          </w:tcPr>
          <w:p w14:paraId="4E689D83" w14:textId="77777777" w:rsidR="00130AB3" w:rsidRPr="00D63217" w:rsidRDefault="00130AB3" w:rsidP="006754A6">
            <w:pPr>
              <w:pStyle w:val="TableText"/>
              <w:jc w:val="right"/>
            </w:pPr>
            <w:r w:rsidRPr="00D63217">
              <w:t>-</w:t>
            </w:r>
          </w:p>
        </w:tc>
        <w:tc>
          <w:tcPr>
            <w:tcW w:w="792" w:type="pct"/>
          </w:tcPr>
          <w:p w14:paraId="1E6F930B" w14:textId="77777777" w:rsidR="00130AB3" w:rsidRPr="00D63217" w:rsidRDefault="00130AB3" w:rsidP="006754A6">
            <w:pPr>
              <w:pStyle w:val="TableText"/>
              <w:jc w:val="right"/>
            </w:pPr>
            <w:r w:rsidRPr="00D63217">
              <w:t>*0.05</w:t>
            </w:r>
          </w:p>
        </w:tc>
      </w:tr>
      <w:tr w:rsidR="00130AB3" w:rsidRPr="00D63217" w14:paraId="7644B52E" w14:textId="77777777" w:rsidTr="006754A6">
        <w:trPr>
          <w:cantSplit/>
        </w:trPr>
        <w:tc>
          <w:tcPr>
            <w:tcW w:w="944" w:type="pct"/>
            <w:noWrap/>
          </w:tcPr>
          <w:p w14:paraId="03DD65ED" w14:textId="77777777" w:rsidR="00130AB3" w:rsidRPr="00D63217" w:rsidRDefault="00130AB3" w:rsidP="00746296">
            <w:pPr>
              <w:pStyle w:val="TableText"/>
            </w:pPr>
            <w:r w:rsidRPr="00D63217">
              <w:t>FS 0012</w:t>
            </w:r>
          </w:p>
        </w:tc>
        <w:tc>
          <w:tcPr>
            <w:tcW w:w="2557" w:type="pct"/>
            <w:noWrap/>
          </w:tcPr>
          <w:p w14:paraId="5F9BD949" w14:textId="77777777" w:rsidR="00130AB3" w:rsidRPr="00D63217" w:rsidRDefault="00130AB3" w:rsidP="00746296">
            <w:pPr>
              <w:pStyle w:val="TableText"/>
            </w:pPr>
            <w:r w:rsidRPr="00D63217">
              <w:t>Stone fruits</w:t>
            </w:r>
          </w:p>
        </w:tc>
        <w:tc>
          <w:tcPr>
            <w:tcW w:w="707" w:type="pct"/>
            <w:noWrap/>
          </w:tcPr>
          <w:p w14:paraId="78EBBB74" w14:textId="77777777" w:rsidR="00130AB3" w:rsidRPr="00D63217" w:rsidRDefault="00130AB3" w:rsidP="006754A6">
            <w:pPr>
              <w:pStyle w:val="TableText"/>
              <w:jc w:val="right"/>
            </w:pPr>
            <w:r w:rsidRPr="00D63217">
              <w:t>-</w:t>
            </w:r>
          </w:p>
        </w:tc>
        <w:tc>
          <w:tcPr>
            <w:tcW w:w="792" w:type="pct"/>
          </w:tcPr>
          <w:p w14:paraId="06834D9A" w14:textId="77777777" w:rsidR="00130AB3" w:rsidRPr="00D63217" w:rsidRDefault="00130AB3" w:rsidP="006754A6">
            <w:pPr>
              <w:pStyle w:val="TableText"/>
              <w:jc w:val="right"/>
            </w:pPr>
            <w:r w:rsidRPr="00D63217">
              <w:t>*0.01</w:t>
            </w:r>
          </w:p>
        </w:tc>
      </w:tr>
      <w:tr w:rsidR="00130AB3" w:rsidRPr="00D63217" w14:paraId="21CE4C07" w14:textId="77777777" w:rsidTr="006754A6">
        <w:trPr>
          <w:cantSplit/>
        </w:trPr>
        <w:tc>
          <w:tcPr>
            <w:tcW w:w="944" w:type="pct"/>
            <w:noWrap/>
            <w:hideMark/>
          </w:tcPr>
          <w:p w14:paraId="44E7944E" w14:textId="77777777" w:rsidR="00130AB3" w:rsidRPr="00D63217" w:rsidRDefault="00130AB3" w:rsidP="00746296">
            <w:pPr>
              <w:pStyle w:val="TableText"/>
            </w:pPr>
            <w:r w:rsidRPr="00D63217">
              <w:t>GS 0659</w:t>
            </w:r>
          </w:p>
        </w:tc>
        <w:tc>
          <w:tcPr>
            <w:tcW w:w="2557" w:type="pct"/>
            <w:noWrap/>
            <w:hideMark/>
          </w:tcPr>
          <w:p w14:paraId="03315213" w14:textId="77777777" w:rsidR="00130AB3" w:rsidRPr="00D63217" w:rsidRDefault="00130AB3" w:rsidP="00746296">
            <w:pPr>
              <w:pStyle w:val="TableText"/>
            </w:pPr>
            <w:r w:rsidRPr="00D63217">
              <w:t>Sugar cane</w:t>
            </w:r>
          </w:p>
        </w:tc>
        <w:tc>
          <w:tcPr>
            <w:tcW w:w="707" w:type="pct"/>
            <w:noWrap/>
            <w:hideMark/>
          </w:tcPr>
          <w:p w14:paraId="16265F4C" w14:textId="77777777" w:rsidR="00130AB3" w:rsidRPr="00D63217" w:rsidRDefault="00130AB3" w:rsidP="006754A6">
            <w:pPr>
              <w:pStyle w:val="TableText"/>
              <w:jc w:val="right"/>
            </w:pPr>
            <w:r w:rsidRPr="00D63217">
              <w:t>*0.05</w:t>
            </w:r>
          </w:p>
        </w:tc>
        <w:tc>
          <w:tcPr>
            <w:tcW w:w="792" w:type="pct"/>
          </w:tcPr>
          <w:p w14:paraId="5922A985" w14:textId="77777777" w:rsidR="00130AB3" w:rsidRPr="00D63217" w:rsidRDefault="00130AB3" w:rsidP="006754A6">
            <w:pPr>
              <w:pStyle w:val="TableText"/>
              <w:jc w:val="right"/>
            </w:pPr>
            <w:r w:rsidRPr="00D63217">
              <w:t>*0.05</w:t>
            </w:r>
          </w:p>
        </w:tc>
      </w:tr>
      <w:tr w:rsidR="00130AB3" w:rsidRPr="00D63217" w14:paraId="739AECEC" w14:textId="77777777" w:rsidTr="006754A6">
        <w:trPr>
          <w:cantSplit/>
        </w:trPr>
        <w:tc>
          <w:tcPr>
            <w:tcW w:w="944" w:type="pct"/>
            <w:noWrap/>
            <w:hideMark/>
          </w:tcPr>
          <w:p w14:paraId="024773ED" w14:textId="77777777" w:rsidR="00130AB3" w:rsidRPr="00D63217" w:rsidRDefault="00130AB3" w:rsidP="00746296">
            <w:pPr>
              <w:pStyle w:val="TableText"/>
            </w:pPr>
            <w:r w:rsidRPr="00D63217">
              <w:t>TN 0085</w:t>
            </w:r>
          </w:p>
        </w:tc>
        <w:tc>
          <w:tcPr>
            <w:tcW w:w="2557" w:type="pct"/>
            <w:noWrap/>
            <w:hideMark/>
          </w:tcPr>
          <w:p w14:paraId="0A36F43D" w14:textId="77777777" w:rsidR="00130AB3" w:rsidRPr="00D63217" w:rsidRDefault="00130AB3" w:rsidP="00746296">
            <w:pPr>
              <w:pStyle w:val="TableText"/>
            </w:pPr>
            <w:r w:rsidRPr="00D63217">
              <w:t>Tree nuts</w:t>
            </w:r>
          </w:p>
        </w:tc>
        <w:tc>
          <w:tcPr>
            <w:tcW w:w="707" w:type="pct"/>
            <w:noWrap/>
            <w:hideMark/>
          </w:tcPr>
          <w:p w14:paraId="794470EC" w14:textId="77777777" w:rsidR="00130AB3" w:rsidRPr="00D63217" w:rsidRDefault="00130AB3" w:rsidP="006754A6">
            <w:pPr>
              <w:pStyle w:val="TableText"/>
              <w:jc w:val="right"/>
            </w:pPr>
            <w:r w:rsidRPr="00D63217">
              <w:t>*0.05</w:t>
            </w:r>
          </w:p>
        </w:tc>
        <w:tc>
          <w:tcPr>
            <w:tcW w:w="792" w:type="pct"/>
          </w:tcPr>
          <w:p w14:paraId="51ACF760" w14:textId="6348FFD9" w:rsidR="00130AB3" w:rsidRPr="00D63217" w:rsidRDefault="00130AB3" w:rsidP="006754A6">
            <w:pPr>
              <w:pStyle w:val="TableText"/>
              <w:jc w:val="right"/>
            </w:pPr>
            <w:r w:rsidRPr="00D63217">
              <w:t>*0.0</w:t>
            </w:r>
            <w:r w:rsidR="00D47AFE">
              <w:t>5</w:t>
            </w:r>
          </w:p>
        </w:tc>
      </w:tr>
      <w:tr w:rsidR="00130AB3" w:rsidRPr="00D63217" w14:paraId="5432AB4D" w14:textId="77777777" w:rsidTr="006754A6">
        <w:trPr>
          <w:cantSplit/>
        </w:trPr>
        <w:tc>
          <w:tcPr>
            <w:tcW w:w="944" w:type="pct"/>
            <w:noWrap/>
          </w:tcPr>
          <w:p w14:paraId="19800BC7" w14:textId="77777777" w:rsidR="00130AB3" w:rsidRPr="00D63217" w:rsidRDefault="00130AB3" w:rsidP="00746296">
            <w:pPr>
              <w:pStyle w:val="TableText"/>
            </w:pPr>
          </w:p>
        </w:tc>
        <w:tc>
          <w:tcPr>
            <w:tcW w:w="2557" w:type="pct"/>
            <w:noWrap/>
            <w:hideMark/>
          </w:tcPr>
          <w:p w14:paraId="60509673" w14:textId="11645AB3" w:rsidR="00130AB3" w:rsidRPr="00D63217" w:rsidRDefault="00130AB3" w:rsidP="00746296">
            <w:pPr>
              <w:pStyle w:val="TableText"/>
            </w:pPr>
            <w:r w:rsidRPr="00D63217">
              <w:t xml:space="preserve">Vegetables [except </w:t>
            </w:r>
            <w:r w:rsidR="006754A6" w:rsidRPr="00D63217">
              <w:t>p</w:t>
            </w:r>
            <w:r w:rsidRPr="00D63217">
              <w:t xml:space="preserve">otato; </w:t>
            </w:r>
            <w:r w:rsidR="006754A6" w:rsidRPr="00D63217">
              <w:t>p</w:t>
            </w:r>
            <w:r w:rsidRPr="00D63217">
              <w:t>ulses]</w:t>
            </w:r>
          </w:p>
        </w:tc>
        <w:tc>
          <w:tcPr>
            <w:tcW w:w="707" w:type="pct"/>
            <w:noWrap/>
            <w:hideMark/>
          </w:tcPr>
          <w:p w14:paraId="0EA8ACB8" w14:textId="77777777" w:rsidR="00130AB3" w:rsidRPr="00D63217" w:rsidRDefault="00130AB3" w:rsidP="006754A6">
            <w:pPr>
              <w:pStyle w:val="TableText"/>
              <w:jc w:val="right"/>
            </w:pPr>
            <w:r w:rsidRPr="00D63217">
              <w:t>*0.05</w:t>
            </w:r>
          </w:p>
        </w:tc>
        <w:tc>
          <w:tcPr>
            <w:tcW w:w="792" w:type="pct"/>
          </w:tcPr>
          <w:p w14:paraId="77F6DABE" w14:textId="77777777" w:rsidR="00130AB3" w:rsidRPr="00D63217" w:rsidRDefault="00130AB3" w:rsidP="006754A6">
            <w:pPr>
              <w:pStyle w:val="TableText"/>
              <w:jc w:val="right"/>
            </w:pPr>
            <w:r w:rsidRPr="00D63217">
              <w:t>Delete</w:t>
            </w:r>
          </w:p>
        </w:tc>
      </w:tr>
      <w:tr w:rsidR="00130AB3" w:rsidRPr="00D63217" w14:paraId="69D5549B" w14:textId="77777777" w:rsidTr="006754A6">
        <w:trPr>
          <w:cantSplit/>
        </w:trPr>
        <w:tc>
          <w:tcPr>
            <w:tcW w:w="944" w:type="pct"/>
            <w:noWrap/>
          </w:tcPr>
          <w:p w14:paraId="36E2819D" w14:textId="77777777" w:rsidR="00130AB3" w:rsidRPr="00D63217" w:rsidRDefault="00130AB3" w:rsidP="00746296">
            <w:pPr>
              <w:pStyle w:val="TableText"/>
            </w:pPr>
            <w:r w:rsidRPr="00D63217">
              <w:t>OR 0172</w:t>
            </w:r>
          </w:p>
        </w:tc>
        <w:tc>
          <w:tcPr>
            <w:tcW w:w="2557" w:type="pct"/>
            <w:noWrap/>
          </w:tcPr>
          <w:p w14:paraId="2A93394E" w14:textId="77777777" w:rsidR="00130AB3" w:rsidRPr="00D63217" w:rsidRDefault="00130AB3" w:rsidP="00746296">
            <w:pPr>
              <w:pStyle w:val="TableText"/>
            </w:pPr>
            <w:r w:rsidRPr="00D63217">
              <w:t>Vegetable oils, edible</w:t>
            </w:r>
          </w:p>
        </w:tc>
        <w:tc>
          <w:tcPr>
            <w:tcW w:w="707" w:type="pct"/>
            <w:noWrap/>
          </w:tcPr>
          <w:p w14:paraId="6D0A33EF" w14:textId="77777777" w:rsidR="00130AB3" w:rsidRPr="00D63217" w:rsidRDefault="00130AB3" w:rsidP="006754A6">
            <w:pPr>
              <w:pStyle w:val="TableText"/>
              <w:jc w:val="right"/>
            </w:pPr>
            <w:r w:rsidRPr="00D63217">
              <w:t>-</w:t>
            </w:r>
          </w:p>
        </w:tc>
        <w:tc>
          <w:tcPr>
            <w:tcW w:w="792" w:type="pct"/>
          </w:tcPr>
          <w:p w14:paraId="3B77466B" w14:textId="77777777" w:rsidR="00130AB3" w:rsidRPr="00D63217" w:rsidRDefault="00130AB3" w:rsidP="006754A6">
            <w:pPr>
              <w:pStyle w:val="TableText"/>
              <w:jc w:val="right"/>
            </w:pPr>
            <w:r w:rsidRPr="00D63217">
              <w:t>*0.05</w:t>
            </w:r>
          </w:p>
        </w:tc>
      </w:tr>
    </w:tbl>
    <w:p w14:paraId="47E849B3" w14:textId="17A4269F" w:rsidR="00130AB3" w:rsidRPr="00C52B84" w:rsidRDefault="001F7978" w:rsidP="00C52B84">
      <w:pPr>
        <w:pStyle w:val="Caption"/>
      </w:pPr>
      <w:bookmarkStart w:id="404" w:name="_Toc230692288"/>
      <w:bookmarkStart w:id="405" w:name="_Toc233036509"/>
      <w:bookmarkStart w:id="406" w:name="_Hlk158367258"/>
      <w:bookmarkEnd w:id="402"/>
      <w:r w:rsidRPr="00C52B84">
        <w:t>T</w:t>
      </w:r>
      <w:bookmarkStart w:id="407" w:name="_Hlk163487961"/>
      <w:r w:rsidRPr="00C52B84">
        <w:t xml:space="preserve">able </w:t>
      </w:r>
      <w:fldSimple w:instr=" SEQ Table \* ARABIC ">
        <w:r w:rsidR="00C52B84">
          <w:rPr>
            <w:noProof/>
          </w:rPr>
          <w:t>22</w:t>
        </w:r>
      </w:fldSimple>
      <w:r w:rsidRPr="00C52B84">
        <w:t xml:space="preserve">: </w:t>
      </w:r>
      <w:r w:rsidR="00130AB3" w:rsidRPr="00C52B84">
        <w:t>Amendments to Table 4 of the MRL Standard</w:t>
      </w:r>
      <w:bookmarkEnd w:id="404"/>
      <w:bookmarkEnd w:id="4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4651"/>
        <w:gridCol w:w="1507"/>
        <w:gridCol w:w="1525"/>
      </w:tblGrid>
      <w:tr w:rsidR="00130AB3" w:rsidRPr="00D63217" w14:paraId="0570C460" w14:textId="77777777" w:rsidTr="006754A6">
        <w:trPr>
          <w:cantSplit/>
        </w:trPr>
        <w:tc>
          <w:tcPr>
            <w:tcW w:w="1014" w:type="pct"/>
            <w:tcBorders>
              <w:top w:val="single" w:sz="4" w:space="0" w:color="auto"/>
              <w:left w:val="nil"/>
              <w:bottom w:val="single" w:sz="4" w:space="0" w:color="auto"/>
              <w:right w:val="nil"/>
            </w:tcBorders>
            <w:shd w:val="clear" w:color="auto" w:fill="5C2946"/>
          </w:tcPr>
          <w:p w14:paraId="35602C79" w14:textId="77777777" w:rsidR="00130AB3" w:rsidRPr="00D63217" w:rsidRDefault="00130AB3" w:rsidP="006625F7">
            <w:pPr>
              <w:pStyle w:val="TableHead"/>
            </w:pPr>
            <w:r w:rsidRPr="00D63217">
              <w:t>Code</w:t>
            </w:r>
          </w:p>
        </w:tc>
        <w:tc>
          <w:tcPr>
            <w:tcW w:w="2413" w:type="pct"/>
            <w:tcBorders>
              <w:top w:val="single" w:sz="4" w:space="0" w:color="auto"/>
              <w:left w:val="nil"/>
              <w:bottom w:val="single" w:sz="4" w:space="0" w:color="auto"/>
              <w:right w:val="nil"/>
            </w:tcBorders>
            <w:shd w:val="clear" w:color="auto" w:fill="5C2946"/>
          </w:tcPr>
          <w:p w14:paraId="4596ECA2" w14:textId="77777777" w:rsidR="00130AB3" w:rsidRPr="00D63217" w:rsidRDefault="00130AB3" w:rsidP="006625F7">
            <w:pPr>
              <w:pStyle w:val="TableHead"/>
            </w:pPr>
            <w:r w:rsidRPr="00D63217">
              <w:t>Animal feed commodity</w:t>
            </w:r>
          </w:p>
        </w:tc>
        <w:tc>
          <w:tcPr>
            <w:tcW w:w="782" w:type="pct"/>
            <w:tcBorders>
              <w:top w:val="single" w:sz="4" w:space="0" w:color="auto"/>
              <w:left w:val="nil"/>
              <w:bottom w:val="single" w:sz="4" w:space="0" w:color="auto"/>
              <w:right w:val="nil"/>
            </w:tcBorders>
            <w:shd w:val="clear" w:color="auto" w:fill="5C2946"/>
          </w:tcPr>
          <w:p w14:paraId="4A00D20D" w14:textId="77777777" w:rsidR="00130AB3" w:rsidRPr="00D63217" w:rsidRDefault="00130AB3" w:rsidP="006625F7">
            <w:pPr>
              <w:pStyle w:val="TableHead"/>
              <w:jc w:val="right"/>
            </w:pPr>
            <w:r w:rsidRPr="00D63217">
              <w:t>Current MRL</w:t>
            </w:r>
          </w:p>
        </w:tc>
        <w:tc>
          <w:tcPr>
            <w:tcW w:w="792" w:type="pct"/>
            <w:tcBorders>
              <w:top w:val="single" w:sz="4" w:space="0" w:color="auto"/>
              <w:left w:val="nil"/>
              <w:bottom w:val="single" w:sz="4" w:space="0" w:color="auto"/>
              <w:right w:val="nil"/>
            </w:tcBorders>
            <w:shd w:val="clear" w:color="auto" w:fill="5C2946"/>
          </w:tcPr>
          <w:p w14:paraId="1C871657" w14:textId="77777777" w:rsidR="00130AB3" w:rsidRPr="00D63217" w:rsidRDefault="00130AB3" w:rsidP="006625F7">
            <w:pPr>
              <w:pStyle w:val="TableHead"/>
              <w:jc w:val="right"/>
            </w:pPr>
            <w:r w:rsidRPr="00D63217">
              <w:t>Recommended MRL</w:t>
            </w:r>
          </w:p>
        </w:tc>
      </w:tr>
      <w:tr w:rsidR="00130AB3" w:rsidRPr="00D63217" w14:paraId="3EEAFBD8" w14:textId="77777777" w:rsidTr="006754A6">
        <w:trPr>
          <w:cantSplit/>
        </w:trPr>
        <w:tc>
          <w:tcPr>
            <w:tcW w:w="1014" w:type="pct"/>
            <w:tcBorders>
              <w:top w:val="single" w:sz="4" w:space="0" w:color="auto"/>
              <w:left w:val="nil"/>
              <w:bottom w:val="nil"/>
              <w:right w:val="nil"/>
            </w:tcBorders>
          </w:tcPr>
          <w:p w14:paraId="522A5643" w14:textId="77777777" w:rsidR="00130AB3" w:rsidRPr="00D63217" w:rsidRDefault="00130AB3" w:rsidP="006625F7">
            <w:pPr>
              <w:pStyle w:val="TableText"/>
              <w:keepNext/>
              <w:rPr>
                <w:lang w:val="en-US"/>
              </w:rPr>
            </w:pPr>
          </w:p>
        </w:tc>
        <w:tc>
          <w:tcPr>
            <w:tcW w:w="2413" w:type="pct"/>
            <w:tcBorders>
              <w:top w:val="single" w:sz="4" w:space="0" w:color="auto"/>
              <w:left w:val="nil"/>
              <w:bottom w:val="nil"/>
              <w:right w:val="nil"/>
            </w:tcBorders>
            <w:hideMark/>
          </w:tcPr>
          <w:p w14:paraId="3D3C3BCE" w14:textId="77777777" w:rsidR="00130AB3" w:rsidRPr="00D63217" w:rsidRDefault="00130AB3" w:rsidP="006625F7">
            <w:pPr>
              <w:pStyle w:val="TableText"/>
              <w:keepNext/>
              <w:rPr>
                <w:lang w:val="en-US"/>
              </w:rPr>
            </w:pPr>
            <w:r w:rsidRPr="00D63217">
              <w:rPr>
                <w:lang w:val="en-US"/>
              </w:rPr>
              <w:t>Primary feed commodities</w:t>
            </w:r>
          </w:p>
        </w:tc>
        <w:tc>
          <w:tcPr>
            <w:tcW w:w="782" w:type="pct"/>
            <w:tcBorders>
              <w:top w:val="single" w:sz="4" w:space="0" w:color="auto"/>
              <w:left w:val="nil"/>
              <w:bottom w:val="nil"/>
              <w:right w:val="nil"/>
            </w:tcBorders>
            <w:hideMark/>
          </w:tcPr>
          <w:p w14:paraId="4ACF2427" w14:textId="77777777" w:rsidR="00130AB3" w:rsidRPr="00D63217" w:rsidRDefault="00130AB3" w:rsidP="006625F7">
            <w:pPr>
              <w:pStyle w:val="TableText"/>
              <w:keepNext/>
              <w:jc w:val="right"/>
            </w:pPr>
            <w:r w:rsidRPr="00D63217">
              <w:t>500</w:t>
            </w:r>
          </w:p>
        </w:tc>
        <w:tc>
          <w:tcPr>
            <w:tcW w:w="792" w:type="pct"/>
            <w:tcBorders>
              <w:top w:val="single" w:sz="4" w:space="0" w:color="auto"/>
              <w:left w:val="nil"/>
              <w:bottom w:val="nil"/>
              <w:right w:val="nil"/>
            </w:tcBorders>
          </w:tcPr>
          <w:p w14:paraId="07AACF9A" w14:textId="77777777" w:rsidR="00130AB3" w:rsidRPr="00D63217" w:rsidRDefault="00130AB3" w:rsidP="006625F7">
            <w:pPr>
              <w:pStyle w:val="TableText"/>
              <w:keepNext/>
              <w:jc w:val="right"/>
            </w:pPr>
            <w:r w:rsidRPr="00D63217">
              <w:t>500</w:t>
            </w:r>
          </w:p>
        </w:tc>
      </w:tr>
      <w:tr w:rsidR="00130AB3" w:rsidRPr="00D63217" w14:paraId="2DCC1236" w14:textId="77777777" w:rsidTr="006754A6">
        <w:trPr>
          <w:cantSplit/>
        </w:trPr>
        <w:tc>
          <w:tcPr>
            <w:tcW w:w="1014" w:type="pct"/>
            <w:tcBorders>
              <w:top w:val="nil"/>
              <w:left w:val="nil"/>
              <w:bottom w:val="single" w:sz="4" w:space="0" w:color="auto"/>
              <w:right w:val="nil"/>
            </w:tcBorders>
          </w:tcPr>
          <w:p w14:paraId="57CC7073" w14:textId="77777777" w:rsidR="00130AB3" w:rsidRPr="00D63217" w:rsidRDefault="00130AB3" w:rsidP="00746296">
            <w:pPr>
              <w:pStyle w:val="TableText"/>
              <w:rPr>
                <w:bCs/>
                <w:lang w:val="en-US"/>
              </w:rPr>
            </w:pPr>
          </w:p>
        </w:tc>
        <w:tc>
          <w:tcPr>
            <w:tcW w:w="2413" w:type="pct"/>
            <w:tcBorders>
              <w:top w:val="nil"/>
              <w:left w:val="nil"/>
              <w:bottom w:val="single" w:sz="4" w:space="0" w:color="auto"/>
              <w:right w:val="nil"/>
            </w:tcBorders>
          </w:tcPr>
          <w:p w14:paraId="5902C398" w14:textId="77777777" w:rsidR="00130AB3" w:rsidRPr="00D63217" w:rsidRDefault="00130AB3" w:rsidP="00746296">
            <w:pPr>
              <w:pStyle w:val="TableText"/>
            </w:pPr>
            <w:r w:rsidRPr="00D63217">
              <w:t>Almond hulls</w:t>
            </w:r>
          </w:p>
        </w:tc>
        <w:tc>
          <w:tcPr>
            <w:tcW w:w="782" w:type="pct"/>
            <w:tcBorders>
              <w:top w:val="nil"/>
              <w:left w:val="nil"/>
              <w:bottom w:val="single" w:sz="4" w:space="0" w:color="auto"/>
              <w:right w:val="nil"/>
            </w:tcBorders>
          </w:tcPr>
          <w:p w14:paraId="5A167390" w14:textId="77777777" w:rsidR="00130AB3" w:rsidRPr="00D63217" w:rsidRDefault="00130AB3" w:rsidP="006754A6">
            <w:pPr>
              <w:pStyle w:val="TableText"/>
              <w:jc w:val="right"/>
            </w:pPr>
            <w:r w:rsidRPr="00D63217">
              <w:t>-</w:t>
            </w:r>
          </w:p>
        </w:tc>
        <w:tc>
          <w:tcPr>
            <w:tcW w:w="792" w:type="pct"/>
            <w:tcBorders>
              <w:top w:val="nil"/>
              <w:left w:val="nil"/>
              <w:bottom w:val="single" w:sz="4" w:space="0" w:color="auto"/>
              <w:right w:val="nil"/>
            </w:tcBorders>
          </w:tcPr>
          <w:p w14:paraId="2A5C30E2" w14:textId="77777777" w:rsidR="00130AB3" w:rsidRPr="00D63217" w:rsidRDefault="00130AB3" w:rsidP="006754A6">
            <w:pPr>
              <w:pStyle w:val="TableText"/>
              <w:jc w:val="right"/>
            </w:pPr>
            <w:r w:rsidRPr="00D63217">
              <w:t>0.2</w:t>
            </w:r>
          </w:p>
        </w:tc>
      </w:tr>
    </w:tbl>
    <w:p w14:paraId="347EE872" w14:textId="3A569363" w:rsidR="00130AB3" w:rsidRPr="00C52B84" w:rsidRDefault="00D87B4A" w:rsidP="00C52B84">
      <w:pPr>
        <w:pStyle w:val="Heading2"/>
      </w:pPr>
      <w:bookmarkStart w:id="408" w:name="_Toc157628267"/>
      <w:bookmarkEnd w:id="406"/>
      <w:bookmarkEnd w:id="407"/>
      <w:r w:rsidRPr="00C52B84">
        <w:lastRenderedPageBreak/>
        <w:t xml:space="preserve"> </w:t>
      </w:r>
      <w:bookmarkStart w:id="409" w:name="_Toc231480896"/>
      <w:bookmarkStart w:id="410" w:name="_Toc233036448"/>
      <w:r w:rsidR="00130AB3" w:rsidRPr="00C52B84">
        <w:t xml:space="preserve">Consideration of </w:t>
      </w:r>
      <w:r w:rsidRPr="00C52B84">
        <w:t>combined risk assessment</w:t>
      </w:r>
      <w:r w:rsidR="00130AB3" w:rsidRPr="00C52B84">
        <w:t xml:space="preserve"> outcomes for paraquat</w:t>
      </w:r>
      <w:bookmarkEnd w:id="408"/>
      <w:bookmarkEnd w:id="409"/>
      <w:bookmarkEnd w:id="410"/>
    </w:p>
    <w:p w14:paraId="55BD9912" w14:textId="2DC0C306" w:rsidR="00C37569" w:rsidRPr="00D63217" w:rsidRDefault="00C37569" w:rsidP="00C37569">
      <w:pPr>
        <w:pStyle w:val="NormalText"/>
      </w:pPr>
      <w:bookmarkStart w:id="411" w:name="_Hlk158367408"/>
      <w:r w:rsidRPr="00D63217">
        <w:t xml:space="preserve">The APMVA’s risk assessments for environmental exposure to </w:t>
      </w:r>
      <w:r w:rsidR="003F6C14" w:rsidRPr="00D63217">
        <w:t xml:space="preserve">paraquat </w:t>
      </w:r>
      <w:r w:rsidRPr="00D63217">
        <w:t xml:space="preserve">based on currently approved uses indicate that many of </w:t>
      </w:r>
      <w:r w:rsidR="00121387">
        <w:t>the uses supported by the residues and trade assessment</w:t>
      </w:r>
      <w:r w:rsidRPr="00D63217">
        <w:t xml:space="preserve"> will not continue to be supported</w:t>
      </w:r>
      <w:r w:rsidR="00DB6E6C">
        <w:t xml:space="preserve"> (see Appendix A)</w:t>
      </w:r>
      <w:r w:rsidRPr="00D63217">
        <w:t xml:space="preserve">. The uses that are supported </w:t>
      </w:r>
      <w:r w:rsidR="00DA0C94">
        <w:t xml:space="preserve">by the combined APVMA risk assessment </w:t>
      </w:r>
      <w:r w:rsidRPr="00D63217">
        <w:t xml:space="preserve">are presented in </w:t>
      </w:r>
      <w:r w:rsidRPr="00D63217">
        <w:fldChar w:fldCharType="begin"/>
      </w:r>
      <w:r w:rsidRPr="00D63217">
        <w:instrText xml:space="preserve"> REF _Ref166758698 \h </w:instrText>
      </w:r>
      <w:r w:rsidR="00D63217">
        <w:instrText xml:space="preserve"> \* MERGEFORMAT </w:instrText>
      </w:r>
      <w:r w:rsidRPr="00D63217">
        <w:fldChar w:fldCharType="separate"/>
      </w:r>
      <w:r w:rsidR="008A397D" w:rsidRPr="00D63217">
        <w:t xml:space="preserve">Table </w:t>
      </w:r>
      <w:r w:rsidR="008A397D">
        <w:rPr>
          <w:noProof/>
        </w:rPr>
        <w:t>23</w:t>
      </w:r>
      <w:r w:rsidRPr="00D63217">
        <w:fldChar w:fldCharType="end"/>
      </w:r>
      <w:r w:rsidR="003F08EA" w:rsidRPr="00D63217">
        <w:t xml:space="preserve"> and </w:t>
      </w:r>
      <w:r w:rsidR="003F08EA" w:rsidRPr="00D63217">
        <w:fldChar w:fldCharType="begin"/>
      </w:r>
      <w:r w:rsidR="003F08EA" w:rsidRPr="00D63217">
        <w:instrText xml:space="preserve"> REF _Ref167287615 \h </w:instrText>
      </w:r>
      <w:r w:rsidR="00D63217">
        <w:instrText xml:space="preserve"> \* MERGEFORMAT </w:instrText>
      </w:r>
      <w:r w:rsidR="003F08EA" w:rsidRPr="00D63217">
        <w:fldChar w:fldCharType="separate"/>
      </w:r>
      <w:r w:rsidR="008A397D" w:rsidRPr="00D63217">
        <w:t xml:space="preserve">Table </w:t>
      </w:r>
      <w:r w:rsidR="008A397D">
        <w:rPr>
          <w:noProof/>
        </w:rPr>
        <w:t>24</w:t>
      </w:r>
      <w:r w:rsidR="003F08EA" w:rsidRPr="00D63217">
        <w:fldChar w:fldCharType="end"/>
      </w:r>
      <w:r w:rsidR="003F08EA" w:rsidRPr="00D63217">
        <w:t xml:space="preserve"> </w:t>
      </w:r>
      <w:r w:rsidRPr="00D63217">
        <w:t>below. These uses are within the application rate range indicated on currently approved labels.</w:t>
      </w:r>
    </w:p>
    <w:p w14:paraId="65A61C0E" w14:textId="62E9AC49" w:rsidR="00C37569" w:rsidRPr="00C52B84" w:rsidRDefault="00C37569" w:rsidP="00C52B84">
      <w:pPr>
        <w:pStyle w:val="Caption"/>
      </w:pPr>
      <w:bookmarkStart w:id="412" w:name="_Ref166758698"/>
      <w:bookmarkStart w:id="413" w:name="_Toc230692289"/>
      <w:bookmarkStart w:id="414" w:name="_Toc233036510"/>
      <w:r w:rsidRPr="00C52B84">
        <w:t xml:space="preserve">Table </w:t>
      </w:r>
      <w:fldSimple w:instr=" SEQ Table \* ARABIC ">
        <w:r w:rsidR="00C52B84">
          <w:rPr>
            <w:noProof/>
          </w:rPr>
          <w:t>23</w:t>
        </w:r>
      </w:fldSimple>
      <w:bookmarkEnd w:id="412"/>
      <w:r w:rsidRPr="00C52B84">
        <w:t xml:space="preserve">: Paraquat </w:t>
      </w:r>
      <w:r w:rsidR="0087305E" w:rsidRPr="00C52B84">
        <w:t xml:space="preserve">(including paraquat plus amitrole) </w:t>
      </w:r>
      <w:r w:rsidRPr="00C52B84">
        <w:t>uses supported by human health, environment, and residues and trade risk assessments</w:t>
      </w:r>
      <w:bookmarkEnd w:id="413"/>
      <w:bookmarkEnd w:id="414"/>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07"/>
        <w:gridCol w:w="2678"/>
        <w:gridCol w:w="1200"/>
        <w:gridCol w:w="3633"/>
      </w:tblGrid>
      <w:tr w:rsidR="00C37569" w:rsidRPr="00D63217" w14:paraId="353DA074" w14:textId="77777777" w:rsidTr="002C68CD">
        <w:trPr>
          <w:tblHeader/>
        </w:trPr>
        <w:tc>
          <w:tcPr>
            <w:tcW w:w="2107" w:type="dxa"/>
            <w:tcBorders>
              <w:top w:val="single" w:sz="8" w:space="0" w:color="A3A3A3"/>
              <w:left w:val="single" w:sz="8" w:space="0" w:color="A3A3A3"/>
              <w:bottom w:val="single" w:sz="8" w:space="0" w:color="A3A3A3"/>
              <w:right w:val="single" w:sz="8" w:space="0" w:color="A3A3A3"/>
            </w:tcBorders>
            <w:shd w:val="clear" w:color="auto" w:fill="5C2946"/>
            <w:tcMar>
              <w:top w:w="80" w:type="dxa"/>
              <w:left w:w="80" w:type="dxa"/>
              <w:bottom w:w="80" w:type="dxa"/>
              <w:right w:w="80" w:type="dxa"/>
            </w:tcMar>
            <w:vAlign w:val="center"/>
          </w:tcPr>
          <w:p w14:paraId="308F4118" w14:textId="3C528EDF" w:rsidR="00C37569" w:rsidRPr="00D63217" w:rsidRDefault="00C37569" w:rsidP="008A20A1">
            <w:pPr>
              <w:pStyle w:val="TableHead"/>
            </w:pPr>
            <w:r w:rsidRPr="00D63217">
              <w:t>Crop Use or Situation</w:t>
            </w:r>
          </w:p>
        </w:tc>
        <w:tc>
          <w:tcPr>
            <w:tcW w:w="2678" w:type="dxa"/>
            <w:tcBorders>
              <w:top w:val="single" w:sz="8" w:space="0" w:color="A3A3A3"/>
              <w:left w:val="single" w:sz="8" w:space="0" w:color="A3A3A3"/>
              <w:bottom w:val="single" w:sz="8" w:space="0" w:color="A3A3A3"/>
              <w:right w:val="single" w:sz="8" w:space="0" w:color="A3A3A3"/>
            </w:tcBorders>
            <w:shd w:val="clear" w:color="auto" w:fill="5C2946"/>
            <w:tcMar>
              <w:top w:w="80" w:type="dxa"/>
              <w:left w:w="80" w:type="dxa"/>
              <w:bottom w:w="80" w:type="dxa"/>
              <w:right w:w="80" w:type="dxa"/>
            </w:tcMar>
            <w:vAlign w:val="center"/>
          </w:tcPr>
          <w:p w14:paraId="02C100CD" w14:textId="58FA9F38" w:rsidR="00C37569" w:rsidRPr="00D63217" w:rsidRDefault="00C37569" w:rsidP="008A20A1">
            <w:pPr>
              <w:pStyle w:val="TableHead"/>
            </w:pPr>
            <w:r w:rsidRPr="00D63217">
              <w:t>Weeds controlled / Use</w:t>
            </w:r>
          </w:p>
        </w:tc>
        <w:tc>
          <w:tcPr>
            <w:tcW w:w="1200" w:type="dxa"/>
            <w:tcBorders>
              <w:top w:val="single" w:sz="8" w:space="0" w:color="A3A3A3"/>
              <w:left w:val="single" w:sz="8" w:space="0" w:color="A3A3A3"/>
              <w:bottom w:val="single" w:sz="8" w:space="0" w:color="A3A3A3"/>
              <w:right w:val="single" w:sz="8" w:space="0" w:color="A3A3A3"/>
            </w:tcBorders>
            <w:shd w:val="clear" w:color="auto" w:fill="5C2946"/>
            <w:tcMar>
              <w:top w:w="80" w:type="dxa"/>
              <w:left w:w="80" w:type="dxa"/>
              <w:bottom w:w="80" w:type="dxa"/>
              <w:right w:w="80" w:type="dxa"/>
            </w:tcMar>
            <w:vAlign w:val="center"/>
          </w:tcPr>
          <w:p w14:paraId="41486C19" w14:textId="04B389BD" w:rsidR="00C37569" w:rsidRPr="00D63217" w:rsidRDefault="00C37569" w:rsidP="008A20A1">
            <w:pPr>
              <w:pStyle w:val="TableHead"/>
            </w:pPr>
            <w:r w:rsidRPr="00D63217">
              <w:t>Application Method</w:t>
            </w:r>
          </w:p>
        </w:tc>
        <w:tc>
          <w:tcPr>
            <w:tcW w:w="3633" w:type="dxa"/>
            <w:tcBorders>
              <w:top w:val="single" w:sz="8" w:space="0" w:color="A3A3A3"/>
              <w:left w:val="single" w:sz="8" w:space="0" w:color="A3A3A3"/>
              <w:bottom w:val="single" w:sz="8" w:space="0" w:color="A3A3A3"/>
              <w:right w:val="single" w:sz="8" w:space="0" w:color="A3A3A3"/>
            </w:tcBorders>
            <w:shd w:val="clear" w:color="auto" w:fill="5C2946"/>
            <w:tcMar>
              <w:top w:w="80" w:type="dxa"/>
              <w:left w:w="80" w:type="dxa"/>
              <w:bottom w:w="80" w:type="dxa"/>
              <w:right w:w="80" w:type="dxa"/>
            </w:tcMar>
            <w:vAlign w:val="center"/>
          </w:tcPr>
          <w:p w14:paraId="1267DAB2" w14:textId="77777777" w:rsidR="00C37569" w:rsidRPr="00D63217" w:rsidRDefault="00C37569" w:rsidP="008A20A1">
            <w:pPr>
              <w:pStyle w:val="TableHead"/>
            </w:pPr>
            <w:r w:rsidRPr="00D63217">
              <w:t>Assessment outcome</w:t>
            </w:r>
          </w:p>
        </w:tc>
      </w:tr>
      <w:tr w:rsidR="00ED49C0" w:rsidRPr="00D63217" w14:paraId="002737BB" w14:textId="77777777" w:rsidTr="002C68CD">
        <w:trPr>
          <w:trHeight w:val="1002"/>
        </w:trPr>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74E1F" w14:textId="77777777" w:rsidR="00ED49C0" w:rsidRPr="00D63217" w:rsidRDefault="00ED49C0" w:rsidP="00ED49C0">
            <w:pPr>
              <w:pStyle w:val="TableText"/>
              <w:spacing w:before="0" w:after="0"/>
            </w:pPr>
            <w:r w:rsidRPr="00D63217">
              <w:t>Aid to cultivation; crop, pasture or fallow establishment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ECB88D" w14:textId="4F3DC646" w:rsidR="00ED49C0" w:rsidRPr="00D63217" w:rsidRDefault="00ED49C0" w:rsidP="00ED49C0">
            <w:pPr>
              <w:pStyle w:val="TableText"/>
              <w:spacing w:before="0" w:after="0"/>
            </w:pPr>
            <w:r w:rsidRPr="00D63217">
              <w:t>Wild oats at 2</w:t>
            </w:r>
            <w:r w:rsidR="006754A6" w:rsidRPr="00D63217">
              <w:t>–</w:t>
            </w:r>
            <w:r w:rsidRPr="00D63217">
              <w:t>5 leaf stage (autumn/winter) low rate</w:t>
            </w:r>
          </w:p>
        </w:tc>
        <w:tc>
          <w:tcPr>
            <w:tcW w:w="1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0E963" w14:textId="77777777" w:rsidR="00ED49C0" w:rsidRPr="00D63217" w:rsidRDefault="00ED49C0" w:rsidP="00ED49C0">
            <w:pPr>
              <w:pStyle w:val="TableText"/>
              <w:spacing w:before="0" w:after="0"/>
            </w:pPr>
            <w:r w:rsidRPr="00D63217">
              <w:t>Boomspray</w:t>
            </w:r>
          </w:p>
        </w:tc>
        <w:tc>
          <w:tcPr>
            <w:tcW w:w="3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B67804" w14:textId="3D97208D" w:rsidR="00ED49C0" w:rsidRPr="00D63217" w:rsidRDefault="00ED49C0" w:rsidP="00ED49C0">
            <w:pPr>
              <w:pStyle w:val="TableText"/>
              <w:spacing w:before="0" w:after="0"/>
            </w:pPr>
            <w:r w:rsidRPr="00D63217">
              <w:t xml:space="preserve">Supported up to 231 g ac/ha </w:t>
            </w:r>
          </w:p>
        </w:tc>
      </w:tr>
      <w:tr w:rsidR="002C68CD" w:rsidRPr="00D63217" w14:paraId="36664293" w14:textId="77777777" w:rsidTr="00C256E7">
        <w:tc>
          <w:tcPr>
            <w:tcW w:w="2107" w:type="dxa"/>
            <w:tcBorders>
              <w:top w:val="single" w:sz="8" w:space="0" w:color="A3A3A3"/>
              <w:left w:val="single" w:sz="8" w:space="0" w:color="A3A3A3"/>
              <w:right w:val="single" w:sz="8" w:space="0" w:color="A3A3A3"/>
            </w:tcBorders>
            <w:tcMar>
              <w:top w:w="80" w:type="dxa"/>
              <w:left w:w="80" w:type="dxa"/>
              <w:bottom w:w="80" w:type="dxa"/>
              <w:right w:w="80" w:type="dxa"/>
            </w:tcMar>
          </w:tcPr>
          <w:p w14:paraId="1AF09F0B" w14:textId="2153A21D" w:rsidR="002C68CD" w:rsidRPr="00D63217" w:rsidRDefault="002C68CD" w:rsidP="002C68CD">
            <w:pPr>
              <w:pStyle w:val="TableText"/>
              <w:spacing w:before="0" w:after="0"/>
            </w:pPr>
            <w:r w:rsidRPr="002C68CD">
              <w:t>Fallows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121CB3" w14:textId="2ADFD983" w:rsidR="002C68CD" w:rsidRPr="00D63217" w:rsidRDefault="002C68CD" w:rsidP="002C68CD">
            <w:pPr>
              <w:pStyle w:val="TableText"/>
              <w:spacing w:before="0" w:after="0"/>
            </w:pPr>
            <w:r>
              <w:t>B</w:t>
            </w:r>
            <w:r w:rsidRPr="002C68CD">
              <w:t>arnyard grass, bladder ketmia, yellow vine (caltrop)</w:t>
            </w:r>
          </w:p>
        </w:tc>
        <w:tc>
          <w:tcPr>
            <w:tcW w:w="1200" w:type="dxa"/>
            <w:tcBorders>
              <w:top w:val="single" w:sz="8" w:space="0" w:color="A3A3A3"/>
              <w:left w:val="single" w:sz="8" w:space="0" w:color="A3A3A3"/>
              <w:right w:val="single" w:sz="8" w:space="0" w:color="A3A3A3"/>
            </w:tcBorders>
            <w:tcMar>
              <w:top w:w="80" w:type="dxa"/>
              <w:left w:w="80" w:type="dxa"/>
              <w:bottom w:w="80" w:type="dxa"/>
              <w:right w:w="80" w:type="dxa"/>
            </w:tcMar>
          </w:tcPr>
          <w:p w14:paraId="7DE3BF3D" w14:textId="0BBD2912" w:rsidR="002C68CD" w:rsidRPr="00D63217" w:rsidRDefault="002C68CD" w:rsidP="002C68CD">
            <w:pPr>
              <w:pStyle w:val="TableText"/>
              <w:spacing w:before="0" w:after="0"/>
            </w:pPr>
            <w:r w:rsidRPr="002C68CD">
              <w:t>Optical spot spray technologies</w:t>
            </w:r>
          </w:p>
        </w:tc>
        <w:tc>
          <w:tcPr>
            <w:tcW w:w="3633" w:type="dxa"/>
            <w:tcBorders>
              <w:top w:val="single" w:sz="8" w:space="0" w:color="A3A3A3"/>
              <w:left w:val="single" w:sz="8" w:space="0" w:color="A3A3A3"/>
              <w:right w:val="single" w:sz="8" w:space="0" w:color="A3A3A3"/>
            </w:tcBorders>
            <w:tcMar>
              <w:top w:w="80" w:type="dxa"/>
              <w:left w:w="80" w:type="dxa"/>
              <w:bottom w:w="80" w:type="dxa"/>
              <w:right w:w="80" w:type="dxa"/>
            </w:tcMar>
          </w:tcPr>
          <w:p w14:paraId="252C7A8D" w14:textId="7E233296" w:rsidR="002C68CD" w:rsidRPr="00D63217" w:rsidRDefault="002C68CD" w:rsidP="00C52B84">
            <w:pPr>
              <w:pStyle w:val="TableText"/>
              <w:spacing w:before="0" w:after="0"/>
            </w:pPr>
            <w:r w:rsidRPr="002C68CD">
              <w:t>Up to 770 g ac/ha (231 g ac/ha based on 30% area treated)</w:t>
            </w:r>
          </w:p>
        </w:tc>
      </w:tr>
      <w:tr w:rsidR="00C256E7" w:rsidRPr="00D63217" w14:paraId="78F50FAD" w14:textId="77777777" w:rsidTr="00C256E7">
        <w:tc>
          <w:tcPr>
            <w:tcW w:w="2107" w:type="dxa"/>
            <w:vMerge w:val="restart"/>
            <w:tcBorders>
              <w:top w:val="single" w:sz="8" w:space="0" w:color="A3A3A3"/>
              <w:left w:val="single" w:sz="8" w:space="0" w:color="A3A3A3"/>
              <w:right w:val="single" w:sz="8" w:space="0" w:color="A3A3A3"/>
            </w:tcBorders>
            <w:tcMar>
              <w:top w:w="80" w:type="dxa"/>
              <w:left w:w="80" w:type="dxa"/>
              <w:bottom w:w="80" w:type="dxa"/>
              <w:right w:w="80" w:type="dxa"/>
            </w:tcMar>
          </w:tcPr>
          <w:p w14:paraId="2AD3AD1B" w14:textId="262DDF52" w:rsidR="00C256E7" w:rsidRPr="00D63217" w:rsidRDefault="00C256E7" w:rsidP="00C256E7">
            <w:pPr>
              <w:pStyle w:val="TableText"/>
              <w:spacing w:before="0" w:after="0"/>
            </w:pPr>
            <w:r w:rsidRPr="00C256E7">
              <w:t>Firebreaks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5A49F2E" w14:textId="48DD2128" w:rsidR="00C256E7" w:rsidRPr="00D63217" w:rsidRDefault="00C256E7" w:rsidP="00C256E7">
            <w:pPr>
              <w:pStyle w:val="TableText"/>
              <w:spacing w:before="0" w:after="0"/>
            </w:pPr>
            <w:r w:rsidRPr="00C256E7">
              <w:t>Annual grasses and broadleaf weeds</w:t>
            </w:r>
          </w:p>
        </w:tc>
        <w:tc>
          <w:tcPr>
            <w:tcW w:w="1200" w:type="dxa"/>
            <w:tcBorders>
              <w:top w:val="single" w:sz="8" w:space="0" w:color="A3A3A3"/>
              <w:left w:val="single" w:sz="8" w:space="0" w:color="A3A3A3"/>
              <w:right w:val="single" w:sz="8" w:space="0" w:color="A3A3A3"/>
            </w:tcBorders>
            <w:tcMar>
              <w:top w:w="80" w:type="dxa"/>
              <w:left w:w="80" w:type="dxa"/>
              <w:bottom w:w="80" w:type="dxa"/>
              <w:right w:w="80" w:type="dxa"/>
            </w:tcMar>
          </w:tcPr>
          <w:p w14:paraId="677B6E4B" w14:textId="5EB7990C" w:rsidR="00C256E7" w:rsidRPr="00D63217" w:rsidRDefault="00C256E7" w:rsidP="00C256E7">
            <w:pPr>
              <w:pStyle w:val="TableText"/>
              <w:spacing w:before="0" w:after="0"/>
            </w:pPr>
            <w:r w:rsidRPr="002E671F">
              <w:t>Boomspray</w:t>
            </w:r>
          </w:p>
        </w:tc>
        <w:tc>
          <w:tcPr>
            <w:tcW w:w="3633" w:type="dxa"/>
            <w:vMerge w:val="restart"/>
            <w:tcBorders>
              <w:top w:val="single" w:sz="8" w:space="0" w:color="A3A3A3"/>
              <w:left w:val="single" w:sz="8" w:space="0" w:color="A3A3A3"/>
              <w:right w:val="single" w:sz="8" w:space="0" w:color="A3A3A3"/>
            </w:tcBorders>
            <w:tcMar>
              <w:top w:w="80" w:type="dxa"/>
              <w:left w:w="80" w:type="dxa"/>
              <w:bottom w:w="80" w:type="dxa"/>
              <w:right w:w="80" w:type="dxa"/>
            </w:tcMar>
            <w:vAlign w:val="center"/>
          </w:tcPr>
          <w:p w14:paraId="05431123" w14:textId="620C7486" w:rsidR="00C256E7" w:rsidRPr="00D63217" w:rsidRDefault="00C256E7" w:rsidP="00C256E7">
            <w:pPr>
              <w:pStyle w:val="TableText"/>
              <w:spacing w:before="0" w:after="0"/>
            </w:pPr>
            <w:r w:rsidRPr="00C256E7">
              <w:t xml:space="preserve">Supported at 390-1020 g based on weight of evidence argument </w:t>
            </w:r>
          </w:p>
        </w:tc>
      </w:tr>
      <w:tr w:rsidR="00C256E7" w:rsidRPr="00D63217" w14:paraId="6EAAACA8" w14:textId="77777777" w:rsidTr="00C256E7">
        <w:tc>
          <w:tcPr>
            <w:tcW w:w="2107" w:type="dxa"/>
            <w:vMerge/>
            <w:tcBorders>
              <w:left w:val="single" w:sz="8" w:space="0" w:color="A3A3A3"/>
              <w:right w:val="single" w:sz="8" w:space="0" w:color="A3A3A3"/>
            </w:tcBorders>
            <w:tcMar>
              <w:top w:w="80" w:type="dxa"/>
              <w:left w:w="80" w:type="dxa"/>
              <w:bottom w:w="80" w:type="dxa"/>
              <w:right w:w="80" w:type="dxa"/>
            </w:tcMar>
            <w:vAlign w:val="center"/>
          </w:tcPr>
          <w:p w14:paraId="3B595AF5" w14:textId="77777777" w:rsidR="00C256E7" w:rsidRPr="00D63217" w:rsidRDefault="00C256E7" w:rsidP="00C256E7">
            <w:pPr>
              <w:pStyle w:val="TableText"/>
              <w:spacing w:before="0" w:after="0"/>
            </w:pP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E0343E4" w14:textId="7A9CE5F1" w:rsidR="00C256E7" w:rsidRPr="00D63217" w:rsidRDefault="00C256E7" w:rsidP="00C256E7">
            <w:pPr>
              <w:pStyle w:val="TableText"/>
              <w:spacing w:before="0" w:after="0"/>
            </w:pPr>
            <w:r w:rsidRPr="00C256E7">
              <w:t>Knock down weed growth to eliminate fire hazard or assist firebreak burn.</w:t>
            </w:r>
          </w:p>
        </w:tc>
        <w:tc>
          <w:tcPr>
            <w:tcW w:w="1200" w:type="dxa"/>
            <w:tcBorders>
              <w:top w:val="single" w:sz="8" w:space="0" w:color="A3A3A3"/>
              <w:left w:val="single" w:sz="8" w:space="0" w:color="A3A3A3"/>
              <w:right w:val="single" w:sz="8" w:space="0" w:color="A3A3A3"/>
            </w:tcBorders>
            <w:tcMar>
              <w:top w:w="80" w:type="dxa"/>
              <w:left w:w="80" w:type="dxa"/>
              <w:bottom w:w="80" w:type="dxa"/>
              <w:right w:w="80" w:type="dxa"/>
            </w:tcMar>
          </w:tcPr>
          <w:p w14:paraId="0E506855" w14:textId="44775D71" w:rsidR="00C256E7" w:rsidRPr="00D63217" w:rsidRDefault="00C256E7" w:rsidP="00C256E7">
            <w:pPr>
              <w:pStyle w:val="TableText"/>
              <w:spacing w:before="0" w:after="0"/>
            </w:pPr>
            <w:r w:rsidRPr="002E671F">
              <w:t>Boomspray</w:t>
            </w:r>
          </w:p>
        </w:tc>
        <w:tc>
          <w:tcPr>
            <w:tcW w:w="3633" w:type="dxa"/>
            <w:vMerge/>
            <w:tcBorders>
              <w:left w:val="single" w:sz="8" w:space="0" w:color="A3A3A3"/>
              <w:right w:val="single" w:sz="8" w:space="0" w:color="A3A3A3"/>
            </w:tcBorders>
            <w:tcMar>
              <w:top w:w="80" w:type="dxa"/>
              <w:left w:w="80" w:type="dxa"/>
              <w:bottom w:w="80" w:type="dxa"/>
              <w:right w:w="80" w:type="dxa"/>
            </w:tcMar>
            <w:vAlign w:val="center"/>
          </w:tcPr>
          <w:p w14:paraId="3DBF4AF0" w14:textId="5D454C04" w:rsidR="00C256E7" w:rsidRPr="00D63217" w:rsidRDefault="00C256E7" w:rsidP="00C256E7">
            <w:pPr>
              <w:pStyle w:val="TableText"/>
              <w:spacing w:before="0" w:after="0"/>
            </w:pPr>
          </w:p>
        </w:tc>
      </w:tr>
      <w:tr w:rsidR="00C256E7" w:rsidRPr="00D63217" w14:paraId="4C7DD9D5" w14:textId="77777777" w:rsidTr="00C256E7">
        <w:tc>
          <w:tcPr>
            <w:tcW w:w="2107" w:type="dxa"/>
            <w:tcBorders>
              <w:top w:val="single" w:sz="8" w:space="0" w:color="A3A3A3"/>
              <w:left w:val="single" w:sz="8" w:space="0" w:color="A3A3A3"/>
              <w:right w:val="single" w:sz="8" w:space="0" w:color="A3A3A3"/>
            </w:tcBorders>
            <w:tcMar>
              <w:top w:w="80" w:type="dxa"/>
              <w:left w:w="80" w:type="dxa"/>
              <w:bottom w:w="80" w:type="dxa"/>
              <w:right w:w="80" w:type="dxa"/>
            </w:tcMar>
            <w:vAlign w:val="center"/>
          </w:tcPr>
          <w:p w14:paraId="0920B978" w14:textId="702E3533" w:rsidR="00C256E7" w:rsidRPr="00D63217" w:rsidRDefault="00C256E7" w:rsidP="00C256E7">
            <w:pPr>
              <w:pStyle w:val="TableText"/>
              <w:spacing w:before="0" w:after="0"/>
            </w:pPr>
            <w:r w:rsidRPr="00C256E7">
              <w:t>Non-agricultural situations (around sheds, roadways, paths)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777D5FC" w14:textId="37BBE009" w:rsidR="00C256E7" w:rsidRPr="00D63217" w:rsidRDefault="00C256E7" w:rsidP="00C256E7">
            <w:pPr>
              <w:pStyle w:val="TableText"/>
              <w:spacing w:before="0" w:after="0"/>
            </w:pPr>
            <w:r w:rsidRPr="00C256E7">
              <w:t>Annual grasses and broadleaf weeds, columbus grass</w:t>
            </w:r>
          </w:p>
        </w:tc>
        <w:tc>
          <w:tcPr>
            <w:tcW w:w="1200" w:type="dxa"/>
            <w:tcBorders>
              <w:top w:val="single" w:sz="8" w:space="0" w:color="A3A3A3"/>
              <w:left w:val="single" w:sz="8" w:space="0" w:color="A3A3A3"/>
              <w:right w:val="single" w:sz="8" w:space="0" w:color="A3A3A3"/>
            </w:tcBorders>
            <w:tcMar>
              <w:top w:w="80" w:type="dxa"/>
              <w:left w:w="80" w:type="dxa"/>
              <w:bottom w:w="80" w:type="dxa"/>
              <w:right w:w="80" w:type="dxa"/>
            </w:tcMar>
          </w:tcPr>
          <w:p w14:paraId="5B58F086" w14:textId="23E6B6F4" w:rsidR="00C256E7" w:rsidRPr="00D63217" w:rsidRDefault="00C256E7" w:rsidP="00C256E7">
            <w:pPr>
              <w:pStyle w:val="TableText"/>
              <w:spacing w:before="0" w:after="0"/>
            </w:pPr>
            <w:r w:rsidRPr="002E671F">
              <w:t>Boomspray</w:t>
            </w:r>
          </w:p>
        </w:tc>
        <w:tc>
          <w:tcPr>
            <w:tcW w:w="3633" w:type="dxa"/>
            <w:vMerge/>
            <w:tcBorders>
              <w:left w:val="single" w:sz="8" w:space="0" w:color="A3A3A3"/>
              <w:right w:val="single" w:sz="8" w:space="0" w:color="A3A3A3"/>
            </w:tcBorders>
            <w:tcMar>
              <w:top w:w="80" w:type="dxa"/>
              <w:left w:w="80" w:type="dxa"/>
              <w:bottom w:w="80" w:type="dxa"/>
              <w:right w:w="80" w:type="dxa"/>
            </w:tcMar>
            <w:vAlign w:val="center"/>
          </w:tcPr>
          <w:p w14:paraId="7E10258F" w14:textId="4569DD07" w:rsidR="00C256E7" w:rsidRPr="00D63217" w:rsidRDefault="00C256E7" w:rsidP="00C256E7">
            <w:pPr>
              <w:pStyle w:val="TableText"/>
              <w:spacing w:before="0" w:after="0"/>
            </w:pPr>
          </w:p>
        </w:tc>
      </w:tr>
      <w:tr w:rsidR="00ED49C0" w:rsidRPr="00D63217" w14:paraId="6799FB79" w14:textId="77777777" w:rsidTr="002C68CD">
        <w:tc>
          <w:tcPr>
            <w:tcW w:w="2107" w:type="dxa"/>
            <w:vMerge w:val="restart"/>
            <w:tcBorders>
              <w:top w:val="single" w:sz="8" w:space="0" w:color="A3A3A3"/>
              <w:left w:val="single" w:sz="8" w:space="0" w:color="A3A3A3"/>
              <w:right w:val="single" w:sz="8" w:space="0" w:color="A3A3A3"/>
            </w:tcBorders>
            <w:tcMar>
              <w:top w:w="80" w:type="dxa"/>
              <w:left w:w="80" w:type="dxa"/>
              <w:bottom w:w="80" w:type="dxa"/>
              <w:right w:w="80" w:type="dxa"/>
            </w:tcMar>
          </w:tcPr>
          <w:p w14:paraId="1F145519" w14:textId="431353BA" w:rsidR="00ED49C0" w:rsidRPr="00D63217" w:rsidRDefault="00ED49C0" w:rsidP="00ED49C0">
            <w:pPr>
              <w:pStyle w:val="TableText"/>
              <w:spacing w:before="0" w:after="0"/>
            </w:pPr>
            <w:r w:rsidRPr="00D63217">
              <w:t>Peanuts</w:t>
            </w:r>
            <w:r w:rsidR="008C5807" w:rsidRPr="00D63217">
              <w:t xml:space="preserve"> (up to 7</w:t>
            </w:r>
            <w:r w:rsidR="006754A6" w:rsidRPr="00D63217">
              <w:t>–</w:t>
            </w:r>
            <w:r w:rsidR="008C5807" w:rsidRPr="00D63217">
              <w:t>8 leaf stage)</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1155CE" w14:textId="7C980BD8" w:rsidR="00ED49C0" w:rsidRPr="00D63217" w:rsidRDefault="00ED49C0" w:rsidP="00ED49C0">
            <w:pPr>
              <w:pStyle w:val="TableText"/>
              <w:spacing w:before="0" w:after="0"/>
            </w:pPr>
            <w:r w:rsidRPr="00D63217">
              <w:t>Annual ground cherry (2</w:t>
            </w:r>
            <w:r w:rsidR="006754A6" w:rsidRPr="00D63217">
              <w:t>–</w:t>
            </w:r>
            <w:r w:rsidRPr="00D63217">
              <w:t xml:space="preserve">3 leaf), </w:t>
            </w:r>
            <w:r w:rsidR="006754A6" w:rsidRPr="00D63217">
              <w:t>a</w:t>
            </w:r>
            <w:r w:rsidRPr="00D63217">
              <w:t>pple-of-Peru (2</w:t>
            </w:r>
            <w:r w:rsidR="006754A6" w:rsidRPr="00D63217">
              <w:t>–</w:t>
            </w:r>
            <w:r w:rsidRPr="00D63217">
              <w:t xml:space="preserve">4 leaf), </w:t>
            </w:r>
            <w:r w:rsidR="006754A6" w:rsidRPr="00D63217">
              <w:t>m</w:t>
            </w:r>
            <w:r w:rsidRPr="00D63217">
              <w:t>ilkweed (2</w:t>
            </w:r>
            <w:r w:rsidR="006754A6" w:rsidRPr="00D63217">
              <w:t>–</w:t>
            </w:r>
            <w:r w:rsidRPr="00D63217">
              <w:t>3 leaf)</w:t>
            </w:r>
          </w:p>
        </w:tc>
        <w:tc>
          <w:tcPr>
            <w:tcW w:w="1200" w:type="dxa"/>
            <w:vMerge w:val="restart"/>
            <w:tcBorders>
              <w:top w:val="single" w:sz="8" w:space="0" w:color="A3A3A3"/>
              <w:left w:val="single" w:sz="8" w:space="0" w:color="A3A3A3"/>
              <w:right w:val="single" w:sz="8" w:space="0" w:color="A3A3A3"/>
            </w:tcBorders>
            <w:tcMar>
              <w:top w:w="80" w:type="dxa"/>
              <w:left w:w="80" w:type="dxa"/>
              <w:bottom w:w="80" w:type="dxa"/>
              <w:right w:w="80" w:type="dxa"/>
            </w:tcMar>
          </w:tcPr>
          <w:p w14:paraId="3615A2BE" w14:textId="77777777" w:rsidR="00ED49C0" w:rsidRPr="00D63217" w:rsidRDefault="00ED49C0" w:rsidP="00ED49C0">
            <w:pPr>
              <w:pStyle w:val="TableText"/>
              <w:spacing w:before="0" w:after="0"/>
            </w:pPr>
            <w:r w:rsidRPr="00D63217">
              <w:t>Boomspray</w:t>
            </w:r>
          </w:p>
        </w:tc>
        <w:tc>
          <w:tcPr>
            <w:tcW w:w="3633" w:type="dxa"/>
            <w:vMerge w:val="restart"/>
            <w:tcBorders>
              <w:top w:val="single" w:sz="8" w:space="0" w:color="A3A3A3"/>
              <w:left w:val="single" w:sz="8" w:space="0" w:color="A3A3A3"/>
              <w:right w:val="single" w:sz="8" w:space="0" w:color="A3A3A3"/>
            </w:tcBorders>
            <w:tcMar>
              <w:top w:w="80" w:type="dxa"/>
              <w:left w:w="80" w:type="dxa"/>
              <w:bottom w:w="80" w:type="dxa"/>
              <w:right w:w="80" w:type="dxa"/>
            </w:tcMar>
          </w:tcPr>
          <w:p w14:paraId="771123DE" w14:textId="0559BACF" w:rsidR="00ED49C0" w:rsidRPr="00D63217" w:rsidRDefault="00ED49C0" w:rsidP="00ED49C0">
            <w:pPr>
              <w:pStyle w:val="TableText"/>
              <w:spacing w:before="0" w:after="0"/>
            </w:pPr>
            <w:r w:rsidRPr="00D63217">
              <w:t xml:space="preserve">Supported up to 231 g ac/ha </w:t>
            </w:r>
          </w:p>
        </w:tc>
      </w:tr>
      <w:tr w:rsidR="00ED49C0" w:rsidRPr="00D63217" w14:paraId="074C9609" w14:textId="77777777" w:rsidTr="002C68CD">
        <w:tc>
          <w:tcPr>
            <w:tcW w:w="2107" w:type="dxa"/>
            <w:vMerge/>
            <w:tcBorders>
              <w:left w:val="single" w:sz="8" w:space="0" w:color="A3A3A3"/>
              <w:right w:val="single" w:sz="8" w:space="0" w:color="A3A3A3"/>
            </w:tcBorders>
            <w:tcMar>
              <w:top w:w="80" w:type="dxa"/>
              <w:left w:w="80" w:type="dxa"/>
              <w:bottom w:w="80" w:type="dxa"/>
              <w:right w:w="80" w:type="dxa"/>
            </w:tcMar>
          </w:tcPr>
          <w:p w14:paraId="19514CAB" w14:textId="77777777" w:rsidR="00ED49C0" w:rsidRPr="00D63217" w:rsidRDefault="00ED49C0" w:rsidP="00ED49C0">
            <w:pPr>
              <w:pStyle w:val="TableText"/>
              <w:spacing w:before="0" w:after="0"/>
            </w:pP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F6EB53" w14:textId="6EC7FFDA" w:rsidR="00ED49C0" w:rsidRPr="00D63217" w:rsidRDefault="00ED49C0" w:rsidP="00ED49C0">
            <w:pPr>
              <w:pStyle w:val="TableText"/>
              <w:spacing w:before="0" w:after="0"/>
            </w:pPr>
            <w:r w:rsidRPr="00D63217">
              <w:t>Bellvine (2</w:t>
            </w:r>
            <w:r w:rsidR="006754A6" w:rsidRPr="00D63217">
              <w:t>–</w:t>
            </w:r>
            <w:r w:rsidRPr="00D63217">
              <w:t xml:space="preserve">3 leaf), </w:t>
            </w:r>
            <w:r w:rsidR="006754A6" w:rsidRPr="00D63217">
              <w:t>c</w:t>
            </w:r>
            <w:r w:rsidRPr="00D63217">
              <w:t>ommon morning glory (2 leaf)</w:t>
            </w:r>
          </w:p>
        </w:tc>
        <w:tc>
          <w:tcPr>
            <w:tcW w:w="1200" w:type="dxa"/>
            <w:vMerge/>
            <w:tcBorders>
              <w:left w:val="single" w:sz="8" w:space="0" w:color="A3A3A3"/>
              <w:right w:val="single" w:sz="8" w:space="0" w:color="A3A3A3"/>
            </w:tcBorders>
            <w:tcMar>
              <w:top w:w="80" w:type="dxa"/>
              <w:left w:w="80" w:type="dxa"/>
              <w:bottom w:w="80" w:type="dxa"/>
              <w:right w:w="80" w:type="dxa"/>
            </w:tcMar>
          </w:tcPr>
          <w:p w14:paraId="41AEB9A0" w14:textId="77777777" w:rsidR="00ED49C0" w:rsidRPr="00D63217" w:rsidRDefault="00ED49C0" w:rsidP="00ED49C0">
            <w:pPr>
              <w:pStyle w:val="TableText"/>
              <w:spacing w:before="0" w:after="0"/>
            </w:pPr>
          </w:p>
        </w:tc>
        <w:tc>
          <w:tcPr>
            <w:tcW w:w="3633" w:type="dxa"/>
            <w:vMerge/>
            <w:tcBorders>
              <w:left w:val="single" w:sz="8" w:space="0" w:color="A3A3A3"/>
              <w:right w:val="single" w:sz="8" w:space="0" w:color="A3A3A3"/>
            </w:tcBorders>
            <w:tcMar>
              <w:top w:w="80" w:type="dxa"/>
              <w:left w:w="80" w:type="dxa"/>
              <w:bottom w:w="80" w:type="dxa"/>
              <w:right w:w="80" w:type="dxa"/>
            </w:tcMar>
          </w:tcPr>
          <w:p w14:paraId="67140D3C" w14:textId="77777777" w:rsidR="00ED49C0" w:rsidRPr="00D63217" w:rsidRDefault="00ED49C0" w:rsidP="00ED49C0">
            <w:pPr>
              <w:pStyle w:val="TableText"/>
              <w:spacing w:before="0" w:after="0"/>
            </w:pPr>
          </w:p>
        </w:tc>
      </w:tr>
      <w:tr w:rsidR="00ED49C0" w:rsidRPr="00D63217" w14:paraId="6802612B" w14:textId="77777777" w:rsidTr="002C68CD">
        <w:tc>
          <w:tcPr>
            <w:tcW w:w="2107" w:type="dxa"/>
            <w:vMerge/>
            <w:tcBorders>
              <w:left w:val="single" w:sz="8" w:space="0" w:color="A3A3A3"/>
              <w:right w:val="single" w:sz="8" w:space="0" w:color="A3A3A3"/>
            </w:tcBorders>
            <w:tcMar>
              <w:top w:w="80" w:type="dxa"/>
              <w:left w:w="80" w:type="dxa"/>
              <w:bottom w:w="80" w:type="dxa"/>
              <w:right w:w="80" w:type="dxa"/>
            </w:tcMar>
          </w:tcPr>
          <w:p w14:paraId="20248594" w14:textId="77777777" w:rsidR="00ED49C0" w:rsidRPr="00D63217" w:rsidRDefault="00ED49C0" w:rsidP="00ED49C0">
            <w:pPr>
              <w:pStyle w:val="TableText"/>
              <w:spacing w:before="0" w:after="0"/>
            </w:pP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253BFC" w14:textId="09AF4C14" w:rsidR="00ED49C0" w:rsidRPr="00D63217" w:rsidRDefault="00ED49C0" w:rsidP="00ED49C0">
            <w:pPr>
              <w:pStyle w:val="TableText"/>
              <w:spacing w:before="0" w:after="0"/>
            </w:pPr>
            <w:r w:rsidRPr="00D63217">
              <w:t>Datura spp. (2</w:t>
            </w:r>
            <w:r w:rsidR="006754A6" w:rsidRPr="00D63217">
              <w:t>–</w:t>
            </w:r>
            <w:r w:rsidRPr="00D63217">
              <w:t>4 leaf)</w:t>
            </w:r>
          </w:p>
        </w:tc>
        <w:tc>
          <w:tcPr>
            <w:tcW w:w="1200" w:type="dxa"/>
            <w:vMerge/>
            <w:tcBorders>
              <w:left w:val="single" w:sz="8" w:space="0" w:color="A3A3A3"/>
              <w:right w:val="single" w:sz="8" w:space="0" w:color="A3A3A3"/>
            </w:tcBorders>
            <w:tcMar>
              <w:top w:w="80" w:type="dxa"/>
              <w:left w:w="80" w:type="dxa"/>
              <w:bottom w:w="80" w:type="dxa"/>
              <w:right w:w="80" w:type="dxa"/>
            </w:tcMar>
          </w:tcPr>
          <w:p w14:paraId="137AF563" w14:textId="77777777" w:rsidR="00ED49C0" w:rsidRPr="00D63217" w:rsidRDefault="00ED49C0" w:rsidP="00ED49C0">
            <w:pPr>
              <w:pStyle w:val="TableText"/>
              <w:spacing w:before="0" w:after="0"/>
            </w:pPr>
          </w:p>
        </w:tc>
        <w:tc>
          <w:tcPr>
            <w:tcW w:w="3633" w:type="dxa"/>
            <w:vMerge/>
            <w:tcBorders>
              <w:left w:val="single" w:sz="8" w:space="0" w:color="A3A3A3"/>
              <w:right w:val="single" w:sz="8" w:space="0" w:color="A3A3A3"/>
            </w:tcBorders>
            <w:tcMar>
              <w:top w:w="80" w:type="dxa"/>
              <w:left w:w="80" w:type="dxa"/>
              <w:bottom w:w="80" w:type="dxa"/>
              <w:right w:w="80" w:type="dxa"/>
            </w:tcMar>
          </w:tcPr>
          <w:p w14:paraId="6F248B56" w14:textId="77777777" w:rsidR="00ED49C0" w:rsidRPr="00D63217" w:rsidRDefault="00ED49C0" w:rsidP="00ED49C0">
            <w:pPr>
              <w:pStyle w:val="TableText"/>
              <w:spacing w:before="0" w:after="0"/>
            </w:pPr>
          </w:p>
        </w:tc>
      </w:tr>
      <w:tr w:rsidR="00ED49C0" w:rsidRPr="00D63217" w14:paraId="01D00DE0" w14:textId="77777777" w:rsidTr="002C68CD">
        <w:tc>
          <w:tcPr>
            <w:tcW w:w="2107" w:type="dxa"/>
            <w:vMerge/>
            <w:tcBorders>
              <w:left w:val="single" w:sz="8" w:space="0" w:color="A3A3A3"/>
              <w:bottom w:val="single" w:sz="8" w:space="0" w:color="A3A3A3"/>
              <w:right w:val="single" w:sz="8" w:space="0" w:color="A3A3A3"/>
            </w:tcBorders>
            <w:tcMar>
              <w:top w:w="80" w:type="dxa"/>
              <w:left w:w="80" w:type="dxa"/>
              <w:bottom w:w="80" w:type="dxa"/>
              <w:right w:w="80" w:type="dxa"/>
            </w:tcMar>
          </w:tcPr>
          <w:p w14:paraId="3E56A36F" w14:textId="77777777" w:rsidR="00ED49C0" w:rsidRPr="00D63217" w:rsidRDefault="00ED49C0" w:rsidP="00ED49C0">
            <w:pPr>
              <w:pStyle w:val="TableText"/>
              <w:spacing w:before="0" w:after="0"/>
            </w:pP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C8B9FC" w14:textId="361F4F3F" w:rsidR="00ED49C0" w:rsidRPr="00D63217" w:rsidRDefault="00ED49C0" w:rsidP="00ED49C0">
            <w:pPr>
              <w:pStyle w:val="TableText"/>
              <w:spacing w:before="0" w:after="0"/>
            </w:pPr>
            <w:r w:rsidRPr="00D63217">
              <w:t>Stagger weed (2</w:t>
            </w:r>
            <w:r w:rsidR="006754A6" w:rsidRPr="00D63217">
              <w:t>–</w:t>
            </w:r>
            <w:r w:rsidRPr="00D63217">
              <w:t xml:space="preserve">3 leaf), </w:t>
            </w:r>
            <w:r w:rsidR="006754A6" w:rsidRPr="00D63217">
              <w:t>b</w:t>
            </w:r>
            <w:r w:rsidRPr="00D63217">
              <w:t>lue heliotrope (2</w:t>
            </w:r>
            <w:r w:rsidR="006754A6" w:rsidRPr="00D63217">
              <w:t>–</w:t>
            </w:r>
            <w:r w:rsidRPr="00D63217">
              <w:t xml:space="preserve">3 leaf), </w:t>
            </w:r>
            <w:r w:rsidR="006754A6" w:rsidRPr="00D63217">
              <w:t>w</w:t>
            </w:r>
            <w:r w:rsidRPr="00D63217">
              <w:t xml:space="preserve">andering </w:t>
            </w:r>
            <w:r w:rsidR="006754A6" w:rsidRPr="00D63217">
              <w:t>j</w:t>
            </w:r>
            <w:r w:rsidRPr="00D63217">
              <w:t>ew (2</w:t>
            </w:r>
            <w:r w:rsidR="006754A6" w:rsidRPr="00D63217">
              <w:t>–</w:t>
            </w:r>
            <w:r w:rsidRPr="00D63217">
              <w:t xml:space="preserve">3 leaf), </w:t>
            </w:r>
            <w:r w:rsidR="00902912" w:rsidRPr="00D63217">
              <w:t>a</w:t>
            </w:r>
            <w:r w:rsidRPr="00D63217">
              <w:t>noda weed (2</w:t>
            </w:r>
            <w:r w:rsidR="006754A6" w:rsidRPr="00D63217">
              <w:t>–</w:t>
            </w:r>
            <w:r w:rsidRPr="00D63217">
              <w:t>4 leaf)</w:t>
            </w:r>
          </w:p>
        </w:tc>
        <w:tc>
          <w:tcPr>
            <w:tcW w:w="1200" w:type="dxa"/>
            <w:vMerge/>
            <w:tcBorders>
              <w:left w:val="single" w:sz="8" w:space="0" w:color="A3A3A3"/>
              <w:bottom w:val="single" w:sz="8" w:space="0" w:color="A3A3A3"/>
              <w:right w:val="single" w:sz="8" w:space="0" w:color="A3A3A3"/>
            </w:tcBorders>
            <w:tcMar>
              <w:top w:w="80" w:type="dxa"/>
              <w:left w:w="80" w:type="dxa"/>
              <w:bottom w:w="80" w:type="dxa"/>
              <w:right w:w="80" w:type="dxa"/>
            </w:tcMar>
          </w:tcPr>
          <w:p w14:paraId="5B93B829" w14:textId="77777777" w:rsidR="00ED49C0" w:rsidRPr="00D63217" w:rsidRDefault="00ED49C0" w:rsidP="00ED49C0">
            <w:pPr>
              <w:pStyle w:val="TableText"/>
              <w:spacing w:before="0" w:after="0"/>
            </w:pPr>
          </w:p>
        </w:tc>
        <w:tc>
          <w:tcPr>
            <w:tcW w:w="3633" w:type="dxa"/>
            <w:vMerge/>
            <w:tcBorders>
              <w:left w:val="single" w:sz="8" w:space="0" w:color="A3A3A3"/>
              <w:bottom w:val="single" w:sz="8" w:space="0" w:color="A3A3A3"/>
              <w:right w:val="single" w:sz="8" w:space="0" w:color="A3A3A3"/>
            </w:tcBorders>
            <w:tcMar>
              <w:top w:w="80" w:type="dxa"/>
              <w:left w:w="80" w:type="dxa"/>
              <w:bottom w:w="80" w:type="dxa"/>
              <w:right w:w="80" w:type="dxa"/>
            </w:tcMar>
          </w:tcPr>
          <w:p w14:paraId="4D0CDEE6" w14:textId="77777777" w:rsidR="00ED49C0" w:rsidRPr="00D63217" w:rsidRDefault="00ED49C0" w:rsidP="00ED49C0">
            <w:pPr>
              <w:pStyle w:val="TableText"/>
              <w:spacing w:before="0" w:after="0"/>
            </w:pPr>
          </w:p>
        </w:tc>
      </w:tr>
      <w:tr w:rsidR="00A55E7A" w:rsidRPr="00D63217" w14:paraId="64E425F0" w14:textId="77777777" w:rsidTr="002C68CD">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9DA52B" w14:textId="776B4EDB" w:rsidR="00A55E7A" w:rsidRPr="00D63217" w:rsidRDefault="00A55E7A" w:rsidP="00A55E7A">
            <w:pPr>
              <w:pStyle w:val="TableText"/>
              <w:spacing w:before="0" w:after="0"/>
            </w:pPr>
            <w:r w:rsidRPr="00D63217">
              <w:t>Rice</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D61786" w14:textId="6E67A9F6" w:rsidR="00A55E7A" w:rsidRPr="00D63217" w:rsidRDefault="006754A6" w:rsidP="00A55E7A">
            <w:pPr>
              <w:pStyle w:val="TableText"/>
              <w:spacing w:before="0" w:after="0"/>
            </w:pPr>
            <w:r w:rsidRPr="00D63217">
              <w:t>P</w:t>
            </w:r>
            <w:r w:rsidR="00A55E7A" w:rsidRPr="00D63217">
              <w:t>ost-sowing, pre-crop emergence annual grass and broadleaf weed control</w:t>
            </w:r>
          </w:p>
        </w:tc>
        <w:tc>
          <w:tcPr>
            <w:tcW w:w="1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512C4D" w14:textId="09E57E6C" w:rsidR="00A55E7A" w:rsidRPr="00D63217" w:rsidRDefault="00A55E7A" w:rsidP="00A55E7A">
            <w:pPr>
              <w:pStyle w:val="TableText"/>
              <w:spacing w:before="0" w:after="0"/>
            </w:pPr>
            <w:r w:rsidRPr="00D63217">
              <w:t>Boomspray</w:t>
            </w:r>
          </w:p>
        </w:tc>
        <w:tc>
          <w:tcPr>
            <w:tcW w:w="3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1D376C" w14:textId="5E60425B" w:rsidR="00A55E7A" w:rsidRPr="00D63217" w:rsidRDefault="00902912" w:rsidP="00A55E7A">
            <w:pPr>
              <w:pStyle w:val="TableText"/>
              <w:spacing w:before="0" w:after="0"/>
            </w:pPr>
            <w:r w:rsidRPr="00D63217">
              <w:t>S</w:t>
            </w:r>
            <w:r w:rsidR="00A55E7A" w:rsidRPr="00D63217">
              <w:t xml:space="preserve">upported up to 231 g ac/ha </w:t>
            </w:r>
          </w:p>
        </w:tc>
      </w:tr>
      <w:tr w:rsidR="00A55E7A" w:rsidRPr="00D63217" w14:paraId="267F8DE0" w14:textId="77777777" w:rsidTr="002C68CD">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B10891" w14:textId="4B09D0E9" w:rsidR="00A55E7A" w:rsidRPr="00D63217" w:rsidRDefault="00A55E7A" w:rsidP="006754A6">
            <w:pPr>
              <w:pStyle w:val="TableText"/>
              <w:spacing w:before="0" w:after="0"/>
            </w:pPr>
            <w:r w:rsidRPr="00D63217">
              <w:t>Spray topping to reduce seed set (</w:t>
            </w:r>
            <w:r w:rsidR="006754A6" w:rsidRPr="00D63217">
              <w:t>f</w:t>
            </w:r>
            <w:r w:rsidRPr="00D63217">
              <w:t xml:space="preserve">ield peas, </w:t>
            </w:r>
            <w:r w:rsidR="006754A6" w:rsidRPr="00D63217">
              <w:t>l</w:t>
            </w:r>
            <w:r w:rsidRPr="00D63217">
              <w:t xml:space="preserve">upins, </w:t>
            </w:r>
            <w:r w:rsidR="006754A6" w:rsidRPr="00D63217">
              <w:t>l</w:t>
            </w:r>
            <w:r w:rsidRPr="00D63217">
              <w:t xml:space="preserve">entils, </w:t>
            </w:r>
            <w:r w:rsidR="006754A6" w:rsidRPr="00D63217">
              <w:t>c</w:t>
            </w:r>
            <w:r w:rsidRPr="00D63217">
              <w:t xml:space="preserve">hickpeas, </w:t>
            </w:r>
            <w:r w:rsidR="006754A6" w:rsidRPr="00D63217">
              <w:t>f</w:t>
            </w:r>
            <w:r w:rsidRPr="00D63217">
              <w:t xml:space="preserve">aba </w:t>
            </w:r>
            <w:r w:rsidR="006754A6" w:rsidRPr="00D63217">
              <w:t>b</w:t>
            </w:r>
            <w:r w:rsidRPr="00D63217">
              <w:t>eans)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A27361" w14:textId="77777777" w:rsidR="00A55E7A" w:rsidRPr="00D63217" w:rsidRDefault="00A55E7A" w:rsidP="00A55E7A">
            <w:pPr>
              <w:pStyle w:val="TableText"/>
              <w:spacing w:before="0" w:after="0"/>
            </w:pPr>
            <w:r w:rsidRPr="00D63217">
              <w:t>Annual ryegrass</w:t>
            </w:r>
          </w:p>
        </w:tc>
        <w:tc>
          <w:tcPr>
            <w:tcW w:w="1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310C68" w14:textId="77777777" w:rsidR="00A55E7A" w:rsidRPr="00D63217" w:rsidRDefault="00A55E7A" w:rsidP="00A55E7A">
            <w:pPr>
              <w:pStyle w:val="TableText"/>
              <w:spacing w:before="0" w:after="0"/>
            </w:pPr>
            <w:r w:rsidRPr="00D63217">
              <w:t>Boomspray</w:t>
            </w:r>
          </w:p>
        </w:tc>
        <w:tc>
          <w:tcPr>
            <w:tcW w:w="3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B5C627" w14:textId="22E61279" w:rsidR="00A55E7A" w:rsidRPr="00D63217" w:rsidRDefault="00A55E7A" w:rsidP="00A55E7A">
            <w:pPr>
              <w:pStyle w:val="TableText"/>
              <w:spacing w:before="0" w:after="0"/>
            </w:pPr>
            <w:r w:rsidRPr="00D63217">
              <w:t xml:space="preserve">Supported up </w:t>
            </w:r>
            <w:r w:rsidR="00C256E7">
              <w:t>200</w:t>
            </w:r>
            <w:r w:rsidRPr="00D63217">
              <w:t xml:space="preserve"> g ac/ha </w:t>
            </w:r>
          </w:p>
        </w:tc>
      </w:tr>
    </w:tbl>
    <w:p w14:paraId="19B84DE0" w14:textId="4DE978F4" w:rsidR="003F08EA" w:rsidRPr="00C52B84" w:rsidRDefault="003F08EA" w:rsidP="00C52B84">
      <w:pPr>
        <w:pStyle w:val="Caption"/>
      </w:pPr>
      <w:bookmarkStart w:id="415" w:name="_Ref167287615"/>
      <w:bookmarkStart w:id="416" w:name="_Toc230692290"/>
      <w:bookmarkStart w:id="417" w:name="_Toc233036511"/>
      <w:r w:rsidRPr="00C52B84">
        <w:lastRenderedPageBreak/>
        <w:t xml:space="preserve">Table </w:t>
      </w:r>
      <w:fldSimple w:instr=" SEQ Table \* ARABIC ">
        <w:r w:rsidR="00C52B84">
          <w:rPr>
            <w:noProof/>
          </w:rPr>
          <w:t>24</w:t>
        </w:r>
      </w:fldSimple>
      <w:bookmarkEnd w:id="415"/>
      <w:r w:rsidRPr="00C52B84">
        <w:t>: Paraquat and diquat combination uses that are supported by human health, environment and residues and trade risk assessments</w:t>
      </w:r>
      <w:bookmarkEnd w:id="416"/>
      <w:bookmarkEnd w:id="417"/>
    </w:p>
    <w:tbl>
      <w:tblPr>
        <w:tblW w:w="9776" w:type="dxa"/>
        <w:tblLook w:val="04A0" w:firstRow="1" w:lastRow="0" w:firstColumn="1" w:lastColumn="0" w:noHBand="0" w:noVBand="1"/>
      </w:tblPr>
      <w:tblGrid>
        <w:gridCol w:w="1980"/>
        <w:gridCol w:w="2693"/>
        <w:gridCol w:w="1985"/>
        <w:gridCol w:w="3118"/>
      </w:tblGrid>
      <w:tr w:rsidR="003F08EA" w:rsidRPr="00D63217" w14:paraId="5B0D64BF" w14:textId="77777777" w:rsidTr="00B553B4">
        <w:trPr>
          <w:cantSplit/>
          <w:trHeight w:val="864"/>
          <w:tblHeader/>
        </w:trPr>
        <w:tc>
          <w:tcPr>
            <w:tcW w:w="1980" w:type="dxa"/>
            <w:tcBorders>
              <w:top w:val="nil"/>
              <w:left w:val="single" w:sz="4" w:space="0" w:color="auto"/>
              <w:bottom w:val="single" w:sz="4" w:space="0" w:color="auto"/>
              <w:right w:val="single" w:sz="4" w:space="0" w:color="auto"/>
            </w:tcBorders>
            <w:shd w:val="clear" w:color="auto" w:fill="5C2946"/>
            <w:vAlign w:val="center"/>
          </w:tcPr>
          <w:p w14:paraId="4E905C1F" w14:textId="77777777" w:rsidR="003F08EA" w:rsidRPr="00D63217" w:rsidRDefault="003F08EA" w:rsidP="002D359C">
            <w:pPr>
              <w:pStyle w:val="TableHead"/>
              <w:rPr>
                <w:lang w:eastAsia="en-AU"/>
              </w:rPr>
            </w:pPr>
            <w:r w:rsidRPr="00D63217">
              <w:rPr>
                <w:lang w:eastAsia="en-AU"/>
              </w:rPr>
              <w:t>Crop</w:t>
            </w:r>
          </w:p>
        </w:tc>
        <w:tc>
          <w:tcPr>
            <w:tcW w:w="2693" w:type="dxa"/>
            <w:tcBorders>
              <w:top w:val="nil"/>
              <w:left w:val="nil"/>
              <w:bottom w:val="single" w:sz="4" w:space="0" w:color="auto"/>
              <w:right w:val="single" w:sz="4" w:space="0" w:color="auto"/>
            </w:tcBorders>
            <w:shd w:val="clear" w:color="auto" w:fill="5C2946"/>
            <w:vAlign w:val="center"/>
          </w:tcPr>
          <w:p w14:paraId="132AF19F" w14:textId="26B34977" w:rsidR="003F08EA" w:rsidRPr="00D63217" w:rsidRDefault="003F08EA" w:rsidP="002D359C">
            <w:pPr>
              <w:pStyle w:val="TableHead"/>
              <w:rPr>
                <w:lang w:eastAsia="en-AU"/>
              </w:rPr>
            </w:pPr>
            <w:r w:rsidRPr="00D63217">
              <w:rPr>
                <w:lang w:eastAsia="en-AU"/>
              </w:rPr>
              <w:t>Weeds Controlled / Use</w:t>
            </w:r>
          </w:p>
        </w:tc>
        <w:tc>
          <w:tcPr>
            <w:tcW w:w="1985" w:type="dxa"/>
            <w:tcBorders>
              <w:top w:val="nil"/>
              <w:left w:val="single" w:sz="4" w:space="0" w:color="auto"/>
              <w:bottom w:val="single" w:sz="4" w:space="0" w:color="auto"/>
              <w:right w:val="single" w:sz="4" w:space="0" w:color="auto"/>
            </w:tcBorders>
            <w:shd w:val="clear" w:color="auto" w:fill="5C2946"/>
            <w:vAlign w:val="center"/>
          </w:tcPr>
          <w:p w14:paraId="71842ADD" w14:textId="06A85601" w:rsidR="003F08EA" w:rsidRPr="00D63217" w:rsidRDefault="003F08EA" w:rsidP="002D359C">
            <w:pPr>
              <w:pStyle w:val="TableHead"/>
              <w:rPr>
                <w:lang w:eastAsia="en-AU"/>
              </w:rPr>
            </w:pPr>
            <w:r w:rsidRPr="00D63217">
              <w:rPr>
                <w:lang w:eastAsia="en-AU"/>
              </w:rPr>
              <w:t>Application Method</w:t>
            </w:r>
          </w:p>
        </w:tc>
        <w:tc>
          <w:tcPr>
            <w:tcW w:w="3118" w:type="dxa"/>
            <w:tcBorders>
              <w:top w:val="nil"/>
              <w:left w:val="single" w:sz="4" w:space="0" w:color="auto"/>
              <w:bottom w:val="single" w:sz="4" w:space="0" w:color="auto"/>
              <w:right w:val="single" w:sz="4" w:space="0" w:color="auto"/>
            </w:tcBorders>
            <w:shd w:val="clear" w:color="auto" w:fill="5C2946"/>
            <w:vAlign w:val="center"/>
          </w:tcPr>
          <w:p w14:paraId="766D52C6" w14:textId="2D6B0D31" w:rsidR="003F08EA" w:rsidRPr="00D63217" w:rsidRDefault="003F08EA" w:rsidP="002D359C">
            <w:pPr>
              <w:pStyle w:val="TableHead"/>
              <w:rPr>
                <w:lang w:eastAsia="en-AU"/>
              </w:rPr>
            </w:pPr>
            <w:r w:rsidRPr="00D63217">
              <w:rPr>
                <w:lang w:eastAsia="en-AU"/>
              </w:rPr>
              <w:t xml:space="preserve">Assessment outcome </w:t>
            </w:r>
          </w:p>
        </w:tc>
      </w:tr>
      <w:tr w:rsidR="00926E9E" w:rsidRPr="00D63217" w14:paraId="62A37F8E" w14:textId="77777777" w:rsidTr="008B6D07">
        <w:trPr>
          <w:cantSplit/>
          <w:trHeight w:val="864"/>
        </w:trPr>
        <w:tc>
          <w:tcPr>
            <w:tcW w:w="1980" w:type="dxa"/>
            <w:tcBorders>
              <w:top w:val="nil"/>
              <w:left w:val="single" w:sz="4" w:space="0" w:color="auto"/>
              <w:bottom w:val="single" w:sz="4" w:space="0" w:color="auto"/>
              <w:right w:val="single" w:sz="4" w:space="0" w:color="auto"/>
            </w:tcBorders>
            <w:hideMark/>
          </w:tcPr>
          <w:p w14:paraId="19AB7288" w14:textId="77777777" w:rsidR="00926E9E" w:rsidRPr="00D63217" w:rsidRDefault="00926E9E" w:rsidP="00926E9E">
            <w:pPr>
              <w:pStyle w:val="TableText"/>
            </w:pPr>
            <w:r w:rsidRPr="00D63217">
              <w:t>Aid to cultivation (Southern Australia - full disturbance)</w:t>
            </w:r>
          </w:p>
          <w:p w14:paraId="26948B1C" w14:textId="10D20D46" w:rsidR="001563A2" w:rsidRPr="00D63217" w:rsidRDefault="00926E9E" w:rsidP="00926E9E">
            <w:pPr>
              <w:pStyle w:val="TableText"/>
              <w:rPr>
                <w:u w:val="single"/>
                <w:lang w:eastAsia="en-AU"/>
              </w:rPr>
            </w:pPr>
            <w:r w:rsidRPr="00D63217">
              <w:rPr>
                <w:u w:val="single"/>
                <w:lang w:eastAsia="en-AU"/>
              </w:rPr>
              <w:t>Winter</w:t>
            </w:r>
          </w:p>
          <w:p w14:paraId="2A305BE9" w14:textId="475F1AD0" w:rsidR="00926E9E" w:rsidRPr="00D63217" w:rsidRDefault="00926E9E" w:rsidP="00926E9E">
            <w:pPr>
              <w:pStyle w:val="TableText"/>
              <w:rPr>
                <w:lang w:eastAsia="en-AU"/>
              </w:rPr>
            </w:pPr>
            <w:r w:rsidRPr="00D63217">
              <w:rPr>
                <w:lang w:eastAsia="en-AU"/>
              </w:rPr>
              <w:t xml:space="preserve">Canola, </w:t>
            </w:r>
            <w:r w:rsidR="00902912" w:rsidRPr="00D63217">
              <w:rPr>
                <w:lang w:eastAsia="en-AU"/>
              </w:rPr>
              <w:t>c</w:t>
            </w:r>
            <w:r w:rsidRPr="00D63217">
              <w:rPr>
                <w:lang w:eastAsia="en-AU"/>
              </w:rPr>
              <w:t xml:space="preserve">hickpeas, </w:t>
            </w:r>
            <w:r w:rsidR="00902912" w:rsidRPr="00D63217">
              <w:rPr>
                <w:lang w:eastAsia="en-AU"/>
              </w:rPr>
              <w:t>w</w:t>
            </w:r>
            <w:r w:rsidRPr="00D63217">
              <w:rPr>
                <w:lang w:eastAsia="en-AU"/>
              </w:rPr>
              <w:t xml:space="preserve">heat, </w:t>
            </w:r>
            <w:r w:rsidR="00902912" w:rsidRPr="00D63217">
              <w:rPr>
                <w:lang w:eastAsia="en-AU"/>
              </w:rPr>
              <w:t>b</w:t>
            </w:r>
            <w:r w:rsidRPr="00D63217">
              <w:rPr>
                <w:lang w:eastAsia="en-AU"/>
              </w:rPr>
              <w:t xml:space="preserve">arley, </w:t>
            </w:r>
            <w:r w:rsidR="00902912" w:rsidRPr="00D63217">
              <w:rPr>
                <w:lang w:eastAsia="en-AU"/>
              </w:rPr>
              <w:t>o</w:t>
            </w:r>
            <w:r w:rsidRPr="00D63217">
              <w:rPr>
                <w:lang w:eastAsia="en-AU"/>
              </w:rPr>
              <w:t xml:space="preserve">ats, </w:t>
            </w:r>
            <w:r w:rsidR="00902912" w:rsidRPr="00D63217">
              <w:rPr>
                <w:lang w:eastAsia="en-AU"/>
              </w:rPr>
              <w:t>r</w:t>
            </w:r>
            <w:r w:rsidRPr="00D63217">
              <w:rPr>
                <w:lang w:eastAsia="en-AU"/>
              </w:rPr>
              <w:t xml:space="preserve">ye, </w:t>
            </w:r>
            <w:r w:rsidR="00902912" w:rsidRPr="00D63217">
              <w:rPr>
                <w:lang w:eastAsia="en-AU"/>
              </w:rPr>
              <w:t>t</w:t>
            </w:r>
            <w:r w:rsidRPr="00D63217">
              <w:rPr>
                <w:lang w:eastAsia="en-AU"/>
              </w:rPr>
              <w:t xml:space="preserve">riticale, </w:t>
            </w:r>
            <w:r w:rsidR="00902912" w:rsidRPr="00D63217">
              <w:rPr>
                <w:lang w:eastAsia="en-AU"/>
              </w:rPr>
              <w:t>f</w:t>
            </w:r>
            <w:r w:rsidRPr="00D63217">
              <w:rPr>
                <w:lang w:eastAsia="en-AU"/>
              </w:rPr>
              <w:t xml:space="preserve">ield </w:t>
            </w:r>
            <w:r w:rsidR="00902912" w:rsidRPr="00D63217">
              <w:rPr>
                <w:lang w:eastAsia="en-AU"/>
              </w:rPr>
              <w:t>b</w:t>
            </w:r>
            <w:r w:rsidRPr="00D63217">
              <w:rPr>
                <w:lang w:eastAsia="en-AU"/>
              </w:rPr>
              <w:t xml:space="preserve">eans, </w:t>
            </w:r>
            <w:r w:rsidR="00902912" w:rsidRPr="00D63217">
              <w:rPr>
                <w:lang w:eastAsia="en-AU"/>
              </w:rPr>
              <w:t>f</w:t>
            </w:r>
            <w:r w:rsidRPr="00D63217">
              <w:rPr>
                <w:lang w:eastAsia="en-AU"/>
              </w:rPr>
              <w:t xml:space="preserve">ield </w:t>
            </w:r>
            <w:r w:rsidR="00902912" w:rsidRPr="00D63217">
              <w:rPr>
                <w:lang w:eastAsia="en-AU"/>
              </w:rPr>
              <w:t>p</w:t>
            </w:r>
            <w:r w:rsidRPr="00D63217">
              <w:rPr>
                <w:lang w:eastAsia="en-AU"/>
              </w:rPr>
              <w:t xml:space="preserve">eas, </w:t>
            </w:r>
            <w:r w:rsidR="00902912" w:rsidRPr="00D63217">
              <w:rPr>
                <w:lang w:eastAsia="en-AU"/>
              </w:rPr>
              <w:t>l</w:t>
            </w:r>
            <w:r w:rsidRPr="00D63217">
              <w:rPr>
                <w:lang w:eastAsia="en-AU"/>
              </w:rPr>
              <w:t xml:space="preserve">entils, </w:t>
            </w:r>
            <w:r w:rsidR="00902912" w:rsidRPr="00D63217">
              <w:rPr>
                <w:lang w:eastAsia="en-AU"/>
              </w:rPr>
              <w:t>l</w:t>
            </w:r>
            <w:r w:rsidRPr="00D63217">
              <w:rPr>
                <w:lang w:eastAsia="en-AU"/>
              </w:rPr>
              <w:t xml:space="preserve">inseed (Linola), </w:t>
            </w:r>
            <w:r w:rsidR="00902912" w:rsidRPr="00D63217">
              <w:rPr>
                <w:lang w:eastAsia="en-AU"/>
              </w:rPr>
              <w:t>l</w:t>
            </w:r>
            <w:r w:rsidRPr="00D63217">
              <w:rPr>
                <w:lang w:eastAsia="en-AU"/>
              </w:rPr>
              <w:t xml:space="preserve">upins, </w:t>
            </w:r>
            <w:r w:rsidR="00902912" w:rsidRPr="00D63217">
              <w:rPr>
                <w:lang w:eastAsia="en-AU"/>
              </w:rPr>
              <w:t>v</w:t>
            </w:r>
            <w:r w:rsidRPr="00D63217">
              <w:rPr>
                <w:lang w:eastAsia="en-AU"/>
              </w:rPr>
              <w:t>etch</w:t>
            </w:r>
          </w:p>
          <w:p w14:paraId="1C42C074" w14:textId="28D210D5" w:rsidR="00926E9E" w:rsidRPr="00D63217" w:rsidRDefault="00926E9E" w:rsidP="00926E9E">
            <w:pPr>
              <w:pStyle w:val="TableText"/>
              <w:rPr>
                <w:u w:val="single"/>
                <w:lang w:eastAsia="en-AU"/>
              </w:rPr>
            </w:pPr>
            <w:r w:rsidRPr="00D63217">
              <w:rPr>
                <w:u w:val="single"/>
                <w:lang w:eastAsia="en-AU"/>
              </w:rPr>
              <w:t>Spring/</w:t>
            </w:r>
            <w:r w:rsidR="00902912" w:rsidRPr="00D63217">
              <w:rPr>
                <w:u w:val="single"/>
                <w:lang w:eastAsia="en-AU"/>
              </w:rPr>
              <w:t>s</w:t>
            </w:r>
            <w:r w:rsidRPr="00D63217">
              <w:rPr>
                <w:u w:val="single"/>
                <w:lang w:eastAsia="en-AU"/>
              </w:rPr>
              <w:t>ummer</w:t>
            </w:r>
          </w:p>
          <w:p w14:paraId="47DDEE91" w14:textId="49DA67F8" w:rsidR="00926E9E" w:rsidRPr="00D63217" w:rsidRDefault="00926E9E" w:rsidP="00926E9E">
            <w:pPr>
              <w:pStyle w:val="TableText"/>
              <w:rPr>
                <w:lang w:eastAsia="en-AU"/>
              </w:rPr>
            </w:pPr>
            <w:r w:rsidRPr="00D63217">
              <w:rPr>
                <w:lang w:eastAsia="en-AU"/>
              </w:rPr>
              <w:t xml:space="preserve">Fodder </w:t>
            </w:r>
            <w:r w:rsidR="00902912" w:rsidRPr="00D63217">
              <w:rPr>
                <w:lang w:eastAsia="en-AU"/>
              </w:rPr>
              <w:t>r</w:t>
            </w:r>
            <w:r w:rsidRPr="00D63217">
              <w:rPr>
                <w:lang w:eastAsia="en-AU"/>
              </w:rPr>
              <w:t xml:space="preserve">ape, </w:t>
            </w:r>
            <w:r w:rsidR="00902912" w:rsidRPr="00D63217">
              <w:rPr>
                <w:lang w:eastAsia="en-AU"/>
              </w:rPr>
              <w:t>p</w:t>
            </w:r>
            <w:r w:rsidRPr="00D63217">
              <w:rPr>
                <w:lang w:eastAsia="en-AU"/>
              </w:rPr>
              <w:t xml:space="preserve">igeon </w:t>
            </w:r>
            <w:r w:rsidR="00902912" w:rsidRPr="00D63217">
              <w:rPr>
                <w:lang w:eastAsia="en-AU"/>
              </w:rPr>
              <w:t>p</w:t>
            </w:r>
            <w:r w:rsidRPr="00D63217">
              <w:rPr>
                <w:lang w:eastAsia="en-AU"/>
              </w:rPr>
              <w:t xml:space="preserve">eas, </w:t>
            </w:r>
            <w:r w:rsidR="00902912" w:rsidRPr="00D63217">
              <w:rPr>
                <w:lang w:eastAsia="en-AU"/>
              </w:rPr>
              <w:t>s</w:t>
            </w:r>
            <w:r w:rsidRPr="00D63217">
              <w:rPr>
                <w:lang w:eastAsia="en-AU"/>
              </w:rPr>
              <w:t xml:space="preserve">afflower, </w:t>
            </w:r>
            <w:r w:rsidR="00902912" w:rsidRPr="00D63217">
              <w:rPr>
                <w:lang w:eastAsia="en-AU"/>
              </w:rPr>
              <w:t>s</w:t>
            </w:r>
            <w:r w:rsidRPr="00D63217">
              <w:rPr>
                <w:lang w:eastAsia="en-AU"/>
              </w:rPr>
              <w:t xml:space="preserve">orghum, </w:t>
            </w:r>
            <w:r w:rsidR="00902912" w:rsidRPr="00D63217">
              <w:rPr>
                <w:lang w:eastAsia="en-AU"/>
              </w:rPr>
              <w:t>s</w:t>
            </w:r>
            <w:r w:rsidRPr="00D63217">
              <w:rPr>
                <w:lang w:eastAsia="en-AU"/>
              </w:rPr>
              <w:t xml:space="preserve">oybeans, </w:t>
            </w:r>
            <w:r w:rsidR="00902912" w:rsidRPr="00D63217">
              <w:rPr>
                <w:lang w:eastAsia="en-AU"/>
              </w:rPr>
              <w:t>s</w:t>
            </w:r>
            <w:r w:rsidRPr="00D63217">
              <w:rPr>
                <w:lang w:eastAsia="en-AU"/>
              </w:rPr>
              <w:t>unflower</w:t>
            </w:r>
          </w:p>
          <w:p w14:paraId="7230A984" w14:textId="77777777" w:rsidR="00926E9E" w:rsidRPr="00D63217" w:rsidRDefault="00926E9E" w:rsidP="00926E9E">
            <w:pPr>
              <w:pStyle w:val="TableText"/>
              <w:rPr>
                <w:u w:val="single"/>
                <w:lang w:eastAsia="en-AU"/>
              </w:rPr>
            </w:pPr>
            <w:r w:rsidRPr="00D63217">
              <w:rPr>
                <w:u w:val="single"/>
                <w:lang w:eastAsia="en-AU"/>
              </w:rPr>
              <w:t>Pasture</w:t>
            </w:r>
          </w:p>
          <w:p w14:paraId="2BDEE61A" w14:textId="519DDFC7" w:rsidR="00926E9E" w:rsidRPr="00D63217" w:rsidRDefault="00926E9E" w:rsidP="00926E9E">
            <w:pPr>
              <w:pStyle w:val="TableText"/>
              <w:rPr>
                <w:lang w:eastAsia="en-AU"/>
              </w:rPr>
            </w:pPr>
            <w:r w:rsidRPr="00D63217">
              <w:rPr>
                <w:lang w:eastAsia="en-AU"/>
              </w:rPr>
              <w:t xml:space="preserve">Clover </w:t>
            </w:r>
            <w:r w:rsidR="00902912" w:rsidRPr="00D63217">
              <w:rPr>
                <w:lang w:eastAsia="en-AU"/>
              </w:rPr>
              <w:t>g</w:t>
            </w:r>
            <w:r w:rsidRPr="00D63217">
              <w:rPr>
                <w:lang w:eastAsia="en-AU"/>
              </w:rPr>
              <w:t xml:space="preserve">rass, </w:t>
            </w:r>
            <w:r w:rsidR="00902912" w:rsidRPr="00D63217">
              <w:rPr>
                <w:lang w:eastAsia="en-AU"/>
              </w:rPr>
              <w:t>l</w:t>
            </w:r>
            <w:r w:rsidRPr="00D63217">
              <w:rPr>
                <w:lang w:eastAsia="en-AU"/>
              </w:rPr>
              <w:t xml:space="preserve">ucerne, </w:t>
            </w:r>
            <w:r w:rsidR="00902912" w:rsidRPr="00D63217">
              <w:rPr>
                <w:lang w:eastAsia="en-AU"/>
              </w:rPr>
              <w:t>m</w:t>
            </w:r>
            <w:r w:rsidRPr="00D63217">
              <w:rPr>
                <w:lang w:eastAsia="en-AU"/>
              </w:rPr>
              <w:t>edics</w:t>
            </w:r>
          </w:p>
        </w:tc>
        <w:tc>
          <w:tcPr>
            <w:tcW w:w="2693" w:type="dxa"/>
            <w:tcBorders>
              <w:top w:val="nil"/>
              <w:left w:val="nil"/>
              <w:bottom w:val="single" w:sz="4" w:space="0" w:color="auto"/>
              <w:right w:val="single" w:sz="4" w:space="0" w:color="auto"/>
            </w:tcBorders>
            <w:hideMark/>
          </w:tcPr>
          <w:p w14:paraId="4B06A7FE" w14:textId="38DA4BAF" w:rsidR="00926E9E" w:rsidRPr="00D63217" w:rsidRDefault="00926E9E" w:rsidP="00926E9E">
            <w:pPr>
              <w:pStyle w:val="TableText"/>
            </w:pPr>
            <w:r w:rsidRPr="00D63217">
              <w:t xml:space="preserve">Seedling </w:t>
            </w:r>
            <w:r w:rsidR="00902912" w:rsidRPr="00D63217">
              <w:t>g</w:t>
            </w:r>
            <w:r w:rsidRPr="00D63217">
              <w:t xml:space="preserve">rasses: </w:t>
            </w:r>
            <w:r w:rsidR="00902912" w:rsidRPr="00D63217">
              <w:t>a</w:t>
            </w:r>
            <w:r w:rsidRPr="00D63217">
              <w:t xml:space="preserve">nnual </w:t>
            </w:r>
            <w:r w:rsidR="00902912" w:rsidRPr="00D63217">
              <w:t>r</w:t>
            </w:r>
            <w:r w:rsidRPr="00D63217">
              <w:t xml:space="preserve">yegrass (Lolium rigidum), </w:t>
            </w:r>
            <w:r w:rsidR="00902912" w:rsidRPr="00D63217">
              <w:t>b</w:t>
            </w:r>
            <w:r w:rsidRPr="00D63217">
              <w:t xml:space="preserve">arley </w:t>
            </w:r>
            <w:r w:rsidR="00902912" w:rsidRPr="00D63217">
              <w:t>g</w:t>
            </w:r>
            <w:r w:rsidRPr="00D63217">
              <w:t xml:space="preserve">rass (Hordeum spp.), </w:t>
            </w:r>
            <w:r w:rsidR="00902912" w:rsidRPr="00D63217">
              <w:t>b</w:t>
            </w:r>
            <w:r w:rsidRPr="00D63217">
              <w:t xml:space="preserve">rome </w:t>
            </w:r>
            <w:r w:rsidR="00902912" w:rsidRPr="00D63217">
              <w:t>g</w:t>
            </w:r>
            <w:r w:rsidRPr="00D63217">
              <w:t xml:space="preserve">rass (Bromus spp.), </w:t>
            </w:r>
            <w:r w:rsidR="00902912" w:rsidRPr="00D63217">
              <w:t>v</w:t>
            </w:r>
            <w:r w:rsidRPr="00D63217">
              <w:t xml:space="preserve">olunteer </w:t>
            </w:r>
            <w:r w:rsidR="00902912" w:rsidRPr="00D63217">
              <w:t>c</w:t>
            </w:r>
            <w:r w:rsidRPr="00D63217">
              <w:t xml:space="preserve">ereals, </w:t>
            </w:r>
            <w:r w:rsidR="00902912" w:rsidRPr="00D63217">
              <w:t>w</w:t>
            </w:r>
            <w:r w:rsidRPr="00D63217">
              <w:t xml:space="preserve">ild </w:t>
            </w:r>
            <w:r w:rsidR="00902912" w:rsidRPr="00D63217">
              <w:t>o</w:t>
            </w:r>
            <w:r w:rsidRPr="00D63217">
              <w:t>ats (Avena spp.) (2</w:t>
            </w:r>
            <w:r w:rsidR="00902912" w:rsidRPr="00D63217">
              <w:t>–</w:t>
            </w:r>
            <w:r w:rsidRPr="00D63217">
              <w:t>3 leaf)</w:t>
            </w:r>
          </w:p>
          <w:p w14:paraId="615AABE1" w14:textId="77777777" w:rsidR="00926E9E" w:rsidRDefault="00926E9E" w:rsidP="00926E9E">
            <w:pPr>
              <w:pStyle w:val="TableText"/>
            </w:pPr>
            <w:r w:rsidRPr="00D63217">
              <w:t>Vulpia (Silver Grass, Sand Fescue) (Vulpia spp.) (2</w:t>
            </w:r>
            <w:r w:rsidR="00902912" w:rsidRPr="00D63217">
              <w:t>–</w:t>
            </w:r>
            <w:r w:rsidRPr="00D63217">
              <w:t>3 leaf)</w:t>
            </w:r>
          </w:p>
          <w:p w14:paraId="599B4E41" w14:textId="77777777" w:rsidR="00D461C3" w:rsidRDefault="00D461C3" w:rsidP="00D461C3">
            <w:pPr>
              <w:pStyle w:val="TableText"/>
              <w:rPr>
                <w:lang w:eastAsia="en-AU"/>
              </w:rPr>
            </w:pPr>
            <w:r>
              <w:rPr>
                <w:lang w:eastAsia="en-AU"/>
              </w:rPr>
              <w:t>Seedling Brassica Weeds</w:t>
            </w:r>
          </w:p>
          <w:p w14:paraId="3615F865" w14:textId="77777777" w:rsidR="00D461C3" w:rsidRDefault="00D461C3" w:rsidP="00D461C3">
            <w:pPr>
              <w:pStyle w:val="TableText"/>
              <w:rPr>
                <w:lang w:eastAsia="en-AU"/>
              </w:rPr>
            </w:pPr>
            <w:r>
              <w:rPr>
                <w:lang w:eastAsia="en-AU"/>
              </w:rPr>
              <w:t>Other Seedling Broadleaved Weeds</w:t>
            </w:r>
          </w:p>
          <w:p w14:paraId="03E6F9EF" w14:textId="77777777" w:rsidR="00D461C3" w:rsidRDefault="00D461C3" w:rsidP="00D461C3">
            <w:pPr>
              <w:pStyle w:val="TableText"/>
              <w:rPr>
                <w:lang w:eastAsia="en-AU"/>
              </w:rPr>
            </w:pPr>
            <w:r>
              <w:rPr>
                <w:lang w:eastAsia="en-AU"/>
              </w:rPr>
              <w:t>Deadnettle (</w:t>
            </w:r>
            <w:r w:rsidRPr="00D461C3">
              <w:rPr>
                <w:i/>
                <w:iCs/>
                <w:lang w:eastAsia="en-AU"/>
              </w:rPr>
              <w:t>Lamium amplexicaule</w:t>
            </w:r>
            <w:r>
              <w:rPr>
                <w:lang w:eastAsia="en-AU"/>
              </w:rPr>
              <w:t>), Fumitory (</w:t>
            </w:r>
            <w:r w:rsidRPr="00D461C3">
              <w:rPr>
                <w:i/>
                <w:iCs/>
                <w:lang w:eastAsia="en-AU"/>
              </w:rPr>
              <w:t>Fumitory</w:t>
            </w:r>
            <w:r>
              <w:rPr>
                <w:lang w:eastAsia="en-AU"/>
              </w:rPr>
              <w:t xml:space="preserve"> spp.), Melilotus (</w:t>
            </w:r>
            <w:r w:rsidRPr="00D461C3">
              <w:rPr>
                <w:i/>
                <w:iCs/>
                <w:lang w:eastAsia="en-AU"/>
              </w:rPr>
              <w:t>Melilotus</w:t>
            </w:r>
            <w:r>
              <w:rPr>
                <w:lang w:eastAsia="en-AU"/>
              </w:rPr>
              <w:t xml:space="preserve"> spp.), Pimpernel (</w:t>
            </w:r>
            <w:r w:rsidRPr="00D461C3">
              <w:rPr>
                <w:i/>
                <w:iCs/>
                <w:lang w:eastAsia="en-AU"/>
              </w:rPr>
              <w:t>Anagallis</w:t>
            </w:r>
            <w:r>
              <w:rPr>
                <w:lang w:eastAsia="en-AU"/>
              </w:rPr>
              <w:t xml:space="preserve"> spp.), Poppy (</w:t>
            </w:r>
            <w:r w:rsidRPr="00D461C3">
              <w:rPr>
                <w:i/>
                <w:iCs/>
                <w:lang w:eastAsia="en-AU"/>
              </w:rPr>
              <w:t>Papaver</w:t>
            </w:r>
            <w:r>
              <w:rPr>
                <w:lang w:eastAsia="en-AU"/>
              </w:rPr>
              <w:t xml:space="preserve"> spp.), Saffron Thistle (</w:t>
            </w:r>
            <w:r w:rsidRPr="00D461C3">
              <w:rPr>
                <w:i/>
                <w:iCs/>
                <w:lang w:eastAsia="en-AU"/>
              </w:rPr>
              <w:t>Carthmus lanatus</w:t>
            </w:r>
            <w:r>
              <w:rPr>
                <w:lang w:eastAsia="en-AU"/>
              </w:rPr>
              <w:t>), Sheepweed (</w:t>
            </w:r>
            <w:r w:rsidRPr="00D461C3">
              <w:rPr>
                <w:i/>
                <w:iCs/>
                <w:lang w:eastAsia="en-AU"/>
              </w:rPr>
              <w:t>Buglossoides arvensis</w:t>
            </w:r>
            <w:r>
              <w:rPr>
                <w:lang w:eastAsia="en-AU"/>
              </w:rPr>
              <w:t>)</w:t>
            </w:r>
          </w:p>
          <w:p w14:paraId="4F0F04FD" w14:textId="77777777" w:rsidR="00D461C3" w:rsidRDefault="00D461C3" w:rsidP="00D461C3">
            <w:pPr>
              <w:pStyle w:val="TableText"/>
              <w:rPr>
                <w:lang w:eastAsia="en-AU"/>
              </w:rPr>
            </w:pPr>
            <w:r>
              <w:rPr>
                <w:lang w:eastAsia="en-AU"/>
              </w:rPr>
              <w:t>Wireweed (</w:t>
            </w:r>
            <w:r w:rsidRPr="00D461C3">
              <w:rPr>
                <w:i/>
                <w:iCs/>
                <w:lang w:eastAsia="en-AU"/>
              </w:rPr>
              <w:t>Polygonum aviculare</w:t>
            </w:r>
            <w:r>
              <w:rPr>
                <w:lang w:eastAsia="en-AU"/>
              </w:rPr>
              <w:t>)</w:t>
            </w:r>
          </w:p>
          <w:p w14:paraId="0E3F3C79" w14:textId="77777777" w:rsidR="00D461C3" w:rsidRDefault="00D461C3" w:rsidP="00D461C3">
            <w:pPr>
              <w:pStyle w:val="TableText"/>
              <w:rPr>
                <w:lang w:eastAsia="en-AU"/>
              </w:rPr>
            </w:pPr>
            <w:r>
              <w:rPr>
                <w:lang w:eastAsia="en-AU"/>
              </w:rPr>
              <w:t>Marshmallow (</w:t>
            </w:r>
            <w:r w:rsidRPr="00D461C3">
              <w:rPr>
                <w:i/>
                <w:iCs/>
                <w:lang w:eastAsia="en-AU"/>
              </w:rPr>
              <w:t>Malva parviflora</w:t>
            </w:r>
            <w:r>
              <w:rPr>
                <w:lang w:eastAsia="en-AU"/>
              </w:rPr>
              <w:t>)</w:t>
            </w:r>
          </w:p>
          <w:p w14:paraId="212E50CF" w14:textId="2AFFAA47" w:rsidR="00D461C3" w:rsidRPr="00D63217" w:rsidRDefault="00D461C3" w:rsidP="00D461C3">
            <w:pPr>
              <w:pStyle w:val="TableText"/>
              <w:rPr>
                <w:lang w:eastAsia="en-AU"/>
              </w:rPr>
            </w:pPr>
            <w:r>
              <w:rPr>
                <w:lang w:eastAsia="en-AU"/>
              </w:rPr>
              <w:t>Volunteer Beans, Peas &amp; Lupins</w:t>
            </w:r>
          </w:p>
        </w:tc>
        <w:tc>
          <w:tcPr>
            <w:tcW w:w="1985" w:type="dxa"/>
            <w:tcBorders>
              <w:top w:val="nil"/>
              <w:left w:val="single" w:sz="4" w:space="0" w:color="auto"/>
              <w:bottom w:val="single" w:sz="4" w:space="0" w:color="auto"/>
              <w:right w:val="single" w:sz="4" w:space="0" w:color="auto"/>
            </w:tcBorders>
            <w:hideMark/>
          </w:tcPr>
          <w:p w14:paraId="08DED51E" w14:textId="55CE8C84" w:rsidR="00926E9E" w:rsidRPr="00D63217" w:rsidRDefault="00926E9E" w:rsidP="00926E9E">
            <w:pPr>
              <w:pStyle w:val="TableText"/>
              <w:rPr>
                <w:lang w:eastAsia="en-AU"/>
              </w:rPr>
            </w:pPr>
            <w:r w:rsidRPr="00D63217">
              <w:t>Boomspray</w:t>
            </w:r>
          </w:p>
        </w:tc>
        <w:tc>
          <w:tcPr>
            <w:tcW w:w="3118" w:type="dxa"/>
            <w:tcBorders>
              <w:top w:val="nil"/>
              <w:left w:val="single" w:sz="4" w:space="0" w:color="auto"/>
              <w:bottom w:val="single" w:sz="4" w:space="0" w:color="auto"/>
              <w:right w:val="single" w:sz="4" w:space="0" w:color="auto"/>
            </w:tcBorders>
            <w:hideMark/>
          </w:tcPr>
          <w:p w14:paraId="67A2910D" w14:textId="69700E03" w:rsidR="00926E9E" w:rsidRPr="00D63217" w:rsidRDefault="00902912" w:rsidP="00926E9E">
            <w:pPr>
              <w:pStyle w:val="TableText"/>
              <w:rPr>
                <w:lang w:eastAsia="en-AU"/>
              </w:rPr>
            </w:pPr>
            <w:r w:rsidRPr="00D63217">
              <w:t>S</w:t>
            </w:r>
            <w:r w:rsidR="00926E9E" w:rsidRPr="00D63217">
              <w:t xml:space="preserve">upported up to </w:t>
            </w:r>
            <w:r w:rsidR="00C256E7">
              <w:t>251</w:t>
            </w:r>
            <w:r w:rsidR="00C256E7" w:rsidRPr="00D63217">
              <w:t xml:space="preserve"> </w:t>
            </w:r>
            <w:r w:rsidR="00926E9E" w:rsidRPr="00D63217">
              <w:t>g/ha of combined active constituents (700 mL of product/ha)</w:t>
            </w:r>
          </w:p>
        </w:tc>
      </w:tr>
      <w:tr w:rsidR="005A0FB6" w:rsidRPr="00D63217" w14:paraId="5B6D66B0" w14:textId="77777777" w:rsidTr="008B6D07">
        <w:trPr>
          <w:cantSplit/>
          <w:trHeight w:val="864"/>
        </w:trPr>
        <w:tc>
          <w:tcPr>
            <w:tcW w:w="1980" w:type="dxa"/>
            <w:tcBorders>
              <w:top w:val="single" w:sz="4" w:space="0" w:color="auto"/>
              <w:left w:val="single" w:sz="4" w:space="0" w:color="auto"/>
              <w:bottom w:val="single" w:sz="4" w:space="0" w:color="auto"/>
              <w:right w:val="single" w:sz="4" w:space="0" w:color="auto"/>
            </w:tcBorders>
          </w:tcPr>
          <w:p w14:paraId="25150377" w14:textId="334798D4" w:rsidR="005A0FB6" w:rsidRPr="00D63217" w:rsidRDefault="005A0FB6" w:rsidP="005A0FB6">
            <w:pPr>
              <w:pStyle w:val="TableText"/>
            </w:pPr>
            <w:r w:rsidRPr="001B72FD">
              <w:t>Aid to cultivation (Southern Australia - fallow/minimum disturbance)</w:t>
            </w:r>
          </w:p>
        </w:tc>
        <w:tc>
          <w:tcPr>
            <w:tcW w:w="2693" w:type="dxa"/>
            <w:tcBorders>
              <w:top w:val="single" w:sz="4" w:space="0" w:color="auto"/>
              <w:left w:val="nil"/>
              <w:bottom w:val="single" w:sz="4" w:space="0" w:color="auto"/>
              <w:right w:val="single" w:sz="4" w:space="0" w:color="auto"/>
            </w:tcBorders>
          </w:tcPr>
          <w:p w14:paraId="534AB7D7" w14:textId="77777777" w:rsidR="00D461C3" w:rsidRDefault="00D461C3" w:rsidP="00D461C3">
            <w:pPr>
              <w:pStyle w:val="TableText"/>
            </w:pPr>
            <w:r>
              <w:t>Seedling Grasses: Annual Ryegrass (</w:t>
            </w:r>
            <w:r w:rsidRPr="00847BA4">
              <w:rPr>
                <w:i/>
                <w:iCs/>
              </w:rPr>
              <w:t>Lolium rigidum</w:t>
            </w:r>
            <w:r>
              <w:t>), Barley Grass (</w:t>
            </w:r>
            <w:r w:rsidRPr="00847BA4">
              <w:rPr>
                <w:i/>
                <w:iCs/>
              </w:rPr>
              <w:t>Hordeum</w:t>
            </w:r>
            <w:r>
              <w:t xml:space="preserve"> spp.), Brome Grass (</w:t>
            </w:r>
            <w:r w:rsidRPr="00847BA4">
              <w:rPr>
                <w:i/>
                <w:iCs/>
              </w:rPr>
              <w:t>Bromus</w:t>
            </w:r>
            <w:r>
              <w:t xml:space="preserve"> spp.), Volunteer Cereals, Wild Oats (</w:t>
            </w:r>
            <w:r w:rsidRPr="00847BA4">
              <w:rPr>
                <w:i/>
                <w:iCs/>
              </w:rPr>
              <w:t>Avena</w:t>
            </w:r>
            <w:r>
              <w:t xml:space="preserve"> spp.)</w:t>
            </w:r>
          </w:p>
          <w:p w14:paraId="747BA405" w14:textId="77777777" w:rsidR="00D461C3" w:rsidRDefault="00D461C3" w:rsidP="00D461C3">
            <w:pPr>
              <w:pStyle w:val="TableText"/>
            </w:pPr>
            <w:r>
              <w:t>Vulpia (Silver Grass, Sand Fescue) (</w:t>
            </w:r>
            <w:r w:rsidRPr="00847BA4">
              <w:rPr>
                <w:i/>
                <w:iCs/>
              </w:rPr>
              <w:t>Vulpia</w:t>
            </w:r>
            <w:r>
              <w:t xml:space="preserve"> spp.)</w:t>
            </w:r>
          </w:p>
          <w:p w14:paraId="465049C1" w14:textId="77777777" w:rsidR="00D461C3" w:rsidRDefault="00D461C3" w:rsidP="00D461C3">
            <w:pPr>
              <w:pStyle w:val="TableText"/>
            </w:pPr>
            <w:r>
              <w:t>Seedling Grasses</w:t>
            </w:r>
          </w:p>
          <w:p w14:paraId="3232BEF4" w14:textId="112A475C" w:rsidR="005A0FB6" w:rsidRPr="00D63217" w:rsidRDefault="00D461C3" w:rsidP="00D461C3">
            <w:pPr>
              <w:pStyle w:val="TableText"/>
            </w:pPr>
            <w:r>
              <w:t>Sorghum (Sorghum bicolour), Stink Grass (</w:t>
            </w:r>
            <w:r w:rsidRPr="00847BA4">
              <w:rPr>
                <w:i/>
                <w:iCs/>
              </w:rPr>
              <w:t>Eragrostis</w:t>
            </w:r>
            <w:r>
              <w:t xml:space="preserve"> </w:t>
            </w:r>
            <w:r w:rsidRPr="00847BA4">
              <w:rPr>
                <w:i/>
                <w:iCs/>
              </w:rPr>
              <w:t>cilianensis</w:t>
            </w:r>
            <w:r>
              <w:t>)</w:t>
            </w:r>
          </w:p>
        </w:tc>
        <w:tc>
          <w:tcPr>
            <w:tcW w:w="1985" w:type="dxa"/>
            <w:tcBorders>
              <w:top w:val="single" w:sz="4" w:space="0" w:color="auto"/>
              <w:left w:val="single" w:sz="4" w:space="0" w:color="auto"/>
              <w:bottom w:val="single" w:sz="4" w:space="0" w:color="auto"/>
              <w:right w:val="single" w:sz="4" w:space="0" w:color="auto"/>
            </w:tcBorders>
          </w:tcPr>
          <w:p w14:paraId="5FD45E7F" w14:textId="168EFB54" w:rsidR="005A0FB6" w:rsidRPr="00D63217" w:rsidRDefault="008B6D07" w:rsidP="00926E9E">
            <w:pPr>
              <w:pStyle w:val="TableText"/>
            </w:pPr>
            <w:r w:rsidRPr="00D63217">
              <w:t>Boomspray</w:t>
            </w:r>
          </w:p>
        </w:tc>
        <w:tc>
          <w:tcPr>
            <w:tcW w:w="3118" w:type="dxa"/>
            <w:tcBorders>
              <w:top w:val="single" w:sz="4" w:space="0" w:color="auto"/>
              <w:left w:val="single" w:sz="4" w:space="0" w:color="auto"/>
              <w:bottom w:val="single" w:sz="4" w:space="0" w:color="auto"/>
              <w:right w:val="single" w:sz="4" w:space="0" w:color="auto"/>
            </w:tcBorders>
          </w:tcPr>
          <w:p w14:paraId="713A0F64" w14:textId="1CCFEC54" w:rsidR="005A0FB6" w:rsidRPr="00D63217" w:rsidRDefault="008B6D07" w:rsidP="00926E9E">
            <w:pPr>
              <w:pStyle w:val="TableText"/>
            </w:pPr>
            <w:r w:rsidRPr="00D63217">
              <w:t xml:space="preserve">Supported up to </w:t>
            </w:r>
            <w:r>
              <w:t>251</w:t>
            </w:r>
            <w:r w:rsidRPr="00D63217">
              <w:t xml:space="preserve"> g/ha of combined active constituents (700 mL of product/ha)</w:t>
            </w:r>
          </w:p>
        </w:tc>
      </w:tr>
      <w:tr w:rsidR="005A0FB6" w:rsidRPr="00D63217" w14:paraId="5C1A782D" w14:textId="77777777" w:rsidTr="008B6D07">
        <w:trPr>
          <w:cantSplit/>
          <w:trHeight w:val="864"/>
        </w:trPr>
        <w:tc>
          <w:tcPr>
            <w:tcW w:w="1980" w:type="dxa"/>
            <w:tcBorders>
              <w:top w:val="single" w:sz="4" w:space="0" w:color="auto"/>
              <w:left w:val="single" w:sz="4" w:space="0" w:color="auto"/>
              <w:bottom w:val="single" w:sz="4" w:space="0" w:color="auto"/>
              <w:right w:val="single" w:sz="4" w:space="0" w:color="auto"/>
            </w:tcBorders>
          </w:tcPr>
          <w:p w14:paraId="10E2DCB4" w14:textId="7CD0A94B" w:rsidR="005A0FB6" w:rsidRPr="00D63217" w:rsidRDefault="005A0FB6" w:rsidP="00926E9E">
            <w:pPr>
              <w:pStyle w:val="TableText"/>
            </w:pPr>
            <w:r w:rsidRPr="00847BA4">
              <w:lastRenderedPageBreak/>
              <w:t>Aid to cultivation (Northern Australia - full disturbance)</w:t>
            </w:r>
          </w:p>
        </w:tc>
        <w:tc>
          <w:tcPr>
            <w:tcW w:w="2693" w:type="dxa"/>
            <w:tcBorders>
              <w:top w:val="single" w:sz="4" w:space="0" w:color="auto"/>
              <w:left w:val="nil"/>
              <w:bottom w:val="single" w:sz="4" w:space="0" w:color="auto"/>
              <w:right w:val="single" w:sz="4" w:space="0" w:color="auto"/>
            </w:tcBorders>
          </w:tcPr>
          <w:p w14:paraId="25B06631" w14:textId="77777777" w:rsidR="008B6D07" w:rsidRDefault="008B6D07" w:rsidP="008B6D07">
            <w:pPr>
              <w:pStyle w:val="TableText"/>
            </w:pPr>
            <w:r>
              <w:t>Seedling Broadleaved Weeds</w:t>
            </w:r>
          </w:p>
          <w:p w14:paraId="6A39A4C7" w14:textId="7B4D3658" w:rsidR="005A0FB6" w:rsidRPr="00D63217" w:rsidRDefault="008B6D07" w:rsidP="008B6D07">
            <w:pPr>
              <w:pStyle w:val="TableText"/>
            </w:pPr>
            <w:r>
              <w:t>Boggabri (</w:t>
            </w:r>
            <w:r w:rsidRPr="00847BA4">
              <w:rPr>
                <w:i/>
                <w:iCs/>
              </w:rPr>
              <w:t>Amaranthus mitchellii</w:t>
            </w:r>
            <w:r>
              <w:t>), Hexham Scent (</w:t>
            </w:r>
            <w:r w:rsidRPr="00847BA4">
              <w:rPr>
                <w:i/>
                <w:iCs/>
              </w:rPr>
              <w:t>Melilotus indicus</w:t>
            </w:r>
            <w:r>
              <w:t>), Wild Carrot (</w:t>
            </w:r>
            <w:r w:rsidRPr="00847BA4">
              <w:rPr>
                <w:i/>
                <w:iCs/>
              </w:rPr>
              <w:t>Daucus glochidiatus</w:t>
            </w:r>
            <w:r>
              <w:t>), Speedy Weed (</w:t>
            </w:r>
            <w:r w:rsidRPr="00847BA4">
              <w:rPr>
                <w:i/>
                <w:iCs/>
              </w:rPr>
              <w:t>Flaveria australasica</w:t>
            </w:r>
            <w:r>
              <w:t>)</w:t>
            </w:r>
          </w:p>
        </w:tc>
        <w:tc>
          <w:tcPr>
            <w:tcW w:w="1985" w:type="dxa"/>
            <w:tcBorders>
              <w:top w:val="single" w:sz="4" w:space="0" w:color="auto"/>
              <w:left w:val="single" w:sz="4" w:space="0" w:color="auto"/>
              <w:bottom w:val="single" w:sz="4" w:space="0" w:color="auto"/>
              <w:right w:val="single" w:sz="4" w:space="0" w:color="auto"/>
            </w:tcBorders>
          </w:tcPr>
          <w:p w14:paraId="407359C2" w14:textId="14137377" w:rsidR="005A0FB6" w:rsidRPr="00D63217" w:rsidRDefault="008B6D07" w:rsidP="00926E9E">
            <w:pPr>
              <w:pStyle w:val="TableText"/>
            </w:pPr>
            <w:r w:rsidRPr="00D63217">
              <w:t>Boomspray</w:t>
            </w:r>
          </w:p>
        </w:tc>
        <w:tc>
          <w:tcPr>
            <w:tcW w:w="3118" w:type="dxa"/>
            <w:tcBorders>
              <w:top w:val="single" w:sz="4" w:space="0" w:color="auto"/>
              <w:left w:val="single" w:sz="4" w:space="0" w:color="auto"/>
              <w:bottom w:val="single" w:sz="4" w:space="0" w:color="auto"/>
              <w:right w:val="single" w:sz="4" w:space="0" w:color="auto"/>
            </w:tcBorders>
          </w:tcPr>
          <w:p w14:paraId="24473DCC" w14:textId="78BF5D13" w:rsidR="005A0FB6" w:rsidRPr="00D63217" w:rsidRDefault="008B6D07" w:rsidP="00926E9E">
            <w:pPr>
              <w:pStyle w:val="TableText"/>
            </w:pPr>
            <w:r w:rsidRPr="00D63217">
              <w:t xml:space="preserve">Supported up to </w:t>
            </w:r>
            <w:r>
              <w:t>251</w:t>
            </w:r>
            <w:r w:rsidRPr="00D63217">
              <w:t xml:space="preserve"> g/ha of combined active constituents (700 mL of product/ha)</w:t>
            </w:r>
          </w:p>
        </w:tc>
      </w:tr>
      <w:tr w:rsidR="003D3E7C" w:rsidRPr="00D63217" w14:paraId="5BB56945" w14:textId="77777777" w:rsidTr="00847BA4">
        <w:trPr>
          <w:cantSplit/>
          <w:trHeight w:val="864"/>
        </w:trPr>
        <w:tc>
          <w:tcPr>
            <w:tcW w:w="1980" w:type="dxa"/>
            <w:tcBorders>
              <w:top w:val="single" w:sz="4" w:space="0" w:color="auto"/>
              <w:left w:val="single" w:sz="4" w:space="0" w:color="auto"/>
              <w:bottom w:val="single" w:sz="4" w:space="0" w:color="auto"/>
              <w:right w:val="single" w:sz="4" w:space="0" w:color="auto"/>
            </w:tcBorders>
          </w:tcPr>
          <w:p w14:paraId="4446493C" w14:textId="4E54166F" w:rsidR="003D3E7C" w:rsidRPr="00847BA4" w:rsidRDefault="00C47F56" w:rsidP="003D3E7C">
            <w:pPr>
              <w:pStyle w:val="TableText"/>
            </w:pPr>
            <w:r>
              <w:t>Market Gardens, nurseries</w:t>
            </w:r>
            <w:r w:rsidR="00385651">
              <w:t>, vegetable crops, potatoes, pre-emergence weed control</w:t>
            </w:r>
          </w:p>
        </w:tc>
        <w:tc>
          <w:tcPr>
            <w:tcW w:w="2693" w:type="dxa"/>
            <w:tcBorders>
              <w:top w:val="single" w:sz="4" w:space="0" w:color="auto"/>
              <w:left w:val="nil"/>
              <w:bottom w:val="single" w:sz="4" w:space="0" w:color="auto"/>
              <w:right w:val="single" w:sz="4" w:space="0" w:color="auto"/>
            </w:tcBorders>
            <w:vAlign w:val="center"/>
          </w:tcPr>
          <w:p w14:paraId="57745F08" w14:textId="7BA020A7" w:rsidR="003D3E7C" w:rsidRPr="00D63217" w:rsidRDefault="00C47F56" w:rsidP="003D3E7C">
            <w:pPr>
              <w:pStyle w:val="TableText"/>
            </w:pPr>
            <w:r w:rsidRPr="00847BA4">
              <w:t>Most Annual Grasses and Broadleaved Weeds</w:t>
            </w:r>
          </w:p>
        </w:tc>
        <w:tc>
          <w:tcPr>
            <w:tcW w:w="1985" w:type="dxa"/>
            <w:tcBorders>
              <w:top w:val="single" w:sz="4" w:space="0" w:color="auto"/>
              <w:left w:val="single" w:sz="4" w:space="0" w:color="auto"/>
              <w:bottom w:val="single" w:sz="4" w:space="0" w:color="auto"/>
              <w:right w:val="single" w:sz="4" w:space="0" w:color="auto"/>
            </w:tcBorders>
            <w:vAlign w:val="center"/>
          </w:tcPr>
          <w:p w14:paraId="266EA6C0" w14:textId="62EF3DCC" w:rsidR="003D3E7C" w:rsidRPr="00D63217" w:rsidRDefault="00C47F56" w:rsidP="003D3E7C">
            <w:pPr>
              <w:pStyle w:val="TableText"/>
            </w:pPr>
            <w:r>
              <w:t>S</w:t>
            </w:r>
            <w:r w:rsidRPr="00847BA4">
              <w:t>pot spray</w:t>
            </w:r>
            <w:r>
              <w:t xml:space="preserve"> only</w:t>
            </w:r>
          </w:p>
        </w:tc>
        <w:tc>
          <w:tcPr>
            <w:tcW w:w="3118" w:type="dxa"/>
            <w:tcBorders>
              <w:top w:val="single" w:sz="4" w:space="0" w:color="auto"/>
              <w:left w:val="single" w:sz="4" w:space="0" w:color="auto"/>
              <w:bottom w:val="single" w:sz="4" w:space="0" w:color="auto"/>
              <w:right w:val="single" w:sz="4" w:space="0" w:color="auto"/>
            </w:tcBorders>
            <w:vAlign w:val="center"/>
          </w:tcPr>
          <w:p w14:paraId="7DFFDC5A" w14:textId="23194354" w:rsidR="003D3E7C" w:rsidRPr="00D63217" w:rsidRDefault="00C47F56" w:rsidP="003D3E7C">
            <w:pPr>
              <w:pStyle w:val="TableText"/>
            </w:pPr>
            <w:r>
              <w:t>Supported up to 251 g acs/ha (max 40% field treated)</w:t>
            </w:r>
          </w:p>
        </w:tc>
      </w:tr>
      <w:tr w:rsidR="00C47F56" w:rsidRPr="00D63217" w14:paraId="794D7CE9" w14:textId="77777777" w:rsidTr="00847BA4">
        <w:trPr>
          <w:cantSplit/>
          <w:trHeight w:val="864"/>
        </w:trPr>
        <w:tc>
          <w:tcPr>
            <w:tcW w:w="1980" w:type="dxa"/>
            <w:tcBorders>
              <w:top w:val="single" w:sz="4" w:space="0" w:color="auto"/>
              <w:left w:val="single" w:sz="4" w:space="0" w:color="auto"/>
              <w:bottom w:val="single" w:sz="4" w:space="0" w:color="auto"/>
              <w:right w:val="single" w:sz="4" w:space="0" w:color="auto"/>
            </w:tcBorders>
          </w:tcPr>
          <w:p w14:paraId="5BA8401B" w14:textId="6969C127" w:rsidR="00C47F56" w:rsidRPr="00847BA4" w:rsidRDefault="00C47F56" w:rsidP="00C47F56">
            <w:pPr>
              <w:pStyle w:val="TableText"/>
            </w:pPr>
            <w:r w:rsidRPr="00847BA4">
              <w:t>Public Service Areas, Rights-of-Way</w:t>
            </w:r>
            <w:r>
              <w:t xml:space="preserve"> </w:t>
            </w:r>
          </w:p>
        </w:tc>
        <w:tc>
          <w:tcPr>
            <w:tcW w:w="2693" w:type="dxa"/>
            <w:tcBorders>
              <w:top w:val="single" w:sz="4" w:space="0" w:color="auto"/>
              <w:left w:val="nil"/>
              <w:bottom w:val="single" w:sz="4" w:space="0" w:color="auto"/>
              <w:right w:val="single" w:sz="4" w:space="0" w:color="auto"/>
            </w:tcBorders>
            <w:vAlign w:val="center"/>
          </w:tcPr>
          <w:p w14:paraId="60B02785" w14:textId="1923DB86" w:rsidR="00C47F56" w:rsidRPr="00847BA4" w:rsidRDefault="00C47F56" w:rsidP="00C47F56">
            <w:pPr>
              <w:pStyle w:val="TableText"/>
            </w:pPr>
            <w:r w:rsidRPr="00847BA4">
              <w:t>Most Annual Grasses and Broadleaved Weeds</w:t>
            </w:r>
          </w:p>
        </w:tc>
        <w:tc>
          <w:tcPr>
            <w:tcW w:w="1985" w:type="dxa"/>
            <w:tcBorders>
              <w:top w:val="single" w:sz="4" w:space="0" w:color="auto"/>
              <w:left w:val="single" w:sz="4" w:space="0" w:color="auto"/>
              <w:bottom w:val="single" w:sz="4" w:space="0" w:color="auto"/>
              <w:right w:val="single" w:sz="4" w:space="0" w:color="auto"/>
            </w:tcBorders>
            <w:vAlign w:val="center"/>
          </w:tcPr>
          <w:p w14:paraId="60E8FFBE" w14:textId="0FA95BCE" w:rsidR="00C47F56" w:rsidRPr="00847BA4" w:rsidRDefault="00C47F56" w:rsidP="00C47F56">
            <w:pPr>
              <w:pStyle w:val="TableText"/>
            </w:pPr>
            <w:r w:rsidRPr="00847BA4">
              <w:t xml:space="preserve">High volume or power sprayer, spot spray </w:t>
            </w:r>
          </w:p>
        </w:tc>
        <w:tc>
          <w:tcPr>
            <w:tcW w:w="3118" w:type="dxa"/>
            <w:tcBorders>
              <w:top w:val="single" w:sz="4" w:space="0" w:color="auto"/>
              <w:left w:val="single" w:sz="4" w:space="0" w:color="auto"/>
              <w:bottom w:val="single" w:sz="4" w:space="0" w:color="auto"/>
              <w:right w:val="single" w:sz="4" w:space="0" w:color="auto"/>
            </w:tcBorders>
            <w:vAlign w:val="center"/>
          </w:tcPr>
          <w:p w14:paraId="65A80179" w14:textId="6F33A32F" w:rsidR="00C47F56" w:rsidRPr="00847BA4" w:rsidRDefault="00C47F56" w:rsidP="00C47F56">
            <w:pPr>
              <w:pStyle w:val="TableText"/>
            </w:pPr>
            <w:r w:rsidRPr="00847BA4">
              <w:t>Supported</w:t>
            </w:r>
          </w:p>
        </w:tc>
      </w:tr>
    </w:tbl>
    <w:p w14:paraId="5C46B7C3" w14:textId="13D260FF" w:rsidR="001563A2" w:rsidRPr="00C52B84" w:rsidRDefault="001563A2" w:rsidP="00C52B84">
      <w:pPr>
        <w:pStyle w:val="Heading3"/>
      </w:pPr>
      <w:bookmarkStart w:id="418" w:name="_Toc231480897"/>
      <w:bookmarkStart w:id="419" w:name="_Toc233036449"/>
      <w:bookmarkEnd w:id="411"/>
      <w:r w:rsidRPr="00C52B84">
        <w:t>Aid to cultivation; crop, pasture or fallow establishment</w:t>
      </w:r>
      <w:r w:rsidR="00886670" w:rsidRPr="00C52B84">
        <w:t xml:space="preserve"> (supported use: 231 g ac/ha</w:t>
      </w:r>
      <w:r w:rsidR="005141E3" w:rsidRPr="00C52B84">
        <w:t xml:space="preserve"> for paraquat only or 251 g a</w:t>
      </w:r>
      <w:r w:rsidR="000A3608" w:rsidRPr="00C52B84">
        <w:t>cs</w:t>
      </w:r>
      <w:r w:rsidR="005141E3" w:rsidRPr="00C52B84">
        <w:t>/ha for paraquat/diquat combined</w:t>
      </w:r>
      <w:r w:rsidR="00886670" w:rsidRPr="00C52B84">
        <w:t>)</w:t>
      </w:r>
      <w:bookmarkEnd w:id="418"/>
      <w:bookmarkEnd w:id="419"/>
    </w:p>
    <w:p w14:paraId="2004AE20" w14:textId="2DFFA55E" w:rsidR="001563A2" w:rsidRPr="00C52B84" w:rsidRDefault="001563A2" w:rsidP="00C52B84">
      <w:pPr>
        <w:pStyle w:val="NormalText"/>
      </w:pPr>
      <w:r w:rsidRPr="00C52B84">
        <w:t>Crops included on product labels are: canola, chickpeas, cereals (wheat, barley, oats, rye, triticale, sorghum, maize, millet), cotton, field beans, field peas, lentils, linseed, lupins, fodder rape, mungbeans, navy beans, peanuts, pigeon peas, safflower, soybeans, sunflower, pasture (clover, grass, lucerne, medic), vetch. Other products indicate the use for crop, pasture or fallow establishment.</w:t>
      </w:r>
    </w:p>
    <w:p w14:paraId="75EC5B25" w14:textId="550675B0" w:rsidR="001563A2" w:rsidRPr="00D63217" w:rsidRDefault="001563A2" w:rsidP="001563A2">
      <w:pPr>
        <w:pStyle w:val="NormalText"/>
      </w:pPr>
      <w:r w:rsidRPr="00D63217">
        <w:t>The Cereal grain MRL recommended earlier at the LOQ of *0.05 mg/kg would remain appropriate for the supported use as a cultivation aid at a maximum rate lower than currently registered.</w:t>
      </w:r>
    </w:p>
    <w:p w14:paraId="2BDF0258" w14:textId="77777777" w:rsidR="001563A2" w:rsidRPr="00D63217" w:rsidRDefault="001563A2" w:rsidP="001563A2">
      <w:pPr>
        <w:pStyle w:val="NormalText"/>
      </w:pPr>
      <w:r w:rsidRPr="00D63217">
        <w:t>For Pulses other than those with a spray topping use (see below) the MRL recommended earlier at the LOQ of *0.05 mg/kg would remain appropriate for the supported use as a cultivation aid at a maximum rate lower than currently registered.</w:t>
      </w:r>
    </w:p>
    <w:p w14:paraId="65C04B69" w14:textId="77777777" w:rsidR="001563A2" w:rsidRPr="00D63217" w:rsidRDefault="001563A2" w:rsidP="001563A2">
      <w:pPr>
        <w:pStyle w:val="NormalText"/>
      </w:pPr>
      <w:r w:rsidRPr="00D63217">
        <w:t>The LOQ MRL at *0.05 mg/kg recommended for Oilseeds {except Cotton seed} would remain appropriate for the supported use as a cultivation aid at a maximum rate lower than currently registered. As the pre-harvest desiccation use on Cotton is not supported by the environmental assessment the higher Cotton MRL is not required so the MRL at *0.05 mg/kg can be for all oilseeds for the cultivation aid use. This MRL will also cover the supported use on peanuts below.</w:t>
      </w:r>
    </w:p>
    <w:p w14:paraId="1D19F954" w14:textId="2A0696E0" w:rsidR="001563A2" w:rsidRDefault="009165F8" w:rsidP="001563A2">
      <w:pPr>
        <w:pStyle w:val="NormalText"/>
      </w:pPr>
      <w:r w:rsidRPr="009165F8">
        <w:t xml:space="preserve">Although </w:t>
      </w:r>
      <w:r w:rsidR="000A3608">
        <w:t xml:space="preserve">the </w:t>
      </w:r>
      <w:r w:rsidRPr="009165F8">
        <w:t>environment</w:t>
      </w:r>
      <w:r w:rsidR="000A3608">
        <w:t xml:space="preserve"> risk assessment</w:t>
      </w:r>
      <w:r w:rsidRPr="009165F8">
        <w:t xml:space="preserve"> has not supported any of the specific uses of paraquat on sugarcane, the sugarcane MRL at *0.05 mg/kg can remain in place to cover the general use for crop, pasture or fallow establishment.</w:t>
      </w:r>
    </w:p>
    <w:p w14:paraId="3E794713" w14:textId="087EBA80" w:rsidR="001563A2" w:rsidRDefault="001563A2" w:rsidP="001563A2">
      <w:pPr>
        <w:pStyle w:val="NormalText"/>
      </w:pPr>
      <w:r w:rsidRPr="00D63217">
        <w:t>The supported harvest withholding period for these uses is “Not required when used as directed”. The supported grazing withholding period is discussed below.</w:t>
      </w:r>
    </w:p>
    <w:p w14:paraId="2992B405" w14:textId="3D166AEC" w:rsidR="00637B27" w:rsidRPr="00D63217" w:rsidRDefault="00637B27" w:rsidP="001563A2">
      <w:pPr>
        <w:pStyle w:val="NormalText"/>
      </w:pPr>
      <w:r>
        <w:lastRenderedPageBreak/>
        <w:t xml:space="preserve">The LOQ MRLs recommended above would also cover use on fallow by optical spot sprayers </w:t>
      </w:r>
      <w:r w:rsidR="001B1D35">
        <w:t xml:space="preserve">prior to planting a crop </w:t>
      </w:r>
      <w:r>
        <w:t>with only 30% of the area treated to a maximum rate of 231 g ac/ha.</w:t>
      </w:r>
    </w:p>
    <w:p w14:paraId="522FC13C" w14:textId="01D66261" w:rsidR="00A572A2" w:rsidRPr="00C52B84" w:rsidRDefault="00A572A2" w:rsidP="00C52B84">
      <w:pPr>
        <w:pStyle w:val="Heading3"/>
      </w:pPr>
      <w:bookmarkStart w:id="420" w:name="_Toc231480898"/>
      <w:bookmarkStart w:id="421" w:name="_Toc233036450"/>
      <w:r w:rsidRPr="00C52B84">
        <w:t>Market Gardens and nurseries</w:t>
      </w:r>
      <w:r w:rsidR="00385651" w:rsidRPr="00C52B84">
        <w:t>, vegetable crops and potatoes pre-emergent or early emergent weed control</w:t>
      </w:r>
      <w:r w:rsidRPr="00C52B84">
        <w:t xml:space="preserve"> (supported at up to 251 g a</w:t>
      </w:r>
      <w:r w:rsidR="00A812AC" w:rsidRPr="00C52B84">
        <w:t>cs</w:t>
      </w:r>
      <w:r w:rsidRPr="00C52B84">
        <w:t>/ha for paraquat/diquat combined – spot spraying only)</w:t>
      </w:r>
      <w:bookmarkEnd w:id="420"/>
      <w:bookmarkEnd w:id="421"/>
    </w:p>
    <w:p w14:paraId="0D14EDAC" w14:textId="5C7E9CB6" w:rsidR="00A572A2" w:rsidRPr="00A572A2" w:rsidRDefault="00A572A2" w:rsidP="00C52B84">
      <w:pPr>
        <w:pStyle w:val="NormalText"/>
        <w:rPr>
          <w:sz w:val="20"/>
          <w:szCs w:val="20"/>
          <w:lang w:eastAsia="en-AU"/>
        </w:rPr>
      </w:pPr>
      <w:r w:rsidRPr="00A572A2">
        <w:rPr>
          <w:lang w:eastAsia="en-AU"/>
        </w:rPr>
        <w:t>A lower rate has been supported</w:t>
      </w:r>
      <w:r w:rsidR="00385651">
        <w:rPr>
          <w:lang w:eastAsia="en-AU"/>
        </w:rPr>
        <w:t xml:space="preserve"> by the environment risk assessment</w:t>
      </w:r>
      <w:r w:rsidRPr="00A572A2">
        <w:rPr>
          <w:lang w:eastAsia="en-AU"/>
        </w:rPr>
        <w:t xml:space="preserve"> but </w:t>
      </w:r>
      <w:r w:rsidR="00385651">
        <w:rPr>
          <w:lang w:eastAsia="en-AU"/>
        </w:rPr>
        <w:t xml:space="preserve">the APVMA </w:t>
      </w:r>
      <w:r w:rsidRPr="00A572A2">
        <w:rPr>
          <w:lang w:eastAsia="en-AU"/>
        </w:rPr>
        <w:t>have previously proposed LOQ MRLs for paraquat for various vegetables (except potatoes), herbs, spices and berries and other small fruits (except grapes).</w:t>
      </w:r>
    </w:p>
    <w:p w14:paraId="188FC341" w14:textId="2BA4010A" w:rsidR="00A572A2" w:rsidRPr="00A812AC" w:rsidRDefault="00A572A2" w:rsidP="00C52B84">
      <w:pPr>
        <w:pStyle w:val="NormalText"/>
        <w:rPr>
          <w:sz w:val="20"/>
          <w:szCs w:val="20"/>
          <w:lang w:eastAsia="en-AU"/>
        </w:rPr>
      </w:pPr>
      <w:r w:rsidRPr="00A572A2">
        <w:rPr>
          <w:lang w:eastAsia="en-AU"/>
        </w:rPr>
        <w:t>It is recommended that these LOQ MRLs will continue to remain appropriate for the supported lower application rate (a separate MRL for potatoes is not required as the pre-harvest use on potatoes has not been supported).</w:t>
      </w:r>
    </w:p>
    <w:p w14:paraId="2B714CAB" w14:textId="7D2F3EF9" w:rsidR="00886670" w:rsidRPr="00C52B84" w:rsidRDefault="00886670" w:rsidP="00C52B84">
      <w:pPr>
        <w:pStyle w:val="Heading3"/>
      </w:pPr>
      <w:bookmarkStart w:id="422" w:name="_Toc231480899"/>
      <w:bookmarkStart w:id="423" w:name="_Toc233036451"/>
      <w:r w:rsidRPr="00C52B84">
        <w:t>Peanuts (supported use: 231 g ac/ha)</w:t>
      </w:r>
      <w:bookmarkEnd w:id="422"/>
      <w:bookmarkEnd w:id="423"/>
    </w:p>
    <w:p w14:paraId="34970EC5" w14:textId="000CFE94" w:rsidR="00886670" w:rsidRPr="00D63217" w:rsidRDefault="00886670" w:rsidP="00886670">
      <w:pPr>
        <w:pStyle w:val="NormalText"/>
      </w:pPr>
      <w:r w:rsidRPr="00D63217">
        <w:t>The supported use on peanuts from the environmental assessment was for application at up to the 7-8 leaf stage at 2</w:t>
      </w:r>
      <w:r w:rsidR="009165F8">
        <w:t>13</w:t>
      </w:r>
      <w:r w:rsidRPr="00D63217">
        <w:t xml:space="preserve"> g a</w:t>
      </w:r>
      <w:r w:rsidR="00EE520A" w:rsidRPr="00D63217">
        <w:t>c</w:t>
      </w:r>
      <w:r w:rsidRPr="00D63217">
        <w:t>/ha. The supported rate change is within 25% of the maximum registered rate</w:t>
      </w:r>
      <w:r w:rsidR="004856FF">
        <w:t xml:space="preserve"> (250 g ac/ha)</w:t>
      </w:r>
      <w:r w:rsidRPr="00D63217">
        <w:t>. The previous recommendations with respect to peanuts remain appropriate and the use will be covered by the Oilseeds MRL recommended above at *0.05 mg/kg.</w:t>
      </w:r>
    </w:p>
    <w:p w14:paraId="670D6E77" w14:textId="01CDB386" w:rsidR="00886670" w:rsidRPr="00D63217" w:rsidRDefault="00886670" w:rsidP="00886670">
      <w:pPr>
        <w:pStyle w:val="NormalText"/>
      </w:pPr>
      <w:r w:rsidRPr="00D63217">
        <w:t>A harvest withholding period statement of ‘NOT required when used as directed’ is appropriate as the use is only permitted up to the 7-8 leaf stage. The supported grazing withholding period is discussed below.</w:t>
      </w:r>
    </w:p>
    <w:p w14:paraId="552AE2EA" w14:textId="429BC29F" w:rsidR="00EE520A" w:rsidRPr="00C52B84" w:rsidRDefault="00EE520A" w:rsidP="00C52B84">
      <w:pPr>
        <w:pStyle w:val="Heading3"/>
      </w:pPr>
      <w:bookmarkStart w:id="424" w:name="_Toc231480900"/>
      <w:bookmarkStart w:id="425" w:name="_Toc233036452"/>
      <w:r w:rsidRPr="00C52B84">
        <w:t>Spray topping to reduce seed set (Field peas, Lupins, Lentils, Chickpeas, Faba Beans</w:t>
      </w:r>
      <w:r w:rsidR="001C5F44" w:rsidRPr="00C52B84">
        <w:t xml:space="preserve">.  Supported use: </w:t>
      </w:r>
      <w:r w:rsidR="000668CE" w:rsidRPr="00C52B84">
        <w:t xml:space="preserve">200 </w:t>
      </w:r>
      <w:r w:rsidR="001C5F44" w:rsidRPr="00C52B84">
        <w:t>g ac/ha</w:t>
      </w:r>
      <w:r w:rsidRPr="00C52B84">
        <w:t>)</w:t>
      </w:r>
      <w:bookmarkEnd w:id="424"/>
      <w:bookmarkEnd w:id="425"/>
    </w:p>
    <w:p w14:paraId="6DF77BB2" w14:textId="106559C3" w:rsidR="00EE520A" w:rsidRPr="00D63217" w:rsidRDefault="00EE520A" w:rsidP="00EE520A">
      <w:pPr>
        <w:pStyle w:val="NormalText"/>
      </w:pPr>
      <w:r w:rsidRPr="00D63217">
        <w:t>The use pattern for spray topping to control seed set of annual rye grass in field peas, lupins, lentils, chickpeas and faba beans, supported by the environmental assessment</w:t>
      </w:r>
      <w:r w:rsidR="001C5F44" w:rsidRPr="00D63217">
        <w:t>,</w:t>
      </w:r>
      <w:r w:rsidRPr="00D63217">
        <w:t xml:space="preserve"> at</w:t>
      </w:r>
      <w:r w:rsidR="009165F8">
        <w:t xml:space="preserve"> the</w:t>
      </w:r>
      <w:r w:rsidRPr="00D63217">
        <w:t xml:space="preserve"> maximum rate of 200 g ac/ha. Australian trials with chickpeas, field peas and lupins at </w:t>
      </w:r>
      <w:r w:rsidR="00A812AC">
        <w:t>200</w:t>
      </w:r>
      <w:r w:rsidRPr="00D63217">
        <w:t xml:space="preserve"> and </w:t>
      </w:r>
      <w:r w:rsidR="00A812AC">
        <w:t xml:space="preserve">400 </w:t>
      </w:r>
      <w:r w:rsidRPr="00D63217">
        <w:t xml:space="preserve">g ac/ha found residues in seed were up to 0.41 mg/kg at the label rate and up to 0.54 mg/kg at double the maximum application rate following a 14 day PHI. Residues at 14-15 day PHI (or later if higher) following one application at </w:t>
      </w:r>
      <w:r w:rsidR="00A812AC">
        <w:t xml:space="preserve">200 </w:t>
      </w:r>
      <w:r w:rsidRPr="00D63217">
        <w:t>g ac/ha were 0.05, 0.1, 0.31 and 0.41 mg/kg. Given the limited dataset that relies on residues remaining within the MRL for the higher application rates, the previously recommended MRLs in relation to pulses will remain appropriate for the supported use at the lower rate:</w:t>
      </w:r>
    </w:p>
    <w:p w14:paraId="2AF3EB5D" w14:textId="77777777" w:rsidR="00EE520A" w:rsidRPr="00D63217" w:rsidRDefault="00EE520A" w:rsidP="00EE520A">
      <w:pPr>
        <w:pStyle w:val="NormalText"/>
      </w:pPr>
      <w:r w:rsidRPr="00D63217">
        <w:t>The recommended entries into the MRL Standard for pulses are as follows noting that the most common LOQ in the available pulse trials was 0.05 mg/kg:</w:t>
      </w:r>
    </w:p>
    <w:p w14:paraId="1F33BB48" w14:textId="337F75A9" w:rsidR="00EE520A" w:rsidRPr="00D63217" w:rsidRDefault="00EE520A" w:rsidP="00EE520A">
      <w:pPr>
        <w:pStyle w:val="NormalText"/>
        <w:spacing w:after="0"/>
        <w:ind w:firstLine="567"/>
      </w:pPr>
      <w:r w:rsidRPr="00D63217">
        <w:t>VD 0070 Pulses</w:t>
      </w:r>
      <w:r w:rsidRPr="00D63217">
        <w:tab/>
      </w:r>
      <w:r w:rsidRPr="00D63217">
        <w:tab/>
      </w:r>
      <w:r w:rsidRPr="00D63217">
        <w:tab/>
      </w:r>
      <w:r w:rsidRPr="00D63217">
        <w:tab/>
      </w:r>
      <w:r w:rsidRPr="00D63217">
        <w:tab/>
      </w:r>
      <w:r w:rsidRPr="00D63217">
        <w:tab/>
      </w:r>
      <w:r w:rsidRPr="00D63217">
        <w:tab/>
      </w:r>
      <w:r w:rsidRPr="00D63217">
        <w:tab/>
      </w:r>
      <w:r w:rsidRPr="00D63217">
        <w:tab/>
        <w:t>*0.05 mg/kg</w:t>
      </w:r>
    </w:p>
    <w:p w14:paraId="0FB87F4F" w14:textId="4A3E67F3" w:rsidR="00EE520A" w:rsidRPr="00D63217" w:rsidRDefault="00EE520A" w:rsidP="00EE520A">
      <w:pPr>
        <w:pStyle w:val="NormalText"/>
        <w:spacing w:before="0"/>
        <w:ind w:firstLine="567"/>
      </w:pPr>
      <w:r w:rsidRPr="00D63217">
        <w:t>{except Broad bean (dry); Chick-pea (dry); Field pea (dry); Lentil (dry); Lupin (dry)}</w:t>
      </w:r>
    </w:p>
    <w:p w14:paraId="33F8C23B" w14:textId="617DC8E4" w:rsidR="00EE520A" w:rsidRPr="00D63217" w:rsidRDefault="00EE520A" w:rsidP="00EE520A">
      <w:pPr>
        <w:pStyle w:val="NormalText"/>
      </w:pPr>
      <w:r w:rsidRPr="00D63217">
        <w:tab/>
        <w:t>VD 0523 Broad bean (dry) [faba bean (dry)]</w:t>
      </w:r>
      <w:r w:rsidRPr="00D63217">
        <w:tab/>
      </w:r>
      <w:r w:rsidRPr="00D63217">
        <w:tab/>
      </w:r>
      <w:r w:rsidRPr="00D63217">
        <w:tab/>
      </w:r>
      <w:r w:rsidRPr="00D63217">
        <w:tab/>
      </w:r>
      <w:r w:rsidRPr="00D63217">
        <w:tab/>
        <w:t>1 mg/kg</w:t>
      </w:r>
    </w:p>
    <w:p w14:paraId="694024AD" w14:textId="1CE107F0" w:rsidR="00EE520A" w:rsidRPr="00D63217" w:rsidRDefault="00EE520A" w:rsidP="00EE520A">
      <w:pPr>
        <w:pStyle w:val="NormalText"/>
      </w:pPr>
      <w:r w:rsidRPr="00D63217">
        <w:tab/>
        <w:t>VD 0524 Chick-pea (dry)</w:t>
      </w:r>
      <w:r w:rsidRPr="00D63217">
        <w:tab/>
      </w:r>
      <w:r w:rsidRPr="00D63217">
        <w:tab/>
      </w:r>
      <w:r w:rsidRPr="00D63217">
        <w:tab/>
      </w:r>
      <w:r w:rsidRPr="00D63217">
        <w:tab/>
      </w:r>
      <w:r w:rsidRPr="00D63217">
        <w:tab/>
      </w:r>
      <w:r w:rsidRPr="00D63217">
        <w:tab/>
      </w:r>
      <w:r w:rsidRPr="00D63217">
        <w:tab/>
      </w:r>
      <w:r w:rsidRPr="00D63217">
        <w:tab/>
        <w:t>1 mg/kg</w:t>
      </w:r>
    </w:p>
    <w:p w14:paraId="5CCBF97B" w14:textId="3F818E8E" w:rsidR="00EE520A" w:rsidRPr="00D63217" w:rsidRDefault="00EE520A" w:rsidP="00EE520A">
      <w:pPr>
        <w:pStyle w:val="NormalText"/>
      </w:pPr>
      <w:r w:rsidRPr="00D63217">
        <w:lastRenderedPageBreak/>
        <w:tab/>
        <w:t>VD 0561 Field pea (dry)</w:t>
      </w:r>
      <w:r w:rsidRPr="00D63217">
        <w:tab/>
      </w:r>
      <w:r w:rsidRPr="00D63217">
        <w:tab/>
      </w:r>
      <w:r w:rsidRPr="00D63217">
        <w:tab/>
      </w:r>
      <w:r w:rsidRPr="00D63217">
        <w:tab/>
      </w:r>
      <w:r w:rsidRPr="00D63217">
        <w:tab/>
      </w:r>
      <w:r w:rsidRPr="00D63217">
        <w:tab/>
      </w:r>
      <w:r w:rsidRPr="00D63217">
        <w:tab/>
      </w:r>
      <w:r w:rsidRPr="00D63217">
        <w:tab/>
        <w:t>1 mg/kg</w:t>
      </w:r>
    </w:p>
    <w:p w14:paraId="182ECE76" w14:textId="7CFA56A0" w:rsidR="00EE520A" w:rsidRPr="00D63217" w:rsidRDefault="00EE520A" w:rsidP="00EE520A">
      <w:pPr>
        <w:pStyle w:val="NormalText"/>
        <w:ind w:firstLine="567"/>
      </w:pPr>
      <w:r w:rsidRPr="00D63217">
        <w:t>VD 0533 Lentil (dry)</w:t>
      </w:r>
      <w:r w:rsidRPr="00D63217">
        <w:tab/>
      </w:r>
      <w:r w:rsidRPr="00D63217">
        <w:tab/>
      </w:r>
      <w:r w:rsidRPr="00D63217">
        <w:tab/>
      </w:r>
      <w:r w:rsidRPr="00D63217">
        <w:tab/>
      </w:r>
      <w:r w:rsidRPr="00D63217">
        <w:tab/>
      </w:r>
      <w:r w:rsidRPr="00D63217">
        <w:tab/>
      </w:r>
      <w:r w:rsidRPr="00D63217">
        <w:tab/>
      </w:r>
      <w:r w:rsidRPr="00D63217">
        <w:tab/>
      </w:r>
      <w:r w:rsidRPr="00D63217">
        <w:tab/>
        <w:t>1 mg/kg</w:t>
      </w:r>
    </w:p>
    <w:p w14:paraId="56B3321F" w14:textId="12872B0E" w:rsidR="00EE520A" w:rsidRPr="00D63217" w:rsidRDefault="00EE520A" w:rsidP="00EE520A">
      <w:pPr>
        <w:pStyle w:val="NormalText"/>
        <w:ind w:firstLine="567"/>
      </w:pPr>
      <w:r w:rsidRPr="00D63217">
        <w:t>VD 0545 Lupin (dry)</w:t>
      </w:r>
      <w:r w:rsidRPr="00D63217">
        <w:tab/>
      </w:r>
      <w:r w:rsidRPr="00D63217">
        <w:tab/>
      </w:r>
      <w:r w:rsidRPr="00D63217">
        <w:tab/>
      </w:r>
      <w:r w:rsidRPr="00D63217">
        <w:tab/>
      </w:r>
      <w:r w:rsidRPr="00D63217">
        <w:tab/>
      </w:r>
      <w:r w:rsidRPr="00D63217">
        <w:tab/>
      </w:r>
      <w:r w:rsidRPr="00D63217">
        <w:tab/>
      </w:r>
      <w:r w:rsidRPr="00D63217">
        <w:tab/>
      </w:r>
      <w:r w:rsidRPr="00D63217">
        <w:tab/>
        <w:t>1 mg/kg</w:t>
      </w:r>
    </w:p>
    <w:p w14:paraId="536A4E65" w14:textId="5807B114" w:rsidR="00EE520A" w:rsidRPr="00D63217" w:rsidRDefault="00EE520A" w:rsidP="00EE520A">
      <w:pPr>
        <w:pStyle w:val="NormalText"/>
      </w:pPr>
      <w:r w:rsidRPr="00D63217">
        <w:t xml:space="preserve">As before, the data supports a 14 day withholding period for the spray toping use at </w:t>
      </w:r>
      <w:r w:rsidR="00D7201A">
        <w:t xml:space="preserve"> </w:t>
      </w:r>
      <w:r w:rsidR="009165F8">
        <w:t>200</w:t>
      </w:r>
      <w:r w:rsidRPr="00D63217">
        <w:t xml:space="preserve"> g ac/ha for chickpeas, faba beans, field peas, lentils and lupins. For labels with a 7 day withholding period for this use pattern, the withholding period should be changed to 14 days as there was insufficient residues data addressing a 7 day withholding period. For other pulses the supported withholding period is “Not required when used as directed” as the use would be pre-emergent or directed to inter row weeds. The supported grazing withholding period is discussed below.</w:t>
      </w:r>
    </w:p>
    <w:p w14:paraId="24EEF1C9" w14:textId="77777777" w:rsidR="001C5F44" w:rsidRPr="00D63217" w:rsidRDefault="001C5F44" w:rsidP="00B53AC2">
      <w:pPr>
        <w:pStyle w:val="Heading3"/>
      </w:pPr>
      <w:bookmarkStart w:id="426" w:name="_Toc231480901"/>
      <w:bookmarkStart w:id="427" w:name="_Toc233036453"/>
      <w:r w:rsidRPr="00D63217">
        <w:t>Rice</w:t>
      </w:r>
      <w:bookmarkEnd w:id="426"/>
      <w:bookmarkEnd w:id="427"/>
    </w:p>
    <w:p w14:paraId="7DBE7F09" w14:textId="5B853EAC" w:rsidR="001C5F44" w:rsidRPr="00D63217" w:rsidRDefault="001C5F44" w:rsidP="001C5F44">
      <w:pPr>
        <w:pStyle w:val="NormalText"/>
      </w:pPr>
      <w:r w:rsidRPr="00D63217">
        <w:t>The use on rice supported by the environmental risk assessment was the maximum post-sowing, pre-crop emergence use on the current labels of 200 g ac/ha. A use on rice pre-crop emergence at 200 g a</w:t>
      </w:r>
      <w:r w:rsidR="0002154D" w:rsidRPr="00D63217">
        <w:t>c</w:t>
      </w:r>
      <w:r w:rsidRPr="00D63217">
        <w:t>/ha as registered should not require any changes to the earlier recommended Cereal grains MRL at the LOQ at *0.05 mg/kg.</w:t>
      </w:r>
    </w:p>
    <w:p w14:paraId="37D5CD90" w14:textId="119E06D5" w:rsidR="001C5F44" w:rsidRPr="00D63217" w:rsidRDefault="001C5F44" w:rsidP="001C5F44">
      <w:pPr>
        <w:pStyle w:val="NormalText"/>
      </w:pPr>
      <w:r w:rsidRPr="00D63217">
        <w:t>A harvest withholding period statement of ‘NOT required when used as directed’ is appropriate for rice as the use is pre-sowing or post sowing / pre-crop emergence. The supported grazing withholding period is discussed below.</w:t>
      </w:r>
    </w:p>
    <w:p w14:paraId="3D08E5A1" w14:textId="5135A23E" w:rsidR="00130AB3" w:rsidRPr="00D63217" w:rsidRDefault="00130AB3" w:rsidP="00130AB3">
      <w:pPr>
        <w:pStyle w:val="Heading3"/>
      </w:pPr>
      <w:bookmarkStart w:id="428" w:name="_Toc231480902"/>
      <w:bookmarkStart w:id="429" w:name="_Toc233036454"/>
      <w:r w:rsidRPr="00D63217">
        <w:t>Required animal commodity MRLs</w:t>
      </w:r>
      <w:bookmarkEnd w:id="428"/>
      <w:bookmarkEnd w:id="429"/>
    </w:p>
    <w:p w14:paraId="49711838" w14:textId="59C463D1" w:rsidR="0002154D" w:rsidRPr="00D63217" w:rsidRDefault="0002154D" w:rsidP="0002154D">
      <w:pPr>
        <w:pStyle w:val="NormalText"/>
      </w:pPr>
      <w:r w:rsidRPr="00D63217">
        <w:t>In pre-emergence grass pasture, trials from the US indicate that at current Australian rates up to 600 g ac/ha, no detectable residues in grass forage or hay would be expected. No finite residues are expected in cereal grain forage or fodder as the use pattern is solely a pre-emergent/pre-sowing one. A similar outcome is expected for oilseeds. The maximum residue in fodder or straw of pulses was 12 mg/kg following the Australian GAP. Residue data for peanut hay which can form 60% of the diet for beef and dairy cattle are not available. Highest residues in lucerne and clover forage and fodder after application at 600 g ac/ha were similar at 170 – 180 mg/kg (dry weight), although higher residues were observed in birdsfoot trefoil. Extrapolating the lucerne and clover data and scaling to the maximum application rate for peanuts of 2</w:t>
      </w:r>
      <w:r w:rsidR="002830F3">
        <w:t>13</w:t>
      </w:r>
      <w:r w:rsidRPr="00D63217">
        <w:t xml:space="preserve"> g ac/ha the estimated HR in peanut forage and fodder is </w:t>
      </w:r>
      <w:r w:rsidR="002830F3">
        <w:t>63.9</w:t>
      </w:r>
      <w:r w:rsidRPr="00D63217">
        <w:t xml:space="preserve"> mg/kg (dry weight).</w:t>
      </w:r>
    </w:p>
    <w:p w14:paraId="5C590280" w14:textId="5726C12D" w:rsidR="0002154D" w:rsidRPr="00D63217" w:rsidRDefault="0002154D" w:rsidP="0002154D">
      <w:pPr>
        <w:pStyle w:val="NormalText"/>
      </w:pPr>
      <w:r w:rsidRPr="00D63217">
        <w:t>The paraquat Primary Feed Commodities MRL at 500 mg/kg can be reduced to 100 mg/kg should the only supported use in animal feeds apart from pre-emergent application, be for post emergent treatment of peanuts or for spray-topping selected pulse crops.</w:t>
      </w:r>
    </w:p>
    <w:p w14:paraId="6C9FBCE8" w14:textId="6A9B7D16" w:rsidR="0002154D" w:rsidRPr="00D63217" w:rsidRDefault="0002154D" w:rsidP="0002154D">
      <w:pPr>
        <w:pStyle w:val="NormalText"/>
      </w:pPr>
      <w:r w:rsidRPr="00D63217">
        <w:t xml:space="preserve">The worst-case animal feeding burden (assuming 100% of the diet of mammalian livestock was from </w:t>
      </w:r>
      <w:r w:rsidR="003240EA">
        <w:t xml:space="preserve">peanut </w:t>
      </w:r>
      <w:r w:rsidR="005141E3">
        <w:t>forage/fodder</w:t>
      </w:r>
      <w:r w:rsidRPr="00D63217">
        <w:t xml:space="preserve">) is </w:t>
      </w:r>
      <w:r w:rsidR="003240EA">
        <w:t>64</w:t>
      </w:r>
      <w:r w:rsidRPr="00D63217">
        <w:t xml:space="preserve"> ppm. In available animal transfer studies, feeding at 80 ppm gave a HR in kidney of 0.31 mg/kg, noting that residues in kidney plateaued at higher doses (so the MRLs would also be appropriate for higher dietary burdens). It is concluded that the following mammalian commodity MRLs which are currently in the MRL standard remain appropriate:</w:t>
      </w:r>
    </w:p>
    <w:p w14:paraId="09E8837D" w14:textId="32C47E62" w:rsidR="0002154D" w:rsidRPr="00D63217" w:rsidRDefault="0002154D" w:rsidP="0002154D">
      <w:pPr>
        <w:pStyle w:val="NormalText"/>
      </w:pPr>
      <w:r w:rsidRPr="00D63217">
        <w:tab/>
        <w:t>MO 0105 Edible offal (mammalian)</w:t>
      </w:r>
      <w:r w:rsidRPr="00D63217">
        <w:tab/>
      </w:r>
      <w:r w:rsidRPr="00D63217">
        <w:tab/>
      </w:r>
      <w:r w:rsidR="00E66183" w:rsidRPr="00D63217">
        <w:tab/>
      </w:r>
      <w:r w:rsidR="00E66183" w:rsidRPr="00D63217">
        <w:tab/>
      </w:r>
      <w:r w:rsidR="00E66183" w:rsidRPr="00D63217">
        <w:tab/>
      </w:r>
      <w:r w:rsidR="00E66183" w:rsidRPr="00D63217">
        <w:tab/>
      </w:r>
      <w:r w:rsidR="00121387">
        <w:tab/>
      </w:r>
      <w:r w:rsidRPr="00D63217">
        <w:t>0.5 mg/kg</w:t>
      </w:r>
    </w:p>
    <w:p w14:paraId="380915B2" w14:textId="4885788E" w:rsidR="0002154D" w:rsidRPr="00D63217" w:rsidRDefault="0002154D" w:rsidP="0002154D">
      <w:pPr>
        <w:pStyle w:val="NormalText"/>
      </w:pPr>
      <w:r w:rsidRPr="00D63217">
        <w:lastRenderedPageBreak/>
        <w:tab/>
        <w:t>MM 0095 Meat (mammalian)</w:t>
      </w:r>
      <w:r w:rsidRPr="00D63217">
        <w:tab/>
      </w:r>
      <w:r w:rsidRPr="00D63217">
        <w:tab/>
      </w:r>
      <w:r w:rsidRPr="00D63217">
        <w:tab/>
      </w:r>
      <w:r w:rsidR="00E66183" w:rsidRPr="00D63217">
        <w:tab/>
      </w:r>
      <w:r w:rsidR="00E66183" w:rsidRPr="00D63217">
        <w:tab/>
      </w:r>
      <w:r w:rsidR="00E66183" w:rsidRPr="00D63217">
        <w:tab/>
      </w:r>
      <w:r w:rsidR="00E66183" w:rsidRPr="00D63217">
        <w:tab/>
      </w:r>
      <w:r w:rsidRPr="00D63217">
        <w:t>*0.05 mg/kg</w:t>
      </w:r>
    </w:p>
    <w:p w14:paraId="4F922BD9" w14:textId="4AEDCBF6" w:rsidR="0002154D" w:rsidRPr="00D63217" w:rsidRDefault="0002154D" w:rsidP="0002154D">
      <w:pPr>
        <w:pStyle w:val="NormalText"/>
      </w:pPr>
      <w:r w:rsidRPr="00D63217">
        <w:tab/>
        <w:t>ML 0106 Milks</w:t>
      </w:r>
      <w:r w:rsidRPr="00D63217">
        <w:tab/>
      </w:r>
      <w:r w:rsidRPr="00D63217">
        <w:tab/>
      </w:r>
      <w:r w:rsidRPr="00D63217">
        <w:tab/>
      </w:r>
      <w:r w:rsidRPr="00D63217">
        <w:tab/>
      </w:r>
      <w:r w:rsidR="00E66183" w:rsidRPr="00D63217">
        <w:tab/>
      </w:r>
      <w:r w:rsidR="00E66183" w:rsidRPr="00D63217">
        <w:tab/>
      </w:r>
      <w:r w:rsidR="00E66183" w:rsidRPr="00D63217">
        <w:tab/>
      </w:r>
      <w:r w:rsidR="00E66183" w:rsidRPr="00D63217">
        <w:tab/>
      </w:r>
      <w:r w:rsidR="00E66183" w:rsidRPr="00D63217">
        <w:tab/>
      </w:r>
      <w:r w:rsidR="00121387">
        <w:tab/>
      </w:r>
      <w:r w:rsidRPr="00D63217">
        <w:t>*0.05 mg/kg</w:t>
      </w:r>
    </w:p>
    <w:p w14:paraId="30F2CBD2" w14:textId="77777777" w:rsidR="0002154D" w:rsidRPr="00D63217" w:rsidRDefault="0002154D" w:rsidP="0002154D">
      <w:pPr>
        <w:pStyle w:val="NormalText"/>
      </w:pPr>
      <w:r w:rsidRPr="00D63217">
        <w:t>The following label statements are recommended:</w:t>
      </w:r>
    </w:p>
    <w:p w14:paraId="2D9C416B" w14:textId="77777777" w:rsidR="0002154D" w:rsidRPr="00D63217" w:rsidRDefault="0002154D" w:rsidP="00E66183">
      <w:pPr>
        <w:pStyle w:val="NormalText"/>
        <w:ind w:left="567"/>
        <w:rPr>
          <w:i/>
          <w:iCs/>
        </w:rPr>
      </w:pPr>
      <w:r w:rsidRPr="00D63217">
        <w:rPr>
          <w:i/>
          <w:iCs/>
        </w:rPr>
        <w:t>LIVESTOCK: DO NOT GRAZE OR CUT FOR STOCK FOOD FOR 1 DAYS AFTER APPLICATION.</w:t>
      </w:r>
    </w:p>
    <w:p w14:paraId="5E866C14" w14:textId="77777777" w:rsidR="0002154D" w:rsidRPr="00D63217" w:rsidRDefault="0002154D" w:rsidP="00E66183">
      <w:pPr>
        <w:pStyle w:val="NormalText"/>
        <w:ind w:left="567"/>
        <w:rPr>
          <w:i/>
          <w:iCs/>
        </w:rPr>
      </w:pPr>
      <w:r w:rsidRPr="00D63217">
        <w:rPr>
          <w:i/>
          <w:iCs/>
        </w:rPr>
        <w:t>HORSES: DO NOT GRAZE OR CUT FOR STOCK FOOD FOR 7 DAYS AFTER APPLICATION.</w:t>
      </w:r>
    </w:p>
    <w:p w14:paraId="5471D16B" w14:textId="77777777" w:rsidR="0002154D" w:rsidRPr="00D63217" w:rsidRDefault="0002154D" w:rsidP="00E66183">
      <w:pPr>
        <w:pStyle w:val="NormalText"/>
        <w:ind w:left="567"/>
        <w:rPr>
          <w:i/>
          <w:iCs/>
        </w:rPr>
      </w:pPr>
      <w:r w:rsidRPr="00D63217">
        <w:rPr>
          <w:i/>
          <w:iCs/>
        </w:rPr>
        <w:t>LIVESTOCK DESTINED FOR EXPORT MARKETS</w:t>
      </w:r>
    </w:p>
    <w:p w14:paraId="2D7BD508" w14:textId="77777777" w:rsidR="0002154D" w:rsidRPr="00D63217" w:rsidRDefault="0002154D" w:rsidP="00E66183">
      <w:pPr>
        <w:pStyle w:val="NormalText"/>
        <w:ind w:left="567"/>
        <w:rPr>
          <w:i/>
          <w:iCs/>
        </w:rPr>
      </w:pPr>
      <w:r w:rsidRPr="00D63217">
        <w:rPr>
          <w:i/>
          <w:iCs/>
        </w:rP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10B55F03" w14:textId="77777777" w:rsidR="0002154D" w:rsidRPr="00D63217" w:rsidRDefault="0002154D" w:rsidP="00E66183">
      <w:pPr>
        <w:pStyle w:val="NormalText"/>
        <w:ind w:left="567"/>
        <w:rPr>
          <w:i/>
          <w:iCs/>
        </w:rPr>
      </w:pPr>
      <w:r w:rsidRPr="00D63217">
        <w:rPr>
          <w:i/>
          <w:iCs/>
        </w:rPr>
        <w:t>EXPORT SLAUGHTER INTERVAL (ESI) 13 DAYS</w:t>
      </w:r>
    </w:p>
    <w:p w14:paraId="190AB88E" w14:textId="77777777" w:rsidR="0002154D" w:rsidRPr="00D63217" w:rsidRDefault="0002154D" w:rsidP="00E66183">
      <w:pPr>
        <w:pStyle w:val="NormalText"/>
        <w:ind w:left="567"/>
        <w:rPr>
          <w:i/>
          <w:iCs/>
        </w:rPr>
      </w:pPr>
      <w:r w:rsidRPr="00D63217">
        <w:rPr>
          <w:i/>
          <w:iCs/>
        </w:rPr>
        <w:t>Livestock that has grazed on or been fed treated crops should be placed on clean feed for 13 days prior to slaughter</w:t>
      </w:r>
    </w:p>
    <w:p w14:paraId="16BD9673" w14:textId="335D3742" w:rsidR="00121387" w:rsidRDefault="0002154D" w:rsidP="0002154D">
      <w:pPr>
        <w:pStyle w:val="NormalText"/>
      </w:pPr>
      <w:r w:rsidRPr="00D63217">
        <w:t>The poultry commodity MRLs for paraquat at the LOQ can remain in place to indicate that residues should not occur in poultry commodities due to the supported uses.</w:t>
      </w:r>
    </w:p>
    <w:p w14:paraId="6107EF26" w14:textId="56625E04" w:rsidR="0002154D" w:rsidRPr="00D63217" w:rsidRDefault="0002154D" w:rsidP="0002154D">
      <w:pPr>
        <w:pStyle w:val="NormalText"/>
      </w:pPr>
      <w:r w:rsidRPr="00D63217">
        <w:t>All other MRLs for paraquat can be deleted as no other uses are supported.</w:t>
      </w:r>
    </w:p>
    <w:p w14:paraId="7515F7CF" w14:textId="77777777" w:rsidR="0002154D" w:rsidRPr="00D63217" w:rsidRDefault="0002154D" w:rsidP="00E66183">
      <w:pPr>
        <w:pStyle w:val="Heading3"/>
      </w:pPr>
      <w:bookmarkStart w:id="430" w:name="_Toc231480903"/>
      <w:bookmarkStart w:id="431" w:name="_Toc233036455"/>
      <w:r w:rsidRPr="00D63217">
        <w:t>Trade</w:t>
      </w:r>
      <w:bookmarkEnd w:id="430"/>
      <w:bookmarkEnd w:id="431"/>
    </w:p>
    <w:p w14:paraId="66D0C293" w14:textId="2728AC20" w:rsidR="0002154D" w:rsidRPr="00D63217" w:rsidRDefault="0002154D" w:rsidP="0002154D">
      <w:pPr>
        <w:pStyle w:val="NormalText"/>
      </w:pPr>
      <w:r w:rsidRPr="00D63217">
        <w:t>For specified pulses (chickpeas, faba beans, field peas, lentils and lupins) MRLs will remain in place at the same levels. The chickpeas, faba beans, field peas, lentils and lupins MRLs at 1 mg/kg are higher than tolerances established overseas, however the risk is unchanged to that which has currently been managed</w:t>
      </w:r>
      <w:r w:rsidR="002D2EBC">
        <w:t>.</w:t>
      </w:r>
      <w:r w:rsidR="003240EA" w:rsidRPr="003240EA">
        <w:t xml:space="preserve"> The National Working Party on Grain Protection (NWPGP) indicated that it did not have any concerns with industry’s ability to continue to manage the potential risks to international trade for pre-harvest uses of paraquat for spray topping treatment to reduce seed set of ryegrass in selected pulses (Broad bean, Chick-pea, Field pea, Lentil and Lupin).</w:t>
      </w:r>
    </w:p>
    <w:p w14:paraId="371B8BA5" w14:textId="4CDD0E16" w:rsidR="0002154D" w:rsidRPr="00D63217" w:rsidRDefault="0002154D" w:rsidP="0002154D">
      <w:pPr>
        <w:pStyle w:val="NormalText"/>
      </w:pPr>
      <w:r w:rsidRPr="00D63217">
        <w:t>For pulses (other than those specified above), cereals, and oilseeds MRLs have been recommended at the analytical method LOQ as finite residues are not expected to occur. The risk to trade in these commodities should be low.</w:t>
      </w:r>
    </w:p>
    <w:p w14:paraId="53FEE730" w14:textId="03AD4D6F" w:rsidR="0002154D" w:rsidRPr="00D63217" w:rsidRDefault="0002154D" w:rsidP="0002154D">
      <w:pPr>
        <w:pStyle w:val="NormalText"/>
      </w:pPr>
      <w:r w:rsidRPr="00D63217">
        <w:t>The recommended ESI</w:t>
      </w:r>
      <w:r w:rsidR="00DA0C94">
        <w:t xml:space="preserve"> of 13 days</w:t>
      </w:r>
      <w:r w:rsidRPr="00D63217">
        <w:t xml:space="preserve"> will ensure there are no detectable residues in any animal commodities from livestock allowed to graze treated crops.</w:t>
      </w:r>
    </w:p>
    <w:p w14:paraId="5406AACC" w14:textId="37760296" w:rsidR="00E66183" w:rsidRPr="009E7CCE" w:rsidRDefault="002D2EBC" w:rsidP="009E7CCE">
      <w:pPr>
        <w:pStyle w:val="Heading2"/>
      </w:pPr>
      <w:r w:rsidRPr="009E7CCE">
        <w:lastRenderedPageBreak/>
        <w:tab/>
      </w:r>
      <w:bookmarkStart w:id="432" w:name="_Toc231480904"/>
      <w:bookmarkStart w:id="433" w:name="_Toc233036456"/>
      <w:r w:rsidR="00E66183" w:rsidRPr="009E7CCE">
        <w:t>Revised dietary exposure assessment</w:t>
      </w:r>
      <w:bookmarkEnd w:id="432"/>
      <w:bookmarkEnd w:id="433"/>
    </w:p>
    <w:p w14:paraId="7A5146FF" w14:textId="3A51909B" w:rsidR="00B53AC2" w:rsidRPr="009E7CCE" w:rsidRDefault="00B53AC2" w:rsidP="009E7CCE">
      <w:pPr>
        <w:pStyle w:val="Heading3"/>
      </w:pPr>
      <w:bookmarkStart w:id="434" w:name="_Toc231480905"/>
      <w:bookmarkStart w:id="435" w:name="_Toc233036457"/>
      <w:r w:rsidRPr="009E7CCE">
        <w:t>Chronic dietary exposure assessment</w:t>
      </w:r>
      <w:bookmarkEnd w:id="434"/>
      <w:bookmarkEnd w:id="435"/>
    </w:p>
    <w:p w14:paraId="033393AB" w14:textId="19CF5383" w:rsidR="00E66183" w:rsidRPr="00D63217" w:rsidRDefault="00E66183" w:rsidP="00E66183">
      <w:pPr>
        <w:pStyle w:val="NormalText"/>
      </w:pPr>
      <w:r w:rsidRPr="00D63217">
        <w:t>The chronic dietary exposure to paraquat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w:t>
      </w:r>
      <w:r w:rsidR="009E7CCE">
        <w:t xml:space="preserve"> </w:t>
      </w:r>
      <w:r w:rsidRPr="00D63217">
        <w:t>The NEDI for paraquat is equivalent to &lt;15% of the Australian ADI, for the uses proposed to be supported by the APVMA chemical review.</w:t>
      </w:r>
      <w:r w:rsidR="00B53AC2" w:rsidRPr="00D63217">
        <w:t xml:space="preserve"> </w:t>
      </w:r>
      <w:r w:rsidRPr="00D63217">
        <w:t xml:space="preserve">It is concluded that the chronic dietary exposure </w:t>
      </w:r>
      <w:r w:rsidR="00B53AC2" w:rsidRPr="00D63217">
        <w:t>to</w:t>
      </w:r>
      <w:r w:rsidRPr="00D63217">
        <w:t xml:space="preserve"> paraquat is acceptable.</w:t>
      </w:r>
    </w:p>
    <w:p w14:paraId="6CB4B846" w14:textId="74B6A917" w:rsidR="00E66183" w:rsidRPr="00D63217" w:rsidRDefault="00B53AC2" w:rsidP="00B53AC2">
      <w:pPr>
        <w:pStyle w:val="Heading3"/>
      </w:pPr>
      <w:bookmarkStart w:id="436" w:name="_Toc231480906"/>
      <w:bookmarkStart w:id="437" w:name="_Toc233036458"/>
      <w:r w:rsidRPr="00D63217">
        <w:t>Acute dietary exposure assessment</w:t>
      </w:r>
      <w:bookmarkEnd w:id="436"/>
      <w:bookmarkEnd w:id="437"/>
    </w:p>
    <w:p w14:paraId="6C0E3543" w14:textId="41C38F8C" w:rsidR="00E66183" w:rsidRPr="00D63217" w:rsidRDefault="00E66183" w:rsidP="00E66183">
      <w:pPr>
        <w:pStyle w:val="NormalText"/>
      </w:pPr>
      <w:r w:rsidRPr="00D63217">
        <w:t>The acute dietary exposure is estimated by the National Estimated Short Term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(24 hour period) to chemical residues in food.</w:t>
      </w:r>
    </w:p>
    <w:p w14:paraId="3CCC2AAD" w14:textId="334307B3" w:rsidR="00E66183" w:rsidRPr="00D63217" w:rsidRDefault="00E66183" w:rsidP="00E66183">
      <w:pPr>
        <w:pStyle w:val="NormalText"/>
      </w:pPr>
      <w:r w:rsidRPr="00D63217">
        <w:t>The highest acute dietary intake was estimated at &lt;50% of the Australian ARfD for the uses proposed to be supported by the APVMA chemical review.  It is concluded that the acute dietary exposure</w:t>
      </w:r>
      <w:r w:rsidR="00B53AC2" w:rsidRPr="00D63217">
        <w:t xml:space="preserve"> to paraquat</w:t>
      </w:r>
      <w:r w:rsidRPr="00D63217">
        <w:t xml:space="preserve"> is acceptable.</w:t>
      </w:r>
    </w:p>
    <w:p w14:paraId="682FFB88" w14:textId="7DE97F0E" w:rsidR="00B53AC2" w:rsidRPr="00D63217" w:rsidRDefault="002D2EBC" w:rsidP="00B53AC2">
      <w:pPr>
        <w:pStyle w:val="Heading2"/>
      </w:pPr>
      <w:r>
        <w:t xml:space="preserve"> </w:t>
      </w:r>
      <w:r>
        <w:tab/>
      </w:r>
      <w:bookmarkStart w:id="438" w:name="_Toc231480907"/>
      <w:bookmarkStart w:id="439" w:name="_Toc233036459"/>
      <w:r w:rsidR="00B53AC2" w:rsidRPr="00D63217">
        <w:t>Revised MRL recommendations</w:t>
      </w:r>
      <w:bookmarkEnd w:id="438"/>
      <w:bookmarkEnd w:id="439"/>
    </w:p>
    <w:p w14:paraId="7F8DFC8B" w14:textId="2A5B3402" w:rsidR="00E66183" w:rsidRPr="00D63217" w:rsidRDefault="00B53AC2" w:rsidP="00B53AC2">
      <w:pPr>
        <w:pStyle w:val="NormalText"/>
      </w:pPr>
      <w:r w:rsidRPr="00D63217">
        <w:t xml:space="preserve">The following amendments should be made to the Agricultural and Veterinary Chemicals (MRL Standard for Residues of Chemical Products) Instrument 2023, at the end of any phase out period, to reflect uses which remain at the completion of the </w:t>
      </w:r>
      <w:r w:rsidR="002D2EBC">
        <w:t>reconsideration</w:t>
      </w:r>
      <w:r w:rsidRPr="00D63217">
        <w:t>.</w:t>
      </w:r>
    </w:p>
    <w:p w14:paraId="1FE39F0B" w14:textId="3EC289C2" w:rsidR="00130AB3" w:rsidRPr="009E7CCE" w:rsidRDefault="00D918AF" w:rsidP="009E7CCE">
      <w:pPr>
        <w:pStyle w:val="Caption"/>
      </w:pPr>
      <w:bookmarkStart w:id="440" w:name="_Toc230692291"/>
      <w:bookmarkStart w:id="441" w:name="_Toc233036512"/>
      <w:r w:rsidRPr="009E7CCE">
        <w:t xml:space="preserve">Table </w:t>
      </w:r>
      <w:fldSimple w:instr=" SEQ Table \* ARABIC ">
        <w:r w:rsidR="009E7CCE">
          <w:rPr>
            <w:noProof/>
          </w:rPr>
          <w:t>25</w:t>
        </w:r>
      </w:fldSimple>
      <w:r w:rsidRPr="009E7CCE">
        <w:t xml:space="preserve">: </w:t>
      </w:r>
      <w:r w:rsidR="00130AB3" w:rsidRPr="009E7CCE">
        <w:t>Amendments to Table 1 of the MRL Standard</w:t>
      </w:r>
      <w:bookmarkEnd w:id="440"/>
      <w:bookmarkEnd w:id="44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19"/>
        <w:gridCol w:w="4929"/>
        <w:gridCol w:w="1388"/>
        <w:gridCol w:w="1602"/>
      </w:tblGrid>
      <w:tr w:rsidR="00130AB3" w:rsidRPr="00D63217" w14:paraId="0B5E5238" w14:textId="77777777" w:rsidTr="009E7CCE">
        <w:trPr>
          <w:cantSplit/>
          <w:tblHeader/>
        </w:trPr>
        <w:tc>
          <w:tcPr>
            <w:tcW w:w="892" w:type="pct"/>
            <w:shd w:val="clear" w:color="auto" w:fill="5C2946"/>
            <w:noWrap/>
          </w:tcPr>
          <w:p w14:paraId="7A592B74" w14:textId="77777777" w:rsidR="00130AB3" w:rsidRPr="00D63217" w:rsidRDefault="00130AB3" w:rsidP="00902912">
            <w:pPr>
              <w:pStyle w:val="TableHead"/>
            </w:pPr>
            <w:r w:rsidRPr="00D63217">
              <w:t>Code</w:t>
            </w:r>
          </w:p>
        </w:tc>
        <w:tc>
          <w:tcPr>
            <w:tcW w:w="2557" w:type="pct"/>
            <w:shd w:val="clear" w:color="auto" w:fill="5C2946"/>
            <w:noWrap/>
          </w:tcPr>
          <w:p w14:paraId="49E505C3" w14:textId="77777777" w:rsidR="00130AB3" w:rsidRPr="00D63217" w:rsidRDefault="00130AB3" w:rsidP="00902912">
            <w:pPr>
              <w:pStyle w:val="TableHead"/>
            </w:pPr>
            <w:r w:rsidRPr="00D63217">
              <w:t>Commodity</w:t>
            </w:r>
          </w:p>
        </w:tc>
        <w:tc>
          <w:tcPr>
            <w:tcW w:w="720" w:type="pct"/>
            <w:shd w:val="clear" w:color="auto" w:fill="5C2946"/>
            <w:noWrap/>
          </w:tcPr>
          <w:p w14:paraId="721AF728" w14:textId="77777777" w:rsidR="00130AB3" w:rsidRPr="00D63217" w:rsidRDefault="00130AB3" w:rsidP="00765C13">
            <w:pPr>
              <w:pStyle w:val="TableHead"/>
              <w:jc w:val="right"/>
            </w:pPr>
            <w:r w:rsidRPr="00D63217">
              <w:t>Current MRL</w:t>
            </w:r>
          </w:p>
        </w:tc>
        <w:tc>
          <w:tcPr>
            <w:tcW w:w="831" w:type="pct"/>
            <w:shd w:val="clear" w:color="auto" w:fill="5C2946"/>
          </w:tcPr>
          <w:p w14:paraId="0F88BA43" w14:textId="77777777" w:rsidR="00130AB3" w:rsidRPr="00D63217" w:rsidRDefault="00130AB3" w:rsidP="00765C13">
            <w:pPr>
              <w:pStyle w:val="TableHead"/>
              <w:jc w:val="right"/>
            </w:pPr>
            <w:r w:rsidRPr="00D63217">
              <w:t>Recommended MRL</w:t>
            </w:r>
          </w:p>
        </w:tc>
      </w:tr>
      <w:tr w:rsidR="00C304D3" w:rsidRPr="00D63217" w14:paraId="0C86C54D" w14:textId="77777777" w:rsidTr="00121387">
        <w:trPr>
          <w:cantSplit/>
        </w:trPr>
        <w:tc>
          <w:tcPr>
            <w:tcW w:w="892" w:type="pct"/>
            <w:noWrap/>
          </w:tcPr>
          <w:p w14:paraId="16C8C0FD" w14:textId="138194D4" w:rsidR="00C304D3" w:rsidRDefault="00C304D3" w:rsidP="00C304D3">
            <w:pPr>
              <w:pStyle w:val="TableText"/>
            </w:pPr>
            <w:r>
              <w:t>FB 0018</w:t>
            </w:r>
          </w:p>
        </w:tc>
        <w:tc>
          <w:tcPr>
            <w:tcW w:w="2557" w:type="pct"/>
            <w:noWrap/>
          </w:tcPr>
          <w:p w14:paraId="2EA05705" w14:textId="66FD03A4" w:rsidR="00C304D3" w:rsidRDefault="00C304D3" w:rsidP="00C304D3">
            <w:pPr>
              <w:pStyle w:val="TableText"/>
            </w:pPr>
            <w:r>
              <w:t>Berries and other small fruits {except grapes}</w:t>
            </w:r>
          </w:p>
        </w:tc>
        <w:tc>
          <w:tcPr>
            <w:tcW w:w="720" w:type="pct"/>
            <w:noWrap/>
          </w:tcPr>
          <w:p w14:paraId="58371BA1" w14:textId="42D7AC62" w:rsidR="00C304D3" w:rsidRDefault="00C304D3" w:rsidP="00C304D3">
            <w:pPr>
              <w:pStyle w:val="TableText"/>
            </w:pPr>
            <w:r>
              <w:t>-</w:t>
            </w:r>
          </w:p>
        </w:tc>
        <w:tc>
          <w:tcPr>
            <w:tcW w:w="831" w:type="pct"/>
          </w:tcPr>
          <w:p w14:paraId="552BCDE6" w14:textId="53986328" w:rsidR="00C304D3" w:rsidRDefault="00C304D3" w:rsidP="00C304D3">
            <w:pPr>
              <w:pStyle w:val="TableText"/>
            </w:pPr>
            <w:r>
              <w:t>*0.01</w:t>
            </w:r>
          </w:p>
        </w:tc>
      </w:tr>
      <w:tr w:rsidR="00C304D3" w:rsidRPr="00D63217" w14:paraId="5AB03CB0" w14:textId="77777777" w:rsidTr="00121387">
        <w:trPr>
          <w:cantSplit/>
        </w:trPr>
        <w:tc>
          <w:tcPr>
            <w:tcW w:w="892" w:type="pct"/>
            <w:noWrap/>
          </w:tcPr>
          <w:p w14:paraId="03918033" w14:textId="7DA24D8B" w:rsidR="00C304D3" w:rsidRPr="00D63217" w:rsidRDefault="00C304D3" w:rsidP="00C304D3">
            <w:pPr>
              <w:pStyle w:val="TableText"/>
            </w:pPr>
            <w:r>
              <w:t>VB 0040</w:t>
            </w:r>
          </w:p>
        </w:tc>
        <w:tc>
          <w:tcPr>
            <w:tcW w:w="2557" w:type="pct"/>
            <w:noWrap/>
          </w:tcPr>
          <w:p w14:paraId="61B17F7B" w14:textId="24BA3C72" w:rsidR="00C304D3" w:rsidRDefault="00C304D3" w:rsidP="00C304D3">
            <w:pPr>
              <w:pStyle w:val="TableText"/>
            </w:pPr>
            <w:r>
              <w:t>Brassica (cole or cabbage) vegetables, Head cabbages,</w:t>
            </w:r>
          </w:p>
          <w:p w14:paraId="7FEFD288" w14:textId="17ADB26A" w:rsidR="00C304D3" w:rsidRPr="00D63217" w:rsidRDefault="00C304D3" w:rsidP="00C304D3">
            <w:pPr>
              <w:pStyle w:val="TableText"/>
            </w:pPr>
            <w:r>
              <w:t>Flowerhead brassicas</w:t>
            </w:r>
          </w:p>
        </w:tc>
        <w:tc>
          <w:tcPr>
            <w:tcW w:w="720" w:type="pct"/>
            <w:noWrap/>
          </w:tcPr>
          <w:p w14:paraId="2E6C997A" w14:textId="7E5A19F0" w:rsidR="00C304D3" w:rsidRPr="00D63217" w:rsidRDefault="00C304D3" w:rsidP="00C304D3">
            <w:pPr>
              <w:pStyle w:val="TableText"/>
            </w:pPr>
            <w:r>
              <w:t>-</w:t>
            </w:r>
          </w:p>
        </w:tc>
        <w:tc>
          <w:tcPr>
            <w:tcW w:w="831" w:type="pct"/>
          </w:tcPr>
          <w:p w14:paraId="1748B0B8" w14:textId="6D375238" w:rsidR="00C304D3" w:rsidRPr="00D63217" w:rsidRDefault="00C304D3" w:rsidP="00C304D3">
            <w:pPr>
              <w:pStyle w:val="TableText"/>
            </w:pPr>
            <w:r>
              <w:t>*0.03</w:t>
            </w:r>
          </w:p>
        </w:tc>
      </w:tr>
      <w:tr w:rsidR="00C304D3" w:rsidRPr="00D63217" w14:paraId="3D988AC2" w14:textId="77777777" w:rsidTr="00121387">
        <w:trPr>
          <w:cantSplit/>
        </w:trPr>
        <w:tc>
          <w:tcPr>
            <w:tcW w:w="892" w:type="pct"/>
            <w:noWrap/>
          </w:tcPr>
          <w:p w14:paraId="4F0FA899" w14:textId="1148D81B" w:rsidR="00C304D3" w:rsidRPr="00D63217" w:rsidRDefault="00C304D3" w:rsidP="00C304D3">
            <w:pPr>
              <w:pStyle w:val="TableText"/>
            </w:pPr>
            <w:r w:rsidRPr="00D63217">
              <w:t>VD 0523</w:t>
            </w:r>
          </w:p>
        </w:tc>
        <w:tc>
          <w:tcPr>
            <w:tcW w:w="2557" w:type="pct"/>
            <w:noWrap/>
          </w:tcPr>
          <w:p w14:paraId="26C3D617" w14:textId="329750E9" w:rsidR="00C304D3" w:rsidRPr="00D63217" w:rsidRDefault="00C304D3" w:rsidP="00C304D3">
            <w:pPr>
              <w:pStyle w:val="TableText"/>
            </w:pPr>
            <w:r w:rsidRPr="00D63217">
              <w:t>Broad bean (dry) [faba bean (dry)]</w:t>
            </w:r>
          </w:p>
        </w:tc>
        <w:tc>
          <w:tcPr>
            <w:tcW w:w="720" w:type="pct"/>
            <w:noWrap/>
          </w:tcPr>
          <w:p w14:paraId="41F90865" w14:textId="7207D0F6" w:rsidR="00C304D3" w:rsidRPr="00D63217" w:rsidRDefault="00C304D3" w:rsidP="00C304D3">
            <w:pPr>
              <w:pStyle w:val="TableText"/>
            </w:pPr>
            <w:r w:rsidRPr="00D63217">
              <w:t>-</w:t>
            </w:r>
          </w:p>
        </w:tc>
        <w:tc>
          <w:tcPr>
            <w:tcW w:w="831" w:type="pct"/>
          </w:tcPr>
          <w:p w14:paraId="09C3F4F1" w14:textId="30E850CC" w:rsidR="00C304D3" w:rsidRPr="00D63217" w:rsidRDefault="00C304D3" w:rsidP="00C304D3">
            <w:pPr>
              <w:pStyle w:val="TableText"/>
            </w:pPr>
            <w:r w:rsidRPr="00D63217">
              <w:t>1</w:t>
            </w:r>
          </w:p>
        </w:tc>
      </w:tr>
      <w:tr w:rsidR="00C304D3" w:rsidRPr="00D63217" w14:paraId="45052364" w14:textId="77777777" w:rsidTr="00121387">
        <w:trPr>
          <w:cantSplit/>
        </w:trPr>
        <w:tc>
          <w:tcPr>
            <w:tcW w:w="892" w:type="pct"/>
            <w:noWrap/>
          </w:tcPr>
          <w:p w14:paraId="3A9AFBF6" w14:textId="576359E4" w:rsidR="00C304D3" w:rsidRPr="00D63217" w:rsidRDefault="00C304D3" w:rsidP="00C304D3">
            <w:pPr>
              <w:pStyle w:val="TableText"/>
            </w:pPr>
            <w:r>
              <w:t>VA 0035</w:t>
            </w:r>
          </w:p>
        </w:tc>
        <w:tc>
          <w:tcPr>
            <w:tcW w:w="2557" w:type="pct"/>
            <w:noWrap/>
          </w:tcPr>
          <w:p w14:paraId="66C0D4BF" w14:textId="712FF1FD" w:rsidR="00C304D3" w:rsidRPr="00D63217" w:rsidRDefault="00C304D3" w:rsidP="00C304D3">
            <w:pPr>
              <w:pStyle w:val="TableText"/>
            </w:pPr>
            <w:r>
              <w:t>Bulb vegetables</w:t>
            </w:r>
          </w:p>
        </w:tc>
        <w:tc>
          <w:tcPr>
            <w:tcW w:w="720" w:type="pct"/>
            <w:noWrap/>
          </w:tcPr>
          <w:p w14:paraId="0EAE8F10" w14:textId="01AD5203" w:rsidR="00C304D3" w:rsidRPr="00D63217" w:rsidRDefault="00C304D3" w:rsidP="00C304D3">
            <w:pPr>
              <w:pStyle w:val="TableText"/>
            </w:pPr>
            <w:r>
              <w:t>-</w:t>
            </w:r>
          </w:p>
        </w:tc>
        <w:tc>
          <w:tcPr>
            <w:tcW w:w="831" w:type="pct"/>
          </w:tcPr>
          <w:p w14:paraId="59B30CF6" w14:textId="631397A4" w:rsidR="00C304D3" w:rsidRPr="00D63217" w:rsidRDefault="00C304D3" w:rsidP="00C304D3">
            <w:pPr>
              <w:pStyle w:val="TableText"/>
            </w:pPr>
            <w:r>
              <w:t>*0.01</w:t>
            </w:r>
          </w:p>
        </w:tc>
      </w:tr>
      <w:tr w:rsidR="00C304D3" w:rsidRPr="00D63217" w14:paraId="51FC9017" w14:textId="77777777" w:rsidTr="00121387">
        <w:trPr>
          <w:cantSplit/>
        </w:trPr>
        <w:tc>
          <w:tcPr>
            <w:tcW w:w="892" w:type="pct"/>
            <w:noWrap/>
          </w:tcPr>
          <w:p w14:paraId="1AA73D83" w14:textId="5B707D72" w:rsidR="00C304D3" w:rsidRPr="00D63217" w:rsidRDefault="00C304D3" w:rsidP="00C304D3">
            <w:pPr>
              <w:pStyle w:val="TableText"/>
            </w:pPr>
            <w:r w:rsidRPr="00D63217">
              <w:t>GC 0080</w:t>
            </w:r>
          </w:p>
        </w:tc>
        <w:tc>
          <w:tcPr>
            <w:tcW w:w="2557" w:type="pct"/>
            <w:noWrap/>
          </w:tcPr>
          <w:p w14:paraId="1CEF8616" w14:textId="0589685E" w:rsidR="00C304D3" w:rsidRPr="00D63217" w:rsidRDefault="00C304D3" w:rsidP="00C304D3">
            <w:pPr>
              <w:pStyle w:val="TableText"/>
            </w:pPr>
            <w:r w:rsidRPr="00D63217">
              <w:t>Cereal grains [except maize; rice]</w:t>
            </w:r>
          </w:p>
        </w:tc>
        <w:tc>
          <w:tcPr>
            <w:tcW w:w="720" w:type="pct"/>
            <w:noWrap/>
          </w:tcPr>
          <w:p w14:paraId="2BF7B603" w14:textId="03758B7C" w:rsidR="00C304D3" w:rsidRPr="00D63217" w:rsidRDefault="00C304D3" w:rsidP="00C304D3">
            <w:pPr>
              <w:pStyle w:val="TableText"/>
            </w:pPr>
            <w:r w:rsidRPr="00D63217">
              <w:t>*0.05</w:t>
            </w:r>
          </w:p>
        </w:tc>
        <w:tc>
          <w:tcPr>
            <w:tcW w:w="831" w:type="pct"/>
          </w:tcPr>
          <w:p w14:paraId="590E5785" w14:textId="4F74C367" w:rsidR="00C304D3" w:rsidRPr="00D63217" w:rsidRDefault="00C304D3" w:rsidP="00C304D3">
            <w:pPr>
              <w:pStyle w:val="TableText"/>
            </w:pPr>
            <w:r w:rsidRPr="00D63217">
              <w:t>Delete</w:t>
            </w:r>
          </w:p>
        </w:tc>
      </w:tr>
      <w:tr w:rsidR="00C304D3" w:rsidRPr="00D63217" w14:paraId="2F0B3B5B" w14:textId="77777777" w:rsidTr="00121387">
        <w:trPr>
          <w:cantSplit/>
        </w:trPr>
        <w:tc>
          <w:tcPr>
            <w:tcW w:w="892" w:type="pct"/>
            <w:noWrap/>
          </w:tcPr>
          <w:p w14:paraId="200FF9B6" w14:textId="4D791877" w:rsidR="00C304D3" w:rsidRPr="00D63217" w:rsidRDefault="00C304D3" w:rsidP="00C304D3">
            <w:pPr>
              <w:pStyle w:val="TableText"/>
            </w:pPr>
            <w:r w:rsidRPr="00D63217">
              <w:t>GC 0080</w:t>
            </w:r>
          </w:p>
        </w:tc>
        <w:tc>
          <w:tcPr>
            <w:tcW w:w="2557" w:type="pct"/>
            <w:noWrap/>
          </w:tcPr>
          <w:p w14:paraId="1FEB8EAA" w14:textId="39AC6319" w:rsidR="00C304D3" w:rsidRPr="00D63217" w:rsidRDefault="00C304D3" w:rsidP="00C304D3">
            <w:pPr>
              <w:pStyle w:val="TableText"/>
            </w:pPr>
            <w:r w:rsidRPr="00D63217">
              <w:t>Cereal grains</w:t>
            </w:r>
          </w:p>
        </w:tc>
        <w:tc>
          <w:tcPr>
            <w:tcW w:w="720" w:type="pct"/>
            <w:noWrap/>
          </w:tcPr>
          <w:p w14:paraId="2ACCD78A" w14:textId="25629611" w:rsidR="00C304D3" w:rsidRPr="00D63217" w:rsidRDefault="00C304D3" w:rsidP="00C304D3">
            <w:pPr>
              <w:pStyle w:val="TableText"/>
            </w:pPr>
            <w:r w:rsidRPr="00D63217">
              <w:t>-</w:t>
            </w:r>
          </w:p>
        </w:tc>
        <w:tc>
          <w:tcPr>
            <w:tcW w:w="831" w:type="pct"/>
          </w:tcPr>
          <w:p w14:paraId="0F75A36D" w14:textId="5223D7CD" w:rsidR="00C304D3" w:rsidRPr="00D63217" w:rsidRDefault="00C304D3" w:rsidP="00C304D3">
            <w:pPr>
              <w:pStyle w:val="TableText"/>
            </w:pPr>
            <w:r w:rsidRPr="00D63217">
              <w:t>*0.05</w:t>
            </w:r>
          </w:p>
        </w:tc>
      </w:tr>
      <w:tr w:rsidR="00C304D3" w:rsidRPr="00D63217" w14:paraId="3C93C37D" w14:textId="77777777" w:rsidTr="00121387">
        <w:trPr>
          <w:cantSplit/>
        </w:trPr>
        <w:tc>
          <w:tcPr>
            <w:tcW w:w="892" w:type="pct"/>
            <w:noWrap/>
          </w:tcPr>
          <w:p w14:paraId="5CF0D2B8" w14:textId="441AB435" w:rsidR="00C304D3" w:rsidRPr="00D63217" w:rsidRDefault="00C304D3" w:rsidP="00C304D3">
            <w:pPr>
              <w:pStyle w:val="TableText"/>
            </w:pPr>
            <w:r w:rsidRPr="00D63217">
              <w:t>VD 0524</w:t>
            </w:r>
          </w:p>
        </w:tc>
        <w:tc>
          <w:tcPr>
            <w:tcW w:w="2557" w:type="pct"/>
            <w:noWrap/>
          </w:tcPr>
          <w:p w14:paraId="1DD0D3AF" w14:textId="4F801BD6" w:rsidR="00C304D3" w:rsidRPr="00D63217" w:rsidRDefault="00C304D3" w:rsidP="00C304D3">
            <w:pPr>
              <w:pStyle w:val="TableText"/>
            </w:pPr>
            <w:r w:rsidRPr="00D63217">
              <w:t xml:space="preserve">Chick-pea (dry) </w:t>
            </w:r>
          </w:p>
        </w:tc>
        <w:tc>
          <w:tcPr>
            <w:tcW w:w="720" w:type="pct"/>
            <w:noWrap/>
          </w:tcPr>
          <w:p w14:paraId="6F559732" w14:textId="00B8BEA2" w:rsidR="00C304D3" w:rsidRPr="00D63217" w:rsidRDefault="00C304D3" w:rsidP="00C304D3">
            <w:pPr>
              <w:pStyle w:val="TableText"/>
            </w:pPr>
            <w:r w:rsidRPr="00D63217">
              <w:t>-</w:t>
            </w:r>
          </w:p>
        </w:tc>
        <w:tc>
          <w:tcPr>
            <w:tcW w:w="831" w:type="pct"/>
          </w:tcPr>
          <w:p w14:paraId="419642F7" w14:textId="4A75F0D1" w:rsidR="00C304D3" w:rsidRPr="00D63217" w:rsidRDefault="00C304D3" w:rsidP="00C304D3">
            <w:pPr>
              <w:pStyle w:val="TableText"/>
            </w:pPr>
            <w:r w:rsidRPr="00D63217">
              <w:t>1</w:t>
            </w:r>
          </w:p>
        </w:tc>
      </w:tr>
      <w:tr w:rsidR="00C304D3" w:rsidRPr="00D63217" w14:paraId="50B7B43E" w14:textId="77777777" w:rsidTr="00121387">
        <w:trPr>
          <w:cantSplit/>
        </w:trPr>
        <w:tc>
          <w:tcPr>
            <w:tcW w:w="892" w:type="pct"/>
            <w:noWrap/>
          </w:tcPr>
          <w:p w14:paraId="0BBF7060" w14:textId="29A462F6" w:rsidR="00C304D3" w:rsidRPr="00D63217" w:rsidRDefault="00C304D3" w:rsidP="00C304D3">
            <w:pPr>
              <w:pStyle w:val="TableText"/>
            </w:pPr>
            <w:r w:rsidRPr="00D63217">
              <w:lastRenderedPageBreak/>
              <w:t>SO 0691</w:t>
            </w:r>
          </w:p>
        </w:tc>
        <w:tc>
          <w:tcPr>
            <w:tcW w:w="2557" w:type="pct"/>
            <w:noWrap/>
          </w:tcPr>
          <w:p w14:paraId="4A46BDCF" w14:textId="22753EED" w:rsidR="00C304D3" w:rsidRPr="00D63217" w:rsidRDefault="00C304D3" w:rsidP="00C304D3">
            <w:pPr>
              <w:pStyle w:val="TableText"/>
            </w:pPr>
            <w:r w:rsidRPr="00D63217">
              <w:t>Cotton seed</w:t>
            </w:r>
          </w:p>
        </w:tc>
        <w:tc>
          <w:tcPr>
            <w:tcW w:w="720" w:type="pct"/>
            <w:noWrap/>
          </w:tcPr>
          <w:p w14:paraId="16EC8B1D" w14:textId="06FBCF7C" w:rsidR="00C304D3" w:rsidRPr="00D63217" w:rsidRDefault="00C304D3" w:rsidP="00C304D3">
            <w:pPr>
              <w:pStyle w:val="TableText"/>
            </w:pPr>
            <w:r w:rsidRPr="00D63217">
              <w:t>0.2</w:t>
            </w:r>
          </w:p>
        </w:tc>
        <w:tc>
          <w:tcPr>
            <w:tcW w:w="831" w:type="pct"/>
          </w:tcPr>
          <w:p w14:paraId="0BA19401" w14:textId="0553832B" w:rsidR="00C304D3" w:rsidRPr="00D63217" w:rsidRDefault="00C304D3" w:rsidP="00C304D3">
            <w:pPr>
              <w:pStyle w:val="TableText"/>
            </w:pPr>
            <w:r w:rsidRPr="00D63217">
              <w:t>Delete</w:t>
            </w:r>
          </w:p>
        </w:tc>
      </w:tr>
      <w:tr w:rsidR="00C304D3" w:rsidRPr="00D63217" w14:paraId="5DD51E12" w14:textId="77777777" w:rsidTr="00121387">
        <w:trPr>
          <w:cantSplit/>
        </w:trPr>
        <w:tc>
          <w:tcPr>
            <w:tcW w:w="892" w:type="pct"/>
            <w:noWrap/>
          </w:tcPr>
          <w:p w14:paraId="328A8C1C" w14:textId="6FDBC828" w:rsidR="00C304D3" w:rsidRPr="00D63217" w:rsidRDefault="00C304D3" w:rsidP="00C304D3">
            <w:pPr>
              <w:pStyle w:val="TableText"/>
            </w:pPr>
            <w:r w:rsidRPr="00D63217">
              <w:t>OR 0691</w:t>
            </w:r>
          </w:p>
        </w:tc>
        <w:tc>
          <w:tcPr>
            <w:tcW w:w="2557" w:type="pct"/>
            <w:noWrap/>
          </w:tcPr>
          <w:p w14:paraId="082DE2FF" w14:textId="5D9AA7EE" w:rsidR="00C304D3" w:rsidRPr="00D63217" w:rsidRDefault="00C304D3" w:rsidP="00C304D3">
            <w:pPr>
              <w:pStyle w:val="TableText"/>
            </w:pPr>
            <w:r w:rsidRPr="00D63217">
              <w:t>Cotton seed oil, edible</w:t>
            </w:r>
          </w:p>
        </w:tc>
        <w:tc>
          <w:tcPr>
            <w:tcW w:w="720" w:type="pct"/>
            <w:noWrap/>
          </w:tcPr>
          <w:p w14:paraId="6369F56D" w14:textId="112949FA" w:rsidR="00C304D3" w:rsidRPr="00D63217" w:rsidRDefault="00C304D3" w:rsidP="00C304D3">
            <w:pPr>
              <w:pStyle w:val="TableText"/>
            </w:pPr>
            <w:r w:rsidRPr="00D63217">
              <w:t>0.05</w:t>
            </w:r>
          </w:p>
        </w:tc>
        <w:tc>
          <w:tcPr>
            <w:tcW w:w="831" w:type="pct"/>
          </w:tcPr>
          <w:p w14:paraId="72F9378D" w14:textId="7807C09A" w:rsidR="00C304D3" w:rsidRPr="00D63217" w:rsidRDefault="00C304D3" w:rsidP="00C304D3">
            <w:pPr>
              <w:pStyle w:val="TableText"/>
            </w:pPr>
            <w:r w:rsidRPr="00D63217">
              <w:t>Delete</w:t>
            </w:r>
          </w:p>
        </w:tc>
      </w:tr>
      <w:tr w:rsidR="00C304D3" w:rsidRPr="00D63217" w14:paraId="7B07E939" w14:textId="77777777" w:rsidTr="00121387">
        <w:trPr>
          <w:cantSplit/>
        </w:trPr>
        <w:tc>
          <w:tcPr>
            <w:tcW w:w="892" w:type="pct"/>
            <w:noWrap/>
          </w:tcPr>
          <w:p w14:paraId="53EF9080" w14:textId="5C74CA68" w:rsidR="00C304D3" w:rsidRPr="00D63217" w:rsidRDefault="00C304D3" w:rsidP="00C304D3">
            <w:pPr>
              <w:pStyle w:val="TableText"/>
            </w:pPr>
            <w:r w:rsidRPr="00D63217">
              <w:t>MO 0105</w:t>
            </w:r>
          </w:p>
        </w:tc>
        <w:tc>
          <w:tcPr>
            <w:tcW w:w="2557" w:type="pct"/>
            <w:noWrap/>
          </w:tcPr>
          <w:p w14:paraId="288750EC" w14:textId="0785D85E" w:rsidR="00C304D3" w:rsidRPr="00D63217" w:rsidRDefault="00C304D3" w:rsidP="00C304D3">
            <w:pPr>
              <w:pStyle w:val="TableText"/>
            </w:pPr>
            <w:r w:rsidRPr="00D63217">
              <w:t>Edible offal (Mammalian)</w:t>
            </w:r>
          </w:p>
        </w:tc>
        <w:tc>
          <w:tcPr>
            <w:tcW w:w="720" w:type="pct"/>
            <w:noWrap/>
          </w:tcPr>
          <w:p w14:paraId="6A384014" w14:textId="34CA46CC" w:rsidR="00C304D3" w:rsidRPr="00D63217" w:rsidRDefault="00C304D3" w:rsidP="00C304D3">
            <w:pPr>
              <w:pStyle w:val="TableText"/>
            </w:pPr>
            <w:r w:rsidRPr="00D63217">
              <w:t>0.5</w:t>
            </w:r>
          </w:p>
        </w:tc>
        <w:tc>
          <w:tcPr>
            <w:tcW w:w="831" w:type="pct"/>
          </w:tcPr>
          <w:p w14:paraId="0AFF3103" w14:textId="4F0ABFDF" w:rsidR="00C304D3" w:rsidRPr="00D63217" w:rsidRDefault="00C304D3" w:rsidP="00C304D3">
            <w:pPr>
              <w:pStyle w:val="TableText"/>
            </w:pPr>
            <w:r w:rsidRPr="00D63217">
              <w:t>0.5</w:t>
            </w:r>
          </w:p>
        </w:tc>
      </w:tr>
      <w:tr w:rsidR="00C304D3" w:rsidRPr="00D63217" w14:paraId="1FCC5494" w14:textId="77777777" w:rsidTr="00121387">
        <w:trPr>
          <w:cantSplit/>
        </w:trPr>
        <w:tc>
          <w:tcPr>
            <w:tcW w:w="892" w:type="pct"/>
            <w:noWrap/>
          </w:tcPr>
          <w:p w14:paraId="3765120A" w14:textId="6A6FBDF4" w:rsidR="00C304D3" w:rsidRPr="00D63217" w:rsidRDefault="00C304D3" w:rsidP="00C304D3">
            <w:pPr>
              <w:pStyle w:val="TableText"/>
            </w:pPr>
            <w:r w:rsidRPr="00D63217">
              <w:t>PE 0112</w:t>
            </w:r>
          </w:p>
        </w:tc>
        <w:tc>
          <w:tcPr>
            <w:tcW w:w="2557" w:type="pct"/>
            <w:noWrap/>
          </w:tcPr>
          <w:p w14:paraId="3B71E93E" w14:textId="5BD721B7" w:rsidR="00C304D3" w:rsidRPr="00D63217" w:rsidRDefault="00C304D3" w:rsidP="00C304D3">
            <w:pPr>
              <w:pStyle w:val="TableText"/>
            </w:pPr>
            <w:r w:rsidRPr="00D63217">
              <w:t>Eggs</w:t>
            </w:r>
          </w:p>
        </w:tc>
        <w:tc>
          <w:tcPr>
            <w:tcW w:w="720" w:type="pct"/>
            <w:noWrap/>
          </w:tcPr>
          <w:p w14:paraId="1C0DC0AC" w14:textId="67354EC8" w:rsidR="00C304D3" w:rsidRPr="00D63217" w:rsidRDefault="00C304D3" w:rsidP="00C304D3">
            <w:pPr>
              <w:pStyle w:val="TableText"/>
            </w:pPr>
            <w:r w:rsidRPr="00D63217">
              <w:t>*0.01</w:t>
            </w:r>
          </w:p>
        </w:tc>
        <w:tc>
          <w:tcPr>
            <w:tcW w:w="831" w:type="pct"/>
          </w:tcPr>
          <w:p w14:paraId="56A55575" w14:textId="031C3EAE" w:rsidR="00C304D3" w:rsidRPr="00D63217" w:rsidRDefault="00C304D3" w:rsidP="00C304D3">
            <w:pPr>
              <w:pStyle w:val="TableText"/>
            </w:pPr>
            <w:r w:rsidRPr="00D63217">
              <w:t>*0.01</w:t>
            </w:r>
          </w:p>
        </w:tc>
      </w:tr>
      <w:tr w:rsidR="00C304D3" w:rsidRPr="00D63217" w14:paraId="5F4B470B" w14:textId="77777777" w:rsidTr="00121387">
        <w:trPr>
          <w:cantSplit/>
        </w:trPr>
        <w:tc>
          <w:tcPr>
            <w:tcW w:w="892" w:type="pct"/>
            <w:noWrap/>
          </w:tcPr>
          <w:p w14:paraId="798B2531" w14:textId="6D9D3B87" w:rsidR="00C304D3" w:rsidRPr="00D63217" w:rsidRDefault="00C304D3" w:rsidP="00C304D3">
            <w:pPr>
              <w:pStyle w:val="TableText"/>
            </w:pPr>
            <w:r w:rsidRPr="00D63217">
              <w:t>VD 0561</w:t>
            </w:r>
          </w:p>
        </w:tc>
        <w:tc>
          <w:tcPr>
            <w:tcW w:w="2557" w:type="pct"/>
            <w:noWrap/>
          </w:tcPr>
          <w:p w14:paraId="6A1EC1CF" w14:textId="44018B3A" w:rsidR="00C304D3" w:rsidRPr="00D63217" w:rsidRDefault="00C304D3" w:rsidP="00C304D3">
            <w:pPr>
              <w:pStyle w:val="TableText"/>
            </w:pPr>
            <w:r w:rsidRPr="00D63217">
              <w:t xml:space="preserve">Field pea (dry) </w:t>
            </w:r>
          </w:p>
        </w:tc>
        <w:tc>
          <w:tcPr>
            <w:tcW w:w="720" w:type="pct"/>
            <w:noWrap/>
          </w:tcPr>
          <w:p w14:paraId="38FE0987" w14:textId="0A47111B" w:rsidR="00C304D3" w:rsidRPr="00D63217" w:rsidRDefault="00C304D3" w:rsidP="00C304D3">
            <w:pPr>
              <w:pStyle w:val="TableText"/>
            </w:pPr>
            <w:r w:rsidRPr="00D63217">
              <w:t>-</w:t>
            </w:r>
          </w:p>
        </w:tc>
        <w:tc>
          <w:tcPr>
            <w:tcW w:w="831" w:type="pct"/>
          </w:tcPr>
          <w:p w14:paraId="04C04608" w14:textId="6367F4E6" w:rsidR="00C304D3" w:rsidRPr="00D63217" w:rsidRDefault="00C304D3" w:rsidP="00C304D3">
            <w:pPr>
              <w:pStyle w:val="TableText"/>
            </w:pPr>
            <w:r w:rsidRPr="00D63217">
              <w:t>1</w:t>
            </w:r>
          </w:p>
        </w:tc>
      </w:tr>
      <w:tr w:rsidR="00C304D3" w:rsidRPr="00D63217" w14:paraId="30B686F4" w14:textId="77777777" w:rsidTr="00121387">
        <w:trPr>
          <w:cantSplit/>
        </w:trPr>
        <w:tc>
          <w:tcPr>
            <w:tcW w:w="892" w:type="pct"/>
            <w:noWrap/>
          </w:tcPr>
          <w:p w14:paraId="0B7F6CF4" w14:textId="60C21C7F" w:rsidR="00C304D3" w:rsidRPr="00D63217" w:rsidRDefault="00C304D3" w:rsidP="00C304D3">
            <w:pPr>
              <w:pStyle w:val="TableText"/>
            </w:pPr>
            <w:r>
              <w:t>VC 0045</w:t>
            </w:r>
          </w:p>
        </w:tc>
        <w:tc>
          <w:tcPr>
            <w:tcW w:w="2557" w:type="pct"/>
            <w:noWrap/>
          </w:tcPr>
          <w:p w14:paraId="32837255" w14:textId="5D38A295" w:rsidR="00C304D3" w:rsidRPr="00D63217" w:rsidRDefault="00C304D3" w:rsidP="00C304D3">
            <w:pPr>
              <w:pStyle w:val="TableText"/>
            </w:pPr>
            <w:r>
              <w:t>Fruiting vegetables, cucurbits</w:t>
            </w:r>
          </w:p>
        </w:tc>
        <w:tc>
          <w:tcPr>
            <w:tcW w:w="720" w:type="pct"/>
            <w:noWrap/>
          </w:tcPr>
          <w:p w14:paraId="77C5E85D" w14:textId="44F0995F" w:rsidR="00C304D3" w:rsidRPr="00D63217" w:rsidRDefault="00C304D3" w:rsidP="00C304D3">
            <w:pPr>
              <w:pStyle w:val="TableText"/>
            </w:pPr>
            <w:r>
              <w:t>-</w:t>
            </w:r>
          </w:p>
        </w:tc>
        <w:tc>
          <w:tcPr>
            <w:tcW w:w="831" w:type="pct"/>
          </w:tcPr>
          <w:p w14:paraId="7E702E8B" w14:textId="08872DB1" w:rsidR="00C304D3" w:rsidRPr="00D63217" w:rsidRDefault="00C304D3" w:rsidP="00C304D3">
            <w:pPr>
              <w:pStyle w:val="TableText"/>
            </w:pPr>
            <w:r>
              <w:t>*0.03</w:t>
            </w:r>
          </w:p>
        </w:tc>
      </w:tr>
      <w:tr w:rsidR="00C304D3" w:rsidRPr="00D63217" w14:paraId="7AD5E97B" w14:textId="77777777" w:rsidTr="00121387">
        <w:trPr>
          <w:cantSplit/>
        </w:trPr>
        <w:tc>
          <w:tcPr>
            <w:tcW w:w="892" w:type="pct"/>
            <w:noWrap/>
          </w:tcPr>
          <w:p w14:paraId="23F12AEF" w14:textId="03181B47" w:rsidR="00C304D3" w:rsidRPr="00D63217" w:rsidRDefault="00C304D3" w:rsidP="00C304D3">
            <w:pPr>
              <w:pStyle w:val="TableText"/>
            </w:pPr>
            <w:r>
              <w:t>VO 0050</w:t>
            </w:r>
          </w:p>
        </w:tc>
        <w:tc>
          <w:tcPr>
            <w:tcW w:w="2557" w:type="pct"/>
            <w:noWrap/>
          </w:tcPr>
          <w:p w14:paraId="7608CE9D" w14:textId="0946FB01" w:rsidR="00C304D3" w:rsidRPr="00D63217" w:rsidRDefault="00C304D3" w:rsidP="00C304D3">
            <w:pPr>
              <w:pStyle w:val="TableText"/>
            </w:pPr>
            <w:r>
              <w:t>Fruiting vegetables, other than cucurbits</w:t>
            </w:r>
          </w:p>
        </w:tc>
        <w:tc>
          <w:tcPr>
            <w:tcW w:w="720" w:type="pct"/>
            <w:noWrap/>
          </w:tcPr>
          <w:p w14:paraId="4AEB5B4A" w14:textId="5F743CA2" w:rsidR="00C304D3" w:rsidRPr="00D63217" w:rsidRDefault="00C304D3" w:rsidP="00C304D3">
            <w:pPr>
              <w:pStyle w:val="TableText"/>
            </w:pPr>
            <w:r>
              <w:t>-</w:t>
            </w:r>
          </w:p>
        </w:tc>
        <w:tc>
          <w:tcPr>
            <w:tcW w:w="831" w:type="pct"/>
          </w:tcPr>
          <w:p w14:paraId="421A0245" w14:textId="11CC2355" w:rsidR="00C304D3" w:rsidRPr="00D63217" w:rsidRDefault="00C304D3" w:rsidP="00C304D3">
            <w:pPr>
              <w:pStyle w:val="TableText"/>
            </w:pPr>
            <w:r>
              <w:t>*0.01</w:t>
            </w:r>
          </w:p>
        </w:tc>
      </w:tr>
      <w:tr w:rsidR="00C304D3" w:rsidRPr="00D63217" w14:paraId="66FA2914" w14:textId="77777777" w:rsidTr="00121387">
        <w:trPr>
          <w:cantSplit/>
        </w:trPr>
        <w:tc>
          <w:tcPr>
            <w:tcW w:w="892" w:type="pct"/>
            <w:noWrap/>
          </w:tcPr>
          <w:p w14:paraId="5866BBBD" w14:textId="4C693B12" w:rsidR="00C304D3" w:rsidRPr="00D63217" w:rsidRDefault="00C304D3" w:rsidP="00C304D3">
            <w:pPr>
              <w:pStyle w:val="TableText"/>
            </w:pPr>
          </w:p>
        </w:tc>
        <w:tc>
          <w:tcPr>
            <w:tcW w:w="2557" w:type="pct"/>
            <w:noWrap/>
          </w:tcPr>
          <w:p w14:paraId="783D2EC1" w14:textId="262B0F52" w:rsidR="00C304D3" w:rsidRPr="00D63217" w:rsidRDefault="00C304D3" w:rsidP="00C304D3">
            <w:pPr>
              <w:pStyle w:val="TableText"/>
            </w:pPr>
            <w:r w:rsidRPr="00D63217">
              <w:t>Fruits [except olives]</w:t>
            </w:r>
          </w:p>
        </w:tc>
        <w:tc>
          <w:tcPr>
            <w:tcW w:w="720" w:type="pct"/>
            <w:noWrap/>
          </w:tcPr>
          <w:p w14:paraId="5E378DEF" w14:textId="5CF7889D" w:rsidR="00C304D3" w:rsidRPr="00D63217" w:rsidRDefault="00C304D3" w:rsidP="00C304D3">
            <w:pPr>
              <w:pStyle w:val="TableText"/>
            </w:pPr>
            <w:r w:rsidRPr="00D63217">
              <w:t>*0.05</w:t>
            </w:r>
          </w:p>
        </w:tc>
        <w:tc>
          <w:tcPr>
            <w:tcW w:w="831" w:type="pct"/>
          </w:tcPr>
          <w:p w14:paraId="144CF25A" w14:textId="1F40E859" w:rsidR="00C304D3" w:rsidRPr="00D63217" w:rsidRDefault="00C304D3" w:rsidP="00C304D3">
            <w:pPr>
              <w:pStyle w:val="TableText"/>
            </w:pPr>
            <w:r w:rsidRPr="00D63217">
              <w:t>Delete</w:t>
            </w:r>
          </w:p>
        </w:tc>
      </w:tr>
      <w:tr w:rsidR="00C304D3" w:rsidRPr="00D63217" w14:paraId="4AEBE5B6" w14:textId="77777777" w:rsidTr="00121387">
        <w:trPr>
          <w:cantSplit/>
        </w:trPr>
        <w:tc>
          <w:tcPr>
            <w:tcW w:w="892" w:type="pct"/>
            <w:noWrap/>
          </w:tcPr>
          <w:p w14:paraId="235B93C2" w14:textId="41E0F28E" w:rsidR="00C304D3" w:rsidRPr="00D63217" w:rsidRDefault="00C304D3" w:rsidP="00C304D3">
            <w:pPr>
              <w:pStyle w:val="TableText"/>
            </w:pPr>
            <w:r>
              <w:t>HH 0092</w:t>
            </w:r>
          </w:p>
        </w:tc>
        <w:tc>
          <w:tcPr>
            <w:tcW w:w="2557" w:type="pct"/>
            <w:noWrap/>
          </w:tcPr>
          <w:p w14:paraId="0B403652" w14:textId="28BAAC71" w:rsidR="00C304D3" w:rsidRPr="00D63217" w:rsidRDefault="00C304D3" w:rsidP="00C304D3">
            <w:pPr>
              <w:pStyle w:val="TableText"/>
            </w:pPr>
            <w:r>
              <w:t>Herbs</w:t>
            </w:r>
          </w:p>
        </w:tc>
        <w:tc>
          <w:tcPr>
            <w:tcW w:w="720" w:type="pct"/>
            <w:noWrap/>
          </w:tcPr>
          <w:p w14:paraId="3970AE26" w14:textId="7708425A" w:rsidR="00C304D3" w:rsidRPr="00D63217" w:rsidRDefault="00C304D3" w:rsidP="00C304D3">
            <w:pPr>
              <w:pStyle w:val="TableText"/>
            </w:pPr>
            <w:r>
              <w:t>-</w:t>
            </w:r>
          </w:p>
        </w:tc>
        <w:tc>
          <w:tcPr>
            <w:tcW w:w="831" w:type="pct"/>
          </w:tcPr>
          <w:p w14:paraId="32D5B0C9" w14:textId="637E73E7" w:rsidR="00C304D3" w:rsidRPr="00D63217" w:rsidRDefault="00C304D3" w:rsidP="00C304D3">
            <w:pPr>
              <w:pStyle w:val="TableText"/>
            </w:pPr>
            <w:r>
              <w:t>*0.05</w:t>
            </w:r>
          </w:p>
        </w:tc>
      </w:tr>
      <w:tr w:rsidR="00C304D3" w:rsidRPr="00D63217" w14:paraId="54AA31D2" w14:textId="77777777" w:rsidTr="00121387">
        <w:trPr>
          <w:cantSplit/>
        </w:trPr>
        <w:tc>
          <w:tcPr>
            <w:tcW w:w="892" w:type="pct"/>
            <w:noWrap/>
          </w:tcPr>
          <w:p w14:paraId="7F6B5893" w14:textId="181E54BC" w:rsidR="00C304D3" w:rsidRPr="00D63217" w:rsidRDefault="00C304D3" w:rsidP="00C304D3">
            <w:pPr>
              <w:pStyle w:val="TableText"/>
            </w:pPr>
            <w:r w:rsidRPr="00D63217">
              <w:t>DH 1100</w:t>
            </w:r>
          </w:p>
        </w:tc>
        <w:tc>
          <w:tcPr>
            <w:tcW w:w="2557" w:type="pct"/>
            <w:noWrap/>
          </w:tcPr>
          <w:p w14:paraId="543207D9" w14:textId="5EA55ED3" w:rsidR="00C304D3" w:rsidRPr="00D63217" w:rsidRDefault="00C304D3" w:rsidP="00C304D3">
            <w:pPr>
              <w:pStyle w:val="TableText"/>
            </w:pPr>
            <w:r w:rsidRPr="00D63217">
              <w:t>Hops, dry</w:t>
            </w:r>
          </w:p>
        </w:tc>
        <w:tc>
          <w:tcPr>
            <w:tcW w:w="720" w:type="pct"/>
            <w:noWrap/>
          </w:tcPr>
          <w:p w14:paraId="1E63E0D5" w14:textId="0933BD24" w:rsidR="00C304D3" w:rsidRPr="00D63217" w:rsidRDefault="00C304D3" w:rsidP="00C304D3">
            <w:pPr>
              <w:pStyle w:val="TableText"/>
            </w:pPr>
            <w:r w:rsidRPr="00D63217">
              <w:t>0.2</w:t>
            </w:r>
          </w:p>
        </w:tc>
        <w:tc>
          <w:tcPr>
            <w:tcW w:w="831" w:type="pct"/>
          </w:tcPr>
          <w:p w14:paraId="78B50C6A" w14:textId="20EBC48E" w:rsidR="00C304D3" w:rsidRPr="00D63217" w:rsidRDefault="00C304D3" w:rsidP="00C304D3">
            <w:pPr>
              <w:pStyle w:val="TableText"/>
            </w:pPr>
            <w:r w:rsidRPr="00D63217">
              <w:t>Delete</w:t>
            </w:r>
          </w:p>
        </w:tc>
      </w:tr>
      <w:tr w:rsidR="00C304D3" w:rsidRPr="00D63217" w14:paraId="0DB356CA" w14:textId="77777777" w:rsidTr="00121387">
        <w:trPr>
          <w:cantSplit/>
        </w:trPr>
        <w:tc>
          <w:tcPr>
            <w:tcW w:w="892" w:type="pct"/>
            <w:noWrap/>
          </w:tcPr>
          <w:p w14:paraId="5565EE3A" w14:textId="70421BB9" w:rsidR="00C304D3" w:rsidRPr="00D63217" w:rsidRDefault="00C304D3" w:rsidP="00C304D3">
            <w:pPr>
              <w:pStyle w:val="TableText"/>
            </w:pPr>
            <w:r>
              <w:t>VL 0053</w:t>
            </w:r>
          </w:p>
        </w:tc>
        <w:tc>
          <w:tcPr>
            <w:tcW w:w="2557" w:type="pct"/>
            <w:noWrap/>
          </w:tcPr>
          <w:p w14:paraId="42711225" w14:textId="6164BA0B" w:rsidR="00C304D3" w:rsidRPr="00D63217" w:rsidRDefault="00C304D3" w:rsidP="00C304D3">
            <w:pPr>
              <w:pStyle w:val="TableText"/>
            </w:pPr>
            <w:r>
              <w:t>Leafy vegetables</w:t>
            </w:r>
          </w:p>
        </w:tc>
        <w:tc>
          <w:tcPr>
            <w:tcW w:w="720" w:type="pct"/>
            <w:noWrap/>
          </w:tcPr>
          <w:p w14:paraId="06D1DE93" w14:textId="6C8264DF" w:rsidR="00C304D3" w:rsidRPr="00D63217" w:rsidRDefault="00C304D3" w:rsidP="00C304D3">
            <w:pPr>
              <w:pStyle w:val="TableText"/>
            </w:pPr>
            <w:r>
              <w:t>-</w:t>
            </w:r>
          </w:p>
        </w:tc>
        <w:tc>
          <w:tcPr>
            <w:tcW w:w="831" w:type="pct"/>
          </w:tcPr>
          <w:p w14:paraId="3C546BAB" w14:textId="0AFB79F5" w:rsidR="00C304D3" w:rsidRPr="00D63217" w:rsidRDefault="00C304D3" w:rsidP="00C304D3">
            <w:pPr>
              <w:pStyle w:val="TableText"/>
            </w:pPr>
            <w:r>
              <w:t>*0.02</w:t>
            </w:r>
          </w:p>
        </w:tc>
      </w:tr>
      <w:tr w:rsidR="00C304D3" w:rsidRPr="00D63217" w14:paraId="0C8DED89" w14:textId="77777777" w:rsidTr="00121387">
        <w:trPr>
          <w:cantSplit/>
        </w:trPr>
        <w:tc>
          <w:tcPr>
            <w:tcW w:w="892" w:type="pct"/>
            <w:noWrap/>
          </w:tcPr>
          <w:p w14:paraId="2C10BA9B" w14:textId="58ADD8E5" w:rsidR="00C304D3" w:rsidRPr="00D63217" w:rsidRDefault="00C304D3" w:rsidP="00C304D3">
            <w:pPr>
              <w:pStyle w:val="TableText"/>
            </w:pPr>
            <w:r>
              <w:t>VP 0060</w:t>
            </w:r>
          </w:p>
        </w:tc>
        <w:tc>
          <w:tcPr>
            <w:tcW w:w="2557" w:type="pct"/>
            <w:noWrap/>
          </w:tcPr>
          <w:p w14:paraId="18D39597" w14:textId="1427DF4A" w:rsidR="00C304D3" w:rsidRPr="00D63217" w:rsidRDefault="00C304D3" w:rsidP="00C304D3">
            <w:pPr>
              <w:pStyle w:val="TableText"/>
            </w:pPr>
            <w:r>
              <w:t>Legume vegetables</w:t>
            </w:r>
          </w:p>
        </w:tc>
        <w:tc>
          <w:tcPr>
            <w:tcW w:w="720" w:type="pct"/>
            <w:noWrap/>
          </w:tcPr>
          <w:p w14:paraId="081E8E10" w14:textId="19D8259E" w:rsidR="00C304D3" w:rsidRPr="00D63217" w:rsidRDefault="00C304D3" w:rsidP="00C304D3">
            <w:pPr>
              <w:pStyle w:val="TableText"/>
            </w:pPr>
            <w:r>
              <w:t>-</w:t>
            </w:r>
          </w:p>
        </w:tc>
        <w:tc>
          <w:tcPr>
            <w:tcW w:w="831" w:type="pct"/>
          </w:tcPr>
          <w:p w14:paraId="173CA4E0" w14:textId="332E7F58" w:rsidR="00C304D3" w:rsidRPr="00D63217" w:rsidRDefault="00C304D3" w:rsidP="00C304D3">
            <w:pPr>
              <w:pStyle w:val="TableText"/>
            </w:pPr>
            <w:r>
              <w:t>*0.05</w:t>
            </w:r>
          </w:p>
        </w:tc>
      </w:tr>
      <w:tr w:rsidR="00C304D3" w:rsidRPr="00D63217" w14:paraId="4D984620" w14:textId="77777777" w:rsidTr="00121387">
        <w:trPr>
          <w:cantSplit/>
        </w:trPr>
        <w:tc>
          <w:tcPr>
            <w:tcW w:w="892" w:type="pct"/>
            <w:noWrap/>
          </w:tcPr>
          <w:p w14:paraId="65F15C4B" w14:textId="0FE03117" w:rsidR="00C304D3" w:rsidRPr="00D63217" w:rsidRDefault="00C304D3" w:rsidP="00C304D3">
            <w:pPr>
              <w:pStyle w:val="TableText"/>
            </w:pPr>
            <w:r w:rsidRPr="00D63217">
              <w:t>VD 0533</w:t>
            </w:r>
          </w:p>
        </w:tc>
        <w:tc>
          <w:tcPr>
            <w:tcW w:w="2557" w:type="pct"/>
            <w:noWrap/>
          </w:tcPr>
          <w:p w14:paraId="776E8747" w14:textId="26C7E6FF" w:rsidR="00C304D3" w:rsidRPr="00D63217" w:rsidRDefault="00C304D3" w:rsidP="00C304D3">
            <w:pPr>
              <w:pStyle w:val="TableText"/>
            </w:pPr>
            <w:r w:rsidRPr="00D63217">
              <w:t>Lentil (dry)</w:t>
            </w:r>
          </w:p>
        </w:tc>
        <w:tc>
          <w:tcPr>
            <w:tcW w:w="720" w:type="pct"/>
            <w:noWrap/>
          </w:tcPr>
          <w:p w14:paraId="6648AD6B" w14:textId="5DF57B7C" w:rsidR="00C304D3" w:rsidRPr="00D63217" w:rsidRDefault="00C304D3" w:rsidP="00C304D3">
            <w:pPr>
              <w:pStyle w:val="TableText"/>
            </w:pPr>
            <w:r w:rsidRPr="00D63217">
              <w:t>-</w:t>
            </w:r>
          </w:p>
        </w:tc>
        <w:tc>
          <w:tcPr>
            <w:tcW w:w="831" w:type="pct"/>
          </w:tcPr>
          <w:p w14:paraId="0D31E12D" w14:textId="2D8F1C64" w:rsidR="00C304D3" w:rsidRPr="00D63217" w:rsidRDefault="00C304D3" w:rsidP="00C304D3">
            <w:pPr>
              <w:pStyle w:val="TableText"/>
            </w:pPr>
            <w:r w:rsidRPr="00D63217">
              <w:t>1</w:t>
            </w:r>
          </w:p>
        </w:tc>
      </w:tr>
      <w:tr w:rsidR="00C304D3" w:rsidRPr="00D63217" w14:paraId="50478A3F" w14:textId="77777777" w:rsidTr="00121387">
        <w:trPr>
          <w:cantSplit/>
        </w:trPr>
        <w:tc>
          <w:tcPr>
            <w:tcW w:w="892" w:type="pct"/>
            <w:noWrap/>
          </w:tcPr>
          <w:p w14:paraId="65C71E1A" w14:textId="6640E1B9" w:rsidR="00C304D3" w:rsidRPr="00D63217" w:rsidRDefault="00C304D3" w:rsidP="00C304D3">
            <w:pPr>
              <w:pStyle w:val="TableText"/>
            </w:pPr>
            <w:r w:rsidRPr="00D63217">
              <w:t>VD 0545</w:t>
            </w:r>
          </w:p>
        </w:tc>
        <w:tc>
          <w:tcPr>
            <w:tcW w:w="2557" w:type="pct"/>
            <w:noWrap/>
          </w:tcPr>
          <w:p w14:paraId="22DABB8A" w14:textId="6220554A" w:rsidR="00C304D3" w:rsidRPr="00D63217" w:rsidRDefault="00C304D3" w:rsidP="00C304D3">
            <w:pPr>
              <w:pStyle w:val="TableText"/>
            </w:pPr>
            <w:r w:rsidRPr="00D63217">
              <w:t>Lupin (dry)</w:t>
            </w:r>
          </w:p>
        </w:tc>
        <w:tc>
          <w:tcPr>
            <w:tcW w:w="720" w:type="pct"/>
            <w:noWrap/>
          </w:tcPr>
          <w:p w14:paraId="3C596CC8" w14:textId="0D74E4FB" w:rsidR="00C304D3" w:rsidRPr="00D63217" w:rsidRDefault="00C304D3" w:rsidP="00C304D3">
            <w:pPr>
              <w:pStyle w:val="TableText"/>
            </w:pPr>
            <w:r w:rsidRPr="00D63217">
              <w:t>-</w:t>
            </w:r>
          </w:p>
        </w:tc>
        <w:tc>
          <w:tcPr>
            <w:tcW w:w="831" w:type="pct"/>
          </w:tcPr>
          <w:p w14:paraId="4DAF11B7" w14:textId="588136A4" w:rsidR="00C304D3" w:rsidRPr="00D63217" w:rsidRDefault="00C304D3" w:rsidP="00C304D3">
            <w:pPr>
              <w:pStyle w:val="TableText"/>
            </w:pPr>
            <w:r w:rsidRPr="00D63217">
              <w:t>1</w:t>
            </w:r>
          </w:p>
        </w:tc>
      </w:tr>
      <w:tr w:rsidR="00C304D3" w:rsidRPr="00D63217" w14:paraId="6629E94A" w14:textId="77777777" w:rsidTr="00121387">
        <w:trPr>
          <w:cantSplit/>
        </w:trPr>
        <w:tc>
          <w:tcPr>
            <w:tcW w:w="892" w:type="pct"/>
            <w:noWrap/>
          </w:tcPr>
          <w:p w14:paraId="638F7AE3" w14:textId="701A1A07" w:rsidR="00C304D3" w:rsidRPr="00D63217" w:rsidRDefault="00C304D3" w:rsidP="00C304D3">
            <w:pPr>
              <w:pStyle w:val="TableText"/>
            </w:pPr>
            <w:r w:rsidRPr="00D63217">
              <w:t>GC 0645</w:t>
            </w:r>
          </w:p>
        </w:tc>
        <w:tc>
          <w:tcPr>
            <w:tcW w:w="2557" w:type="pct"/>
            <w:noWrap/>
          </w:tcPr>
          <w:p w14:paraId="126A34CD" w14:textId="34656053" w:rsidR="00C304D3" w:rsidRPr="00D63217" w:rsidRDefault="00C304D3" w:rsidP="00C304D3">
            <w:pPr>
              <w:pStyle w:val="TableText"/>
            </w:pPr>
            <w:r w:rsidRPr="00D63217">
              <w:t>Maize</w:t>
            </w:r>
          </w:p>
        </w:tc>
        <w:tc>
          <w:tcPr>
            <w:tcW w:w="720" w:type="pct"/>
            <w:noWrap/>
          </w:tcPr>
          <w:p w14:paraId="0F786A40" w14:textId="302D2BA4" w:rsidR="00C304D3" w:rsidRPr="00D63217" w:rsidRDefault="00C304D3" w:rsidP="00C304D3">
            <w:pPr>
              <w:pStyle w:val="TableText"/>
            </w:pPr>
            <w:r w:rsidRPr="00D63217">
              <w:t>0.1</w:t>
            </w:r>
          </w:p>
        </w:tc>
        <w:tc>
          <w:tcPr>
            <w:tcW w:w="831" w:type="pct"/>
          </w:tcPr>
          <w:p w14:paraId="1990E18F" w14:textId="4FF00419" w:rsidR="00C304D3" w:rsidRPr="00D63217" w:rsidRDefault="00C304D3" w:rsidP="00C304D3">
            <w:pPr>
              <w:pStyle w:val="TableText"/>
            </w:pPr>
            <w:r w:rsidRPr="00D63217">
              <w:t>Delete</w:t>
            </w:r>
          </w:p>
        </w:tc>
      </w:tr>
      <w:tr w:rsidR="00C304D3" w:rsidRPr="00D63217" w14:paraId="6B05B384" w14:textId="77777777" w:rsidTr="00121387">
        <w:trPr>
          <w:cantSplit/>
        </w:trPr>
        <w:tc>
          <w:tcPr>
            <w:tcW w:w="892" w:type="pct"/>
            <w:noWrap/>
          </w:tcPr>
          <w:p w14:paraId="70E79A84" w14:textId="45DA24E6" w:rsidR="00C304D3" w:rsidRPr="00D63217" w:rsidRDefault="00C304D3" w:rsidP="00C304D3">
            <w:pPr>
              <w:pStyle w:val="TableText"/>
            </w:pPr>
            <w:r w:rsidRPr="00D63217">
              <w:t>MM 0095</w:t>
            </w:r>
          </w:p>
        </w:tc>
        <w:tc>
          <w:tcPr>
            <w:tcW w:w="2557" w:type="pct"/>
            <w:noWrap/>
          </w:tcPr>
          <w:p w14:paraId="001FA39B" w14:textId="5CC66205" w:rsidR="00C304D3" w:rsidRPr="00D63217" w:rsidRDefault="00C304D3" w:rsidP="00C304D3">
            <w:pPr>
              <w:pStyle w:val="TableText"/>
            </w:pPr>
            <w:r w:rsidRPr="00D63217">
              <w:t>Meat [mammalian]</w:t>
            </w:r>
          </w:p>
        </w:tc>
        <w:tc>
          <w:tcPr>
            <w:tcW w:w="720" w:type="pct"/>
            <w:noWrap/>
          </w:tcPr>
          <w:p w14:paraId="58D42947" w14:textId="41AB4B2F" w:rsidR="00C304D3" w:rsidRPr="00D63217" w:rsidRDefault="00C304D3" w:rsidP="00C304D3">
            <w:pPr>
              <w:pStyle w:val="TableText"/>
            </w:pPr>
            <w:r w:rsidRPr="00D63217">
              <w:t>*0.05</w:t>
            </w:r>
          </w:p>
        </w:tc>
        <w:tc>
          <w:tcPr>
            <w:tcW w:w="831" w:type="pct"/>
          </w:tcPr>
          <w:p w14:paraId="5E407CEF" w14:textId="63701D18" w:rsidR="00C304D3" w:rsidRPr="00D63217" w:rsidRDefault="00C304D3" w:rsidP="00C304D3">
            <w:pPr>
              <w:pStyle w:val="TableText"/>
            </w:pPr>
            <w:r w:rsidRPr="00D63217">
              <w:t>*0.05</w:t>
            </w:r>
          </w:p>
        </w:tc>
      </w:tr>
      <w:tr w:rsidR="00C304D3" w:rsidRPr="00D63217" w14:paraId="148FEE52" w14:textId="77777777" w:rsidTr="00121387">
        <w:trPr>
          <w:cantSplit/>
        </w:trPr>
        <w:tc>
          <w:tcPr>
            <w:tcW w:w="892" w:type="pct"/>
            <w:noWrap/>
          </w:tcPr>
          <w:p w14:paraId="54C4AEDC" w14:textId="5F190572" w:rsidR="00C304D3" w:rsidRPr="00D63217" w:rsidRDefault="00C304D3" w:rsidP="00C304D3">
            <w:pPr>
              <w:pStyle w:val="TableText"/>
            </w:pPr>
            <w:r w:rsidRPr="00D63217">
              <w:t>ML 0106</w:t>
            </w:r>
          </w:p>
        </w:tc>
        <w:tc>
          <w:tcPr>
            <w:tcW w:w="2557" w:type="pct"/>
            <w:noWrap/>
          </w:tcPr>
          <w:p w14:paraId="18751AF2" w14:textId="5DF2DD8C" w:rsidR="00C304D3" w:rsidRPr="00D63217" w:rsidRDefault="00C304D3" w:rsidP="00C304D3">
            <w:pPr>
              <w:pStyle w:val="TableText"/>
            </w:pPr>
            <w:r w:rsidRPr="00D63217">
              <w:t>Milks</w:t>
            </w:r>
          </w:p>
        </w:tc>
        <w:tc>
          <w:tcPr>
            <w:tcW w:w="720" w:type="pct"/>
            <w:noWrap/>
          </w:tcPr>
          <w:p w14:paraId="5F977467" w14:textId="492A3CB8" w:rsidR="00C304D3" w:rsidRPr="00D63217" w:rsidRDefault="00C304D3" w:rsidP="00C304D3">
            <w:pPr>
              <w:pStyle w:val="TableText"/>
            </w:pPr>
            <w:r w:rsidRPr="00D63217">
              <w:t>*0.01</w:t>
            </w:r>
          </w:p>
        </w:tc>
        <w:tc>
          <w:tcPr>
            <w:tcW w:w="831" w:type="pct"/>
          </w:tcPr>
          <w:p w14:paraId="50597FFD" w14:textId="74683828" w:rsidR="00C304D3" w:rsidRPr="00D63217" w:rsidRDefault="00C304D3" w:rsidP="00C304D3">
            <w:pPr>
              <w:pStyle w:val="TableText"/>
            </w:pPr>
            <w:r w:rsidRPr="00D63217">
              <w:t>*0.01</w:t>
            </w:r>
          </w:p>
        </w:tc>
      </w:tr>
      <w:tr w:rsidR="00C304D3" w:rsidRPr="00D63217" w14:paraId="176ECE17" w14:textId="77777777" w:rsidTr="00121387">
        <w:trPr>
          <w:cantSplit/>
        </w:trPr>
        <w:tc>
          <w:tcPr>
            <w:tcW w:w="892" w:type="pct"/>
            <w:noWrap/>
          </w:tcPr>
          <w:p w14:paraId="70B6785B" w14:textId="5D3F4426" w:rsidR="00C304D3" w:rsidRPr="00D63217" w:rsidRDefault="00C304D3" w:rsidP="00C304D3">
            <w:pPr>
              <w:pStyle w:val="TableText"/>
            </w:pPr>
            <w:r w:rsidRPr="00D63217">
              <w:t>SO 0088</w:t>
            </w:r>
          </w:p>
        </w:tc>
        <w:tc>
          <w:tcPr>
            <w:tcW w:w="2557" w:type="pct"/>
            <w:noWrap/>
          </w:tcPr>
          <w:p w14:paraId="23344095" w14:textId="5F265C1D" w:rsidR="00C304D3" w:rsidRPr="00D63217" w:rsidRDefault="00C304D3" w:rsidP="00C304D3">
            <w:pPr>
              <w:pStyle w:val="TableText"/>
            </w:pPr>
            <w:r w:rsidRPr="00D63217">
              <w:t>Oilseed [except cotton seed; peanut]</w:t>
            </w:r>
          </w:p>
        </w:tc>
        <w:tc>
          <w:tcPr>
            <w:tcW w:w="720" w:type="pct"/>
            <w:noWrap/>
          </w:tcPr>
          <w:p w14:paraId="269E61FB" w14:textId="5DA8BD78" w:rsidR="00C304D3" w:rsidRPr="00D63217" w:rsidRDefault="00C304D3" w:rsidP="00C304D3">
            <w:pPr>
              <w:pStyle w:val="TableText"/>
            </w:pPr>
            <w:r w:rsidRPr="00D63217">
              <w:t>*0.05</w:t>
            </w:r>
          </w:p>
        </w:tc>
        <w:tc>
          <w:tcPr>
            <w:tcW w:w="831" w:type="pct"/>
          </w:tcPr>
          <w:p w14:paraId="2521A976" w14:textId="2D7984E1" w:rsidR="00C304D3" w:rsidRPr="00D63217" w:rsidRDefault="00C304D3" w:rsidP="00C304D3">
            <w:pPr>
              <w:pStyle w:val="TableText"/>
            </w:pPr>
            <w:r w:rsidRPr="00D63217">
              <w:t>Delete</w:t>
            </w:r>
          </w:p>
        </w:tc>
      </w:tr>
      <w:tr w:rsidR="00C304D3" w:rsidRPr="00D63217" w14:paraId="3312A721" w14:textId="77777777" w:rsidTr="00121387">
        <w:trPr>
          <w:cantSplit/>
        </w:trPr>
        <w:tc>
          <w:tcPr>
            <w:tcW w:w="892" w:type="pct"/>
            <w:noWrap/>
          </w:tcPr>
          <w:p w14:paraId="10E50101" w14:textId="29EB6EE0" w:rsidR="00C304D3" w:rsidRPr="00D63217" w:rsidRDefault="00C304D3" w:rsidP="00C304D3">
            <w:pPr>
              <w:pStyle w:val="TableText"/>
            </w:pPr>
            <w:r w:rsidRPr="00D63217">
              <w:t>SO 0088</w:t>
            </w:r>
          </w:p>
        </w:tc>
        <w:tc>
          <w:tcPr>
            <w:tcW w:w="2557" w:type="pct"/>
            <w:noWrap/>
          </w:tcPr>
          <w:p w14:paraId="3C644321" w14:textId="4809579F" w:rsidR="00C304D3" w:rsidRPr="00D63217" w:rsidRDefault="00C304D3" w:rsidP="00C304D3">
            <w:pPr>
              <w:pStyle w:val="TableText"/>
            </w:pPr>
            <w:r w:rsidRPr="00D63217">
              <w:t>Oilseed</w:t>
            </w:r>
          </w:p>
        </w:tc>
        <w:tc>
          <w:tcPr>
            <w:tcW w:w="720" w:type="pct"/>
            <w:noWrap/>
          </w:tcPr>
          <w:p w14:paraId="6D701291" w14:textId="29735D35" w:rsidR="00C304D3" w:rsidRPr="00D63217" w:rsidRDefault="00C304D3" w:rsidP="00C304D3">
            <w:pPr>
              <w:pStyle w:val="TableText"/>
            </w:pPr>
            <w:r w:rsidRPr="00D63217">
              <w:t>-</w:t>
            </w:r>
          </w:p>
        </w:tc>
        <w:tc>
          <w:tcPr>
            <w:tcW w:w="831" w:type="pct"/>
          </w:tcPr>
          <w:p w14:paraId="7F852CBF" w14:textId="49CB8A0D" w:rsidR="00C304D3" w:rsidRPr="00D63217" w:rsidRDefault="00C304D3" w:rsidP="00C304D3">
            <w:pPr>
              <w:pStyle w:val="TableText"/>
            </w:pPr>
            <w:r w:rsidRPr="00D63217">
              <w:t>*0.05</w:t>
            </w:r>
          </w:p>
        </w:tc>
      </w:tr>
      <w:tr w:rsidR="00C304D3" w:rsidRPr="00D63217" w14:paraId="7B9FFAC1" w14:textId="77777777" w:rsidTr="00121387">
        <w:trPr>
          <w:cantSplit/>
        </w:trPr>
        <w:tc>
          <w:tcPr>
            <w:tcW w:w="892" w:type="pct"/>
            <w:noWrap/>
          </w:tcPr>
          <w:p w14:paraId="6DA26DAF" w14:textId="207BFFB9" w:rsidR="00C304D3" w:rsidRPr="00D63217" w:rsidRDefault="00C304D3" w:rsidP="00C304D3">
            <w:pPr>
              <w:pStyle w:val="TableText"/>
            </w:pPr>
            <w:r w:rsidRPr="00D63217">
              <w:t>FT 0305</w:t>
            </w:r>
          </w:p>
        </w:tc>
        <w:tc>
          <w:tcPr>
            <w:tcW w:w="2557" w:type="pct"/>
            <w:noWrap/>
          </w:tcPr>
          <w:p w14:paraId="0B56C478" w14:textId="500E1E5E" w:rsidR="00C304D3" w:rsidRPr="00D63217" w:rsidRDefault="00C304D3" w:rsidP="00C304D3">
            <w:pPr>
              <w:pStyle w:val="TableText"/>
            </w:pPr>
            <w:r w:rsidRPr="00D63217">
              <w:t>Olives</w:t>
            </w:r>
          </w:p>
        </w:tc>
        <w:tc>
          <w:tcPr>
            <w:tcW w:w="720" w:type="pct"/>
            <w:noWrap/>
          </w:tcPr>
          <w:p w14:paraId="1ABBE6AB" w14:textId="48AFE4E6" w:rsidR="00C304D3" w:rsidRPr="00D63217" w:rsidRDefault="00C304D3" w:rsidP="00C304D3">
            <w:pPr>
              <w:pStyle w:val="TableText"/>
            </w:pPr>
            <w:r w:rsidRPr="00D63217">
              <w:t>1</w:t>
            </w:r>
          </w:p>
        </w:tc>
        <w:tc>
          <w:tcPr>
            <w:tcW w:w="831" w:type="pct"/>
          </w:tcPr>
          <w:p w14:paraId="358CF501" w14:textId="1EED22D9" w:rsidR="00C304D3" w:rsidRPr="00D63217" w:rsidRDefault="00C304D3" w:rsidP="00C304D3">
            <w:pPr>
              <w:pStyle w:val="TableText"/>
            </w:pPr>
            <w:r w:rsidRPr="00D63217">
              <w:t>Delete</w:t>
            </w:r>
          </w:p>
        </w:tc>
      </w:tr>
      <w:tr w:rsidR="00C304D3" w:rsidRPr="00D63217" w14:paraId="045CC832" w14:textId="77777777" w:rsidTr="00121387">
        <w:trPr>
          <w:cantSplit/>
        </w:trPr>
        <w:tc>
          <w:tcPr>
            <w:tcW w:w="892" w:type="pct"/>
            <w:noWrap/>
          </w:tcPr>
          <w:p w14:paraId="4363C4AF" w14:textId="0A5EA9C4" w:rsidR="00C304D3" w:rsidRPr="00D63217" w:rsidRDefault="00C304D3" w:rsidP="00C304D3">
            <w:pPr>
              <w:pStyle w:val="TableText"/>
            </w:pPr>
            <w:r w:rsidRPr="00D63217">
              <w:t>SO 0697</w:t>
            </w:r>
          </w:p>
        </w:tc>
        <w:tc>
          <w:tcPr>
            <w:tcW w:w="2557" w:type="pct"/>
            <w:noWrap/>
          </w:tcPr>
          <w:p w14:paraId="657D501A" w14:textId="6CA369E4" w:rsidR="00C304D3" w:rsidRPr="00D63217" w:rsidRDefault="00C304D3" w:rsidP="00C304D3">
            <w:pPr>
              <w:pStyle w:val="TableText"/>
            </w:pPr>
            <w:r w:rsidRPr="00D63217">
              <w:t>Peanut</w:t>
            </w:r>
          </w:p>
        </w:tc>
        <w:tc>
          <w:tcPr>
            <w:tcW w:w="720" w:type="pct"/>
            <w:noWrap/>
          </w:tcPr>
          <w:p w14:paraId="1376F02E" w14:textId="542237AE" w:rsidR="00C304D3" w:rsidRPr="00D63217" w:rsidRDefault="00C304D3" w:rsidP="00C304D3">
            <w:pPr>
              <w:pStyle w:val="TableText"/>
            </w:pPr>
            <w:r w:rsidRPr="00D63217">
              <w:t>*0.01</w:t>
            </w:r>
          </w:p>
        </w:tc>
        <w:tc>
          <w:tcPr>
            <w:tcW w:w="831" w:type="pct"/>
          </w:tcPr>
          <w:p w14:paraId="54E8DC6B" w14:textId="3FBEDEC2" w:rsidR="00C304D3" w:rsidRPr="00D63217" w:rsidRDefault="00C304D3" w:rsidP="00C304D3">
            <w:pPr>
              <w:pStyle w:val="TableText"/>
            </w:pPr>
            <w:r w:rsidRPr="00D63217">
              <w:t>Delete</w:t>
            </w:r>
          </w:p>
        </w:tc>
      </w:tr>
      <w:tr w:rsidR="00C304D3" w:rsidRPr="00D63217" w14:paraId="0695126C" w14:textId="77777777" w:rsidTr="00121387">
        <w:trPr>
          <w:cantSplit/>
        </w:trPr>
        <w:tc>
          <w:tcPr>
            <w:tcW w:w="892" w:type="pct"/>
            <w:noWrap/>
          </w:tcPr>
          <w:p w14:paraId="7678D90A" w14:textId="18749C6F" w:rsidR="00C304D3" w:rsidRPr="00D63217" w:rsidRDefault="00C304D3" w:rsidP="00C304D3">
            <w:pPr>
              <w:pStyle w:val="TableText"/>
            </w:pPr>
            <w:r w:rsidRPr="00D63217">
              <w:t>SO 0703</w:t>
            </w:r>
          </w:p>
        </w:tc>
        <w:tc>
          <w:tcPr>
            <w:tcW w:w="2557" w:type="pct"/>
            <w:noWrap/>
          </w:tcPr>
          <w:p w14:paraId="152B3B4A" w14:textId="4CA20DA3" w:rsidR="00C304D3" w:rsidRPr="00D63217" w:rsidRDefault="00C304D3" w:rsidP="00C304D3">
            <w:pPr>
              <w:pStyle w:val="TableText"/>
            </w:pPr>
            <w:r w:rsidRPr="00D63217">
              <w:t>Peanut, whole</w:t>
            </w:r>
          </w:p>
        </w:tc>
        <w:tc>
          <w:tcPr>
            <w:tcW w:w="720" w:type="pct"/>
            <w:noWrap/>
          </w:tcPr>
          <w:p w14:paraId="368E33AA" w14:textId="7FF212B5" w:rsidR="00C304D3" w:rsidRPr="00D63217" w:rsidRDefault="00C304D3" w:rsidP="00C304D3">
            <w:pPr>
              <w:pStyle w:val="TableText"/>
            </w:pPr>
            <w:r w:rsidRPr="00D63217">
              <w:t>*0.01</w:t>
            </w:r>
          </w:p>
        </w:tc>
        <w:tc>
          <w:tcPr>
            <w:tcW w:w="831" w:type="pct"/>
          </w:tcPr>
          <w:p w14:paraId="0860D9ED" w14:textId="04C4AA8F" w:rsidR="00C304D3" w:rsidRPr="00D63217" w:rsidRDefault="00C304D3" w:rsidP="00C304D3">
            <w:pPr>
              <w:pStyle w:val="TableText"/>
            </w:pPr>
            <w:r w:rsidRPr="00D63217">
              <w:t>Delete</w:t>
            </w:r>
          </w:p>
        </w:tc>
      </w:tr>
      <w:tr w:rsidR="00C304D3" w:rsidRPr="00D63217" w14:paraId="58A6EFCC" w14:textId="77777777" w:rsidTr="00121387">
        <w:trPr>
          <w:cantSplit/>
        </w:trPr>
        <w:tc>
          <w:tcPr>
            <w:tcW w:w="892" w:type="pct"/>
            <w:noWrap/>
          </w:tcPr>
          <w:p w14:paraId="1FF06AFD" w14:textId="07CFECB8" w:rsidR="00C304D3" w:rsidRPr="00D63217" w:rsidRDefault="00C304D3" w:rsidP="00C304D3">
            <w:pPr>
              <w:pStyle w:val="TableText"/>
            </w:pPr>
            <w:r w:rsidRPr="00D63217">
              <w:t>VR 0589</w:t>
            </w:r>
          </w:p>
        </w:tc>
        <w:tc>
          <w:tcPr>
            <w:tcW w:w="2557" w:type="pct"/>
            <w:noWrap/>
          </w:tcPr>
          <w:p w14:paraId="654536C3" w14:textId="4EB90E3C" w:rsidR="00C304D3" w:rsidRPr="00D63217" w:rsidRDefault="00C304D3" w:rsidP="00C304D3">
            <w:pPr>
              <w:pStyle w:val="TableText"/>
            </w:pPr>
            <w:r w:rsidRPr="00D63217">
              <w:t>Potato</w:t>
            </w:r>
          </w:p>
        </w:tc>
        <w:tc>
          <w:tcPr>
            <w:tcW w:w="720" w:type="pct"/>
            <w:noWrap/>
          </w:tcPr>
          <w:p w14:paraId="2B52C24A" w14:textId="2C63E0E6" w:rsidR="00C304D3" w:rsidRPr="00D63217" w:rsidRDefault="00C304D3" w:rsidP="00C304D3">
            <w:pPr>
              <w:pStyle w:val="TableText"/>
            </w:pPr>
            <w:r w:rsidRPr="00D63217">
              <w:t>0.2</w:t>
            </w:r>
          </w:p>
        </w:tc>
        <w:tc>
          <w:tcPr>
            <w:tcW w:w="831" w:type="pct"/>
          </w:tcPr>
          <w:p w14:paraId="20F4567E" w14:textId="0EB7ADE0" w:rsidR="00C304D3" w:rsidRPr="00D63217" w:rsidRDefault="00C304D3" w:rsidP="00C304D3">
            <w:pPr>
              <w:pStyle w:val="TableText"/>
            </w:pPr>
            <w:r w:rsidRPr="00D63217">
              <w:t>Delete</w:t>
            </w:r>
          </w:p>
        </w:tc>
      </w:tr>
      <w:tr w:rsidR="00C304D3" w:rsidRPr="00D63217" w14:paraId="56432E24" w14:textId="77777777" w:rsidTr="00121387">
        <w:trPr>
          <w:cantSplit/>
        </w:trPr>
        <w:tc>
          <w:tcPr>
            <w:tcW w:w="892" w:type="pct"/>
            <w:noWrap/>
          </w:tcPr>
          <w:p w14:paraId="6CC7CCFD" w14:textId="37962771" w:rsidR="00C304D3" w:rsidRPr="00D63217" w:rsidRDefault="00C304D3" w:rsidP="00C304D3">
            <w:pPr>
              <w:pStyle w:val="TableText"/>
            </w:pPr>
            <w:r w:rsidRPr="00D63217">
              <w:t>PO 0111</w:t>
            </w:r>
          </w:p>
        </w:tc>
        <w:tc>
          <w:tcPr>
            <w:tcW w:w="2557" w:type="pct"/>
            <w:noWrap/>
          </w:tcPr>
          <w:p w14:paraId="480FF853" w14:textId="1673F551" w:rsidR="00C304D3" w:rsidRPr="00D63217" w:rsidRDefault="00C304D3" w:rsidP="00C304D3">
            <w:pPr>
              <w:pStyle w:val="TableText"/>
            </w:pPr>
            <w:r w:rsidRPr="00D63217">
              <w:t>Poultry, Edible offal of</w:t>
            </w:r>
          </w:p>
        </w:tc>
        <w:tc>
          <w:tcPr>
            <w:tcW w:w="720" w:type="pct"/>
            <w:noWrap/>
          </w:tcPr>
          <w:p w14:paraId="27B67014" w14:textId="7996E10A" w:rsidR="00C304D3" w:rsidRPr="00D63217" w:rsidRDefault="00C304D3" w:rsidP="00C304D3">
            <w:pPr>
              <w:pStyle w:val="TableText"/>
            </w:pPr>
            <w:r w:rsidRPr="00D63217">
              <w:t>*0.05</w:t>
            </w:r>
          </w:p>
        </w:tc>
        <w:tc>
          <w:tcPr>
            <w:tcW w:w="831" w:type="pct"/>
          </w:tcPr>
          <w:p w14:paraId="1CF686A2" w14:textId="2C443AD0" w:rsidR="00C304D3" w:rsidRPr="00D63217" w:rsidRDefault="00C304D3" w:rsidP="00C304D3">
            <w:pPr>
              <w:pStyle w:val="TableText"/>
            </w:pPr>
            <w:r w:rsidRPr="00D63217">
              <w:t>*0.05</w:t>
            </w:r>
          </w:p>
        </w:tc>
      </w:tr>
      <w:tr w:rsidR="00C304D3" w:rsidRPr="00D63217" w14:paraId="08A21A9D" w14:textId="77777777" w:rsidTr="00121387">
        <w:trPr>
          <w:cantSplit/>
        </w:trPr>
        <w:tc>
          <w:tcPr>
            <w:tcW w:w="892" w:type="pct"/>
            <w:noWrap/>
          </w:tcPr>
          <w:p w14:paraId="174A3EA7" w14:textId="509112E8" w:rsidR="00C304D3" w:rsidRPr="00D63217" w:rsidRDefault="00C304D3" w:rsidP="00C304D3">
            <w:pPr>
              <w:pStyle w:val="TableText"/>
            </w:pPr>
            <w:r w:rsidRPr="00D63217">
              <w:t>PM 0110</w:t>
            </w:r>
          </w:p>
        </w:tc>
        <w:tc>
          <w:tcPr>
            <w:tcW w:w="2557" w:type="pct"/>
            <w:noWrap/>
          </w:tcPr>
          <w:p w14:paraId="16524278" w14:textId="688F23D9" w:rsidR="00C304D3" w:rsidRPr="00D63217" w:rsidRDefault="00C304D3" w:rsidP="00C304D3">
            <w:pPr>
              <w:pStyle w:val="TableText"/>
            </w:pPr>
            <w:r w:rsidRPr="00D63217">
              <w:t>Poultry meat</w:t>
            </w:r>
          </w:p>
        </w:tc>
        <w:tc>
          <w:tcPr>
            <w:tcW w:w="720" w:type="pct"/>
            <w:noWrap/>
          </w:tcPr>
          <w:p w14:paraId="6CCCB91A" w14:textId="565F264E" w:rsidR="00C304D3" w:rsidRPr="00D63217" w:rsidRDefault="00C304D3" w:rsidP="00C304D3">
            <w:pPr>
              <w:pStyle w:val="TableText"/>
            </w:pPr>
            <w:r w:rsidRPr="00D63217">
              <w:t>*0.05</w:t>
            </w:r>
          </w:p>
        </w:tc>
        <w:tc>
          <w:tcPr>
            <w:tcW w:w="831" w:type="pct"/>
          </w:tcPr>
          <w:p w14:paraId="04E60D8A" w14:textId="1B4D5C73" w:rsidR="00C304D3" w:rsidRPr="00D63217" w:rsidRDefault="00C304D3" w:rsidP="00C304D3">
            <w:pPr>
              <w:pStyle w:val="TableText"/>
            </w:pPr>
            <w:r w:rsidRPr="00D63217">
              <w:t>*0.05</w:t>
            </w:r>
          </w:p>
        </w:tc>
      </w:tr>
      <w:tr w:rsidR="00C304D3" w:rsidRPr="00D63217" w14:paraId="1901276E" w14:textId="77777777" w:rsidTr="00121387">
        <w:trPr>
          <w:cantSplit/>
        </w:trPr>
        <w:tc>
          <w:tcPr>
            <w:tcW w:w="892" w:type="pct"/>
            <w:noWrap/>
          </w:tcPr>
          <w:p w14:paraId="4DE3A458" w14:textId="01E060A7" w:rsidR="00C304D3" w:rsidRPr="00D63217" w:rsidRDefault="00C304D3" w:rsidP="00C304D3">
            <w:pPr>
              <w:pStyle w:val="TableText"/>
            </w:pPr>
            <w:r w:rsidRPr="00D63217">
              <w:t>VD 0070</w:t>
            </w:r>
          </w:p>
        </w:tc>
        <w:tc>
          <w:tcPr>
            <w:tcW w:w="2557" w:type="pct"/>
            <w:noWrap/>
          </w:tcPr>
          <w:p w14:paraId="31249D5C" w14:textId="17E894FA" w:rsidR="00C304D3" w:rsidRPr="00D63217" w:rsidRDefault="00C304D3" w:rsidP="00C304D3">
            <w:pPr>
              <w:pStyle w:val="TableText"/>
            </w:pPr>
            <w:r w:rsidRPr="00D63217">
              <w:t>Pulses</w:t>
            </w:r>
          </w:p>
        </w:tc>
        <w:tc>
          <w:tcPr>
            <w:tcW w:w="720" w:type="pct"/>
            <w:noWrap/>
          </w:tcPr>
          <w:p w14:paraId="64B5A0A5" w14:textId="50A7F80A" w:rsidR="00C304D3" w:rsidRPr="00D63217" w:rsidRDefault="00C304D3" w:rsidP="00C304D3">
            <w:pPr>
              <w:pStyle w:val="TableText"/>
            </w:pPr>
            <w:r w:rsidRPr="00D63217">
              <w:t>1</w:t>
            </w:r>
          </w:p>
        </w:tc>
        <w:tc>
          <w:tcPr>
            <w:tcW w:w="831" w:type="pct"/>
          </w:tcPr>
          <w:p w14:paraId="26E0CC0F" w14:textId="56E37179" w:rsidR="00C304D3" w:rsidRPr="00D63217" w:rsidRDefault="00C304D3" w:rsidP="00C304D3">
            <w:pPr>
              <w:pStyle w:val="TableText"/>
            </w:pPr>
            <w:r w:rsidRPr="00D63217">
              <w:t>Delete</w:t>
            </w:r>
          </w:p>
        </w:tc>
      </w:tr>
      <w:tr w:rsidR="00C304D3" w:rsidRPr="00D63217" w14:paraId="170248D3" w14:textId="77777777" w:rsidTr="00121387">
        <w:trPr>
          <w:cantSplit/>
        </w:trPr>
        <w:tc>
          <w:tcPr>
            <w:tcW w:w="892" w:type="pct"/>
            <w:noWrap/>
          </w:tcPr>
          <w:p w14:paraId="5C52617B" w14:textId="6E8500A0" w:rsidR="00C304D3" w:rsidRPr="00D63217" w:rsidRDefault="00C304D3" w:rsidP="00C304D3">
            <w:pPr>
              <w:pStyle w:val="TableText"/>
            </w:pPr>
            <w:r w:rsidRPr="00D63217">
              <w:lastRenderedPageBreak/>
              <w:t>VD 0070</w:t>
            </w:r>
          </w:p>
        </w:tc>
        <w:tc>
          <w:tcPr>
            <w:tcW w:w="2557" w:type="pct"/>
            <w:noWrap/>
          </w:tcPr>
          <w:p w14:paraId="7F75F9E0" w14:textId="77777777" w:rsidR="00C304D3" w:rsidRPr="00D63217" w:rsidRDefault="00C304D3" w:rsidP="00C304D3">
            <w:pPr>
              <w:pStyle w:val="TableText"/>
            </w:pPr>
            <w:r w:rsidRPr="00D63217">
              <w:t>Pulses {except Broad bean (dry); Chick-pea (dry);</w:t>
            </w:r>
          </w:p>
          <w:p w14:paraId="5F728033" w14:textId="6BFFFB09" w:rsidR="00C304D3" w:rsidRPr="00D63217" w:rsidRDefault="00C304D3" w:rsidP="00C304D3">
            <w:pPr>
              <w:pStyle w:val="TableText"/>
            </w:pPr>
            <w:r w:rsidRPr="00D63217">
              <w:t>Field pea (dry); Lentil (dry); Lupin (dry)}</w:t>
            </w:r>
          </w:p>
        </w:tc>
        <w:tc>
          <w:tcPr>
            <w:tcW w:w="720" w:type="pct"/>
            <w:noWrap/>
          </w:tcPr>
          <w:p w14:paraId="46AD2089" w14:textId="564E816D" w:rsidR="00C304D3" w:rsidRPr="00D63217" w:rsidRDefault="00C304D3" w:rsidP="00C304D3">
            <w:pPr>
              <w:pStyle w:val="TableText"/>
            </w:pPr>
            <w:r w:rsidRPr="00D63217">
              <w:t>-</w:t>
            </w:r>
          </w:p>
        </w:tc>
        <w:tc>
          <w:tcPr>
            <w:tcW w:w="831" w:type="pct"/>
          </w:tcPr>
          <w:p w14:paraId="7AC5F2D8" w14:textId="1CC827DD" w:rsidR="00C304D3" w:rsidRPr="00D63217" w:rsidRDefault="00C304D3" w:rsidP="00C304D3">
            <w:pPr>
              <w:pStyle w:val="TableText"/>
            </w:pPr>
            <w:r w:rsidRPr="00D63217">
              <w:t>*0.05</w:t>
            </w:r>
          </w:p>
        </w:tc>
      </w:tr>
      <w:tr w:rsidR="00C304D3" w:rsidRPr="00D63217" w14:paraId="002CE993" w14:textId="77777777" w:rsidTr="00121387">
        <w:trPr>
          <w:cantSplit/>
        </w:trPr>
        <w:tc>
          <w:tcPr>
            <w:tcW w:w="892" w:type="pct"/>
            <w:noWrap/>
          </w:tcPr>
          <w:p w14:paraId="4DB07FF9" w14:textId="45AE0707" w:rsidR="00C304D3" w:rsidRPr="00D63217" w:rsidRDefault="00C304D3" w:rsidP="00C304D3">
            <w:pPr>
              <w:pStyle w:val="TableText"/>
            </w:pPr>
            <w:r w:rsidRPr="00D63217">
              <w:t>GC 0649</w:t>
            </w:r>
          </w:p>
        </w:tc>
        <w:tc>
          <w:tcPr>
            <w:tcW w:w="2557" w:type="pct"/>
            <w:noWrap/>
          </w:tcPr>
          <w:p w14:paraId="072A4B94" w14:textId="405064CB" w:rsidR="00C304D3" w:rsidRPr="00D63217" w:rsidRDefault="00C304D3" w:rsidP="00C304D3">
            <w:pPr>
              <w:pStyle w:val="TableText"/>
            </w:pPr>
            <w:r w:rsidRPr="00D63217">
              <w:t>Rice</w:t>
            </w:r>
          </w:p>
        </w:tc>
        <w:tc>
          <w:tcPr>
            <w:tcW w:w="720" w:type="pct"/>
            <w:noWrap/>
          </w:tcPr>
          <w:p w14:paraId="7CA21141" w14:textId="6737A400" w:rsidR="00C304D3" w:rsidRPr="00D63217" w:rsidRDefault="00C304D3" w:rsidP="00C304D3">
            <w:pPr>
              <w:pStyle w:val="TableText"/>
            </w:pPr>
            <w:r w:rsidRPr="00D63217">
              <w:t>10</w:t>
            </w:r>
          </w:p>
        </w:tc>
        <w:tc>
          <w:tcPr>
            <w:tcW w:w="831" w:type="pct"/>
          </w:tcPr>
          <w:p w14:paraId="707CD60F" w14:textId="5C9B6F30" w:rsidR="00C304D3" w:rsidRPr="00D63217" w:rsidRDefault="00C304D3" w:rsidP="00C304D3">
            <w:pPr>
              <w:pStyle w:val="TableText"/>
            </w:pPr>
            <w:r w:rsidRPr="00D63217">
              <w:t>Delete</w:t>
            </w:r>
          </w:p>
        </w:tc>
      </w:tr>
      <w:tr w:rsidR="00C304D3" w:rsidRPr="00D63217" w14:paraId="64E8E76E" w14:textId="77777777" w:rsidTr="00121387">
        <w:trPr>
          <w:cantSplit/>
        </w:trPr>
        <w:tc>
          <w:tcPr>
            <w:tcW w:w="892" w:type="pct"/>
            <w:noWrap/>
          </w:tcPr>
          <w:p w14:paraId="1745B417" w14:textId="52056073" w:rsidR="00C304D3" w:rsidRPr="00D63217" w:rsidRDefault="00C304D3" w:rsidP="00C304D3">
            <w:pPr>
              <w:pStyle w:val="TableText"/>
            </w:pPr>
            <w:r w:rsidRPr="00D63217">
              <w:t>CM 1205</w:t>
            </w:r>
          </w:p>
        </w:tc>
        <w:tc>
          <w:tcPr>
            <w:tcW w:w="2557" w:type="pct"/>
            <w:noWrap/>
          </w:tcPr>
          <w:p w14:paraId="681A96A4" w14:textId="3351F7B7" w:rsidR="00C304D3" w:rsidRPr="00D63217" w:rsidRDefault="00C304D3" w:rsidP="00C304D3">
            <w:pPr>
              <w:pStyle w:val="TableText"/>
            </w:pPr>
            <w:r w:rsidRPr="00D63217">
              <w:t>Rice, polished</w:t>
            </w:r>
          </w:p>
        </w:tc>
        <w:tc>
          <w:tcPr>
            <w:tcW w:w="720" w:type="pct"/>
            <w:noWrap/>
          </w:tcPr>
          <w:p w14:paraId="5F120BEF" w14:textId="6A98FC72" w:rsidR="00C304D3" w:rsidRPr="00D63217" w:rsidRDefault="00C304D3" w:rsidP="00C304D3">
            <w:pPr>
              <w:pStyle w:val="TableText"/>
            </w:pPr>
            <w:r w:rsidRPr="00D63217">
              <w:t>0.5</w:t>
            </w:r>
          </w:p>
        </w:tc>
        <w:tc>
          <w:tcPr>
            <w:tcW w:w="831" w:type="pct"/>
          </w:tcPr>
          <w:p w14:paraId="5260C16A" w14:textId="0A19A0DF" w:rsidR="00C304D3" w:rsidRPr="00D63217" w:rsidRDefault="00C304D3" w:rsidP="00C304D3">
            <w:pPr>
              <w:pStyle w:val="TableText"/>
            </w:pPr>
            <w:r w:rsidRPr="00D63217">
              <w:t>Delete</w:t>
            </w:r>
          </w:p>
        </w:tc>
      </w:tr>
      <w:tr w:rsidR="00C304D3" w:rsidRPr="00D63217" w14:paraId="040697CD" w14:textId="77777777" w:rsidTr="00121387">
        <w:trPr>
          <w:cantSplit/>
        </w:trPr>
        <w:tc>
          <w:tcPr>
            <w:tcW w:w="892" w:type="pct"/>
            <w:noWrap/>
          </w:tcPr>
          <w:p w14:paraId="06F418D6" w14:textId="21603A40" w:rsidR="00C304D3" w:rsidRPr="00D63217" w:rsidRDefault="00C304D3" w:rsidP="00C304D3">
            <w:pPr>
              <w:pStyle w:val="TableText"/>
            </w:pPr>
            <w:r>
              <w:t>VR 0075</w:t>
            </w:r>
          </w:p>
        </w:tc>
        <w:tc>
          <w:tcPr>
            <w:tcW w:w="2557" w:type="pct"/>
            <w:noWrap/>
          </w:tcPr>
          <w:p w14:paraId="5D697520" w14:textId="25469F76" w:rsidR="00C304D3" w:rsidRPr="00D63217" w:rsidRDefault="00C304D3" w:rsidP="00C304D3">
            <w:pPr>
              <w:pStyle w:val="TableText"/>
            </w:pPr>
            <w:r>
              <w:t>Root and tuber vegetables</w:t>
            </w:r>
          </w:p>
        </w:tc>
        <w:tc>
          <w:tcPr>
            <w:tcW w:w="720" w:type="pct"/>
            <w:noWrap/>
          </w:tcPr>
          <w:p w14:paraId="31BF2CFC" w14:textId="5E52B069" w:rsidR="00C304D3" w:rsidRPr="00D63217" w:rsidRDefault="00C304D3" w:rsidP="00C304D3">
            <w:pPr>
              <w:pStyle w:val="TableText"/>
            </w:pPr>
            <w:r>
              <w:t>-</w:t>
            </w:r>
          </w:p>
        </w:tc>
        <w:tc>
          <w:tcPr>
            <w:tcW w:w="831" w:type="pct"/>
          </w:tcPr>
          <w:p w14:paraId="0E2D89A8" w14:textId="7EA01501" w:rsidR="00C304D3" w:rsidRPr="00D63217" w:rsidRDefault="00C304D3" w:rsidP="00C304D3">
            <w:pPr>
              <w:pStyle w:val="TableText"/>
            </w:pPr>
            <w:r>
              <w:t>*0.01</w:t>
            </w:r>
          </w:p>
        </w:tc>
      </w:tr>
      <w:tr w:rsidR="00C304D3" w:rsidRPr="00D63217" w14:paraId="6AFB919B" w14:textId="77777777" w:rsidTr="00121387">
        <w:trPr>
          <w:cantSplit/>
        </w:trPr>
        <w:tc>
          <w:tcPr>
            <w:tcW w:w="892" w:type="pct"/>
            <w:noWrap/>
          </w:tcPr>
          <w:p w14:paraId="167D44F8" w14:textId="5F23EB7D" w:rsidR="00C304D3" w:rsidRDefault="00C304D3" w:rsidP="00C304D3">
            <w:pPr>
              <w:pStyle w:val="TableText"/>
            </w:pPr>
            <w:r>
              <w:t>HH 0093</w:t>
            </w:r>
          </w:p>
        </w:tc>
        <w:tc>
          <w:tcPr>
            <w:tcW w:w="2557" w:type="pct"/>
            <w:noWrap/>
          </w:tcPr>
          <w:p w14:paraId="5ECB8AF9" w14:textId="19EE1EE5" w:rsidR="00C304D3" w:rsidRDefault="00C304D3" w:rsidP="00C304D3">
            <w:pPr>
              <w:pStyle w:val="TableText"/>
            </w:pPr>
            <w:r>
              <w:t>Spices</w:t>
            </w:r>
          </w:p>
        </w:tc>
        <w:tc>
          <w:tcPr>
            <w:tcW w:w="720" w:type="pct"/>
            <w:noWrap/>
          </w:tcPr>
          <w:p w14:paraId="419F6B18" w14:textId="49493E76" w:rsidR="00C304D3" w:rsidRDefault="00C304D3" w:rsidP="00C304D3">
            <w:pPr>
              <w:pStyle w:val="TableText"/>
            </w:pPr>
            <w:r>
              <w:t>-</w:t>
            </w:r>
          </w:p>
        </w:tc>
        <w:tc>
          <w:tcPr>
            <w:tcW w:w="831" w:type="pct"/>
          </w:tcPr>
          <w:p w14:paraId="1BDC3C21" w14:textId="03A76E90" w:rsidR="00C304D3" w:rsidRDefault="00C304D3" w:rsidP="00C304D3">
            <w:pPr>
              <w:pStyle w:val="TableText"/>
            </w:pPr>
            <w:r>
              <w:t>*0.05</w:t>
            </w:r>
          </w:p>
        </w:tc>
      </w:tr>
      <w:tr w:rsidR="00C304D3" w:rsidRPr="00D63217" w14:paraId="56FD1AF1" w14:textId="77777777" w:rsidTr="00121387">
        <w:trPr>
          <w:cantSplit/>
        </w:trPr>
        <w:tc>
          <w:tcPr>
            <w:tcW w:w="892" w:type="pct"/>
            <w:noWrap/>
          </w:tcPr>
          <w:p w14:paraId="047D6E79" w14:textId="3BDB0000" w:rsidR="00C304D3" w:rsidRDefault="00C304D3" w:rsidP="00C304D3">
            <w:pPr>
              <w:pStyle w:val="TableText"/>
            </w:pPr>
            <w:r>
              <w:t>VS 0078</w:t>
            </w:r>
          </w:p>
        </w:tc>
        <w:tc>
          <w:tcPr>
            <w:tcW w:w="2557" w:type="pct"/>
            <w:noWrap/>
          </w:tcPr>
          <w:p w14:paraId="5B03CAC2" w14:textId="546EDB2C" w:rsidR="00C304D3" w:rsidRDefault="00C304D3" w:rsidP="00C304D3">
            <w:pPr>
              <w:pStyle w:val="TableText"/>
            </w:pPr>
            <w:r>
              <w:t>Stalk and stem vegetables</w:t>
            </w:r>
          </w:p>
        </w:tc>
        <w:tc>
          <w:tcPr>
            <w:tcW w:w="720" w:type="pct"/>
            <w:noWrap/>
          </w:tcPr>
          <w:p w14:paraId="3B865429" w14:textId="36E398EF" w:rsidR="00C304D3" w:rsidRDefault="00C304D3" w:rsidP="00C304D3">
            <w:pPr>
              <w:pStyle w:val="TableText"/>
            </w:pPr>
            <w:r>
              <w:t>-</w:t>
            </w:r>
          </w:p>
        </w:tc>
        <w:tc>
          <w:tcPr>
            <w:tcW w:w="831" w:type="pct"/>
          </w:tcPr>
          <w:p w14:paraId="2B578103" w14:textId="000E1260" w:rsidR="00C304D3" w:rsidRDefault="00C304D3" w:rsidP="00C304D3">
            <w:pPr>
              <w:pStyle w:val="TableText"/>
            </w:pPr>
            <w:r>
              <w:t>*0.05</w:t>
            </w:r>
          </w:p>
        </w:tc>
      </w:tr>
      <w:tr w:rsidR="00C304D3" w:rsidRPr="00D63217" w14:paraId="4721AAE3" w14:textId="77777777" w:rsidTr="00121387">
        <w:trPr>
          <w:cantSplit/>
        </w:trPr>
        <w:tc>
          <w:tcPr>
            <w:tcW w:w="892" w:type="pct"/>
            <w:noWrap/>
          </w:tcPr>
          <w:p w14:paraId="560364B1" w14:textId="143D3D5E" w:rsidR="00C304D3" w:rsidRPr="00D63217" w:rsidRDefault="00C304D3" w:rsidP="00C304D3">
            <w:pPr>
              <w:pStyle w:val="TableText"/>
            </w:pPr>
            <w:r w:rsidRPr="00D63217">
              <w:t>GS 0659</w:t>
            </w:r>
          </w:p>
        </w:tc>
        <w:tc>
          <w:tcPr>
            <w:tcW w:w="2557" w:type="pct"/>
            <w:noWrap/>
          </w:tcPr>
          <w:p w14:paraId="5B3AAC32" w14:textId="0C67F506" w:rsidR="00C304D3" w:rsidRPr="00D63217" w:rsidRDefault="00C304D3" w:rsidP="00C304D3">
            <w:pPr>
              <w:pStyle w:val="TableText"/>
            </w:pPr>
            <w:r w:rsidRPr="00D63217">
              <w:t>Sugar cane</w:t>
            </w:r>
          </w:p>
        </w:tc>
        <w:tc>
          <w:tcPr>
            <w:tcW w:w="720" w:type="pct"/>
            <w:noWrap/>
          </w:tcPr>
          <w:p w14:paraId="74ECE875" w14:textId="0B2FB1A9" w:rsidR="00C304D3" w:rsidRPr="00D63217" w:rsidRDefault="00C304D3" w:rsidP="00C304D3">
            <w:pPr>
              <w:pStyle w:val="TableText"/>
            </w:pPr>
            <w:r w:rsidRPr="00D63217">
              <w:t>*0.05</w:t>
            </w:r>
          </w:p>
        </w:tc>
        <w:tc>
          <w:tcPr>
            <w:tcW w:w="831" w:type="pct"/>
          </w:tcPr>
          <w:p w14:paraId="3F9EB8BB" w14:textId="1B3534D1" w:rsidR="00C304D3" w:rsidRPr="00D63217" w:rsidRDefault="00C304D3" w:rsidP="00C304D3">
            <w:pPr>
              <w:pStyle w:val="TableText"/>
            </w:pPr>
            <w:r>
              <w:t>*0.05</w:t>
            </w:r>
          </w:p>
        </w:tc>
      </w:tr>
      <w:tr w:rsidR="00C304D3" w:rsidRPr="00D63217" w14:paraId="72B0D529" w14:textId="77777777" w:rsidTr="00121387">
        <w:trPr>
          <w:cantSplit/>
        </w:trPr>
        <w:tc>
          <w:tcPr>
            <w:tcW w:w="892" w:type="pct"/>
            <w:noWrap/>
          </w:tcPr>
          <w:p w14:paraId="71A58ED8" w14:textId="2D2BFF37" w:rsidR="00C304D3" w:rsidRPr="00D63217" w:rsidRDefault="00C304D3" w:rsidP="00C304D3">
            <w:pPr>
              <w:pStyle w:val="TableText"/>
            </w:pPr>
            <w:r w:rsidRPr="00D63217">
              <w:t>TN 0085</w:t>
            </w:r>
          </w:p>
        </w:tc>
        <w:tc>
          <w:tcPr>
            <w:tcW w:w="2557" w:type="pct"/>
            <w:noWrap/>
          </w:tcPr>
          <w:p w14:paraId="7765E023" w14:textId="0BEAAF22" w:rsidR="00C304D3" w:rsidRPr="00D63217" w:rsidRDefault="00C304D3" w:rsidP="00C304D3">
            <w:pPr>
              <w:pStyle w:val="TableText"/>
            </w:pPr>
            <w:r w:rsidRPr="00D63217">
              <w:t>Tree nuts</w:t>
            </w:r>
          </w:p>
        </w:tc>
        <w:tc>
          <w:tcPr>
            <w:tcW w:w="720" w:type="pct"/>
            <w:noWrap/>
          </w:tcPr>
          <w:p w14:paraId="1A549FAB" w14:textId="454D7023" w:rsidR="00C304D3" w:rsidRPr="00D63217" w:rsidRDefault="00C304D3" w:rsidP="00C304D3">
            <w:pPr>
              <w:pStyle w:val="TableText"/>
            </w:pPr>
            <w:r w:rsidRPr="00D63217">
              <w:t>*0.05</w:t>
            </w:r>
          </w:p>
        </w:tc>
        <w:tc>
          <w:tcPr>
            <w:tcW w:w="831" w:type="pct"/>
          </w:tcPr>
          <w:p w14:paraId="3B7E2DD3" w14:textId="46D3BED0" w:rsidR="00C304D3" w:rsidRPr="00D63217" w:rsidRDefault="00C304D3" w:rsidP="00C304D3">
            <w:pPr>
              <w:pStyle w:val="TableText"/>
            </w:pPr>
            <w:r w:rsidRPr="00D63217">
              <w:t>Delete</w:t>
            </w:r>
          </w:p>
        </w:tc>
      </w:tr>
      <w:tr w:rsidR="00C304D3" w:rsidRPr="00D63217" w14:paraId="25698D59" w14:textId="77777777" w:rsidTr="00121387">
        <w:trPr>
          <w:cantSplit/>
        </w:trPr>
        <w:tc>
          <w:tcPr>
            <w:tcW w:w="892" w:type="pct"/>
            <w:noWrap/>
          </w:tcPr>
          <w:p w14:paraId="04EE7A1D" w14:textId="77777777" w:rsidR="00C304D3" w:rsidRPr="00D63217" w:rsidRDefault="00C304D3" w:rsidP="00C304D3">
            <w:pPr>
              <w:pStyle w:val="TableText"/>
            </w:pPr>
          </w:p>
        </w:tc>
        <w:tc>
          <w:tcPr>
            <w:tcW w:w="2557" w:type="pct"/>
            <w:noWrap/>
          </w:tcPr>
          <w:p w14:paraId="4BCF5385" w14:textId="444C1212" w:rsidR="00C304D3" w:rsidRPr="00D63217" w:rsidRDefault="00C304D3" w:rsidP="00C304D3">
            <w:pPr>
              <w:pStyle w:val="TableText"/>
            </w:pPr>
            <w:r w:rsidRPr="00D63217">
              <w:t>Vegetables [except Potato; Pulses]</w:t>
            </w:r>
          </w:p>
        </w:tc>
        <w:tc>
          <w:tcPr>
            <w:tcW w:w="720" w:type="pct"/>
            <w:noWrap/>
          </w:tcPr>
          <w:p w14:paraId="6BC3FCDD" w14:textId="355E1495" w:rsidR="00C304D3" w:rsidRPr="00D63217" w:rsidRDefault="00C304D3" w:rsidP="00C304D3">
            <w:pPr>
              <w:pStyle w:val="TableText"/>
            </w:pPr>
            <w:r w:rsidRPr="00D63217">
              <w:t>*0.05</w:t>
            </w:r>
          </w:p>
        </w:tc>
        <w:tc>
          <w:tcPr>
            <w:tcW w:w="831" w:type="pct"/>
          </w:tcPr>
          <w:p w14:paraId="58C8AB89" w14:textId="75485C03" w:rsidR="00C304D3" w:rsidRPr="00D63217" w:rsidRDefault="00C304D3" w:rsidP="00C304D3">
            <w:pPr>
              <w:pStyle w:val="TableText"/>
            </w:pPr>
            <w:r w:rsidRPr="00D63217">
              <w:t>Delete</w:t>
            </w:r>
          </w:p>
        </w:tc>
      </w:tr>
      <w:tr w:rsidR="00C304D3" w:rsidRPr="00D63217" w14:paraId="6ED6A339" w14:textId="77777777" w:rsidTr="00121387">
        <w:trPr>
          <w:cantSplit/>
        </w:trPr>
        <w:tc>
          <w:tcPr>
            <w:tcW w:w="892" w:type="pct"/>
            <w:noWrap/>
          </w:tcPr>
          <w:p w14:paraId="34113859" w14:textId="061F84DA" w:rsidR="00C304D3" w:rsidRPr="00D63217" w:rsidRDefault="00C304D3" w:rsidP="00C304D3">
            <w:pPr>
              <w:pStyle w:val="TableText"/>
            </w:pPr>
            <w:r>
              <w:t>OR 0172</w:t>
            </w:r>
          </w:p>
        </w:tc>
        <w:tc>
          <w:tcPr>
            <w:tcW w:w="2557" w:type="pct"/>
            <w:noWrap/>
          </w:tcPr>
          <w:p w14:paraId="13AB81CE" w14:textId="7C989F2D" w:rsidR="00C304D3" w:rsidRPr="00D63217" w:rsidRDefault="00C304D3" w:rsidP="00C304D3">
            <w:pPr>
              <w:pStyle w:val="TableText"/>
            </w:pPr>
            <w:r>
              <w:t>Vegetable oils, edible</w:t>
            </w:r>
          </w:p>
        </w:tc>
        <w:tc>
          <w:tcPr>
            <w:tcW w:w="720" w:type="pct"/>
            <w:noWrap/>
          </w:tcPr>
          <w:p w14:paraId="359F7CA6" w14:textId="2EA7F617" w:rsidR="00C304D3" w:rsidRPr="00D63217" w:rsidRDefault="00C304D3" w:rsidP="00C304D3">
            <w:pPr>
              <w:pStyle w:val="TableText"/>
            </w:pPr>
            <w:r>
              <w:t>-</w:t>
            </w:r>
          </w:p>
        </w:tc>
        <w:tc>
          <w:tcPr>
            <w:tcW w:w="831" w:type="pct"/>
          </w:tcPr>
          <w:p w14:paraId="427DCAB7" w14:textId="06DB85C8" w:rsidR="00C304D3" w:rsidRPr="00D63217" w:rsidRDefault="00C304D3" w:rsidP="00C304D3">
            <w:pPr>
              <w:pStyle w:val="TableText"/>
            </w:pPr>
            <w:r>
              <w:t>*0.05</w:t>
            </w:r>
          </w:p>
        </w:tc>
      </w:tr>
    </w:tbl>
    <w:p w14:paraId="31B4C4B7" w14:textId="2CF49422" w:rsidR="00130AB3" w:rsidRPr="009E7CCE" w:rsidRDefault="00D918AF" w:rsidP="009E7CCE">
      <w:pPr>
        <w:pStyle w:val="Caption"/>
      </w:pPr>
      <w:bookmarkStart w:id="442" w:name="_Hlk158367288"/>
      <w:bookmarkStart w:id="443" w:name="_Toc230692292"/>
      <w:bookmarkStart w:id="444" w:name="_Toc233036513"/>
      <w:r w:rsidRPr="009E7CCE">
        <w:t xml:space="preserve">Table </w:t>
      </w:r>
      <w:fldSimple w:instr=" SEQ Table \* ARABIC ">
        <w:r w:rsidR="009E7CCE">
          <w:rPr>
            <w:noProof/>
          </w:rPr>
          <w:t>26</w:t>
        </w:r>
      </w:fldSimple>
      <w:r w:rsidRPr="009E7CCE">
        <w:t xml:space="preserve">: </w:t>
      </w:r>
      <w:r w:rsidR="00130AB3" w:rsidRPr="009E7CCE">
        <w:t>Amendments to Table 4 of the MRL Standard</w:t>
      </w:r>
      <w:bookmarkEnd w:id="442"/>
      <w:bookmarkEnd w:id="443"/>
      <w:bookmarkEnd w:id="4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4626"/>
        <w:gridCol w:w="1482"/>
        <w:gridCol w:w="1600"/>
      </w:tblGrid>
      <w:tr w:rsidR="00130AB3" w:rsidRPr="00D63217" w14:paraId="61C978F2" w14:textId="77777777" w:rsidTr="00765C13">
        <w:trPr>
          <w:cantSplit/>
        </w:trPr>
        <w:tc>
          <w:tcPr>
            <w:tcW w:w="1001" w:type="pct"/>
            <w:tcBorders>
              <w:top w:val="single" w:sz="4" w:space="0" w:color="auto"/>
              <w:left w:val="nil"/>
              <w:bottom w:val="single" w:sz="4" w:space="0" w:color="auto"/>
              <w:right w:val="nil"/>
            </w:tcBorders>
            <w:shd w:val="clear" w:color="auto" w:fill="5C2946"/>
          </w:tcPr>
          <w:p w14:paraId="7EEB7B98" w14:textId="77777777" w:rsidR="00130AB3" w:rsidRPr="00D63217" w:rsidRDefault="00130AB3" w:rsidP="00765C13">
            <w:pPr>
              <w:pStyle w:val="TableHead"/>
              <w:rPr>
                <w:lang w:val="en-US"/>
              </w:rPr>
            </w:pPr>
            <w:r w:rsidRPr="00D63217">
              <w:rPr>
                <w:lang w:val="en-US"/>
              </w:rPr>
              <w:t>Code</w:t>
            </w:r>
          </w:p>
        </w:tc>
        <w:tc>
          <w:tcPr>
            <w:tcW w:w="2400" w:type="pct"/>
            <w:tcBorders>
              <w:top w:val="single" w:sz="4" w:space="0" w:color="auto"/>
              <w:left w:val="nil"/>
              <w:bottom w:val="single" w:sz="4" w:space="0" w:color="auto"/>
              <w:right w:val="nil"/>
            </w:tcBorders>
            <w:shd w:val="clear" w:color="auto" w:fill="5C2946"/>
          </w:tcPr>
          <w:p w14:paraId="2AF16244" w14:textId="77777777" w:rsidR="00130AB3" w:rsidRPr="00D63217" w:rsidRDefault="00130AB3" w:rsidP="00765C13">
            <w:pPr>
              <w:pStyle w:val="TableHead"/>
              <w:rPr>
                <w:lang w:val="en-US"/>
              </w:rPr>
            </w:pPr>
            <w:r w:rsidRPr="00D63217">
              <w:rPr>
                <w:lang w:val="en-US"/>
              </w:rPr>
              <w:t>Animal feed commodity</w:t>
            </w:r>
          </w:p>
        </w:tc>
        <w:tc>
          <w:tcPr>
            <w:tcW w:w="769" w:type="pct"/>
            <w:tcBorders>
              <w:top w:val="single" w:sz="4" w:space="0" w:color="auto"/>
              <w:left w:val="nil"/>
              <w:bottom w:val="single" w:sz="4" w:space="0" w:color="auto"/>
              <w:right w:val="nil"/>
            </w:tcBorders>
            <w:shd w:val="clear" w:color="auto" w:fill="5C2946"/>
          </w:tcPr>
          <w:p w14:paraId="0953A1D9" w14:textId="77777777" w:rsidR="00130AB3" w:rsidRPr="00D63217" w:rsidRDefault="00130AB3" w:rsidP="00765C13">
            <w:pPr>
              <w:pStyle w:val="TableHead"/>
              <w:jc w:val="right"/>
            </w:pPr>
            <w:r w:rsidRPr="00D63217">
              <w:t>Current MRL</w:t>
            </w:r>
          </w:p>
        </w:tc>
        <w:tc>
          <w:tcPr>
            <w:tcW w:w="831" w:type="pct"/>
            <w:tcBorders>
              <w:top w:val="single" w:sz="4" w:space="0" w:color="auto"/>
              <w:left w:val="nil"/>
              <w:bottom w:val="single" w:sz="4" w:space="0" w:color="auto"/>
              <w:right w:val="nil"/>
            </w:tcBorders>
            <w:shd w:val="clear" w:color="auto" w:fill="5C2946"/>
          </w:tcPr>
          <w:p w14:paraId="6874BED2" w14:textId="77777777" w:rsidR="00130AB3" w:rsidRPr="00D63217" w:rsidRDefault="00130AB3" w:rsidP="00765C13">
            <w:pPr>
              <w:pStyle w:val="TableHead"/>
              <w:jc w:val="right"/>
            </w:pPr>
            <w:r w:rsidRPr="00D63217">
              <w:t>Recommended MRL</w:t>
            </w:r>
          </w:p>
        </w:tc>
      </w:tr>
      <w:tr w:rsidR="00130AB3" w:rsidRPr="00D63217" w14:paraId="67DF4093" w14:textId="77777777" w:rsidTr="00765C13">
        <w:trPr>
          <w:cantSplit/>
        </w:trPr>
        <w:tc>
          <w:tcPr>
            <w:tcW w:w="1001" w:type="pct"/>
            <w:tcBorders>
              <w:top w:val="single" w:sz="4" w:space="0" w:color="auto"/>
              <w:left w:val="nil"/>
              <w:bottom w:val="single" w:sz="4" w:space="0" w:color="auto"/>
              <w:right w:val="nil"/>
            </w:tcBorders>
          </w:tcPr>
          <w:p w14:paraId="0931C305" w14:textId="77777777" w:rsidR="00130AB3" w:rsidRPr="00D63217" w:rsidRDefault="00130AB3" w:rsidP="00D918AF">
            <w:pPr>
              <w:pStyle w:val="TableText"/>
              <w:rPr>
                <w:lang w:val="en-US"/>
              </w:rPr>
            </w:pPr>
          </w:p>
        </w:tc>
        <w:tc>
          <w:tcPr>
            <w:tcW w:w="2400" w:type="pct"/>
            <w:tcBorders>
              <w:top w:val="single" w:sz="4" w:space="0" w:color="auto"/>
              <w:left w:val="nil"/>
              <w:bottom w:val="single" w:sz="4" w:space="0" w:color="auto"/>
              <w:right w:val="nil"/>
            </w:tcBorders>
            <w:hideMark/>
          </w:tcPr>
          <w:p w14:paraId="551347E5" w14:textId="77777777" w:rsidR="00130AB3" w:rsidRPr="00D63217" w:rsidRDefault="00130AB3" w:rsidP="00D918AF">
            <w:pPr>
              <w:pStyle w:val="TableText"/>
              <w:rPr>
                <w:lang w:val="en-US"/>
              </w:rPr>
            </w:pPr>
            <w:r w:rsidRPr="00D63217">
              <w:rPr>
                <w:lang w:val="en-US"/>
              </w:rPr>
              <w:t>Primary feed commodities</w:t>
            </w:r>
          </w:p>
        </w:tc>
        <w:tc>
          <w:tcPr>
            <w:tcW w:w="769" w:type="pct"/>
            <w:tcBorders>
              <w:top w:val="single" w:sz="4" w:space="0" w:color="auto"/>
              <w:left w:val="nil"/>
              <w:bottom w:val="single" w:sz="4" w:space="0" w:color="auto"/>
              <w:right w:val="nil"/>
            </w:tcBorders>
            <w:hideMark/>
          </w:tcPr>
          <w:p w14:paraId="5FB9F50E" w14:textId="77777777" w:rsidR="00130AB3" w:rsidRPr="00D63217" w:rsidRDefault="00130AB3" w:rsidP="00765C13">
            <w:pPr>
              <w:pStyle w:val="TableText"/>
              <w:jc w:val="right"/>
            </w:pPr>
            <w:r w:rsidRPr="00D63217">
              <w:t>500</w:t>
            </w:r>
          </w:p>
        </w:tc>
        <w:tc>
          <w:tcPr>
            <w:tcW w:w="831" w:type="pct"/>
            <w:tcBorders>
              <w:top w:val="single" w:sz="4" w:space="0" w:color="auto"/>
              <w:left w:val="nil"/>
              <w:bottom w:val="single" w:sz="4" w:space="0" w:color="auto"/>
              <w:right w:val="nil"/>
            </w:tcBorders>
          </w:tcPr>
          <w:p w14:paraId="7BFB0442" w14:textId="77777777" w:rsidR="00130AB3" w:rsidRPr="00D63217" w:rsidRDefault="00130AB3" w:rsidP="00765C13">
            <w:pPr>
              <w:pStyle w:val="TableText"/>
              <w:jc w:val="right"/>
            </w:pPr>
            <w:r w:rsidRPr="00D63217">
              <w:t>100</w:t>
            </w:r>
          </w:p>
        </w:tc>
      </w:tr>
    </w:tbl>
    <w:p w14:paraId="104AD525" w14:textId="77777777" w:rsidR="00765C13" w:rsidRPr="00D63217" w:rsidRDefault="00765C13" w:rsidP="00130AB3">
      <w:pPr>
        <w:rPr>
          <w:sz w:val="20"/>
        </w:rPr>
        <w:sectPr w:rsidR="00765C13" w:rsidRPr="00D63217" w:rsidSect="003023C5">
          <w:headerReference w:type="even" r:id="rId43"/>
          <w:headerReference w:type="default" r:id="rId44"/>
          <w:pgSz w:w="11906" w:h="16838" w:code="9"/>
          <w:pgMar w:top="2835" w:right="1134" w:bottom="1134" w:left="1134" w:header="1701" w:footer="680" w:gutter="0"/>
          <w:cols w:space="708"/>
          <w:docGrid w:linePitch="360"/>
        </w:sectPr>
      </w:pPr>
    </w:p>
    <w:p w14:paraId="1A203F01" w14:textId="177B292D" w:rsidR="00A01B38" w:rsidRPr="00FF5F7A" w:rsidRDefault="00A01B38" w:rsidP="00FF5F7A">
      <w:pPr>
        <w:pStyle w:val="Heading1"/>
      </w:pPr>
      <w:bookmarkStart w:id="445" w:name="_Toc231480908"/>
      <w:bookmarkStart w:id="446" w:name="_Toc233036460"/>
      <w:r w:rsidRPr="00FF5F7A">
        <w:lastRenderedPageBreak/>
        <w:t xml:space="preserve">Environmental </w:t>
      </w:r>
      <w:bookmarkEnd w:id="141"/>
      <w:bookmarkEnd w:id="142"/>
      <w:bookmarkEnd w:id="143"/>
      <w:r w:rsidRPr="00FF5F7A">
        <w:t>safety</w:t>
      </w:r>
      <w:bookmarkEnd w:id="144"/>
      <w:bookmarkEnd w:id="145"/>
      <w:bookmarkEnd w:id="445"/>
      <w:bookmarkEnd w:id="446"/>
    </w:p>
    <w:p w14:paraId="621DC23B" w14:textId="77777777" w:rsidR="00A01B38" w:rsidRPr="00FF5F7A" w:rsidRDefault="00A01B38" w:rsidP="00FF5F7A">
      <w:pPr>
        <w:pStyle w:val="Heading2"/>
      </w:pPr>
      <w:bookmarkStart w:id="447" w:name="_Toc157602754"/>
      <w:bookmarkStart w:id="448" w:name="_Toc231480909"/>
      <w:bookmarkStart w:id="449" w:name="_Toc233036461"/>
      <w:r w:rsidRPr="00FF5F7A">
        <w:t>Assessment scenarios</w:t>
      </w:r>
      <w:bookmarkEnd w:id="447"/>
      <w:bookmarkEnd w:id="448"/>
      <w:bookmarkEnd w:id="449"/>
    </w:p>
    <w:p w14:paraId="2AB14C78" w14:textId="2C439223" w:rsidR="00A01B38" w:rsidRPr="00D63217" w:rsidRDefault="00A01B38" w:rsidP="00A01B38">
      <w:pPr>
        <w:pStyle w:val="NormalText"/>
      </w:pPr>
      <w:r w:rsidRPr="00D63217">
        <w:t xml:space="preserve">Paraquat products are registered for general weed control in a broad range of situations at rates ranging from </w:t>
      </w:r>
      <w:r w:rsidR="0084776D">
        <w:t>1</w:t>
      </w:r>
      <w:r w:rsidR="0084776D" w:rsidRPr="00D63217">
        <w:t>00 </w:t>
      </w:r>
      <w:r w:rsidRPr="00D63217">
        <w:t xml:space="preserve">g ac/ha to 2250 g ac/ha. Most applications in crops are before planting or crop emergence (i.e. bare soil); however, applications can also occur at later crop stages </w:t>
      </w:r>
      <w:r w:rsidR="007E61AD" w:rsidRPr="00D63217">
        <w:t xml:space="preserve">and </w:t>
      </w:r>
      <w:r w:rsidRPr="00D63217">
        <w:t>as directed sprays or inter-row</w:t>
      </w:r>
      <w:r w:rsidR="00950C31">
        <w:t xml:space="preserve"> treatments</w:t>
      </w:r>
      <w:r w:rsidRPr="00D63217">
        <w:t>.</w:t>
      </w:r>
    </w:p>
    <w:p w14:paraId="6ECF54CF" w14:textId="17DD2B34" w:rsidR="00A01B38" w:rsidRPr="00D63217" w:rsidRDefault="00A01B38" w:rsidP="00A01B38">
      <w:pPr>
        <w:pStyle w:val="NormalText"/>
      </w:pPr>
      <w:r w:rsidRPr="00D63217">
        <w:t>There is one diquat</w:t>
      </w:r>
      <w:r w:rsidR="00B35AE6">
        <w:t xml:space="preserve"> and </w:t>
      </w:r>
      <w:r w:rsidRPr="00D63217">
        <w:t xml:space="preserve">paraquat combination product that is registered as a pre-harvest desiccant in cotton at a paraquat rate of </w:t>
      </w:r>
      <w:r w:rsidR="009F151E">
        <w:t xml:space="preserve">up to </w:t>
      </w:r>
      <w:r w:rsidRPr="00D63217">
        <w:t xml:space="preserve">216 g ac/ha. There are </w:t>
      </w:r>
      <w:r w:rsidR="00E409AD" w:rsidRPr="00D63217">
        <w:t xml:space="preserve">also </w:t>
      </w:r>
      <w:r w:rsidRPr="00D63217">
        <w:t>diquat</w:t>
      </w:r>
      <w:r w:rsidR="00B35AE6">
        <w:t xml:space="preserve"> and </w:t>
      </w:r>
      <w:r w:rsidRPr="00D63217">
        <w:t xml:space="preserve">paraquat combination products that are registered for general weed control at paraquat rates up to 432 g ac/ha </w:t>
      </w:r>
      <w:bookmarkStart w:id="450" w:name="_Hlk145067008"/>
      <w:r w:rsidRPr="00D63217">
        <w:t xml:space="preserve">in a broad range of situations, including crops, pasture, forestry, public service areas, and rights of way. Spot spray application is also </w:t>
      </w:r>
      <w:r w:rsidR="00E409AD" w:rsidRPr="00D63217">
        <w:t xml:space="preserve">approved </w:t>
      </w:r>
      <w:r w:rsidRPr="00D63217">
        <w:t>in tropical fruit orchards up to 32.4</w:t>
      </w:r>
      <w:r w:rsidR="00394F10" w:rsidRPr="00D63217">
        <w:t> </w:t>
      </w:r>
      <w:r w:rsidRPr="00D63217">
        <w:t>g ac/100L (each application is equivalent to 324 g ac/ha assuming a spray volume of 1000 L/ha).</w:t>
      </w:r>
      <w:bookmarkEnd w:id="450"/>
    </w:p>
    <w:p w14:paraId="22F57267" w14:textId="5EF60AFD" w:rsidR="00A01B38" w:rsidRPr="00D63217" w:rsidRDefault="00A01B38" w:rsidP="00A01B38">
      <w:pPr>
        <w:pStyle w:val="NormalText"/>
      </w:pPr>
      <w:r w:rsidRPr="00D63217">
        <w:t xml:space="preserve">There are </w:t>
      </w:r>
      <w:r w:rsidR="00E409AD" w:rsidRPr="00D63217">
        <w:t xml:space="preserve">also </w:t>
      </w:r>
      <w:r w:rsidR="004128B4" w:rsidRPr="00D63217">
        <w:t>4</w:t>
      </w:r>
      <w:r w:rsidRPr="00D63217">
        <w:t xml:space="preserve"> amitrole</w:t>
      </w:r>
      <w:r w:rsidR="00B35AE6">
        <w:t xml:space="preserve"> and </w:t>
      </w:r>
      <w:r w:rsidRPr="00D63217">
        <w:t xml:space="preserve">paraquat combination products that are registered for general weed control at paraquat rates up to </w:t>
      </w:r>
      <w:r w:rsidR="009F151E">
        <w:t>1680</w:t>
      </w:r>
      <w:r w:rsidR="009F151E" w:rsidRPr="00D63217">
        <w:t xml:space="preserve"> </w:t>
      </w:r>
      <w:r w:rsidRPr="00D63217">
        <w:t xml:space="preserve">g ac/ha in fallow (including aid to cultivation), </w:t>
      </w:r>
      <w:r w:rsidR="009F151E">
        <w:t>850</w:t>
      </w:r>
      <w:r w:rsidR="009F151E" w:rsidRPr="00D63217">
        <w:t xml:space="preserve"> </w:t>
      </w:r>
      <w:r w:rsidRPr="00D63217">
        <w:t>g ac/ha in industrial vegetation management (firebreaks, sheds, roadways, paths), 600 g ac/ha in crops (orchards, vineyards, potatoes), and 300</w:t>
      </w:r>
      <w:r w:rsidR="00394F10" w:rsidRPr="00D63217">
        <w:t> </w:t>
      </w:r>
      <w:r w:rsidRPr="00D63217">
        <w:t>g ac/ha in pasture (including spray topping and hay freezing).</w:t>
      </w:r>
    </w:p>
    <w:p w14:paraId="3D328DCB" w14:textId="080B1205" w:rsidR="00A01B38" w:rsidRPr="00D63217" w:rsidRDefault="00E409AD" w:rsidP="00A01B38">
      <w:pPr>
        <w:pStyle w:val="NormalText"/>
      </w:pPr>
      <w:r w:rsidRPr="00D63217">
        <w:t>T</w:t>
      </w:r>
      <w:r w:rsidR="00A01B38" w:rsidRPr="00D63217">
        <w:t>h</w:t>
      </w:r>
      <w:r w:rsidRPr="00D63217">
        <w:t>e initial</w:t>
      </w:r>
      <w:r w:rsidR="00A01B38" w:rsidRPr="00D63217">
        <w:t xml:space="preserve"> assessment addresses the risks of paraquat only</w:t>
      </w:r>
      <w:r w:rsidR="00E24CF6">
        <w:t>, for all relevant uses. Risks of the combination of paraquat and diquat have been assessed separately for relevant uses. Risks from the combination of paraquat and amitrole have not been considered, noting that amitrole is not under reconsideration.</w:t>
      </w:r>
    </w:p>
    <w:p w14:paraId="57767D4F" w14:textId="69D1EE9B" w:rsidR="00A01B38" w:rsidRPr="00D63217" w:rsidRDefault="00A01B38" w:rsidP="00A01B38">
      <w:pPr>
        <w:pStyle w:val="NormalText"/>
      </w:pPr>
      <w:r w:rsidRPr="00D63217">
        <w:t>The environmental risk assessment scenarios considered in th</w:t>
      </w:r>
      <w:r w:rsidR="00E409AD" w:rsidRPr="00D63217">
        <w:t>is</w:t>
      </w:r>
      <w:r w:rsidRPr="00D63217">
        <w:t xml:space="preserve"> assessment are summarised in the table below. Environmental risks were determined according to contemporary methodology outlined in the APVMA Risk Assessment Manual – Environment: </w:t>
      </w:r>
      <w:hyperlink r:id="rId45" w:history="1">
        <w:r w:rsidRPr="00D63217">
          <w:rPr>
            <w:rStyle w:val="Hyperlink"/>
            <w:color w:val="1A1B1A" w:themeColor="text1" w:themeShade="80"/>
            <w:u w:val="none"/>
          </w:rPr>
          <w:t>https://apvma.gov.au/node/46416</w:t>
        </w:r>
      </w:hyperlink>
      <w:r w:rsidRPr="00D63217">
        <w:t>. All endpoints are expressed in terms of the paraquat cation as the active constituent.</w:t>
      </w:r>
    </w:p>
    <w:p w14:paraId="1629745C" w14:textId="31153F19" w:rsidR="005F322A" w:rsidRPr="00FF5F7A" w:rsidRDefault="005F322A" w:rsidP="00FF5F7A">
      <w:pPr>
        <w:pStyle w:val="Caption"/>
        <w:rPr>
          <w:rStyle w:val="FigurecaptionChar"/>
          <w:szCs w:val="22"/>
        </w:rPr>
      </w:pPr>
      <w:bookmarkStart w:id="451" w:name="_Ref168386681"/>
      <w:bookmarkStart w:id="452" w:name="_Hlk156380749"/>
      <w:bookmarkStart w:id="453" w:name="_Ref151619561"/>
      <w:bookmarkStart w:id="454" w:name="_Toc156383603"/>
      <w:bookmarkStart w:id="455" w:name="_Toc230692293"/>
      <w:bookmarkStart w:id="456" w:name="_Toc233036514"/>
      <w:bookmarkStart w:id="457" w:name="_Hlk164069192"/>
      <w:r w:rsidRPr="00FF5F7A">
        <w:t xml:space="preserve">Table </w:t>
      </w:r>
      <w:fldSimple w:instr=" SEQ Table \* ARABIC ">
        <w:r w:rsidR="00FF5F7A" w:rsidRPr="00FF5F7A">
          <w:t>27</w:t>
        </w:r>
      </w:fldSimple>
      <w:bookmarkEnd w:id="451"/>
      <w:r w:rsidRPr="00FF5F7A">
        <w:t xml:space="preserve">: </w:t>
      </w:r>
      <w:bookmarkStart w:id="458" w:name="_Hlk149668068"/>
      <w:bookmarkEnd w:id="452"/>
      <w:bookmarkEnd w:id="453"/>
      <w:r w:rsidR="00F33A4F" w:rsidRPr="00FF5F7A">
        <w:t xml:space="preserve">Paraquat </w:t>
      </w:r>
      <w:r w:rsidR="00765C13" w:rsidRPr="00FF5F7A">
        <w:t>–</w:t>
      </w:r>
      <w:r w:rsidR="00F33A4F" w:rsidRPr="00FF5F7A">
        <w:t xml:space="preserve"> E</w:t>
      </w:r>
      <w:r w:rsidRPr="00FF5F7A">
        <w:rPr>
          <w:rStyle w:val="FigurecaptionChar"/>
          <w:szCs w:val="22"/>
        </w:rPr>
        <w:t>nvironmental</w:t>
      </w:r>
      <w:r w:rsidR="00F33A4F" w:rsidRPr="00FF5F7A">
        <w:rPr>
          <w:rStyle w:val="FigurecaptionChar"/>
          <w:szCs w:val="22"/>
        </w:rPr>
        <w:t xml:space="preserve"> </w:t>
      </w:r>
      <w:r w:rsidRPr="00FF5F7A">
        <w:rPr>
          <w:rStyle w:val="FigurecaptionChar"/>
          <w:szCs w:val="22"/>
        </w:rPr>
        <w:t>risk assessment scenarios</w:t>
      </w:r>
      <w:bookmarkEnd w:id="454"/>
      <w:bookmarkEnd w:id="455"/>
      <w:bookmarkEnd w:id="4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43"/>
        <w:gridCol w:w="5022"/>
        <w:gridCol w:w="2263"/>
      </w:tblGrid>
      <w:tr w:rsidR="001746DD" w:rsidRPr="00D63217" w14:paraId="7A3ABD9F" w14:textId="77777777" w:rsidTr="001746DD">
        <w:trPr>
          <w:cantSplit/>
          <w:tblHeader/>
        </w:trPr>
        <w:tc>
          <w:tcPr>
            <w:tcW w:w="1217" w:type="pct"/>
            <w:tcBorders>
              <w:bottom w:val="single" w:sz="4" w:space="0" w:color="auto"/>
            </w:tcBorders>
            <w:shd w:val="clear" w:color="auto" w:fill="5C2946"/>
          </w:tcPr>
          <w:p w14:paraId="4F61BD85" w14:textId="5AB035CF" w:rsidR="005F322A" w:rsidRPr="00FF5F7A" w:rsidRDefault="005F322A" w:rsidP="00FF5F7A">
            <w:pPr>
              <w:pStyle w:val="TableHead"/>
            </w:pPr>
            <w:bookmarkStart w:id="459" w:name="_Hlk164426331"/>
            <w:r w:rsidRPr="00FF5F7A">
              <w:t>Category</w:t>
            </w:r>
            <w:r w:rsidR="00301113" w:rsidRPr="00FF5F7A">
              <w:rPr>
                <w:rStyle w:val="FootnoteReference"/>
              </w:rPr>
              <w:footnoteReference w:id="13"/>
            </w:r>
            <w:r w:rsidR="00301113" w:rsidRPr="00FF5F7A">
              <w:rPr>
                <w:vertAlign w:val="superscript"/>
              </w:rPr>
              <w:t xml:space="preserve"> </w:t>
            </w:r>
          </w:p>
        </w:tc>
        <w:tc>
          <w:tcPr>
            <w:tcW w:w="2608" w:type="pct"/>
            <w:tcBorders>
              <w:bottom w:val="single" w:sz="4" w:space="0" w:color="auto"/>
            </w:tcBorders>
            <w:shd w:val="clear" w:color="auto" w:fill="5C2946"/>
          </w:tcPr>
          <w:p w14:paraId="73B077D2" w14:textId="77777777" w:rsidR="005F322A" w:rsidRPr="00FF5F7A" w:rsidRDefault="005F322A" w:rsidP="00FF5F7A">
            <w:pPr>
              <w:pStyle w:val="TableHead"/>
            </w:pPr>
            <w:r w:rsidRPr="00FF5F7A">
              <w:t>Situation</w:t>
            </w:r>
          </w:p>
        </w:tc>
        <w:tc>
          <w:tcPr>
            <w:tcW w:w="1175" w:type="pct"/>
            <w:tcBorders>
              <w:bottom w:val="single" w:sz="4" w:space="0" w:color="auto"/>
            </w:tcBorders>
            <w:shd w:val="clear" w:color="auto" w:fill="5C2946"/>
          </w:tcPr>
          <w:p w14:paraId="53F1B1B1" w14:textId="77777777" w:rsidR="005F322A" w:rsidRPr="00FF5F7A" w:rsidRDefault="005F322A" w:rsidP="00FF5F7A">
            <w:pPr>
              <w:pStyle w:val="TableHead"/>
            </w:pPr>
            <w:r w:rsidRPr="00FF5F7A">
              <w:t>Risk assessment scenario</w:t>
            </w:r>
          </w:p>
        </w:tc>
      </w:tr>
      <w:tr w:rsidR="001746DD" w:rsidRPr="00D63217" w14:paraId="2B2B0E0D" w14:textId="77777777" w:rsidTr="001746DD">
        <w:trPr>
          <w:cantSplit/>
        </w:trPr>
        <w:tc>
          <w:tcPr>
            <w:tcW w:w="1217" w:type="pct"/>
            <w:tcBorders>
              <w:left w:val="nil"/>
              <w:bottom w:val="nil"/>
              <w:right w:val="nil"/>
            </w:tcBorders>
          </w:tcPr>
          <w:p w14:paraId="3A89734D" w14:textId="77777777" w:rsidR="00643E20" w:rsidRPr="00D63217" w:rsidRDefault="00643E20" w:rsidP="00643E20">
            <w:pPr>
              <w:pStyle w:val="TableText"/>
              <w:spacing w:before="0" w:after="0" w:line="240" w:lineRule="auto"/>
            </w:pPr>
            <w:r w:rsidRPr="00D63217">
              <w:t>General weed control</w:t>
            </w:r>
          </w:p>
        </w:tc>
        <w:tc>
          <w:tcPr>
            <w:tcW w:w="2608" w:type="pct"/>
            <w:tcBorders>
              <w:top w:val="single" w:sz="4" w:space="0" w:color="auto"/>
              <w:left w:val="nil"/>
              <w:bottom w:val="nil"/>
              <w:right w:val="nil"/>
            </w:tcBorders>
          </w:tcPr>
          <w:p w14:paraId="4619123C" w14:textId="77777777" w:rsidR="00643E20" w:rsidRPr="00D63217" w:rsidRDefault="00643E20" w:rsidP="00643E20">
            <w:pPr>
              <w:pStyle w:val="TableText"/>
              <w:spacing w:before="0" w:after="0" w:line="240" w:lineRule="auto"/>
            </w:pPr>
            <w:r w:rsidRPr="00D63217">
              <w:t>Fallow</w:t>
            </w:r>
          </w:p>
        </w:tc>
        <w:tc>
          <w:tcPr>
            <w:tcW w:w="1175" w:type="pct"/>
            <w:tcBorders>
              <w:top w:val="single" w:sz="4" w:space="0" w:color="auto"/>
              <w:left w:val="nil"/>
              <w:bottom w:val="nil"/>
              <w:right w:val="nil"/>
            </w:tcBorders>
          </w:tcPr>
          <w:p w14:paraId="4ADD69A7" w14:textId="0E596822" w:rsidR="00643E20" w:rsidRPr="00D63217" w:rsidRDefault="00643E20" w:rsidP="00643E20">
            <w:pPr>
              <w:pStyle w:val="TableText"/>
              <w:spacing w:before="0" w:after="0" w:line="240" w:lineRule="auto"/>
            </w:pPr>
            <w:r w:rsidRPr="00D63217">
              <w:t>1× 150</w:t>
            </w:r>
            <w:r w:rsidR="00C83254" w:rsidRPr="00D63217">
              <w:t>–</w:t>
            </w:r>
            <w:r w:rsidR="006A74B2">
              <w:t>1505</w:t>
            </w:r>
            <w:r w:rsidR="006A74B2" w:rsidRPr="00D63217">
              <w:t xml:space="preserve"> </w:t>
            </w:r>
            <w:r w:rsidRPr="00D63217">
              <w:t xml:space="preserve">g ac/ha </w:t>
            </w:r>
          </w:p>
        </w:tc>
      </w:tr>
      <w:tr w:rsidR="006A74B2" w:rsidRPr="00D63217" w14:paraId="5021FB39" w14:textId="77777777" w:rsidTr="001746DD">
        <w:trPr>
          <w:cantSplit/>
        </w:trPr>
        <w:tc>
          <w:tcPr>
            <w:tcW w:w="1217" w:type="pct"/>
            <w:tcBorders>
              <w:top w:val="nil"/>
              <w:left w:val="nil"/>
              <w:bottom w:val="nil"/>
              <w:right w:val="nil"/>
            </w:tcBorders>
          </w:tcPr>
          <w:p w14:paraId="7B774B08" w14:textId="77777777" w:rsidR="006A74B2" w:rsidRPr="00D63217" w:rsidRDefault="006A74B2" w:rsidP="00643E20">
            <w:pPr>
              <w:pStyle w:val="TableText"/>
              <w:spacing w:before="0" w:after="0" w:line="240" w:lineRule="auto"/>
            </w:pPr>
          </w:p>
        </w:tc>
        <w:tc>
          <w:tcPr>
            <w:tcW w:w="2608" w:type="pct"/>
            <w:tcBorders>
              <w:top w:val="nil"/>
              <w:left w:val="nil"/>
              <w:bottom w:val="nil"/>
              <w:right w:val="nil"/>
            </w:tcBorders>
          </w:tcPr>
          <w:p w14:paraId="2A866AEB" w14:textId="1F56FEBB" w:rsidR="006A74B2" w:rsidRPr="00D63217" w:rsidRDefault="006A74B2" w:rsidP="00643E20">
            <w:pPr>
              <w:pStyle w:val="TableText"/>
              <w:spacing w:before="0" w:after="0" w:line="240" w:lineRule="auto"/>
            </w:pPr>
            <w:r>
              <w:t>Fallow (optical spot spraying)</w:t>
            </w:r>
          </w:p>
        </w:tc>
        <w:tc>
          <w:tcPr>
            <w:tcW w:w="1175" w:type="pct"/>
            <w:tcBorders>
              <w:top w:val="nil"/>
              <w:left w:val="nil"/>
              <w:bottom w:val="nil"/>
              <w:right w:val="nil"/>
            </w:tcBorders>
          </w:tcPr>
          <w:p w14:paraId="01C07A57" w14:textId="1DCD16B3" w:rsidR="006A74B2" w:rsidRPr="00D63217" w:rsidRDefault="006A74B2" w:rsidP="00643E20">
            <w:pPr>
              <w:pStyle w:val="TableText"/>
              <w:spacing w:before="0" w:after="0" w:line="240" w:lineRule="auto"/>
            </w:pPr>
            <w:r>
              <w:t>1</w:t>
            </w:r>
            <w:r>
              <w:rPr>
                <w:rFonts w:cstheme="minorHAnsi"/>
              </w:rPr>
              <w:t>×</w:t>
            </w:r>
            <w:r>
              <w:t xml:space="preserve"> 750-2250 g ac/ha</w:t>
            </w:r>
          </w:p>
        </w:tc>
      </w:tr>
      <w:tr w:rsidR="001746DD" w:rsidRPr="00D63217" w14:paraId="428B03E5" w14:textId="77777777" w:rsidTr="001746DD">
        <w:trPr>
          <w:cantSplit/>
        </w:trPr>
        <w:tc>
          <w:tcPr>
            <w:tcW w:w="1217" w:type="pct"/>
            <w:tcBorders>
              <w:top w:val="nil"/>
              <w:left w:val="nil"/>
              <w:bottom w:val="nil"/>
              <w:right w:val="nil"/>
            </w:tcBorders>
          </w:tcPr>
          <w:p w14:paraId="2DC6CF28"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3F06017B" w14:textId="24B54ECD" w:rsidR="00643E20" w:rsidRPr="00D63217" w:rsidRDefault="00643E20" w:rsidP="00643E20">
            <w:pPr>
              <w:pStyle w:val="TableText"/>
              <w:spacing w:before="0" w:after="0" w:line="240" w:lineRule="auto"/>
            </w:pPr>
            <w:r w:rsidRPr="00D63217">
              <w:t>Non-agricultural situations, around sheds, roadways, paths, firebreaks</w:t>
            </w:r>
          </w:p>
        </w:tc>
        <w:tc>
          <w:tcPr>
            <w:tcW w:w="1175" w:type="pct"/>
            <w:tcBorders>
              <w:top w:val="nil"/>
              <w:left w:val="nil"/>
              <w:bottom w:val="nil"/>
              <w:right w:val="nil"/>
            </w:tcBorders>
          </w:tcPr>
          <w:p w14:paraId="64739E41" w14:textId="7B0DFD11" w:rsidR="00643E20" w:rsidRPr="00D63217" w:rsidRDefault="00643E20" w:rsidP="00643E20">
            <w:pPr>
              <w:pStyle w:val="TableText"/>
              <w:spacing w:before="0" w:after="0" w:line="240" w:lineRule="auto"/>
            </w:pPr>
            <w:r w:rsidRPr="00D63217">
              <w:t>1× 390</w:t>
            </w:r>
            <w:r w:rsidR="00C83254" w:rsidRPr="00D63217">
              <w:t>–</w:t>
            </w:r>
            <w:r w:rsidRPr="00D63217">
              <w:t xml:space="preserve">1140 g ac/ha </w:t>
            </w:r>
          </w:p>
        </w:tc>
      </w:tr>
      <w:tr w:rsidR="00394F10" w:rsidRPr="00D63217" w14:paraId="64308AD5" w14:textId="77777777" w:rsidTr="001746DD">
        <w:trPr>
          <w:cantSplit/>
        </w:trPr>
        <w:tc>
          <w:tcPr>
            <w:tcW w:w="1217" w:type="pct"/>
            <w:tcBorders>
              <w:top w:val="nil"/>
              <w:left w:val="nil"/>
              <w:bottom w:val="nil"/>
              <w:right w:val="nil"/>
            </w:tcBorders>
          </w:tcPr>
          <w:p w14:paraId="4A4FE99E" w14:textId="77777777" w:rsidR="00394F10" w:rsidRPr="00D63217" w:rsidRDefault="00394F10" w:rsidP="00643E20">
            <w:pPr>
              <w:pStyle w:val="TableText"/>
              <w:spacing w:before="0" w:after="0" w:line="240" w:lineRule="auto"/>
            </w:pPr>
          </w:p>
        </w:tc>
        <w:tc>
          <w:tcPr>
            <w:tcW w:w="2608" w:type="pct"/>
            <w:tcBorders>
              <w:top w:val="nil"/>
              <w:left w:val="nil"/>
              <w:bottom w:val="nil"/>
              <w:right w:val="nil"/>
            </w:tcBorders>
          </w:tcPr>
          <w:p w14:paraId="76C23527" w14:textId="59F51970" w:rsidR="00394F10" w:rsidRPr="00D63217" w:rsidRDefault="00394F10" w:rsidP="00643E20">
            <w:pPr>
              <w:pStyle w:val="TableText"/>
              <w:spacing w:before="0" w:after="0" w:line="240" w:lineRule="auto"/>
            </w:pPr>
            <w:r w:rsidRPr="00D63217">
              <w:t>Orchards, vineyards</w:t>
            </w:r>
          </w:p>
        </w:tc>
        <w:tc>
          <w:tcPr>
            <w:tcW w:w="1175" w:type="pct"/>
            <w:tcBorders>
              <w:top w:val="nil"/>
              <w:left w:val="nil"/>
              <w:bottom w:val="nil"/>
              <w:right w:val="nil"/>
            </w:tcBorders>
          </w:tcPr>
          <w:p w14:paraId="137E0272" w14:textId="5B48365B" w:rsidR="00394F10" w:rsidRPr="00D63217" w:rsidRDefault="00394F10" w:rsidP="00643E20">
            <w:pPr>
              <w:pStyle w:val="TableText"/>
              <w:spacing w:before="0" w:after="0" w:line="240" w:lineRule="auto"/>
            </w:pPr>
            <w:r w:rsidRPr="00D63217">
              <w:t>1× 280–810 g ac/ha</w:t>
            </w:r>
          </w:p>
        </w:tc>
      </w:tr>
      <w:tr w:rsidR="001746DD" w:rsidRPr="00D63217" w14:paraId="65D73CFD" w14:textId="77777777" w:rsidTr="001746DD">
        <w:trPr>
          <w:cantSplit/>
        </w:trPr>
        <w:tc>
          <w:tcPr>
            <w:tcW w:w="1217" w:type="pct"/>
            <w:tcBorders>
              <w:top w:val="nil"/>
              <w:left w:val="nil"/>
              <w:bottom w:val="nil"/>
              <w:right w:val="nil"/>
            </w:tcBorders>
          </w:tcPr>
          <w:p w14:paraId="155C435A"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0F9095DC" w14:textId="77777777" w:rsidR="00643E20" w:rsidRPr="00D63217" w:rsidRDefault="00643E20" w:rsidP="00643E20">
            <w:pPr>
              <w:pStyle w:val="TableText"/>
              <w:spacing w:before="0" w:after="0" w:line="240" w:lineRule="auto"/>
            </w:pPr>
            <w:r w:rsidRPr="00D63217">
              <w:t>Bananas</w:t>
            </w:r>
          </w:p>
        </w:tc>
        <w:tc>
          <w:tcPr>
            <w:tcW w:w="1175" w:type="pct"/>
            <w:tcBorders>
              <w:top w:val="nil"/>
              <w:left w:val="nil"/>
              <w:bottom w:val="nil"/>
              <w:right w:val="nil"/>
            </w:tcBorders>
          </w:tcPr>
          <w:p w14:paraId="38D1DB4F" w14:textId="5C0B9278" w:rsidR="00643E20" w:rsidRPr="00D63217" w:rsidRDefault="00643E20" w:rsidP="00643E20">
            <w:pPr>
              <w:pStyle w:val="TableText"/>
              <w:spacing w:before="0" w:after="0" w:line="240" w:lineRule="auto"/>
            </w:pPr>
            <w:r w:rsidRPr="00D63217">
              <w:t>1× 175</w:t>
            </w:r>
            <w:r w:rsidR="00C83254" w:rsidRPr="00D63217">
              <w:t>–</w:t>
            </w:r>
            <w:r w:rsidRPr="00D63217">
              <w:t>1120 g ac/ha</w:t>
            </w:r>
          </w:p>
        </w:tc>
      </w:tr>
      <w:tr w:rsidR="001746DD" w:rsidRPr="00D63217" w14:paraId="248319D1" w14:textId="77777777" w:rsidTr="001746DD">
        <w:trPr>
          <w:cantSplit/>
        </w:trPr>
        <w:tc>
          <w:tcPr>
            <w:tcW w:w="1217" w:type="pct"/>
            <w:tcBorders>
              <w:top w:val="nil"/>
              <w:left w:val="nil"/>
              <w:bottom w:val="nil"/>
              <w:right w:val="nil"/>
            </w:tcBorders>
          </w:tcPr>
          <w:p w14:paraId="0D4BA735"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2A5A41F2" w14:textId="77777777" w:rsidR="00643E20" w:rsidRPr="00D63217" w:rsidRDefault="00643E20" w:rsidP="00643E20">
            <w:pPr>
              <w:pStyle w:val="TableText"/>
              <w:spacing w:before="0" w:after="0" w:line="240" w:lineRule="auto"/>
            </w:pPr>
            <w:r w:rsidRPr="00D63217">
              <w:t>Potatoes</w:t>
            </w:r>
          </w:p>
        </w:tc>
        <w:tc>
          <w:tcPr>
            <w:tcW w:w="1175" w:type="pct"/>
            <w:tcBorders>
              <w:top w:val="nil"/>
              <w:left w:val="nil"/>
              <w:bottom w:val="nil"/>
              <w:right w:val="nil"/>
            </w:tcBorders>
          </w:tcPr>
          <w:p w14:paraId="63A0A266" w14:textId="0BC6C7C9" w:rsidR="00643E20" w:rsidRPr="00D63217" w:rsidRDefault="00643E20" w:rsidP="00643E20">
            <w:pPr>
              <w:pStyle w:val="TableText"/>
              <w:spacing w:before="0" w:after="0" w:line="240" w:lineRule="auto"/>
            </w:pPr>
            <w:r w:rsidRPr="00D63217">
              <w:t>1× 300</w:t>
            </w:r>
            <w:r w:rsidR="00C83254" w:rsidRPr="00D63217">
              <w:t>–</w:t>
            </w:r>
            <w:r w:rsidRPr="00D63217">
              <w:t>720 g ac/ha</w:t>
            </w:r>
          </w:p>
        </w:tc>
      </w:tr>
      <w:tr w:rsidR="001746DD" w:rsidRPr="00D63217" w14:paraId="28A9A517" w14:textId="77777777" w:rsidTr="001746DD">
        <w:trPr>
          <w:cantSplit/>
        </w:trPr>
        <w:tc>
          <w:tcPr>
            <w:tcW w:w="1217" w:type="pct"/>
            <w:tcBorders>
              <w:top w:val="nil"/>
              <w:left w:val="nil"/>
              <w:bottom w:val="nil"/>
              <w:right w:val="nil"/>
            </w:tcBorders>
          </w:tcPr>
          <w:p w14:paraId="54823CF1"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2368D779" w14:textId="72760063" w:rsidR="00643E20" w:rsidRPr="00D63217" w:rsidRDefault="00643E20" w:rsidP="00643E20">
            <w:pPr>
              <w:pStyle w:val="TableText"/>
              <w:spacing w:before="0" w:after="0" w:line="240" w:lineRule="auto"/>
            </w:pPr>
            <w:r w:rsidRPr="00D63217">
              <w:t>Pasture</w:t>
            </w:r>
            <w:r w:rsidR="000C05C7" w:rsidRPr="00D63217">
              <w:rPr>
                <w:rStyle w:val="FootnoteReference"/>
              </w:rPr>
              <w:footnoteReference w:id="14"/>
            </w:r>
          </w:p>
        </w:tc>
        <w:tc>
          <w:tcPr>
            <w:tcW w:w="1175" w:type="pct"/>
            <w:tcBorders>
              <w:top w:val="nil"/>
              <w:left w:val="nil"/>
              <w:bottom w:val="nil"/>
              <w:right w:val="nil"/>
            </w:tcBorders>
          </w:tcPr>
          <w:p w14:paraId="081F0258" w14:textId="6EB9F64B" w:rsidR="00643E20" w:rsidRPr="00D63217" w:rsidRDefault="00643E20" w:rsidP="00643E20">
            <w:pPr>
              <w:pStyle w:val="TableText"/>
              <w:spacing w:before="0" w:after="0" w:line="240" w:lineRule="auto"/>
            </w:pPr>
            <w:r w:rsidRPr="00D63217">
              <w:t>1× 100</w:t>
            </w:r>
            <w:r w:rsidR="00C83254" w:rsidRPr="00D63217">
              <w:t>–</w:t>
            </w:r>
            <w:r w:rsidRPr="00D63217">
              <w:t>600 g ac/ha</w:t>
            </w:r>
          </w:p>
        </w:tc>
      </w:tr>
      <w:tr w:rsidR="001746DD" w:rsidRPr="00D63217" w14:paraId="4C7C8668" w14:textId="77777777" w:rsidTr="001746DD">
        <w:trPr>
          <w:cantSplit/>
        </w:trPr>
        <w:tc>
          <w:tcPr>
            <w:tcW w:w="1217" w:type="pct"/>
            <w:tcBorders>
              <w:top w:val="nil"/>
              <w:left w:val="nil"/>
              <w:bottom w:val="nil"/>
              <w:right w:val="nil"/>
            </w:tcBorders>
          </w:tcPr>
          <w:p w14:paraId="0F2F22E6"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1E5A863B" w14:textId="77777777" w:rsidR="00643E20" w:rsidRPr="00D63217" w:rsidRDefault="00643E20" w:rsidP="00643E20">
            <w:pPr>
              <w:pStyle w:val="TableText"/>
              <w:spacing w:before="0" w:after="0" w:line="240" w:lineRule="auto"/>
            </w:pPr>
            <w:r w:rsidRPr="00D63217">
              <w:t>Lucerne, market gardens, row crops, vegetables</w:t>
            </w:r>
          </w:p>
        </w:tc>
        <w:tc>
          <w:tcPr>
            <w:tcW w:w="1175" w:type="pct"/>
            <w:tcBorders>
              <w:top w:val="nil"/>
              <w:left w:val="nil"/>
              <w:bottom w:val="nil"/>
              <w:right w:val="nil"/>
            </w:tcBorders>
          </w:tcPr>
          <w:p w14:paraId="11DC5383" w14:textId="16FC916F" w:rsidR="00643E20" w:rsidRPr="00D63217" w:rsidRDefault="00643E20" w:rsidP="00643E20">
            <w:pPr>
              <w:pStyle w:val="TableText"/>
              <w:spacing w:before="0" w:after="0" w:line="240" w:lineRule="auto"/>
            </w:pPr>
            <w:r w:rsidRPr="00D63217">
              <w:t>1× 300</w:t>
            </w:r>
            <w:r w:rsidR="00C83254" w:rsidRPr="00D63217">
              <w:t>–</w:t>
            </w:r>
            <w:r w:rsidR="00510B6B">
              <w:t>600</w:t>
            </w:r>
            <w:r w:rsidR="00510B6B" w:rsidRPr="00D63217">
              <w:t xml:space="preserve"> </w:t>
            </w:r>
            <w:r w:rsidRPr="00D63217">
              <w:t>g ac/ha</w:t>
            </w:r>
          </w:p>
        </w:tc>
      </w:tr>
      <w:tr w:rsidR="00394F10" w:rsidRPr="00D63217" w14:paraId="34FCE596" w14:textId="77777777" w:rsidTr="001746DD">
        <w:trPr>
          <w:cantSplit/>
        </w:trPr>
        <w:tc>
          <w:tcPr>
            <w:tcW w:w="1217" w:type="pct"/>
            <w:tcBorders>
              <w:top w:val="nil"/>
              <w:left w:val="nil"/>
              <w:bottom w:val="nil"/>
              <w:right w:val="nil"/>
            </w:tcBorders>
          </w:tcPr>
          <w:p w14:paraId="2D3C36CC"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7A0EEBE6" w14:textId="7586631E" w:rsidR="00643E20" w:rsidRPr="00D63217" w:rsidRDefault="00643E20" w:rsidP="00643E20">
            <w:pPr>
              <w:pStyle w:val="TableText"/>
              <w:spacing w:before="0" w:after="0" w:line="240" w:lineRule="auto"/>
            </w:pPr>
            <w:r w:rsidRPr="00D63217">
              <w:t>Hops, sugarcane</w:t>
            </w:r>
          </w:p>
        </w:tc>
        <w:tc>
          <w:tcPr>
            <w:tcW w:w="1175" w:type="pct"/>
            <w:tcBorders>
              <w:top w:val="nil"/>
              <w:left w:val="nil"/>
              <w:bottom w:val="nil"/>
              <w:right w:val="nil"/>
            </w:tcBorders>
          </w:tcPr>
          <w:p w14:paraId="297CD4D0" w14:textId="22F4E876" w:rsidR="00643E20" w:rsidRPr="00D63217" w:rsidRDefault="00643E20" w:rsidP="00643E20">
            <w:pPr>
              <w:pStyle w:val="TableText"/>
              <w:spacing w:before="0" w:after="0" w:line="240" w:lineRule="auto"/>
            </w:pPr>
            <w:r w:rsidRPr="00D63217">
              <w:t>1× 300</w:t>
            </w:r>
            <w:r w:rsidR="00C83254" w:rsidRPr="00D63217">
              <w:t>–</w:t>
            </w:r>
            <w:r w:rsidRPr="00D63217">
              <w:t>420 g ac/ha</w:t>
            </w:r>
          </w:p>
        </w:tc>
      </w:tr>
      <w:tr w:rsidR="00394F10" w:rsidRPr="00D63217" w14:paraId="59BF4A68" w14:textId="77777777" w:rsidTr="001746DD">
        <w:trPr>
          <w:cantSplit/>
        </w:trPr>
        <w:tc>
          <w:tcPr>
            <w:tcW w:w="1217" w:type="pct"/>
            <w:tcBorders>
              <w:top w:val="nil"/>
              <w:left w:val="nil"/>
              <w:bottom w:val="nil"/>
              <w:right w:val="nil"/>
            </w:tcBorders>
          </w:tcPr>
          <w:p w14:paraId="650083E8"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5FD14202" w14:textId="61C14DB5" w:rsidR="00643E20" w:rsidRPr="00D63217" w:rsidRDefault="00643E20" w:rsidP="00643E20">
            <w:pPr>
              <w:pStyle w:val="TableText"/>
              <w:spacing w:before="0" w:after="0" w:line="240" w:lineRule="auto"/>
            </w:pPr>
            <w:r w:rsidRPr="00D63217">
              <w:t>Rice</w:t>
            </w:r>
          </w:p>
        </w:tc>
        <w:tc>
          <w:tcPr>
            <w:tcW w:w="1175" w:type="pct"/>
            <w:tcBorders>
              <w:top w:val="nil"/>
              <w:left w:val="nil"/>
              <w:bottom w:val="nil"/>
              <w:right w:val="nil"/>
            </w:tcBorders>
          </w:tcPr>
          <w:p w14:paraId="79DE21B0" w14:textId="63285269" w:rsidR="00643E20" w:rsidRPr="00D63217" w:rsidRDefault="00643E20" w:rsidP="00643E20">
            <w:pPr>
              <w:pStyle w:val="TableText"/>
              <w:spacing w:before="0" w:after="0" w:line="240" w:lineRule="auto"/>
            </w:pPr>
            <w:r w:rsidRPr="00D63217">
              <w:t>1× 200</w:t>
            </w:r>
            <w:r w:rsidR="00C83254" w:rsidRPr="00D63217">
              <w:t>–</w:t>
            </w:r>
            <w:r w:rsidRPr="00D63217">
              <w:t>420 g ac/ha</w:t>
            </w:r>
          </w:p>
        </w:tc>
      </w:tr>
      <w:tr w:rsidR="00394F10" w:rsidRPr="00D63217" w14:paraId="04C2D30C" w14:textId="77777777" w:rsidTr="001746DD">
        <w:trPr>
          <w:cantSplit/>
        </w:trPr>
        <w:tc>
          <w:tcPr>
            <w:tcW w:w="1217" w:type="pct"/>
            <w:tcBorders>
              <w:top w:val="nil"/>
              <w:left w:val="nil"/>
              <w:bottom w:val="nil"/>
              <w:right w:val="nil"/>
            </w:tcBorders>
          </w:tcPr>
          <w:p w14:paraId="1A966029"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15F3B959" w14:textId="55007791" w:rsidR="00643E20" w:rsidRPr="00D63217" w:rsidRDefault="00643E20" w:rsidP="00643E20">
            <w:pPr>
              <w:pStyle w:val="TableText"/>
              <w:spacing w:before="0" w:after="0" w:line="240" w:lineRule="auto"/>
            </w:pPr>
            <w:r w:rsidRPr="00D63217">
              <w:t>Peanuts</w:t>
            </w:r>
          </w:p>
        </w:tc>
        <w:tc>
          <w:tcPr>
            <w:tcW w:w="1175" w:type="pct"/>
            <w:tcBorders>
              <w:top w:val="nil"/>
              <w:left w:val="nil"/>
              <w:bottom w:val="nil"/>
              <w:right w:val="nil"/>
            </w:tcBorders>
          </w:tcPr>
          <w:p w14:paraId="421A4481" w14:textId="6B61A3A1" w:rsidR="00643E20" w:rsidRPr="00D63217" w:rsidRDefault="00643E20" w:rsidP="00643E20">
            <w:pPr>
              <w:pStyle w:val="TableText"/>
              <w:spacing w:before="0" w:after="0" w:line="240" w:lineRule="auto"/>
            </w:pPr>
            <w:r w:rsidRPr="00D63217">
              <w:t>1× 100</w:t>
            </w:r>
            <w:r w:rsidR="00C83254" w:rsidRPr="00D63217">
              <w:t>–</w:t>
            </w:r>
            <w:r w:rsidRPr="00D63217">
              <w:t>250 g ac/ha</w:t>
            </w:r>
          </w:p>
        </w:tc>
      </w:tr>
      <w:tr w:rsidR="00394F10" w:rsidRPr="00D63217" w14:paraId="5D34887F" w14:textId="77777777" w:rsidTr="00A301F2">
        <w:trPr>
          <w:cantSplit/>
        </w:trPr>
        <w:tc>
          <w:tcPr>
            <w:tcW w:w="1217" w:type="pct"/>
            <w:tcBorders>
              <w:top w:val="nil"/>
              <w:left w:val="nil"/>
              <w:bottom w:val="single" w:sz="4" w:space="0" w:color="auto"/>
              <w:right w:val="nil"/>
            </w:tcBorders>
          </w:tcPr>
          <w:p w14:paraId="603D1800"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22CE9823" w14:textId="00652356" w:rsidR="00643E20" w:rsidRPr="00D63217" w:rsidRDefault="00643E20" w:rsidP="00643E20">
            <w:pPr>
              <w:pStyle w:val="TableText"/>
              <w:spacing w:before="0" w:after="0" w:line="240" w:lineRule="auto"/>
            </w:pPr>
            <w:r w:rsidRPr="00D63217">
              <w:t>Spray topping in pulses</w:t>
            </w:r>
          </w:p>
        </w:tc>
        <w:tc>
          <w:tcPr>
            <w:tcW w:w="1175" w:type="pct"/>
            <w:tcBorders>
              <w:top w:val="nil"/>
              <w:left w:val="nil"/>
              <w:bottom w:val="nil"/>
              <w:right w:val="nil"/>
            </w:tcBorders>
          </w:tcPr>
          <w:p w14:paraId="6AAF2BE9" w14:textId="4C800F4C" w:rsidR="00643E20" w:rsidRPr="00D63217" w:rsidRDefault="00643E20" w:rsidP="00643E20">
            <w:pPr>
              <w:pStyle w:val="TableText"/>
              <w:spacing w:before="0" w:after="0" w:line="240" w:lineRule="auto"/>
            </w:pPr>
            <w:r w:rsidRPr="00D63217">
              <w:t>1× 100</w:t>
            </w:r>
            <w:r w:rsidR="00C83254" w:rsidRPr="00D63217">
              <w:t>–</w:t>
            </w:r>
            <w:r w:rsidRPr="00D63217">
              <w:t>200 g ac/ha</w:t>
            </w:r>
          </w:p>
        </w:tc>
      </w:tr>
      <w:tr w:rsidR="00394F10" w:rsidRPr="00D63217" w14:paraId="62922277" w14:textId="77777777" w:rsidTr="00A301F2">
        <w:trPr>
          <w:cantSplit/>
        </w:trPr>
        <w:tc>
          <w:tcPr>
            <w:tcW w:w="1217" w:type="pct"/>
            <w:vMerge w:val="restart"/>
            <w:tcBorders>
              <w:left w:val="nil"/>
              <w:bottom w:val="nil"/>
              <w:right w:val="nil"/>
            </w:tcBorders>
          </w:tcPr>
          <w:p w14:paraId="6B8384F7" w14:textId="77777777" w:rsidR="00643E20" w:rsidRPr="00D63217" w:rsidRDefault="00643E20" w:rsidP="00643E20">
            <w:pPr>
              <w:pStyle w:val="TableText"/>
              <w:keepNext/>
              <w:keepLines/>
              <w:spacing w:before="0" w:after="0" w:line="240" w:lineRule="auto"/>
            </w:pPr>
            <w:r w:rsidRPr="00D63217">
              <w:t>Combination products containing diquat</w:t>
            </w:r>
          </w:p>
        </w:tc>
        <w:tc>
          <w:tcPr>
            <w:tcW w:w="2608" w:type="pct"/>
            <w:tcBorders>
              <w:top w:val="single" w:sz="4" w:space="0" w:color="auto"/>
              <w:left w:val="nil"/>
              <w:bottom w:val="nil"/>
              <w:right w:val="nil"/>
            </w:tcBorders>
          </w:tcPr>
          <w:p w14:paraId="2F90DDEF" w14:textId="77777777" w:rsidR="00643E20" w:rsidRPr="00D63217" w:rsidRDefault="00643E20" w:rsidP="00643E20">
            <w:pPr>
              <w:pStyle w:val="TableText"/>
              <w:keepNext/>
              <w:keepLines/>
              <w:spacing w:before="0" w:after="0" w:line="240" w:lineRule="auto"/>
            </w:pPr>
            <w:r w:rsidRPr="00D63217">
              <w:t>Cotton desiccation</w:t>
            </w:r>
          </w:p>
        </w:tc>
        <w:tc>
          <w:tcPr>
            <w:tcW w:w="1175" w:type="pct"/>
            <w:tcBorders>
              <w:top w:val="single" w:sz="4" w:space="0" w:color="auto"/>
              <w:left w:val="nil"/>
              <w:bottom w:val="nil"/>
              <w:right w:val="nil"/>
            </w:tcBorders>
          </w:tcPr>
          <w:p w14:paraId="639EEA5F" w14:textId="546897AC" w:rsidR="00643E20" w:rsidRPr="00D63217" w:rsidRDefault="00643E20" w:rsidP="00643E20">
            <w:pPr>
              <w:pStyle w:val="TableText"/>
              <w:keepNext/>
              <w:keepLines/>
              <w:spacing w:before="0" w:after="0" w:line="240" w:lineRule="auto"/>
            </w:pPr>
            <w:r w:rsidRPr="00D63217">
              <w:t>1× 162</w:t>
            </w:r>
            <w:r w:rsidR="00C83254" w:rsidRPr="00D63217">
              <w:t>–</w:t>
            </w:r>
            <w:r w:rsidRPr="00D63217">
              <w:t>216 g ac/ha</w:t>
            </w:r>
          </w:p>
        </w:tc>
      </w:tr>
      <w:tr w:rsidR="00394F10" w:rsidRPr="00D63217" w14:paraId="72C85FFA" w14:textId="77777777" w:rsidTr="00A301F2">
        <w:trPr>
          <w:cantSplit/>
        </w:trPr>
        <w:tc>
          <w:tcPr>
            <w:tcW w:w="1217" w:type="pct"/>
            <w:vMerge/>
            <w:tcBorders>
              <w:top w:val="nil"/>
              <w:left w:val="nil"/>
              <w:bottom w:val="nil"/>
              <w:right w:val="nil"/>
            </w:tcBorders>
          </w:tcPr>
          <w:p w14:paraId="60781773"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7A289388" w14:textId="047D792C" w:rsidR="00643E20" w:rsidRPr="00D63217" w:rsidRDefault="00643E20" w:rsidP="00643E20">
            <w:pPr>
              <w:pStyle w:val="TableText"/>
              <w:keepNext/>
              <w:keepLines/>
              <w:spacing w:before="0" w:after="0" w:line="240" w:lineRule="auto"/>
            </w:pPr>
            <w:r w:rsidRPr="00D63217">
              <w:t>Spray topping in grasses</w:t>
            </w:r>
          </w:p>
        </w:tc>
        <w:tc>
          <w:tcPr>
            <w:tcW w:w="1175" w:type="pct"/>
            <w:tcBorders>
              <w:top w:val="nil"/>
              <w:left w:val="nil"/>
              <w:bottom w:val="nil"/>
              <w:right w:val="nil"/>
            </w:tcBorders>
          </w:tcPr>
          <w:p w14:paraId="01B0B2CF" w14:textId="22046932" w:rsidR="00643E20" w:rsidRPr="00D63217" w:rsidRDefault="00643E20" w:rsidP="00643E20">
            <w:pPr>
              <w:pStyle w:val="TableText"/>
              <w:keepNext/>
              <w:keepLines/>
              <w:spacing w:before="0" w:after="0" w:line="240" w:lineRule="auto"/>
            </w:pPr>
            <w:r w:rsidRPr="00D63217">
              <w:t>1× 108</w:t>
            </w:r>
            <w:r w:rsidR="00C83254" w:rsidRPr="00D63217">
              <w:t>–</w:t>
            </w:r>
            <w:r w:rsidRPr="00D63217">
              <w:t>203 g ac/ha</w:t>
            </w:r>
          </w:p>
        </w:tc>
      </w:tr>
      <w:tr w:rsidR="00A301F2" w:rsidRPr="00D63217" w14:paraId="09A2FC33" w14:textId="77777777" w:rsidTr="00A301F2">
        <w:trPr>
          <w:cantSplit/>
        </w:trPr>
        <w:tc>
          <w:tcPr>
            <w:tcW w:w="1217" w:type="pct"/>
            <w:vMerge/>
            <w:tcBorders>
              <w:top w:val="nil"/>
              <w:left w:val="nil"/>
              <w:bottom w:val="nil"/>
              <w:right w:val="nil"/>
            </w:tcBorders>
          </w:tcPr>
          <w:p w14:paraId="769761E7" w14:textId="77777777" w:rsidR="00A301F2" w:rsidRPr="00D63217" w:rsidRDefault="00A301F2" w:rsidP="00643E20">
            <w:pPr>
              <w:pStyle w:val="TableText"/>
              <w:keepNext/>
              <w:keepLines/>
              <w:spacing w:before="0" w:after="0" w:line="240" w:lineRule="auto"/>
            </w:pPr>
          </w:p>
        </w:tc>
        <w:tc>
          <w:tcPr>
            <w:tcW w:w="2608" w:type="pct"/>
            <w:tcBorders>
              <w:top w:val="nil"/>
              <w:left w:val="nil"/>
              <w:bottom w:val="nil"/>
              <w:right w:val="nil"/>
            </w:tcBorders>
          </w:tcPr>
          <w:p w14:paraId="2893C086" w14:textId="74D13F24" w:rsidR="00A301F2" w:rsidRPr="00D63217" w:rsidRDefault="00A301F2" w:rsidP="00643E20">
            <w:pPr>
              <w:pStyle w:val="TableText"/>
              <w:keepNext/>
              <w:keepLines/>
              <w:spacing w:before="0" w:after="0" w:line="240" w:lineRule="auto"/>
            </w:pPr>
            <w:r>
              <w:t>Pasture</w:t>
            </w:r>
          </w:p>
        </w:tc>
        <w:tc>
          <w:tcPr>
            <w:tcW w:w="1175" w:type="pct"/>
            <w:tcBorders>
              <w:top w:val="nil"/>
              <w:left w:val="nil"/>
              <w:bottom w:val="nil"/>
              <w:right w:val="nil"/>
            </w:tcBorders>
          </w:tcPr>
          <w:p w14:paraId="474DAAEC" w14:textId="5B1D7AFB" w:rsidR="00A301F2" w:rsidRPr="00D63217" w:rsidRDefault="00A301F2" w:rsidP="00643E20">
            <w:pPr>
              <w:pStyle w:val="TableText"/>
              <w:keepNext/>
              <w:keepLines/>
              <w:spacing w:before="0" w:after="0" w:line="240" w:lineRule="auto"/>
            </w:pPr>
            <w:r>
              <w:t>1</w:t>
            </w:r>
            <w:r w:rsidRPr="00D63217">
              <w:t>×</w:t>
            </w:r>
            <w:r>
              <w:t xml:space="preserve"> 162-432 g ac/ha</w:t>
            </w:r>
          </w:p>
        </w:tc>
      </w:tr>
      <w:tr w:rsidR="00394F10" w:rsidRPr="00D63217" w14:paraId="0877F8FE" w14:textId="77777777" w:rsidTr="00A301F2">
        <w:trPr>
          <w:cantSplit/>
        </w:trPr>
        <w:tc>
          <w:tcPr>
            <w:tcW w:w="1217" w:type="pct"/>
            <w:vMerge/>
            <w:tcBorders>
              <w:top w:val="nil"/>
              <w:left w:val="nil"/>
              <w:bottom w:val="nil"/>
              <w:right w:val="nil"/>
            </w:tcBorders>
          </w:tcPr>
          <w:p w14:paraId="1B4114E9"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2ACBF4C7" w14:textId="515698B1" w:rsidR="00643E20" w:rsidRPr="00D63217" w:rsidRDefault="00A301F2" w:rsidP="00643E20">
            <w:pPr>
              <w:pStyle w:val="TableText"/>
              <w:keepNext/>
              <w:keepLines/>
              <w:spacing w:before="0" w:after="0" w:line="240" w:lineRule="auto"/>
            </w:pPr>
            <w:r>
              <w:t>P</w:t>
            </w:r>
            <w:r w:rsidR="00643E20" w:rsidRPr="00D63217">
              <w:t>ublic service areas, rights of way, market gardens, nurseries, potatoes, vegetables</w:t>
            </w:r>
          </w:p>
        </w:tc>
        <w:tc>
          <w:tcPr>
            <w:tcW w:w="1175" w:type="pct"/>
            <w:tcBorders>
              <w:top w:val="nil"/>
              <w:left w:val="nil"/>
              <w:bottom w:val="nil"/>
              <w:right w:val="nil"/>
            </w:tcBorders>
          </w:tcPr>
          <w:p w14:paraId="6D7A50BB" w14:textId="511E5EB2" w:rsidR="00643E20" w:rsidRPr="00D63217" w:rsidRDefault="00643E20" w:rsidP="00643E20">
            <w:pPr>
              <w:pStyle w:val="TableText"/>
              <w:keepNext/>
              <w:keepLines/>
              <w:spacing w:before="0" w:after="0" w:line="240" w:lineRule="auto"/>
            </w:pPr>
            <w:r w:rsidRPr="00D63217">
              <w:t>1× 324</w:t>
            </w:r>
            <w:r w:rsidR="00C83254" w:rsidRPr="00D63217">
              <w:t>–</w:t>
            </w:r>
            <w:r w:rsidRPr="00D63217">
              <w:t>432 g ac/ha</w:t>
            </w:r>
          </w:p>
        </w:tc>
      </w:tr>
      <w:tr w:rsidR="00A301F2" w:rsidRPr="00D63217" w14:paraId="3338CEF7" w14:textId="77777777" w:rsidTr="00A301F2">
        <w:trPr>
          <w:cantSplit/>
        </w:trPr>
        <w:tc>
          <w:tcPr>
            <w:tcW w:w="1217" w:type="pct"/>
            <w:tcBorders>
              <w:top w:val="nil"/>
              <w:left w:val="nil"/>
              <w:bottom w:val="nil"/>
              <w:right w:val="nil"/>
            </w:tcBorders>
          </w:tcPr>
          <w:p w14:paraId="257A45B8" w14:textId="77777777" w:rsidR="00A301F2" w:rsidRPr="00D63217" w:rsidRDefault="00A301F2" w:rsidP="00643E20">
            <w:pPr>
              <w:pStyle w:val="TableText"/>
              <w:keepNext/>
              <w:keepLines/>
              <w:spacing w:before="0" w:after="0" w:line="240" w:lineRule="auto"/>
            </w:pPr>
          </w:p>
        </w:tc>
        <w:tc>
          <w:tcPr>
            <w:tcW w:w="2608" w:type="pct"/>
            <w:tcBorders>
              <w:top w:val="nil"/>
              <w:left w:val="nil"/>
              <w:bottom w:val="nil"/>
              <w:right w:val="nil"/>
            </w:tcBorders>
          </w:tcPr>
          <w:p w14:paraId="5ED15DB0" w14:textId="245A45D6" w:rsidR="00A301F2" w:rsidRPr="00D63217" w:rsidDel="00A301F2" w:rsidRDefault="00A301F2" w:rsidP="00643E20">
            <w:pPr>
              <w:pStyle w:val="TableText"/>
              <w:keepNext/>
              <w:keepLines/>
              <w:spacing w:before="0" w:after="0" w:line="240" w:lineRule="auto"/>
            </w:pPr>
            <w:r>
              <w:t>Rice</w:t>
            </w:r>
          </w:p>
        </w:tc>
        <w:tc>
          <w:tcPr>
            <w:tcW w:w="1175" w:type="pct"/>
            <w:tcBorders>
              <w:top w:val="nil"/>
              <w:left w:val="nil"/>
              <w:bottom w:val="nil"/>
              <w:right w:val="nil"/>
            </w:tcBorders>
          </w:tcPr>
          <w:p w14:paraId="21040B78" w14:textId="65B5B4B1" w:rsidR="00A301F2" w:rsidRPr="00D63217" w:rsidRDefault="00A301F2" w:rsidP="00643E20">
            <w:pPr>
              <w:pStyle w:val="TableText"/>
              <w:keepNext/>
              <w:keepLines/>
              <w:spacing w:before="0" w:after="0" w:line="240" w:lineRule="auto"/>
            </w:pPr>
            <w:r w:rsidRPr="00D63217">
              <w:t xml:space="preserve">1× </w:t>
            </w:r>
            <w:r>
              <w:t>216</w:t>
            </w:r>
            <w:r w:rsidRPr="00D63217">
              <w:t>–</w:t>
            </w:r>
            <w:r>
              <w:t>432</w:t>
            </w:r>
            <w:r w:rsidRPr="00D63217">
              <w:t xml:space="preserve"> g ac/ha</w:t>
            </w:r>
          </w:p>
        </w:tc>
      </w:tr>
      <w:tr w:rsidR="00394F10" w:rsidRPr="00D63217" w14:paraId="0F7BA211" w14:textId="77777777" w:rsidTr="001746DD">
        <w:trPr>
          <w:cantSplit/>
        </w:trPr>
        <w:tc>
          <w:tcPr>
            <w:tcW w:w="1217" w:type="pct"/>
            <w:tcBorders>
              <w:top w:val="nil"/>
              <w:left w:val="nil"/>
              <w:bottom w:val="nil"/>
              <w:right w:val="nil"/>
            </w:tcBorders>
          </w:tcPr>
          <w:p w14:paraId="1FD15141"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3C26ED13" w14:textId="472F8A9A" w:rsidR="00643E20" w:rsidRPr="00D63217" w:rsidRDefault="00643E20" w:rsidP="00643E20">
            <w:pPr>
              <w:pStyle w:val="TableText"/>
              <w:keepNext/>
              <w:keepLines/>
              <w:spacing w:before="0" w:after="0" w:line="240" w:lineRule="auto"/>
            </w:pPr>
            <w:r w:rsidRPr="00D63217">
              <w:t>Vineyards</w:t>
            </w:r>
          </w:p>
        </w:tc>
        <w:tc>
          <w:tcPr>
            <w:tcW w:w="1175" w:type="pct"/>
            <w:tcBorders>
              <w:top w:val="nil"/>
              <w:left w:val="nil"/>
              <w:bottom w:val="nil"/>
              <w:right w:val="nil"/>
            </w:tcBorders>
          </w:tcPr>
          <w:p w14:paraId="3C61D02A" w14:textId="7346B679" w:rsidR="00643E20" w:rsidRPr="00D63217" w:rsidRDefault="00643E20" w:rsidP="00643E20">
            <w:pPr>
              <w:pStyle w:val="TableText"/>
              <w:keepNext/>
              <w:keepLines/>
              <w:spacing w:before="0" w:after="0" w:line="240" w:lineRule="auto"/>
            </w:pPr>
            <w:r w:rsidRPr="00D63217">
              <w:t>1× 324</w:t>
            </w:r>
            <w:r w:rsidR="00C83254" w:rsidRPr="00D63217">
              <w:t>–</w:t>
            </w:r>
            <w:r w:rsidRPr="00D63217">
              <w:t>432 g ac/ha</w:t>
            </w:r>
          </w:p>
        </w:tc>
      </w:tr>
      <w:tr w:rsidR="00394F10" w:rsidRPr="00D63217" w14:paraId="7E3A8761" w14:textId="77777777" w:rsidTr="001746DD">
        <w:trPr>
          <w:cantSplit/>
        </w:trPr>
        <w:tc>
          <w:tcPr>
            <w:tcW w:w="1217" w:type="pct"/>
            <w:tcBorders>
              <w:top w:val="nil"/>
              <w:left w:val="nil"/>
              <w:bottom w:val="nil"/>
              <w:right w:val="nil"/>
            </w:tcBorders>
          </w:tcPr>
          <w:p w14:paraId="1505329B"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03732247" w14:textId="373D2604" w:rsidR="00643E20" w:rsidRPr="00D63217" w:rsidRDefault="00643E20" w:rsidP="00643E20">
            <w:pPr>
              <w:pStyle w:val="TableText"/>
              <w:keepNext/>
              <w:keepLines/>
              <w:spacing w:before="0" w:after="0" w:line="240" w:lineRule="auto"/>
            </w:pPr>
            <w:r w:rsidRPr="00D63217">
              <w:t>Forests, orchards, plantations</w:t>
            </w:r>
            <w:r w:rsidR="00A301F2">
              <w:t>, duboisia, tea trees, bananas</w:t>
            </w:r>
          </w:p>
        </w:tc>
        <w:tc>
          <w:tcPr>
            <w:tcW w:w="1175" w:type="pct"/>
            <w:tcBorders>
              <w:top w:val="nil"/>
              <w:left w:val="nil"/>
              <w:bottom w:val="nil"/>
              <w:right w:val="nil"/>
            </w:tcBorders>
          </w:tcPr>
          <w:p w14:paraId="72F6B995" w14:textId="64965185" w:rsidR="00643E20" w:rsidRPr="00D63217" w:rsidRDefault="00643E20" w:rsidP="00643E20">
            <w:pPr>
              <w:pStyle w:val="TableText"/>
              <w:keepNext/>
              <w:keepLines/>
              <w:spacing w:before="0" w:after="0" w:line="240" w:lineRule="auto"/>
            </w:pPr>
            <w:r w:rsidRPr="00D63217">
              <w:t xml:space="preserve">1× </w:t>
            </w:r>
            <w:r w:rsidR="00A301F2">
              <w:t>27</w:t>
            </w:r>
            <w:r w:rsidR="006108FB">
              <w:t>6</w:t>
            </w:r>
            <w:r w:rsidR="00C83254" w:rsidRPr="00D63217">
              <w:t>–</w:t>
            </w:r>
            <w:r w:rsidRPr="00D63217">
              <w:t>432 g ac/ha</w:t>
            </w:r>
          </w:p>
        </w:tc>
      </w:tr>
      <w:tr w:rsidR="00394F10" w:rsidRPr="00D63217" w14:paraId="39FEFF52" w14:textId="77777777" w:rsidTr="001746DD">
        <w:trPr>
          <w:cantSplit/>
        </w:trPr>
        <w:tc>
          <w:tcPr>
            <w:tcW w:w="1217" w:type="pct"/>
            <w:tcBorders>
              <w:top w:val="nil"/>
              <w:left w:val="nil"/>
              <w:bottom w:val="nil"/>
              <w:right w:val="nil"/>
            </w:tcBorders>
          </w:tcPr>
          <w:p w14:paraId="7D97E0D7"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46999DA1" w14:textId="77777777" w:rsidR="00643E20" w:rsidRPr="00D63217" w:rsidRDefault="00643E20" w:rsidP="00643E20">
            <w:pPr>
              <w:pStyle w:val="TableText"/>
              <w:keepNext/>
              <w:keepLines/>
              <w:spacing w:before="0" w:after="0" w:line="240" w:lineRule="auto"/>
            </w:pPr>
            <w:r w:rsidRPr="00D63217">
              <w:t>Fallow (minimal disturbance)</w:t>
            </w:r>
          </w:p>
        </w:tc>
        <w:tc>
          <w:tcPr>
            <w:tcW w:w="1175" w:type="pct"/>
            <w:tcBorders>
              <w:top w:val="nil"/>
              <w:left w:val="nil"/>
              <w:bottom w:val="nil"/>
              <w:right w:val="nil"/>
            </w:tcBorders>
          </w:tcPr>
          <w:p w14:paraId="6D5D93E1" w14:textId="075086AA" w:rsidR="00643E20" w:rsidRPr="00D63217" w:rsidRDefault="00643E20" w:rsidP="00C83254">
            <w:pPr>
              <w:pStyle w:val="TableText"/>
              <w:keepNext/>
              <w:keepLines/>
              <w:spacing w:before="0" w:after="0" w:line="240" w:lineRule="auto"/>
            </w:pPr>
            <w:r w:rsidRPr="00D63217">
              <w:t xml:space="preserve">2× </w:t>
            </w:r>
            <w:r w:rsidR="00A301F2">
              <w:t>162</w:t>
            </w:r>
            <w:r w:rsidR="00C83254" w:rsidRPr="00D63217">
              <w:t>–</w:t>
            </w:r>
            <w:r w:rsidRPr="00D63217">
              <w:t>432 g ac/ha</w:t>
            </w:r>
            <w:r w:rsidR="00C83254" w:rsidRPr="00D63217">
              <w:br/>
            </w:r>
            <w:r w:rsidRPr="00D63217">
              <w:t>7-day retreatment interval</w:t>
            </w:r>
          </w:p>
        </w:tc>
      </w:tr>
      <w:tr w:rsidR="00FE2D97" w:rsidRPr="00D63217" w14:paraId="2B8AB9FC" w14:textId="77777777" w:rsidTr="001746DD">
        <w:trPr>
          <w:cantSplit/>
        </w:trPr>
        <w:tc>
          <w:tcPr>
            <w:tcW w:w="1217" w:type="pct"/>
            <w:tcBorders>
              <w:top w:val="nil"/>
              <w:left w:val="nil"/>
              <w:bottom w:val="nil"/>
              <w:right w:val="nil"/>
            </w:tcBorders>
          </w:tcPr>
          <w:p w14:paraId="28FC63B8" w14:textId="77777777" w:rsidR="00FE2D97" w:rsidRPr="00D63217" w:rsidRDefault="00FE2D97" w:rsidP="00643E20">
            <w:pPr>
              <w:pStyle w:val="TableText"/>
              <w:keepNext/>
              <w:keepLines/>
              <w:spacing w:before="0" w:after="0" w:line="240" w:lineRule="auto"/>
            </w:pPr>
          </w:p>
        </w:tc>
        <w:tc>
          <w:tcPr>
            <w:tcW w:w="2608" w:type="pct"/>
            <w:tcBorders>
              <w:top w:val="nil"/>
              <w:left w:val="nil"/>
              <w:bottom w:val="nil"/>
              <w:right w:val="nil"/>
            </w:tcBorders>
          </w:tcPr>
          <w:p w14:paraId="758A5A64" w14:textId="12C497BD" w:rsidR="00FE2D97" w:rsidRPr="00D63217" w:rsidRDefault="00FE2D97" w:rsidP="00643E20">
            <w:pPr>
              <w:pStyle w:val="TableText"/>
              <w:keepNext/>
              <w:keepLines/>
              <w:spacing w:before="0" w:after="0" w:line="240" w:lineRule="auto"/>
            </w:pPr>
            <w:r w:rsidRPr="00D63217">
              <w:t>Fallow (minimal disturbance)</w:t>
            </w:r>
          </w:p>
        </w:tc>
        <w:tc>
          <w:tcPr>
            <w:tcW w:w="1175" w:type="pct"/>
            <w:tcBorders>
              <w:top w:val="nil"/>
              <w:left w:val="nil"/>
              <w:bottom w:val="nil"/>
              <w:right w:val="nil"/>
            </w:tcBorders>
          </w:tcPr>
          <w:p w14:paraId="57BA9248" w14:textId="057B0846" w:rsidR="00FE2D97" w:rsidRPr="00D63217" w:rsidRDefault="00FE2D97" w:rsidP="00C83254">
            <w:pPr>
              <w:pStyle w:val="TableText"/>
              <w:keepNext/>
              <w:keepLines/>
              <w:spacing w:before="0" w:after="0" w:line="240" w:lineRule="auto"/>
            </w:pPr>
            <w:r w:rsidRPr="00D63217">
              <w:t xml:space="preserve">1× </w:t>
            </w:r>
            <w:r>
              <w:t>135</w:t>
            </w:r>
            <w:r w:rsidRPr="00D63217">
              <w:t>–432 g ac/ha</w:t>
            </w:r>
          </w:p>
        </w:tc>
      </w:tr>
      <w:tr w:rsidR="00394F10" w:rsidRPr="00D63217" w14:paraId="23D8D2F1" w14:textId="77777777" w:rsidTr="001746DD">
        <w:trPr>
          <w:cantSplit/>
        </w:trPr>
        <w:tc>
          <w:tcPr>
            <w:tcW w:w="1217" w:type="pct"/>
            <w:tcBorders>
              <w:top w:val="nil"/>
              <w:left w:val="nil"/>
              <w:bottom w:val="nil"/>
              <w:right w:val="nil"/>
            </w:tcBorders>
          </w:tcPr>
          <w:p w14:paraId="0695CBE0"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3BBB171C" w14:textId="77777777" w:rsidR="00643E20" w:rsidRPr="00D63217" w:rsidRDefault="00643E20" w:rsidP="00643E20">
            <w:pPr>
              <w:pStyle w:val="TableText"/>
              <w:keepNext/>
              <w:keepLines/>
              <w:spacing w:before="0" w:after="0" w:line="240" w:lineRule="auto"/>
            </w:pPr>
            <w:r w:rsidRPr="00D63217">
              <w:t>Fallow (full disturbance), lucerne</w:t>
            </w:r>
          </w:p>
        </w:tc>
        <w:tc>
          <w:tcPr>
            <w:tcW w:w="1175" w:type="pct"/>
            <w:tcBorders>
              <w:top w:val="nil"/>
              <w:left w:val="nil"/>
              <w:bottom w:val="nil"/>
              <w:right w:val="nil"/>
            </w:tcBorders>
          </w:tcPr>
          <w:p w14:paraId="137252A2" w14:textId="374ACF40" w:rsidR="00643E20" w:rsidRPr="00D63217" w:rsidRDefault="00643E20" w:rsidP="00643E20">
            <w:pPr>
              <w:pStyle w:val="TableText"/>
              <w:keepNext/>
              <w:keepLines/>
              <w:spacing w:before="0" w:after="0" w:line="240" w:lineRule="auto"/>
            </w:pPr>
            <w:r w:rsidRPr="00D63217">
              <w:t>1× 81</w:t>
            </w:r>
            <w:r w:rsidR="00C83254" w:rsidRPr="00D63217">
              <w:t>–</w:t>
            </w:r>
            <w:r w:rsidR="00FE2D97">
              <w:t>324</w:t>
            </w:r>
            <w:r w:rsidRPr="00D63217">
              <w:t xml:space="preserve"> g ac/ha</w:t>
            </w:r>
          </w:p>
        </w:tc>
      </w:tr>
      <w:tr w:rsidR="00394F10" w:rsidRPr="00D63217" w14:paraId="28345D87" w14:textId="77777777" w:rsidTr="001746DD">
        <w:trPr>
          <w:cantSplit/>
        </w:trPr>
        <w:tc>
          <w:tcPr>
            <w:tcW w:w="1217" w:type="pct"/>
            <w:tcBorders>
              <w:top w:val="nil"/>
              <w:left w:val="nil"/>
              <w:bottom w:val="nil"/>
              <w:right w:val="nil"/>
            </w:tcBorders>
          </w:tcPr>
          <w:p w14:paraId="502122F8" w14:textId="77777777" w:rsidR="00643E20" w:rsidRPr="00D63217" w:rsidRDefault="00643E20" w:rsidP="00643E20">
            <w:pPr>
              <w:pStyle w:val="TableText"/>
              <w:keepNext/>
              <w:keepLines/>
              <w:spacing w:before="0" w:after="0" w:line="240" w:lineRule="auto"/>
            </w:pPr>
          </w:p>
        </w:tc>
        <w:tc>
          <w:tcPr>
            <w:tcW w:w="2608" w:type="pct"/>
            <w:tcBorders>
              <w:top w:val="nil"/>
              <w:left w:val="nil"/>
              <w:bottom w:val="nil"/>
              <w:right w:val="nil"/>
            </w:tcBorders>
          </w:tcPr>
          <w:p w14:paraId="22475F82" w14:textId="77777777" w:rsidR="00643E20" w:rsidRPr="00D63217" w:rsidRDefault="00643E20" w:rsidP="00643E20">
            <w:pPr>
              <w:pStyle w:val="TableText"/>
              <w:keepNext/>
              <w:keepLines/>
              <w:spacing w:before="0" w:after="0" w:line="240" w:lineRule="auto"/>
            </w:pPr>
            <w:r w:rsidRPr="00D63217">
              <w:t>Spot application in avocado, custard apples, lychees, mangos</w:t>
            </w:r>
            <w:r w:rsidRPr="00D63217">
              <w:rPr>
                <w:rStyle w:val="FootnoteReference"/>
              </w:rPr>
              <w:footnoteReference w:id="15"/>
            </w:r>
          </w:p>
        </w:tc>
        <w:tc>
          <w:tcPr>
            <w:tcW w:w="1175" w:type="pct"/>
            <w:tcBorders>
              <w:top w:val="nil"/>
              <w:left w:val="nil"/>
              <w:bottom w:val="nil"/>
              <w:right w:val="nil"/>
            </w:tcBorders>
          </w:tcPr>
          <w:p w14:paraId="3C4E703B" w14:textId="58A9E8C3" w:rsidR="00643E20" w:rsidRPr="00D63217" w:rsidRDefault="00643E20" w:rsidP="00C83254">
            <w:pPr>
              <w:pStyle w:val="TableText"/>
              <w:keepNext/>
              <w:keepLines/>
              <w:spacing w:before="0" w:after="0" w:line="240" w:lineRule="auto"/>
            </w:pPr>
            <w:r w:rsidRPr="00D63217">
              <w:t xml:space="preserve">2× </w:t>
            </w:r>
            <w:r w:rsidR="00FE2D97">
              <w:t>162</w:t>
            </w:r>
            <w:r w:rsidR="00C83254" w:rsidRPr="00D63217">
              <w:t>–</w:t>
            </w:r>
            <w:r w:rsidR="00FE2D97">
              <w:t>324</w:t>
            </w:r>
            <w:r w:rsidR="00FE2D97" w:rsidRPr="00D63217">
              <w:t xml:space="preserve"> </w:t>
            </w:r>
            <w:r w:rsidRPr="00D63217">
              <w:t>g ac/ha</w:t>
            </w:r>
            <w:r w:rsidR="00C83254" w:rsidRPr="00D63217">
              <w:br/>
            </w:r>
            <w:r w:rsidRPr="00D63217">
              <w:t>14-day retreatment interval</w:t>
            </w:r>
          </w:p>
        </w:tc>
      </w:tr>
      <w:tr w:rsidR="00394F10" w:rsidRPr="00D63217" w14:paraId="1693B258" w14:textId="77777777" w:rsidTr="0084776D">
        <w:trPr>
          <w:cantSplit/>
        </w:trPr>
        <w:tc>
          <w:tcPr>
            <w:tcW w:w="1217" w:type="pct"/>
            <w:tcBorders>
              <w:top w:val="nil"/>
              <w:left w:val="nil"/>
              <w:bottom w:val="single" w:sz="4" w:space="0" w:color="auto"/>
              <w:right w:val="nil"/>
            </w:tcBorders>
          </w:tcPr>
          <w:p w14:paraId="7BF4D291" w14:textId="77777777" w:rsidR="00643E20" w:rsidRPr="00D63217" w:rsidRDefault="00643E20" w:rsidP="00643E20">
            <w:pPr>
              <w:pStyle w:val="TableText"/>
              <w:keepNext/>
              <w:keepLines/>
              <w:spacing w:before="0" w:after="0" w:line="240" w:lineRule="auto"/>
            </w:pPr>
          </w:p>
        </w:tc>
        <w:tc>
          <w:tcPr>
            <w:tcW w:w="2608" w:type="pct"/>
            <w:tcBorders>
              <w:top w:val="nil"/>
              <w:left w:val="nil"/>
              <w:bottom w:val="single" w:sz="4" w:space="0" w:color="auto"/>
              <w:right w:val="nil"/>
            </w:tcBorders>
          </w:tcPr>
          <w:p w14:paraId="7A3EEC4C" w14:textId="09535E94" w:rsidR="00643E20" w:rsidRPr="00D63217" w:rsidRDefault="00643E20" w:rsidP="00643E20">
            <w:pPr>
              <w:pStyle w:val="TableText"/>
              <w:keepNext/>
              <w:keepLines/>
              <w:spacing w:before="0" w:after="0" w:line="240" w:lineRule="auto"/>
            </w:pPr>
            <w:r w:rsidRPr="00D63217">
              <w:t>Sugarcane</w:t>
            </w:r>
          </w:p>
        </w:tc>
        <w:tc>
          <w:tcPr>
            <w:tcW w:w="1175" w:type="pct"/>
            <w:tcBorders>
              <w:top w:val="nil"/>
              <w:left w:val="nil"/>
              <w:bottom w:val="single" w:sz="4" w:space="0" w:color="auto"/>
              <w:right w:val="nil"/>
            </w:tcBorders>
          </w:tcPr>
          <w:p w14:paraId="5AFC27E7" w14:textId="4CA28614" w:rsidR="00643E20" w:rsidRPr="00D63217" w:rsidRDefault="00643E20" w:rsidP="00643E20">
            <w:pPr>
              <w:pStyle w:val="TableText"/>
              <w:keepNext/>
              <w:keepLines/>
              <w:spacing w:before="0" w:after="0" w:line="240" w:lineRule="auto"/>
            </w:pPr>
            <w:r w:rsidRPr="00D63217">
              <w:t>1× 162</w:t>
            </w:r>
            <w:r w:rsidR="00C83254" w:rsidRPr="00D63217">
              <w:t>–</w:t>
            </w:r>
            <w:r w:rsidRPr="00D63217">
              <w:t>432 g ac/ha</w:t>
            </w:r>
          </w:p>
        </w:tc>
      </w:tr>
      <w:tr w:rsidR="00394F10" w:rsidRPr="00D63217" w14:paraId="414739D5" w14:textId="77777777" w:rsidTr="001746DD">
        <w:trPr>
          <w:cantSplit/>
        </w:trPr>
        <w:tc>
          <w:tcPr>
            <w:tcW w:w="1217" w:type="pct"/>
            <w:vMerge w:val="restart"/>
            <w:tcBorders>
              <w:top w:val="single" w:sz="4" w:space="0" w:color="auto"/>
              <w:left w:val="nil"/>
              <w:right w:val="nil"/>
            </w:tcBorders>
          </w:tcPr>
          <w:p w14:paraId="3B2DA340" w14:textId="77777777" w:rsidR="00643E20" w:rsidRPr="00D63217" w:rsidRDefault="00643E20" w:rsidP="00643E20">
            <w:pPr>
              <w:pStyle w:val="TableText"/>
              <w:spacing w:before="0" w:after="0" w:line="240" w:lineRule="auto"/>
            </w:pPr>
            <w:r w:rsidRPr="00D63217">
              <w:t>Combination products containing amitrole</w:t>
            </w:r>
          </w:p>
        </w:tc>
        <w:tc>
          <w:tcPr>
            <w:tcW w:w="2608" w:type="pct"/>
            <w:tcBorders>
              <w:top w:val="single" w:sz="4" w:space="0" w:color="auto"/>
              <w:left w:val="nil"/>
              <w:bottom w:val="nil"/>
              <w:right w:val="nil"/>
            </w:tcBorders>
          </w:tcPr>
          <w:p w14:paraId="60DC9A73" w14:textId="77777777" w:rsidR="00643E20" w:rsidRPr="00D63217" w:rsidRDefault="00643E20" w:rsidP="00643E20">
            <w:pPr>
              <w:pStyle w:val="TableText"/>
              <w:spacing w:before="0" w:after="0" w:line="240" w:lineRule="auto"/>
            </w:pPr>
            <w:r w:rsidRPr="00D63217">
              <w:t>Fallow</w:t>
            </w:r>
          </w:p>
        </w:tc>
        <w:tc>
          <w:tcPr>
            <w:tcW w:w="1175" w:type="pct"/>
            <w:tcBorders>
              <w:top w:val="single" w:sz="4" w:space="0" w:color="auto"/>
              <w:left w:val="nil"/>
              <w:bottom w:val="nil"/>
              <w:right w:val="nil"/>
            </w:tcBorders>
          </w:tcPr>
          <w:p w14:paraId="0A1E2391" w14:textId="5E601028" w:rsidR="00643E20" w:rsidRPr="00D63217" w:rsidRDefault="00643E20" w:rsidP="00643E20">
            <w:pPr>
              <w:pStyle w:val="TableText"/>
              <w:spacing w:before="0" w:after="0" w:line="240" w:lineRule="auto"/>
            </w:pPr>
            <w:r w:rsidRPr="00D63217">
              <w:t>1× 112</w:t>
            </w:r>
            <w:r w:rsidR="00C83254" w:rsidRPr="00D63217">
              <w:t>–</w:t>
            </w:r>
            <w:r w:rsidR="0084776D">
              <w:t>600</w:t>
            </w:r>
            <w:r w:rsidR="0084776D" w:rsidRPr="00D63217">
              <w:t xml:space="preserve"> </w:t>
            </w:r>
            <w:r w:rsidRPr="00D63217">
              <w:t>g ac/ha</w:t>
            </w:r>
          </w:p>
        </w:tc>
      </w:tr>
      <w:tr w:rsidR="0084776D" w:rsidRPr="00D63217" w14:paraId="2F95F8A5" w14:textId="77777777" w:rsidTr="0084776D">
        <w:trPr>
          <w:cantSplit/>
        </w:trPr>
        <w:tc>
          <w:tcPr>
            <w:tcW w:w="1217" w:type="pct"/>
            <w:vMerge/>
            <w:tcBorders>
              <w:top w:val="single" w:sz="4" w:space="0" w:color="auto"/>
              <w:left w:val="nil"/>
              <w:right w:val="nil"/>
            </w:tcBorders>
          </w:tcPr>
          <w:p w14:paraId="5BCACE34" w14:textId="77777777" w:rsidR="0084776D" w:rsidRPr="00D63217" w:rsidRDefault="0084776D" w:rsidP="00643E20">
            <w:pPr>
              <w:pStyle w:val="TableText"/>
              <w:spacing w:before="0" w:after="0" w:line="240" w:lineRule="auto"/>
            </w:pPr>
          </w:p>
        </w:tc>
        <w:tc>
          <w:tcPr>
            <w:tcW w:w="2608" w:type="pct"/>
            <w:tcBorders>
              <w:top w:val="nil"/>
              <w:left w:val="nil"/>
              <w:bottom w:val="nil"/>
              <w:right w:val="nil"/>
            </w:tcBorders>
          </w:tcPr>
          <w:p w14:paraId="0E558B38" w14:textId="06615FB2" w:rsidR="0084776D" w:rsidRPr="00D63217" w:rsidRDefault="0084776D" w:rsidP="00643E20">
            <w:pPr>
              <w:pStyle w:val="TableText"/>
              <w:spacing w:before="0" w:after="0" w:line="240" w:lineRule="auto"/>
            </w:pPr>
            <w:r w:rsidRPr="00D63217">
              <w:t>Fallow</w:t>
            </w:r>
            <w:r>
              <w:t xml:space="preserve"> (optical spot spraying)</w:t>
            </w:r>
          </w:p>
        </w:tc>
        <w:tc>
          <w:tcPr>
            <w:tcW w:w="1175" w:type="pct"/>
            <w:tcBorders>
              <w:top w:val="nil"/>
              <w:left w:val="nil"/>
              <w:bottom w:val="nil"/>
              <w:right w:val="nil"/>
            </w:tcBorders>
          </w:tcPr>
          <w:p w14:paraId="02CA8D28" w14:textId="11D89BD2" w:rsidR="0084776D" w:rsidRPr="00D63217" w:rsidRDefault="0084776D" w:rsidP="00643E20">
            <w:pPr>
              <w:pStyle w:val="TableText"/>
              <w:spacing w:before="0" w:after="0" w:line="240" w:lineRule="auto"/>
            </w:pPr>
            <w:r w:rsidRPr="00D63217">
              <w:t xml:space="preserve">1× </w:t>
            </w:r>
            <w:r>
              <w:t>500</w:t>
            </w:r>
            <w:r w:rsidRPr="00D63217">
              <w:t>–</w:t>
            </w:r>
            <w:r>
              <w:t>1680</w:t>
            </w:r>
            <w:r w:rsidRPr="00D63217">
              <w:t xml:space="preserve"> g ac/ha</w:t>
            </w:r>
          </w:p>
        </w:tc>
      </w:tr>
      <w:tr w:rsidR="00394F10" w:rsidRPr="00D63217" w14:paraId="11248662" w14:textId="77777777" w:rsidTr="001746DD">
        <w:trPr>
          <w:cantSplit/>
        </w:trPr>
        <w:tc>
          <w:tcPr>
            <w:tcW w:w="1217" w:type="pct"/>
            <w:vMerge/>
            <w:tcBorders>
              <w:left w:val="nil"/>
              <w:bottom w:val="nil"/>
              <w:right w:val="nil"/>
            </w:tcBorders>
          </w:tcPr>
          <w:p w14:paraId="64827725"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7C21AD51" w14:textId="32D7ED1E" w:rsidR="00643E20" w:rsidRPr="00D63217" w:rsidRDefault="000C05C7" w:rsidP="00643E20">
            <w:pPr>
              <w:pStyle w:val="TableText"/>
              <w:spacing w:before="0" w:after="0" w:line="240" w:lineRule="auto"/>
            </w:pPr>
            <w:r w:rsidRPr="00D63217">
              <w:t>Non-agricultural situations, around sheds, roadways, paths, firebreaks</w:t>
            </w:r>
          </w:p>
        </w:tc>
        <w:tc>
          <w:tcPr>
            <w:tcW w:w="1175" w:type="pct"/>
            <w:tcBorders>
              <w:top w:val="nil"/>
              <w:left w:val="nil"/>
              <w:bottom w:val="nil"/>
              <w:right w:val="nil"/>
            </w:tcBorders>
          </w:tcPr>
          <w:p w14:paraId="3302E554" w14:textId="2658B7CF" w:rsidR="00643E20" w:rsidRPr="00D63217" w:rsidRDefault="00643E20" w:rsidP="00643E20">
            <w:pPr>
              <w:pStyle w:val="TableText"/>
              <w:spacing w:before="0" w:after="0" w:line="240" w:lineRule="auto"/>
            </w:pPr>
            <w:r w:rsidRPr="00D63217">
              <w:t>1× 300</w:t>
            </w:r>
            <w:r w:rsidR="00C83254" w:rsidRPr="00D63217">
              <w:t>–</w:t>
            </w:r>
            <w:r w:rsidR="0084776D">
              <w:t>850</w:t>
            </w:r>
            <w:r w:rsidR="0084776D" w:rsidRPr="00D63217">
              <w:t xml:space="preserve"> </w:t>
            </w:r>
            <w:r w:rsidRPr="00D63217">
              <w:t>g ac/ha</w:t>
            </w:r>
          </w:p>
        </w:tc>
      </w:tr>
      <w:tr w:rsidR="00394F10" w:rsidRPr="00D63217" w14:paraId="6AD8CA26" w14:textId="77777777" w:rsidTr="001746DD">
        <w:trPr>
          <w:cantSplit/>
        </w:trPr>
        <w:tc>
          <w:tcPr>
            <w:tcW w:w="1217" w:type="pct"/>
            <w:tcBorders>
              <w:top w:val="nil"/>
              <w:left w:val="nil"/>
              <w:bottom w:val="nil"/>
              <w:right w:val="nil"/>
            </w:tcBorders>
          </w:tcPr>
          <w:p w14:paraId="4144204A"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6D9783AF" w14:textId="77777777" w:rsidR="00643E20" w:rsidRPr="00D63217" w:rsidRDefault="00643E20" w:rsidP="00643E20">
            <w:pPr>
              <w:pStyle w:val="TableText"/>
              <w:spacing w:before="0" w:after="0" w:line="240" w:lineRule="auto"/>
            </w:pPr>
            <w:r w:rsidRPr="00D63217">
              <w:t>Orchards, vineyards</w:t>
            </w:r>
          </w:p>
        </w:tc>
        <w:tc>
          <w:tcPr>
            <w:tcW w:w="1175" w:type="pct"/>
            <w:tcBorders>
              <w:top w:val="nil"/>
              <w:left w:val="nil"/>
              <w:bottom w:val="nil"/>
              <w:right w:val="nil"/>
            </w:tcBorders>
          </w:tcPr>
          <w:p w14:paraId="68A3B161" w14:textId="1C4917F1" w:rsidR="00643E20" w:rsidRPr="00D63217" w:rsidRDefault="00643E20" w:rsidP="00643E20">
            <w:pPr>
              <w:pStyle w:val="TableText"/>
              <w:spacing w:before="0" w:after="0" w:line="240" w:lineRule="auto"/>
            </w:pPr>
            <w:r w:rsidRPr="00D63217">
              <w:t xml:space="preserve">1× </w:t>
            </w:r>
            <w:r w:rsidR="0084776D">
              <w:t>300</w:t>
            </w:r>
            <w:r w:rsidR="00C83254" w:rsidRPr="00D63217">
              <w:t>–</w:t>
            </w:r>
            <w:r w:rsidR="0084776D">
              <w:t>600</w:t>
            </w:r>
            <w:r w:rsidR="0084776D" w:rsidRPr="00D63217">
              <w:t xml:space="preserve"> </w:t>
            </w:r>
            <w:r w:rsidRPr="00D63217">
              <w:t>g ac/ha</w:t>
            </w:r>
          </w:p>
        </w:tc>
      </w:tr>
      <w:tr w:rsidR="00394F10" w:rsidRPr="00D63217" w14:paraId="55C5B337" w14:textId="77777777" w:rsidTr="001746DD">
        <w:trPr>
          <w:cantSplit/>
        </w:trPr>
        <w:tc>
          <w:tcPr>
            <w:tcW w:w="1217" w:type="pct"/>
            <w:tcBorders>
              <w:top w:val="nil"/>
              <w:left w:val="nil"/>
              <w:bottom w:val="nil"/>
              <w:right w:val="nil"/>
            </w:tcBorders>
          </w:tcPr>
          <w:p w14:paraId="19D013EF" w14:textId="77777777" w:rsidR="00643E20" w:rsidRPr="00D63217" w:rsidRDefault="00643E20" w:rsidP="00643E20">
            <w:pPr>
              <w:pStyle w:val="TableText"/>
              <w:spacing w:before="0" w:after="0" w:line="240" w:lineRule="auto"/>
            </w:pPr>
          </w:p>
        </w:tc>
        <w:tc>
          <w:tcPr>
            <w:tcW w:w="2608" w:type="pct"/>
            <w:tcBorders>
              <w:top w:val="nil"/>
              <w:left w:val="nil"/>
              <w:bottom w:val="nil"/>
              <w:right w:val="nil"/>
            </w:tcBorders>
          </w:tcPr>
          <w:p w14:paraId="5E9982AD" w14:textId="77777777" w:rsidR="00643E20" w:rsidRPr="00D63217" w:rsidRDefault="00643E20" w:rsidP="00643E20">
            <w:pPr>
              <w:pStyle w:val="TableText"/>
              <w:spacing w:before="0" w:after="0" w:line="240" w:lineRule="auto"/>
            </w:pPr>
            <w:r w:rsidRPr="00D63217">
              <w:t>Potatoes</w:t>
            </w:r>
          </w:p>
        </w:tc>
        <w:tc>
          <w:tcPr>
            <w:tcW w:w="1175" w:type="pct"/>
            <w:tcBorders>
              <w:top w:val="nil"/>
              <w:left w:val="nil"/>
              <w:bottom w:val="nil"/>
              <w:right w:val="nil"/>
            </w:tcBorders>
          </w:tcPr>
          <w:p w14:paraId="4237124C" w14:textId="13414B46" w:rsidR="00643E20" w:rsidRPr="00D63217" w:rsidRDefault="00643E20" w:rsidP="00643E20">
            <w:pPr>
              <w:pStyle w:val="TableText"/>
              <w:spacing w:before="0" w:after="0" w:line="240" w:lineRule="auto"/>
            </w:pPr>
            <w:r w:rsidRPr="00D63217">
              <w:t>1× 525 g ac/ha</w:t>
            </w:r>
          </w:p>
        </w:tc>
      </w:tr>
      <w:tr w:rsidR="00394F10" w:rsidRPr="00D63217" w14:paraId="2C48431B" w14:textId="77777777" w:rsidTr="001746DD">
        <w:trPr>
          <w:cantSplit/>
        </w:trPr>
        <w:tc>
          <w:tcPr>
            <w:tcW w:w="1217" w:type="pct"/>
            <w:tcBorders>
              <w:top w:val="nil"/>
              <w:left w:val="nil"/>
              <w:bottom w:val="single" w:sz="4" w:space="0" w:color="auto"/>
              <w:right w:val="nil"/>
            </w:tcBorders>
          </w:tcPr>
          <w:p w14:paraId="1C793B5F" w14:textId="77777777" w:rsidR="00643E20" w:rsidRPr="00D63217" w:rsidRDefault="00643E20" w:rsidP="00643E20">
            <w:pPr>
              <w:pStyle w:val="TableText"/>
              <w:spacing w:before="0" w:after="0" w:line="240" w:lineRule="auto"/>
            </w:pPr>
          </w:p>
        </w:tc>
        <w:tc>
          <w:tcPr>
            <w:tcW w:w="2608" w:type="pct"/>
            <w:tcBorders>
              <w:top w:val="nil"/>
              <w:left w:val="nil"/>
              <w:bottom w:val="single" w:sz="4" w:space="0" w:color="auto"/>
              <w:right w:val="nil"/>
            </w:tcBorders>
          </w:tcPr>
          <w:p w14:paraId="71E75EAF" w14:textId="01DD7270" w:rsidR="00643E20" w:rsidRPr="00D63217" w:rsidRDefault="00643E20" w:rsidP="00643E20">
            <w:pPr>
              <w:pStyle w:val="TableText"/>
              <w:spacing w:before="0" w:after="0" w:line="240" w:lineRule="auto"/>
            </w:pPr>
            <w:r w:rsidRPr="00D63217">
              <w:t>Pasture</w:t>
            </w:r>
            <w:r w:rsidR="00F16080" w:rsidRPr="00D63217">
              <w:t>, including hay freezing and spray topping</w:t>
            </w:r>
          </w:p>
        </w:tc>
        <w:tc>
          <w:tcPr>
            <w:tcW w:w="1175" w:type="pct"/>
            <w:tcBorders>
              <w:top w:val="nil"/>
              <w:left w:val="nil"/>
              <w:bottom w:val="single" w:sz="4" w:space="0" w:color="auto"/>
              <w:right w:val="nil"/>
            </w:tcBorders>
          </w:tcPr>
          <w:p w14:paraId="54286219" w14:textId="4AF16FAE" w:rsidR="00643E20" w:rsidRPr="00D63217" w:rsidRDefault="00643E20" w:rsidP="00643E20">
            <w:pPr>
              <w:pStyle w:val="TableText"/>
              <w:spacing w:before="0" w:after="0" w:line="240" w:lineRule="auto"/>
            </w:pPr>
            <w:r w:rsidRPr="00D63217">
              <w:t>1× 75</w:t>
            </w:r>
            <w:r w:rsidR="00C83254" w:rsidRPr="00D63217">
              <w:t>–</w:t>
            </w:r>
            <w:r w:rsidR="0084776D">
              <w:t>300</w:t>
            </w:r>
            <w:r w:rsidRPr="00D63217">
              <w:t xml:space="preserve"> g ac/ha</w:t>
            </w:r>
          </w:p>
        </w:tc>
      </w:tr>
    </w:tbl>
    <w:p w14:paraId="3B3CEC9F" w14:textId="77777777" w:rsidR="005F322A" w:rsidRPr="00FF5F7A" w:rsidRDefault="005F322A" w:rsidP="00FF5F7A">
      <w:pPr>
        <w:pStyle w:val="Heading2"/>
      </w:pPr>
      <w:bookmarkStart w:id="460" w:name="_Toc156980624"/>
      <w:bookmarkStart w:id="461" w:name="_Toc157602755"/>
      <w:bookmarkStart w:id="462" w:name="_Toc231480910"/>
      <w:bookmarkStart w:id="463" w:name="_Toc233036462"/>
      <w:bookmarkEnd w:id="457"/>
      <w:bookmarkEnd w:id="458"/>
      <w:bookmarkEnd w:id="459"/>
      <w:r w:rsidRPr="00FF5F7A">
        <w:t>Fate and behaviour in the environment</w:t>
      </w:r>
      <w:bookmarkEnd w:id="460"/>
      <w:bookmarkEnd w:id="461"/>
      <w:bookmarkEnd w:id="462"/>
      <w:bookmarkEnd w:id="463"/>
    </w:p>
    <w:p w14:paraId="6AAD6583" w14:textId="19EEB3FC" w:rsidR="00BC35D3" w:rsidRPr="001A7E71" w:rsidRDefault="00BC35D3" w:rsidP="00FF5F7A">
      <w:pPr>
        <w:pStyle w:val="NormalText"/>
      </w:pPr>
      <w:r w:rsidRPr="00BC35D3">
        <w:t>Paraquat’s behaviour in soil has been well studied</w:t>
      </w:r>
      <w:r w:rsidR="009D323F">
        <w:t xml:space="preserve"> –</w:t>
      </w:r>
      <w:r w:rsidR="009761E3">
        <w:t xml:space="preserve"> </w:t>
      </w:r>
      <w:r w:rsidRPr="00BC35D3">
        <w:t>see</w:t>
      </w:r>
      <w:r w:rsidR="009D323F">
        <w:t>,</w:t>
      </w:r>
      <w:r w:rsidRPr="00BC35D3">
        <w:t xml:space="preserve"> </w:t>
      </w:r>
      <w:r w:rsidR="009D323F">
        <w:t>e.g.</w:t>
      </w:r>
      <w:r w:rsidR="009D323F" w:rsidRPr="00BC35D3">
        <w:t xml:space="preserve">, </w:t>
      </w:r>
      <w:r w:rsidRPr="00BC35D3">
        <w:t xml:space="preserve">reviews </w:t>
      </w:r>
      <w:r w:rsidR="009D323F">
        <w:t>by</w:t>
      </w:r>
      <w:r w:rsidRPr="00BC35D3">
        <w:t xml:space="preserve"> Sartori &amp; Vidrio (2018) and Roberts et al (2002) for a more expansive discussion of the available literature. Paraquat</w:t>
      </w:r>
      <w:r w:rsidRPr="001A7E71">
        <w:t xml:space="preserve"> is very persistent and non-mobile in soil with low risk of leaching to groundwater. </w:t>
      </w:r>
      <w:r w:rsidRPr="00872A0F">
        <w:t xml:space="preserve">However, the behaviour of paraquat once it exceeds the absorption capacity of soil </w:t>
      </w:r>
      <w:r>
        <w:t xml:space="preserve">is </w:t>
      </w:r>
      <w:r w:rsidR="0013021D">
        <w:t xml:space="preserve">less </w:t>
      </w:r>
      <w:r>
        <w:t>certain</w:t>
      </w:r>
      <w:r w:rsidRPr="00872A0F">
        <w:t>. For soils with ≤10% clay content</w:t>
      </w:r>
      <w:r>
        <w:t>, for which the absorption capacity is likely to be relatively low,</w:t>
      </w:r>
      <w:r w:rsidRPr="00872A0F">
        <w:t xml:space="preserve"> the</w:t>
      </w:r>
      <w:r w:rsidR="009D323F">
        <w:t xml:space="preserve"> first</w:t>
      </w:r>
      <w:r w:rsidRPr="00872A0F">
        <w:t xml:space="preserve"> </w:t>
      </w:r>
      <w:r w:rsidR="009D323F">
        <w:t>(</w:t>
      </w:r>
      <w:r w:rsidRPr="00872A0F">
        <w:t>1.0</w:t>
      </w:r>
      <w:r w:rsidR="009D323F" w:rsidRPr="009D323F">
        <w:rPr>
          <w:vertAlign w:val="superscript"/>
        </w:rPr>
        <w:t>th</w:t>
      </w:r>
      <w:r w:rsidR="009D323F">
        <w:t>)</w:t>
      </w:r>
      <w:r w:rsidRPr="00872A0F">
        <w:t xml:space="preserve"> and 10</w:t>
      </w:r>
      <w:r w:rsidRPr="00872A0F">
        <w:rPr>
          <w:vertAlign w:val="superscript"/>
        </w:rPr>
        <w:t>th</w:t>
      </w:r>
      <w:r w:rsidRPr="00872A0F">
        <w:t xml:space="preserve"> percentile K</w:t>
      </w:r>
      <w:r w:rsidRPr="00872A0F">
        <w:rPr>
          <w:vertAlign w:val="subscript"/>
        </w:rPr>
        <w:t>d</w:t>
      </w:r>
      <w:r w:rsidRPr="00872A0F">
        <w:t xml:space="preserve"> values are 1100 and 2250 mL/g, respectively.</w:t>
      </w:r>
    </w:p>
    <w:p w14:paraId="191C54D1" w14:textId="2B8C2611" w:rsidR="00BC35D3" w:rsidRPr="001A7E71" w:rsidRDefault="00BC35D3" w:rsidP="00FF5F7A">
      <w:pPr>
        <w:pStyle w:val="NormalText"/>
      </w:pPr>
      <w:bookmarkStart w:id="464" w:name="_Hlk157248783"/>
      <w:r w:rsidRPr="001A7E71">
        <w:lastRenderedPageBreak/>
        <w:t>A reliable definitive DT</w:t>
      </w:r>
      <w:r w:rsidRPr="001A7E71">
        <w:rPr>
          <w:vertAlign w:val="subscript"/>
        </w:rPr>
        <w:t>50</w:t>
      </w:r>
      <w:r w:rsidRPr="001A7E71">
        <w:t xml:space="preserve"> value for degradation in soil is not available. Therefore, the default DT</w:t>
      </w:r>
      <w:r w:rsidRPr="001A7E71">
        <w:rPr>
          <w:vertAlign w:val="subscript"/>
        </w:rPr>
        <w:t>50</w:t>
      </w:r>
      <w:r w:rsidRPr="001A7E71">
        <w:t xml:space="preserve"> for persistent substances (1000 days) </w:t>
      </w:r>
      <w:r w:rsidR="009D323F">
        <w:t xml:space="preserve">is used </w:t>
      </w:r>
      <w:r w:rsidRPr="001A7E71">
        <w:t xml:space="preserve">for risk assessment; this </w:t>
      </w:r>
      <w:r>
        <w:t>will</w:t>
      </w:r>
      <w:r w:rsidRPr="001A7E71">
        <w:t xml:space="preserve"> underestimate the persistence of strongly bound residues but is considered reasonably conservative for residues that </w:t>
      </w:r>
      <w:r>
        <w:t>are</w:t>
      </w:r>
      <w:r w:rsidRPr="001A7E71">
        <w:t xml:space="preserve"> biologically available.</w:t>
      </w:r>
    </w:p>
    <w:bookmarkEnd w:id="464"/>
    <w:p w14:paraId="6EEEA3EC" w14:textId="7CDF33EF" w:rsidR="00BC35D3" w:rsidRPr="001A7E71" w:rsidRDefault="00BC35D3" w:rsidP="00FF5F7A">
      <w:pPr>
        <w:pStyle w:val="NormalText"/>
      </w:pPr>
      <w:r w:rsidRPr="001A7E71">
        <w:t xml:space="preserve">In aquatic systems, paraquat is highly soluble, but partitions rapidly to the sediment where it is strongly sorbs and is very persistent. </w:t>
      </w:r>
      <w:bookmarkStart w:id="465" w:name="_Hlk157249136"/>
      <w:r w:rsidRPr="001A7E71">
        <w:t>Therefore, as for soil, the default DT</w:t>
      </w:r>
      <w:r w:rsidRPr="001A7E71">
        <w:rPr>
          <w:vertAlign w:val="subscript"/>
        </w:rPr>
        <w:t>50</w:t>
      </w:r>
      <w:r w:rsidRPr="001A7E71">
        <w:t xml:space="preserve"> </w:t>
      </w:r>
      <w:r w:rsidR="0041791E">
        <w:t xml:space="preserve">of </w:t>
      </w:r>
      <w:r w:rsidRPr="001A7E71">
        <w:t xml:space="preserve">1000 days for persistent substances is </w:t>
      </w:r>
      <w:r w:rsidR="0041791E">
        <w:t xml:space="preserve">used </w:t>
      </w:r>
      <w:r w:rsidRPr="001A7E71">
        <w:t>for sediment. The maximum directly measured K</w:t>
      </w:r>
      <w:r w:rsidRPr="001A7E71">
        <w:rPr>
          <w:vertAlign w:val="subscript"/>
        </w:rPr>
        <w:t>d</w:t>
      </w:r>
      <w:r w:rsidRPr="001A7E71">
        <w:t xml:space="preserve"> from the dataset for soil (i.e. 50000 mL/g) is proposed as a conservative estimate for predicting sediment concentrations of paraquat</w:t>
      </w:r>
      <w:r>
        <w:t xml:space="preserve"> – this is not reflective of any particular assumption about the sediment, </w:t>
      </w:r>
      <w:r w:rsidR="0041791E">
        <w:t>bu</w:t>
      </w:r>
      <w:r>
        <w:t>t is simply a conservative value to ensure the model predicts that paraquat is largely associated with the sediment</w:t>
      </w:r>
      <w:r w:rsidRPr="001A7E71">
        <w:t>.</w:t>
      </w:r>
      <w:bookmarkEnd w:id="465"/>
      <w:r w:rsidRPr="001A7E71">
        <w:t xml:space="preserve"> Based on the behaviour of paraquat in chironomid toxicity tests (</w:t>
      </w:r>
      <w:r w:rsidRPr="00780BB4">
        <w:t>Hamer &amp; Ashwell 1997</w:t>
      </w:r>
      <w:r w:rsidRPr="001A7E71">
        <w:t>), it is considered reasonably conservative to assume a DT</w:t>
      </w:r>
      <w:r w:rsidRPr="001A7E71">
        <w:rPr>
          <w:vertAlign w:val="subscript"/>
        </w:rPr>
        <w:t>50</w:t>
      </w:r>
      <w:r w:rsidRPr="001A7E71">
        <w:t xml:space="preserve"> of 7</w:t>
      </w:r>
      <w:r w:rsidR="00AA049B">
        <w:t>.0</w:t>
      </w:r>
      <w:r w:rsidRPr="001A7E71">
        <w:t xml:space="preserve"> days for dissipation from the water phase.</w:t>
      </w:r>
    </w:p>
    <w:p w14:paraId="5413984F" w14:textId="252B813F" w:rsidR="00BC35D3" w:rsidRPr="001A7E71" w:rsidRDefault="005A0EA6" w:rsidP="00FF5F7A">
      <w:pPr>
        <w:pStyle w:val="NormalText"/>
      </w:pPr>
      <w:r>
        <w:t>Paraquat</w:t>
      </w:r>
      <w:r w:rsidR="00BC35D3" w:rsidRPr="001A7E71">
        <w:t xml:space="preserve"> </w:t>
      </w:r>
      <w:r w:rsidR="00DB6E6C">
        <w:t xml:space="preserve">has a reported vapour pressure of </w:t>
      </w:r>
      <w:r w:rsidR="00CD4226">
        <w:t>5.3 10</w:t>
      </w:r>
      <w:r w:rsidR="00CD4226" w:rsidRPr="00CD4226">
        <w:rPr>
          <w:vertAlign w:val="superscript"/>
        </w:rPr>
        <w:t>-4</w:t>
      </w:r>
      <w:r w:rsidR="00DB6E6C">
        <w:t xml:space="preserve"> </w:t>
      </w:r>
      <w:r w:rsidR="00CD4226">
        <w:t>(25°C)</w:t>
      </w:r>
      <w:r w:rsidR="00BC35D3" w:rsidRPr="001A7E71">
        <w:t xml:space="preserve"> </w:t>
      </w:r>
      <w:r w:rsidR="00CD4226">
        <w:t>(</w:t>
      </w:r>
      <w:r w:rsidR="00CD4226" w:rsidRPr="00BF5259">
        <w:rPr>
          <w:rFonts w:eastAsiaTheme="minorEastAsia"/>
          <w:kern w:val="0"/>
          <w:szCs w:val="19"/>
        </w:rPr>
        <w:t>Markell A, 2023</w:t>
      </w:r>
      <w:r w:rsidR="00CD4226">
        <w:rPr>
          <w:rFonts w:eastAsiaTheme="minorEastAsia"/>
          <w:kern w:val="0"/>
          <w:szCs w:val="19"/>
        </w:rPr>
        <w:t>)</w:t>
      </w:r>
      <w:r w:rsidR="00CD4226" w:rsidRPr="00BF5259">
        <w:rPr>
          <w:rFonts w:eastAsiaTheme="minorEastAsia"/>
          <w:kern w:val="0"/>
          <w:szCs w:val="19"/>
        </w:rPr>
        <w:t xml:space="preserve"> </w:t>
      </w:r>
      <w:r w:rsidR="00BC35D3" w:rsidRPr="001A7E71">
        <w:t xml:space="preserve">and is </w:t>
      </w:r>
      <w:r w:rsidR="008E6ED0">
        <w:t xml:space="preserve">considered </w:t>
      </w:r>
      <w:r w:rsidR="00BC35D3" w:rsidRPr="001A7E71">
        <w:t>unlikely to be subject to long-range atmospheric transport.</w:t>
      </w:r>
    </w:p>
    <w:p w14:paraId="0EC6E70B" w14:textId="4218D9E1" w:rsidR="00BC35D3" w:rsidRPr="001A7E71" w:rsidRDefault="00BC35D3" w:rsidP="00FF5F7A">
      <w:pPr>
        <w:pStyle w:val="NormalText"/>
      </w:pPr>
      <w:r w:rsidRPr="001A7E71">
        <w:t>Available residue data indicate paraquat dissipates more rapidly in insects than assumed by default for animal food items. The most conservative reliable DT</w:t>
      </w:r>
      <w:r w:rsidRPr="001A7E71">
        <w:rPr>
          <w:vertAlign w:val="subscript"/>
        </w:rPr>
        <w:t>50</w:t>
      </w:r>
      <w:r w:rsidRPr="001A7E71">
        <w:t xml:space="preserve"> of 4.6 days is </w:t>
      </w:r>
      <w:r w:rsidR="008E6ED0">
        <w:t>u</w:t>
      </w:r>
      <w:r w:rsidRPr="001A7E71">
        <w:t>sed for predicting paraquat concentrations in insects.</w:t>
      </w:r>
    </w:p>
    <w:p w14:paraId="2348577F" w14:textId="0B54EFCE" w:rsidR="005F322A" w:rsidRPr="00D63217" w:rsidRDefault="005F322A" w:rsidP="005F322A">
      <w:pPr>
        <w:pStyle w:val="NormalText"/>
      </w:pPr>
      <w:r w:rsidRPr="00D63217">
        <w:t>The key regulatory endpoints for the environmental exposure assessment are summarised in</w:t>
      </w:r>
      <w:r w:rsidR="00783D18">
        <w:t xml:space="preserve"> </w:t>
      </w:r>
      <w:r w:rsidR="00783D18">
        <w:fldChar w:fldCharType="begin"/>
      </w:r>
      <w:r w:rsidR="00783D18">
        <w:instrText xml:space="preserve"> REF _Ref158983440 \h </w:instrText>
      </w:r>
      <w:r w:rsidR="00783D18">
        <w:fldChar w:fldCharType="separate"/>
      </w:r>
      <w:r w:rsidR="008A397D" w:rsidRPr="00D63217">
        <w:t xml:space="preserve">Table </w:t>
      </w:r>
      <w:r w:rsidR="008A397D">
        <w:rPr>
          <w:noProof/>
        </w:rPr>
        <w:t>28</w:t>
      </w:r>
      <w:r w:rsidR="00783D18">
        <w:fldChar w:fldCharType="end"/>
      </w:r>
      <w:r w:rsidRPr="00D63217">
        <w:t>. A full listing of endpoints is provided in Appendix B.</w:t>
      </w:r>
    </w:p>
    <w:p w14:paraId="22D4240A" w14:textId="17227B1A" w:rsidR="005F322A" w:rsidRPr="00FF5F7A" w:rsidRDefault="005F322A" w:rsidP="00FF5F7A">
      <w:pPr>
        <w:pStyle w:val="Caption"/>
      </w:pPr>
      <w:bookmarkStart w:id="466" w:name="_Ref158983440"/>
      <w:bookmarkStart w:id="467" w:name="_Ref158983431"/>
      <w:bookmarkStart w:id="468" w:name="_Toc230692294"/>
      <w:bookmarkStart w:id="469" w:name="_Toc233036515"/>
      <w:r w:rsidRPr="00FF5F7A">
        <w:t xml:space="preserve">Table </w:t>
      </w:r>
      <w:fldSimple w:instr=" SEQ Table \* ARABIC ">
        <w:r w:rsidR="00FF5F7A">
          <w:rPr>
            <w:noProof/>
          </w:rPr>
          <w:t>28</w:t>
        </w:r>
      </w:fldSimple>
      <w:bookmarkEnd w:id="466"/>
      <w:r w:rsidRPr="00FF5F7A">
        <w:t xml:space="preserve">: </w:t>
      </w:r>
      <w:r w:rsidR="00065499" w:rsidRPr="00FF5F7A">
        <w:t xml:space="preserve">Paraquat – </w:t>
      </w:r>
      <w:r w:rsidRPr="00FF5F7A">
        <w:t>Key regulatory endpoints for exposure assessment</w:t>
      </w:r>
      <w:bookmarkEnd w:id="467"/>
      <w:bookmarkEnd w:id="468"/>
      <w:bookmarkEnd w:id="4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7"/>
        <w:gridCol w:w="3686"/>
        <w:gridCol w:w="3395"/>
      </w:tblGrid>
      <w:tr w:rsidR="005F322A" w:rsidRPr="002D2EBC" w14:paraId="7646BB20" w14:textId="77777777" w:rsidTr="005F322A">
        <w:trPr>
          <w:cantSplit/>
          <w:tblHeader/>
        </w:trPr>
        <w:tc>
          <w:tcPr>
            <w:tcW w:w="1323" w:type="pct"/>
            <w:tcBorders>
              <w:bottom w:val="single" w:sz="4" w:space="0" w:color="auto"/>
            </w:tcBorders>
            <w:shd w:val="clear" w:color="auto" w:fill="5C2946"/>
          </w:tcPr>
          <w:p w14:paraId="3F775173" w14:textId="77777777" w:rsidR="005F322A" w:rsidRPr="00FF5F7A" w:rsidRDefault="005F322A" w:rsidP="00FF5F7A">
            <w:pPr>
              <w:pStyle w:val="TableHead"/>
            </w:pPr>
            <w:r w:rsidRPr="00FF5F7A">
              <w:t>Compartment</w:t>
            </w:r>
          </w:p>
        </w:tc>
        <w:tc>
          <w:tcPr>
            <w:tcW w:w="1914" w:type="pct"/>
            <w:tcBorders>
              <w:bottom w:val="single" w:sz="4" w:space="0" w:color="auto"/>
            </w:tcBorders>
            <w:shd w:val="clear" w:color="auto" w:fill="5C2946"/>
          </w:tcPr>
          <w:p w14:paraId="5F7C7CFF" w14:textId="77777777" w:rsidR="005F322A" w:rsidRPr="00FF5F7A" w:rsidRDefault="005F322A" w:rsidP="00FF5F7A">
            <w:pPr>
              <w:pStyle w:val="TableHead"/>
            </w:pPr>
            <w:r w:rsidRPr="00FF5F7A">
              <w:t>Value</w:t>
            </w:r>
          </w:p>
        </w:tc>
        <w:tc>
          <w:tcPr>
            <w:tcW w:w="1763" w:type="pct"/>
            <w:tcBorders>
              <w:bottom w:val="single" w:sz="4" w:space="0" w:color="auto"/>
            </w:tcBorders>
            <w:shd w:val="clear" w:color="auto" w:fill="5C2946"/>
          </w:tcPr>
          <w:p w14:paraId="45D422C5" w14:textId="77777777" w:rsidR="005F322A" w:rsidRPr="00FF5F7A" w:rsidRDefault="005F322A" w:rsidP="00FF5F7A">
            <w:pPr>
              <w:pStyle w:val="TableHead"/>
            </w:pPr>
            <w:r w:rsidRPr="00FF5F7A">
              <w:t>Reference</w:t>
            </w:r>
          </w:p>
        </w:tc>
      </w:tr>
      <w:tr w:rsidR="005F322A" w:rsidRPr="002D2EBC" w14:paraId="3E2A4D56" w14:textId="77777777" w:rsidTr="00BF4B43">
        <w:trPr>
          <w:cantSplit/>
        </w:trPr>
        <w:tc>
          <w:tcPr>
            <w:tcW w:w="1323" w:type="pct"/>
            <w:tcBorders>
              <w:left w:val="nil"/>
              <w:bottom w:val="nil"/>
              <w:right w:val="nil"/>
            </w:tcBorders>
          </w:tcPr>
          <w:p w14:paraId="1285B97B" w14:textId="77777777" w:rsidR="005F322A" w:rsidRPr="002D2EBC" w:rsidRDefault="005F322A" w:rsidP="00065499">
            <w:pPr>
              <w:pStyle w:val="TableText"/>
              <w:spacing w:before="0" w:after="0" w:line="240" w:lineRule="auto"/>
              <w:rPr>
                <w:lang w:eastAsia="en-AU"/>
              </w:rPr>
            </w:pPr>
            <w:r w:rsidRPr="002D2EBC">
              <w:rPr>
                <w:lang w:eastAsia="en-AU"/>
              </w:rPr>
              <w:t>Animal food items</w:t>
            </w:r>
          </w:p>
        </w:tc>
        <w:tc>
          <w:tcPr>
            <w:tcW w:w="1914" w:type="pct"/>
            <w:tcBorders>
              <w:left w:val="nil"/>
              <w:bottom w:val="nil"/>
              <w:right w:val="nil"/>
            </w:tcBorders>
          </w:tcPr>
          <w:p w14:paraId="62FE2F2A" w14:textId="428DEA30" w:rsidR="005F322A" w:rsidRPr="002D2EBC" w:rsidRDefault="005F322A" w:rsidP="001746DD">
            <w:pPr>
              <w:pStyle w:val="TableText"/>
              <w:spacing w:before="0" w:after="0" w:line="240" w:lineRule="auto"/>
              <w:rPr>
                <w:lang w:eastAsia="en-AU"/>
              </w:rPr>
            </w:pPr>
            <w:r w:rsidRPr="002D2EBC">
              <w:rPr>
                <w:lang w:eastAsia="en-AU"/>
              </w:rPr>
              <w:t>Foliage:</w:t>
            </w:r>
            <w:r w:rsidRPr="002D2EBC">
              <w:rPr>
                <w:lang w:eastAsia="en-AU"/>
              </w:rPr>
              <w:tab/>
              <w:t>DT</w:t>
            </w:r>
            <w:r w:rsidRPr="002D2EBC">
              <w:rPr>
                <w:vertAlign w:val="subscript"/>
                <w:lang w:eastAsia="en-AU"/>
              </w:rPr>
              <w:t>50</w:t>
            </w:r>
            <w:r w:rsidRPr="002D2EBC">
              <w:rPr>
                <w:lang w:eastAsia="en-AU"/>
              </w:rPr>
              <w:t xml:space="preserve"> 10 d</w:t>
            </w:r>
            <w:r w:rsidR="001746DD" w:rsidRPr="002D2EBC">
              <w:rPr>
                <w:lang w:eastAsia="en-AU"/>
              </w:rPr>
              <w:br/>
            </w:r>
            <w:r w:rsidRPr="002D2EBC">
              <w:rPr>
                <w:lang w:eastAsia="en-AU"/>
              </w:rPr>
              <w:t>Seeds:</w:t>
            </w:r>
            <w:r w:rsidRPr="002D2EBC">
              <w:rPr>
                <w:lang w:eastAsia="en-AU"/>
              </w:rPr>
              <w:tab/>
            </w:r>
            <w:r w:rsidR="00783D18" w:rsidRPr="002D2EBC">
              <w:rPr>
                <w:lang w:eastAsia="en-AU"/>
              </w:rPr>
              <w:tab/>
            </w:r>
            <w:r w:rsidRPr="002D2EBC">
              <w:rPr>
                <w:lang w:eastAsia="en-AU"/>
              </w:rPr>
              <w:t>DT</w:t>
            </w:r>
            <w:r w:rsidRPr="002D2EBC">
              <w:rPr>
                <w:vertAlign w:val="subscript"/>
                <w:lang w:eastAsia="en-AU"/>
              </w:rPr>
              <w:t>50</w:t>
            </w:r>
            <w:r w:rsidRPr="002D2EBC">
              <w:rPr>
                <w:lang w:eastAsia="en-AU"/>
              </w:rPr>
              <w:t xml:space="preserve"> 10 d</w:t>
            </w:r>
          </w:p>
        </w:tc>
        <w:tc>
          <w:tcPr>
            <w:tcW w:w="1763" w:type="pct"/>
            <w:tcBorders>
              <w:left w:val="nil"/>
              <w:bottom w:val="nil"/>
              <w:right w:val="nil"/>
            </w:tcBorders>
          </w:tcPr>
          <w:p w14:paraId="4C6447FB" w14:textId="77777777" w:rsidR="005F322A" w:rsidRPr="002D2EBC" w:rsidRDefault="005F322A" w:rsidP="00065499">
            <w:pPr>
              <w:pStyle w:val="TableText"/>
              <w:spacing w:before="0" w:after="0" w:line="240" w:lineRule="auto"/>
              <w:rPr>
                <w:lang w:eastAsia="en-AU"/>
              </w:rPr>
            </w:pPr>
            <w:r w:rsidRPr="002D2EBC">
              <w:rPr>
                <w:lang w:eastAsia="en-AU"/>
              </w:rPr>
              <w:t>Default</w:t>
            </w:r>
          </w:p>
        </w:tc>
      </w:tr>
      <w:tr w:rsidR="005F322A" w:rsidRPr="002D2EBC" w14:paraId="1E03A851" w14:textId="77777777" w:rsidTr="00783D18">
        <w:trPr>
          <w:cantSplit/>
        </w:trPr>
        <w:tc>
          <w:tcPr>
            <w:tcW w:w="1323" w:type="pct"/>
            <w:tcBorders>
              <w:top w:val="nil"/>
              <w:left w:val="nil"/>
              <w:bottom w:val="single" w:sz="4" w:space="0" w:color="auto"/>
              <w:right w:val="nil"/>
            </w:tcBorders>
          </w:tcPr>
          <w:p w14:paraId="77E5BE52" w14:textId="77777777" w:rsidR="005F322A" w:rsidRPr="002D2EBC" w:rsidDel="00E74276" w:rsidRDefault="005F322A" w:rsidP="00065499">
            <w:pPr>
              <w:pStyle w:val="TableText"/>
              <w:spacing w:before="0" w:after="0" w:line="240" w:lineRule="auto"/>
              <w:rPr>
                <w:lang w:eastAsia="en-AU"/>
              </w:rPr>
            </w:pPr>
          </w:p>
        </w:tc>
        <w:tc>
          <w:tcPr>
            <w:tcW w:w="1914" w:type="pct"/>
            <w:tcBorders>
              <w:top w:val="nil"/>
              <w:left w:val="nil"/>
              <w:bottom w:val="single" w:sz="4" w:space="0" w:color="auto"/>
              <w:right w:val="nil"/>
            </w:tcBorders>
          </w:tcPr>
          <w:p w14:paraId="43C34713" w14:textId="77777777" w:rsidR="005F322A" w:rsidRPr="002D2EBC" w:rsidRDefault="005F322A" w:rsidP="00065499">
            <w:pPr>
              <w:pStyle w:val="TableText"/>
              <w:spacing w:before="0" w:after="0" w:line="240" w:lineRule="auto"/>
              <w:rPr>
                <w:lang w:eastAsia="en-AU"/>
              </w:rPr>
            </w:pPr>
            <w:r w:rsidRPr="002D2EBC">
              <w:rPr>
                <w:lang w:eastAsia="en-AU"/>
              </w:rPr>
              <w:t>Insects:</w:t>
            </w:r>
            <w:r w:rsidRPr="002D2EBC">
              <w:rPr>
                <w:lang w:eastAsia="en-AU"/>
              </w:rPr>
              <w:tab/>
              <w:t>DT</w:t>
            </w:r>
            <w:r w:rsidRPr="002D2EBC">
              <w:rPr>
                <w:vertAlign w:val="subscript"/>
                <w:lang w:eastAsia="en-AU"/>
              </w:rPr>
              <w:t>50</w:t>
            </w:r>
            <w:r w:rsidRPr="002D2EBC">
              <w:rPr>
                <w:lang w:eastAsia="en-AU"/>
              </w:rPr>
              <w:t xml:space="preserve"> 4.6 d</w:t>
            </w:r>
          </w:p>
        </w:tc>
        <w:tc>
          <w:tcPr>
            <w:tcW w:w="1763" w:type="pct"/>
            <w:tcBorders>
              <w:top w:val="nil"/>
              <w:left w:val="nil"/>
              <w:bottom w:val="single" w:sz="4" w:space="0" w:color="auto"/>
              <w:right w:val="nil"/>
            </w:tcBorders>
          </w:tcPr>
          <w:p w14:paraId="358A8456" w14:textId="77777777" w:rsidR="005F322A" w:rsidRPr="002D2EBC" w:rsidRDefault="005F322A" w:rsidP="00065499">
            <w:pPr>
              <w:pStyle w:val="TableText"/>
              <w:spacing w:before="0" w:after="0" w:line="240" w:lineRule="auto"/>
              <w:rPr>
                <w:lang w:eastAsia="en-AU"/>
              </w:rPr>
            </w:pPr>
            <w:r w:rsidRPr="002D2EBC">
              <w:rPr>
                <w:lang w:eastAsia="en-AU"/>
              </w:rPr>
              <w:t>Bakker 2005a, 2005b</w:t>
            </w:r>
          </w:p>
        </w:tc>
      </w:tr>
      <w:tr w:rsidR="005F322A" w:rsidRPr="002D2EBC" w14:paraId="3B34E5AC" w14:textId="77777777" w:rsidTr="00BF4B43">
        <w:trPr>
          <w:cantSplit/>
        </w:trPr>
        <w:tc>
          <w:tcPr>
            <w:tcW w:w="1323" w:type="pct"/>
            <w:tcBorders>
              <w:top w:val="single" w:sz="4" w:space="0" w:color="auto"/>
              <w:left w:val="nil"/>
              <w:bottom w:val="nil"/>
              <w:right w:val="nil"/>
            </w:tcBorders>
          </w:tcPr>
          <w:p w14:paraId="0D5CF36F" w14:textId="77777777" w:rsidR="005F322A" w:rsidRPr="002D2EBC" w:rsidRDefault="005F322A" w:rsidP="00C2168A">
            <w:pPr>
              <w:pStyle w:val="TableText"/>
              <w:keepNext/>
              <w:keepLines/>
              <w:spacing w:before="0" w:after="0" w:line="240" w:lineRule="auto"/>
              <w:rPr>
                <w:lang w:eastAsia="en-AU"/>
              </w:rPr>
            </w:pPr>
            <w:r w:rsidRPr="002D2EBC">
              <w:rPr>
                <w:lang w:eastAsia="en-AU"/>
              </w:rPr>
              <w:t>Soil</w:t>
            </w:r>
          </w:p>
        </w:tc>
        <w:tc>
          <w:tcPr>
            <w:tcW w:w="1914" w:type="pct"/>
            <w:tcBorders>
              <w:left w:val="nil"/>
              <w:bottom w:val="nil"/>
              <w:right w:val="nil"/>
            </w:tcBorders>
          </w:tcPr>
          <w:p w14:paraId="41F3B228" w14:textId="77777777" w:rsidR="005F322A" w:rsidRPr="002D2EBC" w:rsidRDefault="005F322A" w:rsidP="00C2168A">
            <w:pPr>
              <w:pStyle w:val="TableText"/>
              <w:keepNext/>
              <w:keepLines/>
              <w:spacing w:before="0" w:after="0" w:line="240" w:lineRule="auto"/>
              <w:rPr>
                <w:lang w:eastAsia="en-AU"/>
              </w:rPr>
            </w:pPr>
            <w:r w:rsidRPr="002D2EBC">
              <w:t>DT</w:t>
            </w:r>
            <w:r w:rsidRPr="002D2EBC">
              <w:rPr>
                <w:vertAlign w:val="subscript"/>
              </w:rPr>
              <w:t>50</w:t>
            </w:r>
            <w:r w:rsidRPr="002D2EBC">
              <w:t xml:space="preserve"> 1000 d </w:t>
            </w:r>
          </w:p>
        </w:tc>
        <w:tc>
          <w:tcPr>
            <w:tcW w:w="1763" w:type="pct"/>
            <w:tcBorders>
              <w:left w:val="nil"/>
              <w:bottom w:val="nil"/>
              <w:right w:val="nil"/>
            </w:tcBorders>
          </w:tcPr>
          <w:p w14:paraId="3D06714A" w14:textId="6ACB7953" w:rsidR="005F322A" w:rsidRPr="002D2EBC" w:rsidRDefault="005F322A" w:rsidP="00C2168A">
            <w:pPr>
              <w:pStyle w:val="TableText"/>
              <w:keepNext/>
              <w:keepLines/>
              <w:spacing w:before="0" w:after="0" w:line="240" w:lineRule="auto"/>
            </w:pPr>
            <w:r w:rsidRPr="002D2EBC">
              <w:t>Default for persistent substances</w:t>
            </w:r>
            <w:r w:rsidR="00783D18" w:rsidRPr="002D2EBC">
              <w:t>, for residues in solution</w:t>
            </w:r>
          </w:p>
        </w:tc>
      </w:tr>
      <w:tr w:rsidR="00783D18" w:rsidRPr="002D2EBC" w14:paraId="288E2A4F" w14:textId="77777777" w:rsidTr="00783D18">
        <w:trPr>
          <w:cantSplit/>
        </w:trPr>
        <w:tc>
          <w:tcPr>
            <w:tcW w:w="1323" w:type="pct"/>
            <w:tcBorders>
              <w:top w:val="nil"/>
              <w:left w:val="nil"/>
              <w:bottom w:val="nil"/>
              <w:right w:val="nil"/>
            </w:tcBorders>
          </w:tcPr>
          <w:p w14:paraId="74C09B5E" w14:textId="77777777" w:rsidR="00783D18" w:rsidRPr="002D2EBC" w:rsidRDefault="00783D18" w:rsidP="00C2168A">
            <w:pPr>
              <w:pStyle w:val="TableText"/>
              <w:keepNext/>
              <w:keepLines/>
              <w:spacing w:before="0" w:after="0" w:line="240" w:lineRule="auto"/>
              <w:rPr>
                <w:lang w:eastAsia="en-AU"/>
              </w:rPr>
            </w:pPr>
          </w:p>
        </w:tc>
        <w:tc>
          <w:tcPr>
            <w:tcW w:w="1914" w:type="pct"/>
            <w:tcBorders>
              <w:top w:val="nil"/>
              <w:left w:val="nil"/>
              <w:bottom w:val="nil"/>
              <w:right w:val="nil"/>
            </w:tcBorders>
          </w:tcPr>
          <w:p w14:paraId="1C1557B7" w14:textId="78A41EFE" w:rsidR="00783D18" w:rsidRPr="002D2EBC" w:rsidRDefault="00783D18" w:rsidP="00C2168A">
            <w:pPr>
              <w:pStyle w:val="TableText"/>
              <w:keepNext/>
              <w:keepLines/>
              <w:spacing w:before="0" w:after="0" w:line="240" w:lineRule="auto"/>
            </w:pPr>
            <w:r w:rsidRPr="002D2EBC">
              <w:t>DT</w:t>
            </w:r>
            <w:r w:rsidRPr="002D2EBC">
              <w:rPr>
                <w:vertAlign w:val="subscript"/>
              </w:rPr>
              <w:t>50</w:t>
            </w:r>
            <w:r w:rsidRPr="002D2EBC">
              <w:t xml:space="preserve"> 20-60 years</w:t>
            </w:r>
          </w:p>
        </w:tc>
        <w:tc>
          <w:tcPr>
            <w:tcW w:w="1763" w:type="pct"/>
            <w:tcBorders>
              <w:top w:val="nil"/>
              <w:left w:val="nil"/>
              <w:bottom w:val="nil"/>
              <w:right w:val="nil"/>
            </w:tcBorders>
          </w:tcPr>
          <w:p w14:paraId="79D2D6FA" w14:textId="5396EBBE" w:rsidR="00783D18" w:rsidRPr="002D2EBC" w:rsidRDefault="00783D18" w:rsidP="00C2168A">
            <w:pPr>
              <w:pStyle w:val="TableText"/>
              <w:keepNext/>
              <w:keepLines/>
              <w:spacing w:before="0" w:after="0" w:line="240" w:lineRule="auto"/>
            </w:pPr>
            <w:r w:rsidRPr="002D2EBC">
              <w:t>Estimate based on Dyson &amp; Chapman (1995), for residues bound to soil</w:t>
            </w:r>
          </w:p>
        </w:tc>
      </w:tr>
      <w:tr w:rsidR="00783D18" w:rsidRPr="002D2EBC" w14:paraId="473E514E" w14:textId="77777777" w:rsidTr="00783D18">
        <w:trPr>
          <w:cantSplit/>
        </w:trPr>
        <w:tc>
          <w:tcPr>
            <w:tcW w:w="1323" w:type="pct"/>
            <w:tcBorders>
              <w:top w:val="nil"/>
              <w:left w:val="nil"/>
              <w:bottom w:val="nil"/>
              <w:right w:val="nil"/>
            </w:tcBorders>
          </w:tcPr>
          <w:p w14:paraId="78097BB1" w14:textId="77777777" w:rsidR="00783D18" w:rsidRPr="002D2EBC" w:rsidRDefault="00783D18" w:rsidP="00C2168A">
            <w:pPr>
              <w:pStyle w:val="TableText"/>
              <w:keepNext/>
              <w:keepLines/>
              <w:spacing w:before="0" w:after="0" w:line="240" w:lineRule="auto"/>
              <w:rPr>
                <w:lang w:eastAsia="en-AU"/>
              </w:rPr>
            </w:pPr>
          </w:p>
        </w:tc>
        <w:tc>
          <w:tcPr>
            <w:tcW w:w="1914" w:type="pct"/>
            <w:tcBorders>
              <w:top w:val="nil"/>
              <w:left w:val="nil"/>
              <w:bottom w:val="nil"/>
              <w:right w:val="nil"/>
            </w:tcBorders>
          </w:tcPr>
          <w:p w14:paraId="4F775900" w14:textId="77777777" w:rsidR="00783D18" w:rsidRPr="002D2EBC" w:rsidRDefault="00783D18" w:rsidP="00C2168A">
            <w:pPr>
              <w:pStyle w:val="TableText"/>
              <w:keepNext/>
              <w:keepLines/>
              <w:spacing w:before="0" w:after="0" w:line="240" w:lineRule="auto"/>
            </w:pPr>
            <w:r w:rsidRPr="002D2EBC">
              <w:t>Sands:</w:t>
            </w:r>
            <w:r w:rsidRPr="002D2EBC">
              <w:tab/>
            </w:r>
            <w:r w:rsidRPr="002D2EBC">
              <w:tab/>
              <w:t>1.0</w:t>
            </w:r>
            <w:r w:rsidRPr="002D2EBC">
              <w:rPr>
                <w:vertAlign w:val="superscript"/>
              </w:rPr>
              <w:t>th</w:t>
            </w:r>
            <w:r w:rsidRPr="002D2EBC">
              <w:t xml:space="preserve"> percentile K</w:t>
            </w:r>
            <w:r w:rsidRPr="002D2EBC">
              <w:rPr>
                <w:vertAlign w:val="subscript"/>
              </w:rPr>
              <w:t>d</w:t>
            </w:r>
            <w:r w:rsidRPr="002D2EBC">
              <w:t xml:space="preserve"> 1100 mL/g</w:t>
            </w:r>
          </w:p>
          <w:p w14:paraId="6E6DE176" w14:textId="77777777" w:rsidR="00783D18" w:rsidRPr="002D2EBC" w:rsidRDefault="00783D18" w:rsidP="00C2168A">
            <w:pPr>
              <w:pStyle w:val="TableText"/>
              <w:keepNext/>
              <w:keepLines/>
              <w:spacing w:before="0" w:after="0" w:line="240" w:lineRule="auto"/>
            </w:pPr>
            <w:r w:rsidRPr="002D2EBC">
              <w:tab/>
            </w:r>
            <w:r w:rsidRPr="002D2EBC">
              <w:tab/>
              <w:t>10</w:t>
            </w:r>
            <w:r w:rsidRPr="002D2EBC">
              <w:rPr>
                <w:vertAlign w:val="superscript"/>
              </w:rPr>
              <w:t>th</w:t>
            </w:r>
            <w:r w:rsidRPr="002D2EBC">
              <w:t xml:space="preserve"> percentile K</w:t>
            </w:r>
            <w:r w:rsidRPr="002D2EBC">
              <w:rPr>
                <w:vertAlign w:val="subscript"/>
              </w:rPr>
              <w:t>d</w:t>
            </w:r>
            <w:r w:rsidRPr="002D2EBC">
              <w:t xml:space="preserve"> 2250 mL/g</w:t>
            </w:r>
          </w:p>
          <w:p w14:paraId="1EDB29AB" w14:textId="299AA0CC" w:rsidR="00783D18" w:rsidRPr="002D2EBC" w:rsidRDefault="00783D18" w:rsidP="00C2168A">
            <w:pPr>
              <w:pStyle w:val="TableText"/>
              <w:keepNext/>
              <w:keepLines/>
              <w:spacing w:before="0" w:after="0" w:line="240" w:lineRule="auto"/>
            </w:pPr>
            <w:r w:rsidRPr="002D2EBC">
              <w:tab/>
            </w:r>
            <w:r w:rsidRPr="002D2EBC">
              <w:tab/>
              <w:t>K</w:t>
            </w:r>
            <w:r w:rsidRPr="002D2EBC">
              <w:rPr>
                <w:vertAlign w:val="subscript"/>
              </w:rPr>
              <w:t>f</w:t>
            </w:r>
            <w:r w:rsidRPr="002D2EBC">
              <w:t xml:space="preserve"> 17.9, 1/n 0.41</w:t>
            </w:r>
          </w:p>
        </w:tc>
        <w:tc>
          <w:tcPr>
            <w:tcW w:w="1763" w:type="pct"/>
            <w:tcBorders>
              <w:top w:val="nil"/>
              <w:left w:val="nil"/>
              <w:bottom w:val="nil"/>
              <w:right w:val="nil"/>
            </w:tcBorders>
          </w:tcPr>
          <w:p w14:paraId="229C5CF2" w14:textId="77777777" w:rsidR="00783D18" w:rsidRPr="00FF5F7A" w:rsidRDefault="00783D18" w:rsidP="00783D18">
            <w:pPr>
              <w:keepNext/>
              <w:keepLines/>
              <w:widowControl w:val="0"/>
              <w:rPr>
                <w:rFonts w:ascii="Arial" w:hAnsi="Arial" w:cs="Arial"/>
                <w:spacing w:val="6"/>
                <w:kern w:val="20"/>
                <w:sz w:val="17"/>
                <w:u w:color="000000"/>
              </w:rPr>
            </w:pPr>
            <w:r w:rsidRPr="00FF5F7A">
              <w:rPr>
                <w:rFonts w:ascii="Arial" w:hAnsi="Arial" w:cs="Arial"/>
                <w:spacing w:val="6"/>
                <w:kern w:val="20"/>
                <w:sz w:val="17"/>
                <w:u w:color="000000"/>
              </w:rPr>
              <w:t>Robbins et al. 1988, Dyson et al. 1994</w:t>
            </w:r>
          </w:p>
          <w:p w14:paraId="47FC6941" w14:textId="77777777" w:rsidR="00783D18" w:rsidRPr="002D2EBC" w:rsidRDefault="00783D18" w:rsidP="00783D18">
            <w:pPr>
              <w:keepNext/>
              <w:keepLines/>
              <w:widowControl w:val="0"/>
              <w:rPr>
                <w:rFonts w:cs="Arial"/>
                <w:sz w:val="17"/>
                <w:szCs w:val="17"/>
              </w:rPr>
            </w:pPr>
          </w:p>
          <w:p w14:paraId="58DA3C0B" w14:textId="712CD8C4" w:rsidR="00783D18" w:rsidRPr="002D2EBC" w:rsidRDefault="002D2EBC" w:rsidP="00783D18">
            <w:pPr>
              <w:pStyle w:val="TableText"/>
              <w:keepNext/>
              <w:keepLines/>
              <w:spacing w:before="0" w:after="0" w:line="240" w:lineRule="auto"/>
            </w:pPr>
            <w:r w:rsidRPr="002D2EBC">
              <w:t>Amondham et al. 2006</w:t>
            </w:r>
          </w:p>
        </w:tc>
      </w:tr>
      <w:tr w:rsidR="005F322A" w:rsidRPr="002D2EBC" w14:paraId="79BBAB8C" w14:textId="77777777" w:rsidTr="00BF4B43">
        <w:trPr>
          <w:cantSplit/>
        </w:trPr>
        <w:tc>
          <w:tcPr>
            <w:tcW w:w="1323" w:type="pct"/>
            <w:tcBorders>
              <w:top w:val="single" w:sz="4" w:space="0" w:color="auto"/>
              <w:left w:val="nil"/>
              <w:bottom w:val="single" w:sz="4" w:space="0" w:color="auto"/>
              <w:right w:val="nil"/>
            </w:tcBorders>
          </w:tcPr>
          <w:p w14:paraId="6A3E2DBB" w14:textId="77777777" w:rsidR="005F322A" w:rsidRPr="002D2EBC" w:rsidRDefault="005F322A" w:rsidP="00065499">
            <w:pPr>
              <w:pStyle w:val="TableText"/>
              <w:spacing w:before="0" w:after="0" w:line="240" w:lineRule="auto"/>
              <w:rPr>
                <w:lang w:eastAsia="en-AU"/>
              </w:rPr>
            </w:pPr>
            <w:r w:rsidRPr="002D2EBC">
              <w:rPr>
                <w:lang w:eastAsia="en-AU"/>
              </w:rPr>
              <w:t>Water</w:t>
            </w:r>
          </w:p>
        </w:tc>
        <w:tc>
          <w:tcPr>
            <w:tcW w:w="1914" w:type="pct"/>
            <w:tcBorders>
              <w:top w:val="single" w:sz="4" w:space="0" w:color="auto"/>
              <w:left w:val="nil"/>
              <w:bottom w:val="single" w:sz="4" w:space="0" w:color="auto"/>
              <w:right w:val="nil"/>
            </w:tcBorders>
          </w:tcPr>
          <w:p w14:paraId="6E6D4043" w14:textId="77777777" w:rsidR="005F322A" w:rsidRPr="002D2EBC" w:rsidRDefault="005F322A" w:rsidP="00065499">
            <w:pPr>
              <w:pStyle w:val="TableText"/>
              <w:spacing w:before="0" w:after="0" w:line="240" w:lineRule="auto"/>
            </w:pPr>
            <w:r w:rsidRPr="002D2EBC">
              <w:t>DT</w:t>
            </w:r>
            <w:r w:rsidRPr="002D2EBC">
              <w:rPr>
                <w:vertAlign w:val="subscript"/>
              </w:rPr>
              <w:t>50</w:t>
            </w:r>
            <w:r w:rsidRPr="002D2EBC">
              <w:t xml:space="preserve"> 7.0 d</w:t>
            </w:r>
          </w:p>
        </w:tc>
        <w:tc>
          <w:tcPr>
            <w:tcW w:w="1763" w:type="pct"/>
            <w:tcBorders>
              <w:top w:val="single" w:sz="4" w:space="0" w:color="auto"/>
              <w:left w:val="nil"/>
              <w:bottom w:val="single" w:sz="4" w:space="0" w:color="auto"/>
              <w:right w:val="nil"/>
            </w:tcBorders>
          </w:tcPr>
          <w:p w14:paraId="704748AB" w14:textId="7091B62D" w:rsidR="005F322A" w:rsidRPr="002D2EBC" w:rsidRDefault="005F322A" w:rsidP="00065499">
            <w:pPr>
              <w:pStyle w:val="TableText"/>
              <w:spacing w:before="0" w:after="0" w:line="240" w:lineRule="auto"/>
            </w:pPr>
            <w:r w:rsidRPr="002D2EBC">
              <w:t>Long et</w:t>
            </w:r>
            <w:r w:rsidR="00143F5A" w:rsidRPr="002D2EBC">
              <w:t xml:space="preserve"> al,</w:t>
            </w:r>
            <w:r w:rsidRPr="002D2EBC">
              <w:t xml:space="preserve"> 1996, Hamer &amp; Ashwell 1997</w:t>
            </w:r>
          </w:p>
        </w:tc>
      </w:tr>
      <w:tr w:rsidR="005F322A" w:rsidRPr="002D2EBC" w14:paraId="0C6BEBDD" w14:textId="77777777" w:rsidTr="00BF4B43">
        <w:trPr>
          <w:cantSplit/>
        </w:trPr>
        <w:tc>
          <w:tcPr>
            <w:tcW w:w="1323" w:type="pct"/>
            <w:tcBorders>
              <w:top w:val="single" w:sz="4" w:space="0" w:color="auto"/>
              <w:left w:val="nil"/>
              <w:bottom w:val="nil"/>
              <w:right w:val="nil"/>
            </w:tcBorders>
          </w:tcPr>
          <w:p w14:paraId="2FB11B90" w14:textId="77777777" w:rsidR="005F322A" w:rsidRPr="002D2EBC" w:rsidRDefault="005F322A" w:rsidP="00065499">
            <w:pPr>
              <w:pStyle w:val="TableText"/>
              <w:spacing w:before="0" w:after="0" w:line="240" w:lineRule="auto"/>
              <w:rPr>
                <w:lang w:eastAsia="en-AU"/>
              </w:rPr>
            </w:pPr>
            <w:r w:rsidRPr="002D2EBC">
              <w:rPr>
                <w:lang w:eastAsia="en-AU"/>
              </w:rPr>
              <w:t>Sediment</w:t>
            </w:r>
          </w:p>
        </w:tc>
        <w:tc>
          <w:tcPr>
            <w:tcW w:w="1914" w:type="pct"/>
            <w:tcBorders>
              <w:top w:val="single" w:sz="4" w:space="0" w:color="auto"/>
              <w:left w:val="nil"/>
              <w:bottom w:val="nil"/>
              <w:right w:val="nil"/>
            </w:tcBorders>
          </w:tcPr>
          <w:p w14:paraId="387B26F9" w14:textId="77777777" w:rsidR="005F322A" w:rsidRPr="002D2EBC" w:rsidRDefault="005F322A" w:rsidP="00065499">
            <w:pPr>
              <w:pStyle w:val="TableText"/>
              <w:spacing w:before="0" w:after="0" w:line="240" w:lineRule="auto"/>
            </w:pPr>
            <w:r w:rsidRPr="002D2EBC">
              <w:t>DT</w:t>
            </w:r>
            <w:r w:rsidRPr="002D2EBC">
              <w:rPr>
                <w:vertAlign w:val="subscript"/>
              </w:rPr>
              <w:t>50</w:t>
            </w:r>
            <w:r w:rsidRPr="002D2EBC">
              <w:t xml:space="preserve"> 1000 d </w:t>
            </w:r>
          </w:p>
        </w:tc>
        <w:tc>
          <w:tcPr>
            <w:tcW w:w="1763" w:type="pct"/>
            <w:tcBorders>
              <w:top w:val="single" w:sz="4" w:space="0" w:color="auto"/>
              <w:left w:val="nil"/>
              <w:bottom w:val="nil"/>
              <w:right w:val="nil"/>
            </w:tcBorders>
          </w:tcPr>
          <w:p w14:paraId="6792F91E" w14:textId="77777777" w:rsidR="005F322A" w:rsidRPr="002D2EBC" w:rsidRDefault="005F322A" w:rsidP="00065499">
            <w:pPr>
              <w:pStyle w:val="TableText"/>
              <w:spacing w:before="0" w:after="0" w:line="240" w:lineRule="auto"/>
            </w:pPr>
            <w:r w:rsidRPr="002D2EBC">
              <w:t>Default for persistent substances</w:t>
            </w:r>
          </w:p>
        </w:tc>
      </w:tr>
      <w:tr w:rsidR="005F322A" w:rsidRPr="002D2EBC" w14:paraId="5AD08355" w14:textId="77777777" w:rsidTr="00BF4B43">
        <w:trPr>
          <w:cantSplit/>
          <w:trHeight w:val="13"/>
        </w:trPr>
        <w:tc>
          <w:tcPr>
            <w:tcW w:w="1323" w:type="pct"/>
            <w:tcBorders>
              <w:top w:val="nil"/>
              <w:left w:val="nil"/>
              <w:bottom w:val="single" w:sz="4" w:space="0" w:color="auto"/>
              <w:right w:val="nil"/>
            </w:tcBorders>
          </w:tcPr>
          <w:p w14:paraId="23442958" w14:textId="77777777" w:rsidR="005F322A" w:rsidRPr="002D2EBC" w:rsidRDefault="005F322A" w:rsidP="00065499">
            <w:pPr>
              <w:pStyle w:val="TableText"/>
              <w:spacing w:before="0" w:after="0" w:line="240" w:lineRule="auto"/>
              <w:rPr>
                <w:lang w:eastAsia="en-AU"/>
              </w:rPr>
            </w:pPr>
          </w:p>
        </w:tc>
        <w:tc>
          <w:tcPr>
            <w:tcW w:w="1914" w:type="pct"/>
            <w:tcBorders>
              <w:top w:val="nil"/>
              <w:left w:val="nil"/>
              <w:right w:val="nil"/>
            </w:tcBorders>
          </w:tcPr>
          <w:p w14:paraId="08F2E752" w14:textId="77777777" w:rsidR="005F322A" w:rsidRPr="002D2EBC" w:rsidRDefault="005F322A" w:rsidP="00065499">
            <w:pPr>
              <w:pStyle w:val="TableText"/>
              <w:spacing w:before="0" w:after="0" w:line="240" w:lineRule="auto"/>
            </w:pPr>
            <w:r w:rsidRPr="002D2EBC">
              <w:t>K</w:t>
            </w:r>
            <w:r w:rsidRPr="002D2EBC">
              <w:rPr>
                <w:vertAlign w:val="subscript"/>
              </w:rPr>
              <w:t>p</w:t>
            </w:r>
            <w:r w:rsidRPr="002D2EBC">
              <w:t xml:space="preserve"> 50000 mL/g</w:t>
            </w:r>
          </w:p>
        </w:tc>
        <w:tc>
          <w:tcPr>
            <w:tcW w:w="1763" w:type="pct"/>
            <w:tcBorders>
              <w:top w:val="nil"/>
              <w:left w:val="nil"/>
              <w:right w:val="nil"/>
            </w:tcBorders>
          </w:tcPr>
          <w:p w14:paraId="69A0D9CD" w14:textId="0F5310BD" w:rsidR="005F322A" w:rsidRPr="002D2EBC" w:rsidRDefault="005F322A" w:rsidP="00065499">
            <w:pPr>
              <w:pStyle w:val="TableText"/>
              <w:spacing w:before="0" w:after="0" w:line="240" w:lineRule="auto"/>
            </w:pPr>
            <w:r w:rsidRPr="002D2EBC">
              <w:t>Robbins et</w:t>
            </w:r>
            <w:r w:rsidR="00143F5A" w:rsidRPr="002D2EBC">
              <w:t xml:space="preserve"> al,</w:t>
            </w:r>
            <w:r w:rsidRPr="002D2EBC">
              <w:t xml:space="preserve"> 1988</w:t>
            </w:r>
          </w:p>
        </w:tc>
      </w:tr>
      <w:tr w:rsidR="005F322A" w:rsidRPr="00D63217" w14:paraId="5F047B03" w14:textId="77777777" w:rsidTr="00BF4B43">
        <w:trPr>
          <w:cantSplit/>
          <w:trHeight w:val="13"/>
        </w:trPr>
        <w:tc>
          <w:tcPr>
            <w:tcW w:w="1323" w:type="pct"/>
            <w:tcBorders>
              <w:top w:val="single" w:sz="4" w:space="0" w:color="auto"/>
              <w:left w:val="nil"/>
              <w:bottom w:val="single" w:sz="4" w:space="0" w:color="auto"/>
              <w:right w:val="nil"/>
            </w:tcBorders>
          </w:tcPr>
          <w:p w14:paraId="0C4B495F" w14:textId="77777777" w:rsidR="005F322A" w:rsidRPr="002D2EBC" w:rsidRDefault="005F322A" w:rsidP="00065499">
            <w:pPr>
              <w:pStyle w:val="TableText"/>
              <w:spacing w:before="0" w:after="0" w:line="240" w:lineRule="auto"/>
              <w:rPr>
                <w:lang w:eastAsia="en-AU"/>
              </w:rPr>
            </w:pPr>
            <w:r w:rsidRPr="002D2EBC">
              <w:rPr>
                <w:lang w:eastAsia="en-AU"/>
              </w:rPr>
              <w:t>Air</w:t>
            </w:r>
          </w:p>
        </w:tc>
        <w:tc>
          <w:tcPr>
            <w:tcW w:w="1914" w:type="pct"/>
            <w:tcBorders>
              <w:left w:val="nil"/>
              <w:right w:val="nil"/>
            </w:tcBorders>
          </w:tcPr>
          <w:p w14:paraId="3F4A6DCB" w14:textId="77777777" w:rsidR="005F322A" w:rsidRPr="002D2EBC" w:rsidRDefault="005F322A" w:rsidP="00065499">
            <w:pPr>
              <w:pStyle w:val="TableText"/>
              <w:spacing w:before="0" w:after="0" w:line="240" w:lineRule="auto"/>
            </w:pPr>
            <w:r w:rsidRPr="002D2EBC">
              <w:t>DT</w:t>
            </w:r>
            <w:r w:rsidRPr="002D2EBC">
              <w:rPr>
                <w:vertAlign w:val="subscript"/>
              </w:rPr>
              <w:t>50</w:t>
            </w:r>
            <w:r w:rsidRPr="002D2EBC">
              <w:t xml:space="preserve"> 6.0 h</w:t>
            </w:r>
          </w:p>
        </w:tc>
        <w:tc>
          <w:tcPr>
            <w:tcW w:w="1763" w:type="pct"/>
            <w:tcBorders>
              <w:left w:val="nil"/>
              <w:right w:val="nil"/>
            </w:tcBorders>
          </w:tcPr>
          <w:p w14:paraId="2562EC00" w14:textId="77777777" w:rsidR="005F322A" w:rsidRPr="00D63217" w:rsidRDefault="005F322A" w:rsidP="00065499">
            <w:pPr>
              <w:pStyle w:val="TableText"/>
              <w:spacing w:before="0" w:after="0" w:line="240" w:lineRule="auto"/>
            </w:pPr>
            <w:r w:rsidRPr="002D2EBC">
              <w:t>Hayes 2006</w:t>
            </w:r>
          </w:p>
        </w:tc>
      </w:tr>
    </w:tbl>
    <w:p w14:paraId="1111F503" w14:textId="77777777" w:rsidR="005F322A" w:rsidRPr="00D63217" w:rsidRDefault="005F322A" w:rsidP="005F322A">
      <w:pPr>
        <w:pStyle w:val="Heading2"/>
      </w:pPr>
      <w:bookmarkStart w:id="470" w:name="_Toc157602756"/>
      <w:bookmarkStart w:id="471" w:name="_Toc231480911"/>
      <w:bookmarkStart w:id="472" w:name="_Toc233036463"/>
      <w:r w:rsidRPr="00D63217">
        <w:lastRenderedPageBreak/>
        <w:t>Effects on non-target species</w:t>
      </w:r>
      <w:bookmarkEnd w:id="470"/>
      <w:bookmarkEnd w:id="471"/>
      <w:bookmarkEnd w:id="472"/>
    </w:p>
    <w:p w14:paraId="78F134E6" w14:textId="60DA7697" w:rsidR="005F322A" w:rsidRPr="00D63217" w:rsidRDefault="005F322A" w:rsidP="005F322A">
      <w:pPr>
        <w:pStyle w:val="NormalText"/>
      </w:pPr>
      <w:r w:rsidRPr="00D63217">
        <w:t>Paraquat has high toxicity to mammals (lowest LD</w:t>
      </w:r>
      <w:r w:rsidRPr="00D63217">
        <w:rPr>
          <w:vertAlign w:val="subscript"/>
        </w:rPr>
        <w:t>50</w:t>
      </w:r>
      <w:r w:rsidRPr="00D63217">
        <w:t xml:space="preserve"> 22 mg ac/kg bw, </w:t>
      </w:r>
      <w:r w:rsidRPr="00D63217">
        <w:rPr>
          <w:i/>
          <w:iCs/>
        </w:rPr>
        <w:t>Cavia porcellus</w:t>
      </w:r>
      <w:r w:rsidRPr="00D63217">
        <w:t>) and birds (lowest LD</w:t>
      </w:r>
      <w:r w:rsidRPr="00D63217">
        <w:rPr>
          <w:vertAlign w:val="subscript"/>
        </w:rPr>
        <w:t>50</w:t>
      </w:r>
      <w:r w:rsidRPr="00D63217">
        <w:t xml:space="preserve"> 27 mg ac/kg bw, </w:t>
      </w:r>
      <w:r w:rsidRPr="00D63217">
        <w:rPr>
          <w:i/>
          <w:iCs/>
        </w:rPr>
        <w:t>Taeniopygia guttata</w:t>
      </w:r>
      <w:r w:rsidRPr="00D63217">
        <w:t xml:space="preserve">). Therefore, the following protection statement is </w:t>
      </w:r>
      <w:r w:rsidR="001B2865" w:rsidRPr="00D63217">
        <w:t>re</w:t>
      </w:r>
      <w:r w:rsidR="001B2865">
        <w:t>commended</w:t>
      </w:r>
      <w:r w:rsidR="001B2865" w:rsidRPr="00D63217">
        <w:t xml:space="preserve"> </w:t>
      </w:r>
      <w:r w:rsidRPr="00D63217">
        <w:t>on paraquat product labels (followed by an appropriate risk management statement).</w:t>
      </w:r>
    </w:p>
    <w:p w14:paraId="58876054" w14:textId="77777777" w:rsidR="005F322A" w:rsidRPr="00FF5F7A" w:rsidRDefault="005F322A" w:rsidP="00FF5F7A">
      <w:pPr>
        <w:pStyle w:val="NormalText"/>
        <w:ind w:left="567"/>
      </w:pPr>
      <w:r w:rsidRPr="00FF5F7A">
        <w:t>Toxic to birds and native mammals.</w:t>
      </w:r>
    </w:p>
    <w:p w14:paraId="5C874B42" w14:textId="2CBA4A03" w:rsidR="005F322A" w:rsidRPr="00D63217" w:rsidRDefault="005F322A" w:rsidP="005F322A">
      <w:pPr>
        <w:pStyle w:val="NormalText"/>
      </w:pPr>
      <w:bookmarkStart w:id="473" w:name="_Hlk152853647"/>
      <w:r w:rsidRPr="00D63217">
        <w:t>Following long-term dietary exposure, mammals exhibit 17</w:t>
      </w:r>
      <w:r w:rsidR="001746DD" w:rsidRPr="00D63217">
        <w:t>–</w:t>
      </w:r>
      <w:r w:rsidRPr="00D63217">
        <w:t>43% mortality at 7.5 mg ac/kg bw/d (NOAEL</w:t>
      </w:r>
      <w:r w:rsidR="001746DD" w:rsidRPr="00D63217">
        <w:t> </w:t>
      </w:r>
      <w:r w:rsidRPr="00D63217">
        <w:t>3.8</w:t>
      </w:r>
      <w:r w:rsidR="001746DD" w:rsidRPr="00D63217">
        <w:t> </w:t>
      </w:r>
      <w:r w:rsidRPr="00D63217">
        <w:t>mg</w:t>
      </w:r>
      <w:r w:rsidR="001746DD" w:rsidRPr="00D63217">
        <w:t> </w:t>
      </w:r>
      <w:r w:rsidRPr="00D63217">
        <w:t xml:space="preserve">ac/kg bw/d), which is considered the ecologically relevant endpoint from the </w:t>
      </w:r>
      <w:r w:rsidR="008E6ED0">
        <w:t xml:space="preserve">source </w:t>
      </w:r>
      <w:r w:rsidRPr="00D63217">
        <w:t xml:space="preserve">study. An additional study is available where 24-37% mortality was observed at 14 mg ac/kg bw/d (NOAEL 7.2 mg ac/kg bw/d). Given the level of mortality observed at 7.5 mg ac/kg bw/d, the lower of the </w:t>
      </w:r>
      <w:r w:rsidR="004128B4" w:rsidRPr="00D63217">
        <w:t>2</w:t>
      </w:r>
      <w:r w:rsidRPr="00D63217">
        <w:t xml:space="preserve"> NOAEL values is considered the relevant value for risk assessment.</w:t>
      </w:r>
    </w:p>
    <w:p w14:paraId="4D5F0D86" w14:textId="3595902F" w:rsidR="005F322A" w:rsidRPr="00D63217" w:rsidRDefault="005F322A" w:rsidP="005F322A">
      <w:pPr>
        <w:pStyle w:val="NormalText"/>
      </w:pPr>
      <w:r w:rsidRPr="00D63217">
        <w:t>For birds, reproductive toxicity has been tested in the mallard (</w:t>
      </w:r>
      <w:r w:rsidRPr="00D63217">
        <w:rPr>
          <w:i/>
          <w:iCs/>
        </w:rPr>
        <w:t>Anas platyrhynchos</w:t>
      </w:r>
      <w:r w:rsidRPr="00D63217">
        <w:t xml:space="preserve">), with an eighteen-week exposure period (10 weeks prior to full egg production and 8 weeks during full egg production). Biologically relevant reductions in </w:t>
      </w:r>
      <w:bookmarkEnd w:id="473"/>
      <w:r w:rsidRPr="00D63217">
        <w:t>eggs laid and numbers of viable/live embryos were observed at doses as low as 9.1</w:t>
      </w:r>
      <w:r w:rsidR="001746DD" w:rsidRPr="00D63217">
        <w:t> </w:t>
      </w:r>
      <w:r w:rsidRPr="00D63217">
        <w:t>mg</w:t>
      </w:r>
      <w:r w:rsidR="001746DD" w:rsidRPr="00D63217">
        <w:t> </w:t>
      </w:r>
      <w:r w:rsidRPr="00D63217">
        <w:t>ac/kg</w:t>
      </w:r>
      <w:r w:rsidR="001746DD" w:rsidRPr="00D63217">
        <w:t> </w:t>
      </w:r>
      <w:r w:rsidRPr="00D63217">
        <w:t>bw/d (NOAEL 2.7 mg ac/kg bw/d).</w:t>
      </w:r>
    </w:p>
    <w:p w14:paraId="5296B2C2" w14:textId="1A7DAE52" w:rsidR="005F322A" w:rsidRPr="00D63217" w:rsidRDefault="005F322A" w:rsidP="005F322A">
      <w:pPr>
        <w:pStyle w:val="NormalText"/>
      </w:pPr>
      <w:r w:rsidRPr="00D63217">
        <w:t>Paraquat has moderate toxicity to fish (lowest LC</w:t>
      </w:r>
      <w:r w:rsidRPr="00D63217">
        <w:rPr>
          <w:vertAlign w:val="subscript"/>
        </w:rPr>
        <w:t>50</w:t>
      </w:r>
      <w:r w:rsidRPr="00D63217">
        <w:t xml:space="preserve"> 4.7 mg ac/L, </w:t>
      </w:r>
      <w:r w:rsidRPr="00D63217">
        <w:rPr>
          <w:i/>
          <w:iCs/>
        </w:rPr>
        <w:t>Pimephales promelas</w:t>
      </w:r>
      <w:r w:rsidRPr="00D63217">
        <w:t>) and aquatic invertebrates (lowest LC</w:t>
      </w:r>
      <w:r w:rsidRPr="00D63217">
        <w:rPr>
          <w:vertAlign w:val="subscript"/>
        </w:rPr>
        <w:t>50</w:t>
      </w:r>
      <w:r w:rsidRPr="00D63217">
        <w:t xml:space="preserve"> 0.23 mg ac/L, </w:t>
      </w:r>
      <w:r w:rsidRPr="00D63217">
        <w:rPr>
          <w:i/>
          <w:iCs/>
        </w:rPr>
        <w:t>Americamysis bahia</w:t>
      </w:r>
      <w:r w:rsidRPr="00D63217">
        <w:t>), and it has high toxicity to algae (lowest ErC</w:t>
      </w:r>
      <w:r w:rsidRPr="00D63217">
        <w:rPr>
          <w:vertAlign w:val="subscript"/>
        </w:rPr>
        <w:t>50</w:t>
      </w:r>
      <w:r w:rsidRPr="00D63217">
        <w:t xml:space="preserve"> 0.00034 mg ac/L, </w:t>
      </w:r>
      <w:r w:rsidRPr="00D63217">
        <w:rPr>
          <w:i/>
          <w:iCs/>
        </w:rPr>
        <w:t>Navicula pelliculosa</w:t>
      </w:r>
      <w:r w:rsidRPr="00D63217">
        <w:t>) and aquatic plants (EC</w:t>
      </w:r>
      <w:r w:rsidRPr="00D63217">
        <w:rPr>
          <w:vertAlign w:val="subscript"/>
        </w:rPr>
        <w:t>50</w:t>
      </w:r>
      <w:r w:rsidRPr="00D63217">
        <w:t xml:space="preserve"> </w:t>
      </w:r>
      <w:r w:rsidR="007B375C">
        <w:t>0.015</w:t>
      </w:r>
      <w:r w:rsidRPr="00D63217">
        <w:t xml:space="preserve"> mg ac/L, </w:t>
      </w:r>
      <w:r w:rsidRPr="00D63217">
        <w:rPr>
          <w:i/>
          <w:iCs/>
        </w:rPr>
        <w:t>Lemna gibba</w:t>
      </w:r>
      <w:r w:rsidRPr="00D63217">
        <w:t xml:space="preserve">). Therefore, the following protection statement is </w:t>
      </w:r>
      <w:r w:rsidR="001B2865" w:rsidRPr="00D63217">
        <w:t>re</w:t>
      </w:r>
      <w:r w:rsidR="001B2865">
        <w:t>commended</w:t>
      </w:r>
      <w:r w:rsidR="001B2865" w:rsidRPr="00D63217">
        <w:t xml:space="preserve"> </w:t>
      </w:r>
      <w:r w:rsidRPr="00D63217">
        <w:t>on paraquat product labels.</w:t>
      </w:r>
    </w:p>
    <w:p w14:paraId="7A549796" w14:textId="77777777" w:rsidR="005F322A" w:rsidRPr="00FF5F7A" w:rsidRDefault="005F322A" w:rsidP="00FF5F7A">
      <w:pPr>
        <w:pStyle w:val="NormalText"/>
        <w:ind w:left="567"/>
      </w:pPr>
      <w:r w:rsidRPr="00FF5F7A">
        <w:t>Very toxic to aquatic life. DO NOT contaminate wetlands or watercourses with this product or used containers.</w:t>
      </w:r>
    </w:p>
    <w:p w14:paraId="1A4850E7" w14:textId="60A099C3" w:rsidR="005F322A" w:rsidRPr="00D63217" w:rsidRDefault="005F322A" w:rsidP="005F322A">
      <w:pPr>
        <w:pStyle w:val="NormalText"/>
      </w:pPr>
      <w:r w:rsidRPr="00D63217">
        <w:t xml:space="preserve">Reduced growth of fish was observed at concentrations as low as 1.5 mg ac/L (NOEC 0.74 mg ac/L, </w:t>
      </w:r>
      <w:r w:rsidRPr="00D63217">
        <w:rPr>
          <w:i/>
          <w:iCs/>
        </w:rPr>
        <w:t>Pimephales promelas</w:t>
      </w:r>
      <w:r w:rsidRPr="00D63217">
        <w:t xml:space="preserve">), whilst reduced survival and reproduction was observed in aquatic invertebrates at concentrations as low as 0.076 mg ac/L (NOEC 0.038 mg ac/L, </w:t>
      </w:r>
      <w:r w:rsidRPr="00D63217">
        <w:rPr>
          <w:i/>
          <w:iCs/>
        </w:rPr>
        <w:t>Americamysis bahia</w:t>
      </w:r>
      <w:r w:rsidRPr="00D63217">
        <w:t>).</w:t>
      </w:r>
    </w:p>
    <w:p w14:paraId="635467B0" w14:textId="62953FDA" w:rsidR="005F322A" w:rsidRPr="00D63217" w:rsidRDefault="005F322A" w:rsidP="005F322A">
      <w:pPr>
        <w:pStyle w:val="NormalText"/>
      </w:pPr>
      <w:r w:rsidRPr="00D63217">
        <w:t>Paraquat has moderate toxicity to freshwater amphipods (LC</w:t>
      </w:r>
      <w:r w:rsidRPr="00D63217">
        <w:rPr>
          <w:vertAlign w:val="subscript"/>
        </w:rPr>
        <w:t>50</w:t>
      </w:r>
      <w:r w:rsidRPr="00D63217">
        <w:t xml:space="preserve"> 39 mg ac/kg dry sediment, </w:t>
      </w:r>
      <w:r w:rsidRPr="00D63217">
        <w:rPr>
          <w:i/>
          <w:iCs/>
        </w:rPr>
        <w:t>Hyalella azteca</w:t>
      </w:r>
      <w:r w:rsidRPr="00D63217">
        <w:t>). It is noted that the clay content of the test sediment was relatively low (1%). Low toxicity was observed in midges (</w:t>
      </w:r>
      <w:r w:rsidR="00C83254" w:rsidRPr="00D63217">
        <w:t>LC</w:t>
      </w:r>
      <w:r w:rsidR="00C83254" w:rsidRPr="00D63217">
        <w:rPr>
          <w:vertAlign w:val="subscript"/>
        </w:rPr>
        <w:t>50</w:t>
      </w:r>
      <w:r w:rsidR="00C83254" w:rsidRPr="00D63217">
        <w:t> </w:t>
      </w:r>
      <w:r w:rsidRPr="00D63217">
        <w:t xml:space="preserve">&gt;100 mg ac/kg dry sediment, </w:t>
      </w:r>
      <w:r w:rsidRPr="00D63217">
        <w:rPr>
          <w:i/>
          <w:iCs/>
        </w:rPr>
        <w:t>Chironomus dilutus</w:t>
      </w:r>
      <w:r w:rsidRPr="00D63217">
        <w:t>) and marine amphipods (LC</w:t>
      </w:r>
      <w:r w:rsidRPr="00D63217">
        <w:rPr>
          <w:vertAlign w:val="subscript"/>
        </w:rPr>
        <w:t>50</w:t>
      </w:r>
      <w:r w:rsidRPr="00D63217">
        <w:t xml:space="preserve"> &gt;100 mg ac/kg dry sediment, </w:t>
      </w:r>
      <w:r w:rsidRPr="00D63217">
        <w:rPr>
          <w:i/>
          <w:iCs/>
        </w:rPr>
        <w:t>Leptocheirus plumulosus</w:t>
      </w:r>
      <w:r w:rsidRPr="00D63217">
        <w:t xml:space="preserve">), noting the clay content in the test sediments ranged </w:t>
      </w:r>
      <w:r w:rsidR="007B375C">
        <w:t>17</w:t>
      </w:r>
      <w:r w:rsidR="00C83254" w:rsidRPr="00D63217">
        <w:t>–</w:t>
      </w:r>
      <w:r w:rsidRPr="00D63217">
        <w:t xml:space="preserve">25%. Following long-term exposure of midges, no significant adverse effects were observed at the highest tested concentrations in both water-dosed (NOEC 0.38 mg ac/L, </w:t>
      </w:r>
      <w:r w:rsidRPr="00D63217">
        <w:rPr>
          <w:i/>
          <w:iCs/>
        </w:rPr>
        <w:t>Chironomus riparius</w:t>
      </w:r>
      <w:r w:rsidRPr="00D63217">
        <w:t xml:space="preserve">) or sediment-dosed (NOEC 68 mg ac/kg dry sediment, </w:t>
      </w:r>
      <w:r w:rsidRPr="00D63217">
        <w:rPr>
          <w:i/>
          <w:iCs/>
        </w:rPr>
        <w:t>C. riparius</w:t>
      </w:r>
      <w:r w:rsidRPr="00D63217">
        <w:t>) test systems with 14-20% clay content in the sediments.</w:t>
      </w:r>
    </w:p>
    <w:p w14:paraId="3BFD5F8D" w14:textId="77777777" w:rsidR="00834E0F" w:rsidRDefault="005F322A" w:rsidP="005F322A">
      <w:pPr>
        <w:pStyle w:val="NormalText"/>
      </w:pPr>
      <w:r w:rsidRPr="00D63217">
        <w:t>Noting</w:t>
      </w:r>
      <w:r w:rsidR="00C23B3B">
        <w:t xml:space="preserve"> that</w:t>
      </w:r>
      <w:r w:rsidRPr="00D63217">
        <w:t xml:space="preserve"> primary producers</w:t>
      </w:r>
      <w:r w:rsidR="00C23B3B">
        <w:t>, such as algae,</w:t>
      </w:r>
      <w:r w:rsidRPr="00D63217">
        <w:t xml:space="preserve"> are most sensitive to paraquat, an SSD analysis was performed on the toxicity data (EC</w:t>
      </w:r>
      <w:r w:rsidRPr="00D63217">
        <w:rPr>
          <w:vertAlign w:val="subscript"/>
        </w:rPr>
        <w:t>50</w:t>
      </w:r>
      <w:r w:rsidRPr="00D63217">
        <w:t xml:space="preserve"> values) obtained in the absence of sediment. Paraquat dissipates quickly from the water column under natural conditions due to rapid adsorption to sediment and suspended particulates; therefore, the endpoints were adjusted to account for the expected dissipation under natural conditions (</w:t>
      </w:r>
      <w:r w:rsidR="009D61A7" w:rsidRPr="00D63217">
        <w:fldChar w:fldCharType="begin"/>
      </w:r>
      <w:r w:rsidR="009D61A7" w:rsidRPr="00D63217">
        <w:instrText xml:space="preserve"> REF _Ref167302559 \h </w:instrText>
      </w:r>
      <w:r w:rsidR="00D63217">
        <w:instrText xml:space="preserve"> \* MERGEFORMAT </w:instrText>
      </w:r>
      <w:r w:rsidR="009D61A7" w:rsidRPr="00D63217">
        <w:fldChar w:fldCharType="separate"/>
      </w:r>
      <w:r w:rsidR="008A397D" w:rsidRPr="00D63217">
        <w:t xml:space="preserve">Table </w:t>
      </w:r>
      <w:r w:rsidR="008A397D">
        <w:rPr>
          <w:noProof/>
        </w:rPr>
        <w:t>29</w:t>
      </w:r>
      <w:r w:rsidR="009D61A7" w:rsidRPr="00D63217">
        <w:fldChar w:fldCharType="end"/>
      </w:r>
      <w:r w:rsidRPr="00D63217">
        <w:t>).</w:t>
      </w:r>
    </w:p>
    <w:p w14:paraId="381AA680" w14:textId="568B6061" w:rsidR="005F322A" w:rsidRPr="00D63217" w:rsidRDefault="007B375C" w:rsidP="005F322A">
      <w:pPr>
        <w:pStyle w:val="NormalText"/>
      </w:pPr>
      <w:r w:rsidRPr="00C51CC9">
        <w:rPr>
          <w:szCs w:val="19"/>
        </w:rPr>
        <w:lastRenderedPageBreak/>
        <w:t>Given the uncertainties regarding the endpoints used in the SSD and the wide confidence intervals around the HC</w:t>
      </w:r>
      <w:r w:rsidRPr="00C51CC9">
        <w:rPr>
          <w:szCs w:val="19"/>
          <w:vertAlign w:val="subscript"/>
        </w:rPr>
        <w:t>5</w:t>
      </w:r>
      <w:r w:rsidR="001B2865" w:rsidRPr="001B2865">
        <w:rPr>
          <w:szCs w:val="19"/>
        </w:rPr>
        <w:t>,</w:t>
      </w:r>
      <w:r w:rsidRPr="00C51CC9">
        <w:rPr>
          <w:szCs w:val="19"/>
        </w:rPr>
        <w:t xml:space="preserve"> an assessment factor of 3</w:t>
      </w:r>
      <w:r>
        <w:rPr>
          <w:szCs w:val="19"/>
        </w:rPr>
        <w:t xml:space="preserve"> </w:t>
      </w:r>
      <w:r w:rsidRPr="00C51CC9">
        <w:rPr>
          <w:szCs w:val="19"/>
        </w:rPr>
        <w:t>is recommended</w:t>
      </w:r>
      <w:r>
        <w:rPr>
          <w:rStyle w:val="FootnoteReference"/>
          <w:szCs w:val="19"/>
        </w:rPr>
        <w:footnoteReference w:id="16"/>
      </w:r>
      <w:r w:rsidRPr="00C51CC9">
        <w:rPr>
          <w:szCs w:val="19"/>
        </w:rPr>
        <w:t>. The RAL for primary producers is therefore 0.00015 mg ac/L (HC</w:t>
      </w:r>
      <w:r w:rsidRPr="00C51CC9">
        <w:rPr>
          <w:szCs w:val="19"/>
          <w:vertAlign w:val="subscript"/>
        </w:rPr>
        <w:t>5</w:t>
      </w:r>
      <w:r w:rsidRPr="00C51CC9">
        <w:rPr>
          <w:szCs w:val="19"/>
        </w:rPr>
        <w:t xml:space="preserve"> 0.00045 mg ac/L and assessment factor of 3).</w:t>
      </w:r>
    </w:p>
    <w:p w14:paraId="717254FD" w14:textId="3B087E03" w:rsidR="005F322A" w:rsidRPr="00D63217" w:rsidRDefault="005F322A" w:rsidP="005F322A">
      <w:pPr>
        <w:pStyle w:val="NormalText"/>
      </w:pPr>
      <w:r w:rsidRPr="00D63217">
        <w:t>Paraquat has moderate toxicity to bees by contact exposure (lowest LD</w:t>
      </w:r>
      <w:r w:rsidRPr="00D63217">
        <w:rPr>
          <w:vertAlign w:val="subscript"/>
        </w:rPr>
        <w:t>50</w:t>
      </w:r>
      <w:r w:rsidRPr="00D63217">
        <w:t xml:space="preserve"> 16 µg ac/bee, </w:t>
      </w:r>
      <w:r w:rsidRPr="001503E6">
        <w:rPr>
          <w:i/>
          <w:iCs/>
        </w:rPr>
        <w:t>Apis mellifera</w:t>
      </w:r>
      <w:r w:rsidRPr="00D63217">
        <w:t>) and moderate toxicity by oral exposure (lowest LD</w:t>
      </w:r>
      <w:r w:rsidRPr="00D63217">
        <w:rPr>
          <w:vertAlign w:val="subscript"/>
        </w:rPr>
        <w:t>50</w:t>
      </w:r>
      <w:r w:rsidRPr="00D63217">
        <w:t xml:space="preserve"> 13 µg ac/bee, </w:t>
      </w:r>
      <w:r w:rsidRPr="00D63217">
        <w:rPr>
          <w:i/>
          <w:iCs/>
        </w:rPr>
        <w:t>Apis mellifera</w:t>
      </w:r>
      <w:r w:rsidRPr="00D63217">
        <w:t>).</w:t>
      </w:r>
    </w:p>
    <w:p w14:paraId="4A335B9B" w14:textId="7287AAD9" w:rsidR="005F322A" w:rsidRPr="00D63217" w:rsidRDefault="005F322A" w:rsidP="005F322A">
      <w:pPr>
        <w:pStyle w:val="NormalText"/>
      </w:pPr>
      <w:r w:rsidRPr="00D63217">
        <w:t xml:space="preserve">In </w:t>
      </w:r>
      <w:r w:rsidR="001503E6">
        <w:t>T</w:t>
      </w:r>
      <w:r w:rsidRPr="00D63217">
        <w:t xml:space="preserve">ier 1 (glass plate) laboratory tests on the toxicity of an SL formulation of paraquat to the indicator species of predatory arthropods (predatory mite </w:t>
      </w:r>
      <w:r w:rsidRPr="00D63217">
        <w:rPr>
          <w:i/>
          <w:iCs/>
        </w:rPr>
        <w:t>Typhlodromus pyri</w:t>
      </w:r>
      <w:r w:rsidRPr="00D63217">
        <w:t>) the LR</w:t>
      </w:r>
      <w:r w:rsidRPr="00D63217">
        <w:rPr>
          <w:vertAlign w:val="subscript"/>
        </w:rPr>
        <w:t>50</w:t>
      </w:r>
      <w:r w:rsidRPr="00D63217">
        <w:t xml:space="preserve"> value is 1.9 g ac/ha. Exposure under </w:t>
      </w:r>
      <w:r w:rsidR="001503E6">
        <w:t>T</w:t>
      </w:r>
      <w:r w:rsidRPr="00D63217">
        <w:t>ier 2 (natural substrate) conditions did not greatly influence toxicity to the predatory mite, LR</w:t>
      </w:r>
      <w:r w:rsidRPr="001503E6">
        <w:rPr>
          <w:vertAlign w:val="subscript"/>
        </w:rPr>
        <w:t>50</w:t>
      </w:r>
      <w:r w:rsidRPr="00D63217">
        <w:t xml:space="preserve"> 8.2 g ac/ha (</w:t>
      </w:r>
      <w:r w:rsidRPr="00D63217">
        <w:rPr>
          <w:i/>
          <w:iCs/>
        </w:rPr>
        <w:t>Typhlodromus pyri</w:t>
      </w:r>
      <w:r w:rsidRPr="00D63217">
        <w:t>). Soil dwelling arthropods such as carabid beetles, spiders and rove beetles were unaffected at field relevant rates.</w:t>
      </w:r>
    </w:p>
    <w:p w14:paraId="2F4E2027" w14:textId="2345A518" w:rsidR="005F322A" w:rsidRPr="00D63217" w:rsidRDefault="005F322A" w:rsidP="005F322A">
      <w:pPr>
        <w:pStyle w:val="NormalText"/>
      </w:pPr>
      <w:r w:rsidRPr="00D63217">
        <w:t>Paraquat has low toxicity to soil macro-organisms such as earthworms (LC</w:t>
      </w:r>
      <w:r w:rsidRPr="00D63217">
        <w:rPr>
          <w:vertAlign w:val="subscript"/>
        </w:rPr>
        <w:t>50</w:t>
      </w:r>
      <w:r w:rsidRPr="00D63217">
        <w:t xml:space="preserve"> &gt;1000 mg ac/kg dry soil, </w:t>
      </w:r>
      <w:r w:rsidRPr="00D63217">
        <w:rPr>
          <w:i/>
          <w:iCs/>
        </w:rPr>
        <w:t>Eisenia fetida</w:t>
      </w:r>
      <w:r w:rsidRPr="00D63217">
        <w:t xml:space="preserve">). </w:t>
      </w:r>
      <w:bookmarkStart w:id="474" w:name="_Hlk157164848"/>
      <w:r w:rsidRPr="00D63217">
        <w:t>It is noted that the available acute toxicity test was conducted in artificial soil containing 20% kaolinite clay, as such it may not represent a realistic worst-case exposure system (i.e. compared to soils with lower capacity to adsorb and deactivate paraquat).</w:t>
      </w:r>
      <w:bookmarkEnd w:id="474"/>
      <w:r w:rsidRPr="00D63217">
        <w:t xml:space="preserve"> However, the test was conducted at a rate exceeding the soil’s expected strong adsorption capacity</w:t>
      </w:r>
      <w:r w:rsidR="001B2865">
        <w:t xml:space="preserve"> - wheat bioassay</w:t>
      </w:r>
      <w:r w:rsidRPr="00D63217">
        <w:t xml:space="preserve"> (SAC-WB 230-260 mg ac/kg dry soil), as measured for an artificial soil with the same composition as in the acute toxicity test. </w:t>
      </w:r>
      <w:r w:rsidR="00644EBA">
        <w:t>This i</w:t>
      </w:r>
      <w:r w:rsidRPr="00D63217">
        <w:t>mpl</w:t>
      </w:r>
      <w:r w:rsidR="00644EBA">
        <w:t xml:space="preserve">ies </w:t>
      </w:r>
      <w:r w:rsidRPr="00D63217">
        <w:t>that it is reasonable to conclude there would have been paraquat in excess of the SAC-WB in the acute toxicity test. There are no laboratory studies investigating long-term effects of paraquat in soil dwelling macro-organisms or micro-organisms.</w:t>
      </w:r>
    </w:p>
    <w:p w14:paraId="63343FA6" w14:textId="77777777" w:rsidR="005F322A" w:rsidRPr="00D63217" w:rsidRDefault="005F322A" w:rsidP="005F322A">
      <w:pPr>
        <w:pStyle w:val="NormalText"/>
      </w:pPr>
      <w:r w:rsidRPr="00D63217">
        <w:t>Effects on soil macro-organisms and micro-organisms have been investigated in long-term field studies. Adverse effects on earthworms and soil micro-arthropods were observed at soil concentrations equivalent to 110 and 400% of the soils SAC (120 mg ac/kg dry soil). No adverse effects on soil micro-organisms were observed at soil concentrations as high as 400% of a soils SAC (120 mg ac/kg dry soil).</w:t>
      </w:r>
    </w:p>
    <w:p w14:paraId="667AA815" w14:textId="5723BCD0" w:rsidR="005F322A" w:rsidRPr="00D63217" w:rsidRDefault="005F322A" w:rsidP="005F322A">
      <w:pPr>
        <w:pStyle w:val="NormalText"/>
      </w:pPr>
      <w:r w:rsidRPr="00D63217">
        <w:t>Paraquat has low toxicity to non-target terrestrial plants following pre-emergent exposure to soil residues under laboratory conditions (lowest definitive ER</w:t>
      </w:r>
      <w:r w:rsidRPr="00D63217">
        <w:rPr>
          <w:vertAlign w:val="subscript"/>
        </w:rPr>
        <w:t>25</w:t>
      </w:r>
      <w:r w:rsidRPr="00D63217">
        <w:t xml:space="preserve"> 712 g ac/ha, </w:t>
      </w:r>
      <w:r w:rsidRPr="00D63217">
        <w:rPr>
          <w:i/>
          <w:iCs/>
        </w:rPr>
        <w:t>Avena sativa</w:t>
      </w:r>
      <w:r w:rsidRPr="00D63217">
        <w:t>). However, because paraquat is a non-selective contact herbicide, post-emergent foliar exposure is of greatest concern. Under laboratory conditions, rough cocklebur was the most sensitive species following foliar exposure (ER</w:t>
      </w:r>
      <w:r w:rsidRPr="00D63217">
        <w:rPr>
          <w:vertAlign w:val="subscript"/>
        </w:rPr>
        <w:t>50</w:t>
      </w:r>
      <w:r w:rsidRPr="00D63217">
        <w:t xml:space="preserve"> 25 g ac/ha, </w:t>
      </w:r>
      <w:r w:rsidRPr="00D63217">
        <w:rPr>
          <w:i/>
          <w:iCs/>
        </w:rPr>
        <w:t>Xanthium strumarium</w:t>
      </w:r>
      <w:r w:rsidRPr="00D63217">
        <w:t>). An SSD analysis was performed on the post-emergent ER</w:t>
      </w:r>
      <w:r w:rsidRPr="00D63217">
        <w:rPr>
          <w:vertAlign w:val="subscript"/>
        </w:rPr>
        <w:t>50</w:t>
      </w:r>
      <w:r w:rsidRPr="00D63217">
        <w:t xml:space="preserve"> values for 12 non-target terrestrial plant species.</w:t>
      </w:r>
      <w:r w:rsidRPr="00D63217" w:rsidDel="00C12D4C">
        <w:t xml:space="preserve"> </w:t>
      </w:r>
      <w:r w:rsidRPr="00D63217">
        <w:t>An HR</w:t>
      </w:r>
      <w:r w:rsidRPr="00D63217">
        <w:rPr>
          <w:vertAlign w:val="subscript"/>
        </w:rPr>
        <w:t>5</w:t>
      </w:r>
      <w:r w:rsidRPr="00D63217">
        <w:t xml:space="preserve"> of </w:t>
      </w:r>
      <w:r w:rsidR="007B375C">
        <w:t>31</w:t>
      </w:r>
      <w:r w:rsidR="007B375C" w:rsidRPr="00D63217">
        <w:t> </w:t>
      </w:r>
      <w:r w:rsidRPr="00D63217">
        <w:t xml:space="preserve">g ac/ha was derived </w:t>
      </w:r>
      <w:r w:rsidR="009D61A7" w:rsidRPr="00D63217">
        <w:t>(</w:t>
      </w:r>
      <w:r w:rsidR="007B375C">
        <w:fldChar w:fldCharType="begin"/>
      </w:r>
      <w:r w:rsidR="007B375C">
        <w:instrText xml:space="preserve"> REF _Ref167302720 \h </w:instrText>
      </w:r>
      <w:r w:rsidR="007B375C">
        <w:fldChar w:fldCharType="separate"/>
      </w:r>
      <w:r w:rsidR="008A397D" w:rsidRPr="00D63217">
        <w:t xml:space="preserve">Table </w:t>
      </w:r>
      <w:r w:rsidR="008A397D">
        <w:rPr>
          <w:noProof/>
        </w:rPr>
        <w:t>30</w:t>
      </w:r>
      <w:r w:rsidR="007B375C">
        <w:fldChar w:fldCharType="end"/>
      </w:r>
      <w:r w:rsidR="009D61A7" w:rsidRPr="00D63217">
        <w:t>)</w:t>
      </w:r>
      <w:r w:rsidRPr="00D63217">
        <w:t>, which is higher than the lowest ER</w:t>
      </w:r>
      <w:r w:rsidRPr="00D63217">
        <w:rPr>
          <w:vertAlign w:val="subscript"/>
        </w:rPr>
        <w:t>50</w:t>
      </w:r>
      <w:r w:rsidRPr="00D63217">
        <w:t xml:space="preserve"> value. As such the lower limit HR</w:t>
      </w:r>
      <w:r w:rsidRPr="00D63217">
        <w:rPr>
          <w:vertAlign w:val="subscript"/>
        </w:rPr>
        <w:t>5</w:t>
      </w:r>
      <w:r w:rsidRPr="00D63217">
        <w:t xml:space="preserve"> of </w:t>
      </w:r>
      <w:r w:rsidR="007B375C">
        <w:t>11</w:t>
      </w:r>
      <w:r w:rsidR="007B375C" w:rsidRPr="00D63217">
        <w:t xml:space="preserve"> </w:t>
      </w:r>
      <w:r w:rsidRPr="00D63217">
        <w:t>g ac/ha was selected as the RAL for the protection of vegetation areas.</w:t>
      </w:r>
    </w:p>
    <w:p w14:paraId="0A8F133C" w14:textId="6983E16B" w:rsidR="005F322A" w:rsidRPr="00D63217" w:rsidRDefault="005F322A" w:rsidP="005F322A">
      <w:pPr>
        <w:pStyle w:val="NormalText"/>
      </w:pPr>
      <w:r w:rsidRPr="00D63217">
        <w:t>In terms of endocrine disrupting properties, results in non-mammalian species are either equivocal or negative. No targeted studies were available to mechanistically understand the reproductive toxicity to non-mammalian species; therefore, it is not possible to assess whether any observed effects were endocrine-mediated. Therefore, no firm conclusion can be drawn regarding endocrine effects of paraquat</w:t>
      </w:r>
      <w:r w:rsidR="00B47BE5">
        <w:t xml:space="preserve"> based on the available information in non-mammalian </w:t>
      </w:r>
      <w:r w:rsidR="00CD4B55">
        <w:t>species</w:t>
      </w:r>
      <w:r w:rsidRPr="00D63217">
        <w:t>.</w:t>
      </w:r>
    </w:p>
    <w:p w14:paraId="2DE1A3F6" w14:textId="38436F16" w:rsidR="005F322A" w:rsidRPr="00D63217" w:rsidRDefault="005F322A" w:rsidP="005F322A">
      <w:pPr>
        <w:pStyle w:val="NormalText"/>
      </w:pPr>
      <w:r w:rsidRPr="00D63217">
        <w:lastRenderedPageBreak/>
        <w:t>The regulatory acceptable levels (RALs) for the environmental risk assessment are pro</w:t>
      </w:r>
      <w:r w:rsidR="00644EBA">
        <w:t xml:space="preserve">vided </w:t>
      </w:r>
      <w:r w:rsidRPr="00D63217">
        <w:t xml:space="preserve">in </w:t>
      </w:r>
      <w:r w:rsidR="009D61A7" w:rsidRPr="00D63217">
        <w:fldChar w:fldCharType="begin"/>
      </w:r>
      <w:r w:rsidR="009D61A7" w:rsidRPr="00D63217">
        <w:instrText xml:space="preserve"> REF _Ref158985015 \h </w:instrText>
      </w:r>
      <w:r w:rsidR="00D63217">
        <w:instrText xml:space="preserve"> \* MERGEFORMAT </w:instrText>
      </w:r>
      <w:r w:rsidR="009D61A7" w:rsidRPr="00D63217">
        <w:fldChar w:fldCharType="separate"/>
      </w:r>
      <w:r w:rsidR="008A397D" w:rsidRPr="00D63217">
        <w:t xml:space="preserve">Table </w:t>
      </w:r>
      <w:r w:rsidR="008A397D">
        <w:rPr>
          <w:noProof/>
        </w:rPr>
        <w:t>31</w:t>
      </w:r>
      <w:r w:rsidR="009D61A7" w:rsidRPr="00D63217">
        <w:fldChar w:fldCharType="end"/>
      </w:r>
      <w:r w:rsidRPr="00D63217">
        <w:t xml:space="preserve">. The RAL values for the spray drift assessment are </w:t>
      </w:r>
      <w:r w:rsidR="007B375C">
        <w:t>0.15</w:t>
      </w:r>
      <w:r w:rsidRPr="00D63217">
        <w:t xml:space="preserve"> µg ac/L for the protection of natural aquatic areas, 2667 g ac/ha for the protection of pollinator areas, and </w:t>
      </w:r>
      <w:r w:rsidR="007B375C">
        <w:t>11</w:t>
      </w:r>
      <w:r w:rsidR="007B375C" w:rsidRPr="00D63217">
        <w:t> </w:t>
      </w:r>
      <w:r w:rsidRPr="00D63217">
        <w:t>g ac/ha for the protection of vegetation areas.</w:t>
      </w:r>
    </w:p>
    <w:p w14:paraId="381227D5" w14:textId="43B18427" w:rsidR="005F322A" w:rsidRPr="00FF5F7A" w:rsidRDefault="005F322A" w:rsidP="00FF5F7A">
      <w:pPr>
        <w:pStyle w:val="Caption"/>
      </w:pPr>
      <w:bookmarkStart w:id="475" w:name="_Ref167302559"/>
      <w:bookmarkStart w:id="476" w:name="_Toc230692295"/>
      <w:bookmarkStart w:id="477" w:name="_Toc233036516"/>
      <w:r w:rsidRPr="00FF5F7A">
        <w:t xml:space="preserve">Table </w:t>
      </w:r>
      <w:fldSimple w:instr=" SEQ Table \* ARABIC ">
        <w:r w:rsidR="00FF5F7A">
          <w:rPr>
            <w:noProof/>
          </w:rPr>
          <w:t>29</w:t>
        </w:r>
      </w:fldSimple>
      <w:bookmarkEnd w:id="475"/>
      <w:r w:rsidRPr="00FF5F7A">
        <w:t xml:space="preserve">: </w:t>
      </w:r>
      <w:r w:rsidR="00CA7D37" w:rsidRPr="00FF5F7A">
        <w:t>Paraquat – T</w:t>
      </w:r>
      <w:r w:rsidRPr="00FF5F7A">
        <w:t>oxicity</w:t>
      </w:r>
      <w:r w:rsidR="00CA7D37" w:rsidRPr="00FF5F7A">
        <w:t xml:space="preserve"> </w:t>
      </w:r>
      <w:r w:rsidRPr="00FF5F7A">
        <w:t>endpoints for primary producers used in SSD analysis</w:t>
      </w:r>
      <w:bookmarkEnd w:id="476"/>
      <w:bookmarkEnd w:id="4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2"/>
        <w:gridCol w:w="994"/>
        <w:gridCol w:w="2080"/>
        <w:gridCol w:w="2220"/>
        <w:gridCol w:w="2072"/>
      </w:tblGrid>
      <w:tr w:rsidR="005F322A" w:rsidRPr="00D63217" w14:paraId="5DBF9108" w14:textId="77777777" w:rsidTr="00783D18">
        <w:trPr>
          <w:tblHeader/>
        </w:trPr>
        <w:tc>
          <w:tcPr>
            <w:tcW w:w="1175" w:type="pct"/>
            <w:tcBorders>
              <w:bottom w:val="single" w:sz="4" w:space="0" w:color="auto"/>
            </w:tcBorders>
            <w:shd w:val="clear" w:color="auto" w:fill="5C2946"/>
          </w:tcPr>
          <w:p w14:paraId="2B8ED672" w14:textId="77777777" w:rsidR="005F322A" w:rsidRPr="00FF5F7A" w:rsidRDefault="005F322A" w:rsidP="00FF5F7A">
            <w:pPr>
              <w:pStyle w:val="TableHead"/>
            </w:pPr>
            <w:r w:rsidRPr="00FF5F7A">
              <w:t>Species</w:t>
            </w:r>
          </w:p>
        </w:tc>
        <w:tc>
          <w:tcPr>
            <w:tcW w:w="516" w:type="pct"/>
            <w:tcBorders>
              <w:bottom w:val="single" w:sz="4" w:space="0" w:color="auto"/>
            </w:tcBorders>
            <w:shd w:val="clear" w:color="auto" w:fill="5C2946"/>
          </w:tcPr>
          <w:p w14:paraId="21C59281" w14:textId="77777777" w:rsidR="005F322A" w:rsidRPr="00FF5F7A" w:rsidRDefault="005F322A" w:rsidP="00FF5F7A">
            <w:pPr>
              <w:pStyle w:val="TableHead"/>
            </w:pPr>
            <w:r w:rsidRPr="00FF5F7A">
              <w:t>Exposure days</w:t>
            </w:r>
          </w:p>
        </w:tc>
        <w:tc>
          <w:tcPr>
            <w:tcW w:w="1080" w:type="pct"/>
            <w:tcBorders>
              <w:bottom w:val="single" w:sz="4" w:space="0" w:color="auto"/>
            </w:tcBorders>
            <w:shd w:val="clear" w:color="auto" w:fill="5C2946"/>
          </w:tcPr>
          <w:p w14:paraId="33923675" w14:textId="77777777" w:rsidR="005F322A" w:rsidRPr="00FF5F7A" w:rsidRDefault="005F322A" w:rsidP="00FF5F7A">
            <w:pPr>
              <w:pStyle w:val="TableHead"/>
            </w:pPr>
            <w:r w:rsidRPr="00FF5F7A">
              <w:t>Measured EC</w:t>
            </w:r>
            <w:r w:rsidRPr="00FF5F7A">
              <w:rPr>
                <w:vertAlign w:val="subscript"/>
              </w:rPr>
              <w:t>50</w:t>
            </w:r>
          </w:p>
        </w:tc>
        <w:tc>
          <w:tcPr>
            <w:tcW w:w="1153" w:type="pct"/>
            <w:tcBorders>
              <w:bottom w:val="single" w:sz="4" w:space="0" w:color="auto"/>
            </w:tcBorders>
            <w:shd w:val="clear" w:color="auto" w:fill="5C2946"/>
          </w:tcPr>
          <w:p w14:paraId="0B3FE6F2" w14:textId="77777777" w:rsidR="005F322A" w:rsidRPr="00FF5F7A" w:rsidRDefault="005F322A" w:rsidP="00FF5F7A">
            <w:pPr>
              <w:pStyle w:val="TableHead"/>
            </w:pPr>
            <w:r w:rsidRPr="00FF5F7A">
              <w:t>Adjusted EC</w:t>
            </w:r>
            <w:r w:rsidRPr="00FF5F7A">
              <w:rPr>
                <w:vertAlign w:val="subscript"/>
              </w:rPr>
              <w:t>50</w:t>
            </w:r>
          </w:p>
        </w:tc>
        <w:tc>
          <w:tcPr>
            <w:tcW w:w="1076" w:type="pct"/>
            <w:tcBorders>
              <w:bottom w:val="single" w:sz="4" w:space="0" w:color="auto"/>
            </w:tcBorders>
            <w:shd w:val="clear" w:color="auto" w:fill="5C2946"/>
          </w:tcPr>
          <w:p w14:paraId="2D8B8D7C" w14:textId="77777777" w:rsidR="005F322A" w:rsidRPr="00FF5F7A" w:rsidRDefault="005F322A" w:rsidP="00FF5F7A">
            <w:pPr>
              <w:pStyle w:val="TableHead"/>
            </w:pPr>
            <w:r w:rsidRPr="00FF5F7A">
              <w:t>Notes</w:t>
            </w:r>
          </w:p>
        </w:tc>
      </w:tr>
      <w:tr w:rsidR="005F322A" w:rsidRPr="00D63217" w14:paraId="79848E55" w14:textId="77777777" w:rsidTr="00783D18">
        <w:tc>
          <w:tcPr>
            <w:tcW w:w="1175" w:type="pct"/>
            <w:tcBorders>
              <w:top w:val="single" w:sz="4" w:space="0" w:color="auto"/>
              <w:left w:val="nil"/>
              <w:bottom w:val="nil"/>
              <w:right w:val="nil"/>
            </w:tcBorders>
          </w:tcPr>
          <w:p w14:paraId="7410BA40" w14:textId="520AAB5E" w:rsidR="005F322A" w:rsidRPr="00D63217" w:rsidRDefault="005F322A" w:rsidP="002D47CC">
            <w:pPr>
              <w:pStyle w:val="TableText"/>
              <w:keepNext/>
              <w:keepLines/>
              <w:spacing w:before="0" w:after="0" w:line="240" w:lineRule="auto"/>
              <w:rPr>
                <w:i/>
                <w:iCs/>
              </w:rPr>
            </w:pPr>
            <w:r w:rsidRPr="00D63217">
              <w:rPr>
                <w:i/>
                <w:iCs/>
              </w:rPr>
              <w:t>Navicula pelliculosa</w:t>
            </w:r>
            <w:r w:rsidR="002D47CC" w:rsidRPr="00D63217">
              <w:rPr>
                <w:i/>
                <w:iCs/>
              </w:rPr>
              <w:br/>
            </w:r>
            <w:r w:rsidRPr="00D63217">
              <w:rPr>
                <w:i/>
                <w:iCs/>
              </w:rPr>
              <w:t>Anabaena flos-aquae</w:t>
            </w:r>
            <w:r w:rsidR="002D47CC" w:rsidRPr="00D63217">
              <w:rPr>
                <w:i/>
                <w:iCs/>
              </w:rPr>
              <w:br/>
            </w:r>
            <w:r w:rsidRPr="00D63217">
              <w:rPr>
                <w:i/>
                <w:iCs/>
              </w:rPr>
              <w:t>Lemna minor</w:t>
            </w:r>
            <w:r w:rsidR="002D47CC" w:rsidRPr="00D63217">
              <w:rPr>
                <w:i/>
                <w:iCs/>
              </w:rPr>
              <w:br/>
            </w:r>
            <w:r w:rsidRPr="00D63217">
              <w:rPr>
                <w:i/>
                <w:iCs/>
              </w:rPr>
              <w:t>Chlamydomonas reinhardtii</w:t>
            </w:r>
            <w:r w:rsidR="002D47CC" w:rsidRPr="00D63217">
              <w:rPr>
                <w:i/>
                <w:iCs/>
              </w:rPr>
              <w:br/>
            </w:r>
            <w:r w:rsidRPr="00D63217">
              <w:rPr>
                <w:i/>
                <w:iCs/>
              </w:rPr>
              <w:t>Raphidocelis subcapitata</w:t>
            </w:r>
            <w:r w:rsidR="002D47CC" w:rsidRPr="00D63217">
              <w:rPr>
                <w:i/>
                <w:iCs/>
              </w:rPr>
              <w:br/>
            </w:r>
            <w:r w:rsidRPr="00D63217">
              <w:rPr>
                <w:i/>
                <w:iCs/>
              </w:rPr>
              <w:t>Lemna gibba</w:t>
            </w:r>
            <w:r w:rsidR="002D47CC" w:rsidRPr="00D63217">
              <w:rPr>
                <w:i/>
                <w:iCs/>
              </w:rPr>
              <w:br/>
            </w:r>
            <w:r w:rsidRPr="00D63217">
              <w:rPr>
                <w:i/>
                <w:iCs/>
              </w:rPr>
              <w:t>Chlorella vulgaris</w:t>
            </w:r>
            <w:r w:rsidR="002D47CC" w:rsidRPr="00D63217">
              <w:rPr>
                <w:i/>
                <w:iCs/>
              </w:rPr>
              <w:br/>
            </w:r>
            <w:r w:rsidRPr="00D63217">
              <w:rPr>
                <w:i/>
                <w:iCs/>
              </w:rPr>
              <w:t>Skeletonema costatum</w:t>
            </w:r>
          </w:p>
        </w:tc>
        <w:tc>
          <w:tcPr>
            <w:tcW w:w="516" w:type="pct"/>
            <w:tcBorders>
              <w:top w:val="single" w:sz="4" w:space="0" w:color="auto"/>
              <w:left w:val="nil"/>
              <w:bottom w:val="nil"/>
              <w:right w:val="nil"/>
            </w:tcBorders>
          </w:tcPr>
          <w:p w14:paraId="69165174" w14:textId="6F43A676" w:rsidR="005F322A" w:rsidRPr="00D63217" w:rsidRDefault="005F322A" w:rsidP="002D47CC">
            <w:pPr>
              <w:pStyle w:val="TableText"/>
              <w:keepNext/>
              <w:keepLines/>
              <w:spacing w:before="0" w:after="0" w:line="240" w:lineRule="auto"/>
              <w:jc w:val="center"/>
            </w:pPr>
            <w:r w:rsidRPr="00D63217">
              <w:t>4</w:t>
            </w:r>
            <w:r w:rsidR="002D47CC" w:rsidRPr="00D63217">
              <w:br/>
            </w:r>
            <w:r w:rsidRPr="00D63217">
              <w:t>5</w:t>
            </w:r>
            <w:r w:rsidR="002D47CC" w:rsidRPr="00D63217">
              <w:br/>
            </w:r>
            <w:r w:rsidRPr="00D63217">
              <w:t>7</w:t>
            </w:r>
            <w:r w:rsidR="002D47CC" w:rsidRPr="00D63217">
              <w:br/>
            </w:r>
            <w:r w:rsidRPr="00D63217">
              <w:t>3</w:t>
            </w:r>
            <w:r w:rsidR="002D47CC" w:rsidRPr="00D63217">
              <w:br/>
            </w:r>
            <w:r w:rsidRPr="00D63217">
              <w:t>4</w:t>
            </w:r>
            <w:r w:rsidR="002D47CC" w:rsidRPr="00D63217">
              <w:br/>
            </w:r>
            <w:r w:rsidRPr="00D63217">
              <w:t>7/14*</w:t>
            </w:r>
            <w:r w:rsidR="002D47CC" w:rsidRPr="00D63217">
              <w:br/>
            </w:r>
            <w:r w:rsidRPr="00D63217">
              <w:t>4</w:t>
            </w:r>
            <w:r w:rsidR="002D47CC" w:rsidRPr="00D63217">
              <w:br/>
            </w:r>
            <w:r w:rsidRPr="00D63217">
              <w:t>4</w:t>
            </w:r>
          </w:p>
        </w:tc>
        <w:tc>
          <w:tcPr>
            <w:tcW w:w="1080" w:type="pct"/>
            <w:tcBorders>
              <w:top w:val="single" w:sz="4" w:space="0" w:color="auto"/>
              <w:left w:val="nil"/>
              <w:bottom w:val="nil"/>
              <w:right w:val="nil"/>
            </w:tcBorders>
          </w:tcPr>
          <w:p w14:paraId="51BF9BEE" w14:textId="7E5F57B9" w:rsidR="005F322A" w:rsidRPr="00A300B2" w:rsidRDefault="005F322A" w:rsidP="002D47CC">
            <w:pPr>
              <w:pStyle w:val="TableText"/>
              <w:keepNext/>
              <w:keepLines/>
              <w:spacing w:before="0" w:after="0" w:line="240" w:lineRule="auto"/>
            </w:pPr>
            <w:r w:rsidRPr="00A300B2">
              <w:t>0.00034 mg ac/L</w:t>
            </w:r>
            <w:r w:rsidR="002D47CC" w:rsidRPr="00A300B2">
              <w:br/>
            </w:r>
            <w:r w:rsidRPr="00A300B2">
              <w:t>0.0078 mg ac/L</w:t>
            </w:r>
            <w:r w:rsidR="002D47CC" w:rsidRPr="00A300B2">
              <w:br/>
            </w:r>
            <w:r w:rsidRPr="00A300B2">
              <w:t>0.015 mg ac/L</w:t>
            </w:r>
            <w:r w:rsidR="002D47CC" w:rsidRPr="00A300B2">
              <w:br/>
            </w:r>
            <w:r w:rsidR="00783D18" w:rsidRPr="00A300B2">
              <w:t>0.045</w:t>
            </w:r>
            <w:r w:rsidRPr="00A300B2">
              <w:t xml:space="preserve"> mg ac/L</w:t>
            </w:r>
            <w:r w:rsidR="002D47CC" w:rsidRPr="00A300B2">
              <w:br/>
            </w:r>
            <w:r w:rsidR="00783D18" w:rsidRPr="00A300B2">
              <w:t>0.22</w:t>
            </w:r>
            <w:r w:rsidRPr="00A300B2">
              <w:t xml:space="preserve"> mg ac/L</w:t>
            </w:r>
            <w:r w:rsidR="002D47CC" w:rsidRPr="00A300B2">
              <w:br/>
            </w:r>
            <w:r w:rsidR="00783D18" w:rsidRPr="00A300B2">
              <w:t>0.038</w:t>
            </w:r>
            <w:r w:rsidRPr="00A300B2">
              <w:t xml:space="preserve"> mg ac/L</w:t>
            </w:r>
            <w:r w:rsidR="002D47CC" w:rsidRPr="00A300B2">
              <w:br/>
            </w:r>
            <w:r w:rsidRPr="00A300B2">
              <w:t>0.53 mg ac/L</w:t>
            </w:r>
            <w:r w:rsidR="002D47CC" w:rsidRPr="00A300B2">
              <w:br/>
            </w:r>
            <w:r w:rsidRPr="00A300B2">
              <w:t>5.9 mg ac/L</w:t>
            </w:r>
          </w:p>
        </w:tc>
        <w:tc>
          <w:tcPr>
            <w:tcW w:w="1153" w:type="pct"/>
            <w:tcBorders>
              <w:top w:val="single" w:sz="4" w:space="0" w:color="auto"/>
              <w:left w:val="nil"/>
              <w:bottom w:val="nil"/>
              <w:right w:val="nil"/>
            </w:tcBorders>
          </w:tcPr>
          <w:p w14:paraId="40918EF3" w14:textId="60F50E5C" w:rsidR="005F322A" w:rsidRPr="00A300B2" w:rsidRDefault="005F322A" w:rsidP="002D47CC">
            <w:pPr>
              <w:pStyle w:val="TableText"/>
              <w:keepNext/>
              <w:keepLines/>
              <w:spacing w:before="0" w:after="0" w:line="240" w:lineRule="auto"/>
            </w:pPr>
            <w:r w:rsidRPr="00A300B2">
              <w:t>0.00041 mg ac/L</w:t>
            </w:r>
            <w:r w:rsidR="002D47CC" w:rsidRPr="00A300B2">
              <w:br/>
            </w:r>
            <w:r w:rsidRPr="00A300B2">
              <w:t>0.0099 mg ac/L</w:t>
            </w:r>
            <w:r w:rsidR="002D47CC" w:rsidRPr="00A300B2">
              <w:br/>
            </w:r>
            <w:r w:rsidRPr="00A300B2">
              <w:t>0.021 mg ac/L</w:t>
            </w:r>
            <w:r w:rsidR="002D47CC" w:rsidRPr="00A300B2">
              <w:br/>
            </w:r>
            <w:r w:rsidR="00C35194" w:rsidRPr="00A300B2">
              <w:t>0.052</w:t>
            </w:r>
            <w:r w:rsidRPr="00A300B2">
              <w:t xml:space="preserve"> mg ac/L</w:t>
            </w:r>
            <w:r w:rsidR="002D47CC" w:rsidRPr="00A300B2">
              <w:br/>
            </w:r>
            <w:r w:rsidR="00C35194" w:rsidRPr="00A300B2">
              <w:t>0.27</w:t>
            </w:r>
            <w:r w:rsidRPr="00A300B2">
              <w:t xml:space="preserve"> mg ac/L</w:t>
            </w:r>
            <w:r w:rsidR="002D47CC" w:rsidRPr="00A300B2">
              <w:br/>
            </w:r>
            <w:r w:rsidR="00C35194" w:rsidRPr="00A300B2">
              <w:t>0.061</w:t>
            </w:r>
            <w:r w:rsidRPr="00A300B2">
              <w:t xml:space="preserve"> mg ac/L</w:t>
            </w:r>
            <w:r w:rsidR="002D47CC" w:rsidRPr="00A300B2">
              <w:br/>
            </w:r>
            <w:r w:rsidRPr="00A300B2">
              <w:t>0.64 mg ac/L</w:t>
            </w:r>
            <w:r w:rsidR="002D47CC" w:rsidRPr="00A300B2">
              <w:br/>
            </w:r>
            <w:r w:rsidRPr="00A300B2">
              <w:t>7.1 mg ac/L</w:t>
            </w:r>
          </w:p>
        </w:tc>
        <w:tc>
          <w:tcPr>
            <w:tcW w:w="1076" w:type="pct"/>
            <w:tcBorders>
              <w:top w:val="single" w:sz="4" w:space="0" w:color="auto"/>
              <w:left w:val="nil"/>
              <w:bottom w:val="nil"/>
              <w:right w:val="nil"/>
            </w:tcBorders>
          </w:tcPr>
          <w:p w14:paraId="2B25EA3A" w14:textId="77777777" w:rsidR="005F322A" w:rsidRPr="00A300B2" w:rsidRDefault="005F322A" w:rsidP="002C3D34">
            <w:pPr>
              <w:pStyle w:val="TableText"/>
              <w:keepNext/>
              <w:keepLines/>
              <w:spacing w:before="0" w:after="0" w:line="240" w:lineRule="auto"/>
            </w:pPr>
          </w:p>
          <w:p w14:paraId="689786C3" w14:textId="77777777" w:rsidR="005F322A" w:rsidRPr="00A300B2" w:rsidRDefault="005F322A" w:rsidP="002C3D34">
            <w:pPr>
              <w:pStyle w:val="TableText"/>
              <w:keepNext/>
              <w:keepLines/>
              <w:spacing w:before="0" w:after="0" w:line="240" w:lineRule="auto"/>
            </w:pPr>
          </w:p>
          <w:p w14:paraId="1819E2ED" w14:textId="77777777" w:rsidR="005F322A" w:rsidRPr="00A300B2" w:rsidRDefault="005F322A" w:rsidP="002C3D34">
            <w:pPr>
              <w:pStyle w:val="TableText"/>
              <w:keepNext/>
              <w:keepLines/>
              <w:spacing w:before="0" w:after="0" w:line="240" w:lineRule="auto"/>
            </w:pPr>
          </w:p>
          <w:p w14:paraId="3BC11662" w14:textId="6AD895C7" w:rsidR="005F322A" w:rsidRPr="00A300B2" w:rsidRDefault="005F322A" w:rsidP="00A440E4">
            <w:pPr>
              <w:pStyle w:val="TableText"/>
              <w:keepNext/>
              <w:keepLines/>
              <w:spacing w:before="0" w:after="0" w:line="240" w:lineRule="auto"/>
            </w:pPr>
            <w:r w:rsidRPr="00A300B2">
              <w:t xml:space="preserve">(geomean of </w:t>
            </w:r>
            <w:r w:rsidR="00783D18" w:rsidRPr="00A300B2">
              <w:t xml:space="preserve">2 </w:t>
            </w:r>
            <w:r w:rsidRPr="00A300B2">
              <w:t>studies)</w:t>
            </w:r>
            <w:r w:rsidR="00A440E4" w:rsidRPr="00A300B2">
              <w:br/>
            </w:r>
            <w:r w:rsidRPr="00A300B2">
              <w:t xml:space="preserve">(geomean of </w:t>
            </w:r>
            <w:r w:rsidR="00783D18" w:rsidRPr="00A300B2">
              <w:t xml:space="preserve">4 </w:t>
            </w:r>
            <w:r w:rsidRPr="00A300B2">
              <w:t>studies)</w:t>
            </w:r>
            <w:r w:rsidR="00A440E4" w:rsidRPr="00A300B2">
              <w:br/>
            </w:r>
            <w:r w:rsidRPr="00A300B2">
              <w:t>(geomean of 2 studies)</w:t>
            </w:r>
            <w:r w:rsidR="00A440E4" w:rsidRPr="00A300B2">
              <w:br/>
            </w:r>
          </w:p>
        </w:tc>
      </w:tr>
      <w:tr w:rsidR="005F322A" w:rsidRPr="00D63217" w14:paraId="78877A79" w14:textId="77777777" w:rsidTr="00A300B2">
        <w:tc>
          <w:tcPr>
            <w:tcW w:w="1175" w:type="pct"/>
            <w:tcBorders>
              <w:top w:val="nil"/>
              <w:left w:val="nil"/>
              <w:bottom w:val="single" w:sz="4" w:space="0" w:color="auto"/>
              <w:right w:val="nil"/>
            </w:tcBorders>
          </w:tcPr>
          <w:p w14:paraId="6D553FD2" w14:textId="77777777" w:rsidR="005F322A" w:rsidRPr="00D63217" w:rsidRDefault="005F322A" w:rsidP="002C3D34">
            <w:pPr>
              <w:pStyle w:val="TableText"/>
              <w:keepNext/>
              <w:keepLines/>
              <w:spacing w:before="0" w:after="0" w:line="240" w:lineRule="auto"/>
            </w:pPr>
          </w:p>
        </w:tc>
        <w:tc>
          <w:tcPr>
            <w:tcW w:w="516" w:type="pct"/>
            <w:tcBorders>
              <w:top w:val="nil"/>
              <w:left w:val="nil"/>
              <w:bottom w:val="single" w:sz="4" w:space="0" w:color="auto"/>
              <w:right w:val="nil"/>
            </w:tcBorders>
          </w:tcPr>
          <w:p w14:paraId="7A7E5FAF" w14:textId="77777777" w:rsidR="005F322A" w:rsidRPr="00D63217" w:rsidRDefault="005F322A" w:rsidP="002C3D34">
            <w:pPr>
              <w:pStyle w:val="TableText"/>
              <w:keepNext/>
              <w:keepLines/>
              <w:spacing w:before="0" w:after="0" w:line="240" w:lineRule="auto"/>
              <w:jc w:val="right"/>
            </w:pPr>
            <w:r w:rsidRPr="00D63217">
              <w:t>HC</w:t>
            </w:r>
            <w:r w:rsidRPr="00D63217">
              <w:rPr>
                <w:vertAlign w:val="subscript"/>
              </w:rPr>
              <w:t>5</w:t>
            </w:r>
          </w:p>
        </w:tc>
        <w:tc>
          <w:tcPr>
            <w:tcW w:w="1080" w:type="pct"/>
            <w:tcBorders>
              <w:top w:val="nil"/>
              <w:left w:val="nil"/>
              <w:bottom w:val="single" w:sz="4" w:space="0" w:color="auto"/>
              <w:right w:val="nil"/>
            </w:tcBorders>
          </w:tcPr>
          <w:p w14:paraId="6352F68C" w14:textId="77777777" w:rsidR="00C35194" w:rsidRDefault="00C35194" w:rsidP="00C35194">
            <w:pPr>
              <w:pStyle w:val="TableText"/>
              <w:spacing w:before="0" w:after="0"/>
              <w:rPr>
                <w:lang w:eastAsia="en-AU"/>
              </w:rPr>
            </w:pPr>
            <w:r>
              <w:rPr>
                <w:lang w:eastAsia="en-AU"/>
              </w:rPr>
              <w:t>0.00035 mg ac/L</w:t>
            </w:r>
          </w:p>
          <w:p w14:paraId="250272A1" w14:textId="638DB244" w:rsidR="005F322A" w:rsidRPr="00D63217" w:rsidRDefault="00C35194" w:rsidP="00C35194">
            <w:pPr>
              <w:pStyle w:val="TableText"/>
              <w:keepNext/>
              <w:keepLines/>
              <w:spacing w:before="0" w:after="0" w:line="240" w:lineRule="auto"/>
            </w:pPr>
            <w:r>
              <w:rPr>
                <w:lang w:eastAsia="en-AU"/>
              </w:rPr>
              <w:t>(95% CI 0.000002-0.013)</w:t>
            </w:r>
          </w:p>
        </w:tc>
        <w:tc>
          <w:tcPr>
            <w:tcW w:w="1153" w:type="pct"/>
            <w:tcBorders>
              <w:top w:val="nil"/>
              <w:left w:val="nil"/>
              <w:bottom w:val="single" w:sz="4" w:space="0" w:color="auto"/>
              <w:right w:val="nil"/>
            </w:tcBorders>
          </w:tcPr>
          <w:p w14:paraId="719DB114" w14:textId="77777777" w:rsidR="00C35194" w:rsidRDefault="00C35194" w:rsidP="00C35194">
            <w:pPr>
              <w:pStyle w:val="TableText"/>
              <w:spacing w:before="0" w:after="0"/>
              <w:rPr>
                <w:lang w:eastAsia="en-AU"/>
              </w:rPr>
            </w:pPr>
            <w:r>
              <w:rPr>
                <w:lang w:eastAsia="en-AU"/>
              </w:rPr>
              <w:t>0.00045 mg ac/L</w:t>
            </w:r>
          </w:p>
          <w:p w14:paraId="5BCE8952" w14:textId="149B430E" w:rsidR="005F322A" w:rsidRPr="00D63217" w:rsidRDefault="00C35194" w:rsidP="00C35194">
            <w:pPr>
              <w:pStyle w:val="TableText"/>
              <w:keepNext/>
              <w:keepLines/>
              <w:spacing w:before="0" w:after="0" w:line="240" w:lineRule="auto"/>
            </w:pPr>
            <w:r>
              <w:rPr>
                <w:lang w:eastAsia="en-AU"/>
              </w:rPr>
              <w:t>(95% CI 0.000002-0.018)</w:t>
            </w:r>
          </w:p>
        </w:tc>
        <w:tc>
          <w:tcPr>
            <w:tcW w:w="1076" w:type="pct"/>
            <w:tcBorders>
              <w:top w:val="nil"/>
              <w:left w:val="nil"/>
              <w:bottom w:val="single" w:sz="4" w:space="0" w:color="auto"/>
              <w:right w:val="nil"/>
            </w:tcBorders>
          </w:tcPr>
          <w:p w14:paraId="1D76FAFD" w14:textId="41A82E41" w:rsidR="005F322A" w:rsidRPr="00D63217" w:rsidRDefault="00C35194" w:rsidP="00C35194">
            <w:pPr>
              <w:pStyle w:val="TableText"/>
              <w:keepNext/>
              <w:keepLines/>
              <w:spacing w:before="0" w:after="0" w:line="240" w:lineRule="auto"/>
              <w:rPr>
                <w:color w:val="000000"/>
              </w:rPr>
            </w:pPr>
            <w:r>
              <w:rPr>
                <w:lang w:eastAsia="en-AU"/>
              </w:rPr>
              <w:t>Model average result</w:t>
            </w:r>
            <w:r w:rsidR="007B375C">
              <w:rPr>
                <w:rStyle w:val="FootnoteReference"/>
                <w:lang w:eastAsia="en-AU"/>
              </w:rPr>
              <w:footnoteReference w:id="17"/>
            </w:r>
            <w:r>
              <w:rPr>
                <w:lang w:eastAsia="en-AU"/>
              </w:rPr>
              <w:t xml:space="preserve"> based on gamma, log-gumbel, log-logistic, log-normal, log-normal_log-normal, and Weibull distributions</w:t>
            </w:r>
            <w:r w:rsidRPr="00D63217">
              <w:rPr>
                <w:color w:val="000000"/>
              </w:rPr>
              <w:t xml:space="preserve"> </w:t>
            </w:r>
            <w:r w:rsidR="005F322A" w:rsidRPr="00D63217">
              <w:rPr>
                <w:color w:val="000000"/>
              </w:rPr>
              <w:t>(8 species)</w:t>
            </w:r>
          </w:p>
        </w:tc>
      </w:tr>
    </w:tbl>
    <w:p w14:paraId="00726780" w14:textId="77777777" w:rsidR="005F322A" w:rsidRPr="00D63217" w:rsidRDefault="005F322A" w:rsidP="00A440E4">
      <w:pPr>
        <w:pStyle w:val="SourceTableNote"/>
      </w:pPr>
      <w:r w:rsidRPr="00D63217">
        <w:t>Endpoints from Table B10 in Appendix B have been adjusted to account for rapid dissipation from the water column under natural conditions (adjusted EC</w:t>
      </w:r>
      <w:r w:rsidRPr="00D63217">
        <w:rPr>
          <w:vertAlign w:val="subscript"/>
        </w:rPr>
        <w:t>50</w:t>
      </w:r>
      <w:r w:rsidRPr="00D63217">
        <w:t xml:space="preserve"> = measured</w:t>
      </w:r>
      <w:r w:rsidRPr="00D63217" w:rsidDel="00F617D6">
        <w:t xml:space="preserve"> </w:t>
      </w:r>
      <w:r w:rsidRPr="00D63217">
        <w:t>EC</w:t>
      </w:r>
      <w:r w:rsidRPr="00D63217">
        <w:rPr>
          <w:vertAlign w:val="subscript"/>
        </w:rPr>
        <w:t>50</w:t>
      </w:r>
      <w:r w:rsidRPr="00D63217">
        <w:t xml:space="preserve"> / (1 - EXP (exposure days * (-ln(2)/DT</w:t>
      </w:r>
      <w:r w:rsidRPr="00D63217">
        <w:rPr>
          <w:vertAlign w:val="subscript"/>
        </w:rPr>
        <w:t>50</w:t>
      </w:r>
      <w:r w:rsidRPr="00D63217">
        <w:t xml:space="preserve"> 7.0 days))) * (exposure days * ln(2)/DT</w:t>
      </w:r>
      <w:r w:rsidRPr="00D63217">
        <w:rPr>
          <w:vertAlign w:val="subscript"/>
        </w:rPr>
        <w:t>50</w:t>
      </w:r>
      <w:r w:rsidRPr="00D63217">
        <w:t xml:space="preserve"> 7.0 days)</w:t>
      </w:r>
    </w:p>
    <w:p w14:paraId="3FF95093" w14:textId="6F510427" w:rsidR="005F322A" w:rsidRPr="00D63217" w:rsidRDefault="005F322A" w:rsidP="00A440E4">
      <w:pPr>
        <w:pStyle w:val="SourceTableNote"/>
      </w:pPr>
      <w:r w:rsidRPr="00D63217">
        <w:t>*7d E</w:t>
      </w:r>
      <w:r w:rsidRPr="00D63217">
        <w:rPr>
          <w:vertAlign w:val="subscript"/>
        </w:rPr>
        <w:t>r</w:t>
      </w:r>
      <w:r w:rsidRPr="00D63217">
        <w:t>C</w:t>
      </w:r>
      <w:r w:rsidRPr="00D63217">
        <w:rPr>
          <w:vertAlign w:val="subscript"/>
        </w:rPr>
        <w:t>50</w:t>
      </w:r>
      <w:r w:rsidRPr="00D63217">
        <w:t xml:space="preserve"> 0.031 and 14d E</w:t>
      </w:r>
      <w:r w:rsidRPr="00D63217">
        <w:rPr>
          <w:vertAlign w:val="subscript"/>
        </w:rPr>
        <w:t>r</w:t>
      </w:r>
      <w:r w:rsidRPr="00D63217">
        <w:t>C</w:t>
      </w:r>
      <w:r w:rsidRPr="00D63217">
        <w:rPr>
          <w:vertAlign w:val="subscript"/>
        </w:rPr>
        <w:t>50</w:t>
      </w:r>
      <w:r w:rsidRPr="00D63217">
        <w:t xml:space="preserve"> </w:t>
      </w:r>
      <w:r w:rsidR="00C35194" w:rsidRPr="00A300B2">
        <w:t>0.047</w:t>
      </w:r>
      <w:r w:rsidRPr="00A300B2">
        <w:t xml:space="preserve"> mg ac/L</w:t>
      </w:r>
    </w:p>
    <w:p w14:paraId="5A94DE49" w14:textId="73BE1990" w:rsidR="005F322A" w:rsidRPr="00FF5F7A" w:rsidRDefault="005F322A" w:rsidP="00FF5F7A">
      <w:pPr>
        <w:pStyle w:val="Caption"/>
      </w:pPr>
      <w:bookmarkStart w:id="478" w:name="_Ref167302720"/>
      <w:bookmarkStart w:id="479" w:name="_Hlk153273314"/>
      <w:bookmarkStart w:id="480" w:name="_Toc230692296"/>
      <w:bookmarkStart w:id="481" w:name="_Toc233036517"/>
      <w:r w:rsidRPr="00FF5F7A">
        <w:t xml:space="preserve">Table </w:t>
      </w:r>
      <w:fldSimple w:instr=" SEQ Table \* ARABIC ">
        <w:r w:rsidR="00FF5F7A">
          <w:rPr>
            <w:noProof/>
          </w:rPr>
          <w:t>30</w:t>
        </w:r>
      </w:fldSimple>
      <w:bookmarkEnd w:id="478"/>
      <w:r w:rsidRPr="00FF5F7A">
        <w:t>:</w:t>
      </w:r>
      <w:bookmarkEnd w:id="479"/>
      <w:r w:rsidRPr="00FF5F7A">
        <w:t xml:space="preserve"> </w:t>
      </w:r>
      <w:r w:rsidR="00CA7D37" w:rsidRPr="00FF5F7A">
        <w:t xml:space="preserve">Paraquat – </w:t>
      </w:r>
      <w:r w:rsidRPr="00FF5F7A">
        <w:t>Post-emergent toxicity endpoints for non-target terrestrial plants used in SSD analysis</w:t>
      </w:r>
      <w:bookmarkEnd w:id="480"/>
      <w:bookmarkEnd w:id="4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1"/>
        <w:gridCol w:w="2729"/>
        <w:gridCol w:w="3268"/>
      </w:tblGrid>
      <w:tr w:rsidR="003B2DEA" w:rsidRPr="00D63217" w14:paraId="399D6B88" w14:textId="77777777" w:rsidTr="003B2DEA">
        <w:trPr>
          <w:tblHeader/>
        </w:trPr>
        <w:tc>
          <w:tcPr>
            <w:tcW w:w="1886" w:type="pct"/>
            <w:tcBorders>
              <w:bottom w:val="single" w:sz="4" w:space="0" w:color="auto"/>
            </w:tcBorders>
            <w:shd w:val="clear" w:color="auto" w:fill="5C2946"/>
          </w:tcPr>
          <w:p w14:paraId="1C207562" w14:textId="77777777" w:rsidR="003B2DEA" w:rsidRPr="00FF5F7A" w:rsidRDefault="003B2DEA" w:rsidP="00FF5F7A">
            <w:pPr>
              <w:pStyle w:val="TableHead"/>
            </w:pPr>
            <w:r w:rsidRPr="00FF5F7A">
              <w:t>Species</w:t>
            </w:r>
          </w:p>
        </w:tc>
        <w:tc>
          <w:tcPr>
            <w:tcW w:w="1417" w:type="pct"/>
            <w:tcBorders>
              <w:bottom w:val="single" w:sz="4" w:space="0" w:color="auto"/>
            </w:tcBorders>
            <w:shd w:val="clear" w:color="auto" w:fill="5C2946"/>
          </w:tcPr>
          <w:p w14:paraId="5B5267C8" w14:textId="77777777" w:rsidR="003B2DEA" w:rsidRPr="00FF5F7A" w:rsidRDefault="003B2DEA" w:rsidP="00FF5F7A">
            <w:pPr>
              <w:pStyle w:val="TableHead"/>
            </w:pPr>
            <w:r w:rsidRPr="00FF5F7A">
              <w:t>ER</w:t>
            </w:r>
            <w:r w:rsidRPr="00FF5F7A">
              <w:rPr>
                <w:vertAlign w:val="subscript"/>
              </w:rPr>
              <w:t>50</w:t>
            </w:r>
          </w:p>
        </w:tc>
        <w:tc>
          <w:tcPr>
            <w:tcW w:w="1697" w:type="pct"/>
            <w:tcBorders>
              <w:bottom w:val="single" w:sz="4" w:space="0" w:color="auto"/>
            </w:tcBorders>
            <w:shd w:val="clear" w:color="auto" w:fill="5C2946"/>
          </w:tcPr>
          <w:p w14:paraId="03644AFD" w14:textId="77777777" w:rsidR="003B2DEA" w:rsidRPr="00FF5F7A" w:rsidRDefault="003B2DEA" w:rsidP="00FF5F7A">
            <w:pPr>
              <w:pStyle w:val="TableHead"/>
            </w:pPr>
            <w:r w:rsidRPr="00FF5F7A">
              <w:t>Notes</w:t>
            </w:r>
          </w:p>
        </w:tc>
      </w:tr>
      <w:tr w:rsidR="003B2DEA" w:rsidRPr="00D63217" w14:paraId="529ACC69" w14:textId="77777777" w:rsidTr="003B2DEA">
        <w:tc>
          <w:tcPr>
            <w:tcW w:w="1886" w:type="pct"/>
            <w:tcBorders>
              <w:top w:val="single" w:sz="4" w:space="0" w:color="auto"/>
              <w:left w:val="nil"/>
              <w:bottom w:val="nil"/>
              <w:right w:val="nil"/>
            </w:tcBorders>
          </w:tcPr>
          <w:p w14:paraId="08F4DCAA" w14:textId="20790570" w:rsidR="003B2DEA" w:rsidRPr="006A7EE4" w:rsidRDefault="003B2DEA" w:rsidP="002D47CC">
            <w:pPr>
              <w:pStyle w:val="TableText"/>
              <w:spacing w:before="0" w:after="0" w:line="240" w:lineRule="auto"/>
              <w:rPr>
                <w:i/>
                <w:iCs/>
              </w:rPr>
            </w:pPr>
            <w:r w:rsidRPr="006A7EE4">
              <w:rPr>
                <w:i/>
                <w:iCs/>
              </w:rPr>
              <w:t>Xanthium strumarium</w:t>
            </w:r>
            <w:r w:rsidRPr="006A7EE4">
              <w:rPr>
                <w:i/>
                <w:iCs/>
              </w:rPr>
              <w:br/>
              <w:t>Lolium perenne</w:t>
            </w:r>
            <w:r w:rsidRPr="006A7EE4">
              <w:rPr>
                <w:i/>
                <w:iCs/>
              </w:rPr>
              <w:br/>
              <w:t>Beta vulgaris</w:t>
            </w:r>
            <w:r w:rsidRPr="006A7EE4">
              <w:rPr>
                <w:i/>
                <w:iCs/>
              </w:rPr>
              <w:br/>
              <w:t>Avena sativa</w:t>
            </w:r>
            <w:r w:rsidRPr="006A7EE4">
              <w:rPr>
                <w:i/>
                <w:iCs/>
              </w:rPr>
              <w:br/>
              <w:t>Abutilon theophrasti</w:t>
            </w:r>
            <w:r w:rsidRPr="006A7EE4">
              <w:rPr>
                <w:i/>
                <w:iCs/>
              </w:rPr>
              <w:br/>
              <w:t>Allium cepa</w:t>
            </w:r>
            <w:r w:rsidRPr="006A7EE4">
              <w:rPr>
                <w:i/>
                <w:iCs/>
              </w:rPr>
              <w:br/>
              <w:t>Brassica napus</w:t>
            </w:r>
            <w:r w:rsidRPr="006A7EE4">
              <w:rPr>
                <w:i/>
                <w:iCs/>
              </w:rPr>
              <w:br/>
              <w:t>Lycopersicon esculentum</w:t>
            </w:r>
            <w:r w:rsidRPr="006A7EE4">
              <w:rPr>
                <w:i/>
                <w:iCs/>
              </w:rPr>
              <w:br/>
              <w:t>Ipomoea hederacea</w:t>
            </w:r>
            <w:r w:rsidRPr="006A7EE4">
              <w:rPr>
                <w:i/>
                <w:iCs/>
              </w:rPr>
              <w:br/>
              <w:t>Zea mays</w:t>
            </w:r>
            <w:r w:rsidRPr="006A7EE4">
              <w:rPr>
                <w:i/>
                <w:iCs/>
              </w:rPr>
              <w:br/>
              <w:t>Cucumis sativa</w:t>
            </w:r>
            <w:r w:rsidRPr="006A7EE4">
              <w:rPr>
                <w:i/>
                <w:iCs/>
              </w:rPr>
              <w:br/>
              <w:t>Glycine max</w:t>
            </w:r>
            <w:r w:rsidRPr="006A7EE4">
              <w:rPr>
                <w:i/>
                <w:iCs/>
              </w:rPr>
              <w:br/>
              <w:t>Raphanus sativus</w:t>
            </w:r>
          </w:p>
        </w:tc>
        <w:tc>
          <w:tcPr>
            <w:tcW w:w="1417" w:type="pct"/>
            <w:tcBorders>
              <w:top w:val="single" w:sz="4" w:space="0" w:color="auto"/>
              <w:left w:val="nil"/>
              <w:bottom w:val="nil"/>
              <w:right w:val="nil"/>
            </w:tcBorders>
          </w:tcPr>
          <w:p w14:paraId="12AD0756" w14:textId="41C00A50" w:rsidR="003B2DEA" w:rsidRPr="00D63217" w:rsidRDefault="003B2DEA" w:rsidP="002D47CC">
            <w:pPr>
              <w:pStyle w:val="TableText"/>
              <w:spacing w:before="0" w:after="0" w:line="240" w:lineRule="auto"/>
            </w:pPr>
            <w:r w:rsidRPr="00D63217">
              <w:t>25 g ac/ha</w:t>
            </w:r>
            <w:r w:rsidRPr="00D63217">
              <w:br/>
              <w:t>35 g ac/ha</w:t>
            </w:r>
            <w:r w:rsidRPr="00D63217">
              <w:br/>
              <w:t>68 g ac/ha</w:t>
            </w:r>
            <w:r w:rsidRPr="00D63217">
              <w:br/>
              <w:t>108 g ac/ha</w:t>
            </w:r>
            <w:r w:rsidRPr="00D63217">
              <w:br/>
              <w:t>135 g ac/ha</w:t>
            </w:r>
            <w:r w:rsidRPr="00D63217">
              <w:br/>
              <w:t>136 g ac/ha</w:t>
            </w:r>
            <w:r w:rsidRPr="00D63217">
              <w:br/>
              <w:t>161 g ac/ha</w:t>
            </w:r>
            <w:r w:rsidRPr="00D63217">
              <w:br/>
              <w:t>188 g ac/ha</w:t>
            </w:r>
            <w:r w:rsidRPr="00D63217">
              <w:br/>
              <w:t>201 g ac/ha</w:t>
            </w:r>
            <w:r w:rsidRPr="00D63217">
              <w:br/>
              <w:t>207 g ac/ha</w:t>
            </w:r>
            <w:r w:rsidRPr="00D63217">
              <w:br/>
              <w:t>267 g ac/ha</w:t>
            </w:r>
            <w:r w:rsidRPr="00D63217">
              <w:br/>
              <w:t>476 g ac/ha</w:t>
            </w:r>
            <w:r w:rsidRPr="00D63217">
              <w:br/>
              <w:t>—</w:t>
            </w:r>
          </w:p>
        </w:tc>
        <w:tc>
          <w:tcPr>
            <w:tcW w:w="1697" w:type="pct"/>
            <w:tcBorders>
              <w:top w:val="single" w:sz="4" w:space="0" w:color="auto"/>
              <w:left w:val="nil"/>
              <w:bottom w:val="nil"/>
              <w:right w:val="nil"/>
            </w:tcBorders>
          </w:tcPr>
          <w:p w14:paraId="12FF30DB" w14:textId="77777777" w:rsidR="003B2DEA" w:rsidRPr="00D63217" w:rsidRDefault="003B2DEA" w:rsidP="00CA7D37">
            <w:pPr>
              <w:pStyle w:val="TableText"/>
              <w:spacing w:before="0" w:after="0" w:line="240" w:lineRule="auto"/>
            </w:pPr>
          </w:p>
          <w:p w14:paraId="63020764" w14:textId="77777777" w:rsidR="003B2DEA" w:rsidRPr="00D63217" w:rsidRDefault="003B2DEA" w:rsidP="00CA7D37">
            <w:pPr>
              <w:pStyle w:val="TableText"/>
              <w:spacing w:before="0" w:after="0" w:line="240" w:lineRule="auto"/>
            </w:pPr>
          </w:p>
          <w:p w14:paraId="5FE26C41" w14:textId="77777777" w:rsidR="003B2DEA" w:rsidRPr="00D63217" w:rsidRDefault="003B2DEA" w:rsidP="00CA7D37">
            <w:pPr>
              <w:pStyle w:val="TableText"/>
              <w:spacing w:before="0" w:after="0" w:line="240" w:lineRule="auto"/>
            </w:pPr>
          </w:p>
          <w:p w14:paraId="0C5FED28" w14:textId="77777777" w:rsidR="003B2DEA" w:rsidRPr="00D63217" w:rsidRDefault="003B2DEA" w:rsidP="00CA7D37">
            <w:pPr>
              <w:pStyle w:val="TableText"/>
              <w:spacing w:before="0" w:after="0" w:line="240" w:lineRule="auto"/>
            </w:pPr>
          </w:p>
          <w:p w14:paraId="5719CE74" w14:textId="77777777" w:rsidR="003B2DEA" w:rsidRPr="00D63217" w:rsidRDefault="003B2DEA" w:rsidP="00CA7D37">
            <w:pPr>
              <w:pStyle w:val="TableText"/>
              <w:spacing w:before="0" w:after="0" w:line="240" w:lineRule="auto"/>
            </w:pPr>
          </w:p>
          <w:p w14:paraId="14121774" w14:textId="77777777" w:rsidR="003B2DEA" w:rsidRPr="00D63217" w:rsidRDefault="003B2DEA" w:rsidP="00CA7D37">
            <w:pPr>
              <w:pStyle w:val="TableText"/>
              <w:spacing w:before="0" w:after="0" w:line="240" w:lineRule="auto"/>
            </w:pPr>
          </w:p>
          <w:p w14:paraId="151A726B" w14:textId="5D12C7A3" w:rsidR="003B2DEA" w:rsidRPr="00D63217" w:rsidRDefault="003B2DEA" w:rsidP="00CA7D37">
            <w:pPr>
              <w:pStyle w:val="TableText"/>
              <w:spacing w:before="0" w:after="0" w:line="240" w:lineRule="auto"/>
            </w:pPr>
            <w:r w:rsidRPr="00D63217">
              <w:t>(geomean of 2 studies)</w:t>
            </w:r>
          </w:p>
          <w:p w14:paraId="32A42BF8" w14:textId="77777777" w:rsidR="003B2DEA" w:rsidRPr="00D63217" w:rsidRDefault="003B2DEA" w:rsidP="00CA7D37">
            <w:pPr>
              <w:pStyle w:val="TableText"/>
              <w:spacing w:before="0" w:after="0" w:line="240" w:lineRule="auto"/>
            </w:pPr>
          </w:p>
          <w:p w14:paraId="5F378C4E" w14:textId="77777777" w:rsidR="003B2DEA" w:rsidRPr="00D63217" w:rsidRDefault="003B2DEA" w:rsidP="00CA7D37">
            <w:pPr>
              <w:pStyle w:val="TableText"/>
              <w:spacing w:before="0" w:after="0" w:line="240" w:lineRule="auto"/>
            </w:pPr>
          </w:p>
          <w:p w14:paraId="710E638D" w14:textId="6E5EE01F" w:rsidR="003B2DEA" w:rsidRPr="00D63217" w:rsidRDefault="003B2DEA" w:rsidP="00CA7D37">
            <w:pPr>
              <w:pStyle w:val="TableText"/>
              <w:spacing w:before="0" w:after="0" w:line="240" w:lineRule="auto"/>
            </w:pPr>
            <w:r w:rsidRPr="00D63217">
              <w:t>(geomean of 2 studies)</w:t>
            </w:r>
          </w:p>
          <w:p w14:paraId="500E028C" w14:textId="77777777" w:rsidR="003B2DEA" w:rsidRPr="00D63217" w:rsidRDefault="003B2DEA" w:rsidP="00CA7D37">
            <w:pPr>
              <w:pStyle w:val="TableText"/>
              <w:spacing w:before="0" w:after="0" w:line="240" w:lineRule="auto"/>
            </w:pPr>
          </w:p>
          <w:p w14:paraId="4484851C" w14:textId="5EAD8866" w:rsidR="003B2DEA" w:rsidRPr="00D63217" w:rsidRDefault="003B2DEA" w:rsidP="00CA7D37">
            <w:pPr>
              <w:pStyle w:val="TableText"/>
              <w:spacing w:before="0" w:after="0" w:line="240" w:lineRule="auto"/>
            </w:pPr>
            <w:r w:rsidRPr="00D63217">
              <w:t>(geomean of 2 studies)</w:t>
            </w:r>
          </w:p>
          <w:p w14:paraId="2AF34B41" w14:textId="77777777" w:rsidR="003B2DEA" w:rsidRPr="00D63217" w:rsidRDefault="003B2DEA" w:rsidP="00CA7D37">
            <w:pPr>
              <w:pStyle w:val="TableText"/>
              <w:spacing w:before="0" w:after="0" w:line="240" w:lineRule="auto"/>
            </w:pPr>
          </w:p>
        </w:tc>
      </w:tr>
      <w:tr w:rsidR="003B2DEA" w:rsidRPr="00D63217" w14:paraId="6C9D0D39" w14:textId="77777777" w:rsidTr="00A300B2">
        <w:tc>
          <w:tcPr>
            <w:tcW w:w="1886" w:type="pct"/>
            <w:tcBorders>
              <w:top w:val="nil"/>
              <w:left w:val="nil"/>
              <w:bottom w:val="single" w:sz="4" w:space="0" w:color="auto"/>
              <w:right w:val="nil"/>
            </w:tcBorders>
          </w:tcPr>
          <w:p w14:paraId="17A0C325" w14:textId="77777777" w:rsidR="003B2DEA" w:rsidRPr="00D63217" w:rsidRDefault="003B2DEA" w:rsidP="00CA7D37">
            <w:pPr>
              <w:pStyle w:val="TableText"/>
              <w:spacing w:before="0" w:after="0" w:line="240" w:lineRule="auto"/>
              <w:jc w:val="right"/>
            </w:pPr>
            <w:r w:rsidRPr="00D63217">
              <w:t>HR</w:t>
            </w:r>
            <w:r w:rsidRPr="00D63217">
              <w:rPr>
                <w:vertAlign w:val="subscript"/>
              </w:rPr>
              <w:t>5</w:t>
            </w:r>
          </w:p>
        </w:tc>
        <w:tc>
          <w:tcPr>
            <w:tcW w:w="1417" w:type="pct"/>
            <w:tcBorders>
              <w:top w:val="nil"/>
              <w:left w:val="nil"/>
              <w:bottom w:val="single" w:sz="4" w:space="0" w:color="auto"/>
              <w:right w:val="nil"/>
            </w:tcBorders>
          </w:tcPr>
          <w:p w14:paraId="5D82A8EE" w14:textId="6BEA946B" w:rsidR="003B2DEA" w:rsidRPr="00D63217" w:rsidRDefault="003B2DEA" w:rsidP="002D47CC">
            <w:pPr>
              <w:pStyle w:val="TableText"/>
              <w:spacing w:before="0" w:after="0" w:line="240" w:lineRule="auto"/>
            </w:pPr>
            <w:r>
              <w:t>31</w:t>
            </w:r>
            <w:r w:rsidRPr="00D63217">
              <w:t xml:space="preserve"> g ac/ha</w:t>
            </w:r>
            <w:r w:rsidRPr="00D63217">
              <w:br/>
              <w:t xml:space="preserve">(95% CI </w:t>
            </w:r>
            <w:r>
              <w:t>11-75</w:t>
            </w:r>
            <w:r w:rsidRPr="00D63217">
              <w:t>)</w:t>
            </w:r>
          </w:p>
        </w:tc>
        <w:tc>
          <w:tcPr>
            <w:tcW w:w="1697" w:type="pct"/>
            <w:tcBorders>
              <w:top w:val="nil"/>
              <w:left w:val="nil"/>
              <w:bottom w:val="single" w:sz="4" w:space="0" w:color="auto"/>
              <w:right w:val="nil"/>
            </w:tcBorders>
          </w:tcPr>
          <w:p w14:paraId="7897A4E0" w14:textId="19AEDAF9" w:rsidR="003B2DEA" w:rsidRPr="00D63217" w:rsidRDefault="003B2DEA" w:rsidP="00CA7D37">
            <w:pPr>
              <w:pStyle w:val="TableText"/>
              <w:spacing w:before="0" w:after="0" w:line="240" w:lineRule="auto"/>
            </w:pPr>
            <w:r>
              <w:rPr>
                <w:lang w:eastAsia="en-AU"/>
              </w:rPr>
              <w:t>Model average result</w:t>
            </w:r>
            <w:r w:rsidR="008A42E8">
              <w:rPr>
                <w:rStyle w:val="FootnoteReference"/>
                <w:lang w:eastAsia="en-AU"/>
              </w:rPr>
              <w:footnoteReference w:id="18"/>
            </w:r>
            <w:r>
              <w:rPr>
                <w:lang w:eastAsia="en-AU"/>
              </w:rPr>
              <w:t xml:space="preserve"> based on gamma, log-gumbel, log-logistic, log-normal, log-normal_log-normal, and Weibull distributions</w:t>
            </w:r>
          </w:p>
        </w:tc>
      </w:tr>
    </w:tbl>
    <w:p w14:paraId="6A49C631" w14:textId="5E5AA41D" w:rsidR="00134232" w:rsidRPr="00FF5F7A" w:rsidRDefault="00134232" w:rsidP="00FF5F7A">
      <w:pPr>
        <w:pStyle w:val="Caption"/>
      </w:pPr>
      <w:bookmarkStart w:id="482" w:name="_Ref158985015"/>
      <w:bookmarkStart w:id="483" w:name="_Toc230692297"/>
      <w:bookmarkStart w:id="484" w:name="_Toc233036518"/>
      <w:r w:rsidRPr="00FF5F7A">
        <w:lastRenderedPageBreak/>
        <w:t xml:space="preserve">Table </w:t>
      </w:r>
      <w:fldSimple w:instr=" SEQ Table \* ARABIC ">
        <w:r w:rsidR="00FF5F7A">
          <w:rPr>
            <w:noProof/>
          </w:rPr>
          <w:t>31</w:t>
        </w:r>
      </w:fldSimple>
      <w:bookmarkEnd w:id="482"/>
      <w:r w:rsidRPr="00FF5F7A">
        <w:t xml:space="preserve">: </w:t>
      </w:r>
      <w:r w:rsidR="00CA7D37" w:rsidRPr="00FF5F7A">
        <w:t xml:space="preserve">Paraquat – </w:t>
      </w:r>
      <w:r w:rsidRPr="00FF5F7A">
        <w:t>Regulatory acceptable levels for non-target species</w:t>
      </w:r>
      <w:bookmarkEnd w:id="483"/>
      <w:bookmarkEnd w:id="484"/>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37"/>
        <w:gridCol w:w="1259"/>
        <w:gridCol w:w="2098"/>
        <w:gridCol w:w="420"/>
        <w:gridCol w:w="1540"/>
        <w:gridCol w:w="2572"/>
      </w:tblGrid>
      <w:tr w:rsidR="00134232" w:rsidRPr="00D63217" w14:paraId="7FB474F4" w14:textId="77777777" w:rsidTr="00A440E4">
        <w:trPr>
          <w:cantSplit/>
          <w:tblHeader/>
        </w:trPr>
        <w:tc>
          <w:tcPr>
            <w:tcW w:w="902" w:type="pct"/>
            <w:tcBorders>
              <w:bottom w:val="single" w:sz="4" w:space="0" w:color="auto"/>
            </w:tcBorders>
            <w:shd w:val="clear" w:color="auto" w:fill="5C2946"/>
          </w:tcPr>
          <w:p w14:paraId="2B4539B7" w14:textId="77777777" w:rsidR="00134232" w:rsidRPr="00D63217" w:rsidRDefault="00134232" w:rsidP="00A440E4">
            <w:pPr>
              <w:pStyle w:val="TableHead"/>
              <w:spacing w:before="0" w:after="0" w:line="240" w:lineRule="auto"/>
              <w:rPr>
                <w:lang w:eastAsia="en-AU"/>
              </w:rPr>
            </w:pPr>
            <w:bookmarkStart w:id="485" w:name="_Hlk153179948"/>
            <w:r w:rsidRPr="00D63217">
              <w:rPr>
                <w:lang w:eastAsia="en-AU"/>
              </w:rPr>
              <w:t>Group</w:t>
            </w:r>
          </w:p>
        </w:tc>
        <w:tc>
          <w:tcPr>
            <w:tcW w:w="654" w:type="pct"/>
            <w:tcBorders>
              <w:bottom w:val="single" w:sz="4" w:space="0" w:color="auto"/>
            </w:tcBorders>
            <w:shd w:val="clear" w:color="auto" w:fill="5C2946"/>
          </w:tcPr>
          <w:p w14:paraId="19C3FB3F" w14:textId="77777777" w:rsidR="00134232" w:rsidRPr="00D63217" w:rsidRDefault="00134232" w:rsidP="00A440E4">
            <w:pPr>
              <w:pStyle w:val="TableHead"/>
              <w:spacing w:before="0" w:after="0" w:line="240" w:lineRule="auto"/>
              <w:rPr>
                <w:lang w:eastAsia="en-AU"/>
              </w:rPr>
            </w:pPr>
            <w:r w:rsidRPr="00D63217">
              <w:rPr>
                <w:lang w:eastAsia="en-AU"/>
              </w:rPr>
              <w:t>Exposure</w:t>
            </w:r>
          </w:p>
        </w:tc>
        <w:tc>
          <w:tcPr>
            <w:tcW w:w="1090" w:type="pct"/>
            <w:tcBorders>
              <w:bottom w:val="single" w:sz="4" w:space="0" w:color="auto"/>
            </w:tcBorders>
            <w:shd w:val="clear" w:color="auto" w:fill="5C2946"/>
          </w:tcPr>
          <w:p w14:paraId="0E8A6A98" w14:textId="77777777" w:rsidR="00134232" w:rsidRPr="00D63217" w:rsidRDefault="00134232" w:rsidP="00A440E4">
            <w:pPr>
              <w:pStyle w:val="TableHead"/>
              <w:spacing w:before="0" w:after="0" w:line="240" w:lineRule="auto"/>
              <w:rPr>
                <w:lang w:eastAsia="en-AU"/>
              </w:rPr>
            </w:pPr>
            <w:r w:rsidRPr="00D63217">
              <w:rPr>
                <w:lang w:eastAsia="en-AU"/>
              </w:rPr>
              <w:t>Endpoint</w:t>
            </w:r>
          </w:p>
        </w:tc>
        <w:tc>
          <w:tcPr>
            <w:tcW w:w="218" w:type="pct"/>
            <w:tcBorders>
              <w:bottom w:val="single" w:sz="4" w:space="0" w:color="auto"/>
            </w:tcBorders>
            <w:shd w:val="clear" w:color="auto" w:fill="5C2946"/>
          </w:tcPr>
          <w:p w14:paraId="6F28005D" w14:textId="77777777" w:rsidR="00134232" w:rsidRPr="00D63217" w:rsidRDefault="00134232" w:rsidP="002D47CC">
            <w:pPr>
              <w:pStyle w:val="TableHead"/>
              <w:spacing w:before="0" w:after="0" w:line="240" w:lineRule="auto"/>
              <w:jc w:val="right"/>
              <w:rPr>
                <w:lang w:eastAsia="en-AU"/>
              </w:rPr>
            </w:pPr>
            <w:r w:rsidRPr="00D63217">
              <w:rPr>
                <w:lang w:eastAsia="en-AU"/>
              </w:rPr>
              <w:t>AF</w:t>
            </w:r>
          </w:p>
        </w:tc>
        <w:tc>
          <w:tcPr>
            <w:tcW w:w="800" w:type="pct"/>
            <w:tcBorders>
              <w:bottom w:val="single" w:sz="4" w:space="0" w:color="auto"/>
            </w:tcBorders>
            <w:shd w:val="clear" w:color="auto" w:fill="5C2946"/>
          </w:tcPr>
          <w:p w14:paraId="6CA2E3FF" w14:textId="77777777" w:rsidR="00134232" w:rsidRPr="00D63217" w:rsidRDefault="00134232" w:rsidP="00A440E4">
            <w:pPr>
              <w:pStyle w:val="TableHead"/>
              <w:spacing w:before="0" w:after="0" w:line="240" w:lineRule="auto"/>
              <w:rPr>
                <w:lang w:eastAsia="en-AU"/>
              </w:rPr>
            </w:pPr>
            <w:r w:rsidRPr="00D63217">
              <w:rPr>
                <w:lang w:eastAsia="en-AU"/>
              </w:rPr>
              <w:t>RAL</w:t>
            </w:r>
          </w:p>
        </w:tc>
        <w:tc>
          <w:tcPr>
            <w:tcW w:w="1336" w:type="pct"/>
            <w:tcBorders>
              <w:bottom w:val="single" w:sz="4" w:space="0" w:color="auto"/>
            </w:tcBorders>
            <w:shd w:val="clear" w:color="auto" w:fill="5C2946"/>
          </w:tcPr>
          <w:p w14:paraId="4011A359" w14:textId="77777777" w:rsidR="00134232" w:rsidRPr="00D63217" w:rsidRDefault="00134232" w:rsidP="002D47CC">
            <w:pPr>
              <w:pStyle w:val="TableHead"/>
              <w:spacing w:before="0" w:after="0" w:line="240" w:lineRule="auto"/>
              <w:rPr>
                <w:lang w:eastAsia="en-AU"/>
              </w:rPr>
            </w:pPr>
            <w:r w:rsidRPr="00D63217">
              <w:rPr>
                <w:lang w:eastAsia="en-AU"/>
              </w:rPr>
              <w:t>Reference</w:t>
            </w:r>
          </w:p>
        </w:tc>
      </w:tr>
      <w:tr w:rsidR="00134232" w:rsidRPr="00D63217" w14:paraId="25A407C2" w14:textId="77777777" w:rsidTr="003D5020">
        <w:trPr>
          <w:cantSplit/>
          <w:trHeight w:val="57"/>
        </w:trPr>
        <w:tc>
          <w:tcPr>
            <w:tcW w:w="902" w:type="pct"/>
            <w:vMerge w:val="restart"/>
            <w:tcBorders>
              <w:left w:val="nil"/>
              <w:right w:val="nil"/>
            </w:tcBorders>
          </w:tcPr>
          <w:p w14:paraId="48F7BCDC" w14:textId="77777777" w:rsidR="00134232" w:rsidRPr="00D63217" w:rsidRDefault="00134232" w:rsidP="00834E0F">
            <w:pPr>
              <w:pStyle w:val="TableText"/>
              <w:spacing w:before="0" w:after="0"/>
              <w:rPr>
                <w:lang w:eastAsia="en-AU"/>
              </w:rPr>
            </w:pPr>
            <w:r w:rsidRPr="00D63217">
              <w:rPr>
                <w:lang w:eastAsia="en-AU"/>
              </w:rPr>
              <w:t>Mammals</w:t>
            </w:r>
          </w:p>
        </w:tc>
        <w:tc>
          <w:tcPr>
            <w:tcW w:w="654" w:type="pct"/>
            <w:tcBorders>
              <w:left w:val="nil"/>
              <w:bottom w:val="single" w:sz="4" w:space="0" w:color="auto"/>
              <w:right w:val="nil"/>
            </w:tcBorders>
          </w:tcPr>
          <w:p w14:paraId="63152673" w14:textId="77777777" w:rsidR="00134232" w:rsidRPr="00D63217" w:rsidRDefault="00134232" w:rsidP="00834E0F">
            <w:pPr>
              <w:pStyle w:val="TableText"/>
              <w:spacing w:before="0" w:after="0"/>
              <w:rPr>
                <w:lang w:eastAsia="en-AU"/>
              </w:rPr>
            </w:pPr>
            <w:r w:rsidRPr="00D63217">
              <w:rPr>
                <w:lang w:eastAsia="en-AU"/>
              </w:rPr>
              <w:t>Acute</w:t>
            </w:r>
          </w:p>
        </w:tc>
        <w:tc>
          <w:tcPr>
            <w:tcW w:w="1090" w:type="pct"/>
            <w:tcBorders>
              <w:left w:val="nil"/>
              <w:bottom w:val="single" w:sz="4" w:space="0" w:color="auto"/>
              <w:right w:val="nil"/>
            </w:tcBorders>
          </w:tcPr>
          <w:p w14:paraId="3D710483" w14:textId="77777777" w:rsidR="00134232" w:rsidRPr="00D63217" w:rsidRDefault="00134232" w:rsidP="00834E0F">
            <w:pPr>
              <w:pStyle w:val="TableText"/>
              <w:spacing w:before="0" w:after="0"/>
              <w:rPr>
                <w:lang w:eastAsia="en-AU"/>
              </w:rPr>
            </w:pPr>
            <w:r w:rsidRPr="00D63217">
              <w:t>LD</w:t>
            </w:r>
            <w:r w:rsidRPr="00D63217">
              <w:rPr>
                <w:vertAlign w:val="subscript"/>
              </w:rPr>
              <w:t>50</w:t>
            </w:r>
            <w:r w:rsidRPr="00D63217">
              <w:t xml:space="preserve"> 61 mg ac/kg bw</w:t>
            </w:r>
          </w:p>
        </w:tc>
        <w:tc>
          <w:tcPr>
            <w:tcW w:w="218" w:type="pct"/>
            <w:tcBorders>
              <w:left w:val="nil"/>
              <w:bottom w:val="single" w:sz="4" w:space="0" w:color="auto"/>
              <w:right w:val="nil"/>
            </w:tcBorders>
          </w:tcPr>
          <w:p w14:paraId="33C6DD4C" w14:textId="77777777" w:rsidR="00134232" w:rsidRPr="00D63217" w:rsidRDefault="00134232" w:rsidP="00834E0F">
            <w:pPr>
              <w:pStyle w:val="TableText"/>
              <w:spacing w:before="0" w:after="0"/>
              <w:rPr>
                <w:lang w:eastAsia="en-AU"/>
              </w:rPr>
            </w:pPr>
            <w:r w:rsidRPr="00D63217">
              <w:rPr>
                <w:lang w:eastAsia="en-AU"/>
              </w:rPr>
              <w:t>10</w:t>
            </w:r>
          </w:p>
        </w:tc>
        <w:tc>
          <w:tcPr>
            <w:tcW w:w="800" w:type="pct"/>
            <w:tcBorders>
              <w:left w:val="nil"/>
              <w:bottom w:val="single" w:sz="4" w:space="0" w:color="auto"/>
              <w:right w:val="nil"/>
            </w:tcBorders>
          </w:tcPr>
          <w:p w14:paraId="6F247FED" w14:textId="77777777" w:rsidR="00134232" w:rsidRPr="00D63217" w:rsidRDefault="00134232" w:rsidP="00834E0F">
            <w:pPr>
              <w:pStyle w:val="TableText"/>
              <w:spacing w:before="0" w:after="0"/>
              <w:rPr>
                <w:lang w:eastAsia="en-AU"/>
              </w:rPr>
            </w:pPr>
            <w:r w:rsidRPr="00D63217">
              <w:t>6.1</w:t>
            </w:r>
            <w:r w:rsidRPr="00D63217">
              <w:rPr>
                <w:lang w:eastAsia="en-AU"/>
              </w:rPr>
              <w:t xml:space="preserve"> mg ac/kg bw</w:t>
            </w:r>
          </w:p>
        </w:tc>
        <w:tc>
          <w:tcPr>
            <w:tcW w:w="1336" w:type="pct"/>
            <w:tcBorders>
              <w:left w:val="nil"/>
              <w:bottom w:val="single" w:sz="4" w:space="0" w:color="auto"/>
              <w:right w:val="nil"/>
            </w:tcBorders>
          </w:tcPr>
          <w:p w14:paraId="664CA6B3" w14:textId="43B3A850" w:rsidR="00134232" w:rsidRPr="00D63217" w:rsidRDefault="00134232" w:rsidP="00834E0F">
            <w:pPr>
              <w:pStyle w:val="TableText"/>
              <w:spacing w:before="0" w:after="0"/>
              <w:rPr>
                <w:lang w:eastAsia="en-AU"/>
              </w:rPr>
            </w:pPr>
            <w:bookmarkStart w:id="486" w:name="_Hlk155258981"/>
            <w:r w:rsidRPr="00D63217">
              <w:t>Duerden 1994, Farnworth et</w:t>
            </w:r>
            <w:r w:rsidR="00143F5A" w:rsidRPr="00D63217">
              <w:t xml:space="preserve"> al,</w:t>
            </w:r>
            <w:r w:rsidRPr="00D63217">
              <w:t xml:space="preserve"> 1993, Fletcher 1967, Heylings &amp; Farnworth 1992, Kimbrough &amp; Gaines 1970, Murray &amp; Gibson 197</w:t>
            </w:r>
            <w:bookmarkEnd w:id="486"/>
            <w:r w:rsidR="005F01FD" w:rsidRPr="00D63217">
              <w:t>4</w:t>
            </w:r>
          </w:p>
        </w:tc>
      </w:tr>
      <w:tr w:rsidR="00134232" w:rsidRPr="00D63217" w14:paraId="76567263" w14:textId="77777777" w:rsidTr="003D5020">
        <w:trPr>
          <w:cantSplit/>
          <w:trHeight w:val="57"/>
        </w:trPr>
        <w:tc>
          <w:tcPr>
            <w:tcW w:w="902" w:type="pct"/>
            <w:vMerge/>
            <w:tcBorders>
              <w:left w:val="nil"/>
              <w:bottom w:val="single" w:sz="4" w:space="0" w:color="auto"/>
              <w:right w:val="nil"/>
            </w:tcBorders>
          </w:tcPr>
          <w:p w14:paraId="20CA5214" w14:textId="77777777" w:rsidR="00134232" w:rsidRPr="00D63217" w:rsidRDefault="00134232" w:rsidP="00834E0F">
            <w:pPr>
              <w:pStyle w:val="TableText"/>
              <w:spacing w:before="0" w:after="0"/>
              <w:rPr>
                <w:lang w:eastAsia="en-AU"/>
              </w:rPr>
            </w:pPr>
          </w:p>
        </w:tc>
        <w:tc>
          <w:tcPr>
            <w:tcW w:w="654" w:type="pct"/>
            <w:tcBorders>
              <w:top w:val="single" w:sz="4" w:space="0" w:color="auto"/>
              <w:left w:val="nil"/>
              <w:bottom w:val="single" w:sz="4" w:space="0" w:color="auto"/>
              <w:right w:val="nil"/>
            </w:tcBorders>
          </w:tcPr>
          <w:p w14:paraId="0CBB9060" w14:textId="77777777" w:rsidR="00134232" w:rsidRPr="00D63217" w:rsidRDefault="00134232" w:rsidP="00834E0F">
            <w:pPr>
              <w:pStyle w:val="TableText"/>
              <w:spacing w:before="0" w:after="0"/>
              <w:rPr>
                <w:lang w:eastAsia="en-AU"/>
              </w:rPr>
            </w:pPr>
            <w:r w:rsidRPr="00D63217">
              <w:rPr>
                <w:lang w:eastAsia="en-AU"/>
              </w:rPr>
              <w:t>Chronic</w:t>
            </w:r>
          </w:p>
        </w:tc>
        <w:tc>
          <w:tcPr>
            <w:tcW w:w="1090" w:type="pct"/>
            <w:tcBorders>
              <w:top w:val="single" w:sz="4" w:space="0" w:color="auto"/>
              <w:left w:val="nil"/>
              <w:bottom w:val="single" w:sz="4" w:space="0" w:color="auto"/>
              <w:right w:val="nil"/>
            </w:tcBorders>
          </w:tcPr>
          <w:p w14:paraId="129E74D1" w14:textId="77777777" w:rsidR="00134232" w:rsidRPr="00D63217" w:rsidRDefault="00134232" w:rsidP="00834E0F">
            <w:pPr>
              <w:pStyle w:val="TableText"/>
              <w:spacing w:before="0" w:after="0"/>
              <w:rPr>
                <w:lang w:eastAsia="en-AU"/>
              </w:rPr>
            </w:pPr>
            <w:r w:rsidRPr="00D63217">
              <w:t>NOAEL 3.8 mg ac/kg bw/d</w:t>
            </w:r>
          </w:p>
        </w:tc>
        <w:tc>
          <w:tcPr>
            <w:tcW w:w="218" w:type="pct"/>
            <w:tcBorders>
              <w:top w:val="single" w:sz="4" w:space="0" w:color="auto"/>
              <w:left w:val="nil"/>
              <w:bottom w:val="single" w:sz="4" w:space="0" w:color="auto"/>
              <w:right w:val="nil"/>
            </w:tcBorders>
          </w:tcPr>
          <w:p w14:paraId="63F42368" w14:textId="77777777" w:rsidR="00134232" w:rsidRPr="00D63217" w:rsidRDefault="00134232" w:rsidP="00834E0F">
            <w:pPr>
              <w:pStyle w:val="TableText"/>
              <w:spacing w:before="0" w:after="0"/>
              <w:rPr>
                <w:lang w:eastAsia="en-AU"/>
              </w:rPr>
            </w:pPr>
            <w:r w:rsidRPr="00D63217">
              <w:rPr>
                <w:lang w:eastAsia="en-AU"/>
              </w:rPr>
              <w:t>1</w:t>
            </w:r>
          </w:p>
        </w:tc>
        <w:tc>
          <w:tcPr>
            <w:tcW w:w="800" w:type="pct"/>
            <w:tcBorders>
              <w:top w:val="single" w:sz="4" w:space="0" w:color="auto"/>
              <w:left w:val="nil"/>
              <w:bottom w:val="single" w:sz="4" w:space="0" w:color="auto"/>
              <w:right w:val="nil"/>
            </w:tcBorders>
          </w:tcPr>
          <w:p w14:paraId="27FF3070" w14:textId="77777777" w:rsidR="00134232" w:rsidRPr="00D63217" w:rsidRDefault="00134232" w:rsidP="00834E0F">
            <w:pPr>
              <w:pStyle w:val="TableText"/>
              <w:spacing w:before="0" w:after="0"/>
              <w:rPr>
                <w:lang w:eastAsia="en-AU"/>
              </w:rPr>
            </w:pPr>
            <w:r w:rsidRPr="00D63217">
              <w:t xml:space="preserve">3.8 </w:t>
            </w:r>
            <w:r w:rsidRPr="00D63217">
              <w:rPr>
                <w:lang w:eastAsia="en-AU"/>
              </w:rPr>
              <w:t>mg ac/kg bw/d</w:t>
            </w:r>
          </w:p>
        </w:tc>
        <w:tc>
          <w:tcPr>
            <w:tcW w:w="1336" w:type="pct"/>
            <w:tcBorders>
              <w:top w:val="single" w:sz="4" w:space="0" w:color="auto"/>
              <w:left w:val="nil"/>
              <w:bottom w:val="single" w:sz="4" w:space="0" w:color="auto"/>
              <w:right w:val="nil"/>
            </w:tcBorders>
          </w:tcPr>
          <w:p w14:paraId="03F2027F" w14:textId="77777777" w:rsidR="00134232" w:rsidRPr="00D63217" w:rsidRDefault="00134232" w:rsidP="00834E0F">
            <w:pPr>
              <w:pStyle w:val="TableText"/>
              <w:spacing w:before="0" w:after="0"/>
              <w:rPr>
                <w:lang w:eastAsia="en-AU"/>
              </w:rPr>
            </w:pPr>
            <w:r w:rsidRPr="00D63217">
              <w:t>Lindsay 1982a,1982b</w:t>
            </w:r>
          </w:p>
        </w:tc>
      </w:tr>
      <w:tr w:rsidR="00134232" w:rsidRPr="00D63217" w14:paraId="40C528CC" w14:textId="77777777" w:rsidTr="003D5020">
        <w:trPr>
          <w:cantSplit/>
          <w:trHeight w:val="57"/>
        </w:trPr>
        <w:tc>
          <w:tcPr>
            <w:tcW w:w="902" w:type="pct"/>
            <w:vMerge w:val="restart"/>
            <w:tcBorders>
              <w:top w:val="single" w:sz="4" w:space="0" w:color="auto"/>
              <w:left w:val="nil"/>
              <w:bottom w:val="single" w:sz="4" w:space="0" w:color="auto"/>
              <w:right w:val="nil"/>
            </w:tcBorders>
          </w:tcPr>
          <w:p w14:paraId="6D6F3F44" w14:textId="77777777" w:rsidR="00134232" w:rsidRPr="00D63217" w:rsidRDefault="00134232" w:rsidP="00834E0F">
            <w:pPr>
              <w:pStyle w:val="TableText"/>
              <w:spacing w:before="0" w:after="0"/>
              <w:rPr>
                <w:lang w:eastAsia="en-AU"/>
              </w:rPr>
            </w:pPr>
            <w:r w:rsidRPr="00D63217">
              <w:rPr>
                <w:lang w:eastAsia="en-AU"/>
              </w:rPr>
              <w:t>Birds</w:t>
            </w:r>
          </w:p>
        </w:tc>
        <w:tc>
          <w:tcPr>
            <w:tcW w:w="654" w:type="pct"/>
            <w:tcBorders>
              <w:left w:val="nil"/>
              <w:bottom w:val="single" w:sz="4" w:space="0" w:color="auto"/>
              <w:right w:val="nil"/>
            </w:tcBorders>
          </w:tcPr>
          <w:p w14:paraId="5FDB04EB" w14:textId="77777777" w:rsidR="00134232" w:rsidRPr="00D63217" w:rsidRDefault="00134232" w:rsidP="00834E0F">
            <w:pPr>
              <w:pStyle w:val="TableText"/>
              <w:spacing w:before="0" w:after="0"/>
              <w:rPr>
                <w:lang w:eastAsia="en-AU"/>
              </w:rPr>
            </w:pPr>
            <w:r w:rsidRPr="00D63217">
              <w:rPr>
                <w:lang w:eastAsia="en-AU"/>
              </w:rPr>
              <w:t>Acute</w:t>
            </w:r>
          </w:p>
        </w:tc>
        <w:tc>
          <w:tcPr>
            <w:tcW w:w="1090" w:type="pct"/>
            <w:tcBorders>
              <w:left w:val="nil"/>
              <w:bottom w:val="single" w:sz="4" w:space="0" w:color="auto"/>
              <w:right w:val="nil"/>
            </w:tcBorders>
          </w:tcPr>
          <w:p w14:paraId="705896E4" w14:textId="77777777" w:rsidR="00134232" w:rsidRPr="00D63217" w:rsidRDefault="00134232" w:rsidP="00834E0F">
            <w:pPr>
              <w:pStyle w:val="TableText"/>
              <w:spacing w:before="0" w:after="0"/>
              <w:rPr>
                <w:lang w:eastAsia="en-AU"/>
              </w:rPr>
            </w:pPr>
            <w:r w:rsidRPr="00D63217">
              <w:t>LD</w:t>
            </w:r>
            <w:r w:rsidRPr="00D63217">
              <w:rPr>
                <w:vertAlign w:val="subscript"/>
              </w:rPr>
              <w:t>50</w:t>
            </w:r>
            <w:r w:rsidRPr="00D63217">
              <w:t xml:space="preserve"> 57 mg ac/kg bw</w:t>
            </w:r>
          </w:p>
        </w:tc>
        <w:tc>
          <w:tcPr>
            <w:tcW w:w="218" w:type="pct"/>
            <w:tcBorders>
              <w:left w:val="nil"/>
              <w:bottom w:val="single" w:sz="4" w:space="0" w:color="auto"/>
              <w:right w:val="nil"/>
            </w:tcBorders>
          </w:tcPr>
          <w:p w14:paraId="11A19BC5" w14:textId="77777777" w:rsidR="00134232" w:rsidRPr="00D63217" w:rsidRDefault="00134232" w:rsidP="00834E0F">
            <w:pPr>
              <w:pStyle w:val="TableText"/>
              <w:spacing w:before="0" w:after="0"/>
              <w:rPr>
                <w:lang w:eastAsia="en-AU"/>
              </w:rPr>
            </w:pPr>
            <w:r w:rsidRPr="00D63217">
              <w:rPr>
                <w:lang w:eastAsia="en-AU"/>
              </w:rPr>
              <w:t>10</w:t>
            </w:r>
          </w:p>
        </w:tc>
        <w:tc>
          <w:tcPr>
            <w:tcW w:w="800" w:type="pct"/>
            <w:tcBorders>
              <w:left w:val="nil"/>
              <w:bottom w:val="single" w:sz="4" w:space="0" w:color="auto"/>
              <w:right w:val="nil"/>
            </w:tcBorders>
          </w:tcPr>
          <w:p w14:paraId="7FE1A09D" w14:textId="77777777" w:rsidR="00134232" w:rsidRPr="00D63217" w:rsidRDefault="00134232" w:rsidP="00834E0F">
            <w:pPr>
              <w:pStyle w:val="TableText"/>
              <w:spacing w:before="0" w:after="0"/>
              <w:rPr>
                <w:lang w:eastAsia="en-AU"/>
              </w:rPr>
            </w:pPr>
            <w:r w:rsidRPr="00D63217">
              <w:t xml:space="preserve">5.7 </w:t>
            </w:r>
            <w:r w:rsidRPr="00D63217">
              <w:rPr>
                <w:lang w:eastAsia="en-AU"/>
              </w:rPr>
              <w:t>mg ac/kg bw</w:t>
            </w:r>
          </w:p>
        </w:tc>
        <w:tc>
          <w:tcPr>
            <w:tcW w:w="1336" w:type="pct"/>
            <w:tcBorders>
              <w:left w:val="nil"/>
              <w:bottom w:val="single" w:sz="4" w:space="0" w:color="auto"/>
              <w:right w:val="nil"/>
            </w:tcBorders>
          </w:tcPr>
          <w:p w14:paraId="0DDBB541" w14:textId="68D75E24" w:rsidR="00134232" w:rsidRPr="00D63217" w:rsidRDefault="00134232" w:rsidP="00834E0F">
            <w:pPr>
              <w:pStyle w:val="TableText"/>
              <w:spacing w:before="0" w:after="0"/>
            </w:pPr>
            <w:r w:rsidRPr="00D63217">
              <w:t>Fink et</w:t>
            </w:r>
            <w:r w:rsidR="00143F5A" w:rsidRPr="00D63217">
              <w:t xml:space="preserve"> al,</w:t>
            </w:r>
            <w:r w:rsidRPr="00D63217">
              <w:t xml:space="preserve"> 1979, Hubbard et</w:t>
            </w:r>
            <w:r w:rsidR="00143F5A" w:rsidRPr="00D63217">
              <w:t xml:space="preserve"> al,</w:t>
            </w:r>
            <w:r w:rsidRPr="00D63217">
              <w:t xml:space="preserve"> 2014, Johnson 1998</w:t>
            </w:r>
          </w:p>
        </w:tc>
      </w:tr>
      <w:tr w:rsidR="00134232" w:rsidRPr="00D63217" w14:paraId="51C109DE" w14:textId="77777777" w:rsidTr="003D5020">
        <w:trPr>
          <w:cantSplit/>
          <w:trHeight w:val="57"/>
        </w:trPr>
        <w:tc>
          <w:tcPr>
            <w:tcW w:w="902" w:type="pct"/>
            <w:vMerge/>
            <w:tcBorders>
              <w:top w:val="nil"/>
              <w:left w:val="nil"/>
              <w:bottom w:val="single" w:sz="4" w:space="0" w:color="auto"/>
              <w:right w:val="nil"/>
            </w:tcBorders>
          </w:tcPr>
          <w:p w14:paraId="66BAFE10" w14:textId="77777777" w:rsidR="00134232" w:rsidRPr="00D63217" w:rsidRDefault="00134232" w:rsidP="00834E0F">
            <w:pPr>
              <w:pStyle w:val="TableText"/>
              <w:spacing w:before="0" w:after="0"/>
              <w:rPr>
                <w:lang w:eastAsia="en-AU"/>
              </w:rPr>
            </w:pPr>
          </w:p>
        </w:tc>
        <w:tc>
          <w:tcPr>
            <w:tcW w:w="654" w:type="pct"/>
            <w:tcBorders>
              <w:top w:val="single" w:sz="4" w:space="0" w:color="auto"/>
              <w:left w:val="nil"/>
              <w:bottom w:val="single" w:sz="4" w:space="0" w:color="auto"/>
              <w:right w:val="nil"/>
            </w:tcBorders>
          </w:tcPr>
          <w:p w14:paraId="2EB1917E" w14:textId="77777777" w:rsidR="00134232" w:rsidRPr="00D63217" w:rsidRDefault="00134232" w:rsidP="00834E0F">
            <w:pPr>
              <w:pStyle w:val="TableText"/>
              <w:spacing w:before="0" w:after="0"/>
              <w:rPr>
                <w:lang w:eastAsia="en-AU"/>
              </w:rPr>
            </w:pPr>
            <w:r w:rsidRPr="00D63217">
              <w:rPr>
                <w:lang w:eastAsia="en-AU"/>
              </w:rPr>
              <w:t>Chronic</w:t>
            </w:r>
          </w:p>
        </w:tc>
        <w:tc>
          <w:tcPr>
            <w:tcW w:w="1090" w:type="pct"/>
            <w:tcBorders>
              <w:top w:val="single" w:sz="4" w:space="0" w:color="auto"/>
              <w:left w:val="nil"/>
              <w:bottom w:val="single" w:sz="4" w:space="0" w:color="auto"/>
              <w:right w:val="nil"/>
            </w:tcBorders>
          </w:tcPr>
          <w:p w14:paraId="6D2754E7" w14:textId="77777777" w:rsidR="00134232" w:rsidRPr="00D63217" w:rsidRDefault="00134232" w:rsidP="00834E0F">
            <w:pPr>
              <w:pStyle w:val="TableText"/>
              <w:spacing w:before="0" w:after="0"/>
              <w:rPr>
                <w:lang w:eastAsia="en-AU"/>
              </w:rPr>
            </w:pPr>
            <w:r w:rsidRPr="00D63217">
              <w:t>NOEL 2.7 mg ac/kg bw/d</w:t>
            </w:r>
          </w:p>
        </w:tc>
        <w:tc>
          <w:tcPr>
            <w:tcW w:w="218" w:type="pct"/>
            <w:tcBorders>
              <w:top w:val="single" w:sz="4" w:space="0" w:color="auto"/>
              <w:left w:val="nil"/>
              <w:bottom w:val="single" w:sz="4" w:space="0" w:color="auto"/>
              <w:right w:val="nil"/>
            </w:tcBorders>
          </w:tcPr>
          <w:p w14:paraId="18F122B9" w14:textId="77777777" w:rsidR="00134232" w:rsidRPr="00D63217" w:rsidRDefault="00134232" w:rsidP="00834E0F">
            <w:pPr>
              <w:pStyle w:val="TableText"/>
              <w:spacing w:before="0" w:after="0"/>
              <w:rPr>
                <w:lang w:eastAsia="en-AU"/>
              </w:rPr>
            </w:pPr>
            <w:r w:rsidRPr="00D63217">
              <w:rPr>
                <w:lang w:eastAsia="en-AU"/>
              </w:rPr>
              <w:t>1</w:t>
            </w:r>
          </w:p>
        </w:tc>
        <w:tc>
          <w:tcPr>
            <w:tcW w:w="800" w:type="pct"/>
            <w:tcBorders>
              <w:top w:val="single" w:sz="4" w:space="0" w:color="auto"/>
              <w:left w:val="nil"/>
              <w:bottom w:val="single" w:sz="4" w:space="0" w:color="auto"/>
              <w:right w:val="nil"/>
            </w:tcBorders>
          </w:tcPr>
          <w:p w14:paraId="75CDCFF9" w14:textId="77777777" w:rsidR="00134232" w:rsidRPr="00D63217" w:rsidRDefault="00134232" w:rsidP="00834E0F">
            <w:pPr>
              <w:pStyle w:val="TableText"/>
              <w:spacing w:before="0" w:after="0"/>
              <w:rPr>
                <w:lang w:eastAsia="en-AU"/>
              </w:rPr>
            </w:pPr>
            <w:r w:rsidRPr="00D63217">
              <w:t>2.7</w:t>
            </w:r>
            <w:r w:rsidRPr="00D63217">
              <w:rPr>
                <w:lang w:eastAsia="en-AU"/>
              </w:rPr>
              <w:t xml:space="preserve"> mg ac/kg bw/d</w:t>
            </w:r>
          </w:p>
        </w:tc>
        <w:tc>
          <w:tcPr>
            <w:tcW w:w="1336" w:type="pct"/>
            <w:tcBorders>
              <w:top w:val="single" w:sz="4" w:space="0" w:color="auto"/>
              <w:left w:val="nil"/>
              <w:bottom w:val="single" w:sz="4" w:space="0" w:color="auto"/>
              <w:right w:val="nil"/>
            </w:tcBorders>
          </w:tcPr>
          <w:p w14:paraId="73B06935" w14:textId="41E9D6B1" w:rsidR="00134232" w:rsidRPr="00D63217" w:rsidRDefault="00134232" w:rsidP="00834E0F">
            <w:pPr>
              <w:pStyle w:val="TableText"/>
              <w:spacing w:before="0" w:after="0"/>
            </w:pPr>
            <w:r w:rsidRPr="00D63217">
              <w:t>Fink et</w:t>
            </w:r>
            <w:r w:rsidR="00143F5A" w:rsidRPr="00D63217">
              <w:t xml:space="preserve"> al,</w:t>
            </w:r>
            <w:r w:rsidRPr="00D63217">
              <w:t xml:space="preserve"> 1982</w:t>
            </w:r>
            <w:r w:rsidR="00143F5A" w:rsidRPr="00D63217">
              <w:t>(</w:t>
            </w:r>
            <w:r w:rsidR="00187029" w:rsidRPr="00D63217">
              <w:t>a</w:t>
            </w:r>
            <w:r w:rsidR="00143F5A" w:rsidRPr="00D63217">
              <w:t>)</w:t>
            </w:r>
          </w:p>
        </w:tc>
      </w:tr>
      <w:tr w:rsidR="00134232" w:rsidRPr="00D63217" w14:paraId="624213D0" w14:textId="77777777" w:rsidTr="003D5020">
        <w:trPr>
          <w:cantSplit/>
          <w:trHeight w:val="57"/>
        </w:trPr>
        <w:tc>
          <w:tcPr>
            <w:tcW w:w="902" w:type="pct"/>
            <w:tcBorders>
              <w:top w:val="single" w:sz="4" w:space="0" w:color="auto"/>
              <w:left w:val="nil"/>
              <w:bottom w:val="nil"/>
              <w:right w:val="nil"/>
            </w:tcBorders>
          </w:tcPr>
          <w:p w14:paraId="75A46DF9" w14:textId="77777777" w:rsidR="00134232" w:rsidRPr="00D63217" w:rsidRDefault="00134232" w:rsidP="00834E0F">
            <w:pPr>
              <w:pStyle w:val="TableText"/>
              <w:spacing w:before="0" w:after="0"/>
              <w:rPr>
                <w:lang w:eastAsia="en-AU"/>
              </w:rPr>
            </w:pPr>
            <w:r w:rsidRPr="00D63217">
              <w:rPr>
                <w:lang w:eastAsia="en-AU"/>
              </w:rPr>
              <w:t>Aquatic species</w:t>
            </w:r>
          </w:p>
        </w:tc>
        <w:tc>
          <w:tcPr>
            <w:tcW w:w="654" w:type="pct"/>
            <w:tcBorders>
              <w:left w:val="nil"/>
              <w:bottom w:val="single" w:sz="4" w:space="0" w:color="auto"/>
              <w:right w:val="nil"/>
            </w:tcBorders>
          </w:tcPr>
          <w:p w14:paraId="401BF1FA" w14:textId="77777777" w:rsidR="00134232" w:rsidRPr="00D63217" w:rsidRDefault="00134232" w:rsidP="00834E0F">
            <w:pPr>
              <w:pStyle w:val="TableText"/>
              <w:spacing w:before="0" w:after="0"/>
              <w:rPr>
                <w:lang w:eastAsia="en-AU"/>
              </w:rPr>
            </w:pPr>
            <w:r w:rsidRPr="00D63217">
              <w:rPr>
                <w:lang w:eastAsia="en-AU"/>
              </w:rPr>
              <w:t>Chronic</w:t>
            </w:r>
          </w:p>
        </w:tc>
        <w:tc>
          <w:tcPr>
            <w:tcW w:w="1090" w:type="pct"/>
            <w:tcBorders>
              <w:left w:val="nil"/>
              <w:bottom w:val="single" w:sz="4" w:space="0" w:color="auto"/>
              <w:right w:val="nil"/>
            </w:tcBorders>
          </w:tcPr>
          <w:p w14:paraId="0B1EDBDD" w14:textId="214CADFB" w:rsidR="00134232" w:rsidRPr="00A300B2" w:rsidRDefault="00134232" w:rsidP="00834E0F">
            <w:pPr>
              <w:pStyle w:val="TableText"/>
              <w:spacing w:before="0" w:after="0"/>
            </w:pPr>
            <w:r w:rsidRPr="00A300B2">
              <w:t>HC</w:t>
            </w:r>
            <w:r w:rsidRPr="00A300B2">
              <w:rPr>
                <w:vertAlign w:val="subscript"/>
              </w:rPr>
              <w:t>5</w:t>
            </w:r>
            <w:r w:rsidRPr="00A300B2">
              <w:t xml:space="preserve"> </w:t>
            </w:r>
            <w:r w:rsidR="003B2DEA" w:rsidRPr="00A300B2">
              <w:t>0.45</w:t>
            </w:r>
            <w:r w:rsidRPr="00A300B2">
              <w:t xml:space="preserve"> µg ac/L* </w:t>
            </w:r>
          </w:p>
        </w:tc>
        <w:tc>
          <w:tcPr>
            <w:tcW w:w="218" w:type="pct"/>
            <w:tcBorders>
              <w:left w:val="nil"/>
              <w:bottom w:val="single" w:sz="4" w:space="0" w:color="auto"/>
              <w:right w:val="nil"/>
            </w:tcBorders>
          </w:tcPr>
          <w:p w14:paraId="39E5712C" w14:textId="4A8FEF2B" w:rsidR="00134232" w:rsidRPr="00A300B2" w:rsidRDefault="007B375C" w:rsidP="00834E0F">
            <w:pPr>
              <w:pStyle w:val="TableText"/>
              <w:spacing w:before="0" w:after="0"/>
            </w:pPr>
            <w:r w:rsidRPr="00A300B2">
              <w:t>3</w:t>
            </w:r>
          </w:p>
        </w:tc>
        <w:tc>
          <w:tcPr>
            <w:tcW w:w="800" w:type="pct"/>
            <w:tcBorders>
              <w:left w:val="nil"/>
              <w:bottom w:val="single" w:sz="4" w:space="0" w:color="auto"/>
              <w:right w:val="nil"/>
            </w:tcBorders>
          </w:tcPr>
          <w:p w14:paraId="32336E31" w14:textId="0ED710D4" w:rsidR="00134232" w:rsidRPr="00A300B2" w:rsidRDefault="003B2DEA" w:rsidP="00834E0F">
            <w:pPr>
              <w:pStyle w:val="TableText"/>
              <w:spacing w:before="0" w:after="0"/>
            </w:pPr>
            <w:r w:rsidRPr="00A300B2">
              <w:t>0.</w:t>
            </w:r>
            <w:r w:rsidR="007B375C" w:rsidRPr="00A300B2">
              <w:t>15</w:t>
            </w:r>
            <w:r w:rsidR="00134232" w:rsidRPr="00A300B2">
              <w:t xml:space="preserve"> µg ac/L </w:t>
            </w:r>
          </w:p>
        </w:tc>
        <w:tc>
          <w:tcPr>
            <w:tcW w:w="1336" w:type="pct"/>
            <w:tcBorders>
              <w:left w:val="nil"/>
              <w:bottom w:val="single" w:sz="4" w:space="0" w:color="auto"/>
              <w:right w:val="nil"/>
            </w:tcBorders>
          </w:tcPr>
          <w:p w14:paraId="7A171308" w14:textId="33B7DF9F" w:rsidR="00134232" w:rsidRPr="00A300B2" w:rsidRDefault="00134232" w:rsidP="00834E0F">
            <w:pPr>
              <w:pStyle w:val="TableText"/>
              <w:spacing w:before="0" w:after="0"/>
            </w:pPr>
            <w:r w:rsidRPr="00A300B2">
              <w:t>Baltazar et</w:t>
            </w:r>
            <w:r w:rsidR="00143F5A" w:rsidRPr="00A300B2">
              <w:t xml:space="preserve"> al,</w:t>
            </w:r>
            <w:r w:rsidRPr="00A300B2">
              <w:t xml:space="preserve"> 2014, Cheloni &amp; Slaveykova 2021, Jamers &amp; de Coen 2010, Mohammad et</w:t>
            </w:r>
            <w:r w:rsidR="00143F5A" w:rsidRPr="00A300B2">
              <w:t xml:space="preserve"> al,</w:t>
            </w:r>
            <w:r w:rsidRPr="00A300B2">
              <w:t xml:space="preserve"> 2010, Scheerbaum 2007b, Smyth et al 1990</w:t>
            </w:r>
            <w:r w:rsidR="00143F5A" w:rsidRPr="00A300B2">
              <w:t>(</w:t>
            </w:r>
            <w:r w:rsidRPr="00A300B2">
              <w:t>a</w:t>
            </w:r>
            <w:r w:rsidR="00143F5A" w:rsidRPr="00A300B2">
              <w:t>)</w:t>
            </w:r>
            <w:r w:rsidRPr="00A300B2">
              <w:t>, 1990b, Smyth et</w:t>
            </w:r>
            <w:r w:rsidR="00143F5A" w:rsidRPr="00A300B2">
              <w:t xml:space="preserve"> al,</w:t>
            </w:r>
            <w:r w:rsidRPr="00A300B2">
              <w:t xml:space="preserve"> 1992</w:t>
            </w:r>
            <w:r w:rsidR="00143F5A" w:rsidRPr="00A300B2">
              <w:t>(</w:t>
            </w:r>
            <w:r w:rsidRPr="00A300B2">
              <w:t>a</w:t>
            </w:r>
            <w:r w:rsidR="00143F5A" w:rsidRPr="00A300B2">
              <w:t>)</w:t>
            </w:r>
            <w:r w:rsidRPr="00A300B2">
              <w:t>, 1992</w:t>
            </w:r>
            <w:r w:rsidR="00143F5A" w:rsidRPr="00A300B2">
              <w:t>(</w:t>
            </w:r>
            <w:r w:rsidRPr="00A300B2">
              <w:t>b</w:t>
            </w:r>
            <w:r w:rsidR="00143F5A" w:rsidRPr="00A300B2">
              <w:t>)</w:t>
            </w:r>
            <w:r w:rsidRPr="00A300B2">
              <w:t>, 1992</w:t>
            </w:r>
            <w:r w:rsidR="00143F5A" w:rsidRPr="00A300B2">
              <w:t>(</w:t>
            </w:r>
            <w:r w:rsidRPr="00A300B2">
              <w:t>c</w:t>
            </w:r>
            <w:r w:rsidR="00143F5A" w:rsidRPr="00A300B2">
              <w:t>)</w:t>
            </w:r>
            <w:r w:rsidRPr="00A300B2">
              <w:t>, 1992</w:t>
            </w:r>
            <w:r w:rsidR="00143F5A" w:rsidRPr="00A300B2">
              <w:t>(</w:t>
            </w:r>
            <w:r w:rsidRPr="00A300B2">
              <w:t>d</w:t>
            </w:r>
            <w:r w:rsidR="00143F5A" w:rsidRPr="00A300B2">
              <w:t>)</w:t>
            </w:r>
            <w:r w:rsidRPr="00A300B2">
              <w:t>, 1992</w:t>
            </w:r>
            <w:r w:rsidR="00143F5A" w:rsidRPr="00A300B2">
              <w:t>(</w:t>
            </w:r>
            <w:r w:rsidRPr="00A300B2">
              <w:t>e</w:t>
            </w:r>
            <w:r w:rsidR="00143F5A" w:rsidRPr="00A300B2">
              <w:t>)</w:t>
            </w:r>
            <w:r w:rsidRPr="00A300B2">
              <w:t>, Tagun &amp; Boxall 2018</w:t>
            </w:r>
          </w:p>
        </w:tc>
      </w:tr>
      <w:tr w:rsidR="00134232" w:rsidRPr="00D63217" w14:paraId="335AF878" w14:textId="77777777" w:rsidTr="003D5020">
        <w:trPr>
          <w:cantSplit/>
          <w:trHeight w:val="57"/>
        </w:trPr>
        <w:tc>
          <w:tcPr>
            <w:tcW w:w="902" w:type="pct"/>
            <w:tcBorders>
              <w:top w:val="single" w:sz="4" w:space="0" w:color="auto"/>
              <w:left w:val="nil"/>
              <w:bottom w:val="nil"/>
              <w:right w:val="nil"/>
            </w:tcBorders>
          </w:tcPr>
          <w:p w14:paraId="1BFF00C9" w14:textId="77777777" w:rsidR="00134232" w:rsidRPr="00D63217" w:rsidRDefault="00134232" w:rsidP="00834E0F">
            <w:pPr>
              <w:pStyle w:val="TableText"/>
              <w:spacing w:before="0" w:after="0"/>
            </w:pPr>
            <w:r w:rsidRPr="00D63217">
              <w:t>Sediment dwellers</w:t>
            </w:r>
          </w:p>
        </w:tc>
        <w:tc>
          <w:tcPr>
            <w:tcW w:w="654" w:type="pct"/>
            <w:tcBorders>
              <w:top w:val="single" w:sz="4" w:space="0" w:color="auto"/>
              <w:left w:val="nil"/>
              <w:bottom w:val="single" w:sz="4" w:space="0" w:color="auto"/>
              <w:right w:val="nil"/>
            </w:tcBorders>
          </w:tcPr>
          <w:p w14:paraId="20CDD9EA" w14:textId="77777777" w:rsidR="00134232" w:rsidRPr="00D63217" w:rsidRDefault="00134232" w:rsidP="00834E0F">
            <w:pPr>
              <w:pStyle w:val="TableText"/>
              <w:spacing w:before="0" w:after="0"/>
            </w:pPr>
            <w:r w:rsidRPr="00D63217">
              <w:t>Acute</w:t>
            </w:r>
          </w:p>
        </w:tc>
        <w:tc>
          <w:tcPr>
            <w:tcW w:w="1090" w:type="pct"/>
            <w:tcBorders>
              <w:top w:val="single" w:sz="4" w:space="0" w:color="auto"/>
              <w:left w:val="nil"/>
              <w:bottom w:val="single" w:sz="4" w:space="0" w:color="auto"/>
              <w:right w:val="nil"/>
            </w:tcBorders>
          </w:tcPr>
          <w:p w14:paraId="142DB702" w14:textId="632AD8C5" w:rsidR="00134232" w:rsidRPr="00A300B2" w:rsidRDefault="00134232" w:rsidP="00834E0F">
            <w:pPr>
              <w:pStyle w:val="TableText"/>
              <w:spacing w:before="0" w:after="0"/>
            </w:pPr>
            <w:r w:rsidRPr="00A300B2">
              <w:t>LC</w:t>
            </w:r>
            <w:r w:rsidRPr="00A300B2">
              <w:rPr>
                <w:vertAlign w:val="subscript"/>
              </w:rPr>
              <w:t>50</w:t>
            </w:r>
            <w:r w:rsidRPr="00A300B2">
              <w:t xml:space="preserve"> 39 mg ac/kg d</w:t>
            </w:r>
            <w:r w:rsidR="003A47FC">
              <w:t>ry sediment (ds)</w:t>
            </w:r>
          </w:p>
        </w:tc>
        <w:tc>
          <w:tcPr>
            <w:tcW w:w="218" w:type="pct"/>
            <w:tcBorders>
              <w:top w:val="single" w:sz="4" w:space="0" w:color="auto"/>
              <w:left w:val="nil"/>
              <w:bottom w:val="single" w:sz="4" w:space="0" w:color="auto"/>
              <w:right w:val="nil"/>
            </w:tcBorders>
          </w:tcPr>
          <w:p w14:paraId="38D288C4" w14:textId="77777777" w:rsidR="00134232" w:rsidRPr="00A300B2" w:rsidRDefault="00134232" w:rsidP="00834E0F">
            <w:pPr>
              <w:pStyle w:val="TableText"/>
              <w:spacing w:before="0" w:after="0"/>
            </w:pPr>
            <w:r w:rsidRPr="00A300B2">
              <w:t>10</w:t>
            </w:r>
          </w:p>
        </w:tc>
        <w:tc>
          <w:tcPr>
            <w:tcW w:w="800" w:type="pct"/>
            <w:tcBorders>
              <w:top w:val="single" w:sz="4" w:space="0" w:color="auto"/>
              <w:left w:val="nil"/>
              <w:bottom w:val="single" w:sz="4" w:space="0" w:color="auto"/>
              <w:right w:val="nil"/>
            </w:tcBorders>
          </w:tcPr>
          <w:p w14:paraId="7FD59427" w14:textId="77777777" w:rsidR="00134232" w:rsidRPr="00A300B2" w:rsidRDefault="00134232" w:rsidP="00834E0F">
            <w:pPr>
              <w:pStyle w:val="TableText"/>
              <w:spacing w:before="0" w:after="0"/>
            </w:pPr>
            <w:r w:rsidRPr="00A300B2">
              <w:t>3.9 mg ac/kg ds</w:t>
            </w:r>
          </w:p>
        </w:tc>
        <w:tc>
          <w:tcPr>
            <w:tcW w:w="1336" w:type="pct"/>
            <w:tcBorders>
              <w:top w:val="single" w:sz="4" w:space="0" w:color="auto"/>
              <w:left w:val="nil"/>
              <w:bottom w:val="single" w:sz="4" w:space="0" w:color="auto"/>
              <w:right w:val="nil"/>
            </w:tcBorders>
          </w:tcPr>
          <w:p w14:paraId="3FA18AEA" w14:textId="77777777" w:rsidR="00134232" w:rsidRPr="00A300B2" w:rsidRDefault="00134232" w:rsidP="00834E0F">
            <w:pPr>
              <w:pStyle w:val="TableText"/>
              <w:spacing w:before="0" w:after="0"/>
            </w:pPr>
            <w:r w:rsidRPr="00A300B2">
              <w:t>Bradley 2015a</w:t>
            </w:r>
          </w:p>
        </w:tc>
      </w:tr>
      <w:tr w:rsidR="00134232" w:rsidRPr="00D63217" w14:paraId="16377720" w14:textId="77777777" w:rsidTr="003D5020">
        <w:trPr>
          <w:cantSplit/>
          <w:trHeight w:val="57"/>
        </w:trPr>
        <w:tc>
          <w:tcPr>
            <w:tcW w:w="902" w:type="pct"/>
            <w:tcBorders>
              <w:top w:val="single" w:sz="4" w:space="0" w:color="auto"/>
              <w:left w:val="nil"/>
              <w:bottom w:val="nil"/>
              <w:right w:val="nil"/>
            </w:tcBorders>
          </w:tcPr>
          <w:p w14:paraId="43FAD5AE" w14:textId="77777777" w:rsidR="00134232" w:rsidRPr="00D63217" w:rsidRDefault="00134232" w:rsidP="00834E0F">
            <w:pPr>
              <w:pStyle w:val="TableText"/>
              <w:spacing w:before="0" w:after="0"/>
              <w:rPr>
                <w:lang w:eastAsia="en-AU"/>
              </w:rPr>
            </w:pPr>
            <w:r w:rsidRPr="00D63217">
              <w:t>Adult bees</w:t>
            </w:r>
          </w:p>
        </w:tc>
        <w:tc>
          <w:tcPr>
            <w:tcW w:w="654" w:type="pct"/>
            <w:tcBorders>
              <w:top w:val="single" w:sz="4" w:space="0" w:color="auto"/>
              <w:left w:val="nil"/>
              <w:bottom w:val="nil"/>
              <w:right w:val="nil"/>
            </w:tcBorders>
          </w:tcPr>
          <w:p w14:paraId="08E455FF" w14:textId="77777777" w:rsidR="00134232" w:rsidRPr="00D63217" w:rsidRDefault="00134232" w:rsidP="00834E0F">
            <w:pPr>
              <w:pStyle w:val="TableText"/>
              <w:spacing w:before="0" w:after="0"/>
              <w:rPr>
                <w:lang w:eastAsia="en-AU"/>
              </w:rPr>
            </w:pPr>
            <w:r w:rsidRPr="00D63217">
              <w:t>Acute contact</w:t>
            </w:r>
          </w:p>
        </w:tc>
        <w:tc>
          <w:tcPr>
            <w:tcW w:w="1090" w:type="pct"/>
            <w:tcBorders>
              <w:top w:val="single" w:sz="4" w:space="0" w:color="auto"/>
              <w:left w:val="nil"/>
              <w:bottom w:val="nil"/>
              <w:right w:val="nil"/>
            </w:tcBorders>
          </w:tcPr>
          <w:p w14:paraId="3AC3CCB0" w14:textId="77777777" w:rsidR="00134232" w:rsidRPr="00A300B2" w:rsidRDefault="00134232" w:rsidP="00834E0F">
            <w:pPr>
              <w:pStyle w:val="TableText"/>
              <w:spacing w:before="0" w:after="0"/>
            </w:pPr>
            <w:r w:rsidRPr="00A300B2">
              <w:t>LD</w:t>
            </w:r>
            <w:r w:rsidRPr="00A300B2">
              <w:rPr>
                <w:vertAlign w:val="subscript"/>
              </w:rPr>
              <w:t>50</w:t>
            </w:r>
            <w:r w:rsidRPr="00A300B2">
              <w:t xml:space="preserve"> 16 µg ac/bee</w:t>
            </w:r>
          </w:p>
        </w:tc>
        <w:tc>
          <w:tcPr>
            <w:tcW w:w="218" w:type="pct"/>
            <w:tcBorders>
              <w:top w:val="single" w:sz="4" w:space="0" w:color="auto"/>
              <w:left w:val="nil"/>
              <w:bottom w:val="nil"/>
              <w:right w:val="nil"/>
            </w:tcBorders>
          </w:tcPr>
          <w:p w14:paraId="0490467F" w14:textId="77777777" w:rsidR="00134232" w:rsidRPr="00A300B2" w:rsidRDefault="00134232" w:rsidP="00834E0F">
            <w:pPr>
              <w:pStyle w:val="TableText"/>
              <w:spacing w:before="0" w:after="0"/>
            </w:pPr>
            <w:r w:rsidRPr="00A300B2">
              <w:t>2.5</w:t>
            </w:r>
          </w:p>
        </w:tc>
        <w:tc>
          <w:tcPr>
            <w:tcW w:w="800" w:type="pct"/>
            <w:tcBorders>
              <w:top w:val="single" w:sz="4" w:space="0" w:color="auto"/>
              <w:left w:val="nil"/>
              <w:bottom w:val="nil"/>
              <w:right w:val="nil"/>
            </w:tcBorders>
          </w:tcPr>
          <w:p w14:paraId="2DED1F59" w14:textId="77777777" w:rsidR="00134232" w:rsidRPr="00A300B2" w:rsidRDefault="00134232" w:rsidP="00834E0F">
            <w:pPr>
              <w:pStyle w:val="TableText"/>
              <w:spacing w:before="0" w:after="0"/>
            </w:pPr>
            <w:r w:rsidRPr="00A300B2">
              <w:t xml:space="preserve">6.4 µg ac/bee </w:t>
            </w:r>
          </w:p>
        </w:tc>
        <w:tc>
          <w:tcPr>
            <w:tcW w:w="1336" w:type="pct"/>
            <w:tcBorders>
              <w:top w:val="single" w:sz="4" w:space="0" w:color="auto"/>
              <w:left w:val="nil"/>
              <w:bottom w:val="nil"/>
              <w:right w:val="nil"/>
            </w:tcBorders>
          </w:tcPr>
          <w:p w14:paraId="7CD86F6C" w14:textId="77777777" w:rsidR="00134232" w:rsidRPr="00A300B2" w:rsidRDefault="00134232" w:rsidP="00834E0F">
            <w:pPr>
              <w:pStyle w:val="TableText"/>
              <w:spacing w:before="0" w:after="0"/>
            </w:pPr>
            <w:r w:rsidRPr="00A300B2">
              <w:t>Bull &amp; Wilkinson 1987</w:t>
            </w:r>
          </w:p>
        </w:tc>
      </w:tr>
      <w:tr w:rsidR="00134232" w:rsidRPr="00D63217" w14:paraId="2F7F7135" w14:textId="77777777" w:rsidTr="003D5020">
        <w:trPr>
          <w:cantSplit/>
          <w:trHeight w:val="57"/>
        </w:trPr>
        <w:tc>
          <w:tcPr>
            <w:tcW w:w="902" w:type="pct"/>
            <w:tcBorders>
              <w:top w:val="nil"/>
              <w:left w:val="nil"/>
              <w:bottom w:val="single" w:sz="4" w:space="0" w:color="auto"/>
              <w:right w:val="nil"/>
            </w:tcBorders>
          </w:tcPr>
          <w:p w14:paraId="68E1C7E3" w14:textId="77777777" w:rsidR="00134232" w:rsidRPr="00D63217" w:rsidRDefault="00134232" w:rsidP="00834E0F">
            <w:pPr>
              <w:pStyle w:val="TableText"/>
              <w:spacing w:before="0" w:after="0"/>
            </w:pPr>
          </w:p>
        </w:tc>
        <w:tc>
          <w:tcPr>
            <w:tcW w:w="654" w:type="pct"/>
            <w:tcBorders>
              <w:top w:val="nil"/>
              <w:left w:val="nil"/>
              <w:bottom w:val="single" w:sz="4" w:space="0" w:color="auto"/>
              <w:right w:val="nil"/>
            </w:tcBorders>
          </w:tcPr>
          <w:p w14:paraId="38BE3152" w14:textId="77777777" w:rsidR="00134232" w:rsidRPr="00D63217" w:rsidRDefault="00134232" w:rsidP="00834E0F">
            <w:pPr>
              <w:pStyle w:val="TableText"/>
              <w:spacing w:before="0" w:after="0"/>
            </w:pPr>
            <w:r w:rsidRPr="00D63217">
              <w:t>Acute oral</w:t>
            </w:r>
          </w:p>
        </w:tc>
        <w:tc>
          <w:tcPr>
            <w:tcW w:w="1090" w:type="pct"/>
            <w:tcBorders>
              <w:top w:val="nil"/>
              <w:left w:val="nil"/>
              <w:bottom w:val="single" w:sz="4" w:space="0" w:color="auto"/>
              <w:right w:val="nil"/>
            </w:tcBorders>
          </w:tcPr>
          <w:p w14:paraId="7376F92B" w14:textId="77777777" w:rsidR="00134232" w:rsidRPr="00A300B2" w:rsidRDefault="00134232" w:rsidP="00834E0F">
            <w:pPr>
              <w:pStyle w:val="TableText"/>
              <w:spacing w:before="0" w:after="0"/>
            </w:pPr>
            <w:r w:rsidRPr="00A300B2">
              <w:t>LD</w:t>
            </w:r>
            <w:r w:rsidRPr="00A300B2">
              <w:rPr>
                <w:vertAlign w:val="subscript"/>
              </w:rPr>
              <w:t>50</w:t>
            </w:r>
            <w:r w:rsidRPr="00A300B2">
              <w:t xml:space="preserve"> 13 µg ac/bee</w:t>
            </w:r>
          </w:p>
        </w:tc>
        <w:tc>
          <w:tcPr>
            <w:tcW w:w="218" w:type="pct"/>
            <w:tcBorders>
              <w:top w:val="nil"/>
              <w:left w:val="nil"/>
              <w:bottom w:val="single" w:sz="4" w:space="0" w:color="auto"/>
              <w:right w:val="nil"/>
            </w:tcBorders>
          </w:tcPr>
          <w:p w14:paraId="3641D36B" w14:textId="77777777" w:rsidR="00134232" w:rsidRPr="00A300B2" w:rsidRDefault="00134232" w:rsidP="00834E0F">
            <w:pPr>
              <w:pStyle w:val="TableText"/>
              <w:spacing w:before="0" w:after="0"/>
            </w:pPr>
            <w:r w:rsidRPr="00A300B2">
              <w:t>2.5</w:t>
            </w:r>
          </w:p>
        </w:tc>
        <w:tc>
          <w:tcPr>
            <w:tcW w:w="800" w:type="pct"/>
            <w:tcBorders>
              <w:top w:val="nil"/>
              <w:left w:val="nil"/>
              <w:bottom w:val="single" w:sz="4" w:space="0" w:color="auto"/>
              <w:right w:val="nil"/>
            </w:tcBorders>
          </w:tcPr>
          <w:p w14:paraId="16587FD3" w14:textId="77777777" w:rsidR="00134232" w:rsidRPr="00A300B2" w:rsidRDefault="00134232" w:rsidP="00834E0F">
            <w:pPr>
              <w:pStyle w:val="TableText"/>
              <w:spacing w:before="0" w:after="0"/>
            </w:pPr>
            <w:r w:rsidRPr="00A300B2">
              <w:t>5.2 µg ac/bee</w:t>
            </w:r>
          </w:p>
        </w:tc>
        <w:tc>
          <w:tcPr>
            <w:tcW w:w="1336" w:type="pct"/>
            <w:tcBorders>
              <w:top w:val="nil"/>
              <w:left w:val="nil"/>
              <w:bottom w:val="single" w:sz="4" w:space="0" w:color="auto"/>
              <w:right w:val="nil"/>
            </w:tcBorders>
          </w:tcPr>
          <w:p w14:paraId="5C2C6DDC" w14:textId="77777777" w:rsidR="00134232" w:rsidRPr="00A300B2" w:rsidRDefault="00134232" w:rsidP="00834E0F">
            <w:pPr>
              <w:pStyle w:val="TableText"/>
              <w:spacing w:before="0" w:after="0"/>
            </w:pPr>
            <w:r w:rsidRPr="00A300B2">
              <w:t>Bull &amp; Wilkinson 1987</w:t>
            </w:r>
          </w:p>
        </w:tc>
      </w:tr>
      <w:tr w:rsidR="00134232" w:rsidRPr="00D63217" w14:paraId="651A33C9" w14:textId="77777777" w:rsidTr="003D5020">
        <w:trPr>
          <w:cantSplit/>
          <w:trHeight w:val="57"/>
        </w:trPr>
        <w:tc>
          <w:tcPr>
            <w:tcW w:w="902" w:type="pct"/>
            <w:tcBorders>
              <w:top w:val="single" w:sz="4" w:space="0" w:color="auto"/>
              <w:left w:val="nil"/>
              <w:bottom w:val="nil"/>
              <w:right w:val="nil"/>
            </w:tcBorders>
          </w:tcPr>
          <w:p w14:paraId="4726C164" w14:textId="77777777" w:rsidR="00134232" w:rsidRPr="00D63217" w:rsidRDefault="00134232" w:rsidP="00834E0F">
            <w:pPr>
              <w:pStyle w:val="TableText"/>
              <w:spacing w:before="0" w:after="0"/>
            </w:pPr>
            <w:r w:rsidRPr="00D63217">
              <w:t>Foliar arthropods</w:t>
            </w:r>
          </w:p>
        </w:tc>
        <w:tc>
          <w:tcPr>
            <w:tcW w:w="654" w:type="pct"/>
            <w:tcBorders>
              <w:left w:val="nil"/>
              <w:bottom w:val="nil"/>
              <w:right w:val="nil"/>
            </w:tcBorders>
          </w:tcPr>
          <w:p w14:paraId="34D5E994" w14:textId="77777777" w:rsidR="00134232" w:rsidRPr="00D63217" w:rsidRDefault="00134232" w:rsidP="00834E0F">
            <w:pPr>
              <w:pStyle w:val="TableText"/>
              <w:spacing w:before="0" w:after="0"/>
            </w:pPr>
            <w:r w:rsidRPr="00D63217">
              <w:t>Contact</w:t>
            </w:r>
          </w:p>
        </w:tc>
        <w:tc>
          <w:tcPr>
            <w:tcW w:w="1090" w:type="pct"/>
            <w:tcBorders>
              <w:left w:val="nil"/>
              <w:bottom w:val="nil"/>
              <w:right w:val="nil"/>
            </w:tcBorders>
          </w:tcPr>
          <w:p w14:paraId="0D6E9ADA" w14:textId="77777777" w:rsidR="00134232" w:rsidRPr="00A300B2" w:rsidRDefault="00134232" w:rsidP="00834E0F">
            <w:pPr>
              <w:pStyle w:val="TableText"/>
              <w:spacing w:before="0" w:after="0"/>
            </w:pPr>
            <w:r w:rsidRPr="00A300B2">
              <w:t>LR</w:t>
            </w:r>
            <w:r w:rsidRPr="00A300B2">
              <w:rPr>
                <w:vertAlign w:val="subscript"/>
              </w:rPr>
              <w:t>50</w:t>
            </w:r>
            <w:r w:rsidRPr="00A300B2">
              <w:t xml:space="preserve"> 8.2 g ac/ha</w:t>
            </w:r>
          </w:p>
        </w:tc>
        <w:tc>
          <w:tcPr>
            <w:tcW w:w="218" w:type="pct"/>
            <w:tcBorders>
              <w:left w:val="nil"/>
              <w:bottom w:val="nil"/>
              <w:right w:val="nil"/>
            </w:tcBorders>
          </w:tcPr>
          <w:p w14:paraId="673746A1" w14:textId="77777777" w:rsidR="00134232" w:rsidRPr="00A300B2" w:rsidRDefault="00134232" w:rsidP="00834E0F">
            <w:pPr>
              <w:pStyle w:val="TableText"/>
              <w:spacing w:before="0" w:after="0"/>
            </w:pPr>
            <w:r w:rsidRPr="00A300B2">
              <w:t>1</w:t>
            </w:r>
          </w:p>
        </w:tc>
        <w:tc>
          <w:tcPr>
            <w:tcW w:w="800" w:type="pct"/>
            <w:tcBorders>
              <w:left w:val="nil"/>
              <w:bottom w:val="nil"/>
              <w:right w:val="nil"/>
            </w:tcBorders>
          </w:tcPr>
          <w:p w14:paraId="4E9D797C" w14:textId="77777777" w:rsidR="00134232" w:rsidRPr="00A300B2" w:rsidRDefault="00134232" w:rsidP="00834E0F">
            <w:pPr>
              <w:pStyle w:val="TableText"/>
              <w:spacing w:before="0" w:after="0"/>
            </w:pPr>
            <w:r w:rsidRPr="00A300B2">
              <w:t>8.2 g ac/ha</w:t>
            </w:r>
          </w:p>
        </w:tc>
        <w:tc>
          <w:tcPr>
            <w:tcW w:w="1336" w:type="pct"/>
            <w:tcBorders>
              <w:left w:val="nil"/>
              <w:bottom w:val="nil"/>
              <w:right w:val="nil"/>
            </w:tcBorders>
          </w:tcPr>
          <w:p w14:paraId="0A4A7293" w14:textId="51CB7824" w:rsidR="00134232" w:rsidRPr="00A300B2" w:rsidRDefault="00134232" w:rsidP="00834E0F">
            <w:pPr>
              <w:pStyle w:val="TableText"/>
              <w:spacing w:before="0" w:after="0"/>
            </w:pPr>
            <w:r w:rsidRPr="00A300B2">
              <w:t>Austin 1999</w:t>
            </w:r>
            <w:r w:rsidR="008648BF" w:rsidRPr="00A300B2">
              <w:t>a</w:t>
            </w:r>
          </w:p>
        </w:tc>
      </w:tr>
      <w:tr w:rsidR="00134232" w:rsidRPr="00D63217" w14:paraId="0928EE6F" w14:textId="77777777" w:rsidTr="003D5020">
        <w:trPr>
          <w:cantSplit/>
          <w:trHeight w:val="57"/>
        </w:trPr>
        <w:tc>
          <w:tcPr>
            <w:tcW w:w="902" w:type="pct"/>
            <w:tcBorders>
              <w:top w:val="single" w:sz="4" w:space="0" w:color="auto"/>
              <w:left w:val="nil"/>
              <w:right w:val="nil"/>
            </w:tcBorders>
          </w:tcPr>
          <w:p w14:paraId="3941A3AD" w14:textId="77777777" w:rsidR="00134232" w:rsidRPr="00D63217" w:rsidRDefault="00134232" w:rsidP="00834E0F">
            <w:pPr>
              <w:pStyle w:val="TableText"/>
              <w:spacing w:before="0" w:after="0"/>
            </w:pPr>
            <w:r w:rsidRPr="00D63217">
              <w:t>Ground arthropods</w:t>
            </w:r>
          </w:p>
        </w:tc>
        <w:tc>
          <w:tcPr>
            <w:tcW w:w="654" w:type="pct"/>
            <w:tcBorders>
              <w:left w:val="nil"/>
              <w:bottom w:val="single" w:sz="4" w:space="0" w:color="auto"/>
              <w:right w:val="nil"/>
            </w:tcBorders>
          </w:tcPr>
          <w:p w14:paraId="2630EEC7" w14:textId="77777777" w:rsidR="00134232" w:rsidRPr="00D63217" w:rsidRDefault="00134232" w:rsidP="00834E0F">
            <w:pPr>
              <w:pStyle w:val="TableText"/>
              <w:spacing w:before="0" w:after="0"/>
            </w:pPr>
            <w:r w:rsidRPr="00D63217">
              <w:t>Contact</w:t>
            </w:r>
          </w:p>
        </w:tc>
        <w:tc>
          <w:tcPr>
            <w:tcW w:w="1090" w:type="pct"/>
            <w:tcBorders>
              <w:left w:val="nil"/>
              <w:bottom w:val="single" w:sz="4" w:space="0" w:color="auto"/>
              <w:right w:val="nil"/>
            </w:tcBorders>
          </w:tcPr>
          <w:p w14:paraId="3E451458" w14:textId="77777777" w:rsidR="00134232" w:rsidRPr="00A300B2" w:rsidRDefault="00134232" w:rsidP="00834E0F">
            <w:pPr>
              <w:pStyle w:val="TableText"/>
              <w:spacing w:before="0" w:after="0"/>
            </w:pPr>
            <w:r w:rsidRPr="00A300B2">
              <w:t>ER</w:t>
            </w:r>
            <w:r w:rsidRPr="00A300B2">
              <w:rPr>
                <w:vertAlign w:val="subscript"/>
              </w:rPr>
              <w:t>50</w:t>
            </w:r>
            <w:r w:rsidRPr="00A300B2">
              <w:t xml:space="preserve"> &gt;600 g ac/ha</w:t>
            </w:r>
          </w:p>
        </w:tc>
        <w:tc>
          <w:tcPr>
            <w:tcW w:w="218" w:type="pct"/>
            <w:tcBorders>
              <w:left w:val="nil"/>
              <w:bottom w:val="single" w:sz="4" w:space="0" w:color="auto"/>
              <w:right w:val="nil"/>
            </w:tcBorders>
          </w:tcPr>
          <w:p w14:paraId="7B2A5BD1" w14:textId="77777777" w:rsidR="00134232" w:rsidRPr="00A300B2" w:rsidRDefault="00134232" w:rsidP="00834E0F">
            <w:pPr>
              <w:pStyle w:val="TableText"/>
              <w:spacing w:before="0" w:after="0"/>
            </w:pPr>
            <w:r w:rsidRPr="00A300B2">
              <w:t>1</w:t>
            </w:r>
          </w:p>
        </w:tc>
        <w:tc>
          <w:tcPr>
            <w:tcW w:w="800" w:type="pct"/>
            <w:tcBorders>
              <w:left w:val="nil"/>
              <w:bottom w:val="single" w:sz="4" w:space="0" w:color="auto"/>
              <w:right w:val="nil"/>
            </w:tcBorders>
          </w:tcPr>
          <w:p w14:paraId="231157B0" w14:textId="77777777" w:rsidR="00134232" w:rsidRPr="00A300B2" w:rsidRDefault="00134232" w:rsidP="00834E0F">
            <w:pPr>
              <w:pStyle w:val="TableText"/>
              <w:spacing w:before="0" w:after="0"/>
            </w:pPr>
            <w:r w:rsidRPr="00A300B2">
              <w:t>600 g ac/ha</w:t>
            </w:r>
          </w:p>
        </w:tc>
        <w:tc>
          <w:tcPr>
            <w:tcW w:w="1336" w:type="pct"/>
            <w:tcBorders>
              <w:left w:val="nil"/>
              <w:bottom w:val="single" w:sz="4" w:space="0" w:color="auto"/>
              <w:right w:val="nil"/>
            </w:tcBorders>
          </w:tcPr>
          <w:p w14:paraId="6B5DD107" w14:textId="77777777" w:rsidR="00134232" w:rsidRPr="00A300B2" w:rsidRDefault="00134232" w:rsidP="00834E0F">
            <w:pPr>
              <w:pStyle w:val="TableText"/>
              <w:spacing w:before="0" w:after="0"/>
            </w:pPr>
            <w:r w:rsidRPr="00A300B2">
              <w:t>Petto 1993</w:t>
            </w:r>
          </w:p>
        </w:tc>
      </w:tr>
      <w:tr w:rsidR="00134232" w:rsidRPr="00D63217" w14:paraId="6423CA02" w14:textId="77777777" w:rsidTr="003D5020">
        <w:trPr>
          <w:cantSplit/>
          <w:trHeight w:val="57"/>
        </w:trPr>
        <w:tc>
          <w:tcPr>
            <w:tcW w:w="902" w:type="pct"/>
            <w:tcBorders>
              <w:top w:val="single" w:sz="4" w:space="0" w:color="auto"/>
              <w:left w:val="nil"/>
              <w:right w:val="nil"/>
            </w:tcBorders>
          </w:tcPr>
          <w:p w14:paraId="024FD997" w14:textId="77777777" w:rsidR="00134232" w:rsidRPr="00D63217" w:rsidRDefault="00134232" w:rsidP="00834E0F">
            <w:pPr>
              <w:pStyle w:val="TableText"/>
              <w:spacing w:before="0" w:after="0"/>
            </w:pPr>
            <w:r w:rsidRPr="00D63217">
              <w:t>Soil macro-organisms</w:t>
            </w:r>
          </w:p>
        </w:tc>
        <w:tc>
          <w:tcPr>
            <w:tcW w:w="654" w:type="pct"/>
            <w:tcBorders>
              <w:left w:val="nil"/>
              <w:bottom w:val="single" w:sz="4" w:space="0" w:color="auto"/>
              <w:right w:val="nil"/>
            </w:tcBorders>
          </w:tcPr>
          <w:p w14:paraId="4C5B3159" w14:textId="77777777" w:rsidR="00134232" w:rsidRPr="00D63217" w:rsidRDefault="00134232" w:rsidP="00834E0F">
            <w:pPr>
              <w:pStyle w:val="TableText"/>
              <w:spacing w:before="0" w:after="0"/>
            </w:pPr>
            <w:r w:rsidRPr="00D63217">
              <w:t>Acute</w:t>
            </w:r>
          </w:p>
        </w:tc>
        <w:tc>
          <w:tcPr>
            <w:tcW w:w="1090" w:type="pct"/>
            <w:tcBorders>
              <w:left w:val="nil"/>
              <w:bottom w:val="single" w:sz="4" w:space="0" w:color="auto"/>
              <w:right w:val="nil"/>
            </w:tcBorders>
          </w:tcPr>
          <w:p w14:paraId="618105B7" w14:textId="77777777" w:rsidR="00134232" w:rsidRPr="00A300B2" w:rsidRDefault="00134232" w:rsidP="00834E0F">
            <w:pPr>
              <w:pStyle w:val="TableText"/>
              <w:spacing w:before="0" w:after="0"/>
            </w:pPr>
            <w:r w:rsidRPr="00A300B2">
              <w:t>LC</w:t>
            </w:r>
            <w:r w:rsidRPr="00A300B2">
              <w:rPr>
                <w:vertAlign w:val="subscript"/>
              </w:rPr>
              <w:t>50</w:t>
            </w:r>
            <w:r w:rsidRPr="00A300B2">
              <w:t xml:space="preserve"> 1000 mg ac/kg ds</w:t>
            </w:r>
          </w:p>
        </w:tc>
        <w:tc>
          <w:tcPr>
            <w:tcW w:w="218" w:type="pct"/>
            <w:tcBorders>
              <w:left w:val="nil"/>
              <w:bottom w:val="single" w:sz="4" w:space="0" w:color="auto"/>
              <w:right w:val="nil"/>
            </w:tcBorders>
          </w:tcPr>
          <w:p w14:paraId="2DC51AEB" w14:textId="77777777" w:rsidR="00134232" w:rsidRPr="00A300B2" w:rsidRDefault="00134232" w:rsidP="00834E0F">
            <w:pPr>
              <w:pStyle w:val="TableText"/>
              <w:spacing w:before="0" w:after="0"/>
            </w:pPr>
            <w:r w:rsidRPr="00A300B2">
              <w:t>10</w:t>
            </w:r>
          </w:p>
        </w:tc>
        <w:tc>
          <w:tcPr>
            <w:tcW w:w="800" w:type="pct"/>
            <w:tcBorders>
              <w:left w:val="nil"/>
              <w:bottom w:val="single" w:sz="4" w:space="0" w:color="auto"/>
              <w:right w:val="nil"/>
            </w:tcBorders>
          </w:tcPr>
          <w:p w14:paraId="7DA67040" w14:textId="77777777" w:rsidR="00134232" w:rsidRPr="00A300B2" w:rsidRDefault="00134232" w:rsidP="00834E0F">
            <w:pPr>
              <w:pStyle w:val="TableText"/>
              <w:spacing w:before="0" w:after="0"/>
            </w:pPr>
            <w:r w:rsidRPr="00A300B2">
              <w:t>100 mg ac/kg ds</w:t>
            </w:r>
          </w:p>
        </w:tc>
        <w:tc>
          <w:tcPr>
            <w:tcW w:w="1336" w:type="pct"/>
            <w:tcBorders>
              <w:left w:val="nil"/>
              <w:bottom w:val="single" w:sz="4" w:space="0" w:color="auto"/>
              <w:right w:val="nil"/>
            </w:tcBorders>
          </w:tcPr>
          <w:p w14:paraId="752D4101" w14:textId="77777777" w:rsidR="00134232" w:rsidRPr="00A300B2" w:rsidRDefault="00134232" w:rsidP="00834E0F">
            <w:pPr>
              <w:pStyle w:val="TableText"/>
              <w:spacing w:before="0" w:after="0"/>
            </w:pPr>
            <w:r w:rsidRPr="00A300B2">
              <w:t>Edwards &amp; Coulson 1993</w:t>
            </w:r>
          </w:p>
        </w:tc>
      </w:tr>
      <w:tr w:rsidR="00134232" w:rsidRPr="00D63217" w14:paraId="4E11CED7" w14:textId="77777777" w:rsidTr="003D5020">
        <w:trPr>
          <w:cantSplit/>
          <w:trHeight w:val="57"/>
        </w:trPr>
        <w:tc>
          <w:tcPr>
            <w:tcW w:w="902" w:type="pct"/>
            <w:tcBorders>
              <w:top w:val="nil"/>
              <w:left w:val="nil"/>
              <w:right w:val="nil"/>
            </w:tcBorders>
          </w:tcPr>
          <w:p w14:paraId="4C09984D" w14:textId="77777777" w:rsidR="00134232" w:rsidRPr="00D63217" w:rsidRDefault="00134232" w:rsidP="00834E0F">
            <w:pPr>
              <w:pStyle w:val="TableText"/>
              <w:spacing w:before="0" w:after="0"/>
            </w:pPr>
            <w:r w:rsidRPr="00D63217">
              <w:t>Terrestrial plants</w:t>
            </w:r>
          </w:p>
        </w:tc>
        <w:tc>
          <w:tcPr>
            <w:tcW w:w="654" w:type="pct"/>
            <w:tcBorders>
              <w:left w:val="nil"/>
              <w:bottom w:val="single" w:sz="4" w:space="0" w:color="auto"/>
              <w:right w:val="nil"/>
            </w:tcBorders>
          </w:tcPr>
          <w:p w14:paraId="27249931" w14:textId="77777777" w:rsidR="00134232" w:rsidRPr="00D63217" w:rsidRDefault="00134232" w:rsidP="00834E0F">
            <w:pPr>
              <w:pStyle w:val="TableText"/>
              <w:spacing w:before="0" w:after="0"/>
            </w:pPr>
            <w:r w:rsidRPr="00D63217">
              <w:t>Post-emergent</w:t>
            </w:r>
          </w:p>
        </w:tc>
        <w:tc>
          <w:tcPr>
            <w:tcW w:w="1090" w:type="pct"/>
            <w:tcBorders>
              <w:left w:val="nil"/>
              <w:bottom w:val="single" w:sz="4" w:space="0" w:color="auto"/>
              <w:right w:val="nil"/>
            </w:tcBorders>
          </w:tcPr>
          <w:p w14:paraId="4215B0C3" w14:textId="300AB88B" w:rsidR="00134232" w:rsidRPr="00A300B2" w:rsidRDefault="00134232" w:rsidP="00834E0F">
            <w:pPr>
              <w:pStyle w:val="TableText"/>
              <w:spacing w:before="0" w:after="0"/>
            </w:pPr>
            <w:r w:rsidRPr="00A300B2">
              <w:t>LLHR</w:t>
            </w:r>
            <w:r w:rsidRPr="00A300B2">
              <w:rPr>
                <w:vertAlign w:val="subscript"/>
              </w:rPr>
              <w:t>5</w:t>
            </w:r>
            <w:r w:rsidRPr="00A300B2">
              <w:t xml:space="preserve"> </w:t>
            </w:r>
            <w:r w:rsidR="003B2DEA" w:rsidRPr="00A300B2">
              <w:t xml:space="preserve">11 </w:t>
            </w:r>
            <w:r w:rsidRPr="00A300B2">
              <w:t>g ac/ha</w:t>
            </w:r>
          </w:p>
        </w:tc>
        <w:tc>
          <w:tcPr>
            <w:tcW w:w="218" w:type="pct"/>
            <w:tcBorders>
              <w:left w:val="nil"/>
              <w:bottom w:val="single" w:sz="4" w:space="0" w:color="auto"/>
              <w:right w:val="nil"/>
            </w:tcBorders>
          </w:tcPr>
          <w:p w14:paraId="552AF903" w14:textId="77777777" w:rsidR="00134232" w:rsidRPr="00A300B2" w:rsidRDefault="00134232" w:rsidP="00834E0F">
            <w:pPr>
              <w:pStyle w:val="TableText"/>
              <w:spacing w:before="0" w:after="0"/>
            </w:pPr>
            <w:r w:rsidRPr="00A300B2">
              <w:t>1</w:t>
            </w:r>
          </w:p>
        </w:tc>
        <w:tc>
          <w:tcPr>
            <w:tcW w:w="800" w:type="pct"/>
            <w:tcBorders>
              <w:left w:val="nil"/>
              <w:bottom w:val="single" w:sz="4" w:space="0" w:color="auto"/>
              <w:right w:val="nil"/>
            </w:tcBorders>
          </w:tcPr>
          <w:p w14:paraId="6C9FCF90" w14:textId="265687E9" w:rsidR="00134232" w:rsidRPr="00A300B2" w:rsidRDefault="003B2DEA" w:rsidP="00834E0F">
            <w:pPr>
              <w:pStyle w:val="TableText"/>
              <w:spacing w:before="0" w:after="0"/>
            </w:pPr>
            <w:r w:rsidRPr="00A300B2">
              <w:t xml:space="preserve">11 </w:t>
            </w:r>
            <w:r w:rsidR="00134232" w:rsidRPr="00A300B2">
              <w:t>g ac/ha</w:t>
            </w:r>
          </w:p>
        </w:tc>
        <w:tc>
          <w:tcPr>
            <w:tcW w:w="1336" w:type="pct"/>
            <w:tcBorders>
              <w:left w:val="nil"/>
              <w:bottom w:val="single" w:sz="4" w:space="0" w:color="auto"/>
              <w:right w:val="nil"/>
            </w:tcBorders>
          </w:tcPr>
          <w:p w14:paraId="49EAC198" w14:textId="77777777" w:rsidR="00134232" w:rsidRPr="00A300B2" w:rsidRDefault="00134232" w:rsidP="00834E0F">
            <w:pPr>
              <w:pStyle w:val="TableText"/>
              <w:spacing w:before="0" w:after="0"/>
            </w:pPr>
            <w:r w:rsidRPr="00A300B2">
              <w:t>Canning &amp; White 1992, Martin 2014b</w:t>
            </w:r>
          </w:p>
        </w:tc>
      </w:tr>
    </w:tbl>
    <w:bookmarkEnd w:id="485"/>
    <w:p w14:paraId="1C38FA28" w14:textId="77777777" w:rsidR="00134232" w:rsidRPr="00FF5F7A" w:rsidRDefault="00134232" w:rsidP="00FF5F7A">
      <w:pPr>
        <w:pStyle w:val="SourceTableNote"/>
      </w:pPr>
      <w:r w:rsidRPr="00FF5F7A">
        <w:t>*Aquatic endpoints have been adjusted to account for rapid dissipation from the water column under natural conditions (adjusted endpoint = measured endpoint / (1 - EXP (exposure days * (-ln(2)/DT50 7.0 days))) * (exposure days * ln(2)/DT50 7.0 days)</w:t>
      </w:r>
    </w:p>
    <w:p w14:paraId="3FFAA45F" w14:textId="77777777" w:rsidR="002F339B" w:rsidRPr="003D5020" w:rsidRDefault="002F339B" w:rsidP="003D5020">
      <w:pPr>
        <w:pStyle w:val="Heading2"/>
      </w:pPr>
      <w:bookmarkStart w:id="487" w:name="_Toc231480912"/>
      <w:bookmarkStart w:id="488" w:name="_Toc233036464"/>
      <w:r w:rsidRPr="003D5020">
        <w:t>Risks to non-target species</w:t>
      </w:r>
      <w:bookmarkEnd w:id="487"/>
      <w:bookmarkEnd w:id="488"/>
    </w:p>
    <w:p w14:paraId="0D80A722" w14:textId="7D21973A" w:rsidR="002F339B" w:rsidRPr="003D5020" w:rsidRDefault="002F339B" w:rsidP="003D5020">
      <w:pPr>
        <w:pStyle w:val="Heading3"/>
      </w:pPr>
      <w:bookmarkStart w:id="489" w:name="_Toc231480913"/>
      <w:bookmarkStart w:id="490" w:name="_Toc233036465"/>
      <w:r w:rsidRPr="003D5020">
        <w:t>Terrestrial vertebrates</w:t>
      </w:r>
      <w:bookmarkEnd w:id="489"/>
      <w:bookmarkEnd w:id="490"/>
    </w:p>
    <w:p w14:paraId="11C82042" w14:textId="1BACFCAF" w:rsidR="001720E4" w:rsidRPr="001720E4" w:rsidRDefault="001720E4" w:rsidP="001720E4">
      <w:pPr>
        <w:pStyle w:val="NormalText"/>
      </w:pPr>
      <w:bookmarkStart w:id="491" w:name="_Ref167302753"/>
      <w:bookmarkStart w:id="492" w:name="_Toc230692298"/>
      <w:bookmarkStart w:id="493" w:name="_Hlk157511806"/>
      <w:r w:rsidRPr="001720E4">
        <w:t>Dietary exposure to terrestrial vertebrates is possible through pre-harvest cotton desiccation, pulse spray topping, or general weed control. Use situations were divided into crop groups, based on EFSA 2009, that have similar growth patterns. Application techniques such as spot spraying and optical spot spraying were considered where relevant.</w:t>
      </w:r>
    </w:p>
    <w:p w14:paraId="61DA562F" w14:textId="105B5A89" w:rsidR="001720E4" w:rsidRPr="001720E4" w:rsidRDefault="001720E4" w:rsidP="001720E4">
      <w:pPr>
        <w:pStyle w:val="NormalText"/>
      </w:pPr>
      <w:r w:rsidRPr="001720E4">
        <w:t xml:space="preserve">Terrestrial vertebrate risks from contaminated food are assessed using a tiered approach. Acute risk characterisation simulates a worst-case scenario assuming 100% dietary intake from the treated zone on the day </w:t>
      </w:r>
      <w:r w:rsidRPr="001720E4">
        <w:lastRenderedPageBreak/>
        <w:t xml:space="preserve">of application, while chronic risk modelling integrates a proportion of diet obtained from the treated area over a period post-application. For Tier-1 assessment, the APVMA utilises EFSA (2009) generic focal species, which are considered protective of species that occur in Australia. The risk assessment was further refined using information provided during public consultation and weight-of-evidence arguments, where appropriate. </w:t>
      </w:r>
    </w:p>
    <w:p w14:paraId="10292730" w14:textId="38B8BB79" w:rsidR="001720E4" w:rsidRPr="001720E4" w:rsidRDefault="001720E4" w:rsidP="001720E4">
      <w:pPr>
        <w:pStyle w:val="NormalText"/>
      </w:pPr>
      <w:r w:rsidRPr="001720E4">
        <w:t xml:space="preserve">For birds, based on the submitted information and refined assessments, the maximum supported rates are: </w:t>
      </w:r>
    </w:p>
    <w:p w14:paraId="15D11550" w14:textId="74B18DE5" w:rsidR="001720E4" w:rsidRP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231 g ac/ha (or 2× 144 g ac/ha, with a 7-day interval) for general weed control in fallow, hops, market gardens, nurseries, row crops, potatoes (pre/early emergence), rice (pre/post sowing), and vegetables; </w:t>
      </w:r>
    </w:p>
    <w:p w14:paraId="253F6646"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1140 g ac/ha for industrial vegetation management, public service areas, and rights of way; </w:t>
      </w:r>
    </w:p>
    <w:p w14:paraId="5A09A577"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187 g ac/ha for pasture (includes hay freezing, spray topping to reduce seed set, prevention of ryegrass toxicity, perennial grass seed crops and kikuyu/paspalum pasture); </w:t>
      </w:r>
    </w:p>
    <w:p w14:paraId="064ACEE1"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1295 g ac/ha as a cotton desiccant; </w:t>
      </w:r>
    </w:p>
    <w:p w14:paraId="0116119D"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226 g ac/ha (ungrazed) or 213 g ac/ha (grazed) for lucerne; </w:t>
      </w:r>
    </w:p>
    <w:p w14:paraId="482EBFA9"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137 g ac/ha (over the top) or 103 g ac/ha (inter-row) for sugarcane; </w:t>
      </w:r>
    </w:p>
    <w:p w14:paraId="4D59ECAD"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213 g ac/ha for peanuts; </w:t>
      </w:r>
    </w:p>
    <w:p w14:paraId="5A014EBB"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226 g ac/ha for pre-harvest application to potatoes; </w:t>
      </w:r>
    </w:p>
    <w:p w14:paraId="7A2F79DE" w14:textId="77777777" w:rsid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1057 g ac/ha for spray topping in pulses; and </w:t>
      </w:r>
    </w:p>
    <w:p w14:paraId="00DEF842" w14:textId="4270E847" w:rsidR="001720E4" w:rsidRPr="001720E4" w:rsidRDefault="001720E4" w:rsidP="001720E4">
      <w:pPr>
        <w:pStyle w:val="Caption"/>
        <w:numPr>
          <w:ilvl w:val="0"/>
          <w:numId w:val="48"/>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377 g ac/ha (or 2× 270 g ac/ha, with a 14-day interval) for orchards, tree crops and vineyards</w:t>
      </w:r>
    </w:p>
    <w:p w14:paraId="04E6BD05" w14:textId="77777777" w:rsidR="001720E4" w:rsidRPr="001720E4" w:rsidRDefault="001720E4" w:rsidP="001720E4">
      <w:pPr>
        <w:pStyle w:val="Caption"/>
        <w:rPr>
          <w:rFonts w:ascii="Arial" w:hAnsi="Arial" w:cs="Arial"/>
          <w:color w:val="auto"/>
          <w:kern w:val="20"/>
          <w:sz w:val="19"/>
          <w:u w:color="000000"/>
        </w:rPr>
      </w:pPr>
      <w:r w:rsidRPr="001720E4">
        <w:rPr>
          <w:rFonts w:ascii="Arial" w:hAnsi="Arial" w:cs="Arial"/>
          <w:color w:val="auto"/>
          <w:kern w:val="20"/>
          <w:sz w:val="19"/>
          <w:u w:color="000000"/>
        </w:rPr>
        <w:t>For mammals, quantitative refinements have been used to account for non-eutherian daily energy expenditure, a 50 g small herbivore body weight adjustment to reflect Australian fauna, in addition to other modifications to the risk assessment. Based on the updated assessments, the maximum supported rates are:</w:t>
      </w:r>
    </w:p>
    <w:p w14:paraId="24D6E731"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675 g ac/ha for general weed control in fallow, hops, market gardens, nurseries, row crops, potatoes (pre/early emergence), rice (pre/post sowing), and vegetables;</w:t>
      </w:r>
    </w:p>
    <w:p w14:paraId="4CC8632E"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1140 g ac/ha for industrial vegetation management, public service areas, and rights of way; </w:t>
      </w:r>
    </w:p>
    <w:p w14:paraId="22E0B2DF"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54 g ac/ha for pasture (includes hay freezing, spray topping to reduce seed set, prevention of ryegrass toxicity, perennial grass seed crops and kikuyu/paspalum pasture); </w:t>
      </w:r>
    </w:p>
    <w:p w14:paraId="6B9CD897"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218 g ac/ha as a cotton desiccant; </w:t>
      </w:r>
    </w:p>
    <w:p w14:paraId="6120B35B"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600 g ac/ha (ungrazed) or 355 g ac/ha (grazed) for lucerne; </w:t>
      </w:r>
    </w:p>
    <w:p w14:paraId="6B6EEDDC"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400 g ac/ha (over the top and inter-row spraying) for sugarcane; </w:t>
      </w:r>
    </w:p>
    <w:p w14:paraId="335287A2"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355 g ac/ha for peanuts; </w:t>
      </w:r>
    </w:p>
    <w:p w14:paraId="7A6A67E6"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363 g ac/ha for pre-harvest application to potatoes; </w:t>
      </w:r>
    </w:p>
    <w:p w14:paraId="26C0A1F3" w14:textId="77777777" w:rsid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 xml:space="preserve">200 g ac/ha for spray topping in pulses; and </w:t>
      </w:r>
    </w:p>
    <w:p w14:paraId="4B210CD7" w14:textId="6162CF89" w:rsidR="001720E4" w:rsidRPr="001720E4" w:rsidRDefault="001720E4" w:rsidP="001720E4">
      <w:pPr>
        <w:pStyle w:val="Caption"/>
        <w:numPr>
          <w:ilvl w:val="0"/>
          <w:numId w:val="49"/>
        </w:numPr>
        <w:spacing w:before="120"/>
        <w:ind w:left="357" w:hanging="357"/>
        <w:rPr>
          <w:rFonts w:ascii="Arial" w:hAnsi="Arial" w:cs="Arial"/>
          <w:color w:val="auto"/>
          <w:kern w:val="20"/>
          <w:sz w:val="19"/>
          <w:u w:color="000000"/>
        </w:rPr>
      </w:pPr>
      <w:r w:rsidRPr="001720E4">
        <w:rPr>
          <w:rFonts w:ascii="Arial" w:hAnsi="Arial" w:cs="Arial"/>
          <w:color w:val="auto"/>
          <w:kern w:val="20"/>
          <w:sz w:val="19"/>
          <w:u w:color="000000"/>
        </w:rPr>
        <w:t>54 g ac/ha (or 2× 39 g ac/ha, with a 14-day interval) for orchards, tree crops and vineyards</w:t>
      </w:r>
    </w:p>
    <w:p w14:paraId="04C1AD9D" w14:textId="4EC09023" w:rsidR="001720E4" w:rsidRPr="001720E4" w:rsidRDefault="001720E4" w:rsidP="001720E4">
      <w:pPr>
        <w:pStyle w:val="NormalText"/>
      </w:pPr>
      <w:r w:rsidRPr="001720E4">
        <w:t xml:space="preserve">A full assessment for terrestrial vertebrates for the different use patterns is presented in Appendix C. The risk assessment conclusions are summarised in Table 32. Uses that exceed the maximum supported rate are not </w:t>
      </w:r>
      <w:r w:rsidRPr="001720E4">
        <w:lastRenderedPageBreak/>
        <w:t xml:space="preserve">supported unless application is restricted to the maximum supported rate indicated in Table 32 (note that the rates quoted in this section reflect paraquat alone and do not account for the risk from the combination of paraquat and diquat which is considered in Section 6.5). </w:t>
      </w:r>
    </w:p>
    <w:p w14:paraId="215C5509" w14:textId="19899908" w:rsidR="001720E4" w:rsidRPr="001720E4" w:rsidRDefault="001720E4" w:rsidP="001720E4">
      <w:pPr>
        <w:pStyle w:val="NormalText"/>
      </w:pPr>
      <w:r w:rsidRPr="001720E4">
        <w:t>For use patterns where an acceptable risk can be concluded, the following protection labelling is appropriate.</w:t>
      </w:r>
    </w:p>
    <w:p w14:paraId="4D961B30" w14:textId="5CDCB145" w:rsidR="001720E4" w:rsidRPr="001720E4" w:rsidRDefault="001720E4" w:rsidP="000B5215">
      <w:pPr>
        <w:pStyle w:val="NormalText"/>
        <w:ind w:left="567"/>
      </w:pPr>
      <w:r w:rsidRPr="000B5215">
        <w:rPr>
          <w:i/>
          <w:iCs/>
        </w:rPr>
        <w:t>Toxic to birds and native mammals. However, the use of this product as directed is not expected to have adverse effects on birds or native mammals</w:t>
      </w:r>
      <w:r w:rsidRPr="001720E4">
        <w:t>.</w:t>
      </w:r>
    </w:p>
    <w:p w14:paraId="1CBB69F6" w14:textId="77777777" w:rsidR="001720E4" w:rsidRDefault="001720E4" w:rsidP="001720E4">
      <w:pPr>
        <w:pStyle w:val="NormalText"/>
      </w:pPr>
      <w:r w:rsidRPr="001720E4">
        <w:t>Paraquat is not expected to bioaccumulate in biota based on its low octanol-water partition coefficient. Therefore, a food chain assessment is not necessary.</w:t>
      </w:r>
    </w:p>
    <w:p w14:paraId="3AC37CD1" w14:textId="4AB4FF85" w:rsidR="002F339B" w:rsidRPr="003D5020" w:rsidRDefault="002F339B" w:rsidP="001720E4">
      <w:pPr>
        <w:pStyle w:val="Caption"/>
      </w:pPr>
      <w:bookmarkStart w:id="494" w:name="_Toc233036519"/>
      <w:r w:rsidRPr="003D5020">
        <w:t xml:space="preserve">Table </w:t>
      </w:r>
      <w:fldSimple w:instr=" SEQ Table \* ARABIC ">
        <w:r w:rsidR="003D5020">
          <w:rPr>
            <w:noProof/>
          </w:rPr>
          <w:t>32</w:t>
        </w:r>
      </w:fldSimple>
      <w:bookmarkEnd w:id="491"/>
      <w:r w:rsidRPr="003D5020">
        <w:t xml:space="preserve">: </w:t>
      </w:r>
      <w:r w:rsidR="00CA7D37" w:rsidRPr="003D5020">
        <w:t xml:space="preserve">Paraquat – </w:t>
      </w:r>
      <w:r w:rsidRPr="003D5020">
        <w:t>Summary of risk assessment outcomes for terrestrial vertebrates</w:t>
      </w:r>
      <w:bookmarkEnd w:id="492"/>
      <w:bookmarkEnd w:id="4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5"/>
        <w:gridCol w:w="1952"/>
        <w:gridCol w:w="1444"/>
        <w:gridCol w:w="1789"/>
        <w:gridCol w:w="1789"/>
        <w:gridCol w:w="1519"/>
      </w:tblGrid>
      <w:tr w:rsidR="002F339B" w:rsidRPr="00D63217" w14:paraId="12F1A0C1" w14:textId="77777777" w:rsidTr="003D5020">
        <w:trPr>
          <w:cantSplit/>
          <w:tblHeader/>
        </w:trPr>
        <w:tc>
          <w:tcPr>
            <w:tcW w:w="589" w:type="pct"/>
            <w:tcBorders>
              <w:bottom w:val="single" w:sz="4" w:space="0" w:color="auto"/>
            </w:tcBorders>
            <w:shd w:val="clear" w:color="auto" w:fill="5C2946"/>
          </w:tcPr>
          <w:p w14:paraId="789831C4" w14:textId="3282F3A5" w:rsidR="002F339B" w:rsidRPr="003D5020" w:rsidRDefault="00C417CD" w:rsidP="003D5020">
            <w:pPr>
              <w:pStyle w:val="TableHead"/>
            </w:pPr>
            <w:bookmarkStart w:id="495" w:name="_Hlk157027198"/>
            <w:r w:rsidRPr="003D5020">
              <w:t>Category</w:t>
            </w:r>
          </w:p>
        </w:tc>
        <w:tc>
          <w:tcPr>
            <w:tcW w:w="1014" w:type="pct"/>
            <w:tcBorders>
              <w:bottom w:val="single" w:sz="4" w:space="0" w:color="auto"/>
            </w:tcBorders>
            <w:shd w:val="clear" w:color="auto" w:fill="5C2946"/>
          </w:tcPr>
          <w:p w14:paraId="01BA363A" w14:textId="77777777" w:rsidR="002F339B" w:rsidRPr="003D5020" w:rsidRDefault="002F339B" w:rsidP="003D5020">
            <w:pPr>
              <w:pStyle w:val="TableHead"/>
            </w:pPr>
            <w:r w:rsidRPr="003D5020">
              <w:t>Situation</w:t>
            </w:r>
          </w:p>
        </w:tc>
        <w:tc>
          <w:tcPr>
            <w:tcW w:w="750" w:type="pct"/>
            <w:tcBorders>
              <w:bottom w:val="single" w:sz="4" w:space="0" w:color="auto"/>
            </w:tcBorders>
            <w:shd w:val="clear" w:color="auto" w:fill="5C2946"/>
          </w:tcPr>
          <w:p w14:paraId="3B7021F4" w14:textId="73E216A0" w:rsidR="002F339B" w:rsidRPr="003D5020" w:rsidRDefault="00F62656" w:rsidP="003D5020">
            <w:pPr>
              <w:pStyle w:val="TableHead"/>
            </w:pPr>
            <w:r w:rsidRPr="003D5020">
              <w:t>Rate range</w:t>
            </w:r>
            <w:r w:rsidR="003855C4" w:rsidRPr="003D5020">
              <w:br/>
            </w:r>
            <w:r w:rsidRPr="003D5020">
              <w:t>(g ac/ha)</w:t>
            </w:r>
            <w:r w:rsidR="0054150E" w:rsidRPr="003D5020">
              <w:rPr>
                <w:rStyle w:val="FootnoteReference"/>
              </w:rPr>
              <w:footnoteReference w:id="19"/>
            </w:r>
          </w:p>
        </w:tc>
        <w:tc>
          <w:tcPr>
            <w:tcW w:w="929" w:type="pct"/>
            <w:tcBorders>
              <w:bottom w:val="single" w:sz="4" w:space="0" w:color="auto"/>
            </w:tcBorders>
            <w:shd w:val="clear" w:color="auto" w:fill="5C2946"/>
          </w:tcPr>
          <w:p w14:paraId="6089B5A5" w14:textId="06E5AFA4" w:rsidR="002F339B" w:rsidRPr="003D5020" w:rsidRDefault="002F339B" w:rsidP="003D5020">
            <w:pPr>
              <w:pStyle w:val="TableHead"/>
            </w:pPr>
            <w:r w:rsidRPr="003D5020">
              <w:t>Wild mammal</w:t>
            </w:r>
            <w:r w:rsidR="003855C4" w:rsidRPr="003D5020">
              <w:br/>
            </w:r>
            <w:r w:rsidRPr="003D5020">
              <w:t>assessment</w:t>
            </w:r>
          </w:p>
        </w:tc>
        <w:tc>
          <w:tcPr>
            <w:tcW w:w="929" w:type="pct"/>
            <w:tcBorders>
              <w:bottom w:val="single" w:sz="4" w:space="0" w:color="auto"/>
            </w:tcBorders>
            <w:shd w:val="clear" w:color="auto" w:fill="5C2946"/>
          </w:tcPr>
          <w:p w14:paraId="0E0CE6B4" w14:textId="1005E1BB" w:rsidR="002F339B" w:rsidRPr="003D5020" w:rsidRDefault="002F339B" w:rsidP="003D5020">
            <w:pPr>
              <w:pStyle w:val="TableHead"/>
            </w:pPr>
            <w:r w:rsidRPr="003D5020">
              <w:t>Bird</w:t>
            </w:r>
            <w:r w:rsidR="003855C4" w:rsidRPr="003D5020">
              <w:br/>
            </w:r>
            <w:r w:rsidRPr="003D5020">
              <w:t>assessment</w:t>
            </w:r>
          </w:p>
        </w:tc>
        <w:tc>
          <w:tcPr>
            <w:tcW w:w="789" w:type="pct"/>
            <w:tcBorders>
              <w:bottom w:val="single" w:sz="4" w:space="0" w:color="auto"/>
            </w:tcBorders>
            <w:shd w:val="clear" w:color="auto" w:fill="5C2946"/>
          </w:tcPr>
          <w:p w14:paraId="020B9F79" w14:textId="21A448E9" w:rsidR="002F339B" w:rsidRPr="003D5020" w:rsidRDefault="002F339B" w:rsidP="003D5020">
            <w:pPr>
              <w:pStyle w:val="TableHead"/>
            </w:pPr>
            <w:r w:rsidRPr="003D5020">
              <w:t>Max</w:t>
            </w:r>
            <w:r w:rsidR="0054150E" w:rsidRPr="003D5020">
              <w:t xml:space="preserve">imum </w:t>
            </w:r>
            <w:r w:rsidRPr="003D5020">
              <w:t>supported</w:t>
            </w:r>
            <w:r w:rsidR="00AE7AE0" w:rsidRPr="003D5020">
              <w:t xml:space="preserve"> </w:t>
            </w:r>
            <w:r w:rsidR="0054150E" w:rsidRPr="003D5020">
              <w:t>rate</w:t>
            </w:r>
            <w:r w:rsidR="00A0348D" w:rsidRPr="003D5020">
              <w:rPr>
                <w:rStyle w:val="FootnoteReference"/>
              </w:rPr>
              <w:footnoteReference w:id="20"/>
            </w:r>
          </w:p>
        </w:tc>
      </w:tr>
      <w:tr w:rsidR="00C547B4" w:rsidRPr="00D63217" w14:paraId="5E9FC4EA" w14:textId="77777777" w:rsidTr="003D5020">
        <w:trPr>
          <w:cantSplit/>
        </w:trPr>
        <w:tc>
          <w:tcPr>
            <w:tcW w:w="589" w:type="pct"/>
            <w:vMerge w:val="restart"/>
            <w:tcBorders>
              <w:left w:val="nil"/>
              <w:right w:val="nil"/>
            </w:tcBorders>
          </w:tcPr>
          <w:p w14:paraId="5EBCBDC5" w14:textId="40D0643E" w:rsidR="00C547B4" w:rsidRPr="00D63217" w:rsidRDefault="00C547B4" w:rsidP="00550F6A">
            <w:pPr>
              <w:pStyle w:val="TableText"/>
              <w:spacing w:before="0" w:after="0" w:line="240" w:lineRule="auto"/>
            </w:pPr>
            <w:r w:rsidRPr="00D63217">
              <w:t>General weed control</w:t>
            </w:r>
          </w:p>
        </w:tc>
        <w:tc>
          <w:tcPr>
            <w:tcW w:w="1014" w:type="pct"/>
            <w:tcBorders>
              <w:top w:val="single" w:sz="4" w:space="0" w:color="auto"/>
              <w:left w:val="nil"/>
              <w:bottom w:val="nil"/>
              <w:right w:val="nil"/>
            </w:tcBorders>
          </w:tcPr>
          <w:p w14:paraId="09C90CD4" w14:textId="47CB00D5" w:rsidR="00C547B4" w:rsidRPr="00D63217" w:rsidRDefault="00C547B4" w:rsidP="00550F6A">
            <w:pPr>
              <w:pStyle w:val="TableText"/>
              <w:spacing w:before="0" w:after="0" w:line="240" w:lineRule="auto"/>
            </w:pPr>
            <w:r w:rsidRPr="0036184D">
              <w:t>Fallow (optical spot spraying)</w:t>
            </w:r>
          </w:p>
        </w:tc>
        <w:tc>
          <w:tcPr>
            <w:tcW w:w="750" w:type="pct"/>
            <w:tcBorders>
              <w:top w:val="single" w:sz="4" w:space="0" w:color="auto"/>
              <w:left w:val="nil"/>
              <w:bottom w:val="nil"/>
              <w:right w:val="nil"/>
            </w:tcBorders>
          </w:tcPr>
          <w:p w14:paraId="1A756291" w14:textId="7D21F080" w:rsidR="00C547B4" w:rsidRDefault="00C547B4" w:rsidP="00550F6A">
            <w:pPr>
              <w:pStyle w:val="TableText"/>
              <w:spacing w:before="0" w:after="0" w:line="240" w:lineRule="auto"/>
            </w:pPr>
            <w:r>
              <w:t>1</w:t>
            </w:r>
            <w:r>
              <w:rPr>
                <w:rFonts w:cstheme="minorHAnsi"/>
              </w:rPr>
              <w:t>×</w:t>
            </w:r>
            <w:r>
              <w:t xml:space="preserve"> </w:t>
            </w:r>
            <w:r w:rsidR="00814181">
              <w:t>750</w:t>
            </w:r>
            <w:r>
              <w:t>-2250</w:t>
            </w:r>
          </w:p>
          <w:p w14:paraId="00FDE7D4" w14:textId="500E84A0" w:rsidR="00C547B4" w:rsidRPr="00D63217" w:rsidRDefault="00C547B4" w:rsidP="00550F6A">
            <w:pPr>
              <w:pStyle w:val="TableText"/>
              <w:spacing w:before="0" w:after="0" w:line="240" w:lineRule="auto"/>
            </w:pPr>
            <w:r>
              <w:t>(</w:t>
            </w:r>
            <w:r w:rsidR="00814181">
              <w:t>225</w:t>
            </w:r>
            <w:r>
              <w:t>-675, FFT 0.3)</w:t>
            </w:r>
          </w:p>
        </w:tc>
        <w:tc>
          <w:tcPr>
            <w:tcW w:w="929" w:type="pct"/>
            <w:tcBorders>
              <w:top w:val="single" w:sz="4" w:space="0" w:color="auto"/>
              <w:left w:val="nil"/>
              <w:bottom w:val="nil"/>
              <w:right w:val="nil"/>
            </w:tcBorders>
          </w:tcPr>
          <w:p w14:paraId="27B35615" w14:textId="4FD710E3" w:rsidR="00C547B4" w:rsidRPr="00D63217" w:rsidRDefault="00E476C8" w:rsidP="00550F6A">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single" w:sz="4" w:space="0" w:color="auto"/>
              <w:left w:val="nil"/>
              <w:bottom w:val="nil"/>
              <w:right w:val="nil"/>
            </w:tcBorders>
          </w:tcPr>
          <w:p w14:paraId="25FA2199" w14:textId="4F5895A4" w:rsidR="00C547B4" w:rsidRPr="00D63217" w:rsidRDefault="00E476C8" w:rsidP="00550F6A">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single" w:sz="4" w:space="0" w:color="auto"/>
              <w:left w:val="nil"/>
              <w:bottom w:val="nil"/>
              <w:right w:val="nil"/>
            </w:tcBorders>
          </w:tcPr>
          <w:p w14:paraId="07E7B1E1" w14:textId="2C4415AF" w:rsidR="00C547B4" w:rsidRPr="00D63217" w:rsidRDefault="00C11067" w:rsidP="00550F6A">
            <w:pPr>
              <w:pStyle w:val="TableText"/>
              <w:spacing w:before="0" w:after="0" w:line="240" w:lineRule="auto"/>
            </w:pPr>
            <w:r>
              <w:t>231 g ac/ha</w:t>
            </w:r>
          </w:p>
        </w:tc>
      </w:tr>
      <w:tr w:rsidR="00C547B4" w:rsidRPr="00D63217" w14:paraId="57D51231" w14:textId="77777777" w:rsidTr="003D5020">
        <w:trPr>
          <w:cantSplit/>
        </w:trPr>
        <w:tc>
          <w:tcPr>
            <w:tcW w:w="589" w:type="pct"/>
            <w:vMerge/>
            <w:tcBorders>
              <w:left w:val="nil"/>
              <w:right w:val="nil"/>
            </w:tcBorders>
          </w:tcPr>
          <w:p w14:paraId="3BE5C1C9"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78480A77" w14:textId="51EBC4D8" w:rsidR="00C547B4" w:rsidRPr="00D63217" w:rsidRDefault="00C547B4" w:rsidP="00550F6A">
            <w:pPr>
              <w:pStyle w:val="TableText"/>
              <w:spacing w:before="0" w:after="0" w:line="240" w:lineRule="auto"/>
            </w:pPr>
            <w:r w:rsidRPr="0036184D">
              <w:t>Fallow</w:t>
            </w:r>
          </w:p>
        </w:tc>
        <w:tc>
          <w:tcPr>
            <w:tcW w:w="750" w:type="pct"/>
            <w:tcBorders>
              <w:top w:val="nil"/>
              <w:left w:val="nil"/>
              <w:bottom w:val="nil"/>
              <w:right w:val="nil"/>
            </w:tcBorders>
          </w:tcPr>
          <w:p w14:paraId="7EC67E3F" w14:textId="7110D7EF" w:rsidR="00C547B4" w:rsidRPr="00D63217" w:rsidRDefault="00C547B4" w:rsidP="00550F6A">
            <w:pPr>
              <w:pStyle w:val="TableText"/>
              <w:spacing w:before="0" w:after="0" w:line="240" w:lineRule="auto"/>
            </w:pPr>
            <w:r>
              <w:t>1</w:t>
            </w:r>
            <w:r>
              <w:rPr>
                <w:rFonts w:cstheme="minorHAnsi"/>
              </w:rPr>
              <w:t>×</w:t>
            </w:r>
            <w:r>
              <w:t xml:space="preserve"> </w:t>
            </w:r>
            <w:r w:rsidR="00814181">
              <w:t>150</w:t>
            </w:r>
            <w:r>
              <w:t>-1505</w:t>
            </w:r>
          </w:p>
        </w:tc>
        <w:tc>
          <w:tcPr>
            <w:tcW w:w="929" w:type="pct"/>
            <w:tcBorders>
              <w:top w:val="nil"/>
              <w:left w:val="nil"/>
              <w:bottom w:val="nil"/>
              <w:right w:val="nil"/>
            </w:tcBorders>
          </w:tcPr>
          <w:p w14:paraId="1FE64361" w14:textId="79267FA4" w:rsidR="00C547B4" w:rsidRPr="00D63217" w:rsidRDefault="00E476C8" w:rsidP="00550F6A">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5FB3A9E4" w14:textId="18B4069E" w:rsidR="00C547B4" w:rsidRPr="00D63217" w:rsidRDefault="00E476C8" w:rsidP="00550F6A">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0A897EE0" w14:textId="44689B59" w:rsidR="00C547B4" w:rsidRPr="00D63217" w:rsidRDefault="00C11067" w:rsidP="00550F6A">
            <w:pPr>
              <w:pStyle w:val="TableText"/>
              <w:spacing w:before="0" w:after="0" w:line="240" w:lineRule="auto"/>
            </w:pPr>
            <w:r>
              <w:t>231 g ac/ha</w:t>
            </w:r>
          </w:p>
        </w:tc>
      </w:tr>
      <w:tr w:rsidR="00C547B4" w:rsidRPr="00D63217" w14:paraId="4553D570" w14:textId="77777777" w:rsidTr="003D5020">
        <w:trPr>
          <w:cantSplit/>
        </w:trPr>
        <w:tc>
          <w:tcPr>
            <w:tcW w:w="589" w:type="pct"/>
            <w:vMerge/>
            <w:tcBorders>
              <w:left w:val="nil"/>
              <w:right w:val="nil"/>
            </w:tcBorders>
          </w:tcPr>
          <w:p w14:paraId="08023F56"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5944840F" w14:textId="5CEB67A9" w:rsidR="00C547B4" w:rsidRPr="00D63217" w:rsidRDefault="00C547B4" w:rsidP="00550F6A">
            <w:pPr>
              <w:pStyle w:val="TableText"/>
              <w:spacing w:before="0" w:after="0" w:line="240" w:lineRule="auto"/>
            </w:pPr>
            <w:r w:rsidRPr="0036184D">
              <w:t>Market gardens, row crops, vegetables</w:t>
            </w:r>
          </w:p>
        </w:tc>
        <w:tc>
          <w:tcPr>
            <w:tcW w:w="750" w:type="pct"/>
            <w:tcBorders>
              <w:top w:val="nil"/>
              <w:left w:val="nil"/>
              <w:bottom w:val="nil"/>
              <w:right w:val="nil"/>
            </w:tcBorders>
          </w:tcPr>
          <w:p w14:paraId="348B07AB" w14:textId="243E6BD3" w:rsidR="00C547B4" w:rsidRPr="00D63217" w:rsidRDefault="00C547B4" w:rsidP="00550F6A">
            <w:pPr>
              <w:pStyle w:val="TableText"/>
              <w:spacing w:before="0" w:after="0" w:line="240" w:lineRule="auto"/>
            </w:pPr>
            <w:r>
              <w:t>1</w:t>
            </w:r>
            <w:r>
              <w:rPr>
                <w:rFonts w:cstheme="minorHAnsi"/>
              </w:rPr>
              <w:t>×</w:t>
            </w:r>
            <w:r>
              <w:t xml:space="preserve"> </w:t>
            </w:r>
            <w:r w:rsidR="00814181">
              <w:t>300</w:t>
            </w:r>
            <w:r>
              <w:t>-600</w:t>
            </w:r>
          </w:p>
        </w:tc>
        <w:tc>
          <w:tcPr>
            <w:tcW w:w="929" w:type="pct"/>
            <w:tcBorders>
              <w:top w:val="nil"/>
              <w:left w:val="nil"/>
              <w:bottom w:val="nil"/>
              <w:right w:val="nil"/>
            </w:tcBorders>
          </w:tcPr>
          <w:p w14:paraId="54B20B41" w14:textId="627EC325" w:rsidR="00C547B4" w:rsidRPr="00D63217" w:rsidRDefault="00E476C8" w:rsidP="00550F6A">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4D66982D" w14:textId="72A747EA" w:rsidR="00C547B4" w:rsidRPr="00D63217" w:rsidRDefault="00E476C8" w:rsidP="00550F6A">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73E8CED6" w14:textId="62C6BA63" w:rsidR="00C547B4" w:rsidRPr="00D63217" w:rsidRDefault="00C11067" w:rsidP="00550F6A">
            <w:pPr>
              <w:pStyle w:val="TableText"/>
              <w:spacing w:before="0" w:after="0" w:line="240" w:lineRule="auto"/>
            </w:pPr>
            <w:r>
              <w:t>231 g ac/ha</w:t>
            </w:r>
          </w:p>
        </w:tc>
      </w:tr>
      <w:tr w:rsidR="00C547B4" w:rsidRPr="00D63217" w14:paraId="07B09D81" w14:textId="77777777" w:rsidTr="003D5020">
        <w:trPr>
          <w:cantSplit/>
        </w:trPr>
        <w:tc>
          <w:tcPr>
            <w:tcW w:w="589" w:type="pct"/>
            <w:vMerge/>
            <w:tcBorders>
              <w:left w:val="nil"/>
              <w:right w:val="nil"/>
            </w:tcBorders>
          </w:tcPr>
          <w:p w14:paraId="11B9ADF2"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1B52C873" w14:textId="4DF4AC64" w:rsidR="00C547B4" w:rsidRPr="00D63217" w:rsidRDefault="00C547B4" w:rsidP="00550F6A">
            <w:pPr>
              <w:pStyle w:val="TableText"/>
              <w:spacing w:before="0" w:after="0" w:line="240" w:lineRule="auto"/>
            </w:pPr>
            <w:r w:rsidRPr="0036184D">
              <w:t>Market gardens, row crops, vegetables (shielded inter-row sprayers)</w:t>
            </w:r>
          </w:p>
        </w:tc>
        <w:tc>
          <w:tcPr>
            <w:tcW w:w="750" w:type="pct"/>
            <w:tcBorders>
              <w:top w:val="nil"/>
              <w:left w:val="nil"/>
              <w:bottom w:val="nil"/>
              <w:right w:val="nil"/>
            </w:tcBorders>
          </w:tcPr>
          <w:p w14:paraId="51E0ABB5" w14:textId="088EE3FC" w:rsidR="00C547B4" w:rsidRPr="00D63217" w:rsidRDefault="00C547B4" w:rsidP="00550F6A">
            <w:pPr>
              <w:pStyle w:val="TableText"/>
              <w:spacing w:before="0" w:after="0" w:line="240" w:lineRule="auto"/>
            </w:pPr>
            <w:r>
              <w:t>1</w:t>
            </w:r>
            <w:r>
              <w:rPr>
                <w:rFonts w:cstheme="minorHAnsi"/>
              </w:rPr>
              <w:t>×</w:t>
            </w:r>
            <w:r>
              <w:t xml:space="preserve"> </w:t>
            </w:r>
            <w:r w:rsidR="008F75CD">
              <w:t>300</w:t>
            </w:r>
            <w:r>
              <w:t>-600</w:t>
            </w:r>
          </w:p>
        </w:tc>
        <w:tc>
          <w:tcPr>
            <w:tcW w:w="929" w:type="pct"/>
            <w:tcBorders>
              <w:top w:val="nil"/>
              <w:left w:val="nil"/>
              <w:bottom w:val="nil"/>
              <w:right w:val="nil"/>
            </w:tcBorders>
          </w:tcPr>
          <w:p w14:paraId="332826FB" w14:textId="51C2CC27" w:rsidR="00C547B4" w:rsidRPr="00D63217" w:rsidRDefault="00E476C8" w:rsidP="00550F6A">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266C3810" w14:textId="12205286" w:rsidR="00C547B4" w:rsidRPr="00D63217" w:rsidRDefault="00E476C8" w:rsidP="00550F6A">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20AF7F3A" w14:textId="6888E6E3" w:rsidR="00C547B4" w:rsidRPr="00D63217" w:rsidRDefault="00C11067" w:rsidP="00550F6A">
            <w:pPr>
              <w:pStyle w:val="TableText"/>
              <w:spacing w:before="0" w:after="0" w:line="240" w:lineRule="auto"/>
            </w:pPr>
            <w:r>
              <w:t>231 g ac/ha</w:t>
            </w:r>
          </w:p>
        </w:tc>
      </w:tr>
      <w:tr w:rsidR="00C547B4" w:rsidRPr="00D63217" w14:paraId="1EF875FF" w14:textId="77777777" w:rsidTr="003D5020">
        <w:trPr>
          <w:cantSplit/>
        </w:trPr>
        <w:tc>
          <w:tcPr>
            <w:tcW w:w="589" w:type="pct"/>
            <w:vMerge/>
            <w:tcBorders>
              <w:left w:val="nil"/>
              <w:right w:val="nil"/>
            </w:tcBorders>
          </w:tcPr>
          <w:p w14:paraId="69D89719"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352981EF" w14:textId="3E8644AE" w:rsidR="00C547B4" w:rsidRPr="00D63217" w:rsidRDefault="00C547B4" w:rsidP="00550F6A">
            <w:pPr>
              <w:pStyle w:val="TableText"/>
              <w:spacing w:before="0" w:after="0" w:line="240" w:lineRule="auto"/>
            </w:pPr>
            <w:r w:rsidRPr="0036184D">
              <w:t>Hops, rice (pre/post sowing), potatoes (pre/early emergence)</w:t>
            </w:r>
          </w:p>
        </w:tc>
        <w:tc>
          <w:tcPr>
            <w:tcW w:w="750" w:type="pct"/>
            <w:tcBorders>
              <w:top w:val="nil"/>
              <w:left w:val="nil"/>
              <w:bottom w:val="nil"/>
              <w:right w:val="nil"/>
            </w:tcBorders>
          </w:tcPr>
          <w:p w14:paraId="146A7E3A" w14:textId="69A5EB6A" w:rsidR="00C547B4" w:rsidRPr="00D63217" w:rsidRDefault="00C547B4" w:rsidP="00550F6A">
            <w:pPr>
              <w:pStyle w:val="TableText"/>
              <w:spacing w:before="0" w:after="0" w:line="240" w:lineRule="auto"/>
            </w:pPr>
            <w:r>
              <w:t>1</w:t>
            </w:r>
            <w:r>
              <w:rPr>
                <w:rFonts w:cstheme="minorHAnsi"/>
              </w:rPr>
              <w:t>×</w:t>
            </w:r>
            <w:r>
              <w:t xml:space="preserve"> </w:t>
            </w:r>
            <w:r w:rsidR="008F75CD">
              <w:t>185</w:t>
            </w:r>
            <w:r>
              <w:t>-400</w:t>
            </w:r>
          </w:p>
        </w:tc>
        <w:tc>
          <w:tcPr>
            <w:tcW w:w="929" w:type="pct"/>
            <w:tcBorders>
              <w:top w:val="nil"/>
              <w:left w:val="nil"/>
              <w:bottom w:val="nil"/>
              <w:right w:val="nil"/>
            </w:tcBorders>
          </w:tcPr>
          <w:p w14:paraId="547926B9" w14:textId="0F67ECFD" w:rsidR="00C547B4" w:rsidRPr="00D63217" w:rsidRDefault="00E476C8" w:rsidP="00550F6A">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46CF7520" w14:textId="7D8A3325" w:rsidR="00C547B4" w:rsidRPr="00D63217" w:rsidRDefault="00E476C8" w:rsidP="00550F6A">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1FCD3860" w14:textId="24E1113C" w:rsidR="00C547B4" w:rsidRPr="00D63217" w:rsidRDefault="00C11067" w:rsidP="00550F6A">
            <w:pPr>
              <w:pStyle w:val="TableText"/>
              <w:spacing w:before="0" w:after="0" w:line="240" w:lineRule="auto"/>
            </w:pPr>
            <w:r>
              <w:t>231 g ac/ha</w:t>
            </w:r>
          </w:p>
        </w:tc>
      </w:tr>
      <w:tr w:rsidR="00C547B4" w:rsidRPr="00D63217" w14:paraId="262BFC3E" w14:textId="77777777" w:rsidTr="003D5020">
        <w:trPr>
          <w:cantSplit/>
        </w:trPr>
        <w:tc>
          <w:tcPr>
            <w:tcW w:w="589" w:type="pct"/>
            <w:vMerge/>
            <w:tcBorders>
              <w:left w:val="nil"/>
              <w:right w:val="nil"/>
            </w:tcBorders>
          </w:tcPr>
          <w:p w14:paraId="42BBFFFE"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41587968" w14:textId="603144FC" w:rsidR="00C547B4" w:rsidRPr="00D63217" w:rsidRDefault="00C547B4" w:rsidP="00550F6A">
            <w:pPr>
              <w:pStyle w:val="TableText"/>
              <w:spacing w:before="0" w:after="0" w:line="240" w:lineRule="auto"/>
            </w:pPr>
            <w:r w:rsidRPr="00846498">
              <w:t xml:space="preserve">Industrial vegetation management </w:t>
            </w:r>
          </w:p>
        </w:tc>
        <w:tc>
          <w:tcPr>
            <w:tcW w:w="750" w:type="pct"/>
            <w:tcBorders>
              <w:top w:val="nil"/>
              <w:left w:val="nil"/>
              <w:bottom w:val="nil"/>
              <w:right w:val="nil"/>
            </w:tcBorders>
          </w:tcPr>
          <w:p w14:paraId="7A366537" w14:textId="19A6C1FA" w:rsidR="00C547B4" w:rsidRPr="00D63217" w:rsidRDefault="00C547B4" w:rsidP="00550F6A">
            <w:pPr>
              <w:pStyle w:val="TableText"/>
              <w:spacing w:before="0" w:after="0" w:line="240" w:lineRule="auto"/>
            </w:pPr>
            <w:r>
              <w:t>1</w:t>
            </w:r>
            <w:r>
              <w:rPr>
                <w:rFonts w:cstheme="minorHAnsi"/>
              </w:rPr>
              <w:t>×</w:t>
            </w:r>
            <w:r>
              <w:t xml:space="preserve"> </w:t>
            </w:r>
            <w:r w:rsidR="008F75CD">
              <w:t>390</w:t>
            </w:r>
            <w:r>
              <w:t>-1140</w:t>
            </w:r>
          </w:p>
        </w:tc>
        <w:tc>
          <w:tcPr>
            <w:tcW w:w="929" w:type="pct"/>
            <w:tcBorders>
              <w:top w:val="nil"/>
              <w:left w:val="nil"/>
              <w:bottom w:val="nil"/>
              <w:right w:val="nil"/>
            </w:tcBorders>
          </w:tcPr>
          <w:p w14:paraId="13D5F867" w14:textId="0E93AA60" w:rsidR="00C547B4" w:rsidRPr="00D63217" w:rsidRDefault="00E476C8" w:rsidP="00550F6A">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929" w:type="pct"/>
            <w:tcBorders>
              <w:top w:val="nil"/>
              <w:left w:val="nil"/>
              <w:bottom w:val="nil"/>
              <w:right w:val="nil"/>
            </w:tcBorders>
          </w:tcPr>
          <w:p w14:paraId="12A73FFE" w14:textId="4E5E4297" w:rsidR="00C547B4" w:rsidRPr="00D63217" w:rsidRDefault="00E476C8" w:rsidP="00550F6A">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789" w:type="pct"/>
            <w:tcBorders>
              <w:top w:val="nil"/>
              <w:left w:val="nil"/>
              <w:bottom w:val="nil"/>
              <w:right w:val="nil"/>
            </w:tcBorders>
          </w:tcPr>
          <w:p w14:paraId="354EAC12" w14:textId="7737ED60" w:rsidR="00C547B4" w:rsidRPr="00D63217" w:rsidRDefault="00C11067" w:rsidP="00550F6A">
            <w:pPr>
              <w:pStyle w:val="TableText"/>
              <w:spacing w:before="0" w:after="0" w:line="240" w:lineRule="auto"/>
            </w:pPr>
            <w:r>
              <w:t>1140 g ac/ha (WOE)</w:t>
            </w:r>
          </w:p>
        </w:tc>
      </w:tr>
      <w:tr w:rsidR="00C547B4" w:rsidRPr="00D63217" w14:paraId="2FEDD3BE" w14:textId="77777777" w:rsidTr="003D5020">
        <w:trPr>
          <w:cantSplit/>
        </w:trPr>
        <w:tc>
          <w:tcPr>
            <w:tcW w:w="589" w:type="pct"/>
            <w:vMerge/>
            <w:tcBorders>
              <w:left w:val="nil"/>
              <w:right w:val="nil"/>
            </w:tcBorders>
          </w:tcPr>
          <w:p w14:paraId="337CB45A"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521FADCC" w14:textId="5D305D86" w:rsidR="00C547B4" w:rsidRPr="00D63217" w:rsidRDefault="00C547B4" w:rsidP="00550F6A">
            <w:pPr>
              <w:pStyle w:val="TableText"/>
              <w:spacing w:before="0" w:after="0" w:line="240" w:lineRule="auto"/>
            </w:pPr>
            <w:r w:rsidRPr="00846498">
              <w:t>Pasture (includes hay freezing, spray topping to reduce seed set, prevention of ryegrass toxicity, perennial grass seed crops and kikuyu/paspalum pasture)</w:t>
            </w:r>
          </w:p>
        </w:tc>
        <w:tc>
          <w:tcPr>
            <w:tcW w:w="750" w:type="pct"/>
            <w:tcBorders>
              <w:top w:val="nil"/>
              <w:left w:val="nil"/>
              <w:bottom w:val="nil"/>
              <w:right w:val="nil"/>
            </w:tcBorders>
          </w:tcPr>
          <w:p w14:paraId="245B416E" w14:textId="308F6A07" w:rsidR="00C547B4" w:rsidRPr="00D63217" w:rsidRDefault="00C547B4" w:rsidP="00550F6A">
            <w:pPr>
              <w:pStyle w:val="TableText"/>
              <w:spacing w:before="0" w:after="0" w:line="240" w:lineRule="auto"/>
            </w:pPr>
            <w:r>
              <w:t>1</w:t>
            </w:r>
            <w:r>
              <w:rPr>
                <w:rFonts w:cstheme="minorHAnsi"/>
              </w:rPr>
              <w:t>×</w:t>
            </w:r>
            <w:r>
              <w:t xml:space="preserve"> </w:t>
            </w:r>
            <w:r w:rsidR="008F75CD">
              <w:t>100</w:t>
            </w:r>
            <w:r>
              <w:t>-600</w:t>
            </w:r>
          </w:p>
        </w:tc>
        <w:tc>
          <w:tcPr>
            <w:tcW w:w="929" w:type="pct"/>
            <w:tcBorders>
              <w:top w:val="nil"/>
              <w:left w:val="nil"/>
              <w:bottom w:val="nil"/>
              <w:right w:val="nil"/>
            </w:tcBorders>
          </w:tcPr>
          <w:p w14:paraId="5BE9D607" w14:textId="518BB65A" w:rsidR="00C547B4" w:rsidRPr="00D63217" w:rsidRDefault="00E476C8" w:rsidP="00550F6A">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34C4A5CE" w14:textId="55D42CFA" w:rsidR="00C547B4" w:rsidRPr="00D63217" w:rsidRDefault="00E476C8" w:rsidP="00550F6A">
            <w:pPr>
              <w:pStyle w:val="TableText"/>
              <w:spacing w:before="0" w:after="0" w:line="240" w:lineRule="auto"/>
              <w:rPr>
                <w:b/>
              </w:rPr>
            </w:pPr>
            <w:r w:rsidRPr="00D63217">
              <w:t xml:space="preserve">Acceptable up to </w:t>
            </w:r>
            <w:r>
              <w:t>187</w:t>
            </w:r>
            <w:r w:rsidRPr="00D63217">
              <w:t xml:space="preserve"> g ac/ha</w:t>
            </w:r>
          </w:p>
        </w:tc>
        <w:tc>
          <w:tcPr>
            <w:tcW w:w="789" w:type="pct"/>
            <w:tcBorders>
              <w:top w:val="nil"/>
              <w:left w:val="nil"/>
              <w:bottom w:val="nil"/>
              <w:right w:val="nil"/>
            </w:tcBorders>
          </w:tcPr>
          <w:p w14:paraId="7719B2D0" w14:textId="6F77B4C7" w:rsidR="00C547B4" w:rsidRPr="00D63217" w:rsidRDefault="00C11067" w:rsidP="00550F6A">
            <w:pPr>
              <w:pStyle w:val="TableText"/>
              <w:spacing w:before="0" w:after="0" w:line="240" w:lineRule="auto"/>
            </w:pPr>
            <w:r>
              <w:t>54 g ac/ha</w:t>
            </w:r>
          </w:p>
        </w:tc>
      </w:tr>
      <w:tr w:rsidR="00C547B4" w:rsidRPr="00D63217" w14:paraId="0CC7E377" w14:textId="77777777" w:rsidTr="003D5020">
        <w:trPr>
          <w:cantSplit/>
        </w:trPr>
        <w:tc>
          <w:tcPr>
            <w:tcW w:w="589" w:type="pct"/>
            <w:vMerge/>
            <w:tcBorders>
              <w:left w:val="nil"/>
              <w:right w:val="nil"/>
            </w:tcBorders>
          </w:tcPr>
          <w:p w14:paraId="50BFE4D5"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6CBA9D7D" w14:textId="2380CE13" w:rsidR="00C547B4" w:rsidRPr="00D63217" w:rsidRDefault="00C547B4" w:rsidP="00550F6A">
            <w:pPr>
              <w:pStyle w:val="TableText"/>
              <w:spacing w:before="0" w:after="0" w:line="240" w:lineRule="auto"/>
            </w:pPr>
            <w:r w:rsidRPr="00846498">
              <w:t>Lucerne (ungrazed before spraying)</w:t>
            </w:r>
          </w:p>
        </w:tc>
        <w:tc>
          <w:tcPr>
            <w:tcW w:w="750" w:type="pct"/>
            <w:tcBorders>
              <w:top w:val="nil"/>
              <w:left w:val="nil"/>
              <w:bottom w:val="nil"/>
              <w:right w:val="nil"/>
            </w:tcBorders>
          </w:tcPr>
          <w:p w14:paraId="4E38A3A5" w14:textId="3870613D" w:rsidR="00C547B4" w:rsidRPr="00D63217" w:rsidRDefault="00C547B4" w:rsidP="00550F6A">
            <w:pPr>
              <w:pStyle w:val="TableText"/>
              <w:spacing w:before="0" w:after="0" w:line="240" w:lineRule="auto"/>
            </w:pPr>
            <w:r>
              <w:t>1</w:t>
            </w:r>
            <w:r>
              <w:rPr>
                <w:rFonts w:cstheme="minorHAnsi"/>
              </w:rPr>
              <w:t>×</w:t>
            </w:r>
            <w:r>
              <w:t xml:space="preserve"> </w:t>
            </w:r>
            <w:r w:rsidR="008F75CD">
              <w:t>300</w:t>
            </w:r>
            <w:r>
              <w:t>-600</w:t>
            </w:r>
          </w:p>
        </w:tc>
        <w:tc>
          <w:tcPr>
            <w:tcW w:w="929" w:type="pct"/>
            <w:tcBorders>
              <w:top w:val="nil"/>
              <w:left w:val="nil"/>
              <w:bottom w:val="nil"/>
              <w:right w:val="nil"/>
            </w:tcBorders>
          </w:tcPr>
          <w:p w14:paraId="6DEAC5AF" w14:textId="367DB219" w:rsidR="00C547B4" w:rsidRPr="00D63217" w:rsidRDefault="00E476C8" w:rsidP="00550F6A">
            <w:pPr>
              <w:pStyle w:val="TableText"/>
              <w:spacing w:before="0" w:after="0" w:line="240" w:lineRule="auto"/>
              <w:rPr>
                <w:b/>
              </w:rPr>
            </w:pPr>
            <w:r w:rsidRPr="00D63217">
              <w:t xml:space="preserve">Acceptable up to </w:t>
            </w:r>
            <w:r>
              <w:t>600</w:t>
            </w:r>
            <w:r w:rsidRPr="00D63217">
              <w:t xml:space="preserve"> g ac/ha</w:t>
            </w:r>
            <w:r>
              <w:t xml:space="preserve"> (WOE)</w:t>
            </w:r>
          </w:p>
        </w:tc>
        <w:tc>
          <w:tcPr>
            <w:tcW w:w="929" w:type="pct"/>
            <w:tcBorders>
              <w:top w:val="nil"/>
              <w:left w:val="nil"/>
              <w:bottom w:val="nil"/>
              <w:right w:val="nil"/>
            </w:tcBorders>
          </w:tcPr>
          <w:p w14:paraId="62AEB51F" w14:textId="2D14482E" w:rsidR="00C547B4" w:rsidRPr="00D63217" w:rsidRDefault="00E476C8" w:rsidP="00550F6A">
            <w:pPr>
              <w:pStyle w:val="TableText"/>
              <w:spacing w:before="0" w:after="0" w:line="240" w:lineRule="auto"/>
              <w:rPr>
                <w:b/>
              </w:rPr>
            </w:pPr>
            <w:r w:rsidRPr="00D63217">
              <w:t xml:space="preserve">Acceptable up to </w:t>
            </w:r>
            <w:r>
              <w:t>226</w:t>
            </w:r>
            <w:r w:rsidRPr="00D63217">
              <w:t xml:space="preserve"> g ac/ha</w:t>
            </w:r>
          </w:p>
        </w:tc>
        <w:tc>
          <w:tcPr>
            <w:tcW w:w="789" w:type="pct"/>
            <w:tcBorders>
              <w:top w:val="nil"/>
              <w:left w:val="nil"/>
              <w:bottom w:val="nil"/>
              <w:right w:val="nil"/>
            </w:tcBorders>
          </w:tcPr>
          <w:p w14:paraId="63674B7D" w14:textId="4CBF3AC1" w:rsidR="00C547B4" w:rsidRPr="00D63217" w:rsidRDefault="00C11067" w:rsidP="00550F6A">
            <w:pPr>
              <w:pStyle w:val="TableText"/>
              <w:spacing w:before="0" w:after="0" w:line="240" w:lineRule="auto"/>
            </w:pPr>
            <w:r>
              <w:t>226 g ac/ha</w:t>
            </w:r>
          </w:p>
        </w:tc>
      </w:tr>
      <w:tr w:rsidR="00C547B4" w:rsidRPr="00D63217" w14:paraId="7CE99255" w14:textId="77777777" w:rsidTr="003D5020">
        <w:trPr>
          <w:cantSplit/>
        </w:trPr>
        <w:tc>
          <w:tcPr>
            <w:tcW w:w="589" w:type="pct"/>
            <w:vMerge/>
            <w:tcBorders>
              <w:left w:val="nil"/>
              <w:right w:val="nil"/>
            </w:tcBorders>
          </w:tcPr>
          <w:p w14:paraId="4133801F"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6FC70A7D" w14:textId="1F6E7410" w:rsidR="00C547B4" w:rsidRPr="00D63217" w:rsidRDefault="00C547B4" w:rsidP="00550F6A">
            <w:pPr>
              <w:pStyle w:val="TableText"/>
              <w:spacing w:before="0" w:after="0" w:line="240" w:lineRule="auto"/>
            </w:pPr>
            <w:r w:rsidRPr="00846498">
              <w:t>Peanuts (BBCH 10-19)</w:t>
            </w:r>
          </w:p>
        </w:tc>
        <w:tc>
          <w:tcPr>
            <w:tcW w:w="750" w:type="pct"/>
            <w:tcBorders>
              <w:top w:val="nil"/>
              <w:left w:val="nil"/>
              <w:bottom w:val="nil"/>
              <w:right w:val="nil"/>
            </w:tcBorders>
          </w:tcPr>
          <w:p w14:paraId="41EA4676" w14:textId="4CEA1DE3" w:rsidR="00C547B4" w:rsidRPr="00D63217" w:rsidRDefault="00C547B4" w:rsidP="00550F6A">
            <w:pPr>
              <w:pStyle w:val="TableText"/>
              <w:spacing w:before="0" w:after="0" w:line="240" w:lineRule="auto"/>
            </w:pPr>
            <w:r>
              <w:t>1</w:t>
            </w:r>
            <w:r>
              <w:rPr>
                <w:rFonts w:cstheme="minorHAnsi"/>
              </w:rPr>
              <w:t>×</w:t>
            </w:r>
            <w:r>
              <w:t xml:space="preserve"> </w:t>
            </w:r>
            <w:r w:rsidR="008F75CD">
              <w:t>100</w:t>
            </w:r>
            <w:r>
              <w:t>-250</w:t>
            </w:r>
          </w:p>
        </w:tc>
        <w:tc>
          <w:tcPr>
            <w:tcW w:w="929" w:type="pct"/>
            <w:tcBorders>
              <w:top w:val="nil"/>
              <w:left w:val="nil"/>
              <w:bottom w:val="nil"/>
              <w:right w:val="nil"/>
            </w:tcBorders>
          </w:tcPr>
          <w:p w14:paraId="539DE9D1" w14:textId="48CB421C" w:rsidR="00C547B4" w:rsidRPr="00D63217" w:rsidRDefault="00E476C8" w:rsidP="00550F6A">
            <w:pPr>
              <w:pStyle w:val="TableText"/>
              <w:spacing w:before="0" w:after="0" w:line="240" w:lineRule="auto"/>
              <w:rPr>
                <w:b/>
              </w:rPr>
            </w:pPr>
            <w:r w:rsidRPr="00D63217">
              <w:t xml:space="preserve">Acceptable up to </w:t>
            </w:r>
            <w:r>
              <w:t>355</w:t>
            </w:r>
            <w:r w:rsidRPr="00D63217">
              <w:t xml:space="preserve"> g ac/ha</w:t>
            </w:r>
          </w:p>
        </w:tc>
        <w:tc>
          <w:tcPr>
            <w:tcW w:w="929" w:type="pct"/>
            <w:tcBorders>
              <w:top w:val="nil"/>
              <w:left w:val="nil"/>
              <w:bottom w:val="nil"/>
              <w:right w:val="nil"/>
            </w:tcBorders>
          </w:tcPr>
          <w:p w14:paraId="6C1FE5AB" w14:textId="5B3A56B6" w:rsidR="00C547B4" w:rsidRPr="00D63217" w:rsidRDefault="00E476C8" w:rsidP="00550F6A">
            <w:pPr>
              <w:pStyle w:val="TableText"/>
              <w:spacing w:before="0" w:after="0" w:line="240" w:lineRule="auto"/>
              <w:rPr>
                <w:b/>
              </w:rPr>
            </w:pPr>
            <w:r w:rsidRPr="00D63217">
              <w:t xml:space="preserve">Acceptable up to </w:t>
            </w:r>
            <w:r>
              <w:t>213</w:t>
            </w:r>
            <w:r w:rsidRPr="00D63217">
              <w:t xml:space="preserve"> g ac/ha</w:t>
            </w:r>
          </w:p>
        </w:tc>
        <w:tc>
          <w:tcPr>
            <w:tcW w:w="789" w:type="pct"/>
            <w:tcBorders>
              <w:top w:val="nil"/>
              <w:left w:val="nil"/>
              <w:bottom w:val="nil"/>
              <w:right w:val="nil"/>
            </w:tcBorders>
          </w:tcPr>
          <w:p w14:paraId="1EBABCCC" w14:textId="0D40D5C1" w:rsidR="00C547B4" w:rsidRPr="00D63217" w:rsidRDefault="00C11067" w:rsidP="00550F6A">
            <w:pPr>
              <w:pStyle w:val="TableText"/>
              <w:spacing w:before="0" w:after="0" w:line="240" w:lineRule="auto"/>
            </w:pPr>
            <w:r>
              <w:t>213 g ac/ha</w:t>
            </w:r>
          </w:p>
        </w:tc>
      </w:tr>
      <w:tr w:rsidR="00C547B4" w:rsidRPr="00D63217" w14:paraId="0D97A562" w14:textId="77777777" w:rsidTr="003D5020">
        <w:trPr>
          <w:cantSplit/>
        </w:trPr>
        <w:tc>
          <w:tcPr>
            <w:tcW w:w="589" w:type="pct"/>
            <w:vMerge/>
            <w:tcBorders>
              <w:left w:val="nil"/>
              <w:right w:val="nil"/>
            </w:tcBorders>
          </w:tcPr>
          <w:p w14:paraId="3298AC92"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26212F9D" w14:textId="6B675663" w:rsidR="00C547B4" w:rsidRPr="00D63217" w:rsidRDefault="00C547B4" w:rsidP="00550F6A">
            <w:pPr>
              <w:pStyle w:val="TableText"/>
              <w:spacing w:before="0" w:after="0" w:line="240" w:lineRule="auto"/>
            </w:pPr>
            <w:r w:rsidRPr="00846498">
              <w:t>Sugarcane (over the top spray)</w:t>
            </w:r>
          </w:p>
        </w:tc>
        <w:tc>
          <w:tcPr>
            <w:tcW w:w="750" w:type="pct"/>
            <w:tcBorders>
              <w:top w:val="nil"/>
              <w:left w:val="nil"/>
              <w:bottom w:val="nil"/>
              <w:right w:val="nil"/>
            </w:tcBorders>
          </w:tcPr>
          <w:p w14:paraId="622C53F4" w14:textId="03947A0A" w:rsidR="00C547B4" w:rsidRPr="00D63217" w:rsidRDefault="00C547B4" w:rsidP="00550F6A">
            <w:pPr>
              <w:pStyle w:val="TableText"/>
              <w:spacing w:before="0" w:after="0" w:line="240" w:lineRule="auto"/>
            </w:pPr>
            <w:r>
              <w:t>1</w:t>
            </w:r>
            <w:r>
              <w:rPr>
                <w:rFonts w:cstheme="minorHAnsi"/>
              </w:rPr>
              <w:t>×</w:t>
            </w:r>
            <w:r>
              <w:t xml:space="preserve"> </w:t>
            </w:r>
            <w:r w:rsidR="008F75CD">
              <w:t>300</w:t>
            </w:r>
            <w:r>
              <w:t>-400</w:t>
            </w:r>
          </w:p>
        </w:tc>
        <w:tc>
          <w:tcPr>
            <w:tcW w:w="929" w:type="pct"/>
            <w:tcBorders>
              <w:top w:val="nil"/>
              <w:left w:val="nil"/>
              <w:bottom w:val="nil"/>
              <w:right w:val="nil"/>
            </w:tcBorders>
          </w:tcPr>
          <w:p w14:paraId="599DA123" w14:textId="6A90EAD8" w:rsidR="00C547B4" w:rsidRPr="00D63217" w:rsidRDefault="00E476C8" w:rsidP="00550F6A">
            <w:pPr>
              <w:pStyle w:val="TableText"/>
              <w:spacing w:before="0" w:after="0" w:line="240" w:lineRule="auto"/>
              <w:rPr>
                <w:b/>
              </w:rPr>
            </w:pPr>
            <w:r w:rsidRPr="00D63217">
              <w:t xml:space="preserve">Acceptable up to </w:t>
            </w:r>
            <w:r>
              <w:t>400</w:t>
            </w:r>
            <w:r w:rsidRPr="00D63217">
              <w:t xml:space="preserve"> g ac/ha</w:t>
            </w:r>
            <w:r>
              <w:t xml:space="preserve"> (WOE)</w:t>
            </w:r>
          </w:p>
        </w:tc>
        <w:tc>
          <w:tcPr>
            <w:tcW w:w="929" w:type="pct"/>
            <w:tcBorders>
              <w:top w:val="nil"/>
              <w:left w:val="nil"/>
              <w:bottom w:val="nil"/>
              <w:right w:val="nil"/>
            </w:tcBorders>
          </w:tcPr>
          <w:p w14:paraId="0F3BB254" w14:textId="4846C202" w:rsidR="00C547B4" w:rsidRPr="00D63217" w:rsidRDefault="00E476C8" w:rsidP="00550F6A">
            <w:pPr>
              <w:pStyle w:val="TableText"/>
              <w:spacing w:before="0" w:after="0" w:line="240" w:lineRule="auto"/>
              <w:rPr>
                <w:b/>
              </w:rPr>
            </w:pPr>
            <w:r w:rsidRPr="00D63217">
              <w:t xml:space="preserve">Acceptable up to </w:t>
            </w:r>
            <w:r>
              <w:t>137</w:t>
            </w:r>
            <w:r w:rsidRPr="00D63217">
              <w:t xml:space="preserve"> g ac/ha</w:t>
            </w:r>
          </w:p>
        </w:tc>
        <w:tc>
          <w:tcPr>
            <w:tcW w:w="789" w:type="pct"/>
            <w:tcBorders>
              <w:top w:val="nil"/>
              <w:left w:val="nil"/>
              <w:bottom w:val="nil"/>
              <w:right w:val="nil"/>
            </w:tcBorders>
          </w:tcPr>
          <w:p w14:paraId="0035089A" w14:textId="01005A69" w:rsidR="00C547B4" w:rsidRPr="00D63217" w:rsidRDefault="00C11067" w:rsidP="00550F6A">
            <w:pPr>
              <w:pStyle w:val="TableText"/>
              <w:spacing w:before="0" w:after="0" w:line="240" w:lineRule="auto"/>
            </w:pPr>
            <w:r>
              <w:t>137 g ac/ha</w:t>
            </w:r>
          </w:p>
        </w:tc>
      </w:tr>
      <w:tr w:rsidR="00C547B4" w:rsidRPr="00D63217" w14:paraId="51BD0A26" w14:textId="77777777" w:rsidTr="003D5020">
        <w:trPr>
          <w:cantSplit/>
        </w:trPr>
        <w:tc>
          <w:tcPr>
            <w:tcW w:w="589" w:type="pct"/>
            <w:vMerge/>
            <w:tcBorders>
              <w:left w:val="nil"/>
              <w:right w:val="nil"/>
            </w:tcBorders>
          </w:tcPr>
          <w:p w14:paraId="2DE4E478"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411D88FD" w14:textId="766A063A" w:rsidR="00C547B4" w:rsidRPr="00D63217" w:rsidRDefault="00C547B4" w:rsidP="00550F6A">
            <w:pPr>
              <w:pStyle w:val="TableText"/>
              <w:spacing w:before="0" w:after="0" w:line="240" w:lineRule="auto"/>
            </w:pPr>
            <w:r w:rsidRPr="00846498">
              <w:t>Sugarcane (inter-row spray)</w:t>
            </w:r>
          </w:p>
        </w:tc>
        <w:tc>
          <w:tcPr>
            <w:tcW w:w="750" w:type="pct"/>
            <w:tcBorders>
              <w:top w:val="nil"/>
              <w:left w:val="nil"/>
              <w:bottom w:val="nil"/>
              <w:right w:val="nil"/>
            </w:tcBorders>
          </w:tcPr>
          <w:p w14:paraId="251D30FF" w14:textId="7D63EC34" w:rsidR="00C547B4" w:rsidRPr="00D63217" w:rsidRDefault="00C547B4" w:rsidP="00550F6A">
            <w:pPr>
              <w:pStyle w:val="TableText"/>
              <w:spacing w:before="0" w:after="0" w:line="240" w:lineRule="auto"/>
            </w:pPr>
            <w:r>
              <w:t>1</w:t>
            </w:r>
            <w:r>
              <w:rPr>
                <w:rFonts w:cstheme="minorHAnsi"/>
              </w:rPr>
              <w:t>×</w:t>
            </w:r>
            <w:r>
              <w:t xml:space="preserve"> </w:t>
            </w:r>
            <w:r w:rsidR="008F75CD">
              <w:t>300</w:t>
            </w:r>
            <w:r>
              <w:t>-400</w:t>
            </w:r>
          </w:p>
        </w:tc>
        <w:tc>
          <w:tcPr>
            <w:tcW w:w="929" w:type="pct"/>
            <w:tcBorders>
              <w:top w:val="nil"/>
              <w:left w:val="nil"/>
              <w:bottom w:val="nil"/>
              <w:right w:val="nil"/>
            </w:tcBorders>
          </w:tcPr>
          <w:p w14:paraId="6BED6D5E" w14:textId="6571E6B0" w:rsidR="00C547B4" w:rsidRPr="00D63217" w:rsidRDefault="00E476C8" w:rsidP="00550F6A">
            <w:pPr>
              <w:pStyle w:val="TableText"/>
              <w:spacing w:before="0" w:after="0" w:line="240" w:lineRule="auto"/>
              <w:rPr>
                <w:b/>
              </w:rPr>
            </w:pPr>
            <w:r w:rsidRPr="00D63217">
              <w:t xml:space="preserve">Acceptable up to </w:t>
            </w:r>
            <w:r>
              <w:t>400</w:t>
            </w:r>
            <w:r w:rsidRPr="00D63217">
              <w:t xml:space="preserve"> g ac/ha</w:t>
            </w:r>
            <w:r>
              <w:t xml:space="preserve"> (WOE)</w:t>
            </w:r>
          </w:p>
        </w:tc>
        <w:tc>
          <w:tcPr>
            <w:tcW w:w="929" w:type="pct"/>
            <w:tcBorders>
              <w:top w:val="nil"/>
              <w:left w:val="nil"/>
              <w:bottom w:val="nil"/>
              <w:right w:val="nil"/>
            </w:tcBorders>
          </w:tcPr>
          <w:p w14:paraId="0E899AF9" w14:textId="349AF1C1" w:rsidR="00C547B4" w:rsidRPr="00D63217" w:rsidRDefault="00E476C8" w:rsidP="00550F6A">
            <w:pPr>
              <w:pStyle w:val="TableText"/>
              <w:spacing w:before="0" w:after="0" w:line="240" w:lineRule="auto"/>
              <w:rPr>
                <w:b/>
              </w:rPr>
            </w:pPr>
            <w:r w:rsidRPr="00D63217">
              <w:t xml:space="preserve">Acceptable up to </w:t>
            </w:r>
            <w:r>
              <w:t>103</w:t>
            </w:r>
            <w:r w:rsidRPr="00D63217">
              <w:t xml:space="preserve"> g ac/ha</w:t>
            </w:r>
          </w:p>
        </w:tc>
        <w:tc>
          <w:tcPr>
            <w:tcW w:w="789" w:type="pct"/>
            <w:tcBorders>
              <w:top w:val="nil"/>
              <w:left w:val="nil"/>
              <w:bottom w:val="nil"/>
              <w:right w:val="nil"/>
            </w:tcBorders>
          </w:tcPr>
          <w:p w14:paraId="500B049E" w14:textId="3AA12E36" w:rsidR="00C547B4" w:rsidRPr="00D63217" w:rsidRDefault="00C11067" w:rsidP="00550F6A">
            <w:pPr>
              <w:pStyle w:val="TableText"/>
              <w:spacing w:before="0" w:after="0" w:line="240" w:lineRule="auto"/>
            </w:pPr>
            <w:r>
              <w:t>103 g ac/ha</w:t>
            </w:r>
          </w:p>
        </w:tc>
      </w:tr>
      <w:tr w:rsidR="00C547B4" w:rsidRPr="00D63217" w14:paraId="58504145" w14:textId="77777777" w:rsidTr="003D5020">
        <w:trPr>
          <w:cantSplit/>
        </w:trPr>
        <w:tc>
          <w:tcPr>
            <w:tcW w:w="589" w:type="pct"/>
            <w:vMerge/>
            <w:tcBorders>
              <w:left w:val="nil"/>
              <w:right w:val="nil"/>
            </w:tcBorders>
          </w:tcPr>
          <w:p w14:paraId="2D5B9DE3"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2EC4CDC1" w14:textId="5C7DDF6C" w:rsidR="00C547B4" w:rsidRPr="00D63217" w:rsidRDefault="00C547B4" w:rsidP="00550F6A">
            <w:pPr>
              <w:pStyle w:val="TableText"/>
              <w:spacing w:before="0" w:after="0" w:line="240" w:lineRule="auto"/>
            </w:pPr>
            <w:r w:rsidRPr="00846498">
              <w:t xml:space="preserve">Orchards, bananas </w:t>
            </w:r>
          </w:p>
        </w:tc>
        <w:tc>
          <w:tcPr>
            <w:tcW w:w="750" w:type="pct"/>
            <w:tcBorders>
              <w:top w:val="nil"/>
              <w:left w:val="nil"/>
              <w:bottom w:val="nil"/>
              <w:right w:val="nil"/>
            </w:tcBorders>
          </w:tcPr>
          <w:p w14:paraId="4F16391B" w14:textId="271EAD59" w:rsidR="00C547B4" w:rsidRPr="00D63217" w:rsidRDefault="00C547B4" w:rsidP="00550F6A">
            <w:pPr>
              <w:pStyle w:val="TableText"/>
              <w:spacing w:before="0" w:after="0" w:line="240" w:lineRule="auto"/>
            </w:pPr>
            <w:r>
              <w:t>1</w:t>
            </w:r>
            <w:r>
              <w:rPr>
                <w:rFonts w:cstheme="minorHAnsi"/>
              </w:rPr>
              <w:t>×</w:t>
            </w:r>
            <w:r>
              <w:t xml:space="preserve"> </w:t>
            </w:r>
            <w:r w:rsidR="008F75CD">
              <w:t>175</w:t>
            </w:r>
            <w:r>
              <w:t>-1120</w:t>
            </w:r>
          </w:p>
        </w:tc>
        <w:tc>
          <w:tcPr>
            <w:tcW w:w="929" w:type="pct"/>
            <w:tcBorders>
              <w:top w:val="nil"/>
              <w:left w:val="nil"/>
              <w:bottom w:val="nil"/>
              <w:right w:val="nil"/>
            </w:tcBorders>
          </w:tcPr>
          <w:p w14:paraId="2299B267" w14:textId="433BF006" w:rsidR="00C547B4" w:rsidRPr="00D63217" w:rsidRDefault="00E476C8" w:rsidP="00550F6A">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7D5DDAFA" w14:textId="48942F01" w:rsidR="00C547B4" w:rsidRPr="00D63217" w:rsidRDefault="00E476C8" w:rsidP="00550F6A">
            <w:pPr>
              <w:pStyle w:val="TableText"/>
              <w:spacing w:before="0" w:after="0" w:line="240" w:lineRule="auto"/>
              <w:rPr>
                <w:b/>
              </w:rPr>
            </w:pPr>
            <w:r w:rsidRPr="00D63217">
              <w:t xml:space="preserve">Acceptable up to </w:t>
            </w:r>
            <w:r>
              <w:t>377</w:t>
            </w:r>
            <w:r w:rsidRPr="00D63217">
              <w:t xml:space="preserve"> g ac/ha</w:t>
            </w:r>
          </w:p>
        </w:tc>
        <w:tc>
          <w:tcPr>
            <w:tcW w:w="789" w:type="pct"/>
            <w:tcBorders>
              <w:top w:val="nil"/>
              <w:left w:val="nil"/>
              <w:bottom w:val="nil"/>
              <w:right w:val="nil"/>
            </w:tcBorders>
          </w:tcPr>
          <w:p w14:paraId="14A6A68E" w14:textId="6ACFE0AE" w:rsidR="00C547B4" w:rsidRPr="00D63217" w:rsidRDefault="00C11067" w:rsidP="00550F6A">
            <w:pPr>
              <w:pStyle w:val="TableText"/>
              <w:spacing w:before="0" w:after="0" w:line="240" w:lineRule="auto"/>
            </w:pPr>
            <w:r>
              <w:t>54 g ac/ha</w:t>
            </w:r>
          </w:p>
        </w:tc>
      </w:tr>
      <w:tr w:rsidR="00C547B4" w:rsidRPr="00D63217" w14:paraId="5036B577" w14:textId="77777777" w:rsidTr="003D5020">
        <w:trPr>
          <w:cantSplit/>
        </w:trPr>
        <w:tc>
          <w:tcPr>
            <w:tcW w:w="589" w:type="pct"/>
            <w:vMerge/>
            <w:tcBorders>
              <w:left w:val="nil"/>
              <w:right w:val="nil"/>
            </w:tcBorders>
          </w:tcPr>
          <w:p w14:paraId="6FB40943"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68D44E1E" w14:textId="63F111EA" w:rsidR="00C547B4" w:rsidRPr="00D63217" w:rsidRDefault="00C547B4" w:rsidP="00550F6A">
            <w:pPr>
              <w:pStyle w:val="TableText"/>
              <w:spacing w:before="0" w:after="0" w:line="240" w:lineRule="auto"/>
            </w:pPr>
            <w:r w:rsidRPr="00846498">
              <w:t>Spot spray in orchards, bananas</w:t>
            </w:r>
          </w:p>
        </w:tc>
        <w:tc>
          <w:tcPr>
            <w:tcW w:w="750" w:type="pct"/>
            <w:tcBorders>
              <w:top w:val="nil"/>
              <w:left w:val="nil"/>
              <w:bottom w:val="nil"/>
              <w:right w:val="nil"/>
            </w:tcBorders>
          </w:tcPr>
          <w:p w14:paraId="43D361E6" w14:textId="62026B54" w:rsidR="00C547B4" w:rsidRDefault="00C547B4" w:rsidP="00550F6A">
            <w:pPr>
              <w:pStyle w:val="TableText"/>
              <w:spacing w:before="0" w:after="0" w:line="240" w:lineRule="auto"/>
            </w:pPr>
            <w:r>
              <w:t>1</w:t>
            </w:r>
            <w:r>
              <w:rPr>
                <w:rFonts w:cstheme="minorHAnsi"/>
              </w:rPr>
              <w:t>×</w:t>
            </w:r>
            <w:r>
              <w:t xml:space="preserve"> </w:t>
            </w:r>
            <w:r w:rsidR="008F75CD">
              <w:t>390</w:t>
            </w:r>
            <w:r>
              <w:t>-1120</w:t>
            </w:r>
          </w:p>
          <w:p w14:paraId="33C5BBA0" w14:textId="2F474B26" w:rsidR="00C547B4" w:rsidRPr="00D63217" w:rsidRDefault="00C547B4" w:rsidP="00550F6A">
            <w:pPr>
              <w:pStyle w:val="TableText"/>
              <w:spacing w:before="0" w:after="0" w:line="240" w:lineRule="auto"/>
            </w:pPr>
            <w:r>
              <w:t>(</w:t>
            </w:r>
            <w:r w:rsidR="008F75CD">
              <w:t>156</w:t>
            </w:r>
            <w:r>
              <w:t>-448, FFT 0.4)</w:t>
            </w:r>
          </w:p>
        </w:tc>
        <w:tc>
          <w:tcPr>
            <w:tcW w:w="929" w:type="pct"/>
            <w:tcBorders>
              <w:top w:val="nil"/>
              <w:left w:val="nil"/>
              <w:bottom w:val="nil"/>
              <w:right w:val="nil"/>
            </w:tcBorders>
          </w:tcPr>
          <w:p w14:paraId="43BBC417" w14:textId="495A37EF" w:rsidR="00C547B4" w:rsidRPr="00D63217" w:rsidRDefault="00E476C8" w:rsidP="00550F6A">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155E6D77" w14:textId="6073D0B3" w:rsidR="00C547B4" w:rsidRPr="00D63217" w:rsidRDefault="00E476C8" w:rsidP="00550F6A">
            <w:pPr>
              <w:pStyle w:val="TableText"/>
              <w:spacing w:before="0" w:after="0" w:line="240" w:lineRule="auto"/>
              <w:rPr>
                <w:b/>
              </w:rPr>
            </w:pPr>
            <w:r w:rsidRPr="00D63217">
              <w:t xml:space="preserve">Acceptable up to </w:t>
            </w:r>
            <w:r>
              <w:t>377</w:t>
            </w:r>
            <w:r w:rsidRPr="00D63217">
              <w:t xml:space="preserve"> g ac/ha</w:t>
            </w:r>
          </w:p>
        </w:tc>
        <w:tc>
          <w:tcPr>
            <w:tcW w:w="789" w:type="pct"/>
            <w:tcBorders>
              <w:top w:val="nil"/>
              <w:left w:val="nil"/>
              <w:bottom w:val="nil"/>
              <w:right w:val="nil"/>
            </w:tcBorders>
          </w:tcPr>
          <w:p w14:paraId="629A302A" w14:textId="5D99CFBC" w:rsidR="00C547B4" w:rsidRPr="00D63217" w:rsidRDefault="00C11067" w:rsidP="00550F6A">
            <w:pPr>
              <w:pStyle w:val="TableText"/>
              <w:spacing w:before="0" w:after="0" w:line="240" w:lineRule="auto"/>
            </w:pPr>
            <w:r>
              <w:t>54 g ac/ha</w:t>
            </w:r>
          </w:p>
        </w:tc>
      </w:tr>
      <w:tr w:rsidR="00C547B4" w:rsidRPr="00D63217" w14:paraId="73EB56C5" w14:textId="77777777" w:rsidTr="003D5020">
        <w:trPr>
          <w:cantSplit/>
        </w:trPr>
        <w:tc>
          <w:tcPr>
            <w:tcW w:w="589" w:type="pct"/>
            <w:vMerge/>
            <w:tcBorders>
              <w:left w:val="nil"/>
              <w:right w:val="nil"/>
            </w:tcBorders>
          </w:tcPr>
          <w:p w14:paraId="42E3EC40"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3CEB3BED" w14:textId="32493C7D" w:rsidR="00C547B4" w:rsidRPr="00D63217" w:rsidRDefault="00C547B4" w:rsidP="00550F6A">
            <w:pPr>
              <w:pStyle w:val="TableText"/>
              <w:spacing w:before="0" w:after="0" w:line="240" w:lineRule="auto"/>
            </w:pPr>
            <w:r w:rsidRPr="00846498">
              <w:t>Potatoes (pre-harvest)</w:t>
            </w:r>
          </w:p>
        </w:tc>
        <w:tc>
          <w:tcPr>
            <w:tcW w:w="750" w:type="pct"/>
            <w:tcBorders>
              <w:top w:val="nil"/>
              <w:left w:val="nil"/>
              <w:bottom w:val="nil"/>
              <w:right w:val="nil"/>
            </w:tcBorders>
          </w:tcPr>
          <w:p w14:paraId="2766C36C" w14:textId="6AED6028" w:rsidR="00C547B4" w:rsidRPr="00D63217" w:rsidRDefault="00C547B4" w:rsidP="00550F6A">
            <w:pPr>
              <w:pStyle w:val="TableText"/>
              <w:spacing w:before="0" w:after="0" w:line="240" w:lineRule="auto"/>
            </w:pPr>
            <w:r>
              <w:t>1</w:t>
            </w:r>
            <w:r>
              <w:rPr>
                <w:rFonts w:cstheme="minorHAnsi"/>
              </w:rPr>
              <w:t>×</w:t>
            </w:r>
            <w:r>
              <w:t xml:space="preserve"> </w:t>
            </w:r>
            <w:r w:rsidR="005C412B">
              <w:t>648</w:t>
            </w:r>
            <w:r>
              <w:t>-700</w:t>
            </w:r>
          </w:p>
        </w:tc>
        <w:tc>
          <w:tcPr>
            <w:tcW w:w="929" w:type="pct"/>
            <w:tcBorders>
              <w:top w:val="nil"/>
              <w:left w:val="nil"/>
              <w:bottom w:val="nil"/>
              <w:right w:val="nil"/>
            </w:tcBorders>
          </w:tcPr>
          <w:p w14:paraId="2C63D549" w14:textId="6820ED94" w:rsidR="00C547B4" w:rsidRPr="00D63217" w:rsidRDefault="00E476C8" w:rsidP="00550F6A">
            <w:pPr>
              <w:pStyle w:val="TableText"/>
              <w:spacing w:before="0" w:after="0" w:line="240" w:lineRule="auto"/>
              <w:rPr>
                <w:b/>
              </w:rPr>
            </w:pPr>
            <w:r w:rsidRPr="00D63217">
              <w:t xml:space="preserve">Acceptable up to </w:t>
            </w:r>
            <w:r>
              <w:t>363</w:t>
            </w:r>
            <w:r w:rsidRPr="00D63217">
              <w:t xml:space="preserve"> g ac/ha</w:t>
            </w:r>
          </w:p>
        </w:tc>
        <w:tc>
          <w:tcPr>
            <w:tcW w:w="929" w:type="pct"/>
            <w:tcBorders>
              <w:top w:val="nil"/>
              <w:left w:val="nil"/>
              <w:bottom w:val="nil"/>
              <w:right w:val="nil"/>
            </w:tcBorders>
          </w:tcPr>
          <w:p w14:paraId="0CFA1D33" w14:textId="7F128F87" w:rsidR="00C547B4" w:rsidRPr="00D63217" w:rsidRDefault="00E476C8" w:rsidP="00550F6A">
            <w:pPr>
              <w:pStyle w:val="TableText"/>
              <w:spacing w:before="0" w:after="0" w:line="240" w:lineRule="auto"/>
              <w:rPr>
                <w:b/>
              </w:rPr>
            </w:pPr>
            <w:r w:rsidRPr="00D63217">
              <w:t xml:space="preserve">Acceptable up to </w:t>
            </w:r>
            <w:r>
              <w:t>226</w:t>
            </w:r>
            <w:r w:rsidRPr="00D63217">
              <w:t xml:space="preserve"> g ac/ha</w:t>
            </w:r>
          </w:p>
        </w:tc>
        <w:tc>
          <w:tcPr>
            <w:tcW w:w="789" w:type="pct"/>
            <w:tcBorders>
              <w:top w:val="nil"/>
              <w:left w:val="nil"/>
              <w:bottom w:val="nil"/>
              <w:right w:val="nil"/>
            </w:tcBorders>
          </w:tcPr>
          <w:p w14:paraId="723EF289" w14:textId="3058B721" w:rsidR="00C547B4" w:rsidRPr="00D63217" w:rsidRDefault="00C11067" w:rsidP="00550F6A">
            <w:pPr>
              <w:pStyle w:val="TableText"/>
              <w:spacing w:before="0" w:after="0" w:line="240" w:lineRule="auto"/>
            </w:pPr>
            <w:r>
              <w:t>226 g ac/ha</w:t>
            </w:r>
            <w:r w:rsidR="00244889">
              <w:t xml:space="preserve"> </w:t>
            </w:r>
          </w:p>
        </w:tc>
      </w:tr>
      <w:tr w:rsidR="00C547B4" w:rsidRPr="00D63217" w14:paraId="05828911" w14:textId="77777777" w:rsidTr="003D5020">
        <w:trPr>
          <w:cantSplit/>
        </w:trPr>
        <w:tc>
          <w:tcPr>
            <w:tcW w:w="589" w:type="pct"/>
            <w:vMerge/>
            <w:tcBorders>
              <w:left w:val="nil"/>
              <w:right w:val="nil"/>
            </w:tcBorders>
          </w:tcPr>
          <w:p w14:paraId="439C112F"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554C00C1" w14:textId="3EA25244" w:rsidR="00C547B4" w:rsidRPr="00D63217" w:rsidRDefault="00C547B4" w:rsidP="00550F6A">
            <w:pPr>
              <w:pStyle w:val="TableText"/>
              <w:spacing w:before="0" w:after="0" w:line="240" w:lineRule="auto"/>
            </w:pPr>
            <w:r w:rsidRPr="00846498">
              <w:t>Spray topping in pulses</w:t>
            </w:r>
          </w:p>
        </w:tc>
        <w:tc>
          <w:tcPr>
            <w:tcW w:w="750" w:type="pct"/>
            <w:tcBorders>
              <w:top w:val="nil"/>
              <w:left w:val="nil"/>
              <w:bottom w:val="nil"/>
              <w:right w:val="nil"/>
            </w:tcBorders>
          </w:tcPr>
          <w:p w14:paraId="5FC5CD4B" w14:textId="2C028F0D" w:rsidR="00C547B4" w:rsidRPr="00D63217" w:rsidRDefault="00C547B4" w:rsidP="00550F6A">
            <w:pPr>
              <w:pStyle w:val="TableText"/>
              <w:spacing w:before="0" w:after="0" w:line="240" w:lineRule="auto"/>
            </w:pPr>
            <w:r>
              <w:t>1</w:t>
            </w:r>
            <w:r>
              <w:rPr>
                <w:rFonts w:cstheme="minorHAnsi"/>
              </w:rPr>
              <w:t>×</w:t>
            </w:r>
            <w:r>
              <w:t xml:space="preserve"> 200</w:t>
            </w:r>
          </w:p>
        </w:tc>
        <w:tc>
          <w:tcPr>
            <w:tcW w:w="929" w:type="pct"/>
            <w:tcBorders>
              <w:top w:val="nil"/>
              <w:left w:val="nil"/>
              <w:bottom w:val="nil"/>
              <w:right w:val="nil"/>
            </w:tcBorders>
          </w:tcPr>
          <w:p w14:paraId="4261A6A4" w14:textId="2D52CC6C" w:rsidR="00C547B4" w:rsidRPr="00D63217" w:rsidRDefault="00E476C8" w:rsidP="00550F6A">
            <w:pPr>
              <w:pStyle w:val="TableText"/>
              <w:spacing w:before="0" w:after="0" w:line="240" w:lineRule="auto"/>
              <w:rPr>
                <w:b/>
              </w:rPr>
            </w:pPr>
            <w:r w:rsidRPr="00D63217">
              <w:t xml:space="preserve">Acceptable up to </w:t>
            </w:r>
            <w:r>
              <w:t>200</w:t>
            </w:r>
            <w:r w:rsidRPr="00D63217">
              <w:t xml:space="preserve"> g ac/ha</w:t>
            </w:r>
            <w:r>
              <w:t xml:space="preserve"> (WOE)</w:t>
            </w:r>
          </w:p>
        </w:tc>
        <w:tc>
          <w:tcPr>
            <w:tcW w:w="929" w:type="pct"/>
            <w:tcBorders>
              <w:top w:val="nil"/>
              <w:left w:val="nil"/>
              <w:bottom w:val="nil"/>
              <w:right w:val="nil"/>
            </w:tcBorders>
          </w:tcPr>
          <w:p w14:paraId="3742A6BD" w14:textId="65C28992" w:rsidR="00C547B4" w:rsidRPr="00D63217" w:rsidRDefault="00E476C8" w:rsidP="00550F6A">
            <w:pPr>
              <w:pStyle w:val="TableText"/>
              <w:spacing w:before="0" w:after="0" w:line="240" w:lineRule="auto"/>
              <w:rPr>
                <w:b/>
              </w:rPr>
            </w:pPr>
            <w:r w:rsidRPr="00D63217">
              <w:t xml:space="preserve">Acceptable up to </w:t>
            </w:r>
            <w:r>
              <w:t>1057</w:t>
            </w:r>
            <w:r w:rsidRPr="00D63217">
              <w:t xml:space="preserve"> g ac/ha</w:t>
            </w:r>
          </w:p>
        </w:tc>
        <w:tc>
          <w:tcPr>
            <w:tcW w:w="789" w:type="pct"/>
            <w:tcBorders>
              <w:top w:val="nil"/>
              <w:left w:val="nil"/>
              <w:bottom w:val="nil"/>
              <w:right w:val="nil"/>
            </w:tcBorders>
          </w:tcPr>
          <w:p w14:paraId="13036D3D" w14:textId="161F5BF6" w:rsidR="00C547B4" w:rsidRPr="00D63217" w:rsidRDefault="00C11067" w:rsidP="00550F6A">
            <w:pPr>
              <w:pStyle w:val="TableText"/>
              <w:spacing w:before="0" w:after="0" w:line="240" w:lineRule="auto"/>
            </w:pPr>
            <w:r>
              <w:t>200 g ac/ha (WOE)</w:t>
            </w:r>
          </w:p>
        </w:tc>
      </w:tr>
      <w:tr w:rsidR="00C547B4" w:rsidRPr="00D63217" w14:paraId="066243F2" w14:textId="77777777" w:rsidTr="003D5020">
        <w:trPr>
          <w:cantSplit/>
        </w:trPr>
        <w:tc>
          <w:tcPr>
            <w:tcW w:w="589" w:type="pct"/>
            <w:vMerge/>
            <w:tcBorders>
              <w:left w:val="nil"/>
              <w:right w:val="nil"/>
            </w:tcBorders>
          </w:tcPr>
          <w:p w14:paraId="7BF080D6" w14:textId="77777777" w:rsidR="00C547B4" w:rsidRPr="00D63217" w:rsidRDefault="00C547B4" w:rsidP="00550F6A">
            <w:pPr>
              <w:pStyle w:val="TableText"/>
              <w:spacing w:before="0" w:after="0" w:line="240" w:lineRule="auto"/>
            </w:pPr>
          </w:p>
        </w:tc>
        <w:tc>
          <w:tcPr>
            <w:tcW w:w="1014" w:type="pct"/>
            <w:tcBorders>
              <w:top w:val="nil"/>
              <w:left w:val="nil"/>
              <w:bottom w:val="nil"/>
              <w:right w:val="nil"/>
            </w:tcBorders>
          </w:tcPr>
          <w:p w14:paraId="548B9CBC" w14:textId="743ABFC9" w:rsidR="00C547B4" w:rsidRPr="00D63217" w:rsidRDefault="00C547B4" w:rsidP="00550F6A">
            <w:pPr>
              <w:pStyle w:val="TableText"/>
              <w:spacing w:before="0" w:after="0" w:line="240" w:lineRule="auto"/>
            </w:pPr>
            <w:r w:rsidRPr="00846498">
              <w:t>Vineyards</w:t>
            </w:r>
          </w:p>
        </w:tc>
        <w:tc>
          <w:tcPr>
            <w:tcW w:w="750" w:type="pct"/>
            <w:tcBorders>
              <w:top w:val="nil"/>
              <w:left w:val="nil"/>
              <w:bottom w:val="nil"/>
              <w:right w:val="nil"/>
            </w:tcBorders>
          </w:tcPr>
          <w:p w14:paraId="0B08B00B" w14:textId="340D2531" w:rsidR="00C547B4" w:rsidRPr="00D63217" w:rsidRDefault="00C547B4" w:rsidP="00550F6A">
            <w:pPr>
              <w:pStyle w:val="TableText"/>
              <w:spacing w:before="0" w:after="0" w:line="240" w:lineRule="auto"/>
            </w:pPr>
            <w:r>
              <w:t>1</w:t>
            </w:r>
            <w:r>
              <w:rPr>
                <w:rFonts w:cstheme="minorHAnsi"/>
              </w:rPr>
              <w:t>×</w:t>
            </w:r>
            <w:r>
              <w:t xml:space="preserve"> </w:t>
            </w:r>
            <w:r w:rsidR="005C412B">
              <w:t>390</w:t>
            </w:r>
            <w:r>
              <w:t>-</w:t>
            </w:r>
            <w:r w:rsidR="005C412B">
              <w:t>810</w:t>
            </w:r>
          </w:p>
        </w:tc>
        <w:tc>
          <w:tcPr>
            <w:tcW w:w="929" w:type="pct"/>
            <w:tcBorders>
              <w:top w:val="nil"/>
              <w:left w:val="nil"/>
              <w:bottom w:val="nil"/>
              <w:right w:val="nil"/>
            </w:tcBorders>
          </w:tcPr>
          <w:p w14:paraId="67563E01" w14:textId="2E54E808" w:rsidR="00C547B4" w:rsidRPr="00D63217" w:rsidRDefault="00E476C8" w:rsidP="00550F6A">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7295AC6A" w14:textId="2134AE7E" w:rsidR="00C547B4" w:rsidRPr="00D63217" w:rsidRDefault="00C11067" w:rsidP="00550F6A">
            <w:pPr>
              <w:pStyle w:val="TableText"/>
              <w:spacing w:before="0" w:after="0" w:line="240" w:lineRule="auto"/>
              <w:rPr>
                <w:b/>
              </w:rPr>
            </w:pPr>
            <w:r w:rsidRPr="00D63217">
              <w:t xml:space="preserve">Acceptable up to </w:t>
            </w:r>
            <w:r>
              <w:t>377</w:t>
            </w:r>
            <w:r w:rsidRPr="00D63217">
              <w:t xml:space="preserve"> g ac/ha</w:t>
            </w:r>
          </w:p>
        </w:tc>
        <w:tc>
          <w:tcPr>
            <w:tcW w:w="789" w:type="pct"/>
            <w:tcBorders>
              <w:top w:val="nil"/>
              <w:left w:val="nil"/>
              <w:bottom w:val="nil"/>
              <w:right w:val="nil"/>
            </w:tcBorders>
          </w:tcPr>
          <w:p w14:paraId="7304489A" w14:textId="4A60A9FD" w:rsidR="00C547B4" w:rsidRPr="00D63217" w:rsidRDefault="00C11067" w:rsidP="00550F6A">
            <w:pPr>
              <w:pStyle w:val="TableText"/>
              <w:spacing w:before="0" w:after="0" w:line="240" w:lineRule="auto"/>
            </w:pPr>
            <w:r>
              <w:t>54 g ac/ha</w:t>
            </w:r>
          </w:p>
        </w:tc>
      </w:tr>
      <w:tr w:rsidR="00C547B4" w:rsidRPr="00D63217" w14:paraId="3DB7DCDD" w14:textId="77777777" w:rsidTr="003D5020">
        <w:trPr>
          <w:cantSplit/>
        </w:trPr>
        <w:tc>
          <w:tcPr>
            <w:tcW w:w="589" w:type="pct"/>
            <w:vMerge/>
            <w:tcBorders>
              <w:left w:val="nil"/>
              <w:bottom w:val="single" w:sz="4" w:space="0" w:color="auto"/>
              <w:right w:val="nil"/>
            </w:tcBorders>
          </w:tcPr>
          <w:p w14:paraId="02156E73" w14:textId="77777777" w:rsidR="00C547B4" w:rsidRPr="00D63217" w:rsidRDefault="00C547B4" w:rsidP="00550F6A">
            <w:pPr>
              <w:pStyle w:val="TableText"/>
              <w:spacing w:before="0" w:after="0" w:line="240" w:lineRule="auto"/>
            </w:pPr>
          </w:p>
        </w:tc>
        <w:tc>
          <w:tcPr>
            <w:tcW w:w="1014" w:type="pct"/>
            <w:tcBorders>
              <w:top w:val="nil"/>
              <w:left w:val="nil"/>
              <w:bottom w:val="single" w:sz="4" w:space="0" w:color="auto"/>
              <w:right w:val="nil"/>
            </w:tcBorders>
          </w:tcPr>
          <w:p w14:paraId="0B3AD11A" w14:textId="0CDC6DFF" w:rsidR="00C547B4" w:rsidRPr="00D63217" w:rsidRDefault="00C547B4" w:rsidP="00550F6A">
            <w:pPr>
              <w:pStyle w:val="TableText"/>
              <w:spacing w:before="0" w:after="0" w:line="240" w:lineRule="auto"/>
            </w:pPr>
            <w:r w:rsidRPr="00846498">
              <w:t>Spot spray in vineyards</w:t>
            </w:r>
          </w:p>
        </w:tc>
        <w:tc>
          <w:tcPr>
            <w:tcW w:w="750" w:type="pct"/>
            <w:tcBorders>
              <w:top w:val="nil"/>
              <w:left w:val="nil"/>
              <w:bottom w:val="single" w:sz="4" w:space="0" w:color="auto"/>
              <w:right w:val="nil"/>
            </w:tcBorders>
          </w:tcPr>
          <w:p w14:paraId="269E913E" w14:textId="5D3EDD9F" w:rsidR="00C547B4" w:rsidRDefault="00C547B4" w:rsidP="00550F6A">
            <w:pPr>
              <w:pStyle w:val="TableText"/>
              <w:spacing w:before="0" w:after="0" w:line="240" w:lineRule="auto"/>
            </w:pPr>
            <w:r>
              <w:t>1</w:t>
            </w:r>
            <w:r>
              <w:rPr>
                <w:rFonts w:cstheme="minorHAnsi"/>
              </w:rPr>
              <w:t>×</w:t>
            </w:r>
            <w:r>
              <w:t xml:space="preserve"> </w:t>
            </w:r>
            <w:r w:rsidR="005C412B">
              <w:t>390</w:t>
            </w:r>
            <w:r>
              <w:t>-</w:t>
            </w:r>
            <w:r w:rsidR="005C412B">
              <w:t>810</w:t>
            </w:r>
          </w:p>
          <w:p w14:paraId="6A748313" w14:textId="6CAD58C7" w:rsidR="00C547B4" w:rsidRPr="00D63217" w:rsidRDefault="00C547B4" w:rsidP="00550F6A">
            <w:pPr>
              <w:pStyle w:val="TableText"/>
              <w:spacing w:before="0" w:after="0" w:line="240" w:lineRule="auto"/>
            </w:pPr>
            <w:r>
              <w:t>(</w:t>
            </w:r>
            <w:r w:rsidR="005C412B">
              <w:t>156</w:t>
            </w:r>
            <w:r>
              <w:t>-</w:t>
            </w:r>
            <w:r w:rsidR="005C412B">
              <w:t>324</w:t>
            </w:r>
            <w:r>
              <w:t>, FFT 0.4)</w:t>
            </w:r>
          </w:p>
        </w:tc>
        <w:tc>
          <w:tcPr>
            <w:tcW w:w="929" w:type="pct"/>
            <w:tcBorders>
              <w:top w:val="nil"/>
              <w:left w:val="nil"/>
              <w:bottom w:val="single" w:sz="4" w:space="0" w:color="auto"/>
              <w:right w:val="nil"/>
            </w:tcBorders>
          </w:tcPr>
          <w:p w14:paraId="12D55C51" w14:textId="72171BB5" w:rsidR="00C547B4" w:rsidRPr="00D63217" w:rsidRDefault="00E476C8" w:rsidP="00550F6A">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single" w:sz="4" w:space="0" w:color="auto"/>
              <w:right w:val="nil"/>
            </w:tcBorders>
          </w:tcPr>
          <w:p w14:paraId="1E43539D" w14:textId="7E7E5F92" w:rsidR="00C547B4" w:rsidRPr="00D63217" w:rsidRDefault="00C11067" w:rsidP="00550F6A">
            <w:pPr>
              <w:pStyle w:val="TableText"/>
              <w:spacing w:before="0" w:after="0" w:line="240" w:lineRule="auto"/>
              <w:rPr>
                <w:b/>
              </w:rPr>
            </w:pPr>
            <w:r w:rsidRPr="00D63217">
              <w:t xml:space="preserve">Acceptable up to </w:t>
            </w:r>
            <w:r>
              <w:t>377</w:t>
            </w:r>
            <w:r w:rsidRPr="00D63217">
              <w:t xml:space="preserve"> g ac/ha</w:t>
            </w:r>
          </w:p>
        </w:tc>
        <w:tc>
          <w:tcPr>
            <w:tcW w:w="789" w:type="pct"/>
            <w:tcBorders>
              <w:top w:val="nil"/>
              <w:left w:val="nil"/>
              <w:bottom w:val="single" w:sz="4" w:space="0" w:color="auto"/>
              <w:right w:val="nil"/>
            </w:tcBorders>
          </w:tcPr>
          <w:p w14:paraId="17EB6CC1" w14:textId="2E45898E" w:rsidR="00C547B4" w:rsidRPr="00D63217" w:rsidRDefault="00C11067" w:rsidP="00550F6A">
            <w:pPr>
              <w:pStyle w:val="TableText"/>
              <w:spacing w:before="0" w:after="0" w:line="240" w:lineRule="auto"/>
            </w:pPr>
            <w:r>
              <w:t>54 g ac/ha</w:t>
            </w:r>
          </w:p>
        </w:tc>
      </w:tr>
      <w:tr w:rsidR="00C547B4" w:rsidRPr="00D63217" w14:paraId="0372C6EF" w14:textId="77777777" w:rsidTr="003D5020">
        <w:trPr>
          <w:cantSplit/>
        </w:trPr>
        <w:tc>
          <w:tcPr>
            <w:tcW w:w="589" w:type="pct"/>
            <w:vMerge w:val="restart"/>
            <w:tcBorders>
              <w:top w:val="single" w:sz="4" w:space="0" w:color="auto"/>
              <w:left w:val="nil"/>
              <w:right w:val="nil"/>
            </w:tcBorders>
          </w:tcPr>
          <w:p w14:paraId="6F87B0B5" w14:textId="21212590" w:rsidR="00C547B4" w:rsidRPr="00D63217" w:rsidRDefault="00C547B4" w:rsidP="00C547B4">
            <w:pPr>
              <w:pStyle w:val="TableText"/>
              <w:spacing w:before="0" w:after="0" w:line="240" w:lineRule="auto"/>
            </w:pPr>
            <w:r w:rsidRPr="00C547B4">
              <w:t>Combination products containing diquat</w:t>
            </w:r>
          </w:p>
        </w:tc>
        <w:tc>
          <w:tcPr>
            <w:tcW w:w="1014" w:type="pct"/>
            <w:tcBorders>
              <w:top w:val="single" w:sz="4" w:space="0" w:color="auto"/>
              <w:left w:val="nil"/>
              <w:bottom w:val="nil"/>
              <w:right w:val="nil"/>
            </w:tcBorders>
          </w:tcPr>
          <w:p w14:paraId="4392FF2C" w14:textId="05ABD921" w:rsidR="00C547B4" w:rsidRPr="00846498" w:rsidRDefault="00C547B4" w:rsidP="00C547B4">
            <w:pPr>
              <w:pStyle w:val="TableText"/>
              <w:spacing w:before="0" w:after="0" w:line="240" w:lineRule="auto"/>
            </w:pPr>
            <w:r w:rsidRPr="00725884">
              <w:t>Fallow (minimal disturbance)</w:t>
            </w:r>
          </w:p>
        </w:tc>
        <w:tc>
          <w:tcPr>
            <w:tcW w:w="750" w:type="pct"/>
            <w:tcBorders>
              <w:top w:val="single" w:sz="4" w:space="0" w:color="auto"/>
              <w:left w:val="nil"/>
              <w:bottom w:val="nil"/>
              <w:right w:val="nil"/>
            </w:tcBorders>
          </w:tcPr>
          <w:p w14:paraId="795418B7" w14:textId="02935691" w:rsidR="00C547B4" w:rsidRDefault="00C547B4" w:rsidP="00C547B4">
            <w:pPr>
              <w:pStyle w:val="TableText"/>
              <w:spacing w:before="0" w:after="0" w:line="240" w:lineRule="auto"/>
            </w:pPr>
            <w:r>
              <w:t>2</w:t>
            </w:r>
            <w:r>
              <w:rPr>
                <w:rFonts w:cstheme="minorHAnsi"/>
              </w:rPr>
              <w:t>×</w:t>
            </w:r>
            <w:r>
              <w:t xml:space="preserve"> </w:t>
            </w:r>
            <w:r w:rsidR="00A8593B">
              <w:t>162</w:t>
            </w:r>
            <w:r>
              <w:t>-432 (7d interval)</w:t>
            </w:r>
          </w:p>
        </w:tc>
        <w:tc>
          <w:tcPr>
            <w:tcW w:w="929" w:type="pct"/>
            <w:tcBorders>
              <w:top w:val="single" w:sz="4" w:space="0" w:color="auto"/>
              <w:left w:val="nil"/>
              <w:bottom w:val="nil"/>
              <w:right w:val="nil"/>
            </w:tcBorders>
          </w:tcPr>
          <w:p w14:paraId="2A452D9A" w14:textId="283393E6"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single" w:sz="4" w:space="0" w:color="auto"/>
              <w:left w:val="nil"/>
              <w:bottom w:val="nil"/>
              <w:right w:val="nil"/>
            </w:tcBorders>
          </w:tcPr>
          <w:p w14:paraId="3AF33002" w14:textId="7AC9A97F" w:rsidR="00C547B4" w:rsidRPr="00D63217" w:rsidRDefault="00C11067" w:rsidP="00C547B4">
            <w:pPr>
              <w:pStyle w:val="TableText"/>
              <w:spacing w:before="0" w:after="0" w:line="240" w:lineRule="auto"/>
              <w:rPr>
                <w:b/>
              </w:rPr>
            </w:pPr>
            <w:r w:rsidRPr="00D63217">
              <w:t xml:space="preserve">Acceptable up to </w:t>
            </w:r>
            <w:r w:rsidR="00A0348D">
              <w:t>144</w:t>
            </w:r>
            <w:r w:rsidRPr="00D63217">
              <w:t xml:space="preserve"> g ac/ha</w:t>
            </w:r>
          </w:p>
        </w:tc>
        <w:tc>
          <w:tcPr>
            <w:tcW w:w="789" w:type="pct"/>
            <w:tcBorders>
              <w:top w:val="single" w:sz="4" w:space="0" w:color="auto"/>
              <w:left w:val="nil"/>
              <w:bottom w:val="nil"/>
              <w:right w:val="nil"/>
            </w:tcBorders>
          </w:tcPr>
          <w:p w14:paraId="1E858602" w14:textId="6EC68872" w:rsidR="00C547B4" w:rsidRPr="00D63217" w:rsidRDefault="00A0348D" w:rsidP="00C547B4">
            <w:pPr>
              <w:pStyle w:val="TableText"/>
              <w:spacing w:before="0" w:after="0" w:line="240" w:lineRule="auto"/>
            </w:pPr>
            <w:r>
              <w:t>144</w:t>
            </w:r>
            <w:r w:rsidR="00C11067">
              <w:t xml:space="preserve"> g ac/ha</w:t>
            </w:r>
          </w:p>
        </w:tc>
      </w:tr>
      <w:tr w:rsidR="00C547B4" w:rsidRPr="00D63217" w14:paraId="54121E7F" w14:textId="77777777" w:rsidTr="003D5020">
        <w:trPr>
          <w:cantSplit/>
        </w:trPr>
        <w:tc>
          <w:tcPr>
            <w:tcW w:w="589" w:type="pct"/>
            <w:vMerge/>
            <w:tcBorders>
              <w:left w:val="nil"/>
              <w:right w:val="nil"/>
            </w:tcBorders>
          </w:tcPr>
          <w:p w14:paraId="03E2ACFD"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2A130BE7" w14:textId="2CB57DEA" w:rsidR="00C547B4" w:rsidRPr="00846498" w:rsidRDefault="00C547B4" w:rsidP="00C547B4">
            <w:pPr>
              <w:pStyle w:val="TableText"/>
              <w:spacing w:before="0" w:after="0" w:line="240" w:lineRule="auto"/>
            </w:pPr>
            <w:r w:rsidRPr="00725884">
              <w:t>Fallow (minimal disturbance)</w:t>
            </w:r>
          </w:p>
        </w:tc>
        <w:tc>
          <w:tcPr>
            <w:tcW w:w="750" w:type="pct"/>
            <w:tcBorders>
              <w:top w:val="nil"/>
              <w:left w:val="nil"/>
              <w:bottom w:val="nil"/>
              <w:right w:val="nil"/>
            </w:tcBorders>
          </w:tcPr>
          <w:p w14:paraId="37BC53EB" w14:textId="7A84A4EF" w:rsidR="00C547B4" w:rsidRDefault="00C547B4" w:rsidP="00C547B4">
            <w:pPr>
              <w:pStyle w:val="TableText"/>
              <w:spacing w:before="0" w:after="0" w:line="240" w:lineRule="auto"/>
            </w:pPr>
            <w:r>
              <w:t>1</w:t>
            </w:r>
            <w:r>
              <w:rPr>
                <w:rFonts w:cstheme="minorHAnsi"/>
              </w:rPr>
              <w:t>×</w:t>
            </w:r>
            <w:r>
              <w:t xml:space="preserve"> </w:t>
            </w:r>
            <w:r w:rsidR="00A8593B">
              <w:t>162</w:t>
            </w:r>
            <w:r>
              <w:t>-432</w:t>
            </w:r>
          </w:p>
        </w:tc>
        <w:tc>
          <w:tcPr>
            <w:tcW w:w="929" w:type="pct"/>
            <w:tcBorders>
              <w:top w:val="nil"/>
              <w:left w:val="nil"/>
              <w:bottom w:val="nil"/>
              <w:right w:val="nil"/>
            </w:tcBorders>
          </w:tcPr>
          <w:p w14:paraId="4EEC1E49" w14:textId="6D2AABD6"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5352AE09" w14:textId="1FB244D7" w:rsidR="00C547B4" w:rsidRPr="00D63217" w:rsidRDefault="00C11067" w:rsidP="00C547B4">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25EB6F1B" w14:textId="4479A92A" w:rsidR="00C547B4" w:rsidRPr="00D63217" w:rsidRDefault="00C11067" w:rsidP="00C547B4">
            <w:pPr>
              <w:pStyle w:val="TableText"/>
              <w:spacing w:before="0" w:after="0" w:line="240" w:lineRule="auto"/>
            </w:pPr>
            <w:r>
              <w:t>231 g ac/ha</w:t>
            </w:r>
          </w:p>
        </w:tc>
      </w:tr>
      <w:tr w:rsidR="00C547B4" w:rsidRPr="00D63217" w14:paraId="6FB2839E" w14:textId="77777777" w:rsidTr="003D5020">
        <w:trPr>
          <w:cantSplit/>
        </w:trPr>
        <w:tc>
          <w:tcPr>
            <w:tcW w:w="589" w:type="pct"/>
            <w:vMerge/>
            <w:tcBorders>
              <w:left w:val="nil"/>
              <w:right w:val="nil"/>
            </w:tcBorders>
          </w:tcPr>
          <w:p w14:paraId="0E94506E"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6ADE3E29" w14:textId="49AC32F4" w:rsidR="00C547B4" w:rsidRPr="00846498" w:rsidRDefault="00C547B4" w:rsidP="00C547B4">
            <w:pPr>
              <w:pStyle w:val="TableText"/>
              <w:spacing w:before="0" w:after="0" w:line="240" w:lineRule="auto"/>
            </w:pPr>
            <w:r w:rsidRPr="00725884">
              <w:t>Fallow (full disturbance)</w:t>
            </w:r>
          </w:p>
        </w:tc>
        <w:tc>
          <w:tcPr>
            <w:tcW w:w="750" w:type="pct"/>
            <w:tcBorders>
              <w:top w:val="nil"/>
              <w:left w:val="nil"/>
              <w:bottom w:val="nil"/>
              <w:right w:val="nil"/>
            </w:tcBorders>
          </w:tcPr>
          <w:p w14:paraId="6B03AB0F" w14:textId="46BCA529" w:rsidR="00C547B4" w:rsidRDefault="00C547B4" w:rsidP="00C547B4">
            <w:pPr>
              <w:pStyle w:val="TableText"/>
              <w:spacing w:before="0" w:after="0" w:line="240" w:lineRule="auto"/>
            </w:pPr>
            <w:r>
              <w:t>1</w:t>
            </w:r>
            <w:r>
              <w:rPr>
                <w:rFonts w:cstheme="minorHAnsi"/>
              </w:rPr>
              <w:t>×</w:t>
            </w:r>
            <w:r>
              <w:t xml:space="preserve"> </w:t>
            </w:r>
            <w:r w:rsidR="00A8593B">
              <w:t>81</w:t>
            </w:r>
            <w:r>
              <w:t>-324</w:t>
            </w:r>
          </w:p>
        </w:tc>
        <w:tc>
          <w:tcPr>
            <w:tcW w:w="929" w:type="pct"/>
            <w:tcBorders>
              <w:top w:val="nil"/>
              <w:left w:val="nil"/>
              <w:bottom w:val="nil"/>
              <w:right w:val="nil"/>
            </w:tcBorders>
          </w:tcPr>
          <w:p w14:paraId="06C63FEF" w14:textId="062C7D8D"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7E8F736F" w14:textId="0DD373A2" w:rsidR="00C547B4" w:rsidRPr="00D63217" w:rsidRDefault="00C11067" w:rsidP="00C547B4">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604C71B1" w14:textId="5DE7D320" w:rsidR="00C547B4" w:rsidRPr="00D63217" w:rsidRDefault="00C11067" w:rsidP="00C547B4">
            <w:pPr>
              <w:pStyle w:val="TableText"/>
              <w:spacing w:before="0" w:after="0" w:line="240" w:lineRule="auto"/>
            </w:pPr>
            <w:r>
              <w:t>231 g ac/ha</w:t>
            </w:r>
          </w:p>
        </w:tc>
      </w:tr>
      <w:tr w:rsidR="00C547B4" w:rsidRPr="00D63217" w14:paraId="69CF9D04" w14:textId="77777777" w:rsidTr="003D5020">
        <w:trPr>
          <w:cantSplit/>
        </w:trPr>
        <w:tc>
          <w:tcPr>
            <w:tcW w:w="589" w:type="pct"/>
            <w:vMerge/>
            <w:tcBorders>
              <w:left w:val="nil"/>
              <w:right w:val="nil"/>
            </w:tcBorders>
          </w:tcPr>
          <w:p w14:paraId="5984BD78"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4657F08" w14:textId="6E2B9647" w:rsidR="00C547B4" w:rsidRPr="00846498" w:rsidRDefault="00C547B4" w:rsidP="00C547B4">
            <w:pPr>
              <w:pStyle w:val="TableText"/>
              <w:spacing w:before="0" w:after="0" w:line="240" w:lineRule="auto"/>
            </w:pPr>
            <w:r w:rsidRPr="00725884">
              <w:t xml:space="preserve">Market gardens, nurseries, potatoes (pre/early emergence), rice (pre-emergence), vegetables </w:t>
            </w:r>
          </w:p>
        </w:tc>
        <w:tc>
          <w:tcPr>
            <w:tcW w:w="750" w:type="pct"/>
            <w:tcBorders>
              <w:top w:val="nil"/>
              <w:left w:val="nil"/>
              <w:bottom w:val="nil"/>
              <w:right w:val="nil"/>
            </w:tcBorders>
          </w:tcPr>
          <w:p w14:paraId="54C738F6" w14:textId="561D3E49" w:rsidR="00C547B4" w:rsidRDefault="00C547B4" w:rsidP="00C547B4">
            <w:pPr>
              <w:pStyle w:val="TableText"/>
              <w:spacing w:before="0" w:after="0" w:line="240" w:lineRule="auto"/>
            </w:pPr>
            <w:r>
              <w:t>1</w:t>
            </w:r>
            <w:r>
              <w:rPr>
                <w:rFonts w:cstheme="minorHAnsi"/>
              </w:rPr>
              <w:t>×</w:t>
            </w:r>
            <w:r>
              <w:t xml:space="preserve"> </w:t>
            </w:r>
            <w:r w:rsidR="00A8593B">
              <w:t>216</w:t>
            </w:r>
            <w:r>
              <w:t>-432</w:t>
            </w:r>
          </w:p>
        </w:tc>
        <w:tc>
          <w:tcPr>
            <w:tcW w:w="929" w:type="pct"/>
            <w:tcBorders>
              <w:top w:val="nil"/>
              <w:left w:val="nil"/>
              <w:bottom w:val="nil"/>
              <w:right w:val="nil"/>
            </w:tcBorders>
          </w:tcPr>
          <w:p w14:paraId="79E11426" w14:textId="170C6E8E"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4ACEED64" w14:textId="59C58E2C" w:rsidR="00C547B4" w:rsidRPr="00D63217" w:rsidRDefault="00C11067" w:rsidP="00C547B4">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7F75EB44" w14:textId="6A602EBB" w:rsidR="00C547B4" w:rsidRPr="00D63217" w:rsidRDefault="00C11067" w:rsidP="00C547B4">
            <w:pPr>
              <w:pStyle w:val="TableText"/>
              <w:spacing w:before="0" w:after="0" w:line="240" w:lineRule="auto"/>
            </w:pPr>
            <w:r>
              <w:t>231 g ac/ha</w:t>
            </w:r>
          </w:p>
        </w:tc>
      </w:tr>
      <w:tr w:rsidR="00C547B4" w:rsidRPr="00D63217" w14:paraId="7D4A5D86" w14:textId="77777777" w:rsidTr="003D5020">
        <w:trPr>
          <w:cantSplit/>
        </w:trPr>
        <w:tc>
          <w:tcPr>
            <w:tcW w:w="589" w:type="pct"/>
            <w:vMerge/>
            <w:tcBorders>
              <w:left w:val="nil"/>
              <w:right w:val="nil"/>
            </w:tcBorders>
          </w:tcPr>
          <w:p w14:paraId="49D4EB67"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0857AE54" w14:textId="19310141" w:rsidR="00C547B4" w:rsidRPr="00846498" w:rsidRDefault="00C547B4" w:rsidP="00C547B4">
            <w:pPr>
              <w:pStyle w:val="TableText"/>
              <w:spacing w:before="0" w:after="0" w:line="240" w:lineRule="auto"/>
            </w:pPr>
            <w:r w:rsidRPr="00725884">
              <w:t>Spot spray in market gardens, nurseries, potatoes (pre/early emergence)</w:t>
            </w:r>
          </w:p>
        </w:tc>
        <w:tc>
          <w:tcPr>
            <w:tcW w:w="750" w:type="pct"/>
            <w:tcBorders>
              <w:top w:val="nil"/>
              <w:left w:val="nil"/>
              <w:bottom w:val="nil"/>
              <w:right w:val="nil"/>
            </w:tcBorders>
          </w:tcPr>
          <w:p w14:paraId="0A92CB49" w14:textId="7BD322C2" w:rsidR="00C547B4" w:rsidRDefault="00C547B4" w:rsidP="00C547B4">
            <w:pPr>
              <w:pStyle w:val="TableText"/>
              <w:spacing w:before="0" w:after="0" w:line="240" w:lineRule="auto"/>
            </w:pPr>
            <w:r>
              <w:t>1</w:t>
            </w:r>
            <w:r>
              <w:rPr>
                <w:rFonts w:cstheme="minorHAnsi"/>
              </w:rPr>
              <w:t>×</w:t>
            </w:r>
            <w:r>
              <w:t xml:space="preserve"> </w:t>
            </w:r>
            <w:r w:rsidR="00A8593B">
              <w:t>324</w:t>
            </w:r>
            <w:r>
              <w:t>-432</w:t>
            </w:r>
          </w:p>
          <w:p w14:paraId="26C7932D" w14:textId="7A5D1900" w:rsidR="00C547B4" w:rsidRDefault="00C547B4" w:rsidP="00C547B4">
            <w:pPr>
              <w:pStyle w:val="TableText"/>
              <w:spacing w:before="0" w:after="0" w:line="240" w:lineRule="auto"/>
            </w:pPr>
            <w:r>
              <w:t>(</w:t>
            </w:r>
            <w:r w:rsidR="00A8593B">
              <w:t>130</w:t>
            </w:r>
            <w:r>
              <w:t>-173, FFT 0.4)</w:t>
            </w:r>
          </w:p>
        </w:tc>
        <w:tc>
          <w:tcPr>
            <w:tcW w:w="929" w:type="pct"/>
            <w:tcBorders>
              <w:top w:val="nil"/>
              <w:left w:val="nil"/>
              <w:bottom w:val="nil"/>
              <w:right w:val="nil"/>
            </w:tcBorders>
          </w:tcPr>
          <w:p w14:paraId="5165E3D6" w14:textId="60D6B7B2"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4CE27550" w14:textId="66F242FA" w:rsidR="00C547B4" w:rsidRPr="00D63217" w:rsidRDefault="00C11067" w:rsidP="00C547B4">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26BB5F79" w14:textId="6AFD8745" w:rsidR="00C547B4" w:rsidRPr="00D63217" w:rsidRDefault="00C11067" w:rsidP="00C547B4">
            <w:pPr>
              <w:pStyle w:val="TableText"/>
              <w:spacing w:before="0" w:after="0" w:line="240" w:lineRule="auto"/>
            </w:pPr>
            <w:r>
              <w:t>231 g ac/ha</w:t>
            </w:r>
          </w:p>
        </w:tc>
      </w:tr>
      <w:tr w:rsidR="00C547B4" w:rsidRPr="00D63217" w14:paraId="610BC5FB" w14:textId="77777777" w:rsidTr="003D5020">
        <w:trPr>
          <w:cantSplit/>
        </w:trPr>
        <w:tc>
          <w:tcPr>
            <w:tcW w:w="589" w:type="pct"/>
            <w:vMerge/>
            <w:tcBorders>
              <w:left w:val="nil"/>
              <w:right w:val="nil"/>
            </w:tcBorders>
          </w:tcPr>
          <w:p w14:paraId="55334DD5"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2C3DC21E" w14:textId="44BB7BB3" w:rsidR="00C547B4" w:rsidRPr="00846498" w:rsidRDefault="00C547B4" w:rsidP="00C547B4">
            <w:pPr>
              <w:pStyle w:val="TableText"/>
              <w:spacing w:before="0" w:after="0" w:line="240" w:lineRule="auto"/>
            </w:pPr>
            <w:r w:rsidRPr="002873DD">
              <w:t>Cotton desiccant</w:t>
            </w:r>
          </w:p>
        </w:tc>
        <w:tc>
          <w:tcPr>
            <w:tcW w:w="750" w:type="pct"/>
            <w:tcBorders>
              <w:top w:val="nil"/>
              <w:left w:val="nil"/>
              <w:bottom w:val="nil"/>
              <w:right w:val="nil"/>
            </w:tcBorders>
          </w:tcPr>
          <w:p w14:paraId="584CB54A" w14:textId="16D93B5D" w:rsidR="00C547B4" w:rsidRDefault="00C547B4" w:rsidP="00C547B4">
            <w:pPr>
              <w:pStyle w:val="TableText"/>
              <w:spacing w:before="0" w:after="0" w:line="240" w:lineRule="auto"/>
            </w:pPr>
            <w:r>
              <w:t>1</w:t>
            </w:r>
            <w:r>
              <w:rPr>
                <w:rFonts w:cstheme="minorHAnsi"/>
              </w:rPr>
              <w:t>×</w:t>
            </w:r>
            <w:r>
              <w:t xml:space="preserve"> </w:t>
            </w:r>
            <w:r w:rsidR="00A8593B">
              <w:t>162</w:t>
            </w:r>
            <w:r>
              <w:t>-216</w:t>
            </w:r>
          </w:p>
        </w:tc>
        <w:tc>
          <w:tcPr>
            <w:tcW w:w="929" w:type="pct"/>
            <w:tcBorders>
              <w:top w:val="nil"/>
              <w:left w:val="nil"/>
              <w:bottom w:val="nil"/>
              <w:right w:val="nil"/>
            </w:tcBorders>
          </w:tcPr>
          <w:p w14:paraId="11D3C129" w14:textId="778A3BCB" w:rsidR="00C547B4" w:rsidRPr="00D63217" w:rsidRDefault="00E476C8" w:rsidP="00C547B4">
            <w:pPr>
              <w:pStyle w:val="TableText"/>
              <w:spacing w:before="0" w:after="0" w:line="240" w:lineRule="auto"/>
              <w:rPr>
                <w:b/>
              </w:rPr>
            </w:pPr>
            <w:r w:rsidRPr="00D63217">
              <w:t xml:space="preserve">Acceptable up to </w:t>
            </w:r>
            <w:r>
              <w:t>218</w:t>
            </w:r>
            <w:r w:rsidRPr="00D63217">
              <w:t xml:space="preserve"> g ac/ha</w:t>
            </w:r>
          </w:p>
        </w:tc>
        <w:tc>
          <w:tcPr>
            <w:tcW w:w="929" w:type="pct"/>
            <w:tcBorders>
              <w:top w:val="nil"/>
              <w:left w:val="nil"/>
              <w:bottom w:val="nil"/>
              <w:right w:val="nil"/>
            </w:tcBorders>
          </w:tcPr>
          <w:p w14:paraId="03A5FD3E" w14:textId="6CFC8A0C" w:rsidR="00C547B4" w:rsidRPr="00D63217" w:rsidRDefault="00C11067" w:rsidP="00C547B4">
            <w:pPr>
              <w:pStyle w:val="TableText"/>
              <w:spacing w:before="0" w:after="0" w:line="240" w:lineRule="auto"/>
              <w:rPr>
                <w:b/>
              </w:rPr>
            </w:pPr>
            <w:r w:rsidRPr="00D63217">
              <w:t xml:space="preserve">Acceptable up to </w:t>
            </w:r>
            <w:r>
              <w:t>1295</w:t>
            </w:r>
            <w:r w:rsidRPr="00D63217">
              <w:t xml:space="preserve"> g ac/ha</w:t>
            </w:r>
          </w:p>
        </w:tc>
        <w:tc>
          <w:tcPr>
            <w:tcW w:w="789" w:type="pct"/>
            <w:tcBorders>
              <w:top w:val="nil"/>
              <w:left w:val="nil"/>
              <w:bottom w:val="nil"/>
              <w:right w:val="nil"/>
            </w:tcBorders>
          </w:tcPr>
          <w:p w14:paraId="11F0E19C" w14:textId="5CCD0176" w:rsidR="00C547B4" w:rsidRPr="00D63217" w:rsidRDefault="00C11067" w:rsidP="00C547B4">
            <w:pPr>
              <w:pStyle w:val="TableText"/>
              <w:spacing w:before="0" w:after="0" w:line="240" w:lineRule="auto"/>
            </w:pPr>
            <w:r>
              <w:t>218 g ac/ha</w:t>
            </w:r>
          </w:p>
        </w:tc>
      </w:tr>
      <w:tr w:rsidR="00C547B4" w:rsidRPr="00D63217" w14:paraId="0F81ACF1" w14:textId="77777777" w:rsidTr="003D5020">
        <w:trPr>
          <w:cantSplit/>
        </w:trPr>
        <w:tc>
          <w:tcPr>
            <w:tcW w:w="589" w:type="pct"/>
            <w:vMerge/>
            <w:tcBorders>
              <w:left w:val="nil"/>
              <w:right w:val="nil"/>
            </w:tcBorders>
          </w:tcPr>
          <w:p w14:paraId="5FD3AB57"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6611626" w14:textId="67854CCE" w:rsidR="00C547B4" w:rsidRPr="00846498" w:rsidRDefault="00C547B4" w:rsidP="00C547B4">
            <w:pPr>
              <w:pStyle w:val="TableText"/>
              <w:spacing w:before="0" w:after="0" w:line="240" w:lineRule="auto"/>
            </w:pPr>
            <w:r w:rsidRPr="002873DD">
              <w:t xml:space="preserve">Pasture </w:t>
            </w:r>
          </w:p>
        </w:tc>
        <w:tc>
          <w:tcPr>
            <w:tcW w:w="750" w:type="pct"/>
            <w:tcBorders>
              <w:top w:val="nil"/>
              <w:left w:val="nil"/>
              <w:bottom w:val="nil"/>
              <w:right w:val="nil"/>
            </w:tcBorders>
          </w:tcPr>
          <w:p w14:paraId="659B9F12" w14:textId="53C4CAE6" w:rsidR="00C547B4" w:rsidRDefault="00C547B4" w:rsidP="00C547B4">
            <w:pPr>
              <w:pStyle w:val="TableText"/>
              <w:spacing w:before="0" w:after="0" w:line="240" w:lineRule="auto"/>
            </w:pPr>
            <w:r>
              <w:t>1</w:t>
            </w:r>
            <w:r>
              <w:rPr>
                <w:rFonts w:cstheme="minorHAnsi"/>
              </w:rPr>
              <w:t>×</w:t>
            </w:r>
            <w:r>
              <w:t xml:space="preserve"> </w:t>
            </w:r>
            <w:r w:rsidR="00A8593B">
              <w:t>108</w:t>
            </w:r>
            <w:r>
              <w:t>-432</w:t>
            </w:r>
          </w:p>
        </w:tc>
        <w:tc>
          <w:tcPr>
            <w:tcW w:w="929" w:type="pct"/>
            <w:tcBorders>
              <w:top w:val="nil"/>
              <w:left w:val="nil"/>
              <w:bottom w:val="nil"/>
              <w:right w:val="nil"/>
            </w:tcBorders>
          </w:tcPr>
          <w:p w14:paraId="1E326BA1" w14:textId="2ADE6567"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0F57BD28" w14:textId="102408D3" w:rsidR="00C547B4" w:rsidRPr="00D63217" w:rsidRDefault="00C11067" w:rsidP="00C547B4">
            <w:pPr>
              <w:pStyle w:val="TableText"/>
              <w:spacing w:before="0" w:after="0" w:line="240" w:lineRule="auto"/>
              <w:rPr>
                <w:b/>
              </w:rPr>
            </w:pPr>
            <w:r w:rsidRPr="00D63217">
              <w:t xml:space="preserve">Acceptable up to </w:t>
            </w:r>
            <w:r>
              <w:t>187</w:t>
            </w:r>
            <w:r w:rsidRPr="00D63217">
              <w:t xml:space="preserve"> g ac/ha</w:t>
            </w:r>
          </w:p>
        </w:tc>
        <w:tc>
          <w:tcPr>
            <w:tcW w:w="789" w:type="pct"/>
            <w:tcBorders>
              <w:top w:val="nil"/>
              <w:left w:val="nil"/>
              <w:bottom w:val="nil"/>
              <w:right w:val="nil"/>
            </w:tcBorders>
          </w:tcPr>
          <w:p w14:paraId="34006DD1" w14:textId="200E70A4" w:rsidR="00C547B4" w:rsidRPr="00D63217" w:rsidRDefault="00C11067" w:rsidP="00C547B4">
            <w:pPr>
              <w:pStyle w:val="TableText"/>
              <w:spacing w:before="0" w:after="0" w:line="240" w:lineRule="auto"/>
            </w:pPr>
            <w:r>
              <w:t>54 g ac/ha</w:t>
            </w:r>
          </w:p>
        </w:tc>
      </w:tr>
      <w:tr w:rsidR="00C547B4" w:rsidRPr="00D63217" w14:paraId="413E8CE2" w14:textId="77777777" w:rsidTr="003D5020">
        <w:trPr>
          <w:cantSplit/>
        </w:trPr>
        <w:tc>
          <w:tcPr>
            <w:tcW w:w="589" w:type="pct"/>
            <w:vMerge/>
            <w:tcBorders>
              <w:left w:val="nil"/>
              <w:right w:val="nil"/>
            </w:tcBorders>
          </w:tcPr>
          <w:p w14:paraId="54CCFD59"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7201C51" w14:textId="7FE05F50" w:rsidR="00C547B4" w:rsidRPr="00846498" w:rsidRDefault="00C547B4" w:rsidP="00C547B4">
            <w:pPr>
              <w:pStyle w:val="TableText"/>
              <w:spacing w:before="0" w:after="0" w:line="240" w:lineRule="auto"/>
            </w:pPr>
            <w:r w:rsidRPr="002873DD">
              <w:t>Public service areas, rights of way</w:t>
            </w:r>
          </w:p>
        </w:tc>
        <w:tc>
          <w:tcPr>
            <w:tcW w:w="750" w:type="pct"/>
            <w:tcBorders>
              <w:top w:val="nil"/>
              <w:left w:val="nil"/>
              <w:bottom w:val="nil"/>
              <w:right w:val="nil"/>
            </w:tcBorders>
          </w:tcPr>
          <w:p w14:paraId="05EB393A" w14:textId="5DA2AABB" w:rsidR="00C547B4" w:rsidRDefault="00C547B4" w:rsidP="00C547B4">
            <w:pPr>
              <w:pStyle w:val="TableText"/>
              <w:spacing w:before="0" w:after="0" w:line="240" w:lineRule="auto"/>
            </w:pPr>
            <w:r>
              <w:t>1</w:t>
            </w:r>
            <w:r>
              <w:rPr>
                <w:rFonts w:cstheme="minorHAnsi"/>
              </w:rPr>
              <w:t>×</w:t>
            </w:r>
            <w:r>
              <w:t xml:space="preserve"> </w:t>
            </w:r>
            <w:r w:rsidR="00A8593B">
              <w:t>324</w:t>
            </w:r>
            <w:r>
              <w:t>-432</w:t>
            </w:r>
          </w:p>
        </w:tc>
        <w:tc>
          <w:tcPr>
            <w:tcW w:w="929" w:type="pct"/>
            <w:tcBorders>
              <w:top w:val="nil"/>
              <w:left w:val="nil"/>
              <w:bottom w:val="nil"/>
              <w:right w:val="nil"/>
            </w:tcBorders>
          </w:tcPr>
          <w:p w14:paraId="2BFF2BD5" w14:textId="3BA870FE" w:rsidR="00C547B4" w:rsidRPr="00D63217" w:rsidRDefault="00E476C8"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929" w:type="pct"/>
            <w:tcBorders>
              <w:top w:val="nil"/>
              <w:left w:val="nil"/>
              <w:bottom w:val="nil"/>
              <w:right w:val="nil"/>
            </w:tcBorders>
          </w:tcPr>
          <w:p w14:paraId="774141F9" w14:textId="5629F167" w:rsidR="00C547B4" w:rsidRPr="00D63217" w:rsidRDefault="00C11067"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789" w:type="pct"/>
            <w:tcBorders>
              <w:top w:val="nil"/>
              <w:left w:val="nil"/>
              <w:bottom w:val="nil"/>
              <w:right w:val="nil"/>
            </w:tcBorders>
          </w:tcPr>
          <w:p w14:paraId="1D8CE51F" w14:textId="0C01F0FD" w:rsidR="00C547B4" w:rsidRPr="00D63217" w:rsidRDefault="00C11067" w:rsidP="00C547B4">
            <w:pPr>
              <w:pStyle w:val="TableText"/>
              <w:spacing w:before="0" w:after="0" w:line="240" w:lineRule="auto"/>
            </w:pPr>
            <w:r>
              <w:t>1140 g ac/ha (WOE)</w:t>
            </w:r>
          </w:p>
        </w:tc>
      </w:tr>
      <w:tr w:rsidR="00C547B4" w:rsidRPr="00D63217" w14:paraId="2C9C63B2" w14:textId="77777777" w:rsidTr="003D5020">
        <w:trPr>
          <w:cantSplit/>
        </w:trPr>
        <w:tc>
          <w:tcPr>
            <w:tcW w:w="589" w:type="pct"/>
            <w:vMerge/>
            <w:tcBorders>
              <w:left w:val="nil"/>
              <w:right w:val="nil"/>
            </w:tcBorders>
          </w:tcPr>
          <w:p w14:paraId="387B721C"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72D57FC0" w14:textId="5DB57027" w:rsidR="00C547B4" w:rsidRPr="00846498" w:rsidRDefault="00C547B4" w:rsidP="00C547B4">
            <w:pPr>
              <w:pStyle w:val="TableText"/>
              <w:spacing w:before="0" w:after="0" w:line="240" w:lineRule="auto"/>
            </w:pPr>
            <w:r w:rsidRPr="002873DD">
              <w:t>Spot spray in public service areas, rights of way</w:t>
            </w:r>
          </w:p>
        </w:tc>
        <w:tc>
          <w:tcPr>
            <w:tcW w:w="750" w:type="pct"/>
            <w:tcBorders>
              <w:top w:val="nil"/>
              <w:left w:val="nil"/>
              <w:bottom w:val="nil"/>
              <w:right w:val="nil"/>
            </w:tcBorders>
          </w:tcPr>
          <w:p w14:paraId="0D9AAFC3" w14:textId="074F72A4" w:rsidR="00C547B4" w:rsidRDefault="00C547B4" w:rsidP="00C547B4">
            <w:pPr>
              <w:pStyle w:val="TableText"/>
              <w:spacing w:before="0" w:after="0" w:line="240" w:lineRule="auto"/>
            </w:pPr>
            <w:r>
              <w:t>1</w:t>
            </w:r>
            <w:r>
              <w:rPr>
                <w:rFonts w:cstheme="minorHAnsi"/>
              </w:rPr>
              <w:t>×</w:t>
            </w:r>
            <w:r>
              <w:t xml:space="preserve"> </w:t>
            </w:r>
            <w:r w:rsidR="00A8593B">
              <w:t>324</w:t>
            </w:r>
            <w:r>
              <w:t>-432</w:t>
            </w:r>
          </w:p>
          <w:p w14:paraId="0392D1F4" w14:textId="1F24C971" w:rsidR="00C547B4" w:rsidRDefault="00C547B4" w:rsidP="00C547B4">
            <w:pPr>
              <w:pStyle w:val="TableText"/>
              <w:spacing w:before="0" w:after="0" w:line="240" w:lineRule="auto"/>
            </w:pPr>
            <w:r>
              <w:t>(</w:t>
            </w:r>
            <w:r w:rsidR="00A8593B">
              <w:t>130</w:t>
            </w:r>
            <w:r>
              <w:t>-173, FFT 0.4)</w:t>
            </w:r>
          </w:p>
        </w:tc>
        <w:tc>
          <w:tcPr>
            <w:tcW w:w="929" w:type="pct"/>
            <w:tcBorders>
              <w:top w:val="nil"/>
              <w:left w:val="nil"/>
              <w:bottom w:val="nil"/>
              <w:right w:val="nil"/>
            </w:tcBorders>
          </w:tcPr>
          <w:p w14:paraId="328D3204" w14:textId="410674F5" w:rsidR="00C547B4" w:rsidRPr="00D63217" w:rsidRDefault="00E476C8"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929" w:type="pct"/>
            <w:tcBorders>
              <w:top w:val="nil"/>
              <w:left w:val="nil"/>
              <w:bottom w:val="nil"/>
              <w:right w:val="nil"/>
            </w:tcBorders>
          </w:tcPr>
          <w:p w14:paraId="6DC49C04" w14:textId="4CF7AC4B" w:rsidR="00C547B4" w:rsidRPr="00D63217" w:rsidRDefault="00C11067"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789" w:type="pct"/>
            <w:tcBorders>
              <w:top w:val="nil"/>
              <w:left w:val="nil"/>
              <w:bottom w:val="nil"/>
              <w:right w:val="nil"/>
            </w:tcBorders>
          </w:tcPr>
          <w:p w14:paraId="2AA23A1E" w14:textId="2A1D03C9" w:rsidR="00C547B4" w:rsidRPr="00D63217" w:rsidRDefault="00C11067" w:rsidP="00C547B4">
            <w:pPr>
              <w:pStyle w:val="TableText"/>
              <w:spacing w:before="0" w:after="0" w:line="240" w:lineRule="auto"/>
            </w:pPr>
            <w:r>
              <w:t>1140 g ac/ha (WOE)</w:t>
            </w:r>
          </w:p>
        </w:tc>
      </w:tr>
      <w:tr w:rsidR="00C547B4" w:rsidRPr="00D63217" w14:paraId="267D22D3" w14:textId="77777777" w:rsidTr="003D5020">
        <w:trPr>
          <w:cantSplit/>
        </w:trPr>
        <w:tc>
          <w:tcPr>
            <w:tcW w:w="589" w:type="pct"/>
            <w:vMerge/>
            <w:tcBorders>
              <w:left w:val="nil"/>
              <w:right w:val="nil"/>
            </w:tcBorders>
          </w:tcPr>
          <w:p w14:paraId="2C2301C6"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607E338" w14:textId="08E9B867" w:rsidR="00C547B4" w:rsidRPr="00846498" w:rsidRDefault="00C547B4" w:rsidP="00C547B4">
            <w:pPr>
              <w:pStyle w:val="TableText"/>
              <w:spacing w:before="0" w:after="0" w:line="240" w:lineRule="auto"/>
            </w:pPr>
            <w:r w:rsidRPr="002873DD">
              <w:t>Lucerne (grazed before spraying)</w:t>
            </w:r>
            <w:r w:rsidR="0054150E">
              <w:rPr>
                <w:rStyle w:val="FootnoteReference"/>
              </w:rPr>
              <w:footnoteReference w:id="21"/>
            </w:r>
          </w:p>
        </w:tc>
        <w:tc>
          <w:tcPr>
            <w:tcW w:w="750" w:type="pct"/>
            <w:tcBorders>
              <w:top w:val="nil"/>
              <w:left w:val="nil"/>
              <w:bottom w:val="nil"/>
              <w:right w:val="nil"/>
            </w:tcBorders>
          </w:tcPr>
          <w:p w14:paraId="07A4B077" w14:textId="7C269AB0" w:rsidR="00C547B4" w:rsidRDefault="00C547B4" w:rsidP="00C547B4">
            <w:pPr>
              <w:pStyle w:val="TableText"/>
              <w:spacing w:before="0" w:after="0" w:line="240" w:lineRule="auto"/>
            </w:pPr>
            <w:r>
              <w:t>1</w:t>
            </w:r>
            <w:r>
              <w:rPr>
                <w:rFonts w:cstheme="minorHAnsi"/>
              </w:rPr>
              <w:t>×</w:t>
            </w:r>
            <w:r>
              <w:t xml:space="preserve"> </w:t>
            </w:r>
            <w:r w:rsidR="00A8593B">
              <w:t>216</w:t>
            </w:r>
            <w:r>
              <w:t>-324</w:t>
            </w:r>
          </w:p>
        </w:tc>
        <w:tc>
          <w:tcPr>
            <w:tcW w:w="929" w:type="pct"/>
            <w:tcBorders>
              <w:top w:val="nil"/>
              <w:left w:val="nil"/>
              <w:bottom w:val="nil"/>
              <w:right w:val="nil"/>
            </w:tcBorders>
          </w:tcPr>
          <w:p w14:paraId="541285E5" w14:textId="2CBFD0D6" w:rsidR="00C547B4" w:rsidRPr="00D63217" w:rsidRDefault="00E476C8" w:rsidP="00C547B4">
            <w:pPr>
              <w:pStyle w:val="TableText"/>
              <w:spacing w:before="0" w:after="0" w:line="240" w:lineRule="auto"/>
              <w:rPr>
                <w:b/>
              </w:rPr>
            </w:pPr>
            <w:r w:rsidRPr="00D63217">
              <w:t xml:space="preserve">Acceptable up to </w:t>
            </w:r>
            <w:r>
              <w:t>355</w:t>
            </w:r>
            <w:r w:rsidRPr="00D63217">
              <w:t xml:space="preserve"> g ac/ha</w:t>
            </w:r>
          </w:p>
        </w:tc>
        <w:tc>
          <w:tcPr>
            <w:tcW w:w="929" w:type="pct"/>
            <w:tcBorders>
              <w:top w:val="nil"/>
              <w:left w:val="nil"/>
              <w:bottom w:val="nil"/>
              <w:right w:val="nil"/>
            </w:tcBorders>
          </w:tcPr>
          <w:p w14:paraId="65A772AA" w14:textId="21155D7F" w:rsidR="00C547B4" w:rsidRPr="00D63217" w:rsidRDefault="00C11067" w:rsidP="00C547B4">
            <w:pPr>
              <w:pStyle w:val="TableText"/>
              <w:spacing w:before="0" w:after="0" w:line="240" w:lineRule="auto"/>
              <w:rPr>
                <w:b/>
              </w:rPr>
            </w:pPr>
            <w:r w:rsidRPr="00D63217">
              <w:t xml:space="preserve">Acceptable up to </w:t>
            </w:r>
            <w:r>
              <w:t>213</w:t>
            </w:r>
            <w:r w:rsidRPr="00D63217">
              <w:t xml:space="preserve"> g ac/ha</w:t>
            </w:r>
          </w:p>
        </w:tc>
        <w:tc>
          <w:tcPr>
            <w:tcW w:w="789" w:type="pct"/>
            <w:tcBorders>
              <w:top w:val="nil"/>
              <w:left w:val="nil"/>
              <w:bottom w:val="nil"/>
              <w:right w:val="nil"/>
            </w:tcBorders>
          </w:tcPr>
          <w:p w14:paraId="63E6C0BE" w14:textId="1277947C" w:rsidR="00C547B4" w:rsidRPr="00D63217" w:rsidRDefault="00C11067" w:rsidP="00C547B4">
            <w:pPr>
              <w:pStyle w:val="TableText"/>
              <w:spacing w:before="0" w:after="0" w:line="240" w:lineRule="auto"/>
            </w:pPr>
            <w:r>
              <w:t>213 g ac/ha</w:t>
            </w:r>
          </w:p>
        </w:tc>
      </w:tr>
      <w:tr w:rsidR="00C547B4" w:rsidRPr="00D63217" w14:paraId="3D2E6690" w14:textId="77777777" w:rsidTr="003D5020">
        <w:trPr>
          <w:cantSplit/>
        </w:trPr>
        <w:tc>
          <w:tcPr>
            <w:tcW w:w="589" w:type="pct"/>
            <w:vMerge/>
            <w:tcBorders>
              <w:left w:val="nil"/>
              <w:right w:val="nil"/>
            </w:tcBorders>
          </w:tcPr>
          <w:p w14:paraId="767FB15D"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1BC422FD" w14:textId="52A187C5" w:rsidR="00C547B4" w:rsidRPr="00846498" w:rsidRDefault="00C547B4" w:rsidP="00C547B4">
            <w:pPr>
              <w:pStyle w:val="TableText"/>
              <w:spacing w:before="0" w:after="0" w:line="240" w:lineRule="auto"/>
            </w:pPr>
            <w:r w:rsidRPr="002873DD">
              <w:t>Sugarcane (over the top spray)</w:t>
            </w:r>
          </w:p>
        </w:tc>
        <w:tc>
          <w:tcPr>
            <w:tcW w:w="750" w:type="pct"/>
            <w:tcBorders>
              <w:top w:val="nil"/>
              <w:left w:val="nil"/>
              <w:bottom w:val="nil"/>
              <w:right w:val="nil"/>
            </w:tcBorders>
          </w:tcPr>
          <w:p w14:paraId="4E7F1475" w14:textId="69145F73" w:rsidR="00C547B4" w:rsidRDefault="00C547B4" w:rsidP="00C547B4">
            <w:pPr>
              <w:pStyle w:val="TableText"/>
              <w:spacing w:before="0" w:after="0" w:line="240" w:lineRule="auto"/>
            </w:pPr>
            <w:r>
              <w:t>1</w:t>
            </w:r>
            <w:r>
              <w:rPr>
                <w:rFonts w:cstheme="minorHAnsi"/>
              </w:rPr>
              <w:t>×</w:t>
            </w:r>
            <w:r>
              <w:t xml:space="preserve"> </w:t>
            </w:r>
            <w:r w:rsidR="00A8593B">
              <w:t>162</w:t>
            </w:r>
            <w:r>
              <w:t>-270</w:t>
            </w:r>
          </w:p>
        </w:tc>
        <w:tc>
          <w:tcPr>
            <w:tcW w:w="929" w:type="pct"/>
            <w:tcBorders>
              <w:top w:val="nil"/>
              <w:left w:val="nil"/>
              <w:bottom w:val="nil"/>
              <w:right w:val="nil"/>
            </w:tcBorders>
          </w:tcPr>
          <w:p w14:paraId="7C40B074" w14:textId="7C7840EF" w:rsidR="00C547B4" w:rsidRPr="00D63217" w:rsidRDefault="00E476C8" w:rsidP="00C547B4">
            <w:pPr>
              <w:pStyle w:val="TableText"/>
              <w:spacing w:before="0" w:after="0" w:line="240" w:lineRule="auto"/>
              <w:rPr>
                <w:b/>
              </w:rPr>
            </w:pPr>
            <w:r w:rsidRPr="00D63217">
              <w:t xml:space="preserve">Acceptable up to </w:t>
            </w:r>
            <w:r>
              <w:t>270</w:t>
            </w:r>
            <w:r w:rsidRPr="00D63217">
              <w:t xml:space="preserve"> g ac/ha</w:t>
            </w:r>
            <w:r>
              <w:t xml:space="preserve"> (WOE)</w:t>
            </w:r>
          </w:p>
        </w:tc>
        <w:tc>
          <w:tcPr>
            <w:tcW w:w="929" w:type="pct"/>
            <w:tcBorders>
              <w:top w:val="nil"/>
              <w:left w:val="nil"/>
              <w:bottom w:val="nil"/>
              <w:right w:val="nil"/>
            </w:tcBorders>
          </w:tcPr>
          <w:p w14:paraId="58BE5E2E" w14:textId="61A53CA1" w:rsidR="00C547B4" w:rsidRPr="00D63217" w:rsidRDefault="00C11067" w:rsidP="00C547B4">
            <w:pPr>
              <w:pStyle w:val="TableText"/>
              <w:spacing w:before="0" w:after="0" w:line="240" w:lineRule="auto"/>
              <w:rPr>
                <w:b/>
              </w:rPr>
            </w:pPr>
            <w:r w:rsidRPr="00D63217">
              <w:t xml:space="preserve">Acceptable up to </w:t>
            </w:r>
            <w:r>
              <w:t>137</w:t>
            </w:r>
            <w:r w:rsidRPr="00D63217">
              <w:t xml:space="preserve"> g ac/ha</w:t>
            </w:r>
          </w:p>
        </w:tc>
        <w:tc>
          <w:tcPr>
            <w:tcW w:w="789" w:type="pct"/>
            <w:tcBorders>
              <w:top w:val="nil"/>
              <w:left w:val="nil"/>
              <w:bottom w:val="nil"/>
              <w:right w:val="nil"/>
            </w:tcBorders>
          </w:tcPr>
          <w:p w14:paraId="1A2FF749" w14:textId="54175B40" w:rsidR="00C547B4" w:rsidRPr="00D63217" w:rsidRDefault="00C11067" w:rsidP="00C547B4">
            <w:pPr>
              <w:pStyle w:val="TableText"/>
              <w:spacing w:before="0" w:after="0" w:line="240" w:lineRule="auto"/>
            </w:pPr>
            <w:r>
              <w:t>137 g ac/ha</w:t>
            </w:r>
          </w:p>
        </w:tc>
      </w:tr>
      <w:tr w:rsidR="00C547B4" w:rsidRPr="00D63217" w14:paraId="7F22CD44" w14:textId="77777777" w:rsidTr="003D5020">
        <w:trPr>
          <w:cantSplit/>
        </w:trPr>
        <w:tc>
          <w:tcPr>
            <w:tcW w:w="589" w:type="pct"/>
            <w:vMerge/>
            <w:tcBorders>
              <w:left w:val="nil"/>
              <w:right w:val="nil"/>
            </w:tcBorders>
          </w:tcPr>
          <w:p w14:paraId="143BA7F2"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4FA69820" w14:textId="19E28156" w:rsidR="00C547B4" w:rsidRPr="00846498" w:rsidRDefault="00C547B4" w:rsidP="00C547B4">
            <w:pPr>
              <w:pStyle w:val="TableText"/>
              <w:spacing w:before="0" w:after="0" w:line="240" w:lineRule="auto"/>
            </w:pPr>
            <w:r w:rsidRPr="002873DD">
              <w:t>Sugarcane (inter-row spray)</w:t>
            </w:r>
          </w:p>
        </w:tc>
        <w:tc>
          <w:tcPr>
            <w:tcW w:w="750" w:type="pct"/>
            <w:tcBorders>
              <w:top w:val="nil"/>
              <w:left w:val="nil"/>
              <w:bottom w:val="nil"/>
              <w:right w:val="nil"/>
            </w:tcBorders>
          </w:tcPr>
          <w:p w14:paraId="4526D9B8" w14:textId="2C8FFF65" w:rsidR="00C547B4" w:rsidRDefault="00C547B4" w:rsidP="00C547B4">
            <w:pPr>
              <w:pStyle w:val="TableText"/>
              <w:spacing w:before="0" w:after="0" w:line="240" w:lineRule="auto"/>
            </w:pPr>
            <w:r>
              <w:t>1</w:t>
            </w:r>
            <w:r>
              <w:rPr>
                <w:rFonts w:cstheme="minorHAnsi"/>
              </w:rPr>
              <w:t>×</w:t>
            </w:r>
            <w:r>
              <w:t xml:space="preserve"> </w:t>
            </w:r>
            <w:r w:rsidR="00A8593B">
              <w:t>162</w:t>
            </w:r>
            <w:r>
              <w:t>-270</w:t>
            </w:r>
          </w:p>
        </w:tc>
        <w:tc>
          <w:tcPr>
            <w:tcW w:w="929" w:type="pct"/>
            <w:tcBorders>
              <w:top w:val="nil"/>
              <w:left w:val="nil"/>
              <w:bottom w:val="nil"/>
              <w:right w:val="nil"/>
            </w:tcBorders>
          </w:tcPr>
          <w:p w14:paraId="7E7B365D" w14:textId="58DB71DF" w:rsidR="00C547B4" w:rsidRPr="00D63217" w:rsidRDefault="00E476C8" w:rsidP="00C547B4">
            <w:pPr>
              <w:pStyle w:val="TableText"/>
              <w:spacing w:before="0" w:after="0" w:line="240" w:lineRule="auto"/>
              <w:rPr>
                <w:b/>
              </w:rPr>
            </w:pPr>
            <w:r w:rsidRPr="00D63217">
              <w:t xml:space="preserve">Acceptable up to </w:t>
            </w:r>
            <w:r>
              <w:t>270</w:t>
            </w:r>
            <w:r w:rsidRPr="00D63217">
              <w:t xml:space="preserve"> g ac/ha</w:t>
            </w:r>
            <w:r>
              <w:t xml:space="preserve"> (WOE)</w:t>
            </w:r>
          </w:p>
        </w:tc>
        <w:tc>
          <w:tcPr>
            <w:tcW w:w="929" w:type="pct"/>
            <w:tcBorders>
              <w:top w:val="nil"/>
              <w:left w:val="nil"/>
              <w:bottom w:val="nil"/>
              <w:right w:val="nil"/>
            </w:tcBorders>
          </w:tcPr>
          <w:p w14:paraId="57E19BC6" w14:textId="1B77616F" w:rsidR="00C547B4" w:rsidRPr="00D63217" w:rsidRDefault="00C11067" w:rsidP="00C547B4">
            <w:pPr>
              <w:pStyle w:val="TableText"/>
              <w:spacing w:before="0" w:after="0" w:line="240" w:lineRule="auto"/>
              <w:rPr>
                <w:b/>
              </w:rPr>
            </w:pPr>
            <w:r w:rsidRPr="00D63217">
              <w:t xml:space="preserve">Acceptable up to </w:t>
            </w:r>
            <w:r>
              <w:t>103</w:t>
            </w:r>
            <w:r w:rsidRPr="00D63217">
              <w:t xml:space="preserve"> g ac/ha</w:t>
            </w:r>
          </w:p>
        </w:tc>
        <w:tc>
          <w:tcPr>
            <w:tcW w:w="789" w:type="pct"/>
            <w:tcBorders>
              <w:top w:val="nil"/>
              <w:left w:val="nil"/>
              <w:bottom w:val="nil"/>
              <w:right w:val="nil"/>
            </w:tcBorders>
          </w:tcPr>
          <w:p w14:paraId="0521DCDD" w14:textId="35AB898A" w:rsidR="00C547B4" w:rsidRPr="00D63217" w:rsidRDefault="00C11067" w:rsidP="00C547B4">
            <w:pPr>
              <w:pStyle w:val="TableText"/>
              <w:spacing w:before="0" w:after="0" w:line="240" w:lineRule="auto"/>
            </w:pPr>
            <w:r>
              <w:t>103 g ac/ha</w:t>
            </w:r>
          </w:p>
        </w:tc>
      </w:tr>
      <w:tr w:rsidR="00C547B4" w:rsidRPr="00D63217" w14:paraId="5BBB3DCA" w14:textId="77777777" w:rsidTr="003D5020">
        <w:trPr>
          <w:cantSplit/>
        </w:trPr>
        <w:tc>
          <w:tcPr>
            <w:tcW w:w="589" w:type="pct"/>
            <w:vMerge/>
            <w:tcBorders>
              <w:left w:val="nil"/>
              <w:right w:val="nil"/>
            </w:tcBorders>
          </w:tcPr>
          <w:p w14:paraId="1557FC48"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6B761552" w14:textId="218881E2" w:rsidR="00C547B4" w:rsidRPr="00846498" w:rsidRDefault="00C547B4" w:rsidP="00C547B4">
            <w:pPr>
              <w:pStyle w:val="TableText"/>
              <w:spacing w:before="0" w:after="0" w:line="240" w:lineRule="auto"/>
            </w:pPr>
            <w:r w:rsidRPr="002873DD">
              <w:t>Potatoes (pre-harvest)</w:t>
            </w:r>
          </w:p>
        </w:tc>
        <w:tc>
          <w:tcPr>
            <w:tcW w:w="750" w:type="pct"/>
            <w:tcBorders>
              <w:top w:val="nil"/>
              <w:left w:val="nil"/>
              <w:bottom w:val="nil"/>
              <w:right w:val="nil"/>
            </w:tcBorders>
          </w:tcPr>
          <w:p w14:paraId="2C1CC95A" w14:textId="04744C95" w:rsidR="00C547B4" w:rsidRDefault="00C547B4" w:rsidP="00C547B4">
            <w:pPr>
              <w:pStyle w:val="TableText"/>
              <w:spacing w:before="0" w:after="0" w:line="240" w:lineRule="auto"/>
            </w:pPr>
            <w:r>
              <w:t>1</w:t>
            </w:r>
            <w:r>
              <w:rPr>
                <w:rFonts w:cstheme="minorHAnsi"/>
              </w:rPr>
              <w:t>×</w:t>
            </w:r>
            <w:r>
              <w:t xml:space="preserve"> 432</w:t>
            </w:r>
          </w:p>
        </w:tc>
        <w:tc>
          <w:tcPr>
            <w:tcW w:w="929" w:type="pct"/>
            <w:tcBorders>
              <w:top w:val="nil"/>
              <w:left w:val="nil"/>
              <w:bottom w:val="nil"/>
              <w:right w:val="nil"/>
            </w:tcBorders>
          </w:tcPr>
          <w:p w14:paraId="67653E29" w14:textId="35FD0865" w:rsidR="00C547B4" w:rsidRPr="00D63217" w:rsidRDefault="00E476C8" w:rsidP="00C547B4">
            <w:pPr>
              <w:pStyle w:val="TableText"/>
              <w:spacing w:before="0" w:after="0" w:line="240" w:lineRule="auto"/>
              <w:rPr>
                <w:b/>
              </w:rPr>
            </w:pPr>
            <w:r w:rsidRPr="00D63217">
              <w:t xml:space="preserve">Acceptable up to </w:t>
            </w:r>
            <w:r>
              <w:t>363</w:t>
            </w:r>
            <w:r w:rsidRPr="00D63217">
              <w:t xml:space="preserve"> g ac/ha</w:t>
            </w:r>
          </w:p>
        </w:tc>
        <w:tc>
          <w:tcPr>
            <w:tcW w:w="929" w:type="pct"/>
            <w:tcBorders>
              <w:top w:val="nil"/>
              <w:left w:val="nil"/>
              <w:bottom w:val="nil"/>
              <w:right w:val="nil"/>
            </w:tcBorders>
          </w:tcPr>
          <w:p w14:paraId="320E9B23" w14:textId="5CBFC343" w:rsidR="00C547B4" w:rsidRPr="00D63217" w:rsidRDefault="00C11067" w:rsidP="00C547B4">
            <w:pPr>
              <w:pStyle w:val="TableText"/>
              <w:spacing w:before="0" w:after="0" w:line="240" w:lineRule="auto"/>
              <w:rPr>
                <w:b/>
              </w:rPr>
            </w:pPr>
            <w:r w:rsidRPr="00D63217">
              <w:t xml:space="preserve">Acceptable up to </w:t>
            </w:r>
            <w:r>
              <w:t xml:space="preserve">226 </w:t>
            </w:r>
            <w:r w:rsidRPr="00D63217">
              <w:t>g ac/ha</w:t>
            </w:r>
          </w:p>
        </w:tc>
        <w:tc>
          <w:tcPr>
            <w:tcW w:w="789" w:type="pct"/>
            <w:tcBorders>
              <w:top w:val="nil"/>
              <w:left w:val="nil"/>
              <w:bottom w:val="nil"/>
              <w:right w:val="nil"/>
            </w:tcBorders>
          </w:tcPr>
          <w:p w14:paraId="75626B4C" w14:textId="55347294" w:rsidR="00C547B4" w:rsidRPr="00D63217" w:rsidRDefault="00C11067" w:rsidP="00C547B4">
            <w:pPr>
              <w:pStyle w:val="TableText"/>
              <w:spacing w:before="0" w:after="0" w:line="240" w:lineRule="auto"/>
            </w:pPr>
            <w:r>
              <w:t>226 g ac/ha</w:t>
            </w:r>
          </w:p>
        </w:tc>
      </w:tr>
      <w:tr w:rsidR="00C547B4" w:rsidRPr="00D63217" w14:paraId="60F6CCE0" w14:textId="77777777" w:rsidTr="003D5020">
        <w:trPr>
          <w:cantSplit/>
        </w:trPr>
        <w:tc>
          <w:tcPr>
            <w:tcW w:w="589" w:type="pct"/>
            <w:vMerge/>
            <w:tcBorders>
              <w:left w:val="nil"/>
              <w:right w:val="nil"/>
            </w:tcBorders>
          </w:tcPr>
          <w:p w14:paraId="2026DEC4"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0E3CC678" w14:textId="0CEB7314" w:rsidR="00C547B4" w:rsidRPr="00846498" w:rsidRDefault="00C547B4" w:rsidP="00C547B4">
            <w:pPr>
              <w:pStyle w:val="TableText"/>
              <w:spacing w:before="0" w:after="0" w:line="240" w:lineRule="auto"/>
            </w:pPr>
            <w:r w:rsidRPr="002873DD">
              <w:t>Spot spray in potatoes (pre-harvest)</w:t>
            </w:r>
          </w:p>
        </w:tc>
        <w:tc>
          <w:tcPr>
            <w:tcW w:w="750" w:type="pct"/>
            <w:tcBorders>
              <w:top w:val="nil"/>
              <w:left w:val="nil"/>
              <w:bottom w:val="nil"/>
              <w:right w:val="nil"/>
            </w:tcBorders>
          </w:tcPr>
          <w:p w14:paraId="5E62D17D" w14:textId="45F01BEC" w:rsidR="00C547B4" w:rsidRDefault="00C547B4" w:rsidP="00C547B4">
            <w:pPr>
              <w:pStyle w:val="TableText"/>
              <w:spacing w:before="0" w:after="0" w:line="240" w:lineRule="auto"/>
            </w:pPr>
            <w:r>
              <w:t>1</w:t>
            </w:r>
            <w:r>
              <w:rPr>
                <w:rFonts w:cstheme="minorHAnsi"/>
              </w:rPr>
              <w:t>×</w:t>
            </w:r>
            <w:r>
              <w:t xml:space="preserve"> 432</w:t>
            </w:r>
          </w:p>
          <w:p w14:paraId="4C96A516" w14:textId="402375F1" w:rsidR="00C547B4" w:rsidRDefault="00C547B4" w:rsidP="00C547B4">
            <w:pPr>
              <w:pStyle w:val="TableText"/>
              <w:spacing w:before="0" w:after="0" w:line="240" w:lineRule="auto"/>
            </w:pPr>
            <w:r>
              <w:t>(173, FFT 0.4)</w:t>
            </w:r>
          </w:p>
        </w:tc>
        <w:tc>
          <w:tcPr>
            <w:tcW w:w="929" w:type="pct"/>
            <w:tcBorders>
              <w:top w:val="nil"/>
              <w:left w:val="nil"/>
              <w:bottom w:val="nil"/>
              <w:right w:val="nil"/>
            </w:tcBorders>
          </w:tcPr>
          <w:p w14:paraId="4A481F5F" w14:textId="275C196B" w:rsidR="00C547B4" w:rsidRPr="00D63217" w:rsidRDefault="00E476C8" w:rsidP="00C547B4">
            <w:pPr>
              <w:pStyle w:val="TableText"/>
              <w:spacing w:before="0" w:after="0" w:line="240" w:lineRule="auto"/>
              <w:rPr>
                <w:b/>
              </w:rPr>
            </w:pPr>
            <w:r w:rsidRPr="00D63217">
              <w:t xml:space="preserve">Acceptable up to </w:t>
            </w:r>
            <w:r>
              <w:t>363</w:t>
            </w:r>
            <w:r w:rsidRPr="00D63217">
              <w:t xml:space="preserve"> g ac/ha</w:t>
            </w:r>
          </w:p>
        </w:tc>
        <w:tc>
          <w:tcPr>
            <w:tcW w:w="929" w:type="pct"/>
            <w:tcBorders>
              <w:top w:val="nil"/>
              <w:left w:val="nil"/>
              <w:bottom w:val="nil"/>
              <w:right w:val="nil"/>
            </w:tcBorders>
          </w:tcPr>
          <w:p w14:paraId="4BE86C4F" w14:textId="0516B205" w:rsidR="00C547B4" w:rsidRPr="00D63217" w:rsidRDefault="00C11067" w:rsidP="00C547B4">
            <w:pPr>
              <w:pStyle w:val="TableText"/>
              <w:spacing w:before="0" w:after="0" w:line="240" w:lineRule="auto"/>
              <w:rPr>
                <w:b/>
              </w:rPr>
            </w:pPr>
            <w:r w:rsidRPr="00D63217">
              <w:t xml:space="preserve">Acceptable up to </w:t>
            </w:r>
            <w:r>
              <w:t xml:space="preserve">226 </w:t>
            </w:r>
            <w:r w:rsidRPr="00D63217">
              <w:t>g ac/ha</w:t>
            </w:r>
          </w:p>
        </w:tc>
        <w:tc>
          <w:tcPr>
            <w:tcW w:w="789" w:type="pct"/>
            <w:tcBorders>
              <w:top w:val="nil"/>
              <w:left w:val="nil"/>
              <w:bottom w:val="nil"/>
              <w:right w:val="nil"/>
            </w:tcBorders>
          </w:tcPr>
          <w:p w14:paraId="2E8FE2A6" w14:textId="65C761C8" w:rsidR="00C547B4" w:rsidRPr="00D63217" w:rsidRDefault="00C11067" w:rsidP="00C547B4">
            <w:pPr>
              <w:pStyle w:val="TableText"/>
              <w:spacing w:before="0" w:after="0" w:line="240" w:lineRule="auto"/>
            </w:pPr>
            <w:r>
              <w:t>226 g ac/ha</w:t>
            </w:r>
          </w:p>
        </w:tc>
      </w:tr>
      <w:tr w:rsidR="00C547B4" w:rsidRPr="00D63217" w14:paraId="70656722" w14:textId="77777777" w:rsidTr="003D5020">
        <w:trPr>
          <w:cantSplit/>
        </w:trPr>
        <w:tc>
          <w:tcPr>
            <w:tcW w:w="589" w:type="pct"/>
            <w:vMerge/>
            <w:tcBorders>
              <w:left w:val="nil"/>
              <w:right w:val="nil"/>
            </w:tcBorders>
          </w:tcPr>
          <w:p w14:paraId="49983195"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6EB2F0ED" w14:textId="40CC47FE" w:rsidR="00C547B4" w:rsidRPr="00846498" w:rsidRDefault="00C547B4" w:rsidP="00C547B4">
            <w:pPr>
              <w:pStyle w:val="TableText"/>
              <w:spacing w:before="0" w:after="0" w:line="240" w:lineRule="auto"/>
            </w:pPr>
            <w:r w:rsidRPr="002873DD">
              <w:t>Forests, orchards, plantations, bananas, dubo</w:t>
            </w:r>
            <w:r w:rsidR="00051DD9">
              <w:t>i</w:t>
            </w:r>
            <w:r w:rsidRPr="002873DD">
              <w:t>sia, tea tree</w:t>
            </w:r>
          </w:p>
        </w:tc>
        <w:tc>
          <w:tcPr>
            <w:tcW w:w="750" w:type="pct"/>
            <w:tcBorders>
              <w:top w:val="nil"/>
              <w:left w:val="nil"/>
              <w:bottom w:val="nil"/>
              <w:right w:val="nil"/>
            </w:tcBorders>
          </w:tcPr>
          <w:p w14:paraId="61D19F18" w14:textId="2CAF9933" w:rsidR="00C547B4" w:rsidRDefault="00C547B4" w:rsidP="00C547B4">
            <w:pPr>
              <w:pStyle w:val="TableText"/>
              <w:spacing w:before="0" w:after="0" w:line="240" w:lineRule="auto"/>
            </w:pPr>
            <w:r>
              <w:t>1</w:t>
            </w:r>
            <w:r>
              <w:rPr>
                <w:rFonts w:cstheme="minorHAnsi"/>
              </w:rPr>
              <w:t>×</w:t>
            </w:r>
            <w:r>
              <w:t xml:space="preserve"> </w:t>
            </w:r>
            <w:r w:rsidR="00A8593B">
              <w:t>216</w:t>
            </w:r>
            <w:r>
              <w:t>-432</w:t>
            </w:r>
          </w:p>
        </w:tc>
        <w:tc>
          <w:tcPr>
            <w:tcW w:w="929" w:type="pct"/>
            <w:tcBorders>
              <w:top w:val="nil"/>
              <w:left w:val="nil"/>
              <w:bottom w:val="nil"/>
              <w:right w:val="nil"/>
            </w:tcBorders>
          </w:tcPr>
          <w:p w14:paraId="41D1443E" w14:textId="601D0D34"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1433E747" w14:textId="5A957AD8"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nil"/>
              <w:right w:val="nil"/>
            </w:tcBorders>
          </w:tcPr>
          <w:p w14:paraId="263C3FB9" w14:textId="18609F93" w:rsidR="00C547B4" w:rsidRPr="00D63217" w:rsidRDefault="00C11067" w:rsidP="00C547B4">
            <w:pPr>
              <w:pStyle w:val="TableText"/>
              <w:spacing w:before="0" w:after="0" w:line="240" w:lineRule="auto"/>
            </w:pPr>
            <w:r>
              <w:t>54 g ac/ha</w:t>
            </w:r>
          </w:p>
        </w:tc>
      </w:tr>
      <w:tr w:rsidR="00C547B4" w:rsidRPr="00D63217" w14:paraId="51A7230F" w14:textId="77777777" w:rsidTr="003D5020">
        <w:trPr>
          <w:cantSplit/>
        </w:trPr>
        <w:tc>
          <w:tcPr>
            <w:tcW w:w="589" w:type="pct"/>
            <w:vMerge/>
            <w:tcBorders>
              <w:left w:val="nil"/>
              <w:right w:val="nil"/>
            </w:tcBorders>
          </w:tcPr>
          <w:p w14:paraId="393F96B6"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7859437" w14:textId="7435475D" w:rsidR="00C547B4" w:rsidRPr="00846498" w:rsidRDefault="00C547B4" w:rsidP="00C547B4">
            <w:pPr>
              <w:pStyle w:val="TableText"/>
              <w:spacing w:before="0" w:after="0" w:line="240" w:lineRule="auto"/>
            </w:pPr>
            <w:r w:rsidRPr="002873DD">
              <w:t>Spot application in orchards, plantations, bananas, dubo</w:t>
            </w:r>
            <w:r w:rsidR="00051DD9">
              <w:t>i</w:t>
            </w:r>
            <w:r w:rsidRPr="002873DD">
              <w:t>sia</w:t>
            </w:r>
          </w:p>
        </w:tc>
        <w:tc>
          <w:tcPr>
            <w:tcW w:w="750" w:type="pct"/>
            <w:tcBorders>
              <w:top w:val="nil"/>
              <w:left w:val="nil"/>
              <w:bottom w:val="nil"/>
              <w:right w:val="nil"/>
            </w:tcBorders>
          </w:tcPr>
          <w:p w14:paraId="546CEE7A" w14:textId="05904D45" w:rsidR="00C547B4" w:rsidRDefault="00C547B4" w:rsidP="00C547B4">
            <w:pPr>
              <w:pStyle w:val="TableText"/>
              <w:spacing w:before="0" w:after="0" w:line="240" w:lineRule="auto"/>
            </w:pPr>
            <w:r>
              <w:t>1</w:t>
            </w:r>
            <w:r>
              <w:rPr>
                <w:rFonts w:cstheme="minorHAnsi"/>
              </w:rPr>
              <w:t>×</w:t>
            </w:r>
            <w:r w:rsidR="008A00C8">
              <w:t xml:space="preserve"> 216</w:t>
            </w:r>
            <w:r>
              <w:t>-432</w:t>
            </w:r>
          </w:p>
          <w:p w14:paraId="3A93E27D" w14:textId="4E505718" w:rsidR="00C547B4" w:rsidRDefault="00C547B4" w:rsidP="00C547B4">
            <w:pPr>
              <w:pStyle w:val="TableText"/>
              <w:spacing w:before="0" w:after="0" w:line="240" w:lineRule="auto"/>
            </w:pPr>
            <w:r>
              <w:t>(</w:t>
            </w:r>
            <w:r w:rsidR="00A8593B">
              <w:t>11</w:t>
            </w:r>
            <w:r>
              <w:t>-173, FFT 0.4)</w:t>
            </w:r>
          </w:p>
        </w:tc>
        <w:tc>
          <w:tcPr>
            <w:tcW w:w="929" w:type="pct"/>
            <w:tcBorders>
              <w:top w:val="nil"/>
              <w:left w:val="nil"/>
              <w:bottom w:val="nil"/>
              <w:right w:val="nil"/>
            </w:tcBorders>
          </w:tcPr>
          <w:p w14:paraId="5664AD73" w14:textId="1DD9D570"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6F5EFF06" w14:textId="3AF26DAA"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nil"/>
              <w:right w:val="nil"/>
            </w:tcBorders>
          </w:tcPr>
          <w:p w14:paraId="2A6A78C0" w14:textId="7B44AF4A" w:rsidR="00C547B4" w:rsidRPr="00D63217" w:rsidRDefault="00C11067" w:rsidP="00C547B4">
            <w:pPr>
              <w:pStyle w:val="TableText"/>
              <w:spacing w:before="0" w:after="0" w:line="240" w:lineRule="auto"/>
            </w:pPr>
            <w:r>
              <w:t>54 g ac/ha</w:t>
            </w:r>
          </w:p>
        </w:tc>
      </w:tr>
      <w:tr w:rsidR="00C547B4" w:rsidRPr="00D63217" w14:paraId="691C39BE" w14:textId="77777777" w:rsidTr="003D5020">
        <w:trPr>
          <w:cantSplit/>
        </w:trPr>
        <w:tc>
          <w:tcPr>
            <w:tcW w:w="589" w:type="pct"/>
            <w:vMerge/>
            <w:tcBorders>
              <w:left w:val="nil"/>
              <w:right w:val="nil"/>
            </w:tcBorders>
          </w:tcPr>
          <w:p w14:paraId="092C15AA"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7B47D63F" w14:textId="5F08D0A8" w:rsidR="00C547B4" w:rsidRPr="00846498" w:rsidRDefault="00C547B4" w:rsidP="00C547B4">
            <w:pPr>
              <w:pStyle w:val="TableText"/>
              <w:spacing w:before="0" w:after="0" w:line="240" w:lineRule="auto"/>
            </w:pPr>
            <w:r w:rsidRPr="002873DD">
              <w:t>Spot application in avocado, custard apples, lychees, mangos</w:t>
            </w:r>
          </w:p>
        </w:tc>
        <w:tc>
          <w:tcPr>
            <w:tcW w:w="750" w:type="pct"/>
            <w:tcBorders>
              <w:top w:val="nil"/>
              <w:left w:val="nil"/>
              <w:bottom w:val="nil"/>
              <w:right w:val="nil"/>
            </w:tcBorders>
          </w:tcPr>
          <w:p w14:paraId="11388174" w14:textId="225B5926" w:rsidR="00C547B4" w:rsidRDefault="00C547B4" w:rsidP="00C547B4">
            <w:pPr>
              <w:pStyle w:val="TableText"/>
              <w:spacing w:before="0" w:after="0" w:line="240" w:lineRule="auto"/>
            </w:pPr>
            <w:r>
              <w:t>2</w:t>
            </w:r>
            <w:r>
              <w:rPr>
                <w:rFonts w:cstheme="minorHAnsi"/>
              </w:rPr>
              <w:t>×</w:t>
            </w:r>
            <w:r>
              <w:t xml:space="preserve"> </w:t>
            </w:r>
            <w:r w:rsidR="00A8593B">
              <w:t>162</w:t>
            </w:r>
            <w:r>
              <w:t>-324 (14d interval)</w:t>
            </w:r>
          </w:p>
          <w:p w14:paraId="0DF337A2" w14:textId="5D2560F7" w:rsidR="00C547B4" w:rsidRDefault="00C547B4" w:rsidP="00C547B4">
            <w:pPr>
              <w:pStyle w:val="TableText"/>
              <w:spacing w:before="0" w:after="0" w:line="240" w:lineRule="auto"/>
            </w:pPr>
            <w:r>
              <w:t>(</w:t>
            </w:r>
            <w:r w:rsidR="00A8593B">
              <w:t>89</w:t>
            </w:r>
            <w:r>
              <w:t>-179, FFT 0.4)</w:t>
            </w:r>
          </w:p>
        </w:tc>
        <w:tc>
          <w:tcPr>
            <w:tcW w:w="929" w:type="pct"/>
            <w:tcBorders>
              <w:top w:val="nil"/>
              <w:left w:val="nil"/>
              <w:bottom w:val="nil"/>
              <w:right w:val="nil"/>
            </w:tcBorders>
          </w:tcPr>
          <w:p w14:paraId="46AA085C" w14:textId="12D1D0AC" w:rsidR="00C547B4" w:rsidRPr="00D63217" w:rsidRDefault="00E476C8" w:rsidP="00C547B4">
            <w:pPr>
              <w:pStyle w:val="TableText"/>
              <w:spacing w:before="0" w:after="0" w:line="240" w:lineRule="auto"/>
              <w:rPr>
                <w:b/>
              </w:rPr>
            </w:pPr>
            <w:r w:rsidRPr="00D63217">
              <w:t xml:space="preserve">Acceptable up to </w:t>
            </w:r>
            <w:r>
              <w:t>39</w:t>
            </w:r>
            <w:r w:rsidRPr="00D63217">
              <w:t xml:space="preserve"> g ac/ha</w:t>
            </w:r>
          </w:p>
        </w:tc>
        <w:tc>
          <w:tcPr>
            <w:tcW w:w="929" w:type="pct"/>
            <w:tcBorders>
              <w:top w:val="nil"/>
              <w:left w:val="nil"/>
              <w:bottom w:val="nil"/>
              <w:right w:val="nil"/>
            </w:tcBorders>
          </w:tcPr>
          <w:p w14:paraId="040F8858" w14:textId="722D58BE" w:rsidR="00C547B4" w:rsidRPr="00D63217" w:rsidRDefault="00C11067" w:rsidP="00C547B4">
            <w:pPr>
              <w:pStyle w:val="TableText"/>
              <w:spacing w:before="0" w:after="0" w:line="240" w:lineRule="auto"/>
              <w:rPr>
                <w:b/>
              </w:rPr>
            </w:pPr>
            <w:r w:rsidRPr="00D63217">
              <w:t xml:space="preserve">Acceptable up to </w:t>
            </w:r>
            <w:r>
              <w:t xml:space="preserve">270 </w:t>
            </w:r>
            <w:r w:rsidRPr="00D63217">
              <w:t>g ac/ha</w:t>
            </w:r>
          </w:p>
        </w:tc>
        <w:tc>
          <w:tcPr>
            <w:tcW w:w="789" w:type="pct"/>
            <w:tcBorders>
              <w:top w:val="nil"/>
              <w:left w:val="nil"/>
              <w:bottom w:val="nil"/>
              <w:right w:val="nil"/>
            </w:tcBorders>
          </w:tcPr>
          <w:p w14:paraId="62EE400E" w14:textId="3C0B0F7F" w:rsidR="00C547B4" w:rsidRPr="00D63217" w:rsidRDefault="00C11067" w:rsidP="00C547B4">
            <w:pPr>
              <w:pStyle w:val="TableText"/>
              <w:spacing w:before="0" w:after="0" w:line="240" w:lineRule="auto"/>
            </w:pPr>
            <w:r>
              <w:t>39 g ac/ha</w:t>
            </w:r>
          </w:p>
        </w:tc>
      </w:tr>
      <w:tr w:rsidR="00C547B4" w:rsidRPr="00D63217" w14:paraId="62365D7F" w14:textId="77777777" w:rsidTr="003D5020">
        <w:trPr>
          <w:cantSplit/>
        </w:trPr>
        <w:tc>
          <w:tcPr>
            <w:tcW w:w="589" w:type="pct"/>
            <w:vMerge/>
            <w:tcBorders>
              <w:left w:val="nil"/>
              <w:right w:val="nil"/>
            </w:tcBorders>
          </w:tcPr>
          <w:p w14:paraId="44D22E71"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4E4C8F60" w14:textId="70399BAA" w:rsidR="00C547B4" w:rsidRPr="00846498" w:rsidRDefault="00C547B4" w:rsidP="00C547B4">
            <w:pPr>
              <w:pStyle w:val="TableText"/>
              <w:spacing w:before="0" w:after="0" w:line="240" w:lineRule="auto"/>
            </w:pPr>
            <w:r w:rsidRPr="002873DD">
              <w:t>Vineyards</w:t>
            </w:r>
          </w:p>
        </w:tc>
        <w:tc>
          <w:tcPr>
            <w:tcW w:w="750" w:type="pct"/>
            <w:tcBorders>
              <w:top w:val="nil"/>
              <w:left w:val="nil"/>
              <w:bottom w:val="nil"/>
              <w:right w:val="nil"/>
            </w:tcBorders>
          </w:tcPr>
          <w:p w14:paraId="6A25260C" w14:textId="134520EB" w:rsidR="00C547B4" w:rsidRDefault="00C547B4" w:rsidP="00C547B4">
            <w:pPr>
              <w:pStyle w:val="TableText"/>
              <w:spacing w:before="0" w:after="0" w:line="240" w:lineRule="auto"/>
            </w:pPr>
            <w:r>
              <w:t>1</w:t>
            </w:r>
            <w:r>
              <w:rPr>
                <w:rFonts w:cstheme="minorHAnsi"/>
              </w:rPr>
              <w:t>×</w:t>
            </w:r>
            <w:r>
              <w:t xml:space="preserve"> </w:t>
            </w:r>
            <w:r w:rsidR="00A8593B">
              <w:t>324</w:t>
            </w:r>
            <w:r>
              <w:t>-432</w:t>
            </w:r>
          </w:p>
        </w:tc>
        <w:tc>
          <w:tcPr>
            <w:tcW w:w="929" w:type="pct"/>
            <w:tcBorders>
              <w:top w:val="nil"/>
              <w:left w:val="nil"/>
              <w:bottom w:val="nil"/>
              <w:right w:val="nil"/>
            </w:tcBorders>
          </w:tcPr>
          <w:p w14:paraId="2E3181D6" w14:textId="1F9E0C7D"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3C4EC2AA" w14:textId="010982C5"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nil"/>
              <w:right w:val="nil"/>
            </w:tcBorders>
          </w:tcPr>
          <w:p w14:paraId="348EB805" w14:textId="5C27A9D6" w:rsidR="00C547B4" w:rsidRPr="00D63217" w:rsidRDefault="00C11067" w:rsidP="00C547B4">
            <w:pPr>
              <w:pStyle w:val="TableText"/>
              <w:spacing w:before="0" w:after="0" w:line="240" w:lineRule="auto"/>
            </w:pPr>
            <w:r>
              <w:t>54 g ac/ha</w:t>
            </w:r>
          </w:p>
        </w:tc>
      </w:tr>
      <w:tr w:rsidR="00C547B4" w:rsidRPr="00D63217" w14:paraId="7480B1A6" w14:textId="77777777" w:rsidTr="003D5020">
        <w:trPr>
          <w:cantSplit/>
        </w:trPr>
        <w:tc>
          <w:tcPr>
            <w:tcW w:w="589" w:type="pct"/>
            <w:vMerge/>
            <w:tcBorders>
              <w:left w:val="nil"/>
              <w:bottom w:val="single" w:sz="4" w:space="0" w:color="auto"/>
              <w:right w:val="nil"/>
            </w:tcBorders>
          </w:tcPr>
          <w:p w14:paraId="34EB6683" w14:textId="77777777" w:rsidR="00C547B4" w:rsidRPr="00D63217" w:rsidRDefault="00C547B4" w:rsidP="00C547B4">
            <w:pPr>
              <w:pStyle w:val="TableText"/>
              <w:spacing w:before="0" w:after="0" w:line="240" w:lineRule="auto"/>
            </w:pPr>
          </w:p>
        </w:tc>
        <w:tc>
          <w:tcPr>
            <w:tcW w:w="1014" w:type="pct"/>
            <w:tcBorders>
              <w:top w:val="nil"/>
              <w:left w:val="nil"/>
              <w:bottom w:val="single" w:sz="4" w:space="0" w:color="auto"/>
              <w:right w:val="nil"/>
            </w:tcBorders>
          </w:tcPr>
          <w:p w14:paraId="45C88C93" w14:textId="6D15B267" w:rsidR="00C547B4" w:rsidRPr="00846498" w:rsidRDefault="00C547B4" w:rsidP="00C547B4">
            <w:pPr>
              <w:pStyle w:val="TableText"/>
              <w:spacing w:before="0" w:after="0" w:line="240" w:lineRule="auto"/>
            </w:pPr>
            <w:r w:rsidRPr="002873DD">
              <w:t>Spot application in vineyards</w:t>
            </w:r>
          </w:p>
        </w:tc>
        <w:tc>
          <w:tcPr>
            <w:tcW w:w="750" w:type="pct"/>
            <w:tcBorders>
              <w:top w:val="nil"/>
              <w:left w:val="nil"/>
              <w:bottom w:val="single" w:sz="4" w:space="0" w:color="auto"/>
              <w:right w:val="nil"/>
            </w:tcBorders>
          </w:tcPr>
          <w:p w14:paraId="6041D0B8" w14:textId="64949AA1" w:rsidR="00C547B4" w:rsidRDefault="00C547B4" w:rsidP="00C547B4">
            <w:pPr>
              <w:pStyle w:val="TableText"/>
              <w:spacing w:before="0" w:after="0" w:line="240" w:lineRule="auto"/>
            </w:pPr>
            <w:r>
              <w:t>1</w:t>
            </w:r>
            <w:r>
              <w:rPr>
                <w:rFonts w:cstheme="minorHAnsi"/>
              </w:rPr>
              <w:t>×</w:t>
            </w:r>
            <w:r>
              <w:t xml:space="preserve"> </w:t>
            </w:r>
            <w:r w:rsidR="00A8593B">
              <w:t>324</w:t>
            </w:r>
            <w:r>
              <w:t>-432</w:t>
            </w:r>
          </w:p>
          <w:p w14:paraId="39C5CD34" w14:textId="3119D851" w:rsidR="00C547B4" w:rsidRDefault="00C547B4" w:rsidP="00C547B4">
            <w:pPr>
              <w:pStyle w:val="TableText"/>
              <w:spacing w:before="0" w:after="0" w:line="240" w:lineRule="auto"/>
            </w:pPr>
            <w:r>
              <w:t>(</w:t>
            </w:r>
            <w:r w:rsidR="00A8593B">
              <w:t>130</w:t>
            </w:r>
            <w:r>
              <w:t>-173, FFT 0.4)</w:t>
            </w:r>
          </w:p>
        </w:tc>
        <w:tc>
          <w:tcPr>
            <w:tcW w:w="929" w:type="pct"/>
            <w:tcBorders>
              <w:top w:val="nil"/>
              <w:left w:val="nil"/>
              <w:bottom w:val="single" w:sz="4" w:space="0" w:color="auto"/>
              <w:right w:val="nil"/>
            </w:tcBorders>
          </w:tcPr>
          <w:p w14:paraId="745E09A5" w14:textId="593D0F57"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single" w:sz="4" w:space="0" w:color="auto"/>
              <w:right w:val="nil"/>
            </w:tcBorders>
          </w:tcPr>
          <w:p w14:paraId="56A50344" w14:textId="1FE2B2A9"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single" w:sz="4" w:space="0" w:color="auto"/>
              <w:right w:val="nil"/>
            </w:tcBorders>
          </w:tcPr>
          <w:p w14:paraId="137B1927" w14:textId="07103C56" w:rsidR="00C547B4" w:rsidRPr="00D63217" w:rsidRDefault="00C11067" w:rsidP="00C547B4">
            <w:pPr>
              <w:pStyle w:val="TableText"/>
              <w:spacing w:before="0" w:after="0" w:line="240" w:lineRule="auto"/>
            </w:pPr>
            <w:r>
              <w:t>54 g ac/ha</w:t>
            </w:r>
          </w:p>
        </w:tc>
      </w:tr>
      <w:tr w:rsidR="00C547B4" w:rsidRPr="00D63217" w14:paraId="63151005" w14:textId="77777777" w:rsidTr="003D5020">
        <w:trPr>
          <w:cantSplit/>
        </w:trPr>
        <w:tc>
          <w:tcPr>
            <w:tcW w:w="589" w:type="pct"/>
            <w:vMerge w:val="restart"/>
            <w:tcBorders>
              <w:top w:val="single" w:sz="4" w:space="0" w:color="auto"/>
              <w:left w:val="nil"/>
              <w:right w:val="nil"/>
            </w:tcBorders>
          </w:tcPr>
          <w:p w14:paraId="316D1298" w14:textId="41581126" w:rsidR="00C547B4" w:rsidRPr="00D63217" w:rsidRDefault="00C547B4" w:rsidP="00C547B4">
            <w:pPr>
              <w:pStyle w:val="TableText"/>
              <w:spacing w:before="0" w:after="0" w:line="240" w:lineRule="auto"/>
            </w:pPr>
            <w:r w:rsidRPr="00C547B4">
              <w:t>Combination products containing amitrole</w:t>
            </w:r>
          </w:p>
        </w:tc>
        <w:tc>
          <w:tcPr>
            <w:tcW w:w="1014" w:type="pct"/>
            <w:tcBorders>
              <w:top w:val="single" w:sz="4" w:space="0" w:color="auto"/>
              <w:left w:val="nil"/>
              <w:bottom w:val="nil"/>
              <w:right w:val="nil"/>
            </w:tcBorders>
          </w:tcPr>
          <w:p w14:paraId="406F2C8E" w14:textId="0577D89A" w:rsidR="00C547B4" w:rsidRPr="002873DD" w:rsidRDefault="00C547B4" w:rsidP="00C547B4">
            <w:pPr>
              <w:pStyle w:val="TableText"/>
              <w:spacing w:before="0" w:after="0" w:line="240" w:lineRule="auto"/>
            </w:pPr>
            <w:r w:rsidRPr="0055093E">
              <w:t>Fallow (optical spot spraying)</w:t>
            </w:r>
          </w:p>
        </w:tc>
        <w:tc>
          <w:tcPr>
            <w:tcW w:w="750" w:type="pct"/>
            <w:tcBorders>
              <w:top w:val="single" w:sz="4" w:space="0" w:color="auto"/>
              <w:left w:val="nil"/>
              <w:bottom w:val="nil"/>
              <w:right w:val="nil"/>
            </w:tcBorders>
          </w:tcPr>
          <w:p w14:paraId="6E3DA8F8" w14:textId="143F84B1" w:rsidR="00C547B4" w:rsidRDefault="00C547B4" w:rsidP="00C547B4">
            <w:pPr>
              <w:pStyle w:val="TableText"/>
              <w:spacing w:before="0" w:after="0" w:line="240" w:lineRule="auto"/>
            </w:pPr>
            <w:r>
              <w:t>1</w:t>
            </w:r>
            <w:r>
              <w:rPr>
                <w:rFonts w:cstheme="minorHAnsi"/>
              </w:rPr>
              <w:t>×</w:t>
            </w:r>
            <w:r>
              <w:t xml:space="preserve"> </w:t>
            </w:r>
            <w:r w:rsidR="00897D6B">
              <w:t>500</w:t>
            </w:r>
            <w:r>
              <w:t>-1680</w:t>
            </w:r>
          </w:p>
          <w:p w14:paraId="040D2D8A" w14:textId="06819B99" w:rsidR="00C547B4" w:rsidRDefault="00C547B4" w:rsidP="00C547B4">
            <w:pPr>
              <w:pStyle w:val="TableText"/>
              <w:spacing w:before="0" w:after="0" w:line="240" w:lineRule="auto"/>
            </w:pPr>
            <w:r>
              <w:t>(</w:t>
            </w:r>
            <w:r w:rsidR="00897D6B">
              <w:t>150</w:t>
            </w:r>
            <w:r>
              <w:t>-504, FFT 0.3)</w:t>
            </w:r>
          </w:p>
        </w:tc>
        <w:tc>
          <w:tcPr>
            <w:tcW w:w="929" w:type="pct"/>
            <w:tcBorders>
              <w:top w:val="single" w:sz="4" w:space="0" w:color="auto"/>
              <w:left w:val="nil"/>
              <w:bottom w:val="nil"/>
              <w:right w:val="nil"/>
            </w:tcBorders>
          </w:tcPr>
          <w:p w14:paraId="0898B478" w14:textId="770E0B73"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single" w:sz="4" w:space="0" w:color="auto"/>
              <w:left w:val="nil"/>
              <w:bottom w:val="nil"/>
              <w:right w:val="nil"/>
            </w:tcBorders>
          </w:tcPr>
          <w:p w14:paraId="65500EF2" w14:textId="5CFC444D" w:rsidR="00C547B4" w:rsidRPr="00D63217" w:rsidRDefault="00C11067" w:rsidP="00C547B4">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single" w:sz="4" w:space="0" w:color="auto"/>
              <w:left w:val="nil"/>
              <w:bottom w:val="nil"/>
              <w:right w:val="nil"/>
            </w:tcBorders>
          </w:tcPr>
          <w:p w14:paraId="4B5A5253" w14:textId="227B692F" w:rsidR="00C547B4" w:rsidRPr="00D63217" w:rsidRDefault="0061790A" w:rsidP="00C547B4">
            <w:pPr>
              <w:pStyle w:val="TableText"/>
              <w:spacing w:before="0" w:after="0" w:line="240" w:lineRule="auto"/>
            </w:pPr>
            <w:r w:rsidRPr="00D63217">
              <w:t xml:space="preserve">Acceptable up to </w:t>
            </w:r>
            <w:r>
              <w:t>231</w:t>
            </w:r>
            <w:r w:rsidRPr="00D63217">
              <w:t xml:space="preserve"> g ac/ha</w:t>
            </w:r>
          </w:p>
        </w:tc>
      </w:tr>
      <w:tr w:rsidR="00C547B4" w:rsidRPr="00D63217" w14:paraId="36065AB9" w14:textId="77777777" w:rsidTr="003D5020">
        <w:trPr>
          <w:cantSplit/>
        </w:trPr>
        <w:tc>
          <w:tcPr>
            <w:tcW w:w="589" w:type="pct"/>
            <w:vMerge/>
            <w:tcBorders>
              <w:left w:val="nil"/>
              <w:right w:val="nil"/>
            </w:tcBorders>
          </w:tcPr>
          <w:p w14:paraId="291B22F3"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11189162" w14:textId="61BD2EA3" w:rsidR="00C547B4" w:rsidRPr="002873DD" w:rsidRDefault="00C547B4" w:rsidP="00C547B4">
            <w:pPr>
              <w:pStyle w:val="TableText"/>
              <w:spacing w:before="0" w:after="0" w:line="240" w:lineRule="auto"/>
            </w:pPr>
            <w:r w:rsidRPr="0055093E">
              <w:t>Fallow</w:t>
            </w:r>
          </w:p>
        </w:tc>
        <w:tc>
          <w:tcPr>
            <w:tcW w:w="750" w:type="pct"/>
            <w:tcBorders>
              <w:top w:val="nil"/>
              <w:left w:val="nil"/>
              <w:bottom w:val="nil"/>
              <w:right w:val="nil"/>
            </w:tcBorders>
          </w:tcPr>
          <w:p w14:paraId="768E0C8D" w14:textId="71E0C077" w:rsidR="00C547B4" w:rsidRDefault="00C547B4" w:rsidP="00C547B4">
            <w:pPr>
              <w:pStyle w:val="TableText"/>
              <w:spacing w:before="0" w:after="0" w:line="240" w:lineRule="auto"/>
            </w:pPr>
            <w:r>
              <w:t>1</w:t>
            </w:r>
            <w:r>
              <w:rPr>
                <w:rFonts w:cstheme="minorHAnsi"/>
              </w:rPr>
              <w:t>×</w:t>
            </w:r>
            <w:r>
              <w:t xml:space="preserve"> </w:t>
            </w:r>
            <w:r w:rsidR="00897D6B">
              <w:t>112</w:t>
            </w:r>
            <w:r>
              <w:t>-600</w:t>
            </w:r>
          </w:p>
        </w:tc>
        <w:tc>
          <w:tcPr>
            <w:tcW w:w="929" w:type="pct"/>
            <w:tcBorders>
              <w:top w:val="nil"/>
              <w:left w:val="nil"/>
              <w:bottom w:val="nil"/>
              <w:right w:val="nil"/>
            </w:tcBorders>
          </w:tcPr>
          <w:p w14:paraId="42848704" w14:textId="32E2A6AA" w:rsidR="00C547B4" w:rsidRPr="00D63217" w:rsidRDefault="00E476C8" w:rsidP="00C547B4">
            <w:pPr>
              <w:pStyle w:val="TableText"/>
              <w:spacing w:before="0" w:after="0" w:line="240" w:lineRule="auto"/>
              <w:rPr>
                <w:b/>
              </w:rPr>
            </w:pPr>
            <w:r w:rsidRPr="00D63217">
              <w:t xml:space="preserve">Acceptable up to </w:t>
            </w:r>
            <w:r>
              <w:t>675</w:t>
            </w:r>
            <w:r w:rsidRPr="00D63217">
              <w:t xml:space="preserve"> g ac/ha</w:t>
            </w:r>
            <w:r>
              <w:t xml:space="preserve"> (WOE)</w:t>
            </w:r>
          </w:p>
        </w:tc>
        <w:tc>
          <w:tcPr>
            <w:tcW w:w="929" w:type="pct"/>
            <w:tcBorders>
              <w:top w:val="nil"/>
              <w:left w:val="nil"/>
              <w:bottom w:val="nil"/>
              <w:right w:val="nil"/>
            </w:tcBorders>
          </w:tcPr>
          <w:p w14:paraId="713C7FCA" w14:textId="65E0F040" w:rsidR="00C547B4" w:rsidRPr="00D63217" w:rsidRDefault="00C11067" w:rsidP="00C547B4">
            <w:pPr>
              <w:pStyle w:val="TableText"/>
              <w:spacing w:before="0" w:after="0" w:line="240" w:lineRule="auto"/>
              <w:rPr>
                <w:b/>
              </w:rPr>
            </w:pPr>
            <w:r w:rsidRPr="00D63217">
              <w:t xml:space="preserve">Acceptable up to </w:t>
            </w:r>
            <w:r>
              <w:t>231</w:t>
            </w:r>
            <w:r w:rsidRPr="00D63217">
              <w:t xml:space="preserve"> g ac/ha</w:t>
            </w:r>
          </w:p>
        </w:tc>
        <w:tc>
          <w:tcPr>
            <w:tcW w:w="789" w:type="pct"/>
            <w:tcBorders>
              <w:top w:val="nil"/>
              <w:left w:val="nil"/>
              <w:bottom w:val="nil"/>
              <w:right w:val="nil"/>
            </w:tcBorders>
          </w:tcPr>
          <w:p w14:paraId="38FF5255" w14:textId="51CD6C66" w:rsidR="00C547B4" w:rsidRPr="00D63217" w:rsidRDefault="0061790A" w:rsidP="00C547B4">
            <w:pPr>
              <w:pStyle w:val="TableText"/>
              <w:spacing w:before="0" w:after="0" w:line="240" w:lineRule="auto"/>
            </w:pPr>
            <w:r w:rsidRPr="00D63217">
              <w:t xml:space="preserve">Acceptable up to </w:t>
            </w:r>
            <w:r>
              <w:t>231</w:t>
            </w:r>
            <w:r w:rsidRPr="00D63217">
              <w:t xml:space="preserve"> g ac/ha</w:t>
            </w:r>
          </w:p>
        </w:tc>
      </w:tr>
      <w:tr w:rsidR="00C547B4" w:rsidRPr="00D63217" w14:paraId="31F74C93" w14:textId="77777777" w:rsidTr="003D5020">
        <w:trPr>
          <w:cantSplit/>
        </w:trPr>
        <w:tc>
          <w:tcPr>
            <w:tcW w:w="589" w:type="pct"/>
            <w:vMerge/>
            <w:tcBorders>
              <w:left w:val="nil"/>
              <w:right w:val="nil"/>
            </w:tcBorders>
          </w:tcPr>
          <w:p w14:paraId="46484EF6"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F0A1020" w14:textId="31B300E0" w:rsidR="00C547B4" w:rsidRPr="002873DD" w:rsidRDefault="00C547B4" w:rsidP="00C547B4">
            <w:pPr>
              <w:pStyle w:val="TableText"/>
              <w:spacing w:before="0" w:after="0" w:line="240" w:lineRule="auto"/>
            </w:pPr>
            <w:r w:rsidRPr="0055093E">
              <w:t>Industrial vegetation management</w:t>
            </w:r>
          </w:p>
        </w:tc>
        <w:tc>
          <w:tcPr>
            <w:tcW w:w="750" w:type="pct"/>
            <w:tcBorders>
              <w:top w:val="nil"/>
              <w:left w:val="nil"/>
              <w:bottom w:val="nil"/>
              <w:right w:val="nil"/>
            </w:tcBorders>
          </w:tcPr>
          <w:p w14:paraId="201996E2" w14:textId="5DF8595A" w:rsidR="00C547B4" w:rsidRDefault="00C547B4" w:rsidP="00C547B4">
            <w:pPr>
              <w:pStyle w:val="TableText"/>
              <w:spacing w:before="0" w:after="0" w:line="240" w:lineRule="auto"/>
            </w:pPr>
            <w:r>
              <w:t>1</w:t>
            </w:r>
            <w:r>
              <w:rPr>
                <w:rFonts w:cstheme="minorHAnsi"/>
              </w:rPr>
              <w:t>×</w:t>
            </w:r>
            <w:r>
              <w:t xml:space="preserve"> </w:t>
            </w:r>
            <w:r w:rsidR="00897D6B">
              <w:t>300</w:t>
            </w:r>
            <w:r>
              <w:t>-850</w:t>
            </w:r>
          </w:p>
        </w:tc>
        <w:tc>
          <w:tcPr>
            <w:tcW w:w="929" w:type="pct"/>
            <w:tcBorders>
              <w:top w:val="nil"/>
              <w:left w:val="nil"/>
              <w:bottom w:val="nil"/>
              <w:right w:val="nil"/>
            </w:tcBorders>
          </w:tcPr>
          <w:p w14:paraId="10BE2E3A" w14:textId="5D3AA635" w:rsidR="00C547B4" w:rsidRPr="00D63217" w:rsidRDefault="00E476C8"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929" w:type="pct"/>
            <w:tcBorders>
              <w:top w:val="nil"/>
              <w:left w:val="nil"/>
              <w:bottom w:val="nil"/>
              <w:right w:val="nil"/>
            </w:tcBorders>
          </w:tcPr>
          <w:p w14:paraId="6B001D8A" w14:textId="5A846992" w:rsidR="00C547B4" w:rsidRPr="00D63217" w:rsidRDefault="00C11067"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789" w:type="pct"/>
            <w:tcBorders>
              <w:top w:val="nil"/>
              <w:left w:val="nil"/>
              <w:bottom w:val="nil"/>
              <w:right w:val="nil"/>
            </w:tcBorders>
          </w:tcPr>
          <w:p w14:paraId="7E7A395B" w14:textId="6D735857" w:rsidR="00C547B4" w:rsidRPr="00D63217" w:rsidRDefault="0061790A" w:rsidP="00C547B4">
            <w:pPr>
              <w:pStyle w:val="TableText"/>
              <w:spacing w:before="0" w:after="0" w:line="240" w:lineRule="auto"/>
            </w:pPr>
            <w:r>
              <w:t>1140 g ac/ha (WOE)</w:t>
            </w:r>
          </w:p>
        </w:tc>
      </w:tr>
      <w:tr w:rsidR="00C547B4" w:rsidRPr="00D63217" w14:paraId="4AF78050" w14:textId="77777777" w:rsidTr="003D5020">
        <w:trPr>
          <w:cantSplit/>
        </w:trPr>
        <w:tc>
          <w:tcPr>
            <w:tcW w:w="589" w:type="pct"/>
            <w:vMerge/>
            <w:tcBorders>
              <w:left w:val="nil"/>
              <w:right w:val="nil"/>
            </w:tcBorders>
          </w:tcPr>
          <w:p w14:paraId="05FA8903"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7766EEB6" w14:textId="3B356D2A" w:rsidR="00C547B4" w:rsidRPr="002873DD" w:rsidRDefault="00C547B4" w:rsidP="00C547B4">
            <w:pPr>
              <w:pStyle w:val="TableText"/>
              <w:spacing w:before="0" w:after="0" w:line="240" w:lineRule="auto"/>
            </w:pPr>
            <w:r w:rsidRPr="0055093E">
              <w:t>Spot spray in industrial vegetation management</w:t>
            </w:r>
          </w:p>
        </w:tc>
        <w:tc>
          <w:tcPr>
            <w:tcW w:w="750" w:type="pct"/>
            <w:tcBorders>
              <w:top w:val="nil"/>
              <w:left w:val="nil"/>
              <w:bottom w:val="nil"/>
              <w:right w:val="nil"/>
            </w:tcBorders>
          </w:tcPr>
          <w:p w14:paraId="35B3E59C" w14:textId="1C1BFFF7" w:rsidR="00C547B4" w:rsidRDefault="00C547B4" w:rsidP="00C547B4">
            <w:pPr>
              <w:pStyle w:val="TableText"/>
              <w:spacing w:before="0" w:after="0" w:line="240" w:lineRule="auto"/>
            </w:pPr>
            <w:r>
              <w:t>1</w:t>
            </w:r>
            <w:r>
              <w:rPr>
                <w:rFonts w:cstheme="minorHAnsi"/>
              </w:rPr>
              <w:t>×</w:t>
            </w:r>
            <w:r>
              <w:t xml:space="preserve"> </w:t>
            </w:r>
            <w:r w:rsidR="00897D6B">
              <w:t>300</w:t>
            </w:r>
            <w:r>
              <w:t>-500</w:t>
            </w:r>
          </w:p>
          <w:p w14:paraId="42E0A5EB" w14:textId="2334364F" w:rsidR="00C547B4" w:rsidRDefault="00C547B4" w:rsidP="00C547B4">
            <w:pPr>
              <w:pStyle w:val="TableText"/>
              <w:spacing w:before="0" w:after="0" w:line="240" w:lineRule="auto"/>
            </w:pPr>
            <w:r>
              <w:t>(</w:t>
            </w:r>
            <w:r w:rsidR="00897D6B">
              <w:t>120</w:t>
            </w:r>
            <w:r>
              <w:t>-200, FFT 0.4)</w:t>
            </w:r>
          </w:p>
        </w:tc>
        <w:tc>
          <w:tcPr>
            <w:tcW w:w="929" w:type="pct"/>
            <w:tcBorders>
              <w:top w:val="nil"/>
              <w:left w:val="nil"/>
              <w:bottom w:val="nil"/>
              <w:right w:val="nil"/>
            </w:tcBorders>
          </w:tcPr>
          <w:p w14:paraId="3F49EE21" w14:textId="0854A143" w:rsidR="00C547B4" w:rsidRPr="00D63217" w:rsidRDefault="00E476C8"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929" w:type="pct"/>
            <w:tcBorders>
              <w:top w:val="nil"/>
              <w:left w:val="nil"/>
              <w:bottom w:val="nil"/>
              <w:right w:val="nil"/>
            </w:tcBorders>
          </w:tcPr>
          <w:p w14:paraId="124145F4" w14:textId="58F8BB4E" w:rsidR="00C547B4" w:rsidRPr="00D63217" w:rsidRDefault="00C11067" w:rsidP="00C547B4">
            <w:pPr>
              <w:pStyle w:val="TableText"/>
              <w:spacing w:before="0" w:after="0" w:line="240" w:lineRule="auto"/>
              <w:rPr>
                <w:b/>
              </w:rPr>
            </w:pPr>
            <w:r w:rsidRPr="00D63217">
              <w:t xml:space="preserve">Acceptable up to </w:t>
            </w:r>
            <w:r>
              <w:t>1140</w:t>
            </w:r>
            <w:r w:rsidRPr="00D63217">
              <w:t xml:space="preserve"> g ac/ha</w:t>
            </w:r>
            <w:r>
              <w:t xml:space="preserve"> (WOE)</w:t>
            </w:r>
          </w:p>
        </w:tc>
        <w:tc>
          <w:tcPr>
            <w:tcW w:w="789" w:type="pct"/>
            <w:tcBorders>
              <w:top w:val="nil"/>
              <w:left w:val="nil"/>
              <w:bottom w:val="nil"/>
              <w:right w:val="nil"/>
            </w:tcBorders>
          </w:tcPr>
          <w:p w14:paraId="6D254C92" w14:textId="5666D48A" w:rsidR="00C547B4" w:rsidRPr="00D63217" w:rsidRDefault="0061790A" w:rsidP="00C547B4">
            <w:pPr>
              <w:pStyle w:val="TableText"/>
              <w:spacing w:before="0" w:after="0" w:line="240" w:lineRule="auto"/>
            </w:pPr>
            <w:r>
              <w:t>1140 g ac/ha (WOE)</w:t>
            </w:r>
          </w:p>
        </w:tc>
      </w:tr>
      <w:tr w:rsidR="00C547B4" w:rsidRPr="00D63217" w14:paraId="0F9B3D6B" w14:textId="77777777" w:rsidTr="003D5020">
        <w:trPr>
          <w:cantSplit/>
        </w:trPr>
        <w:tc>
          <w:tcPr>
            <w:tcW w:w="589" w:type="pct"/>
            <w:vMerge/>
            <w:tcBorders>
              <w:left w:val="nil"/>
              <w:right w:val="nil"/>
            </w:tcBorders>
          </w:tcPr>
          <w:p w14:paraId="3F1AC279"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00A36325" w14:textId="0BA9AB4B" w:rsidR="00C547B4" w:rsidRPr="002873DD" w:rsidRDefault="00C547B4" w:rsidP="00C547B4">
            <w:pPr>
              <w:pStyle w:val="TableText"/>
              <w:spacing w:before="0" w:after="0" w:line="240" w:lineRule="auto"/>
            </w:pPr>
            <w:r w:rsidRPr="0055093E">
              <w:t>Pasture</w:t>
            </w:r>
          </w:p>
        </w:tc>
        <w:tc>
          <w:tcPr>
            <w:tcW w:w="750" w:type="pct"/>
            <w:tcBorders>
              <w:top w:val="nil"/>
              <w:left w:val="nil"/>
              <w:bottom w:val="nil"/>
              <w:right w:val="nil"/>
            </w:tcBorders>
          </w:tcPr>
          <w:p w14:paraId="171F24FC" w14:textId="5479CAAA" w:rsidR="00C547B4" w:rsidRDefault="00C547B4" w:rsidP="00C547B4">
            <w:pPr>
              <w:pStyle w:val="TableText"/>
              <w:spacing w:before="0" w:after="0" w:line="240" w:lineRule="auto"/>
            </w:pPr>
            <w:r>
              <w:t>1</w:t>
            </w:r>
            <w:r>
              <w:rPr>
                <w:rFonts w:cstheme="minorHAnsi"/>
              </w:rPr>
              <w:t>×</w:t>
            </w:r>
            <w:r>
              <w:t xml:space="preserve"> </w:t>
            </w:r>
            <w:r w:rsidR="00897D6B">
              <w:t>75</w:t>
            </w:r>
            <w:r>
              <w:t>-</w:t>
            </w:r>
            <w:r w:rsidR="00897D6B">
              <w:t>150</w:t>
            </w:r>
          </w:p>
        </w:tc>
        <w:tc>
          <w:tcPr>
            <w:tcW w:w="929" w:type="pct"/>
            <w:tcBorders>
              <w:top w:val="nil"/>
              <w:left w:val="nil"/>
              <w:bottom w:val="nil"/>
              <w:right w:val="nil"/>
            </w:tcBorders>
          </w:tcPr>
          <w:p w14:paraId="20DAA746" w14:textId="7F9A607A"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7F4FF198" w14:textId="3530305F" w:rsidR="00C547B4" w:rsidRPr="00D63217" w:rsidRDefault="00C11067" w:rsidP="00C547B4">
            <w:pPr>
              <w:pStyle w:val="TableText"/>
              <w:spacing w:before="0" w:after="0" w:line="240" w:lineRule="auto"/>
              <w:rPr>
                <w:b/>
              </w:rPr>
            </w:pPr>
            <w:r w:rsidRPr="00D63217">
              <w:t xml:space="preserve">Acceptable up to </w:t>
            </w:r>
            <w:r>
              <w:t xml:space="preserve">187 </w:t>
            </w:r>
            <w:r w:rsidRPr="00D63217">
              <w:t>g ac/ha</w:t>
            </w:r>
          </w:p>
        </w:tc>
        <w:tc>
          <w:tcPr>
            <w:tcW w:w="789" w:type="pct"/>
            <w:tcBorders>
              <w:top w:val="nil"/>
              <w:left w:val="nil"/>
              <w:bottom w:val="nil"/>
              <w:right w:val="nil"/>
            </w:tcBorders>
          </w:tcPr>
          <w:p w14:paraId="38F44F84" w14:textId="6AC7AA1C" w:rsidR="00C547B4" w:rsidRPr="00D63217" w:rsidRDefault="0061790A" w:rsidP="00C547B4">
            <w:pPr>
              <w:pStyle w:val="TableText"/>
              <w:spacing w:before="0" w:after="0" w:line="240" w:lineRule="auto"/>
            </w:pPr>
            <w:r>
              <w:t>54 g ac/ha</w:t>
            </w:r>
          </w:p>
        </w:tc>
      </w:tr>
      <w:tr w:rsidR="00C547B4" w:rsidRPr="00D63217" w14:paraId="1656F40F" w14:textId="77777777" w:rsidTr="003D5020">
        <w:trPr>
          <w:cantSplit/>
        </w:trPr>
        <w:tc>
          <w:tcPr>
            <w:tcW w:w="589" w:type="pct"/>
            <w:vMerge/>
            <w:tcBorders>
              <w:left w:val="nil"/>
              <w:right w:val="nil"/>
            </w:tcBorders>
          </w:tcPr>
          <w:p w14:paraId="17595017"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58623C59" w14:textId="0EE6F366" w:rsidR="00C547B4" w:rsidRPr="0055093E" w:rsidRDefault="00C547B4" w:rsidP="00C547B4">
            <w:pPr>
              <w:pStyle w:val="TableText"/>
              <w:spacing w:before="0" w:after="0" w:line="240" w:lineRule="auto"/>
            </w:pPr>
            <w:r w:rsidRPr="00125E6B">
              <w:t>Orchards</w:t>
            </w:r>
          </w:p>
        </w:tc>
        <w:tc>
          <w:tcPr>
            <w:tcW w:w="750" w:type="pct"/>
            <w:tcBorders>
              <w:top w:val="nil"/>
              <w:left w:val="nil"/>
              <w:bottom w:val="nil"/>
              <w:right w:val="nil"/>
            </w:tcBorders>
          </w:tcPr>
          <w:p w14:paraId="4BB212CD" w14:textId="0A93845B" w:rsidR="00C547B4" w:rsidRDefault="00C547B4" w:rsidP="00C547B4">
            <w:pPr>
              <w:pStyle w:val="TableText"/>
              <w:spacing w:before="0" w:after="0" w:line="240" w:lineRule="auto"/>
            </w:pPr>
            <w:r>
              <w:t>1</w:t>
            </w:r>
            <w:r>
              <w:rPr>
                <w:rFonts w:cstheme="minorHAnsi"/>
              </w:rPr>
              <w:t>×</w:t>
            </w:r>
            <w:r>
              <w:t xml:space="preserve"> </w:t>
            </w:r>
            <w:r w:rsidR="00897D6B">
              <w:t>300</w:t>
            </w:r>
            <w:r>
              <w:t>-600</w:t>
            </w:r>
          </w:p>
        </w:tc>
        <w:tc>
          <w:tcPr>
            <w:tcW w:w="929" w:type="pct"/>
            <w:tcBorders>
              <w:top w:val="nil"/>
              <w:left w:val="nil"/>
              <w:bottom w:val="nil"/>
              <w:right w:val="nil"/>
            </w:tcBorders>
          </w:tcPr>
          <w:p w14:paraId="09880E9A" w14:textId="33B19C31"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43A4F267" w14:textId="2D5B2EAA"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nil"/>
              <w:right w:val="nil"/>
            </w:tcBorders>
          </w:tcPr>
          <w:p w14:paraId="29F425B2" w14:textId="07EE3A62" w:rsidR="00C547B4" w:rsidRPr="00D63217" w:rsidRDefault="0061790A" w:rsidP="00C547B4">
            <w:pPr>
              <w:pStyle w:val="TableText"/>
              <w:spacing w:before="0" w:after="0" w:line="240" w:lineRule="auto"/>
            </w:pPr>
            <w:r>
              <w:t>54 g ac/ha</w:t>
            </w:r>
          </w:p>
        </w:tc>
      </w:tr>
      <w:tr w:rsidR="00C547B4" w:rsidRPr="00D63217" w14:paraId="178AB66A" w14:textId="77777777" w:rsidTr="003D5020">
        <w:trPr>
          <w:cantSplit/>
        </w:trPr>
        <w:tc>
          <w:tcPr>
            <w:tcW w:w="589" w:type="pct"/>
            <w:vMerge/>
            <w:tcBorders>
              <w:left w:val="nil"/>
              <w:right w:val="nil"/>
            </w:tcBorders>
          </w:tcPr>
          <w:p w14:paraId="4388D7F4"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73D186FA" w14:textId="4D1453B7" w:rsidR="00C547B4" w:rsidRPr="0055093E" w:rsidRDefault="00C547B4" w:rsidP="00C547B4">
            <w:pPr>
              <w:pStyle w:val="TableText"/>
              <w:spacing w:before="0" w:after="0" w:line="240" w:lineRule="auto"/>
            </w:pPr>
            <w:r w:rsidRPr="00125E6B">
              <w:t>Spot spray in orchards</w:t>
            </w:r>
          </w:p>
        </w:tc>
        <w:tc>
          <w:tcPr>
            <w:tcW w:w="750" w:type="pct"/>
            <w:tcBorders>
              <w:top w:val="nil"/>
              <w:left w:val="nil"/>
              <w:bottom w:val="nil"/>
              <w:right w:val="nil"/>
            </w:tcBorders>
          </w:tcPr>
          <w:p w14:paraId="5BE5638F" w14:textId="6A67E45B" w:rsidR="00C547B4" w:rsidRDefault="00C547B4" w:rsidP="00C547B4">
            <w:pPr>
              <w:pStyle w:val="TableText"/>
              <w:spacing w:before="0" w:after="0" w:line="240" w:lineRule="auto"/>
            </w:pPr>
            <w:r>
              <w:t>1</w:t>
            </w:r>
            <w:r>
              <w:rPr>
                <w:rFonts w:cstheme="minorHAnsi"/>
              </w:rPr>
              <w:t>×</w:t>
            </w:r>
            <w:r>
              <w:t xml:space="preserve"> 500</w:t>
            </w:r>
          </w:p>
          <w:p w14:paraId="48340EC5" w14:textId="04BAB939" w:rsidR="00C547B4" w:rsidRDefault="00C547B4" w:rsidP="00C547B4">
            <w:pPr>
              <w:pStyle w:val="TableText"/>
              <w:spacing w:before="0" w:after="0" w:line="240" w:lineRule="auto"/>
            </w:pPr>
            <w:r>
              <w:t>(200, FFT 0.4)</w:t>
            </w:r>
          </w:p>
        </w:tc>
        <w:tc>
          <w:tcPr>
            <w:tcW w:w="929" w:type="pct"/>
            <w:tcBorders>
              <w:top w:val="nil"/>
              <w:left w:val="nil"/>
              <w:bottom w:val="nil"/>
              <w:right w:val="nil"/>
            </w:tcBorders>
          </w:tcPr>
          <w:p w14:paraId="10276F6A" w14:textId="0B39A244"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53E9F2CC" w14:textId="01BC1196"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nil"/>
              <w:right w:val="nil"/>
            </w:tcBorders>
          </w:tcPr>
          <w:p w14:paraId="51146C47" w14:textId="3C39CF37" w:rsidR="00C547B4" w:rsidRPr="00D63217" w:rsidRDefault="0061790A" w:rsidP="00C547B4">
            <w:pPr>
              <w:pStyle w:val="TableText"/>
              <w:spacing w:before="0" w:after="0" w:line="240" w:lineRule="auto"/>
            </w:pPr>
            <w:r>
              <w:t>54 g ac/ha</w:t>
            </w:r>
          </w:p>
        </w:tc>
      </w:tr>
      <w:tr w:rsidR="00C547B4" w:rsidRPr="00D63217" w14:paraId="5A8DD089" w14:textId="77777777" w:rsidTr="003D5020">
        <w:trPr>
          <w:cantSplit/>
        </w:trPr>
        <w:tc>
          <w:tcPr>
            <w:tcW w:w="589" w:type="pct"/>
            <w:vMerge/>
            <w:tcBorders>
              <w:left w:val="nil"/>
              <w:right w:val="nil"/>
            </w:tcBorders>
          </w:tcPr>
          <w:p w14:paraId="1C606751"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39685E3A" w14:textId="1FDC6E25" w:rsidR="00C547B4" w:rsidRPr="0055093E" w:rsidRDefault="00C547B4" w:rsidP="00C547B4">
            <w:pPr>
              <w:pStyle w:val="TableText"/>
              <w:spacing w:before="0" w:after="0" w:line="240" w:lineRule="auto"/>
            </w:pPr>
            <w:r w:rsidRPr="00125E6B">
              <w:t>Potatoes (pre-harvest)</w:t>
            </w:r>
          </w:p>
        </w:tc>
        <w:tc>
          <w:tcPr>
            <w:tcW w:w="750" w:type="pct"/>
            <w:tcBorders>
              <w:top w:val="nil"/>
              <w:left w:val="nil"/>
              <w:bottom w:val="nil"/>
              <w:right w:val="nil"/>
            </w:tcBorders>
          </w:tcPr>
          <w:p w14:paraId="73F39BB4" w14:textId="3A4761D6" w:rsidR="00C547B4" w:rsidRDefault="00C547B4" w:rsidP="00C547B4">
            <w:pPr>
              <w:pStyle w:val="TableText"/>
              <w:spacing w:before="0" w:after="0" w:line="240" w:lineRule="auto"/>
            </w:pPr>
            <w:r>
              <w:t>1</w:t>
            </w:r>
            <w:r>
              <w:rPr>
                <w:rFonts w:cstheme="minorHAnsi"/>
              </w:rPr>
              <w:t>×</w:t>
            </w:r>
            <w:r>
              <w:t xml:space="preserve"> </w:t>
            </w:r>
            <w:r w:rsidR="00E476C8">
              <w:t>525</w:t>
            </w:r>
          </w:p>
        </w:tc>
        <w:tc>
          <w:tcPr>
            <w:tcW w:w="929" w:type="pct"/>
            <w:tcBorders>
              <w:top w:val="nil"/>
              <w:left w:val="nil"/>
              <w:bottom w:val="nil"/>
              <w:right w:val="nil"/>
            </w:tcBorders>
          </w:tcPr>
          <w:p w14:paraId="63A930EA" w14:textId="3918503E" w:rsidR="00C547B4" w:rsidRPr="00D63217" w:rsidRDefault="00E476C8" w:rsidP="00C547B4">
            <w:pPr>
              <w:pStyle w:val="TableText"/>
              <w:spacing w:before="0" w:after="0" w:line="240" w:lineRule="auto"/>
              <w:rPr>
                <w:b/>
              </w:rPr>
            </w:pPr>
            <w:r w:rsidRPr="00D63217">
              <w:t xml:space="preserve">Acceptable up to </w:t>
            </w:r>
            <w:r>
              <w:t>363</w:t>
            </w:r>
            <w:r w:rsidRPr="00D63217">
              <w:t xml:space="preserve"> g ac/ha</w:t>
            </w:r>
          </w:p>
        </w:tc>
        <w:tc>
          <w:tcPr>
            <w:tcW w:w="929" w:type="pct"/>
            <w:tcBorders>
              <w:top w:val="nil"/>
              <w:left w:val="nil"/>
              <w:bottom w:val="nil"/>
              <w:right w:val="nil"/>
            </w:tcBorders>
          </w:tcPr>
          <w:p w14:paraId="6CC669D5" w14:textId="185B6CA7" w:rsidR="00C547B4" w:rsidRPr="00D63217" w:rsidRDefault="00C11067" w:rsidP="00C547B4">
            <w:pPr>
              <w:pStyle w:val="TableText"/>
              <w:spacing w:before="0" w:after="0" w:line="240" w:lineRule="auto"/>
              <w:rPr>
                <w:b/>
              </w:rPr>
            </w:pPr>
            <w:r w:rsidRPr="00D63217">
              <w:t xml:space="preserve">Acceptable up to </w:t>
            </w:r>
            <w:r>
              <w:t xml:space="preserve">226 </w:t>
            </w:r>
            <w:r w:rsidRPr="00D63217">
              <w:t>g ac/ha</w:t>
            </w:r>
          </w:p>
        </w:tc>
        <w:tc>
          <w:tcPr>
            <w:tcW w:w="789" w:type="pct"/>
            <w:tcBorders>
              <w:top w:val="nil"/>
              <w:left w:val="nil"/>
              <w:bottom w:val="nil"/>
              <w:right w:val="nil"/>
            </w:tcBorders>
          </w:tcPr>
          <w:p w14:paraId="12D6EEA4" w14:textId="7780D0D9" w:rsidR="00C547B4" w:rsidRPr="00D63217" w:rsidRDefault="0061790A" w:rsidP="00C547B4">
            <w:pPr>
              <w:pStyle w:val="TableText"/>
              <w:spacing w:before="0" w:after="0" w:line="240" w:lineRule="auto"/>
            </w:pPr>
            <w:r>
              <w:t>226 g ac/ha</w:t>
            </w:r>
          </w:p>
        </w:tc>
      </w:tr>
      <w:tr w:rsidR="00C547B4" w:rsidRPr="00D63217" w14:paraId="53BBEC3E" w14:textId="77777777" w:rsidTr="003D5020">
        <w:trPr>
          <w:cantSplit/>
        </w:trPr>
        <w:tc>
          <w:tcPr>
            <w:tcW w:w="589" w:type="pct"/>
            <w:vMerge/>
            <w:tcBorders>
              <w:left w:val="nil"/>
              <w:right w:val="nil"/>
            </w:tcBorders>
          </w:tcPr>
          <w:p w14:paraId="04C90C86" w14:textId="77777777" w:rsidR="00C547B4" w:rsidRPr="00D63217" w:rsidRDefault="00C547B4" w:rsidP="00C547B4">
            <w:pPr>
              <w:pStyle w:val="TableText"/>
              <w:spacing w:before="0" w:after="0" w:line="240" w:lineRule="auto"/>
            </w:pPr>
          </w:p>
        </w:tc>
        <w:tc>
          <w:tcPr>
            <w:tcW w:w="1014" w:type="pct"/>
            <w:tcBorders>
              <w:top w:val="nil"/>
              <w:left w:val="nil"/>
              <w:bottom w:val="nil"/>
              <w:right w:val="nil"/>
            </w:tcBorders>
          </w:tcPr>
          <w:p w14:paraId="2FF22581" w14:textId="667A5309" w:rsidR="00C547B4" w:rsidRPr="0055093E" w:rsidRDefault="00C547B4" w:rsidP="00C547B4">
            <w:pPr>
              <w:pStyle w:val="TableText"/>
              <w:spacing w:before="0" w:after="0" w:line="240" w:lineRule="auto"/>
            </w:pPr>
            <w:r w:rsidRPr="00125E6B">
              <w:t>Vineyards</w:t>
            </w:r>
          </w:p>
        </w:tc>
        <w:tc>
          <w:tcPr>
            <w:tcW w:w="750" w:type="pct"/>
            <w:tcBorders>
              <w:top w:val="nil"/>
              <w:left w:val="nil"/>
              <w:bottom w:val="nil"/>
              <w:right w:val="nil"/>
            </w:tcBorders>
          </w:tcPr>
          <w:p w14:paraId="7795A1DF" w14:textId="71D8D859" w:rsidR="00C547B4" w:rsidRDefault="00E476C8" w:rsidP="00C547B4">
            <w:pPr>
              <w:pStyle w:val="TableText"/>
              <w:spacing w:before="0" w:after="0" w:line="240" w:lineRule="auto"/>
            </w:pPr>
            <w:r>
              <w:t>1</w:t>
            </w:r>
            <w:r>
              <w:rPr>
                <w:rFonts w:cstheme="minorHAnsi"/>
              </w:rPr>
              <w:t>×</w:t>
            </w:r>
            <w:r>
              <w:t xml:space="preserve"> </w:t>
            </w:r>
            <w:r w:rsidR="00897D6B">
              <w:t>300</w:t>
            </w:r>
            <w:r>
              <w:t>-600</w:t>
            </w:r>
          </w:p>
        </w:tc>
        <w:tc>
          <w:tcPr>
            <w:tcW w:w="929" w:type="pct"/>
            <w:tcBorders>
              <w:top w:val="nil"/>
              <w:left w:val="nil"/>
              <w:bottom w:val="nil"/>
              <w:right w:val="nil"/>
            </w:tcBorders>
          </w:tcPr>
          <w:p w14:paraId="426FEA50" w14:textId="212D6262"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nil"/>
              <w:right w:val="nil"/>
            </w:tcBorders>
          </w:tcPr>
          <w:p w14:paraId="5A7CD41B" w14:textId="607C1D50"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nil"/>
              <w:right w:val="nil"/>
            </w:tcBorders>
          </w:tcPr>
          <w:p w14:paraId="01E1EFDF" w14:textId="4A982B15" w:rsidR="00C547B4" w:rsidRPr="00D63217" w:rsidRDefault="0061790A" w:rsidP="00C547B4">
            <w:pPr>
              <w:pStyle w:val="TableText"/>
              <w:spacing w:before="0" w:after="0" w:line="240" w:lineRule="auto"/>
            </w:pPr>
            <w:r>
              <w:t>54 g ac/ha</w:t>
            </w:r>
          </w:p>
        </w:tc>
      </w:tr>
      <w:tr w:rsidR="00C547B4" w:rsidRPr="00D63217" w14:paraId="48C8DBC4" w14:textId="77777777" w:rsidTr="003D5020">
        <w:trPr>
          <w:cantSplit/>
        </w:trPr>
        <w:tc>
          <w:tcPr>
            <w:tcW w:w="589" w:type="pct"/>
            <w:vMerge/>
            <w:tcBorders>
              <w:left w:val="nil"/>
              <w:right w:val="nil"/>
            </w:tcBorders>
          </w:tcPr>
          <w:p w14:paraId="7B08B12B" w14:textId="77777777" w:rsidR="00C547B4" w:rsidRPr="00D63217" w:rsidRDefault="00C547B4" w:rsidP="00C547B4">
            <w:pPr>
              <w:pStyle w:val="TableText"/>
              <w:spacing w:before="0" w:after="0" w:line="240" w:lineRule="auto"/>
            </w:pPr>
          </w:p>
        </w:tc>
        <w:tc>
          <w:tcPr>
            <w:tcW w:w="1014" w:type="pct"/>
            <w:tcBorders>
              <w:top w:val="nil"/>
              <w:left w:val="nil"/>
              <w:bottom w:val="single" w:sz="4" w:space="0" w:color="auto"/>
              <w:right w:val="nil"/>
            </w:tcBorders>
          </w:tcPr>
          <w:p w14:paraId="1781B0AA" w14:textId="7DD0790D" w:rsidR="00C547B4" w:rsidRPr="0055093E" w:rsidRDefault="00C547B4" w:rsidP="00C547B4">
            <w:pPr>
              <w:pStyle w:val="TableText"/>
              <w:spacing w:before="0" w:after="0" w:line="240" w:lineRule="auto"/>
            </w:pPr>
            <w:r w:rsidRPr="00125E6B">
              <w:t>Spot spray in vineyards</w:t>
            </w:r>
          </w:p>
        </w:tc>
        <w:tc>
          <w:tcPr>
            <w:tcW w:w="750" w:type="pct"/>
            <w:tcBorders>
              <w:top w:val="nil"/>
              <w:left w:val="nil"/>
              <w:bottom w:val="single" w:sz="4" w:space="0" w:color="auto"/>
              <w:right w:val="nil"/>
            </w:tcBorders>
          </w:tcPr>
          <w:p w14:paraId="7AA46F72" w14:textId="75D81DB3" w:rsidR="00E476C8" w:rsidRDefault="00E476C8" w:rsidP="00E476C8">
            <w:pPr>
              <w:pStyle w:val="TableText"/>
              <w:spacing w:before="0" w:after="0" w:line="240" w:lineRule="auto"/>
            </w:pPr>
            <w:r>
              <w:t>1</w:t>
            </w:r>
            <w:r>
              <w:rPr>
                <w:rFonts w:cstheme="minorHAnsi"/>
              </w:rPr>
              <w:t>×</w:t>
            </w:r>
            <w:r>
              <w:t xml:space="preserve"> 500</w:t>
            </w:r>
          </w:p>
          <w:p w14:paraId="65632EEA" w14:textId="1DB0C02A" w:rsidR="00C547B4" w:rsidRDefault="00E476C8" w:rsidP="00E476C8">
            <w:pPr>
              <w:pStyle w:val="TableText"/>
              <w:spacing w:before="0" w:after="0" w:line="240" w:lineRule="auto"/>
            </w:pPr>
            <w:r>
              <w:t>(200, FFT 0.4)</w:t>
            </w:r>
          </w:p>
        </w:tc>
        <w:tc>
          <w:tcPr>
            <w:tcW w:w="929" w:type="pct"/>
            <w:tcBorders>
              <w:top w:val="nil"/>
              <w:left w:val="nil"/>
              <w:bottom w:val="single" w:sz="4" w:space="0" w:color="auto"/>
              <w:right w:val="nil"/>
            </w:tcBorders>
          </w:tcPr>
          <w:p w14:paraId="290BB9F3" w14:textId="6A92D080" w:rsidR="00C547B4" w:rsidRPr="00D63217" w:rsidRDefault="00E476C8" w:rsidP="00C547B4">
            <w:pPr>
              <w:pStyle w:val="TableText"/>
              <w:spacing w:before="0" w:after="0" w:line="240" w:lineRule="auto"/>
              <w:rPr>
                <w:b/>
              </w:rPr>
            </w:pPr>
            <w:r w:rsidRPr="00D63217">
              <w:t xml:space="preserve">Acceptable up to </w:t>
            </w:r>
            <w:r>
              <w:t>54</w:t>
            </w:r>
            <w:r w:rsidRPr="00D63217">
              <w:t xml:space="preserve"> g ac/ha</w:t>
            </w:r>
          </w:p>
        </w:tc>
        <w:tc>
          <w:tcPr>
            <w:tcW w:w="929" w:type="pct"/>
            <w:tcBorders>
              <w:top w:val="nil"/>
              <w:left w:val="nil"/>
              <w:bottom w:val="single" w:sz="4" w:space="0" w:color="auto"/>
              <w:right w:val="nil"/>
            </w:tcBorders>
          </w:tcPr>
          <w:p w14:paraId="41E96B2E" w14:textId="0AE8DC62" w:rsidR="00C547B4" w:rsidRPr="00D63217" w:rsidRDefault="00C11067" w:rsidP="00C547B4">
            <w:pPr>
              <w:pStyle w:val="TableText"/>
              <w:spacing w:before="0" w:after="0" w:line="240" w:lineRule="auto"/>
              <w:rPr>
                <w:b/>
              </w:rPr>
            </w:pPr>
            <w:r w:rsidRPr="00D63217">
              <w:t xml:space="preserve">Acceptable up to </w:t>
            </w:r>
            <w:r>
              <w:t xml:space="preserve">377 </w:t>
            </w:r>
            <w:r w:rsidRPr="00D63217">
              <w:t>g ac/ha</w:t>
            </w:r>
          </w:p>
        </w:tc>
        <w:tc>
          <w:tcPr>
            <w:tcW w:w="789" w:type="pct"/>
            <w:tcBorders>
              <w:top w:val="nil"/>
              <w:left w:val="nil"/>
              <w:bottom w:val="single" w:sz="4" w:space="0" w:color="auto"/>
              <w:right w:val="nil"/>
            </w:tcBorders>
          </w:tcPr>
          <w:p w14:paraId="32C19DA0" w14:textId="3EC4D8DF" w:rsidR="00C547B4" w:rsidRPr="00D63217" w:rsidRDefault="0061790A" w:rsidP="00C547B4">
            <w:pPr>
              <w:pStyle w:val="TableText"/>
              <w:spacing w:before="0" w:after="0" w:line="240" w:lineRule="auto"/>
            </w:pPr>
            <w:r>
              <w:t>54 g ac/ha</w:t>
            </w:r>
          </w:p>
        </w:tc>
      </w:tr>
    </w:tbl>
    <w:p w14:paraId="4BD16467" w14:textId="77777777" w:rsidR="002F339B" w:rsidRPr="00C77335" w:rsidRDefault="002F339B" w:rsidP="00C77335">
      <w:pPr>
        <w:pStyle w:val="Heading3"/>
      </w:pPr>
      <w:bookmarkStart w:id="496" w:name="_Toc156980628"/>
      <w:bookmarkStart w:id="497" w:name="_Toc157602759"/>
      <w:bookmarkStart w:id="498" w:name="_Toc231480914"/>
      <w:bookmarkStart w:id="499" w:name="_Toc233036466"/>
      <w:bookmarkEnd w:id="493"/>
      <w:bookmarkEnd w:id="495"/>
      <w:r w:rsidRPr="00C77335">
        <w:lastRenderedPageBreak/>
        <w:t>Aquatic species</w:t>
      </w:r>
      <w:bookmarkEnd w:id="496"/>
      <w:bookmarkEnd w:id="497"/>
      <w:bookmarkEnd w:id="498"/>
      <w:bookmarkEnd w:id="499"/>
    </w:p>
    <w:p w14:paraId="3B059ADC" w14:textId="0EAF48AA" w:rsidR="002F339B" w:rsidRPr="00D63217" w:rsidRDefault="002F339B" w:rsidP="002F339B">
      <w:pPr>
        <w:pStyle w:val="NormalText"/>
      </w:pPr>
      <w:bookmarkStart w:id="500" w:name="_Hlk157509767"/>
      <w:r w:rsidRPr="00D63217">
        <w:t xml:space="preserve">As indicated in </w:t>
      </w:r>
      <w:r w:rsidR="00E84746" w:rsidRPr="00D63217">
        <w:fldChar w:fldCharType="begin"/>
      </w:r>
      <w:r w:rsidR="00E84746" w:rsidRPr="00D63217">
        <w:instrText xml:space="preserve"> REF _Ref158985015 \h </w:instrText>
      </w:r>
      <w:r w:rsidR="00D63217">
        <w:instrText xml:space="preserve"> \* MERGEFORMAT </w:instrText>
      </w:r>
      <w:r w:rsidR="00E84746" w:rsidRPr="00D63217">
        <w:fldChar w:fldCharType="separate"/>
      </w:r>
      <w:r w:rsidR="008A397D" w:rsidRPr="00D63217">
        <w:t xml:space="preserve">Table </w:t>
      </w:r>
      <w:r w:rsidR="008A397D">
        <w:rPr>
          <w:noProof/>
        </w:rPr>
        <w:t>31</w:t>
      </w:r>
      <w:r w:rsidR="00E84746" w:rsidRPr="00D63217">
        <w:fldChar w:fldCharType="end"/>
      </w:r>
      <w:r w:rsidRPr="00D63217">
        <w:t>, the RAL for the spray drift assessment is 0.</w:t>
      </w:r>
      <w:r w:rsidR="0054150E">
        <w:t>15</w:t>
      </w:r>
      <w:r w:rsidR="0054150E" w:rsidRPr="00D63217">
        <w:t> </w:t>
      </w:r>
      <w:r w:rsidRPr="00D63217">
        <w:t>µg ac/L for the protection of natural aquatic areas. Risks of spray drift are addressed separately, as needed.</w:t>
      </w:r>
    </w:p>
    <w:p w14:paraId="3E62BB88" w14:textId="50270982" w:rsidR="00B744EF" w:rsidRPr="00B57CC6" w:rsidRDefault="00B744EF" w:rsidP="0028753B">
      <w:pPr>
        <w:pStyle w:val="NormalText"/>
      </w:pPr>
      <w:r w:rsidRPr="00B57CC6">
        <w:t xml:space="preserve">A runoff assessment </w:t>
      </w:r>
      <w:r w:rsidR="0079503F">
        <w:t xml:space="preserve">for paraquat </w:t>
      </w:r>
      <w:r w:rsidRPr="00B57CC6">
        <w:t>according to a modified version of the APVMA’s method to refine estimates of pesticide runoff to waterways considered the lowest RAL values of 0.15 μg ac/L and 3.9 mg ac/kg ds and assumed a runoff event occurs three days after the last application. Two approaches to considering the risk are presented:</w:t>
      </w:r>
    </w:p>
    <w:p w14:paraId="4CCA28BB" w14:textId="541B97CF" w:rsidR="00B744EF" w:rsidRPr="00BB6246" w:rsidRDefault="00B744EF" w:rsidP="009709D8">
      <w:pPr>
        <w:pStyle w:val="ListAlpha"/>
      </w:pPr>
      <w:r w:rsidRPr="0038713F">
        <w:t>The assessment</w:t>
      </w:r>
      <w:r w:rsidRPr="00C51CC9">
        <w:t xml:space="preserve"> establishes the expected runoff exposure assuming the soil in the catchment has reached the SAC-WB concentration – this </w:t>
      </w:r>
      <w:r w:rsidR="007F5A83">
        <w:t xml:space="preserve">value </w:t>
      </w:r>
      <w:r w:rsidRPr="00C51CC9">
        <w:t xml:space="preserve">then defines </w:t>
      </w:r>
      <w:r w:rsidRPr="00BB6246">
        <w:t>both the concentration in the soil and the corresponding K</w:t>
      </w:r>
      <w:r w:rsidRPr="0028753B">
        <w:rPr>
          <w:vertAlign w:val="subscript"/>
        </w:rPr>
        <w:t>d</w:t>
      </w:r>
      <w:r w:rsidRPr="00BB6246">
        <w:t xml:space="preserve"> value, and every pair of values gives the same conclusion in the modelled scenario (</w:t>
      </w:r>
      <w:r w:rsidR="00BB6246" w:rsidRPr="00BB6246">
        <w:fldChar w:fldCharType="begin"/>
      </w:r>
      <w:r w:rsidR="00BB6246" w:rsidRPr="00BB6246">
        <w:instrText xml:space="preserve"> REF _Ref220915045 \h </w:instrText>
      </w:r>
      <w:r w:rsidR="00BB6246">
        <w:instrText xml:space="preserve"> \* MERGEFORMAT </w:instrText>
      </w:r>
      <w:r w:rsidR="00BB6246" w:rsidRPr="00BB6246">
        <w:fldChar w:fldCharType="separate"/>
      </w:r>
      <w:r w:rsidR="008A397D" w:rsidRPr="008A397D">
        <w:t xml:space="preserve">Table </w:t>
      </w:r>
      <w:r w:rsidR="008A397D" w:rsidRPr="008A397D">
        <w:rPr>
          <w:noProof/>
        </w:rPr>
        <w:t>33</w:t>
      </w:r>
      <w:r w:rsidR="00BB6246" w:rsidRPr="00BB6246">
        <w:fldChar w:fldCharType="end"/>
      </w:r>
      <w:r w:rsidRPr="00BB6246">
        <w:t>).</w:t>
      </w:r>
      <w:r w:rsidR="0028753B">
        <w:br/>
      </w:r>
      <w:r w:rsidR="0028753B">
        <w:br/>
      </w:r>
      <w:r w:rsidRPr="00BB6246">
        <w:t>The Tier 1 (screening) level of assessment is a worst-case scenario where slope is fixed at 8%, which is considered protective of 95% of agricultural activities in Australia. A 3% slope for dryland cropping situations has also been considered. The rainfall value is set at 8 mm, which results in the maximum receiving water concentration using the standard water body of 1 ha and 15 cm initial depth when the worst-case Australian soil profile is used; the catchment is 10 ha. Further, for this worst-case scenario, a fallow/bare soil runoff profile is assessed. The K</w:t>
      </w:r>
      <w:r w:rsidRPr="0028753B">
        <w:rPr>
          <w:vertAlign w:val="subscript"/>
        </w:rPr>
        <w:t>d</w:t>
      </w:r>
      <w:r w:rsidRPr="00BB6246">
        <w:t xml:space="preserve"> reflects a low absorption capacity soil though the default assumptions of the runoff assessment have not been changed for this screening assessment. In the case of this reconsideration, soils of low clay content are also expected to have correspondingly low paraquat binding capacity.</w:t>
      </w:r>
      <w:r w:rsidR="0028753B">
        <w:br/>
      </w:r>
      <w:r w:rsidR="0028753B">
        <w:br/>
      </w:r>
      <w:r w:rsidRPr="00BB6246">
        <w:t>Interception has not been considered in the screening assessment as the soil concentration is set at the SAC-WB concentration, and interception is not relevant to establishing this value.</w:t>
      </w:r>
    </w:p>
    <w:p w14:paraId="02895EEF" w14:textId="65F2A96C" w:rsidR="00B744EF" w:rsidRPr="00BB6246" w:rsidRDefault="00B744EF" w:rsidP="0028753B">
      <w:pPr>
        <w:pStyle w:val="ListAlpha"/>
      </w:pPr>
      <w:r w:rsidRPr="00BB6246">
        <w:t>The assessment is based on the K</w:t>
      </w:r>
      <w:r w:rsidRPr="00BB6246">
        <w:rPr>
          <w:vertAlign w:val="subscript"/>
        </w:rPr>
        <w:t>f</w:t>
      </w:r>
      <w:r w:rsidRPr="00BB6246">
        <w:t xml:space="preserve"> (17.9) and 1/n (0.41) values for a soil with a low clay content (&lt;10%)</w:t>
      </w:r>
      <w:r w:rsidR="007F5A83">
        <w:t xml:space="preserve"> (</w:t>
      </w:r>
      <w:r w:rsidR="00A46139">
        <w:fldChar w:fldCharType="begin"/>
      </w:r>
      <w:r w:rsidR="00A46139">
        <w:instrText xml:space="preserve"> REF _Ref220915077 \h </w:instrText>
      </w:r>
      <w:r w:rsidR="0028753B">
        <w:instrText xml:space="preserve"> \* MERGEFORMAT </w:instrText>
      </w:r>
      <w:r w:rsidR="00A46139">
        <w:fldChar w:fldCharType="separate"/>
      </w:r>
      <w:r w:rsidR="008A397D" w:rsidRPr="00D63217">
        <w:t xml:space="preserve">Table </w:t>
      </w:r>
      <w:r w:rsidR="008A397D">
        <w:rPr>
          <w:noProof/>
        </w:rPr>
        <w:t>34</w:t>
      </w:r>
      <w:r w:rsidR="00A46139">
        <w:fldChar w:fldCharType="end"/>
      </w:r>
      <w:r w:rsidR="007F5A83">
        <w:t>)</w:t>
      </w:r>
      <w:r w:rsidRPr="00BB6246">
        <w:t>. The Tier 1 (screening) level of assessment is a worst-case scenario where slope is fixed at 8%, which is considered protective of 95% of agricultural activities in Australia. A 3% slope for dryland cropping situations has also been considered. The rainfall value is set at 8 mm, which results in the maximum receiving water concentration using the standard water body of 1 ha and 15 cm initial depth when the worst-case Australian soil profile is used; the catchment is 10 ha. Further, for this worst-case scenario, a fallow/bare soil runoff profile is assessed. The K</w:t>
      </w:r>
      <w:r w:rsidRPr="00BB6246">
        <w:rPr>
          <w:vertAlign w:val="subscript"/>
        </w:rPr>
        <w:t>f</w:t>
      </w:r>
      <w:r w:rsidRPr="00BB6246">
        <w:t xml:space="preserve"> reflects a low absorption capacity soil though the default assumptions of the runoff assessment have not been changed for this screening assessment.</w:t>
      </w:r>
    </w:p>
    <w:p w14:paraId="6B0BB7DC" w14:textId="1FD7A595" w:rsidR="00B744EF" w:rsidRPr="00BB6246" w:rsidRDefault="00B744EF" w:rsidP="0028753B">
      <w:pPr>
        <w:pStyle w:val="NormalText"/>
      </w:pPr>
      <w:r w:rsidRPr="00BB6246">
        <w:t>For the approach using the SAC-WB concentration (</w:t>
      </w:r>
      <w:r w:rsidR="00BB6246" w:rsidRPr="00BB6246">
        <w:fldChar w:fldCharType="begin"/>
      </w:r>
      <w:r w:rsidR="00BB6246" w:rsidRPr="00BB6246">
        <w:instrText xml:space="preserve"> REF _Ref220915045 \h </w:instrText>
      </w:r>
      <w:r w:rsidR="00BB6246">
        <w:instrText xml:space="preserve"> \* MERGEFORMAT </w:instrText>
      </w:r>
      <w:r w:rsidR="00BB6246" w:rsidRPr="00BB6246">
        <w:fldChar w:fldCharType="separate"/>
      </w:r>
      <w:r w:rsidR="008A397D" w:rsidRPr="008A397D">
        <w:t xml:space="preserve">Table </w:t>
      </w:r>
      <w:r w:rsidR="008A397D" w:rsidRPr="008A397D">
        <w:rPr>
          <w:noProof/>
        </w:rPr>
        <w:t>33</w:t>
      </w:r>
      <w:r w:rsidR="00BB6246" w:rsidRPr="00BB6246">
        <w:fldChar w:fldCharType="end"/>
      </w:r>
      <w:r w:rsidRPr="00BB6246">
        <w:t>), in both dryland cropping situations (assumed slope of 3%) and the default risk assessment (slope of 8%) there would be unresolved risks for exposure in water and sediment. The assessment assumes that the SAC-WB concentration has been reached for all soils in the catchment. This assumption is not directly related to a specific set of uses</w:t>
      </w:r>
      <w:r w:rsidR="001A629D">
        <w:t xml:space="preserve"> (application rates)</w:t>
      </w:r>
      <w:r w:rsidRPr="00BB6246">
        <w:t xml:space="preserve"> or a specific soil but rather is based only on a consideration that application of paraquat in the theoretical catchment has led to accumulation in the soil(s) such that the SAC-WB concentration has been reached throughout the catchment. Whether or not this concentration would be reached in practice becomes a critical question for the assessment.</w:t>
      </w:r>
    </w:p>
    <w:p w14:paraId="31486F61" w14:textId="77777777" w:rsidR="00834E0F" w:rsidRDefault="00B744EF" w:rsidP="0028753B">
      <w:pPr>
        <w:pStyle w:val="NormalText"/>
      </w:pPr>
      <w:r w:rsidRPr="00BB6246">
        <w:lastRenderedPageBreak/>
        <w:t>For the lower end of reported SAC-WB concentrations, ~10 mg ac/kg ds, using the APVMA’s standard approach to estimating soil concentrations</w:t>
      </w:r>
      <w:r w:rsidRPr="00BB6246">
        <w:rPr>
          <w:rStyle w:val="FootnoteReference"/>
          <w:szCs w:val="19"/>
        </w:rPr>
        <w:footnoteReference w:id="22"/>
      </w:r>
      <w:r w:rsidRPr="00BB6246">
        <w:t xml:space="preserve"> and an application rate of 1140 g ac/ha</w:t>
      </w:r>
      <w:r w:rsidRPr="00BB6246">
        <w:rPr>
          <w:rStyle w:val="FootnoteReference"/>
          <w:szCs w:val="19"/>
        </w:rPr>
        <w:footnoteReference w:id="23"/>
      </w:r>
      <w:r w:rsidRPr="00BB6246">
        <w:t xml:space="preserve"> this would equate to 6.6 years’ worth of applications, without considering interception and assuming no degradation.</w:t>
      </w:r>
    </w:p>
    <w:p w14:paraId="3B99663D" w14:textId="288FD76E" w:rsidR="00B744EF" w:rsidRPr="00BB6246" w:rsidRDefault="00B744EF" w:rsidP="0028753B">
      <w:pPr>
        <w:pStyle w:val="NormalText"/>
      </w:pPr>
      <w:r w:rsidRPr="00BB6246">
        <w:t>If interception of 90% were assumed</w:t>
      </w:r>
      <w:r w:rsidRPr="00BB6246">
        <w:rPr>
          <w:rStyle w:val="FootnoteReference"/>
          <w:szCs w:val="19"/>
        </w:rPr>
        <w:footnoteReference w:id="24"/>
      </w:r>
      <w:r w:rsidRPr="00BB6246">
        <w:t xml:space="preserve"> this would represent ~12 years of applications. However, if the rate of degradation for paraquat absorbed to soil is assumed to be 20 years (Dyson &amp; Chapman 1995), the cumulative peak concentration in soil</w:t>
      </w:r>
      <w:r w:rsidRPr="00BB6246">
        <w:rPr>
          <w:rStyle w:val="FootnoteReference"/>
          <w:szCs w:val="19"/>
        </w:rPr>
        <w:footnoteReference w:id="25"/>
      </w:r>
      <w:r w:rsidRPr="00BB6246">
        <w:t xml:space="preserve"> would plateau at ~45 mg ac/kg ds or 25 mg ac/kg ds after more than one hundred years’ worth of applications, excluding or including interception (at 90%), respectively. For soils with a clay content of ≤10%, these plateau concentrations are greater than the SAC-WB concentration for 45% or 15% of tested soils, respectively (i.e., 55% and 85% of soils, respectively, would not have reached their paraquat binding capacities). In overview, this implies, at least for soils represented in Dyson et al. (1994), that for only a fraction of soils with clay content of ≤10% would it be theoretically possible to reach the SAC-WB value.</w:t>
      </w:r>
    </w:p>
    <w:p w14:paraId="06F4118C" w14:textId="5968F4E7" w:rsidR="00B744EF" w:rsidRPr="00C51CC9" w:rsidRDefault="00B744EF" w:rsidP="0028753B">
      <w:pPr>
        <w:pStyle w:val="NormalText"/>
      </w:pPr>
      <w:r w:rsidRPr="00BB6246">
        <w:t>For the approach considering concentration dependence (</w:t>
      </w:r>
      <w:r w:rsidR="00BB6246" w:rsidRPr="00BB6246">
        <w:fldChar w:fldCharType="begin"/>
      </w:r>
      <w:r w:rsidR="00BB6246" w:rsidRPr="00BB6246">
        <w:instrText xml:space="preserve"> REF _Ref220915077 \h </w:instrText>
      </w:r>
      <w:r w:rsidR="00BB6246">
        <w:instrText xml:space="preserve"> \* MERGEFORMAT </w:instrText>
      </w:r>
      <w:r w:rsidR="00BB6246" w:rsidRPr="00BB6246">
        <w:fldChar w:fldCharType="separate"/>
      </w:r>
      <w:r w:rsidR="008A397D" w:rsidRPr="008A397D">
        <w:t xml:space="preserve">Table </w:t>
      </w:r>
      <w:r w:rsidR="008A397D" w:rsidRPr="008A397D">
        <w:rPr>
          <w:noProof/>
        </w:rPr>
        <w:t>34</w:t>
      </w:r>
      <w:r w:rsidR="00BB6246" w:rsidRPr="00BB6246">
        <w:fldChar w:fldCharType="end"/>
      </w:r>
      <w:r w:rsidRPr="00BB6246">
        <w:t>), acceptable risks</w:t>
      </w:r>
      <w:r w:rsidRPr="00C51CC9">
        <w:t xml:space="preserve"> are indicated for all scenarios (slope of 3 or 8%) when the soil DT</w:t>
      </w:r>
      <w:r w:rsidRPr="00C51CC9">
        <w:rPr>
          <w:vertAlign w:val="subscript"/>
        </w:rPr>
        <w:t>50</w:t>
      </w:r>
      <w:r w:rsidRPr="00C51CC9">
        <w:t xml:space="preserve"> for calculating accumulation in soil is 20 years. When the DT</w:t>
      </w:r>
      <w:r w:rsidRPr="00C51CC9">
        <w:rPr>
          <w:vertAlign w:val="subscript"/>
        </w:rPr>
        <w:t>50</w:t>
      </w:r>
      <w:r w:rsidRPr="00C51CC9">
        <w:t xml:space="preserve"> is 60 years an acceptable risk is only indicated for a slope of 3%, though interception of 40% would lead to an acceptable risk for all modelled scenarios (maximum accumulated residues 22 mg ac/kg ds, RQ 0.99). These conclusions are based on 20 years of annual applications, the APVMA’s standard timeframe for consideration of accumulation of residues in soil. Over longer timeframes the conclusions would not necessarily apply.</w:t>
      </w:r>
    </w:p>
    <w:p w14:paraId="5C51E41A" w14:textId="2BB4F4F8" w:rsidR="00B744EF" w:rsidRPr="00C51CC9" w:rsidRDefault="00B744EF" w:rsidP="0028753B">
      <w:pPr>
        <w:pStyle w:val="NormalText"/>
      </w:pPr>
      <w:r w:rsidRPr="00C51CC9">
        <w:t>It should be recognised that these are the results of a screening stage assessment that is intentionally conservative (e.g. fixed catchment all of which is treated, 90</w:t>
      </w:r>
      <w:r w:rsidRPr="00C51CC9">
        <w:rPr>
          <w:vertAlign w:val="superscript"/>
        </w:rPr>
        <w:t>th</w:t>
      </w:r>
      <w:r w:rsidRPr="00C51CC9">
        <w:t xml:space="preserve"> percentile slope for Australian agricultural land (8%), worst-case soil profile, and worst-case rainfall). Additionally, the calculated accumulated concentration in soil is expected to be conservative. When exposed to microbial activity paraquat degradation is expected to be more rapid than predicted by the current assessment. </w:t>
      </w:r>
      <w:r w:rsidR="00051DD9">
        <w:t>General</w:t>
      </w:r>
      <w:r w:rsidRPr="00C51CC9">
        <w:t xml:space="preserve"> agricultural practice, where paraquat is applied without incorporation into the soil, should increase the scope for some of the applied paraquat to be exposed to microbial degradation</w:t>
      </w:r>
      <w:r w:rsidR="007F5A83">
        <w:t>,</w:t>
      </w:r>
      <w:r w:rsidRPr="00C51CC9">
        <w:t xml:space="preserve"> especially when the rate of absorption of paraquat into the soil has been reduced, either due to the composition of the soil matrix or because more accessible sites for paraquat absorption have been saturated.</w:t>
      </w:r>
    </w:p>
    <w:p w14:paraId="4CA894C8" w14:textId="081627D2" w:rsidR="00B744EF" w:rsidRDefault="00B744EF" w:rsidP="0028753B">
      <w:pPr>
        <w:pStyle w:val="NormalText"/>
      </w:pPr>
      <w:r w:rsidRPr="00C51CC9">
        <w:t>Based on the preceding modelling assumptions, if a soil’s SAC-WB value were reached</w:t>
      </w:r>
      <w:r w:rsidR="00051DD9">
        <w:t>,</w:t>
      </w:r>
      <w:r w:rsidRPr="00C51CC9">
        <w:t xml:space="preserve"> the risk would be unresolved. However, as also noted, reaching the SAC-WB value would only be theoretically possible for a small fraction of tested soils with clay content ≤10%. Accounting for concentration dependence, after 20 years accumulation the risk is expected to be acceptable. An RQ value &gt;1 is indicated if the DT</w:t>
      </w:r>
      <w:r w:rsidRPr="00C51CC9">
        <w:rPr>
          <w:vertAlign w:val="subscript"/>
        </w:rPr>
        <w:t>50</w:t>
      </w:r>
      <w:r w:rsidRPr="00C51CC9">
        <w:t xml:space="preserve"> is assumed to be 60 years. However, there is reason to expect the predicted accumulation of paraquat to be conservative, and the screening stage risk assessment is inherently conservative, such that at higher tiers of assessment an acceptable </w:t>
      </w:r>
      <w:r w:rsidRPr="00C51CC9">
        <w:lastRenderedPageBreak/>
        <w:t>risk could be expected (after considering factors such as local slope values, rainfall estimates and real-world cropping patterns). Given the available evidence it is not considered necessary to conduct further higher tier analyses, and the risk is concluded to be acceptable for the currently approved use rates.</w:t>
      </w:r>
    </w:p>
    <w:p w14:paraId="7A60A69A" w14:textId="77777777" w:rsidR="00B744EF" w:rsidRPr="009A6550" w:rsidRDefault="00B744EF" w:rsidP="0028753B">
      <w:pPr>
        <w:pStyle w:val="NormalText"/>
      </w:pPr>
      <w:r w:rsidRPr="009A6550">
        <w:t>Because the assessment assumes that a runoff event occurs 3 days after application, the following restraints are recommended for the supported uses.</w:t>
      </w:r>
    </w:p>
    <w:p w14:paraId="4D0C6E24" w14:textId="7DB59AE8" w:rsidR="00B744EF" w:rsidRDefault="00B744EF" w:rsidP="0028753B">
      <w:pPr>
        <w:pStyle w:val="NormalText"/>
        <w:ind w:left="567"/>
      </w:pPr>
      <w:r w:rsidRPr="009A6550">
        <w:t>DO NOT apply if heavy rains or storms are forecast within 3 days.</w:t>
      </w:r>
      <w:r w:rsidR="00834E0F">
        <w:br/>
      </w:r>
      <w:r w:rsidRPr="009A6550">
        <w:t>DO NOT irrigate to the point of field runoff for at least 3 days after application.</w:t>
      </w:r>
    </w:p>
    <w:p w14:paraId="4666BE39" w14:textId="3C8C3B9A" w:rsidR="00E84746" w:rsidRPr="0028753B" w:rsidRDefault="00E84746" w:rsidP="0028753B">
      <w:pPr>
        <w:pStyle w:val="Caption"/>
      </w:pPr>
      <w:bookmarkStart w:id="502" w:name="_Ref220915045"/>
      <w:bookmarkStart w:id="503" w:name="_Toc230692299"/>
      <w:bookmarkStart w:id="504" w:name="_Toc233036520"/>
      <w:bookmarkEnd w:id="500"/>
      <w:r w:rsidRPr="0028753B">
        <w:t xml:space="preserve">Table </w:t>
      </w:r>
      <w:fldSimple w:instr=" SEQ Table \* ARABIC ">
        <w:r w:rsidR="0028753B">
          <w:rPr>
            <w:noProof/>
          </w:rPr>
          <w:t>33</w:t>
        </w:r>
      </w:fldSimple>
      <w:bookmarkEnd w:id="502"/>
      <w:r w:rsidRPr="0028753B">
        <w:t>: Assessment of runoff risks to aquatic species</w:t>
      </w:r>
      <w:r w:rsidR="00B744EF" w:rsidRPr="0028753B">
        <w:t xml:space="preserve"> – SAC-WB approach</w:t>
      </w:r>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8"/>
        <w:gridCol w:w="940"/>
        <w:gridCol w:w="1677"/>
        <w:gridCol w:w="1677"/>
        <w:gridCol w:w="1679"/>
        <w:gridCol w:w="1677"/>
      </w:tblGrid>
      <w:tr w:rsidR="0028753B" w:rsidRPr="008A74A3" w14:paraId="4CF46340" w14:textId="77777777" w:rsidTr="0028753B">
        <w:trPr>
          <w:tblHeader/>
        </w:trPr>
        <w:tc>
          <w:tcPr>
            <w:tcW w:w="1515" w:type="pct"/>
            <w:gridSpan w:val="2"/>
            <w:tcBorders>
              <w:bottom w:val="nil"/>
            </w:tcBorders>
            <w:shd w:val="clear" w:color="auto" w:fill="5C2946"/>
          </w:tcPr>
          <w:p w14:paraId="59C0F70A" w14:textId="42FC206A" w:rsidR="0028753B" w:rsidRPr="00ED5112" w:rsidRDefault="0028753B" w:rsidP="00ED5112">
            <w:pPr>
              <w:pStyle w:val="TableHead"/>
            </w:pPr>
            <w:r w:rsidRPr="00ED5112">
              <w:t>Parameter</w:t>
            </w:r>
          </w:p>
        </w:tc>
        <w:tc>
          <w:tcPr>
            <w:tcW w:w="3485" w:type="pct"/>
            <w:gridSpan w:val="4"/>
            <w:tcBorders>
              <w:bottom w:val="single" w:sz="4" w:space="0" w:color="auto"/>
            </w:tcBorders>
            <w:shd w:val="clear" w:color="auto" w:fill="5C2946"/>
          </w:tcPr>
          <w:p w14:paraId="5AD232D1" w14:textId="77777777" w:rsidR="0028753B" w:rsidRPr="00ED5112" w:rsidRDefault="0028753B" w:rsidP="00ED5112">
            <w:pPr>
              <w:pStyle w:val="TableHead"/>
            </w:pPr>
            <w:r w:rsidRPr="00ED5112">
              <w:t>Worst-case scenario Sands (clay ≤10%)</w:t>
            </w:r>
          </w:p>
        </w:tc>
      </w:tr>
      <w:tr w:rsidR="0028753B" w:rsidRPr="008A74A3" w14:paraId="65E79E21" w14:textId="77777777" w:rsidTr="0028753B">
        <w:trPr>
          <w:tblHeader/>
        </w:trPr>
        <w:tc>
          <w:tcPr>
            <w:tcW w:w="1515" w:type="pct"/>
            <w:gridSpan w:val="2"/>
            <w:tcBorders>
              <w:top w:val="nil"/>
              <w:bottom w:val="single" w:sz="4" w:space="0" w:color="auto"/>
            </w:tcBorders>
            <w:shd w:val="clear" w:color="auto" w:fill="5C2946"/>
          </w:tcPr>
          <w:p w14:paraId="56907A98" w14:textId="740D72DB" w:rsidR="0028753B" w:rsidRPr="00ED5112" w:rsidRDefault="0028753B" w:rsidP="00ED5112">
            <w:pPr>
              <w:pStyle w:val="TableHead"/>
            </w:pPr>
          </w:p>
        </w:tc>
        <w:tc>
          <w:tcPr>
            <w:tcW w:w="1742" w:type="pct"/>
            <w:gridSpan w:val="2"/>
            <w:tcBorders>
              <w:bottom w:val="single" w:sz="4" w:space="0" w:color="auto"/>
            </w:tcBorders>
            <w:shd w:val="clear" w:color="auto" w:fill="5C2946"/>
          </w:tcPr>
          <w:p w14:paraId="7FBC0C15" w14:textId="77777777" w:rsidR="0028753B" w:rsidRPr="00ED5112" w:rsidRDefault="0028753B" w:rsidP="00EB6779">
            <w:pPr>
              <w:pStyle w:val="TableHead"/>
              <w:jc w:val="right"/>
            </w:pPr>
            <w:r w:rsidRPr="00ED5112">
              <w:t>8% slope</w:t>
            </w:r>
          </w:p>
        </w:tc>
        <w:tc>
          <w:tcPr>
            <w:tcW w:w="1743" w:type="pct"/>
            <w:gridSpan w:val="2"/>
            <w:tcBorders>
              <w:bottom w:val="single" w:sz="4" w:space="0" w:color="auto"/>
            </w:tcBorders>
            <w:shd w:val="clear" w:color="auto" w:fill="5C2946"/>
          </w:tcPr>
          <w:p w14:paraId="6C286CED" w14:textId="77777777" w:rsidR="0028753B" w:rsidRPr="00ED5112" w:rsidRDefault="0028753B" w:rsidP="00EB6779">
            <w:pPr>
              <w:pStyle w:val="TableHead"/>
              <w:jc w:val="right"/>
            </w:pPr>
            <w:r w:rsidRPr="00ED5112">
              <w:t>3% slope</w:t>
            </w:r>
          </w:p>
        </w:tc>
      </w:tr>
      <w:tr w:rsidR="0028753B" w:rsidRPr="008A74A3" w14:paraId="2DD4041E" w14:textId="77777777" w:rsidTr="0028753B">
        <w:tc>
          <w:tcPr>
            <w:tcW w:w="4129" w:type="pct"/>
            <w:gridSpan w:val="5"/>
            <w:tcBorders>
              <w:top w:val="single" w:sz="4" w:space="0" w:color="auto"/>
              <w:left w:val="nil"/>
              <w:bottom w:val="single" w:sz="4" w:space="0" w:color="auto"/>
              <w:right w:val="nil"/>
            </w:tcBorders>
          </w:tcPr>
          <w:p w14:paraId="7ECCA40E" w14:textId="4E02CE76" w:rsidR="0028753B" w:rsidRPr="008A74A3" w:rsidRDefault="0028753B" w:rsidP="00EB6779">
            <w:pPr>
              <w:pStyle w:val="TableSubHead0"/>
              <w:spacing w:before="0" w:after="0"/>
            </w:pPr>
            <w:r w:rsidRPr="008A74A3">
              <w:t>Soil</w:t>
            </w:r>
          </w:p>
        </w:tc>
        <w:tc>
          <w:tcPr>
            <w:tcW w:w="871" w:type="pct"/>
            <w:tcBorders>
              <w:top w:val="single" w:sz="4" w:space="0" w:color="auto"/>
              <w:left w:val="nil"/>
              <w:bottom w:val="single" w:sz="4" w:space="0" w:color="auto"/>
              <w:right w:val="nil"/>
            </w:tcBorders>
          </w:tcPr>
          <w:p w14:paraId="0BBEB28A" w14:textId="77777777" w:rsidR="0028753B" w:rsidRPr="008A74A3" w:rsidRDefault="0028753B" w:rsidP="00EB6779">
            <w:pPr>
              <w:pStyle w:val="BodyText"/>
              <w:keepNext/>
              <w:keepLines/>
              <w:widowControl w:val="0"/>
              <w:spacing w:after="0"/>
              <w:jc w:val="center"/>
              <w:rPr>
                <w:rFonts w:cs="Arial"/>
                <w:sz w:val="17"/>
                <w:szCs w:val="17"/>
              </w:rPr>
            </w:pPr>
          </w:p>
        </w:tc>
      </w:tr>
      <w:tr w:rsidR="0028753B" w:rsidRPr="008A74A3" w14:paraId="0A43517B" w14:textId="77777777" w:rsidTr="00444693">
        <w:tc>
          <w:tcPr>
            <w:tcW w:w="1027" w:type="pct"/>
            <w:tcBorders>
              <w:top w:val="nil"/>
              <w:left w:val="nil"/>
              <w:bottom w:val="nil"/>
              <w:right w:val="nil"/>
            </w:tcBorders>
          </w:tcPr>
          <w:p w14:paraId="39AEBE47" w14:textId="77777777" w:rsidR="0028753B" w:rsidRPr="008A74A3" w:rsidRDefault="0028753B" w:rsidP="00EB6779">
            <w:pPr>
              <w:pStyle w:val="TableText"/>
              <w:spacing w:before="0" w:after="0"/>
            </w:pPr>
            <w:r w:rsidRPr="008A74A3">
              <w:t xml:space="preserve">Exposure rate </w:t>
            </w:r>
          </w:p>
        </w:tc>
        <w:tc>
          <w:tcPr>
            <w:tcW w:w="488" w:type="pct"/>
            <w:tcBorders>
              <w:top w:val="nil"/>
              <w:left w:val="nil"/>
              <w:bottom w:val="nil"/>
              <w:right w:val="nil"/>
            </w:tcBorders>
          </w:tcPr>
          <w:p w14:paraId="7FC6794A" w14:textId="77777777" w:rsidR="0028753B" w:rsidRPr="008A74A3" w:rsidRDefault="0028753B" w:rsidP="00EB6779">
            <w:pPr>
              <w:pStyle w:val="TableText"/>
              <w:spacing w:before="0" w:after="0"/>
              <w:rPr>
                <w:sz w:val="16"/>
                <w:szCs w:val="16"/>
              </w:rPr>
            </w:pPr>
            <w:r w:rsidRPr="008A74A3">
              <w:rPr>
                <w:sz w:val="16"/>
                <w:szCs w:val="16"/>
              </w:rPr>
              <w:t>(g/ha)</w:t>
            </w:r>
          </w:p>
        </w:tc>
        <w:tc>
          <w:tcPr>
            <w:tcW w:w="871" w:type="pct"/>
            <w:tcBorders>
              <w:top w:val="nil"/>
              <w:left w:val="nil"/>
              <w:bottom w:val="nil"/>
              <w:right w:val="nil"/>
            </w:tcBorders>
          </w:tcPr>
          <w:p w14:paraId="7C28015E" w14:textId="77777777" w:rsidR="0028753B" w:rsidRPr="008A74A3" w:rsidRDefault="0028753B" w:rsidP="00EB6779">
            <w:pPr>
              <w:pStyle w:val="TableText"/>
              <w:spacing w:before="0" w:after="0"/>
              <w:jc w:val="right"/>
            </w:pPr>
            <w:r w:rsidRPr="008A74A3">
              <w:t>8250</w:t>
            </w:r>
          </w:p>
          <w:p w14:paraId="25C96C29"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c>
          <w:tcPr>
            <w:tcW w:w="871" w:type="pct"/>
            <w:tcBorders>
              <w:top w:val="nil"/>
              <w:left w:val="nil"/>
              <w:bottom w:val="nil"/>
              <w:right w:val="nil"/>
            </w:tcBorders>
          </w:tcPr>
          <w:p w14:paraId="3B4721DC" w14:textId="77777777" w:rsidR="0028753B" w:rsidRPr="008A74A3" w:rsidRDefault="0028753B" w:rsidP="00EB6779">
            <w:pPr>
              <w:pStyle w:val="TableText"/>
              <w:spacing w:before="0" w:after="0"/>
              <w:jc w:val="right"/>
            </w:pPr>
            <w:r w:rsidRPr="008A74A3">
              <w:t>1</w:t>
            </w:r>
            <w:r>
              <w:t>6875</w:t>
            </w:r>
          </w:p>
          <w:p w14:paraId="32EABAE8"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c>
          <w:tcPr>
            <w:tcW w:w="872" w:type="pct"/>
            <w:tcBorders>
              <w:top w:val="nil"/>
              <w:left w:val="nil"/>
              <w:bottom w:val="nil"/>
              <w:right w:val="nil"/>
            </w:tcBorders>
          </w:tcPr>
          <w:p w14:paraId="721122C8" w14:textId="77777777" w:rsidR="0028753B" w:rsidRPr="008A74A3" w:rsidRDefault="0028753B" w:rsidP="00EB6779">
            <w:pPr>
              <w:pStyle w:val="TableText"/>
              <w:spacing w:before="0" w:after="0"/>
              <w:jc w:val="right"/>
            </w:pPr>
            <w:r w:rsidRPr="008A74A3">
              <w:t>8250</w:t>
            </w:r>
          </w:p>
          <w:p w14:paraId="16703DF5"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c>
          <w:tcPr>
            <w:tcW w:w="871" w:type="pct"/>
            <w:tcBorders>
              <w:top w:val="nil"/>
              <w:left w:val="nil"/>
              <w:bottom w:val="nil"/>
              <w:right w:val="nil"/>
            </w:tcBorders>
          </w:tcPr>
          <w:p w14:paraId="6B0597AC" w14:textId="77777777" w:rsidR="0028753B" w:rsidRPr="008A74A3" w:rsidRDefault="0028753B" w:rsidP="00EB6779">
            <w:pPr>
              <w:pStyle w:val="TableText"/>
              <w:spacing w:before="0" w:after="0"/>
              <w:jc w:val="right"/>
            </w:pPr>
            <w:r w:rsidRPr="008A74A3">
              <w:t>1</w:t>
            </w:r>
            <w:r>
              <w:t>6875</w:t>
            </w:r>
          </w:p>
          <w:p w14:paraId="5098A01D"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r>
      <w:tr w:rsidR="0028753B" w:rsidRPr="008A74A3" w14:paraId="03257435" w14:textId="77777777" w:rsidTr="00444693">
        <w:tc>
          <w:tcPr>
            <w:tcW w:w="1027" w:type="pct"/>
            <w:tcBorders>
              <w:top w:val="nil"/>
              <w:left w:val="nil"/>
              <w:bottom w:val="nil"/>
              <w:right w:val="nil"/>
            </w:tcBorders>
          </w:tcPr>
          <w:p w14:paraId="53998019" w14:textId="77777777" w:rsidR="0028753B" w:rsidRPr="008A74A3" w:rsidRDefault="0028753B" w:rsidP="00EB6779">
            <w:pPr>
              <w:pStyle w:val="TableText"/>
              <w:spacing w:before="0" w:after="0"/>
            </w:pPr>
            <w:r w:rsidRPr="008A74A3">
              <w:t>Soil DT</w:t>
            </w:r>
            <w:r w:rsidRPr="008A74A3">
              <w:rPr>
                <w:vertAlign w:val="subscript"/>
              </w:rPr>
              <w:t>50</w:t>
            </w:r>
          </w:p>
        </w:tc>
        <w:tc>
          <w:tcPr>
            <w:tcW w:w="488" w:type="pct"/>
            <w:tcBorders>
              <w:top w:val="nil"/>
              <w:left w:val="nil"/>
              <w:bottom w:val="nil"/>
              <w:right w:val="nil"/>
            </w:tcBorders>
          </w:tcPr>
          <w:p w14:paraId="42D42390" w14:textId="77777777" w:rsidR="0028753B" w:rsidRPr="008A74A3" w:rsidRDefault="0028753B" w:rsidP="00EB6779">
            <w:pPr>
              <w:pStyle w:val="TableText"/>
              <w:spacing w:before="0" w:after="0"/>
              <w:rPr>
                <w:sz w:val="16"/>
                <w:szCs w:val="16"/>
              </w:rPr>
            </w:pPr>
            <w:r w:rsidRPr="008A74A3">
              <w:rPr>
                <w:sz w:val="16"/>
                <w:szCs w:val="16"/>
              </w:rPr>
              <w:t>(d)</w:t>
            </w:r>
          </w:p>
        </w:tc>
        <w:tc>
          <w:tcPr>
            <w:tcW w:w="871" w:type="pct"/>
            <w:tcBorders>
              <w:top w:val="nil"/>
              <w:left w:val="nil"/>
              <w:bottom w:val="nil"/>
              <w:right w:val="nil"/>
            </w:tcBorders>
          </w:tcPr>
          <w:p w14:paraId="5F65150A" w14:textId="77777777" w:rsidR="0028753B" w:rsidRPr="008A74A3" w:rsidRDefault="0028753B" w:rsidP="00EB6779">
            <w:pPr>
              <w:pStyle w:val="TableText"/>
              <w:spacing w:before="0" w:after="0"/>
              <w:jc w:val="right"/>
            </w:pPr>
            <w:r w:rsidRPr="008A74A3">
              <w:t>1000</w:t>
            </w:r>
          </w:p>
        </w:tc>
        <w:tc>
          <w:tcPr>
            <w:tcW w:w="871" w:type="pct"/>
            <w:tcBorders>
              <w:top w:val="nil"/>
              <w:left w:val="nil"/>
              <w:bottom w:val="nil"/>
              <w:right w:val="nil"/>
            </w:tcBorders>
          </w:tcPr>
          <w:p w14:paraId="43E516A5" w14:textId="77777777" w:rsidR="0028753B" w:rsidRPr="008A74A3" w:rsidRDefault="0028753B" w:rsidP="00EB6779">
            <w:pPr>
              <w:pStyle w:val="TableText"/>
              <w:spacing w:before="0" w:after="0"/>
              <w:jc w:val="right"/>
            </w:pPr>
            <w:r w:rsidRPr="008A74A3">
              <w:t>1000</w:t>
            </w:r>
          </w:p>
        </w:tc>
        <w:tc>
          <w:tcPr>
            <w:tcW w:w="872" w:type="pct"/>
            <w:tcBorders>
              <w:top w:val="nil"/>
              <w:left w:val="nil"/>
              <w:bottom w:val="nil"/>
              <w:right w:val="nil"/>
            </w:tcBorders>
          </w:tcPr>
          <w:p w14:paraId="46A29501" w14:textId="77777777" w:rsidR="0028753B" w:rsidRPr="008A74A3" w:rsidRDefault="0028753B" w:rsidP="00EB6779">
            <w:pPr>
              <w:pStyle w:val="TableText"/>
              <w:spacing w:before="0" w:after="0"/>
              <w:jc w:val="right"/>
            </w:pPr>
            <w:r w:rsidRPr="008A74A3">
              <w:t>1000</w:t>
            </w:r>
          </w:p>
        </w:tc>
        <w:tc>
          <w:tcPr>
            <w:tcW w:w="871" w:type="pct"/>
            <w:tcBorders>
              <w:top w:val="nil"/>
              <w:left w:val="nil"/>
              <w:bottom w:val="nil"/>
              <w:right w:val="nil"/>
            </w:tcBorders>
          </w:tcPr>
          <w:p w14:paraId="663B11C4" w14:textId="77777777" w:rsidR="0028753B" w:rsidRPr="008A74A3" w:rsidRDefault="0028753B" w:rsidP="00EB6779">
            <w:pPr>
              <w:pStyle w:val="TableText"/>
              <w:spacing w:before="0" w:after="0"/>
              <w:jc w:val="right"/>
            </w:pPr>
            <w:r w:rsidRPr="008A74A3">
              <w:t>1000</w:t>
            </w:r>
          </w:p>
        </w:tc>
      </w:tr>
      <w:tr w:rsidR="0028753B" w:rsidRPr="008A74A3" w14:paraId="182176CD" w14:textId="77777777" w:rsidTr="00444693">
        <w:tc>
          <w:tcPr>
            <w:tcW w:w="1027" w:type="pct"/>
            <w:tcBorders>
              <w:top w:val="nil"/>
              <w:left w:val="nil"/>
              <w:bottom w:val="nil"/>
              <w:right w:val="nil"/>
            </w:tcBorders>
          </w:tcPr>
          <w:p w14:paraId="4EE7CD3A" w14:textId="77777777" w:rsidR="0028753B" w:rsidRPr="008A74A3" w:rsidRDefault="0028753B" w:rsidP="00EB6779">
            <w:pPr>
              <w:pStyle w:val="TableText"/>
              <w:spacing w:before="0" w:after="0"/>
            </w:pPr>
            <w:r w:rsidRPr="008A74A3">
              <w:t>K</w:t>
            </w:r>
            <w:r w:rsidRPr="008A74A3">
              <w:rPr>
                <w:vertAlign w:val="subscript"/>
              </w:rPr>
              <w:t>d</w:t>
            </w:r>
          </w:p>
        </w:tc>
        <w:tc>
          <w:tcPr>
            <w:tcW w:w="488" w:type="pct"/>
            <w:tcBorders>
              <w:top w:val="nil"/>
              <w:left w:val="nil"/>
              <w:bottom w:val="nil"/>
              <w:right w:val="nil"/>
            </w:tcBorders>
          </w:tcPr>
          <w:p w14:paraId="2DB8F7DA" w14:textId="77777777" w:rsidR="0028753B" w:rsidRPr="008A74A3" w:rsidRDefault="0028753B" w:rsidP="00EB6779">
            <w:pPr>
              <w:pStyle w:val="TableText"/>
              <w:spacing w:before="0" w:after="0"/>
              <w:rPr>
                <w:sz w:val="16"/>
                <w:szCs w:val="16"/>
              </w:rPr>
            </w:pPr>
            <w:r w:rsidRPr="008A74A3">
              <w:rPr>
                <w:sz w:val="16"/>
                <w:szCs w:val="16"/>
              </w:rPr>
              <w:t>(L/kg)</w:t>
            </w:r>
          </w:p>
        </w:tc>
        <w:tc>
          <w:tcPr>
            <w:tcW w:w="871" w:type="pct"/>
            <w:tcBorders>
              <w:top w:val="nil"/>
              <w:left w:val="nil"/>
              <w:bottom w:val="nil"/>
              <w:right w:val="nil"/>
            </w:tcBorders>
          </w:tcPr>
          <w:p w14:paraId="2C091F24" w14:textId="77777777" w:rsidR="0028753B" w:rsidRPr="008A74A3" w:rsidRDefault="0028753B" w:rsidP="00EB6779">
            <w:pPr>
              <w:pStyle w:val="TableText"/>
              <w:spacing w:before="0" w:after="0"/>
              <w:jc w:val="right"/>
            </w:pPr>
            <w:r w:rsidRPr="008A74A3">
              <w:t>1100</w:t>
            </w:r>
          </w:p>
          <w:p w14:paraId="74FC83B6"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c>
          <w:tcPr>
            <w:tcW w:w="871" w:type="pct"/>
            <w:tcBorders>
              <w:top w:val="nil"/>
              <w:left w:val="nil"/>
              <w:bottom w:val="nil"/>
              <w:right w:val="nil"/>
            </w:tcBorders>
          </w:tcPr>
          <w:p w14:paraId="1655E2F1" w14:textId="77777777" w:rsidR="0028753B" w:rsidRPr="008A74A3" w:rsidRDefault="0028753B" w:rsidP="00EB6779">
            <w:pPr>
              <w:pStyle w:val="TableText"/>
              <w:spacing w:before="0" w:after="0"/>
              <w:jc w:val="right"/>
            </w:pPr>
            <w:r w:rsidRPr="008A74A3">
              <w:t>2250</w:t>
            </w:r>
          </w:p>
          <w:p w14:paraId="77EFFAE9"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c>
          <w:tcPr>
            <w:tcW w:w="872" w:type="pct"/>
            <w:tcBorders>
              <w:top w:val="nil"/>
              <w:left w:val="nil"/>
              <w:bottom w:val="nil"/>
              <w:right w:val="nil"/>
            </w:tcBorders>
          </w:tcPr>
          <w:p w14:paraId="4C79A1CC" w14:textId="77777777" w:rsidR="0028753B" w:rsidRPr="008A74A3" w:rsidRDefault="0028753B" w:rsidP="00EB6779">
            <w:pPr>
              <w:pStyle w:val="TableText"/>
              <w:spacing w:before="0" w:after="0"/>
              <w:jc w:val="right"/>
            </w:pPr>
            <w:r w:rsidRPr="008A74A3">
              <w:t>1100</w:t>
            </w:r>
          </w:p>
          <w:p w14:paraId="7140F156"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c>
          <w:tcPr>
            <w:tcW w:w="871" w:type="pct"/>
            <w:tcBorders>
              <w:top w:val="nil"/>
              <w:left w:val="nil"/>
              <w:bottom w:val="nil"/>
              <w:right w:val="nil"/>
            </w:tcBorders>
          </w:tcPr>
          <w:p w14:paraId="63777576" w14:textId="77777777" w:rsidR="0028753B" w:rsidRPr="008A74A3" w:rsidRDefault="0028753B" w:rsidP="00EB6779">
            <w:pPr>
              <w:pStyle w:val="TableText"/>
              <w:spacing w:before="0" w:after="0"/>
              <w:jc w:val="right"/>
            </w:pPr>
            <w:r w:rsidRPr="008A74A3">
              <w:t>2250</w:t>
            </w:r>
          </w:p>
          <w:p w14:paraId="78E22E91" w14:textId="77777777" w:rsidR="0028753B" w:rsidRPr="008A74A3" w:rsidRDefault="0028753B" w:rsidP="00EB6779">
            <w:pPr>
              <w:pStyle w:val="TableText"/>
              <w:spacing w:before="0" w:after="0"/>
              <w:jc w:val="right"/>
            </w:pPr>
            <w:r w:rsidRPr="008A74A3">
              <w:t>(10</w:t>
            </w:r>
            <w:r w:rsidRPr="008A74A3">
              <w:rPr>
                <w:vertAlign w:val="superscript"/>
              </w:rPr>
              <w:t>th</w:t>
            </w:r>
            <w:r w:rsidRPr="008A74A3">
              <w:t xml:space="preserve"> percentile)</w:t>
            </w:r>
          </w:p>
        </w:tc>
      </w:tr>
      <w:tr w:rsidR="0028753B" w:rsidRPr="008A74A3" w14:paraId="40069BF8" w14:textId="77777777" w:rsidTr="00444693">
        <w:tc>
          <w:tcPr>
            <w:tcW w:w="1027" w:type="pct"/>
            <w:tcBorders>
              <w:top w:val="nil"/>
              <w:left w:val="nil"/>
              <w:bottom w:val="nil"/>
              <w:right w:val="nil"/>
            </w:tcBorders>
          </w:tcPr>
          <w:p w14:paraId="56D74F58" w14:textId="77777777" w:rsidR="0028753B" w:rsidRPr="008A74A3" w:rsidRDefault="0028753B" w:rsidP="00EB6779">
            <w:pPr>
              <w:pStyle w:val="TableText"/>
              <w:spacing w:before="0" w:after="0"/>
            </w:pPr>
            <w:r w:rsidRPr="008A74A3">
              <w:t>Rainfall – P</w:t>
            </w:r>
          </w:p>
        </w:tc>
        <w:tc>
          <w:tcPr>
            <w:tcW w:w="488" w:type="pct"/>
            <w:tcBorders>
              <w:top w:val="nil"/>
              <w:left w:val="nil"/>
              <w:bottom w:val="nil"/>
              <w:right w:val="nil"/>
            </w:tcBorders>
          </w:tcPr>
          <w:p w14:paraId="1D0BB7A4" w14:textId="77777777" w:rsidR="0028753B" w:rsidRPr="008A74A3" w:rsidRDefault="0028753B" w:rsidP="00EB6779">
            <w:pPr>
              <w:pStyle w:val="TableText"/>
              <w:spacing w:before="0" w:after="0"/>
              <w:rPr>
                <w:sz w:val="16"/>
                <w:szCs w:val="16"/>
              </w:rPr>
            </w:pPr>
            <w:r w:rsidRPr="008A74A3">
              <w:rPr>
                <w:sz w:val="16"/>
                <w:szCs w:val="16"/>
              </w:rPr>
              <w:t>(mm)</w:t>
            </w:r>
          </w:p>
        </w:tc>
        <w:tc>
          <w:tcPr>
            <w:tcW w:w="871" w:type="pct"/>
            <w:tcBorders>
              <w:top w:val="nil"/>
              <w:left w:val="nil"/>
              <w:bottom w:val="nil"/>
              <w:right w:val="nil"/>
            </w:tcBorders>
          </w:tcPr>
          <w:p w14:paraId="6590CBCB" w14:textId="77777777" w:rsidR="0028753B" w:rsidRPr="008A74A3" w:rsidRDefault="0028753B" w:rsidP="00EB6779">
            <w:pPr>
              <w:pStyle w:val="TableText"/>
              <w:spacing w:before="0" w:after="0"/>
              <w:jc w:val="right"/>
            </w:pPr>
            <w:r w:rsidRPr="008A74A3">
              <w:t>8.00</w:t>
            </w:r>
          </w:p>
        </w:tc>
        <w:tc>
          <w:tcPr>
            <w:tcW w:w="871" w:type="pct"/>
            <w:tcBorders>
              <w:top w:val="nil"/>
              <w:left w:val="nil"/>
              <w:bottom w:val="nil"/>
              <w:right w:val="nil"/>
            </w:tcBorders>
          </w:tcPr>
          <w:p w14:paraId="7EE713F1" w14:textId="77777777" w:rsidR="0028753B" w:rsidRPr="008A74A3" w:rsidRDefault="0028753B" w:rsidP="00EB6779">
            <w:pPr>
              <w:pStyle w:val="TableText"/>
              <w:spacing w:before="0" w:after="0"/>
              <w:jc w:val="right"/>
            </w:pPr>
            <w:r w:rsidRPr="008A74A3">
              <w:t>8.00</w:t>
            </w:r>
          </w:p>
        </w:tc>
        <w:tc>
          <w:tcPr>
            <w:tcW w:w="872" w:type="pct"/>
            <w:tcBorders>
              <w:top w:val="nil"/>
              <w:left w:val="nil"/>
              <w:bottom w:val="nil"/>
              <w:right w:val="nil"/>
            </w:tcBorders>
          </w:tcPr>
          <w:p w14:paraId="01F505A8" w14:textId="77777777" w:rsidR="0028753B" w:rsidRPr="008A74A3" w:rsidRDefault="0028753B" w:rsidP="00EB6779">
            <w:pPr>
              <w:pStyle w:val="TableText"/>
              <w:spacing w:before="0" w:after="0"/>
              <w:jc w:val="right"/>
            </w:pPr>
            <w:r w:rsidRPr="008A74A3">
              <w:t>8.00</w:t>
            </w:r>
          </w:p>
        </w:tc>
        <w:tc>
          <w:tcPr>
            <w:tcW w:w="871" w:type="pct"/>
            <w:tcBorders>
              <w:top w:val="nil"/>
              <w:left w:val="nil"/>
              <w:bottom w:val="nil"/>
              <w:right w:val="nil"/>
            </w:tcBorders>
          </w:tcPr>
          <w:p w14:paraId="2FE6B04F" w14:textId="77777777" w:rsidR="0028753B" w:rsidRPr="008A74A3" w:rsidRDefault="0028753B" w:rsidP="00EB6779">
            <w:pPr>
              <w:pStyle w:val="TableText"/>
              <w:spacing w:before="0" w:after="0"/>
              <w:jc w:val="right"/>
            </w:pPr>
            <w:r w:rsidRPr="008A74A3">
              <w:t>8.00</w:t>
            </w:r>
          </w:p>
        </w:tc>
      </w:tr>
      <w:tr w:rsidR="0028753B" w:rsidRPr="008A74A3" w14:paraId="3F9EA222" w14:textId="77777777" w:rsidTr="00444693">
        <w:tc>
          <w:tcPr>
            <w:tcW w:w="1027" w:type="pct"/>
            <w:tcBorders>
              <w:top w:val="nil"/>
              <w:left w:val="nil"/>
              <w:bottom w:val="nil"/>
              <w:right w:val="nil"/>
            </w:tcBorders>
          </w:tcPr>
          <w:p w14:paraId="589A5EB2" w14:textId="77777777" w:rsidR="0028753B" w:rsidRPr="008A74A3" w:rsidRDefault="0028753B" w:rsidP="00EB6779">
            <w:pPr>
              <w:pStyle w:val="TableText"/>
              <w:spacing w:before="0" w:after="0"/>
            </w:pPr>
            <w:r w:rsidRPr="008A74A3">
              <w:t>Runoff – Q</w:t>
            </w:r>
          </w:p>
        </w:tc>
        <w:tc>
          <w:tcPr>
            <w:tcW w:w="488" w:type="pct"/>
            <w:tcBorders>
              <w:top w:val="nil"/>
              <w:left w:val="nil"/>
              <w:bottom w:val="nil"/>
              <w:right w:val="nil"/>
            </w:tcBorders>
          </w:tcPr>
          <w:p w14:paraId="352FB831" w14:textId="77777777" w:rsidR="0028753B" w:rsidRPr="008A74A3" w:rsidRDefault="0028753B" w:rsidP="00EB6779">
            <w:pPr>
              <w:pStyle w:val="TableText"/>
              <w:spacing w:before="0" w:after="0"/>
              <w:rPr>
                <w:sz w:val="16"/>
                <w:szCs w:val="16"/>
              </w:rPr>
            </w:pPr>
            <w:r w:rsidRPr="008A74A3">
              <w:rPr>
                <w:sz w:val="16"/>
                <w:szCs w:val="16"/>
              </w:rPr>
              <w:t>(mm)</w:t>
            </w:r>
          </w:p>
        </w:tc>
        <w:tc>
          <w:tcPr>
            <w:tcW w:w="871" w:type="pct"/>
            <w:tcBorders>
              <w:top w:val="nil"/>
              <w:left w:val="nil"/>
              <w:bottom w:val="nil"/>
              <w:right w:val="nil"/>
            </w:tcBorders>
          </w:tcPr>
          <w:p w14:paraId="02BA0E5D" w14:textId="77777777" w:rsidR="0028753B" w:rsidRPr="008A74A3" w:rsidRDefault="0028753B" w:rsidP="00EB6779">
            <w:pPr>
              <w:pStyle w:val="TableText"/>
              <w:spacing w:before="0" w:after="0"/>
              <w:jc w:val="right"/>
            </w:pPr>
            <w:r w:rsidRPr="008A74A3">
              <w:t>1.34</w:t>
            </w:r>
          </w:p>
        </w:tc>
        <w:tc>
          <w:tcPr>
            <w:tcW w:w="871" w:type="pct"/>
            <w:tcBorders>
              <w:top w:val="nil"/>
              <w:left w:val="nil"/>
              <w:bottom w:val="nil"/>
              <w:right w:val="nil"/>
            </w:tcBorders>
          </w:tcPr>
          <w:p w14:paraId="36C5C21A" w14:textId="77777777" w:rsidR="0028753B" w:rsidRPr="008A74A3" w:rsidRDefault="0028753B" w:rsidP="00EB6779">
            <w:pPr>
              <w:pStyle w:val="TableText"/>
              <w:spacing w:before="0" w:after="0"/>
              <w:jc w:val="right"/>
            </w:pPr>
            <w:r w:rsidRPr="008A74A3">
              <w:t>1.34</w:t>
            </w:r>
          </w:p>
        </w:tc>
        <w:tc>
          <w:tcPr>
            <w:tcW w:w="872" w:type="pct"/>
            <w:tcBorders>
              <w:top w:val="nil"/>
              <w:left w:val="nil"/>
              <w:bottom w:val="nil"/>
              <w:right w:val="nil"/>
            </w:tcBorders>
          </w:tcPr>
          <w:p w14:paraId="5BB441C1" w14:textId="77777777" w:rsidR="0028753B" w:rsidRPr="008A74A3" w:rsidRDefault="0028753B" w:rsidP="00EB6779">
            <w:pPr>
              <w:pStyle w:val="TableText"/>
              <w:spacing w:before="0" w:after="0"/>
              <w:jc w:val="right"/>
            </w:pPr>
            <w:r w:rsidRPr="008A74A3">
              <w:t>1.34</w:t>
            </w:r>
          </w:p>
        </w:tc>
        <w:tc>
          <w:tcPr>
            <w:tcW w:w="871" w:type="pct"/>
            <w:tcBorders>
              <w:top w:val="nil"/>
              <w:left w:val="nil"/>
              <w:bottom w:val="nil"/>
              <w:right w:val="nil"/>
            </w:tcBorders>
          </w:tcPr>
          <w:p w14:paraId="2D4B5F95" w14:textId="77777777" w:rsidR="0028753B" w:rsidRPr="008A74A3" w:rsidRDefault="0028753B" w:rsidP="00EB6779">
            <w:pPr>
              <w:pStyle w:val="TableText"/>
              <w:spacing w:before="0" w:after="0"/>
              <w:jc w:val="right"/>
            </w:pPr>
            <w:r w:rsidRPr="008A74A3">
              <w:t>1.34</w:t>
            </w:r>
          </w:p>
        </w:tc>
      </w:tr>
      <w:tr w:rsidR="0028753B" w:rsidRPr="008A74A3" w14:paraId="1EB7E4DE" w14:textId="77777777" w:rsidTr="00444693">
        <w:tc>
          <w:tcPr>
            <w:tcW w:w="1027" w:type="pct"/>
            <w:tcBorders>
              <w:top w:val="nil"/>
              <w:left w:val="nil"/>
              <w:bottom w:val="nil"/>
              <w:right w:val="nil"/>
            </w:tcBorders>
          </w:tcPr>
          <w:p w14:paraId="43BEC55F" w14:textId="77777777" w:rsidR="0028753B" w:rsidRPr="008A74A3" w:rsidRDefault="0028753B" w:rsidP="00EB6779">
            <w:pPr>
              <w:pStyle w:val="TableText"/>
              <w:spacing w:before="0" w:after="0"/>
            </w:pPr>
            <w:r w:rsidRPr="008A74A3">
              <w:t>Cr</w:t>
            </w:r>
            <w:r w:rsidRPr="008A74A3">
              <w:rPr>
                <w:vertAlign w:val="subscript"/>
              </w:rPr>
              <w:t>soil surface</w:t>
            </w:r>
          </w:p>
        </w:tc>
        <w:tc>
          <w:tcPr>
            <w:tcW w:w="488" w:type="pct"/>
            <w:tcBorders>
              <w:top w:val="nil"/>
              <w:left w:val="nil"/>
              <w:bottom w:val="nil"/>
              <w:right w:val="nil"/>
            </w:tcBorders>
          </w:tcPr>
          <w:p w14:paraId="08A6B13F" w14:textId="77777777" w:rsidR="0028753B" w:rsidRPr="008A74A3" w:rsidRDefault="0028753B" w:rsidP="00EB6779">
            <w:pPr>
              <w:pStyle w:val="TableText"/>
              <w:spacing w:before="0" w:after="0"/>
              <w:rPr>
                <w:sz w:val="16"/>
                <w:szCs w:val="16"/>
              </w:rPr>
            </w:pPr>
            <w:r w:rsidRPr="008A74A3">
              <w:rPr>
                <w:sz w:val="16"/>
                <w:szCs w:val="16"/>
              </w:rPr>
              <w:t>(fraction)</w:t>
            </w:r>
          </w:p>
        </w:tc>
        <w:tc>
          <w:tcPr>
            <w:tcW w:w="871" w:type="pct"/>
            <w:tcBorders>
              <w:top w:val="nil"/>
              <w:left w:val="nil"/>
              <w:bottom w:val="nil"/>
              <w:right w:val="nil"/>
            </w:tcBorders>
          </w:tcPr>
          <w:p w14:paraId="7DEA684B" w14:textId="77777777" w:rsidR="0028753B" w:rsidRPr="008A74A3" w:rsidRDefault="0028753B" w:rsidP="00EB6779">
            <w:pPr>
              <w:pStyle w:val="TableText"/>
              <w:spacing w:before="0" w:after="0"/>
              <w:jc w:val="right"/>
            </w:pPr>
            <w:r w:rsidRPr="008A74A3">
              <w:t>0.00091</w:t>
            </w:r>
          </w:p>
        </w:tc>
        <w:tc>
          <w:tcPr>
            <w:tcW w:w="871" w:type="pct"/>
            <w:tcBorders>
              <w:top w:val="nil"/>
              <w:left w:val="nil"/>
              <w:bottom w:val="nil"/>
              <w:right w:val="nil"/>
            </w:tcBorders>
          </w:tcPr>
          <w:p w14:paraId="24AFFE1C" w14:textId="77777777" w:rsidR="0028753B" w:rsidRPr="008A74A3" w:rsidRDefault="0028753B" w:rsidP="00EB6779">
            <w:pPr>
              <w:pStyle w:val="TableText"/>
              <w:spacing w:before="0" w:after="0"/>
              <w:jc w:val="right"/>
            </w:pPr>
            <w:r w:rsidRPr="008A74A3">
              <w:t>0.00044</w:t>
            </w:r>
          </w:p>
        </w:tc>
        <w:tc>
          <w:tcPr>
            <w:tcW w:w="872" w:type="pct"/>
            <w:tcBorders>
              <w:top w:val="nil"/>
              <w:left w:val="nil"/>
              <w:bottom w:val="nil"/>
              <w:right w:val="nil"/>
            </w:tcBorders>
          </w:tcPr>
          <w:p w14:paraId="0EB42B34" w14:textId="77777777" w:rsidR="0028753B" w:rsidRPr="008A74A3" w:rsidRDefault="0028753B" w:rsidP="00EB6779">
            <w:pPr>
              <w:pStyle w:val="TableText"/>
              <w:spacing w:before="0" w:after="0"/>
              <w:jc w:val="right"/>
            </w:pPr>
            <w:r w:rsidRPr="008A74A3">
              <w:t>0.00091</w:t>
            </w:r>
          </w:p>
        </w:tc>
        <w:tc>
          <w:tcPr>
            <w:tcW w:w="871" w:type="pct"/>
            <w:tcBorders>
              <w:top w:val="nil"/>
              <w:left w:val="nil"/>
              <w:bottom w:val="nil"/>
              <w:right w:val="nil"/>
            </w:tcBorders>
          </w:tcPr>
          <w:p w14:paraId="30EA11C1" w14:textId="77777777" w:rsidR="0028753B" w:rsidRPr="008A74A3" w:rsidRDefault="0028753B" w:rsidP="00EB6779">
            <w:pPr>
              <w:pStyle w:val="TableText"/>
              <w:spacing w:before="0" w:after="0"/>
              <w:jc w:val="right"/>
            </w:pPr>
            <w:r w:rsidRPr="008A74A3">
              <w:t>0.00044</w:t>
            </w:r>
          </w:p>
        </w:tc>
      </w:tr>
      <w:tr w:rsidR="0028753B" w:rsidRPr="008A74A3" w14:paraId="117D69E2" w14:textId="77777777" w:rsidTr="00444693">
        <w:tc>
          <w:tcPr>
            <w:tcW w:w="1027" w:type="pct"/>
            <w:tcBorders>
              <w:top w:val="nil"/>
              <w:left w:val="nil"/>
              <w:bottom w:val="nil"/>
              <w:right w:val="nil"/>
            </w:tcBorders>
          </w:tcPr>
          <w:p w14:paraId="0FD3E4A1" w14:textId="77777777" w:rsidR="0028753B" w:rsidRPr="008A74A3" w:rsidRDefault="0028753B" w:rsidP="00EB6779">
            <w:pPr>
              <w:pStyle w:val="TableText"/>
              <w:spacing w:before="0" w:after="0"/>
            </w:pPr>
            <w:r w:rsidRPr="008A74A3">
              <w:t>slope factor – F</w:t>
            </w:r>
          </w:p>
        </w:tc>
        <w:tc>
          <w:tcPr>
            <w:tcW w:w="488" w:type="pct"/>
            <w:tcBorders>
              <w:top w:val="nil"/>
              <w:left w:val="nil"/>
              <w:bottom w:val="nil"/>
              <w:right w:val="nil"/>
            </w:tcBorders>
          </w:tcPr>
          <w:p w14:paraId="4EF6AF02" w14:textId="77777777" w:rsidR="0028753B" w:rsidRPr="008A74A3" w:rsidRDefault="0028753B" w:rsidP="00EB6779">
            <w:pPr>
              <w:pStyle w:val="TableText"/>
              <w:spacing w:before="0" w:after="0"/>
              <w:rPr>
                <w:sz w:val="16"/>
                <w:szCs w:val="16"/>
              </w:rPr>
            </w:pPr>
            <w:r w:rsidRPr="008A74A3">
              <w:rPr>
                <w:sz w:val="16"/>
                <w:szCs w:val="16"/>
              </w:rPr>
              <w:t>(fraction)</w:t>
            </w:r>
          </w:p>
        </w:tc>
        <w:tc>
          <w:tcPr>
            <w:tcW w:w="871" w:type="pct"/>
            <w:tcBorders>
              <w:top w:val="nil"/>
              <w:left w:val="nil"/>
              <w:bottom w:val="nil"/>
              <w:right w:val="nil"/>
            </w:tcBorders>
          </w:tcPr>
          <w:p w14:paraId="68A4B43E" w14:textId="77777777" w:rsidR="0028753B" w:rsidRPr="008A74A3" w:rsidRDefault="0028753B" w:rsidP="00EB6779">
            <w:pPr>
              <w:pStyle w:val="TableText"/>
              <w:spacing w:before="0" w:after="0"/>
              <w:jc w:val="right"/>
            </w:pPr>
            <w:r w:rsidRPr="008A74A3">
              <w:t>0.26</w:t>
            </w:r>
          </w:p>
        </w:tc>
        <w:tc>
          <w:tcPr>
            <w:tcW w:w="871" w:type="pct"/>
            <w:tcBorders>
              <w:top w:val="nil"/>
              <w:left w:val="nil"/>
              <w:bottom w:val="nil"/>
              <w:right w:val="nil"/>
            </w:tcBorders>
          </w:tcPr>
          <w:p w14:paraId="11A3AA88" w14:textId="77777777" w:rsidR="0028753B" w:rsidRPr="008A74A3" w:rsidRDefault="0028753B" w:rsidP="00EB6779">
            <w:pPr>
              <w:pStyle w:val="TableText"/>
              <w:spacing w:before="0" w:after="0"/>
              <w:jc w:val="right"/>
            </w:pPr>
            <w:r w:rsidRPr="008A74A3">
              <w:t>0.26</w:t>
            </w:r>
          </w:p>
        </w:tc>
        <w:tc>
          <w:tcPr>
            <w:tcW w:w="872" w:type="pct"/>
            <w:tcBorders>
              <w:top w:val="nil"/>
              <w:left w:val="nil"/>
              <w:bottom w:val="nil"/>
              <w:right w:val="nil"/>
            </w:tcBorders>
          </w:tcPr>
          <w:p w14:paraId="4ED1EE7C" w14:textId="77777777" w:rsidR="0028753B" w:rsidRPr="008A74A3" w:rsidRDefault="0028753B" w:rsidP="00EB6779">
            <w:pPr>
              <w:pStyle w:val="TableText"/>
              <w:spacing w:before="0" w:after="0"/>
              <w:jc w:val="right"/>
            </w:pPr>
            <w:r w:rsidRPr="008A74A3">
              <w:t>0.077</w:t>
            </w:r>
          </w:p>
        </w:tc>
        <w:tc>
          <w:tcPr>
            <w:tcW w:w="871" w:type="pct"/>
            <w:tcBorders>
              <w:top w:val="nil"/>
              <w:left w:val="nil"/>
              <w:bottom w:val="nil"/>
              <w:right w:val="nil"/>
            </w:tcBorders>
          </w:tcPr>
          <w:p w14:paraId="66B6E509" w14:textId="77777777" w:rsidR="0028753B" w:rsidRPr="008A74A3" w:rsidRDefault="0028753B" w:rsidP="00EB6779">
            <w:pPr>
              <w:pStyle w:val="TableText"/>
              <w:spacing w:before="0" w:after="0"/>
              <w:jc w:val="right"/>
            </w:pPr>
            <w:r w:rsidRPr="008A74A3">
              <w:t>0.077</w:t>
            </w:r>
          </w:p>
        </w:tc>
      </w:tr>
      <w:tr w:rsidR="0028753B" w:rsidRPr="008A74A3" w14:paraId="18D50AC9" w14:textId="77777777" w:rsidTr="00444693">
        <w:tc>
          <w:tcPr>
            <w:tcW w:w="1027" w:type="pct"/>
            <w:tcBorders>
              <w:top w:val="nil"/>
              <w:left w:val="nil"/>
              <w:bottom w:val="single" w:sz="4" w:space="0" w:color="auto"/>
              <w:right w:val="nil"/>
            </w:tcBorders>
          </w:tcPr>
          <w:p w14:paraId="1353ADE4" w14:textId="77777777" w:rsidR="0028753B" w:rsidRPr="008A74A3" w:rsidRDefault="0028753B" w:rsidP="00EB6779">
            <w:pPr>
              <w:pStyle w:val="TableText"/>
              <w:spacing w:before="0" w:after="0"/>
            </w:pPr>
            <w:r w:rsidRPr="008A74A3">
              <w:t>Runoff</w:t>
            </w:r>
          </w:p>
        </w:tc>
        <w:tc>
          <w:tcPr>
            <w:tcW w:w="488" w:type="pct"/>
            <w:tcBorders>
              <w:top w:val="nil"/>
              <w:left w:val="nil"/>
              <w:bottom w:val="single" w:sz="4" w:space="0" w:color="auto"/>
              <w:right w:val="nil"/>
            </w:tcBorders>
          </w:tcPr>
          <w:p w14:paraId="0C42AC71" w14:textId="77777777" w:rsidR="0028753B" w:rsidRPr="008A74A3" w:rsidRDefault="0028753B" w:rsidP="00EB6779">
            <w:pPr>
              <w:pStyle w:val="TableText"/>
              <w:spacing w:before="0" w:after="0"/>
              <w:rPr>
                <w:sz w:val="16"/>
                <w:szCs w:val="16"/>
              </w:rPr>
            </w:pPr>
            <w:r w:rsidRPr="008A74A3">
              <w:rPr>
                <w:sz w:val="16"/>
                <w:szCs w:val="16"/>
              </w:rPr>
              <w:t>(% applied)</w:t>
            </w:r>
          </w:p>
        </w:tc>
        <w:tc>
          <w:tcPr>
            <w:tcW w:w="871" w:type="pct"/>
            <w:tcBorders>
              <w:top w:val="nil"/>
              <w:left w:val="nil"/>
              <w:bottom w:val="single" w:sz="4" w:space="0" w:color="auto"/>
              <w:right w:val="nil"/>
            </w:tcBorders>
          </w:tcPr>
          <w:p w14:paraId="74DE2FC2" w14:textId="77777777" w:rsidR="0028753B" w:rsidRPr="008A74A3" w:rsidRDefault="0028753B" w:rsidP="00EB6779">
            <w:pPr>
              <w:pStyle w:val="TableText"/>
              <w:spacing w:before="0" w:after="0"/>
              <w:jc w:val="right"/>
            </w:pPr>
            <w:r w:rsidRPr="008A74A3">
              <w:t>0.000020</w:t>
            </w:r>
          </w:p>
        </w:tc>
        <w:tc>
          <w:tcPr>
            <w:tcW w:w="871" w:type="pct"/>
            <w:tcBorders>
              <w:top w:val="nil"/>
              <w:left w:val="nil"/>
              <w:bottom w:val="single" w:sz="4" w:space="0" w:color="auto"/>
              <w:right w:val="nil"/>
            </w:tcBorders>
          </w:tcPr>
          <w:p w14:paraId="0ADB14F9" w14:textId="77777777" w:rsidR="0028753B" w:rsidRPr="008A74A3" w:rsidRDefault="0028753B" w:rsidP="00EB6779">
            <w:pPr>
              <w:pStyle w:val="TableText"/>
              <w:spacing w:before="0" w:after="0"/>
              <w:jc w:val="right"/>
            </w:pPr>
            <w:r w:rsidRPr="008A74A3">
              <w:t>0.0000098</w:t>
            </w:r>
          </w:p>
        </w:tc>
        <w:tc>
          <w:tcPr>
            <w:tcW w:w="872" w:type="pct"/>
            <w:tcBorders>
              <w:top w:val="nil"/>
              <w:left w:val="nil"/>
              <w:bottom w:val="single" w:sz="4" w:space="0" w:color="auto"/>
              <w:right w:val="nil"/>
            </w:tcBorders>
          </w:tcPr>
          <w:p w14:paraId="11C052BA" w14:textId="77777777" w:rsidR="0028753B" w:rsidRPr="008A74A3" w:rsidRDefault="0028753B" w:rsidP="00EB6779">
            <w:pPr>
              <w:pStyle w:val="TableText"/>
              <w:spacing w:before="0" w:after="0"/>
              <w:jc w:val="right"/>
            </w:pPr>
            <w:r w:rsidRPr="008A74A3">
              <w:t>0.0000059</w:t>
            </w:r>
          </w:p>
        </w:tc>
        <w:tc>
          <w:tcPr>
            <w:tcW w:w="871" w:type="pct"/>
            <w:tcBorders>
              <w:top w:val="nil"/>
              <w:left w:val="nil"/>
              <w:bottom w:val="single" w:sz="4" w:space="0" w:color="auto"/>
              <w:right w:val="nil"/>
            </w:tcBorders>
          </w:tcPr>
          <w:p w14:paraId="1A325AE0" w14:textId="77777777" w:rsidR="0028753B" w:rsidRPr="008A74A3" w:rsidRDefault="0028753B" w:rsidP="00EB6779">
            <w:pPr>
              <w:pStyle w:val="TableText"/>
              <w:spacing w:before="0" w:after="0"/>
              <w:jc w:val="right"/>
            </w:pPr>
            <w:r w:rsidRPr="008A74A3">
              <w:t>0.0000029</w:t>
            </w:r>
          </w:p>
        </w:tc>
      </w:tr>
      <w:tr w:rsidR="0028753B" w:rsidRPr="008A74A3" w14:paraId="30E354D4" w14:textId="77777777" w:rsidTr="0028753B">
        <w:tc>
          <w:tcPr>
            <w:tcW w:w="4129" w:type="pct"/>
            <w:gridSpan w:val="5"/>
            <w:tcBorders>
              <w:top w:val="single" w:sz="4" w:space="0" w:color="auto"/>
              <w:left w:val="nil"/>
              <w:bottom w:val="single" w:sz="4" w:space="0" w:color="auto"/>
              <w:right w:val="nil"/>
            </w:tcBorders>
          </w:tcPr>
          <w:p w14:paraId="131956F5" w14:textId="77777777" w:rsidR="0028753B" w:rsidRPr="008A74A3" w:rsidRDefault="0028753B" w:rsidP="00EB6779">
            <w:pPr>
              <w:pStyle w:val="TableSubHead0"/>
              <w:spacing w:before="0" w:after="0"/>
            </w:pPr>
            <w:r w:rsidRPr="008A74A3">
              <w:t>Water</w:t>
            </w:r>
          </w:p>
        </w:tc>
        <w:tc>
          <w:tcPr>
            <w:tcW w:w="871" w:type="pct"/>
            <w:tcBorders>
              <w:top w:val="single" w:sz="4" w:space="0" w:color="auto"/>
              <w:left w:val="nil"/>
              <w:bottom w:val="single" w:sz="4" w:space="0" w:color="auto"/>
              <w:right w:val="nil"/>
            </w:tcBorders>
          </w:tcPr>
          <w:p w14:paraId="4E29B3CB" w14:textId="77777777" w:rsidR="0028753B" w:rsidRPr="008A74A3" w:rsidRDefault="0028753B" w:rsidP="00EB6779">
            <w:pPr>
              <w:pStyle w:val="TableText"/>
              <w:spacing w:before="0" w:after="0"/>
            </w:pPr>
          </w:p>
        </w:tc>
      </w:tr>
      <w:tr w:rsidR="0028753B" w:rsidRPr="008A74A3" w14:paraId="07D3178D" w14:textId="77777777" w:rsidTr="00444693">
        <w:tc>
          <w:tcPr>
            <w:tcW w:w="1027" w:type="pct"/>
            <w:tcBorders>
              <w:top w:val="single" w:sz="4" w:space="0" w:color="auto"/>
              <w:left w:val="nil"/>
              <w:bottom w:val="nil"/>
              <w:right w:val="nil"/>
            </w:tcBorders>
          </w:tcPr>
          <w:p w14:paraId="1C3A19F1" w14:textId="77777777" w:rsidR="0028753B" w:rsidRPr="008A74A3" w:rsidRDefault="0028753B" w:rsidP="00EB6779">
            <w:pPr>
              <w:pStyle w:val="TableText"/>
              <w:spacing w:before="0" w:after="0"/>
            </w:pPr>
            <w:r w:rsidRPr="008A74A3">
              <w:t xml:space="preserve">PEC </w:t>
            </w:r>
          </w:p>
        </w:tc>
        <w:tc>
          <w:tcPr>
            <w:tcW w:w="488" w:type="pct"/>
            <w:tcBorders>
              <w:top w:val="single" w:sz="4" w:space="0" w:color="auto"/>
              <w:left w:val="nil"/>
              <w:bottom w:val="nil"/>
              <w:right w:val="nil"/>
            </w:tcBorders>
          </w:tcPr>
          <w:p w14:paraId="7C01EC9E" w14:textId="77777777" w:rsidR="0028753B" w:rsidRPr="008A74A3" w:rsidRDefault="0028753B" w:rsidP="00EB6779">
            <w:pPr>
              <w:pStyle w:val="TableText"/>
              <w:spacing w:before="0" w:after="0"/>
              <w:rPr>
                <w:sz w:val="16"/>
                <w:szCs w:val="16"/>
              </w:rPr>
            </w:pPr>
            <w:r w:rsidRPr="008A74A3">
              <w:rPr>
                <w:sz w:val="16"/>
                <w:szCs w:val="16"/>
              </w:rPr>
              <w:t>(</w:t>
            </w:r>
            <w:r w:rsidRPr="008A74A3">
              <w:rPr>
                <w:sz w:val="16"/>
                <w:szCs w:val="16"/>
                <w:lang w:eastAsia="en-AU"/>
              </w:rPr>
              <w:t>µg/L</w:t>
            </w:r>
            <w:r w:rsidRPr="008A74A3">
              <w:rPr>
                <w:sz w:val="16"/>
                <w:szCs w:val="16"/>
              </w:rPr>
              <w:t>)</w:t>
            </w:r>
          </w:p>
        </w:tc>
        <w:tc>
          <w:tcPr>
            <w:tcW w:w="871" w:type="pct"/>
            <w:tcBorders>
              <w:top w:val="single" w:sz="4" w:space="0" w:color="auto"/>
              <w:left w:val="nil"/>
              <w:bottom w:val="nil"/>
              <w:right w:val="nil"/>
            </w:tcBorders>
          </w:tcPr>
          <w:p w14:paraId="70DF60D5" w14:textId="77777777" w:rsidR="0028753B" w:rsidRPr="008A74A3" w:rsidRDefault="0028753B" w:rsidP="00EB6779">
            <w:pPr>
              <w:pStyle w:val="TableText"/>
              <w:spacing w:before="0" w:after="0"/>
              <w:jc w:val="right"/>
            </w:pPr>
            <w:r w:rsidRPr="008A74A3">
              <w:t>0.96</w:t>
            </w:r>
          </w:p>
        </w:tc>
        <w:tc>
          <w:tcPr>
            <w:tcW w:w="871" w:type="pct"/>
            <w:tcBorders>
              <w:top w:val="single" w:sz="4" w:space="0" w:color="auto"/>
              <w:left w:val="nil"/>
              <w:bottom w:val="nil"/>
              <w:right w:val="nil"/>
            </w:tcBorders>
          </w:tcPr>
          <w:p w14:paraId="4492B9E6" w14:textId="77777777" w:rsidR="0028753B" w:rsidRPr="008A74A3" w:rsidRDefault="0028753B" w:rsidP="00EB6779">
            <w:pPr>
              <w:pStyle w:val="TableText"/>
              <w:spacing w:before="0" w:after="0"/>
              <w:jc w:val="right"/>
            </w:pPr>
            <w:r w:rsidRPr="008A74A3">
              <w:t>0.9</w:t>
            </w:r>
            <w:r>
              <w:t>6</w:t>
            </w:r>
          </w:p>
        </w:tc>
        <w:tc>
          <w:tcPr>
            <w:tcW w:w="872" w:type="pct"/>
            <w:tcBorders>
              <w:top w:val="single" w:sz="4" w:space="0" w:color="auto"/>
              <w:left w:val="nil"/>
              <w:bottom w:val="nil"/>
              <w:right w:val="nil"/>
            </w:tcBorders>
          </w:tcPr>
          <w:p w14:paraId="4BF28365" w14:textId="77777777" w:rsidR="0028753B" w:rsidRPr="008A74A3" w:rsidRDefault="0028753B" w:rsidP="00EB6779">
            <w:pPr>
              <w:pStyle w:val="TableText"/>
              <w:spacing w:before="0" w:after="0"/>
              <w:jc w:val="right"/>
            </w:pPr>
            <w:r w:rsidRPr="008A74A3">
              <w:t>0.28</w:t>
            </w:r>
          </w:p>
        </w:tc>
        <w:tc>
          <w:tcPr>
            <w:tcW w:w="871" w:type="pct"/>
            <w:tcBorders>
              <w:top w:val="single" w:sz="4" w:space="0" w:color="auto"/>
              <w:left w:val="nil"/>
              <w:bottom w:val="nil"/>
              <w:right w:val="nil"/>
            </w:tcBorders>
          </w:tcPr>
          <w:p w14:paraId="31A7A78A" w14:textId="77777777" w:rsidR="0028753B" w:rsidRPr="008A74A3" w:rsidRDefault="0028753B" w:rsidP="00EB6779">
            <w:pPr>
              <w:pStyle w:val="TableText"/>
              <w:spacing w:before="0" w:after="0"/>
              <w:jc w:val="right"/>
            </w:pPr>
            <w:r w:rsidRPr="008A74A3">
              <w:t>0.2</w:t>
            </w:r>
            <w:r>
              <w:t>8</w:t>
            </w:r>
          </w:p>
        </w:tc>
      </w:tr>
      <w:tr w:rsidR="0028753B" w:rsidRPr="008A74A3" w14:paraId="265B62DE" w14:textId="77777777" w:rsidTr="00444693">
        <w:tc>
          <w:tcPr>
            <w:tcW w:w="1027" w:type="pct"/>
            <w:tcBorders>
              <w:top w:val="nil"/>
              <w:left w:val="nil"/>
              <w:bottom w:val="nil"/>
              <w:right w:val="nil"/>
            </w:tcBorders>
          </w:tcPr>
          <w:p w14:paraId="483B3B76" w14:textId="77777777" w:rsidR="0028753B" w:rsidRPr="008A74A3" w:rsidRDefault="0028753B" w:rsidP="00EB6779">
            <w:pPr>
              <w:pStyle w:val="TableText"/>
              <w:spacing w:before="0" w:after="0"/>
            </w:pPr>
            <w:r w:rsidRPr="008A74A3">
              <w:t>RAL</w:t>
            </w:r>
          </w:p>
        </w:tc>
        <w:tc>
          <w:tcPr>
            <w:tcW w:w="488" w:type="pct"/>
            <w:tcBorders>
              <w:top w:val="nil"/>
              <w:left w:val="nil"/>
              <w:bottom w:val="nil"/>
              <w:right w:val="nil"/>
            </w:tcBorders>
          </w:tcPr>
          <w:p w14:paraId="23650366" w14:textId="77777777" w:rsidR="0028753B" w:rsidRPr="008A74A3" w:rsidRDefault="0028753B" w:rsidP="00EB6779">
            <w:pPr>
              <w:pStyle w:val="TableText"/>
              <w:spacing w:before="0" w:after="0"/>
              <w:rPr>
                <w:sz w:val="16"/>
                <w:szCs w:val="16"/>
              </w:rPr>
            </w:pPr>
            <w:r w:rsidRPr="008A74A3">
              <w:rPr>
                <w:sz w:val="16"/>
                <w:szCs w:val="16"/>
              </w:rPr>
              <w:t>(</w:t>
            </w:r>
            <w:r w:rsidRPr="008A74A3">
              <w:rPr>
                <w:sz w:val="16"/>
                <w:szCs w:val="16"/>
                <w:lang w:eastAsia="en-AU"/>
              </w:rPr>
              <w:t>µg/L</w:t>
            </w:r>
            <w:r w:rsidRPr="008A74A3">
              <w:rPr>
                <w:sz w:val="16"/>
                <w:szCs w:val="16"/>
              </w:rPr>
              <w:t>)</w:t>
            </w:r>
          </w:p>
        </w:tc>
        <w:tc>
          <w:tcPr>
            <w:tcW w:w="871" w:type="pct"/>
            <w:tcBorders>
              <w:top w:val="nil"/>
              <w:left w:val="nil"/>
              <w:bottom w:val="nil"/>
              <w:right w:val="nil"/>
            </w:tcBorders>
          </w:tcPr>
          <w:p w14:paraId="7540183F" w14:textId="77777777" w:rsidR="0028753B" w:rsidRPr="008A74A3" w:rsidRDefault="0028753B" w:rsidP="00EB6779">
            <w:pPr>
              <w:pStyle w:val="TableText"/>
              <w:spacing w:before="0" w:after="0"/>
              <w:jc w:val="right"/>
            </w:pPr>
            <w:r w:rsidRPr="008A74A3">
              <w:t>0.15</w:t>
            </w:r>
          </w:p>
        </w:tc>
        <w:tc>
          <w:tcPr>
            <w:tcW w:w="871" w:type="pct"/>
            <w:tcBorders>
              <w:top w:val="nil"/>
              <w:left w:val="nil"/>
              <w:bottom w:val="nil"/>
              <w:right w:val="nil"/>
            </w:tcBorders>
          </w:tcPr>
          <w:p w14:paraId="36EF31EE" w14:textId="77777777" w:rsidR="0028753B" w:rsidRPr="008A74A3" w:rsidRDefault="0028753B" w:rsidP="00EB6779">
            <w:pPr>
              <w:pStyle w:val="TableText"/>
              <w:spacing w:before="0" w:after="0"/>
              <w:jc w:val="right"/>
            </w:pPr>
            <w:r w:rsidRPr="008A74A3">
              <w:t>0.15</w:t>
            </w:r>
          </w:p>
        </w:tc>
        <w:tc>
          <w:tcPr>
            <w:tcW w:w="872" w:type="pct"/>
            <w:tcBorders>
              <w:top w:val="nil"/>
              <w:left w:val="nil"/>
              <w:bottom w:val="nil"/>
              <w:right w:val="nil"/>
            </w:tcBorders>
          </w:tcPr>
          <w:p w14:paraId="115B59D8" w14:textId="77777777" w:rsidR="0028753B" w:rsidRPr="008A74A3" w:rsidRDefault="0028753B" w:rsidP="00EB6779">
            <w:pPr>
              <w:pStyle w:val="TableText"/>
              <w:spacing w:before="0" w:after="0"/>
              <w:jc w:val="right"/>
            </w:pPr>
            <w:r w:rsidRPr="008A74A3">
              <w:t>0.15</w:t>
            </w:r>
          </w:p>
        </w:tc>
        <w:tc>
          <w:tcPr>
            <w:tcW w:w="871" w:type="pct"/>
            <w:tcBorders>
              <w:top w:val="nil"/>
              <w:left w:val="nil"/>
              <w:bottom w:val="nil"/>
              <w:right w:val="nil"/>
            </w:tcBorders>
          </w:tcPr>
          <w:p w14:paraId="789279E6" w14:textId="77777777" w:rsidR="0028753B" w:rsidRPr="008A74A3" w:rsidRDefault="0028753B" w:rsidP="00EB6779">
            <w:pPr>
              <w:pStyle w:val="TableText"/>
              <w:spacing w:before="0" w:after="0"/>
              <w:jc w:val="right"/>
            </w:pPr>
            <w:r w:rsidRPr="008A74A3">
              <w:t>0.15</w:t>
            </w:r>
          </w:p>
        </w:tc>
      </w:tr>
      <w:tr w:rsidR="0028753B" w:rsidRPr="008A74A3" w14:paraId="70026D7E" w14:textId="77777777" w:rsidTr="00444693">
        <w:tc>
          <w:tcPr>
            <w:tcW w:w="1027" w:type="pct"/>
            <w:tcBorders>
              <w:top w:val="nil"/>
              <w:left w:val="nil"/>
              <w:bottom w:val="single" w:sz="4" w:space="0" w:color="auto"/>
              <w:right w:val="nil"/>
            </w:tcBorders>
          </w:tcPr>
          <w:p w14:paraId="1AECB14C" w14:textId="77777777" w:rsidR="0028753B" w:rsidRPr="008A74A3" w:rsidRDefault="0028753B" w:rsidP="00EB6779">
            <w:pPr>
              <w:pStyle w:val="TableText"/>
              <w:spacing w:before="0" w:after="0"/>
            </w:pPr>
            <w:r w:rsidRPr="008A74A3">
              <w:t>Risk quotient</w:t>
            </w:r>
          </w:p>
        </w:tc>
        <w:tc>
          <w:tcPr>
            <w:tcW w:w="488" w:type="pct"/>
            <w:tcBorders>
              <w:top w:val="nil"/>
              <w:left w:val="nil"/>
              <w:bottom w:val="single" w:sz="4" w:space="0" w:color="auto"/>
              <w:right w:val="nil"/>
            </w:tcBorders>
          </w:tcPr>
          <w:p w14:paraId="055A7180" w14:textId="77777777" w:rsidR="0028753B" w:rsidRPr="008A74A3" w:rsidRDefault="0028753B" w:rsidP="00EB6779">
            <w:pPr>
              <w:pStyle w:val="TableText"/>
              <w:spacing w:before="0" w:after="0"/>
              <w:rPr>
                <w:sz w:val="16"/>
                <w:szCs w:val="16"/>
              </w:rPr>
            </w:pPr>
            <w:r w:rsidRPr="008A74A3">
              <w:rPr>
                <w:sz w:val="16"/>
                <w:szCs w:val="16"/>
              </w:rPr>
              <w:t>(fraction)</w:t>
            </w:r>
          </w:p>
        </w:tc>
        <w:tc>
          <w:tcPr>
            <w:tcW w:w="871" w:type="pct"/>
            <w:tcBorders>
              <w:top w:val="nil"/>
              <w:left w:val="nil"/>
              <w:bottom w:val="single" w:sz="4" w:space="0" w:color="auto"/>
              <w:right w:val="nil"/>
            </w:tcBorders>
            <w:shd w:val="clear" w:color="auto" w:fill="FF0000"/>
          </w:tcPr>
          <w:p w14:paraId="79C0FA83" w14:textId="77777777" w:rsidR="0028753B" w:rsidRPr="008A74A3" w:rsidRDefault="0028753B" w:rsidP="00EB6779">
            <w:pPr>
              <w:pStyle w:val="TableText"/>
              <w:spacing w:before="0" w:after="0"/>
              <w:jc w:val="right"/>
              <w:rPr>
                <w:b/>
                <w:bCs/>
              </w:rPr>
            </w:pPr>
            <w:r w:rsidRPr="008A74A3">
              <w:rPr>
                <w:b/>
                <w:bCs/>
              </w:rPr>
              <w:t>6.4</w:t>
            </w:r>
          </w:p>
        </w:tc>
        <w:tc>
          <w:tcPr>
            <w:tcW w:w="871" w:type="pct"/>
            <w:tcBorders>
              <w:top w:val="nil"/>
              <w:left w:val="nil"/>
              <w:bottom w:val="single" w:sz="4" w:space="0" w:color="auto"/>
              <w:right w:val="nil"/>
            </w:tcBorders>
            <w:shd w:val="clear" w:color="auto" w:fill="FF0000"/>
          </w:tcPr>
          <w:p w14:paraId="7B576A93" w14:textId="77777777" w:rsidR="0028753B" w:rsidRPr="008A74A3" w:rsidRDefault="0028753B" w:rsidP="00EB6779">
            <w:pPr>
              <w:pStyle w:val="TableText"/>
              <w:spacing w:before="0" w:after="0"/>
              <w:jc w:val="right"/>
              <w:rPr>
                <w:b/>
                <w:bCs/>
              </w:rPr>
            </w:pPr>
            <w:r w:rsidRPr="008A74A3">
              <w:rPr>
                <w:b/>
                <w:bCs/>
              </w:rPr>
              <w:t>6.</w:t>
            </w:r>
            <w:r>
              <w:rPr>
                <w:b/>
                <w:bCs/>
              </w:rPr>
              <w:t>4</w:t>
            </w:r>
          </w:p>
        </w:tc>
        <w:tc>
          <w:tcPr>
            <w:tcW w:w="872" w:type="pct"/>
            <w:tcBorders>
              <w:top w:val="nil"/>
              <w:left w:val="nil"/>
              <w:bottom w:val="single" w:sz="4" w:space="0" w:color="auto"/>
              <w:right w:val="nil"/>
            </w:tcBorders>
            <w:shd w:val="clear" w:color="auto" w:fill="FF0000"/>
          </w:tcPr>
          <w:p w14:paraId="63A07453" w14:textId="77777777" w:rsidR="0028753B" w:rsidRPr="008A74A3" w:rsidRDefault="0028753B" w:rsidP="00EB6779">
            <w:pPr>
              <w:pStyle w:val="TableText"/>
              <w:spacing w:before="0" w:after="0"/>
              <w:jc w:val="right"/>
              <w:rPr>
                <w:b/>
                <w:bCs/>
              </w:rPr>
            </w:pPr>
            <w:r w:rsidRPr="008A74A3">
              <w:rPr>
                <w:b/>
                <w:bCs/>
              </w:rPr>
              <w:t>1.9</w:t>
            </w:r>
          </w:p>
        </w:tc>
        <w:tc>
          <w:tcPr>
            <w:tcW w:w="871" w:type="pct"/>
            <w:tcBorders>
              <w:top w:val="nil"/>
              <w:left w:val="nil"/>
              <w:bottom w:val="single" w:sz="4" w:space="0" w:color="auto"/>
              <w:right w:val="nil"/>
            </w:tcBorders>
            <w:shd w:val="clear" w:color="auto" w:fill="FF0000"/>
          </w:tcPr>
          <w:p w14:paraId="1D9B75C9" w14:textId="77777777" w:rsidR="0028753B" w:rsidRPr="008A74A3" w:rsidRDefault="0028753B" w:rsidP="00EB6779">
            <w:pPr>
              <w:pStyle w:val="TableText"/>
              <w:spacing w:before="0" w:after="0"/>
              <w:jc w:val="right"/>
              <w:rPr>
                <w:b/>
                <w:bCs/>
              </w:rPr>
            </w:pPr>
            <w:r w:rsidRPr="008A74A3">
              <w:rPr>
                <w:b/>
                <w:bCs/>
              </w:rPr>
              <w:t>1.9</w:t>
            </w:r>
          </w:p>
        </w:tc>
      </w:tr>
      <w:tr w:rsidR="0028753B" w:rsidRPr="008A74A3" w14:paraId="037CE951" w14:textId="77777777" w:rsidTr="0028753B">
        <w:tc>
          <w:tcPr>
            <w:tcW w:w="4129" w:type="pct"/>
            <w:gridSpan w:val="5"/>
            <w:tcBorders>
              <w:top w:val="single" w:sz="4" w:space="0" w:color="auto"/>
              <w:left w:val="nil"/>
              <w:bottom w:val="single" w:sz="4" w:space="0" w:color="auto"/>
              <w:right w:val="nil"/>
            </w:tcBorders>
          </w:tcPr>
          <w:p w14:paraId="3F7F66B9" w14:textId="77777777" w:rsidR="0028753B" w:rsidRPr="008A74A3" w:rsidRDefault="0028753B" w:rsidP="00EB6779">
            <w:pPr>
              <w:pStyle w:val="TableSubHead0"/>
              <w:spacing w:before="0" w:after="0"/>
            </w:pPr>
            <w:r w:rsidRPr="008A74A3">
              <w:t>Sediment</w:t>
            </w:r>
          </w:p>
        </w:tc>
        <w:tc>
          <w:tcPr>
            <w:tcW w:w="871" w:type="pct"/>
            <w:tcBorders>
              <w:top w:val="single" w:sz="4" w:space="0" w:color="auto"/>
              <w:left w:val="nil"/>
              <w:bottom w:val="single" w:sz="4" w:space="0" w:color="auto"/>
              <w:right w:val="nil"/>
            </w:tcBorders>
          </w:tcPr>
          <w:p w14:paraId="1594AB50" w14:textId="77777777" w:rsidR="0028753B" w:rsidRPr="008A74A3" w:rsidRDefault="0028753B" w:rsidP="00EB6779">
            <w:pPr>
              <w:pStyle w:val="TableText"/>
              <w:spacing w:before="0" w:after="0"/>
            </w:pPr>
          </w:p>
        </w:tc>
      </w:tr>
      <w:tr w:rsidR="0028753B" w:rsidRPr="008A74A3" w14:paraId="63492746" w14:textId="77777777" w:rsidTr="00444693">
        <w:tc>
          <w:tcPr>
            <w:tcW w:w="1027" w:type="pct"/>
            <w:tcBorders>
              <w:top w:val="single" w:sz="4" w:space="0" w:color="auto"/>
              <w:left w:val="nil"/>
              <w:bottom w:val="nil"/>
              <w:right w:val="nil"/>
            </w:tcBorders>
          </w:tcPr>
          <w:p w14:paraId="6A0F8650" w14:textId="77777777" w:rsidR="0028753B" w:rsidRPr="008A74A3" w:rsidRDefault="0028753B" w:rsidP="00EB6779">
            <w:pPr>
              <w:pStyle w:val="TableText"/>
              <w:spacing w:before="0" w:after="0"/>
            </w:pPr>
            <w:r w:rsidRPr="008A74A3">
              <w:t xml:space="preserve">PEC </w:t>
            </w:r>
          </w:p>
        </w:tc>
        <w:tc>
          <w:tcPr>
            <w:tcW w:w="488" w:type="pct"/>
            <w:tcBorders>
              <w:top w:val="single" w:sz="4" w:space="0" w:color="auto"/>
              <w:left w:val="nil"/>
              <w:bottom w:val="nil"/>
              <w:right w:val="nil"/>
            </w:tcBorders>
          </w:tcPr>
          <w:p w14:paraId="70A0AC9C" w14:textId="77777777" w:rsidR="0028753B" w:rsidRPr="008A74A3" w:rsidRDefault="0028753B" w:rsidP="00EB6779">
            <w:pPr>
              <w:pStyle w:val="TableText"/>
              <w:spacing w:before="0" w:after="0"/>
              <w:rPr>
                <w:sz w:val="16"/>
                <w:szCs w:val="16"/>
              </w:rPr>
            </w:pPr>
            <w:r w:rsidRPr="008A74A3">
              <w:rPr>
                <w:sz w:val="16"/>
                <w:szCs w:val="16"/>
              </w:rPr>
              <w:t>(</w:t>
            </w:r>
            <w:r w:rsidRPr="008A74A3">
              <w:rPr>
                <w:sz w:val="16"/>
                <w:szCs w:val="16"/>
                <w:lang w:eastAsia="en-AU"/>
              </w:rPr>
              <w:t>mg/kg</w:t>
            </w:r>
            <w:r w:rsidRPr="008A74A3">
              <w:rPr>
                <w:sz w:val="16"/>
                <w:szCs w:val="16"/>
              </w:rPr>
              <w:t>)</w:t>
            </w:r>
          </w:p>
        </w:tc>
        <w:tc>
          <w:tcPr>
            <w:tcW w:w="871" w:type="pct"/>
            <w:tcBorders>
              <w:top w:val="single" w:sz="4" w:space="0" w:color="auto"/>
              <w:left w:val="nil"/>
              <w:bottom w:val="nil"/>
              <w:right w:val="nil"/>
            </w:tcBorders>
          </w:tcPr>
          <w:p w14:paraId="5F0ADF0C" w14:textId="77777777" w:rsidR="0028753B" w:rsidRPr="008A74A3" w:rsidRDefault="0028753B" w:rsidP="00EB6779">
            <w:pPr>
              <w:pStyle w:val="TableText"/>
              <w:spacing w:before="0" w:after="0"/>
              <w:jc w:val="right"/>
            </w:pPr>
            <w:r w:rsidRPr="008A74A3">
              <w:t>18</w:t>
            </w:r>
          </w:p>
        </w:tc>
        <w:tc>
          <w:tcPr>
            <w:tcW w:w="871" w:type="pct"/>
            <w:tcBorders>
              <w:top w:val="single" w:sz="4" w:space="0" w:color="auto"/>
              <w:left w:val="nil"/>
              <w:bottom w:val="nil"/>
              <w:right w:val="nil"/>
            </w:tcBorders>
          </w:tcPr>
          <w:p w14:paraId="3F1BAB4C" w14:textId="77777777" w:rsidR="0028753B" w:rsidRPr="008A74A3" w:rsidRDefault="0028753B" w:rsidP="00EB6779">
            <w:pPr>
              <w:pStyle w:val="TableText"/>
              <w:spacing w:before="0" w:after="0"/>
              <w:jc w:val="right"/>
            </w:pPr>
            <w:r w:rsidRPr="008A74A3">
              <w:t>18</w:t>
            </w:r>
          </w:p>
        </w:tc>
        <w:tc>
          <w:tcPr>
            <w:tcW w:w="872" w:type="pct"/>
            <w:tcBorders>
              <w:top w:val="single" w:sz="4" w:space="0" w:color="auto"/>
              <w:left w:val="nil"/>
              <w:bottom w:val="nil"/>
              <w:right w:val="nil"/>
            </w:tcBorders>
          </w:tcPr>
          <w:p w14:paraId="23875795" w14:textId="77777777" w:rsidR="0028753B" w:rsidRPr="008A74A3" w:rsidRDefault="0028753B" w:rsidP="00EB6779">
            <w:pPr>
              <w:pStyle w:val="TableText"/>
              <w:spacing w:before="0" w:after="0"/>
              <w:jc w:val="right"/>
            </w:pPr>
            <w:r w:rsidRPr="008A74A3">
              <w:t>5.3</w:t>
            </w:r>
          </w:p>
        </w:tc>
        <w:tc>
          <w:tcPr>
            <w:tcW w:w="871" w:type="pct"/>
            <w:tcBorders>
              <w:top w:val="single" w:sz="4" w:space="0" w:color="auto"/>
              <w:left w:val="nil"/>
              <w:bottom w:val="nil"/>
              <w:right w:val="nil"/>
            </w:tcBorders>
          </w:tcPr>
          <w:p w14:paraId="1A37A1DC" w14:textId="77777777" w:rsidR="0028753B" w:rsidRPr="008A74A3" w:rsidRDefault="0028753B" w:rsidP="00EB6779">
            <w:pPr>
              <w:pStyle w:val="TableText"/>
              <w:spacing w:before="0" w:after="0"/>
              <w:jc w:val="right"/>
            </w:pPr>
            <w:r w:rsidRPr="008A74A3">
              <w:t>5.</w:t>
            </w:r>
            <w:r>
              <w:t>3</w:t>
            </w:r>
          </w:p>
        </w:tc>
      </w:tr>
      <w:tr w:rsidR="0028753B" w:rsidRPr="008A74A3" w14:paraId="38C92621" w14:textId="77777777" w:rsidTr="00444693">
        <w:tc>
          <w:tcPr>
            <w:tcW w:w="1027" w:type="pct"/>
            <w:tcBorders>
              <w:top w:val="nil"/>
              <w:left w:val="nil"/>
              <w:bottom w:val="nil"/>
              <w:right w:val="nil"/>
            </w:tcBorders>
          </w:tcPr>
          <w:p w14:paraId="087484AC" w14:textId="77777777" w:rsidR="0028753B" w:rsidRPr="008A74A3" w:rsidRDefault="0028753B" w:rsidP="00EB6779">
            <w:pPr>
              <w:pStyle w:val="TableText"/>
              <w:spacing w:before="0" w:after="0"/>
            </w:pPr>
            <w:r w:rsidRPr="008A74A3">
              <w:t>RAL</w:t>
            </w:r>
          </w:p>
        </w:tc>
        <w:tc>
          <w:tcPr>
            <w:tcW w:w="488" w:type="pct"/>
            <w:tcBorders>
              <w:top w:val="nil"/>
              <w:left w:val="nil"/>
              <w:bottom w:val="nil"/>
              <w:right w:val="nil"/>
            </w:tcBorders>
          </w:tcPr>
          <w:p w14:paraId="79125E99" w14:textId="77777777" w:rsidR="0028753B" w:rsidRPr="008A74A3" w:rsidRDefault="0028753B" w:rsidP="00EB6779">
            <w:pPr>
              <w:pStyle w:val="TableText"/>
              <w:spacing w:before="0" w:after="0"/>
              <w:rPr>
                <w:sz w:val="16"/>
                <w:szCs w:val="16"/>
              </w:rPr>
            </w:pPr>
            <w:r w:rsidRPr="008A74A3">
              <w:rPr>
                <w:sz w:val="16"/>
                <w:szCs w:val="16"/>
              </w:rPr>
              <w:t>(</w:t>
            </w:r>
            <w:r w:rsidRPr="008A74A3">
              <w:rPr>
                <w:sz w:val="16"/>
                <w:szCs w:val="16"/>
                <w:lang w:eastAsia="en-AU"/>
              </w:rPr>
              <w:t>mg/kg</w:t>
            </w:r>
            <w:r w:rsidRPr="008A74A3">
              <w:rPr>
                <w:sz w:val="16"/>
                <w:szCs w:val="16"/>
              </w:rPr>
              <w:t>)</w:t>
            </w:r>
          </w:p>
        </w:tc>
        <w:tc>
          <w:tcPr>
            <w:tcW w:w="871" w:type="pct"/>
            <w:tcBorders>
              <w:top w:val="nil"/>
              <w:left w:val="nil"/>
              <w:bottom w:val="nil"/>
              <w:right w:val="nil"/>
            </w:tcBorders>
          </w:tcPr>
          <w:p w14:paraId="50C4028D" w14:textId="77777777" w:rsidR="0028753B" w:rsidRPr="008A74A3" w:rsidRDefault="0028753B" w:rsidP="00EB6779">
            <w:pPr>
              <w:pStyle w:val="TableText"/>
              <w:spacing w:before="0" w:after="0"/>
              <w:jc w:val="right"/>
            </w:pPr>
            <w:r w:rsidRPr="008A74A3">
              <w:t>3.9</w:t>
            </w:r>
          </w:p>
        </w:tc>
        <w:tc>
          <w:tcPr>
            <w:tcW w:w="871" w:type="pct"/>
            <w:tcBorders>
              <w:top w:val="nil"/>
              <w:left w:val="nil"/>
              <w:bottom w:val="nil"/>
              <w:right w:val="nil"/>
            </w:tcBorders>
          </w:tcPr>
          <w:p w14:paraId="0AA2B584" w14:textId="77777777" w:rsidR="0028753B" w:rsidRPr="008A74A3" w:rsidRDefault="0028753B" w:rsidP="00EB6779">
            <w:pPr>
              <w:pStyle w:val="TableText"/>
              <w:spacing w:before="0" w:after="0"/>
              <w:jc w:val="right"/>
            </w:pPr>
            <w:r w:rsidRPr="008A74A3">
              <w:t>3.9</w:t>
            </w:r>
          </w:p>
        </w:tc>
        <w:tc>
          <w:tcPr>
            <w:tcW w:w="872" w:type="pct"/>
            <w:tcBorders>
              <w:top w:val="nil"/>
              <w:left w:val="nil"/>
              <w:bottom w:val="nil"/>
              <w:right w:val="nil"/>
            </w:tcBorders>
          </w:tcPr>
          <w:p w14:paraId="1F1A37B6" w14:textId="77777777" w:rsidR="0028753B" w:rsidRPr="008A74A3" w:rsidRDefault="0028753B" w:rsidP="00EB6779">
            <w:pPr>
              <w:pStyle w:val="TableText"/>
              <w:spacing w:before="0" w:after="0"/>
              <w:jc w:val="right"/>
            </w:pPr>
            <w:r w:rsidRPr="008A74A3">
              <w:t>3.9</w:t>
            </w:r>
          </w:p>
        </w:tc>
        <w:tc>
          <w:tcPr>
            <w:tcW w:w="871" w:type="pct"/>
            <w:tcBorders>
              <w:top w:val="nil"/>
              <w:left w:val="nil"/>
              <w:bottom w:val="nil"/>
              <w:right w:val="nil"/>
            </w:tcBorders>
          </w:tcPr>
          <w:p w14:paraId="4BD801C8" w14:textId="77777777" w:rsidR="0028753B" w:rsidRPr="008A74A3" w:rsidRDefault="0028753B" w:rsidP="00EB6779">
            <w:pPr>
              <w:pStyle w:val="TableText"/>
              <w:spacing w:before="0" w:after="0"/>
              <w:jc w:val="right"/>
            </w:pPr>
            <w:r w:rsidRPr="008A74A3">
              <w:t>3.9</w:t>
            </w:r>
          </w:p>
        </w:tc>
      </w:tr>
      <w:tr w:rsidR="0028753B" w:rsidRPr="008A74A3" w14:paraId="07F1D471" w14:textId="77777777" w:rsidTr="00444693">
        <w:tc>
          <w:tcPr>
            <w:tcW w:w="1027" w:type="pct"/>
            <w:tcBorders>
              <w:top w:val="nil"/>
              <w:left w:val="nil"/>
              <w:bottom w:val="single" w:sz="4" w:space="0" w:color="auto"/>
              <w:right w:val="nil"/>
            </w:tcBorders>
          </w:tcPr>
          <w:p w14:paraId="17C89CFA" w14:textId="77777777" w:rsidR="0028753B" w:rsidRPr="008A74A3" w:rsidRDefault="0028753B" w:rsidP="00EB6779">
            <w:pPr>
              <w:pStyle w:val="TableText"/>
              <w:spacing w:before="0" w:after="0"/>
            </w:pPr>
            <w:r w:rsidRPr="008A74A3">
              <w:t>Risk quotient</w:t>
            </w:r>
          </w:p>
        </w:tc>
        <w:tc>
          <w:tcPr>
            <w:tcW w:w="488" w:type="pct"/>
            <w:tcBorders>
              <w:top w:val="nil"/>
              <w:left w:val="nil"/>
              <w:bottom w:val="single" w:sz="4" w:space="0" w:color="auto"/>
              <w:right w:val="nil"/>
            </w:tcBorders>
          </w:tcPr>
          <w:p w14:paraId="063AE642" w14:textId="77777777" w:rsidR="0028753B" w:rsidRPr="008A74A3" w:rsidRDefault="0028753B" w:rsidP="00EB6779">
            <w:pPr>
              <w:pStyle w:val="TableText"/>
              <w:spacing w:before="0" w:after="0"/>
              <w:rPr>
                <w:sz w:val="16"/>
                <w:szCs w:val="16"/>
              </w:rPr>
            </w:pPr>
            <w:r w:rsidRPr="008A74A3">
              <w:rPr>
                <w:sz w:val="16"/>
                <w:szCs w:val="16"/>
              </w:rPr>
              <w:t>(fraction)</w:t>
            </w:r>
          </w:p>
        </w:tc>
        <w:tc>
          <w:tcPr>
            <w:tcW w:w="871" w:type="pct"/>
            <w:tcBorders>
              <w:top w:val="nil"/>
              <w:left w:val="nil"/>
              <w:bottom w:val="single" w:sz="4" w:space="0" w:color="auto"/>
              <w:right w:val="nil"/>
            </w:tcBorders>
            <w:shd w:val="clear" w:color="auto" w:fill="FF0000"/>
          </w:tcPr>
          <w:p w14:paraId="1CA037BD" w14:textId="77777777" w:rsidR="0028753B" w:rsidRPr="008A74A3" w:rsidRDefault="0028753B" w:rsidP="00EB6779">
            <w:pPr>
              <w:pStyle w:val="TableText"/>
              <w:spacing w:before="0" w:after="0"/>
              <w:jc w:val="right"/>
              <w:rPr>
                <w:b/>
                <w:bCs/>
              </w:rPr>
            </w:pPr>
            <w:r w:rsidRPr="008A74A3">
              <w:rPr>
                <w:b/>
                <w:bCs/>
              </w:rPr>
              <w:t>4.6</w:t>
            </w:r>
          </w:p>
        </w:tc>
        <w:tc>
          <w:tcPr>
            <w:tcW w:w="871" w:type="pct"/>
            <w:tcBorders>
              <w:top w:val="nil"/>
              <w:left w:val="nil"/>
              <w:bottom w:val="single" w:sz="4" w:space="0" w:color="auto"/>
              <w:right w:val="nil"/>
            </w:tcBorders>
            <w:shd w:val="clear" w:color="auto" w:fill="FF0000"/>
          </w:tcPr>
          <w:p w14:paraId="49870542" w14:textId="77777777" w:rsidR="0028753B" w:rsidRPr="008A74A3" w:rsidRDefault="0028753B" w:rsidP="00EB6779">
            <w:pPr>
              <w:pStyle w:val="TableText"/>
              <w:spacing w:before="0" w:after="0"/>
              <w:jc w:val="right"/>
              <w:rPr>
                <w:b/>
                <w:bCs/>
              </w:rPr>
            </w:pPr>
            <w:r w:rsidRPr="008A74A3">
              <w:rPr>
                <w:b/>
                <w:bCs/>
              </w:rPr>
              <w:t>4.</w:t>
            </w:r>
            <w:r>
              <w:rPr>
                <w:b/>
                <w:bCs/>
              </w:rPr>
              <w:t>6</w:t>
            </w:r>
          </w:p>
        </w:tc>
        <w:tc>
          <w:tcPr>
            <w:tcW w:w="872" w:type="pct"/>
            <w:tcBorders>
              <w:top w:val="nil"/>
              <w:left w:val="nil"/>
              <w:bottom w:val="single" w:sz="4" w:space="0" w:color="auto"/>
              <w:right w:val="nil"/>
            </w:tcBorders>
            <w:shd w:val="clear" w:color="auto" w:fill="FF0000"/>
          </w:tcPr>
          <w:p w14:paraId="5BE18646" w14:textId="77777777" w:rsidR="0028753B" w:rsidRPr="008A74A3" w:rsidRDefault="0028753B" w:rsidP="00EB6779">
            <w:pPr>
              <w:pStyle w:val="TableText"/>
              <w:spacing w:before="0" w:after="0"/>
              <w:jc w:val="right"/>
              <w:rPr>
                <w:b/>
                <w:bCs/>
              </w:rPr>
            </w:pPr>
            <w:r w:rsidRPr="008A74A3">
              <w:rPr>
                <w:b/>
                <w:bCs/>
              </w:rPr>
              <w:t>1.4</w:t>
            </w:r>
          </w:p>
        </w:tc>
        <w:tc>
          <w:tcPr>
            <w:tcW w:w="871" w:type="pct"/>
            <w:tcBorders>
              <w:top w:val="nil"/>
              <w:left w:val="nil"/>
              <w:bottom w:val="single" w:sz="4" w:space="0" w:color="auto"/>
              <w:right w:val="nil"/>
            </w:tcBorders>
            <w:shd w:val="clear" w:color="auto" w:fill="FF0000"/>
          </w:tcPr>
          <w:p w14:paraId="75E90856" w14:textId="77777777" w:rsidR="0028753B" w:rsidRPr="008A74A3" w:rsidRDefault="0028753B" w:rsidP="00EB6779">
            <w:pPr>
              <w:pStyle w:val="TableText"/>
              <w:spacing w:before="0" w:after="0"/>
              <w:jc w:val="right"/>
              <w:rPr>
                <w:b/>
                <w:bCs/>
              </w:rPr>
            </w:pPr>
            <w:r w:rsidRPr="008A74A3">
              <w:rPr>
                <w:b/>
                <w:bCs/>
              </w:rPr>
              <w:t>1.4</w:t>
            </w:r>
          </w:p>
        </w:tc>
      </w:tr>
    </w:tbl>
    <w:p w14:paraId="636F96A4" w14:textId="77777777" w:rsidR="00B744EF" w:rsidRPr="00BB6246" w:rsidRDefault="00B744EF" w:rsidP="00BC7034">
      <w:pPr>
        <w:pStyle w:val="SourceTableNote"/>
      </w:pPr>
      <w:r w:rsidRPr="00BB6246">
        <w:t>Exposure rate represents the SAC-WB soil concentration (mg ac/kg ds) for the X</w:t>
      </w:r>
      <w:r w:rsidRPr="00BB6246">
        <w:rPr>
          <w:vertAlign w:val="superscript"/>
        </w:rPr>
        <w:t>th</w:t>
      </w:r>
      <w:r w:rsidRPr="00BB6246">
        <w:t xml:space="preserve"> percentile of soils with a clay content ≤10% (1.0</w:t>
      </w:r>
      <w:r w:rsidRPr="00BB6246">
        <w:rPr>
          <w:vertAlign w:val="superscript"/>
        </w:rPr>
        <w:t>th</w:t>
      </w:r>
      <w:r w:rsidRPr="00BB6246">
        <w:t xml:space="preserve"> percentile 11.0 mg ac/kg ds, 10</w:t>
      </w:r>
      <w:r w:rsidRPr="00BB6246">
        <w:rPr>
          <w:vertAlign w:val="superscript"/>
        </w:rPr>
        <w:t>th</w:t>
      </w:r>
      <w:r w:rsidRPr="00BB6246">
        <w:t xml:space="preserve"> percentile 22.5 mg ac/kg ds) converted to an application rate that would lead to the same concentration in the top 5 cm of soil (i.e. SAC-WB * 750 = exposure rate)  </w:t>
      </w:r>
    </w:p>
    <w:p w14:paraId="4AF2F622" w14:textId="78B319D7" w:rsidR="00B744EF" w:rsidRPr="00BB6246" w:rsidRDefault="00B744EF" w:rsidP="00BC7034">
      <w:pPr>
        <w:pStyle w:val="SourceTableNote"/>
      </w:pPr>
      <w:r w:rsidRPr="00BB6246">
        <w:t>Soil DT</w:t>
      </w:r>
      <w:r w:rsidRPr="00BB6246">
        <w:rPr>
          <w:vertAlign w:val="subscript"/>
        </w:rPr>
        <w:t>50</w:t>
      </w:r>
      <w:r w:rsidRPr="00BB6246">
        <w:t xml:space="preserve"> and K</w:t>
      </w:r>
      <w:r w:rsidRPr="00BB6246">
        <w:rPr>
          <w:vertAlign w:val="subscript"/>
        </w:rPr>
        <w:t>d</w:t>
      </w:r>
      <w:r w:rsidRPr="00BB6246">
        <w:t xml:space="preserve"> from </w:t>
      </w:r>
      <w:r w:rsidR="00BB6246" w:rsidRPr="00BB6246">
        <w:fldChar w:fldCharType="begin"/>
      </w:r>
      <w:r w:rsidR="00BB6246" w:rsidRPr="00BB6246">
        <w:instrText xml:space="preserve"> REF _Ref158983440 \h </w:instrText>
      </w:r>
      <w:r w:rsidR="00BB6246">
        <w:instrText xml:space="preserve"> \* MERGEFORMAT </w:instrText>
      </w:r>
      <w:r w:rsidR="00BB6246" w:rsidRPr="00BB6246">
        <w:fldChar w:fldCharType="separate"/>
      </w:r>
      <w:r w:rsidR="008A397D" w:rsidRPr="008A397D">
        <w:t xml:space="preserve">Table </w:t>
      </w:r>
      <w:r w:rsidR="008A397D" w:rsidRPr="008A397D">
        <w:rPr>
          <w:noProof/>
        </w:rPr>
        <w:t>28</w:t>
      </w:r>
      <w:r w:rsidR="00BB6246" w:rsidRPr="00BB6246">
        <w:fldChar w:fldCharType="end"/>
      </w:r>
    </w:p>
    <w:p w14:paraId="65D9470C" w14:textId="77777777" w:rsidR="00B744EF" w:rsidRPr="00BB6246" w:rsidRDefault="00B744EF" w:rsidP="00BC7034">
      <w:pPr>
        <w:pStyle w:val="SourceTableNote"/>
      </w:pPr>
      <w:r w:rsidRPr="00BB6246">
        <w:t>Rainfall P value is default for Tier 1</w:t>
      </w:r>
    </w:p>
    <w:p w14:paraId="5B878940" w14:textId="77777777" w:rsidR="00B744EF" w:rsidRPr="00BB6246" w:rsidRDefault="00B744EF" w:rsidP="00BC7034">
      <w:pPr>
        <w:pStyle w:val="SourceTableNote"/>
      </w:pPr>
      <w:r w:rsidRPr="00BB6246">
        <w:t>Runoff Q value = (((-0.000196 × (rain^3)) + (0.0232 × (rain^2))) + (-0.00520 × rain)); runoff curve for worst-case Australian soil profile</w:t>
      </w:r>
    </w:p>
    <w:p w14:paraId="79A939AF" w14:textId="77777777" w:rsidR="00B744EF" w:rsidRPr="00BB6246" w:rsidRDefault="00B744EF" w:rsidP="00BC7034">
      <w:pPr>
        <w:pStyle w:val="SourceTableNote"/>
      </w:pPr>
      <w:r w:rsidRPr="00BB6246">
        <w:t>Cr</w:t>
      </w:r>
      <w:r w:rsidRPr="00BB6246">
        <w:rPr>
          <w:vertAlign w:val="subscript"/>
        </w:rPr>
        <w:t>soil surface</w:t>
      </w:r>
      <w:r w:rsidRPr="00BB6246">
        <w:t xml:space="preserve"> = EXP(-3 × ln(2) ∕ DT</w:t>
      </w:r>
      <w:r w:rsidRPr="00BB6246">
        <w:rPr>
          <w:vertAlign w:val="subscript"/>
        </w:rPr>
        <w:t>50soil</w:t>
      </w:r>
      <w:r w:rsidRPr="00BB6246">
        <w:t>) × (1 ∕ (1 + K</w:t>
      </w:r>
      <w:r w:rsidRPr="00BB6246">
        <w:rPr>
          <w:vertAlign w:val="subscript"/>
        </w:rPr>
        <w:t>d</w:t>
      </w:r>
      <w:r w:rsidRPr="00BB6246">
        <w:t>))</w:t>
      </w:r>
    </w:p>
    <w:p w14:paraId="6C16DBD1" w14:textId="77777777" w:rsidR="00B744EF" w:rsidRPr="00BB6246" w:rsidRDefault="00B744EF" w:rsidP="00BC7034">
      <w:pPr>
        <w:pStyle w:val="SourceTableNote"/>
      </w:pPr>
      <w:r w:rsidRPr="00BB6246">
        <w:t>Slope factor F = (0.02153 × slope + 0.001423 × slope</w:t>
      </w:r>
      <w:r w:rsidRPr="00BB6246">
        <w:rPr>
          <w:vertAlign w:val="superscript"/>
        </w:rPr>
        <w:t>2</w:t>
      </w:r>
      <w:r w:rsidRPr="00BB6246">
        <w:t>), where the slope is 8% (default) or 3% for dryland cropping regions</w:t>
      </w:r>
    </w:p>
    <w:p w14:paraId="43FBDAD6" w14:textId="77777777" w:rsidR="00B744EF" w:rsidRPr="00BB6246" w:rsidRDefault="00B744EF" w:rsidP="00BC7034">
      <w:pPr>
        <w:pStyle w:val="SourceTableNote"/>
      </w:pPr>
      <w:r w:rsidRPr="00BB6246">
        <w:lastRenderedPageBreak/>
        <w:t>Runoff (% applied) = Q ∕ P × F × Cr</w:t>
      </w:r>
      <w:r w:rsidRPr="00BB6246">
        <w:rPr>
          <w:vertAlign w:val="subscript"/>
        </w:rPr>
        <w:t>soil surface</w:t>
      </w:r>
      <w:r w:rsidRPr="00BB6246">
        <w:t xml:space="preserve"> × 0.5</w:t>
      </w:r>
    </w:p>
    <w:p w14:paraId="30070B9A" w14:textId="77777777" w:rsidR="00B744EF" w:rsidRPr="00BB6246" w:rsidRDefault="00B744EF" w:rsidP="00BC7034">
      <w:pPr>
        <w:pStyle w:val="SourceTableNote"/>
      </w:pPr>
      <w:r w:rsidRPr="00BB6246">
        <w:t>PEC (water) = application rate × %runoff ∕ 100 × 10 ∕ (1500 + 134) × 1000</w:t>
      </w:r>
    </w:p>
    <w:p w14:paraId="1954CDD7" w14:textId="599FF770" w:rsidR="00B744EF" w:rsidRPr="00BB6246" w:rsidRDefault="00B744EF" w:rsidP="00BC7034">
      <w:pPr>
        <w:pStyle w:val="SourceTableNote"/>
      </w:pPr>
      <w:r w:rsidRPr="00BB6246">
        <w:t>PEC (sediment) = PEC (water) × (0.8 + (0.2 × K</w:t>
      </w:r>
      <w:r w:rsidRPr="00BB6246">
        <w:rPr>
          <w:vertAlign w:val="subscript"/>
        </w:rPr>
        <w:t>P</w:t>
      </w:r>
      <w:r w:rsidRPr="00BB6246">
        <w:t xml:space="preserve"> ∕ 1000 × 2400)) ∕ 1280, where K</w:t>
      </w:r>
      <w:r w:rsidRPr="00BB6246">
        <w:rPr>
          <w:vertAlign w:val="subscript"/>
        </w:rPr>
        <w:t>P</w:t>
      </w:r>
      <w:r w:rsidRPr="00BB6246">
        <w:t xml:space="preserve"> 50000 (from </w:t>
      </w:r>
      <w:r w:rsidR="00BB6246" w:rsidRPr="00BB6246">
        <w:fldChar w:fldCharType="begin"/>
      </w:r>
      <w:r w:rsidR="00BB6246" w:rsidRPr="00BB6246">
        <w:instrText xml:space="preserve"> REF _Ref158983440 \h </w:instrText>
      </w:r>
      <w:r w:rsidR="00BB6246">
        <w:instrText xml:space="preserve"> \* MERGEFORMAT </w:instrText>
      </w:r>
      <w:r w:rsidR="00BB6246" w:rsidRPr="00BB6246">
        <w:fldChar w:fldCharType="separate"/>
      </w:r>
      <w:r w:rsidR="008A397D" w:rsidRPr="008A397D">
        <w:t xml:space="preserve">Table </w:t>
      </w:r>
      <w:r w:rsidR="008A397D" w:rsidRPr="008A397D">
        <w:rPr>
          <w:noProof/>
        </w:rPr>
        <w:t>28</w:t>
      </w:r>
      <w:r w:rsidR="00BB6246" w:rsidRPr="00BB6246">
        <w:fldChar w:fldCharType="end"/>
      </w:r>
      <w:r w:rsidRPr="00BB6246">
        <w:t>)</w:t>
      </w:r>
    </w:p>
    <w:p w14:paraId="6569821A" w14:textId="1DB025A0" w:rsidR="00B744EF" w:rsidRPr="00BB6246" w:rsidRDefault="00B744EF" w:rsidP="00BC7034">
      <w:pPr>
        <w:pStyle w:val="SourceTableNote"/>
      </w:pPr>
      <w:r w:rsidRPr="00BB6246">
        <w:t xml:space="preserve">RAL = regulatory acceptable level (from </w:t>
      </w:r>
      <w:r w:rsidR="00BB6246" w:rsidRPr="00BB6246">
        <w:fldChar w:fldCharType="begin"/>
      </w:r>
      <w:r w:rsidR="00BB6246" w:rsidRPr="00BB6246">
        <w:instrText xml:space="preserve"> REF _Ref158985015 \h </w:instrText>
      </w:r>
      <w:r w:rsidR="00BB6246">
        <w:instrText xml:space="preserve"> \* MERGEFORMAT </w:instrText>
      </w:r>
      <w:r w:rsidR="00BB6246" w:rsidRPr="00BB6246">
        <w:fldChar w:fldCharType="separate"/>
      </w:r>
      <w:r w:rsidR="008A397D" w:rsidRPr="008A397D">
        <w:t xml:space="preserve">Table </w:t>
      </w:r>
      <w:r w:rsidR="008A397D" w:rsidRPr="008A397D">
        <w:rPr>
          <w:noProof/>
        </w:rPr>
        <w:t>31</w:t>
      </w:r>
      <w:r w:rsidR="00BB6246" w:rsidRPr="00BB6246">
        <w:fldChar w:fldCharType="end"/>
      </w:r>
      <w:r w:rsidRPr="00BB6246">
        <w:t>)</w:t>
      </w:r>
    </w:p>
    <w:p w14:paraId="1BB106D9" w14:textId="77777777" w:rsidR="00B744EF" w:rsidRPr="00BB6246" w:rsidRDefault="00B744EF" w:rsidP="00BC7034">
      <w:pPr>
        <w:pStyle w:val="SourceTableNote"/>
      </w:pPr>
      <w:r w:rsidRPr="00BB6246">
        <w:t>RQ = risk quotient = PEC ∕ RAL, where acceptable RQ ≤1</w:t>
      </w:r>
    </w:p>
    <w:p w14:paraId="18451024" w14:textId="69DC3F10" w:rsidR="00B744EF" w:rsidRPr="00BC7034" w:rsidRDefault="00B744EF" w:rsidP="00BC7034">
      <w:pPr>
        <w:pStyle w:val="Caption"/>
      </w:pPr>
      <w:bookmarkStart w:id="505" w:name="_Ref220915077"/>
      <w:bookmarkStart w:id="506" w:name="_Toc230692300"/>
      <w:bookmarkStart w:id="507" w:name="_Toc233036521"/>
      <w:r w:rsidRPr="00BC7034">
        <w:t xml:space="preserve">Table </w:t>
      </w:r>
      <w:fldSimple w:instr=" SEQ Table \* ARABIC ">
        <w:r w:rsidR="00BC7034">
          <w:rPr>
            <w:noProof/>
          </w:rPr>
          <w:t>34</w:t>
        </w:r>
      </w:fldSimple>
      <w:bookmarkEnd w:id="505"/>
      <w:r w:rsidRPr="00BC7034">
        <w:t>: Assessment of runoff risks to aquatic species – concentration dependent approach</w:t>
      </w:r>
      <w:bookmarkEnd w:id="506"/>
      <w:bookmarkEnd w:id="5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8"/>
        <w:gridCol w:w="990"/>
        <w:gridCol w:w="2055"/>
        <w:gridCol w:w="1677"/>
        <w:gridCol w:w="1677"/>
        <w:gridCol w:w="1671"/>
      </w:tblGrid>
      <w:tr w:rsidR="00B744EF" w:rsidRPr="008A74A3" w14:paraId="452D3049" w14:textId="77777777" w:rsidTr="00444693">
        <w:trPr>
          <w:tblHeader/>
        </w:trPr>
        <w:tc>
          <w:tcPr>
            <w:tcW w:w="1323" w:type="pct"/>
            <w:gridSpan w:val="2"/>
            <w:vMerge w:val="restart"/>
            <w:shd w:val="clear" w:color="auto" w:fill="5C2946"/>
          </w:tcPr>
          <w:p w14:paraId="1CA5579B" w14:textId="77777777" w:rsidR="00B744EF" w:rsidRPr="008A74A3" w:rsidRDefault="00B744EF" w:rsidP="00ED5112">
            <w:pPr>
              <w:pStyle w:val="TableHead"/>
            </w:pPr>
            <w:r w:rsidRPr="008A74A3">
              <w:t>Parameter</w:t>
            </w:r>
          </w:p>
        </w:tc>
        <w:tc>
          <w:tcPr>
            <w:tcW w:w="3677" w:type="pct"/>
            <w:gridSpan w:val="4"/>
            <w:tcBorders>
              <w:bottom w:val="single" w:sz="4" w:space="0" w:color="auto"/>
            </w:tcBorders>
            <w:shd w:val="clear" w:color="auto" w:fill="5C2946"/>
          </w:tcPr>
          <w:p w14:paraId="0E1E8DA8" w14:textId="77777777" w:rsidR="00B744EF" w:rsidRPr="008A74A3" w:rsidRDefault="00B744EF" w:rsidP="00ED5112">
            <w:pPr>
              <w:pStyle w:val="TableHead"/>
            </w:pPr>
            <w:r w:rsidRPr="008A74A3">
              <w:t>Worst-case scenario Sands (clay ≤10%)</w:t>
            </w:r>
          </w:p>
        </w:tc>
      </w:tr>
      <w:tr w:rsidR="00B744EF" w:rsidRPr="008A74A3" w14:paraId="3FAC0FF4" w14:textId="77777777" w:rsidTr="00444693">
        <w:trPr>
          <w:tblHeader/>
        </w:trPr>
        <w:tc>
          <w:tcPr>
            <w:tcW w:w="1323" w:type="pct"/>
            <w:gridSpan w:val="2"/>
            <w:vMerge/>
            <w:shd w:val="clear" w:color="auto" w:fill="5C2946"/>
          </w:tcPr>
          <w:p w14:paraId="71A23A95" w14:textId="77777777" w:rsidR="00B744EF" w:rsidRPr="008A74A3" w:rsidRDefault="00B744EF" w:rsidP="00ED5112">
            <w:pPr>
              <w:pStyle w:val="TableHead"/>
            </w:pPr>
          </w:p>
        </w:tc>
        <w:tc>
          <w:tcPr>
            <w:tcW w:w="1938" w:type="pct"/>
            <w:gridSpan w:val="2"/>
            <w:tcBorders>
              <w:bottom w:val="single" w:sz="4" w:space="0" w:color="auto"/>
            </w:tcBorders>
            <w:shd w:val="clear" w:color="auto" w:fill="5C2946"/>
          </w:tcPr>
          <w:p w14:paraId="77AE4CB4" w14:textId="77777777" w:rsidR="00B744EF" w:rsidRPr="008A74A3" w:rsidRDefault="00B744EF" w:rsidP="00EB6779">
            <w:pPr>
              <w:pStyle w:val="TableHead"/>
              <w:jc w:val="right"/>
            </w:pPr>
            <w:r w:rsidRPr="008A74A3">
              <w:t>DT</w:t>
            </w:r>
            <w:r w:rsidRPr="008A74A3">
              <w:rPr>
                <w:vertAlign w:val="subscript"/>
              </w:rPr>
              <w:t>50</w:t>
            </w:r>
            <w:r w:rsidRPr="008A74A3">
              <w:t xml:space="preserve"> 20 years for accumulation </w:t>
            </w:r>
          </w:p>
        </w:tc>
        <w:tc>
          <w:tcPr>
            <w:tcW w:w="1739" w:type="pct"/>
            <w:gridSpan w:val="2"/>
            <w:tcBorders>
              <w:bottom w:val="single" w:sz="4" w:space="0" w:color="auto"/>
            </w:tcBorders>
            <w:shd w:val="clear" w:color="auto" w:fill="5C2946"/>
          </w:tcPr>
          <w:p w14:paraId="74C188DA" w14:textId="77777777" w:rsidR="00B744EF" w:rsidRPr="008A74A3" w:rsidRDefault="00B744EF" w:rsidP="00EB6779">
            <w:pPr>
              <w:pStyle w:val="TableHead"/>
              <w:jc w:val="right"/>
            </w:pPr>
            <w:r w:rsidRPr="008A74A3">
              <w:t>DT</w:t>
            </w:r>
            <w:r w:rsidRPr="008A74A3">
              <w:rPr>
                <w:vertAlign w:val="subscript"/>
              </w:rPr>
              <w:t>50</w:t>
            </w:r>
            <w:r w:rsidRPr="008A74A3">
              <w:t xml:space="preserve"> 60 years for accumulation </w:t>
            </w:r>
          </w:p>
        </w:tc>
      </w:tr>
      <w:tr w:rsidR="00B744EF" w:rsidRPr="008A74A3" w14:paraId="3A0D8902" w14:textId="77777777" w:rsidTr="00444693">
        <w:trPr>
          <w:tblHeader/>
        </w:trPr>
        <w:tc>
          <w:tcPr>
            <w:tcW w:w="1323" w:type="pct"/>
            <w:gridSpan w:val="2"/>
            <w:vMerge/>
            <w:tcBorders>
              <w:bottom w:val="single" w:sz="4" w:space="0" w:color="auto"/>
            </w:tcBorders>
            <w:shd w:val="clear" w:color="auto" w:fill="5C2946"/>
          </w:tcPr>
          <w:p w14:paraId="46ECC7C0" w14:textId="77777777" w:rsidR="00B744EF" w:rsidRPr="008A74A3" w:rsidRDefault="00B744EF" w:rsidP="00ED5112">
            <w:pPr>
              <w:pStyle w:val="TableHead"/>
            </w:pPr>
          </w:p>
        </w:tc>
        <w:tc>
          <w:tcPr>
            <w:tcW w:w="1067" w:type="pct"/>
            <w:tcBorders>
              <w:bottom w:val="single" w:sz="4" w:space="0" w:color="auto"/>
            </w:tcBorders>
            <w:shd w:val="clear" w:color="auto" w:fill="5C2946"/>
          </w:tcPr>
          <w:p w14:paraId="04B7EEDD" w14:textId="77777777" w:rsidR="00B744EF" w:rsidRPr="008A74A3" w:rsidRDefault="00B744EF" w:rsidP="00EB6779">
            <w:pPr>
              <w:pStyle w:val="TableHead"/>
              <w:jc w:val="right"/>
            </w:pPr>
            <w:r w:rsidRPr="008A74A3">
              <w:t>8% slope</w:t>
            </w:r>
          </w:p>
        </w:tc>
        <w:tc>
          <w:tcPr>
            <w:tcW w:w="871" w:type="pct"/>
            <w:tcBorders>
              <w:bottom w:val="single" w:sz="4" w:space="0" w:color="auto"/>
            </w:tcBorders>
            <w:shd w:val="clear" w:color="auto" w:fill="5C2946"/>
          </w:tcPr>
          <w:p w14:paraId="1F534D28" w14:textId="77777777" w:rsidR="00B744EF" w:rsidRPr="008A74A3" w:rsidRDefault="00B744EF" w:rsidP="00EB6779">
            <w:pPr>
              <w:pStyle w:val="TableHead"/>
              <w:jc w:val="right"/>
            </w:pPr>
            <w:r w:rsidRPr="008A74A3">
              <w:t>3% slope</w:t>
            </w:r>
          </w:p>
        </w:tc>
        <w:tc>
          <w:tcPr>
            <w:tcW w:w="871" w:type="pct"/>
            <w:tcBorders>
              <w:bottom w:val="single" w:sz="4" w:space="0" w:color="auto"/>
            </w:tcBorders>
            <w:shd w:val="clear" w:color="auto" w:fill="5C2946"/>
          </w:tcPr>
          <w:p w14:paraId="59C3CC33" w14:textId="77777777" w:rsidR="00B744EF" w:rsidRPr="008A74A3" w:rsidRDefault="00B744EF" w:rsidP="00EB6779">
            <w:pPr>
              <w:pStyle w:val="TableHead"/>
              <w:jc w:val="right"/>
            </w:pPr>
            <w:r w:rsidRPr="008A74A3">
              <w:t>8% slope</w:t>
            </w:r>
          </w:p>
        </w:tc>
        <w:tc>
          <w:tcPr>
            <w:tcW w:w="868" w:type="pct"/>
            <w:tcBorders>
              <w:bottom w:val="single" w:sz="4" w:space="0" w:color="auto"/>
            </w:tcBorders>
            <w:shd w:val="clear" w:color="auto" w:fill="5C2946"/>
          </w:tcPr>
          <w:p w14:paraId="477DA41B" w14:textId="77777777" w:rsidR="00B744EF" w:rsidRPr="008A74A3" w:rsidRDefault="00B744EF" w:rsidP="00EB6779">
            <w:pPr>
              <w:pStyle w:val="TableHead"/>
              <w:jc w:val="right"/>
            </w:pPr>
            <w:r w:rsidRPr="008A74A3">
              <w:t>3% slope</w:t>
            </w:r>
          </w:p>
        </w:tc>
      </w:tr>
      <w:tr w:rsidR="00B744EF" w:rsidRPr="008A74A3" w14:paraId="2C7569CC" w14:textId="77777777" w:rsidTr="00444693">
        <w:tc>
          <w:tcPr>
            <w:tcW w:w="5000" w:type="pct"/>
            <w:gridSpan w:val="6"/>
            <w:tcBorders>
              <w:top w:val="single" w:sz="4" w:space="0" w:color="auto"/>
              <w:left w:val="nil"/>
              <w:bottom w:val="single" w:sz="4" w:space="0" w:color="auto"/>
              <w:right w:val="nil"/>
            </w:tcBorders>
          </w:tcPr>
          <w:p w14:paraId="344DEC77" w14:textId="77777777" w:rsidR="00B744EF" w:rsidRPr="008A74A3" w:rsidRDefault="00B744EF" w:rsidP="00BC7034">
            <w:pPr>
              <w:pStyle w:val="TableSubHead"/>
            </w:pPr>
            <w:r w:rsidRPr="008A74A3">
              <w:t>Soil</w:t>
            </w:r>
          </w:p>
        </w:tc>
      </w:tr>
      <w:tr w:rsidR="00B744EF" w:rsidRPr="008A74A3" w14:paraId="2A920831" w14:textId="77777777" w:rsidTr="00444693">
        <w:tc>
          <w:tcPr>
            <w:tcW w:w="809" w:type="pct"/>
            <w:tcBorders>
              <w:top w:val="single" w:sz="4" w:space="0" w:color="auto"/>
              <w:left w:val="nil"/>
              <w:bottom w:val="nil"/>
              <w:right w:val="nil"/>
            </w:tcBorders>
          </w:tcPr>
          <w:p w14:paraId="2F688569"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 xml:space="preserve">Exposure rate </w:t>
            </w:r>
          </w:p>
        </w:tc>
        <w:tc>
          <w:tcPr>
            <w:tcW w:w="514" w:type="pct"/>
            <w:tcBorders>
              <w:top w:val="single" w:sz="4" w:space="0" w:color="auto"/>
              <w:left w:val="nil"/>
              <w:bottom w:val="nil"/>
              <w:right w:val="nil"/>
            </w:tcBorders>
          </w:tcPr>
          <w:p w14:paraId="57D2DFDD"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(g/ha)</w:t>
            </w:r>
          </w:p>
        </w:tc>
        <w:tc>
          <w:tcPr>
            <w:tcW w:w="1067" w:type="pct"/>
            <w:tcBorders>
              <w:top w:val="single" w:sz="4" w:space="0" w:color="auto"/>
              <w:left w:val="nil"/>
              <w:bottom w:val="nil"/>
              <w:right w:val="nil"/>
            </w:tcBorders>
          </w:tcPr>
          <w:p w14:paraId="4FE30F81"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16500</w:t>
            </w:r>
          </w:p>
        </w:tc>
        <w:tc>
          <w:tcPr>
            <w:tcW w:w="871" w:type="pct"/>
            <w:tcBorders>
              <w:top w:val="single" w:sz="4" w:space="0" w:color="auto"/>
              <w:left w:val="nil"/>
              <w:bottom w:val="nil"/>
              <w:right w:val="nil"/>
            </w:tcBorders>
          </w:tcPr>
          <w:p w14:paraId="54D6A91F"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16500</w:t>
            </w:r>
          </w:p>
        </w:tc>
        <w:tc>
          <w:tcPr>
            <w:tcW w:w="871" w:type="pct"/>
            <w:tcBorders>
              <w:top w:val="single" w:sz="4" w:space="0" w:color="auto"/>
              <w:left w:val="nil"/>
              <w:bottom w:val="nil"/>
              <w:right w:val="nil"/>
            </w:tcBorders>
          </w:tcPr>
          <w:p w14:paraId="4A22DB42"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20250</w:t>
            </w:r>
          </w:p>
        </w:tc>
        <w:tc>
          <w:tcPr>
            <w:tcW w:w="868" w:type="pct"/>
            <w:tcBorders>
              <w:top w:val="single" w:sz="4" w:space="0" w:color="auto"/>
              <w:left w:val="nil"/>
              <w:bottom w:val="nil"/>
              <w:right w:val="nil"/>
            </w:tcBorders>
          </w:tcPr>
          <w:p w14:paraId="36425A61"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20250</w:t>
            </w:r>
          </w:p>
        </w:tc>
      </w:tr>
      <w:tr w:rsidR="00B744EF" w:rsidRPr="008A74A3" w14:paraId="3BE4E546" w14:textId="77777777" w:rsidTr="00444693">
        <w:tc>
          <w:tcPr>
            <w:tcW w:w="809" w:type="pct"/>
            <w:tcBorders>
              <w:top w:val="nil"/>
              <w:left w:val="nil"/>
              <w:bottom w:val="nil"/>
              <w:right w:val="nil"/>
            </w:tcBorders>
          </w:tcPr>
          <w:p w14:paraId="3F51082F"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Soil DT</w:t>
            </w:r>
            <w:r w:rsidRPr="00EB6779">
              <w:rPr>
                <w:rFonts w:ascii="Arial" w:hAnsi="Arial" w:cs="Arial"/>
                <w:sz w:val="17"/>
                <w:szCs w:val="17"/>
                <w:vertAlign w:val="subscript"/>
              </w:rPr>
              <w:t>50</w:t>
            </w:r>
          </w:p>
        </w:tc>
        <w:tc>
          <w:tcPr>
            <w:tcW w:w="514" w:type="pct"/>
            <w:tcBorders>
              <w:top w:val="nil"/>
              <w:left w:val="nil"/>
              <w:bottom w:val="nil"/>
              <w:right w:val="nil"/>
            </w:tcBorders>
          </w:tcPr>
          <w:p w14:paraId="22B3B863"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(d)</w:t>
            </w:r>
          </w:p>
        </w:tc>
        <w:tc>
          <w:tcPr>
            <w:tcW w:w="1067" w:type="pct"/>
            <w:tcBorders>
              <w:top w:val="nil"/>
              <w:left w:val="nil"/>
              <w:bottom w:val="nil"/>
              <w:right w:val="nil"/>
            </w:tcBorders>
          </w:tcPr>
          <w:p w14:paraId="63B5621D"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7300</w:t>
            </w:r>
          </w:p>
        </w:tc>
        <w:tc>
          <w:tcPr>
            <w:tcW w:w="871" w:type="pct"/>
            <w:tcBorders>
              <w:top w:val="nil"/>
              <w:left w:val="nil"/>
              <w:bottom w:val="nil"/>
              <w:right w:val="nil"/>
            </w:tcBorders>
          </w:tcPr>
          <w:p w14:paraId="4081DC8F"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7300</w:t>
            </w:r>
          </w:p>
        </w:tc>
        <w:tc>
          <w:tcPr>
            <w:tcW w:w="871" w:type="pct"/>
            <w:tcBorders>
              <w:top w:val="nil"/>
              <w:left w:val="nil"/>
              <w:bottom w:val="nil"/>
              <w:right w:val="nil"/>
            </w:tcBorders>
          </w:tcPr>
          <w:p w14:paraId="50F7349D"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21900</w:t>
            </w:r>
          </w:p>
        </w:tc>
        <w:tc>
          <w:tcPr>
            <w:tcW w:w="868" w:type="pct"/>
            <w:tcBorders>
              <w:top w:val="nil"/>
              <w:left w:val="nil"/>
              <w:bottom w:val="nil"/>
              <w:right w:val="nil"/>
            </w:tcBorders>
          </w:tcPr>
          <w:p w14:paraId="36AA3CA2"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21900</w:t>
            </w:r>
          </w:p>
        </w:tc>
      </w:tr>
      <w:tr w:rsidR="00B744EF" w:rsidRPr="008A74A3" w14:paraId="1332578B" w14:textId="77777777" w:rsidTr="00444693">
        <w:tc>
          <w:tcPr>
            <w:tcW w:w="809" w:type="pct"/>
            <w:tcBorders>
              <w:top w:val="nil"/>
              <w:left w:val="nil"/>
              <w:bottom w:val="nil"/>
              <w:right w:val="nil"/>
            </w:tcBorders>
          </w:tcPr>
          <w:p w14:paraId="573C80C6"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K</w:t>
            </w:r>
            <w:r w:rsidRPr="00EB6779">
              <w:rPr>
                <w:rFonts w:ascii="Arial" w:hAnsi="Arial" w:cs="Arial"/>
                <w:sz w:val="17"/>
                <w:szCs w:val="17"/>
                <w:vertAlign w:val="subscript"/>
              </w:rPr>
              <w:t>f</w:t>
            </w:r>
          </w:p>
        </w:tc>
        <w:tc>
          <w:tcPr>
            <w:tcW w:w="514" w:type="pct"/>
            <w:tcBorders>
              <w:top w:val="nil"/>
              <w:left w:val="nil"/>
              <w:bottom w:val="nil"/>
              <w:right w:val="nil"/>
            </w:tcBorders>
          </w:tcPr>
          <w:p w14:paraId="47251DAC"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(mL/kg)</w:t>
            </w:r>
          </w:p>
        </w:tc>
        <w:tc>
          <w:tcPr>
            <w:tcW w:w="1067" w:type="pct"/>
            <w:tcBorders>
              <w:top w:val="nil"/>
              <w:left w:val="nil"/>
              <w:bottom w:val="nil"/>
              <w:right w:val="nil"/>
            </w:tcBorders>
          </w:tcPr>
          <w:p w14:paraId="75F01EFB"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17.9</w:t>
            </w:r>
          </w:p>
        </w:tc>
        <w:tc>
          <w:tcPr>
            <w:tcW w:w="871" w:type="pct"/>
            <w:tcBorders>
              <w:top w:val="nil"/>
              <w:left w:val="nil"/>
              <w:bottom w:val="nil"/>
              <w:right w:val="nil"/>
            </w:tcBorders>
          </w:tcPr>
          <w:p w14:paraId="17E178AD"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17.9</w:t>
            </w:r>
          </w:p>
        </w:tc>
        <w:tc>
          <w:tcPr>
            <w:tcW w:w="871" w:type="pct"/>
            <w:tcBorders>
              <w:top w:val="nil"/>
              <w:left w:val="nil"/>
              <w:bottom w:val="nil"/>
              <w:right w:val="nil"/>
            </w:tcBorders>
          </w:tcPr>
          <w:p w14:paraId="3FDF3121"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17.9</w:t>
            </w:r>
          </w:p>
        </w:tc>
        <w:tc>
          <w:tcPr>
            <w:tcW w:w="868" w:type="pct"/>
            <w:tcBorders>
              <w:top w:val="nil"/>
              <w:left w:val="nil"/>
              <w:bottom w:val="nil"/>
              <w:right w:val="nil"/>
            </w:tcBorders>
          </w:tcPr>
          <w:p w14:paraId="706CA63D"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17.9</w:t>
            </w:r>
          </w:p>
        </w:tc>
      </w:tr>
      <w:tr w:rsidR="00B744EF" w:rsidRPr="008A74A3" w14:paraId="15072FB9" w14:textId="77777777" w:rsidTr="00444693">
        <w:tc>
          <w:tcPr>
            <w:tcW w:w="809" w:type="pct"/>
            <w:tcBorders>
              <w:top w:val="nil"/>
              <w:left w:val="nil"/>
              <w:bottom w:val="nil"/>
              <w:right w:val="nil"/>
            </w:tcBorders>
          </w:tcPr>
          <w:p w14:paraId="0D5519D6"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1/n</w:t>
            </w:r>
          </w:p>
        </w:tc>
        <w:tc>
          <w:tcPr>
            <w:tcW w:w="514" w:type="pct"/>
            <w:tcBorders>
              <w:top w:val="nil"/>
              <w:left w:val="nil"/>
              <w:bottom w:val="nil"/>
              <w:right w:val="nil"/>
            </w:tcBorders>
          </w:tcPr>
          <w:p w14:paraId="14CCCBE9" w14:textId="77777777" w:rsidR="00B744EF" w:rsidRPr="00EB6779" w:rsidRDefault="00B744EF" w:rsidP="00444693">
            <w:pPr>
              <w:pStyle w:val="BodyText"/>
              <w:keepNext/>
              <w:keepLines/>
              <w:widowControl w:val="0"/>
              <w:spacing w:after="0"/>
              <w:rPr>
                <w:rFonts w:ascii="Arial" w:hAnsi="Arial" w:cs="Arial"/>
                <w:sz w:val="16"/>
                <w:szCs w:val="16"/>
              </w:rPr>
            </w:pPr>
          </w:p>
        </w:tc>
        <w:tc>
          <w:tcPr>
            <w:tcW w:w="1067" w:type="pct"/>
            <w:tcBorders>
              <w:top w:val="nil"/>
              <w:left w:val="nil"/>
              <w:bottom w:val="nil"/>
              <w:right w:val="nil"/>
            </w:tcBorders>
          </w:tcPr>
          <w:p w14:paraId="0FB760B8"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0.41</w:t>
            </w:r>
          </w:p>
        </w:tc>
        <w:tc>
          <w:tcPr>
            <w:tcW w:w="871" w:type="pct"/>
            <w:tcBorders>
              <w:top w:val="nil"/>
              <w:left w:val="nil"/>
              <w:bottom w:val="nil"/>
              <w:right w:val="nil"/>
            </w:tcBorders>
          </w:tcPr>
          <w:p w14:paraId="090639BB"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0.41</w:t>
            </w:r>
          </w:p>
        </w:tc>
        <w:tc>
          <w:tcPr>
            <w:tcW w:w="871" w:type="pct"/>
            <w:tcBorders>
              <w:top w:val="nil"/>
              <w:left w:val="nil"/>
              <w:bottom w:val="nil"/>
              <w:right w:val="nil"/>
            </w:tcBorders>
          </w:tcPr>
          <w:p w14:paraId="4EE167F7"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0.41</w:t>
            </w:r>
          </w:p>
        </w:tc>
        <w:tc>
          <w:tcPr>
            <w:tcW w:w="868" w:type="pct"/>
            <w:tcBorders>
              <w:top w:val="nil"/>
              <w:left w:val="nil"/>
              <w:bottom w:val="nil"/>
              <w:right w:val="nil"/>
            </w:tcBorders>
          </w:tcPr>
          <w:p w14:paraId="385E4EF0"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0.41</w:t>
            </w:r>
          </w:p>
        </w:tc>
      </w:tr>
      <w:tr w:rsidR="00B744EF" w:rsidRPr="008A74A3" w14:paraId="6E2BE50F" w14:textId="77777777" w:rsidTr="00444693">
        <w:tc>
          <w:tcPr>
            <w:tcW w:w="809" w:type="pct"/>
            <w:tcBorders>
              <w:top w:val="nil"/>
              <w:left w:val="nil"/>
              <w:bottom w:val="nil"/>
              <w:right w:val="nil"/>
            </w:tcBorders>
          </w:tcPr>
          <w:p w14:paraId="4FBE7A36"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Rainfall – P</w:t>
            </w:r>
          </w:p>
        </w:tc>
        <w:tc>
          <w:tcPr>
            <w:tcW w:w="514" w:type="pct"/>
            <w:tcBorders>
              <w:top w:val="nil"/>
              <w:left w:val="nil"/>
              <w:bottom w:val="nil"/>
              <w:right w:val="nil"/>
            </w:tcBorders>
          </w:tcPr>
          <w:p w14:paraId="596357B0"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(mm)</w:t>
            </w:r>
          </w:p>
        </w:tc>
        <w:tc>
          <w:tcPr>
            <w:tcW w:w="1067" w:type="pct"/>
            <w:tcBorders>
              <w:top w:val="nil"/>
              <w:left w:val="nil"/>
              <w:bottom w:val="nil"/>
              <w:right w:val="nil"/>
            </w:tcBorders>
          </w:tcPr>
          <w:p w14:paraId="5327CE42"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8.00</w:t>
            </w:r>
          </w:p>
        </w:tc>
        <w:tc>
          <w:tcPr>
            <w:tcW w:w="871" w:type="pct"/>
            <w:tcBorders>
              <w:top w:val="nil"/>
              <w:left w:val="nil"/>
              <w:bottom w:val="nil"/>
              <w:right w:val="nil"/>
            </w:tcBorders>
          </w:tcPr>
          <w:p w14:paraId="39209338"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8.00</w:t>
            </w:r>
          </w:p>
        </w:tc>
        <w:tc>
          <w:tcPr>
            <w:tcW w:w="871" w:type="pct"/>
            <w:tcBorders>
              <w:top w:val="nil"/>
              <w:left w:val="nil"/>
              <w:bottom w:val="nil"/>
              <w:right w:val="nil"/>
            </w:tcBorders>
          </w:tcPr>
          <w:p w14:paraId="31BC8BA2"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8.00</w:t>
            </w:r>
          </w:p>
        </w:tc>
        <w:tc>
          <w:tcPr>
            <w:tcW w:w="868" w:type="pct"/>
            <w:tcBorders>
              <w:top w:val="nil"/>
              <w:left w:val="nil"/>
              <w:bottom w:val="nil"/>
              <w:right w:val="nil"/>
            </w:tcBorders>
          </w:tcPr>
          <w:p w14:paraId="294599D9"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8.00</w:t>
            </w:r>
          </w:p>
        </w:tc>
      </w:tr>
      <w:tr w:rsidR="00B744EF" w:rsidRPr="008A74A3" w14:paraId="77CB69D2" w14:textId="77777777" w:rsidTr="00444693">
        <w:tc>
          <w:tcPr>
            <w:tcW w:w="809" w:type="pct"/>
            <w:tcBorders>
              <w:top w:val="nil"/>
              <w:left w:val="nil"/>
              <w:bottom w:val="nil"/>
              <w:right w:val="nil"/>
            </w:tcBorders>
          </w:tcPr>
          <w:p w14:paraId="24FF5860"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Runoff – Q</w:t>
            </w:r>
          </w:p>
        </w:tc>
        <w:tc>
          <w:tcPr>
            <w:tcW w:w="514" w:type="pct"/>
            <w:tcBorders>
              <w:top w:val="nil"/>
              <w:left w:val="nil"/>
              <w:bottom w:val="nil"/>
              <w:right w:val="nil"/>
            </w:tcBorders>
          </w:tcPr>
          <w:p w14:paraId="72EE3250"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(mm)</w:t>
            </w:r>
          </w:p>
        </w:tc>
        <w:tc>
          <w:tcPr>
            <w:tcW w:w="1067" w:type="pct"/>
            <w:tcBorders>
              <w:top w:val="nil"/>
              <w:left w:val="nil"/>
              <w:bottom w:val="nil"/>
              <w:right w:val="nil"/>
            </w:tcBorders>
          </w:tcPr>
          <w:p w14:paraId="370D264B"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1.34</w:t>
            </w:r>
          </w:p>
        </w:tc>
        <w:tc>
          <w:tcPr>
            <w:tcW w:w="871" w:type="pct"/>
            <w:tcBorders>
              <w:top w:val="nil"/>
              <w:left w:val="nil"/>
              <w:bottom w:val="nil"/>
              <w:right w:val="nil"/>
            </w:tcBorders>
          </w:tcPr>
          <w:p w14:paraId="0E82CF36"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1.34</w:t>
            </w:r>
          </w:p>
        </w:tc>
        <w:tc>
          <w:tcPr>
            <w:tcW w:w="871" w:type="pct"/>
            <w:tcBorders>
              <w:top w:val="nil"/>
              <w:left w:val="nil"/>
              <w:bottom w:val="nil"/>
              <w:right w:val="nil"/>
            </w:tcBorders>
          </w:tcPr>
          <w:p w14:paraId="4B53F46D"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1.34</w:t>
            </w:r>
          </w:p>
        </w:tc>
        <w:tc>
          <w:tcPr>
            <w:tcW w:w="868" w:type="pct"/>
            <w:tcBorders>
              <w:top w:val="nil"/>
              <w:left w:val="nil"/>
              <w:bottom w:val="nil"/>
              <w:right w:val="nil"/>
            </w:tcBorders>
          </w:tcPr>
          <w:p w14:paraId="6ED4E112"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1.34</w:t>
            </w:r>
          </w:p>
        </w:tc>
      </w:tr>
      <w:tr w:rsidR="00B744EF" w:rsidRPr="008A74A3" w14:paraId="60ABDFF9" w14:textId="77777777" w:rsidTr="00444693">
        <w:tc>
          <w:tcPr>
            <w:tcW w:w="809" w:type="pct"/>
            <w:tcBorders>
              <w:top w:val="nil"/>
              <w:left w:val="nil"/>
              <w:bottom w:val="nil"/>
              <w:right w:val="nil"/>
            </w:tcBorders>
          </w:tcPr>
          <w:p w14:paraId="51A787E9"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Cr</w:t>
            </w:r>
            <w:r w:rsidRPr="00EB6779">
              <w:rPr>
                <w:rFonts w:ascii="Arial" w:hAnsi="Arial" w:cs="Arial"/>
                <w:sz w:val="17"/>
                <w:szCs w:val="17"/>
                <w:vertAlign w:val="subscript"/>
              </w:rPr>
              <w:t>soil surface</w:t>
            </w:r>
          </w:p>
        </w:tc>
        <w:tc>
          <w:tcPr>
            <w:tcW w:w="514" w:type="pct"/>
            <w:tcBorders>
              <w:top w:val="nil"/>
              <w:left w:val="nil"/>
              <w:bottom w:val="nil"/>
              <w:right w:val="nil"/>
            </w:tcBorders>
          </w:tcPr>
          <w:p w14:paraId="2315E1C5"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(fraction)</w:t>
            </w:r>
          </w:p>
        </w:tc>
        <w:tc>
          <w:tcPr>
            <w:tcW w:w="1067" w:type="pct"/>
            <w:tcBorders>
              <w:top w:val="nil"/>
              <w:left w:val="nil"/>
              <w:bottom w:val="nil"/>
              <w:right w:val="nil"/>
            </w:tcBorders>
          </w:tcPr>
          <w:p w14:paraId="1982FA2A"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0.070</w:t>
            </w:r>
          </w:p>
        </w:tc>
        <w:tc>
          <w:tcPr>
            <w:tcW w:w="871" w:type="pct"/>
            <w:tcBorders>
              <w:top w:val="nil"/>
              <w:left w:val="nil"/>
              <w:bottom w:val="nil"/>
              <w:right w:val="nil"/>
            </w:tcBorders>
          </w:tcPr>
          <w:p w14:paraId="50C3EE8E"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0.070</w:t>
            </w:r>
          </w:p>
        </w:tc>
        <w:tc>
          <w:tcPr>
            <w:tcW w:w="871" w:type="pct"/>
            <w:tcBorders>
              <w:top w:val="nil"/>
              <w:left w:val="nil"/>
              <w:bottom w:val="nil"/>
              <w:right w:val="nil"/>
            </w:tcBorders>
          </w:tcPr>
          <w:p w14:paraId="07A39A80"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0.091</w:t>
            </w:r>
          </w:p>
        </w:tc>
        <w:tc>
          <w:tcPr>
            <w:tcW w:w="868" w:type="pct"/>
            <w:tcBorders>
              <w:top w:val="nil"/>
              <w:left w:val="nil"/>
              <w:bottom w:val="nil"/>
              <w:right w:val="nil"/>
            </w:tcBorders>
          </w:tcPr>
          <w:p w14:paraId="2A6ADCF8"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0.091</w:t>
            </w:r>
          </w:p>
        </w:tc>
      </w:tr>
      <w:tr w:rsidR="00B744EF" w:rsidRPr="008A74A3" w14:paraId="218ABC64" w14:textId="77777777" w:rsidTr="00444693">
        <w:tc>
          <w:tcPr>
            <w:tcW w:w="809" w:type="pct"/>
            <w:tcBorders>
              <w:top w:val="nil"/>
              <w:left w:val="nil"/>
              <w:bottom w:val="nil"/>
              <w:right w:val="nil"/>
            </w:tcBorders>
          </w:tcPr>
          <w:p w14:paraId="3CBC310B"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slope factor – F</w:t>
            </w:r>
          </w:p>
        </w:tc>
        <w:tc>
          <w:tcPr>
            <w:tcW w:w="514" w:type="pct"/>
            <w:tcBorders>
              <w:top w:val="nil"/>
              <w:left w:val="nil"/>
              <w:bottom w:val="nil"/>
              <w:right w:val="nil"/>
            </w:tcBorders>
          </w:tcPr>
          <w:p w14:paraId="1AB247D1"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(fraction)</w:t>
            </w:r>
          </w:p>
        </w:tc>
        <w:tc>
          <w:tcPr>
            <w:tcW w:w="1067" w:type="pct"/>
            <w:tcBorders>
              <w:top w:val="nil"/>
              <w:left w:val="nil"/>
              <w:bottom w:val="nil"/>
              <w:right w:val="nil"/>
            </w:tcBorders>
          </w:tcPr>
          <w:p w14:paraId="4479E814"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0.26</w:t>
            </w:r>
          </w:p>
        </w:tc>
        <w:tc>
          <w:tcPr>
            <w:tcW w:w="871" w:type="pct"/>
            <w:tcBorders>
              <w:top w:val="nil"/>
              <w:left w:val="nil"/>
              <w:bottom w:val="nil"/>
              <w:right w:val="nil"/>
            </w:tcBorders>
          </w:tcPr>
          <w:p w14:paraId="13C9283A"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0.077</w:t>
            </w:r>
          </w:p>
        </w:tc>
        <w:tc>
          <w:tcPr>
            <w:tcW w:w="871" w:type="pct"/>
            <w:tcBorders>
              <w:top w:val="nil"/>
              <w:left w:val="nil"/>
              <w:bottom w:val="nil"/>
              <w:right w:val="nil"/>
            </w:tcBorders>
          </w:tcPr>
          <w:p w14:paraId="2718EE32"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0.26</w:t>
            </w:r>
          </w:p>
        </w:tc>
        <w:tc>
          <w:tcPr>
            <w:tcW w:w="868" w:type="pct"/>
            <w:tcBorders>
              <w:top w:val="nil"/>
              <w:left w:val="nil"/>
              <w:bottom w:val="nil"/>
              <w:right w:val="nil"/>
            </w:tcBorders>
          </w:tcPr>
          <w:p w14:paraId="0276C5B1"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0.077</w:t>
            </w:r>
          </w:p>
        </w:tc>
      </w:tr>
      <w:tr w:rsidR="00B744EF" w:rsidRPr="008A74A3" w14:paraId="14D3978E" w14:textId="77777777" w:rsidTr="00444693">
        <w:tc>
          <w:tcPr>
            <w:tcW w:w="809" w:type="pct"/>
            <w:tcBorders>
              <w:top w:val="nil"/>
              <w:left w:val="nil"/>
              <w:bottom w:val="single" w:sz="4" w:space="0" w:color="auto"/>
              <w:right w:val="nil"/>
            </w:tcBorders>
          </w:tcPr>
          <w:p w14:paraId="626A1ECC" w14:textId="77777777" w:rsidR="00B744EF" w:rsidRPr="00EB6779" w:rsidRDefault="00B744EF" w:rsidP="00444693">
            <w:pPr>
              <w:pStyle w:val="BodyText"/>
              <w:keepNext/>
              <w:keepLines/>
              <w:widowControl w:val="0"/>
              <w:spacing w:after="0"/>
              <w:jc w:val="right"/>
              <w:rPr>
                <w:rFonts w:ascii="Arial" w:hAnsi="Arial" w:cs="Arial"/>
                <w:sz w:val="17"/>
                <w:szCs w:val="17"/>
              </w:rPr>
            </w:pPr>
            <w:r w:rsidRPr="00EB6779">
              <w:rPr>
                <w:rFonts w:ascii="Arial" w:hAnsi="Arial" w:cs="Arial"/>
                <w:sz w:val="17"/>
                <w:szCs w:val="17"/>
              </w:rPr>
              <w:t>Runoff</w:t>
            </w:r>
          </w:p>
        </w:tc>
        <w:tc>
          <w:tcPr>
            <w:tcW w:w="514" w:type="pct"/>
            <w:tcBorders>
              <w:top w:val="nil"/>
              <w:left w:val="nil"/>
              <w:bottom w:val="single" w:sz="4" w:space="0" w:color="auto"/>
              <w:right w:val="nil"/>
            </w:tcBorders>
          </w:tcPr>
          <w:p w14:paraId="1C2C5A1E" w14:textId="77777777" w:rsidR="00B744EF" w:rsidRPr="00EB6779" w:rsidRDefault="00B744EF" w:rsidP="00444693">
            <w:pPr>
              <w:pStyle w:val="BodyText"/>
              <w:keepNext/>
              <w:keepLines/>
              <w:widowControl w:val="0"/>
              <w:spacing w:after="0"/>
              <w:rPr>
                <w:rFonts w:ascii="Arial" w:hAnsi="Arial" w:cs="Arial"/>
                <w:sz w:val="16"/>
                <w:szCs w:val="16"/>
              </w:rPr>
            </w:pPr>
            <w:r w:rsidRPr="00EB6779">
              <w:rPr>
                <w:rFonts w:ascii="Arial" w:hAnsi="Arial" w:cs="Arial"/>
                <w:sz w:val="16"/>
                <w:szCs w:val="16"/>
              </w:rPr>
              <w:t>(% applied)</w:t>
            </w:r>
          </w:p>
        </w:tc>
        <w:tc>
          <w:tcPr>
            <w:tcW w:w="1067" w:type="pct"/>
            <w:tcBorders>
              <w:top w:val="nil"/>
              <w:left w:val="nil"/>
              <w:bottom w:val="single" w:sz="4" w:space="0" w:color="auto"/>
              <w:right w:val="nil"/>
            </w:tcBorders>
          </w:tcPr>
          <w:p w14:paraId="6C89FADA"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0.0015</w:t>
            </w:r>
          </w:p>
        </w:tc>
        <w:tc>
          <w:tcPr>
            <w:tcW w:w="871" w:type="pct"/>
            <w:tcBorders>
              <w:top w:val="nil"/>
              <w:left w:val="nil"/>
              <w:bottom w:val="single" w:sz="4" w:space="0" w:color="auto"/>
              <w:right w:val="nil"/>
            </w:tcBorders>
          </w:tcPr>
          <w:p w14:paraId="046961C1"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0.00045</w:t>
            </w:r>
          </w:p>
        </w:tc>
        <w:tc>
          <w:tcPr>
            <w:tcW w:w="871" w:type="pct"/>
            <w:tcBorders>
              <w:top w:val="nil"/>
              <w:left w:val="nil"/>
              <w:bottom w:val="single" w:sz="4" w:space="0" w:color="auto"/>
              <w:right w:val="nil"/>
            </w:tcBorders>
          </w:tcPr>
          <w:p w14:paraId="59D7D399"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0.0020</w:t>
            </w:r>
          </w:p>
        </w:tc>
        <w:tc>
          <w:tcPr>
            <w:tcW w:w="868" w:type="pct"/>
            <w:tcBorders>
              <w:top w:val="nil"/>
              <w:left w:val="nil"/>
              <w:bottom w:val="single" w:sz="4" w:space="0" w:color="auto"/>
              <w:right w:val="nil"/>
            </w:tcBorders>
          </w:tcPr>
          <w:p w14:paraId="47DD6E0C" w14:textId="77777777" w:rsidR="00B744EF" w:rsidRPr="00EB6779" w:rsidRDefault="00B744EF" w:rsidP="00EB6779">
            <w:pPr>
              <w:pStyle w:val="BodyText"/>
              <w:keepNext/>
              <w:keepLines/>
              <w:widowControl w:val="0"/>
              <w:spacing w:after="0"/>
              <w:jc w:val="right"/>
              <w:rPr>
                <w:rFonts w:ascii="Arial" w:hAnsi="Arial" w:cs="Arial"/>
                <w:sz w:val="17"/>
                <w:szCs w:val="17"/>
              </w:rPr>
            </w:pPr>
            <w:r w:rsidRPr="00EB6779">
              <w:rPr>
                <w:rFonts w:ascii="Arial" w:hAnsi="Arial" w:cs="Arial"/>
                <w:sz w:val="17"/>
                <w:szCs w:val="17"/>
              </w:rPr>
              <w:t>0.00059</w:t>
            </w:r>
          </w:p>
        </w:tc>
      </w:tr>
      <w:tr w:rsidR="00B744EF" w:rsidRPr="008A74A3" w14:paraId="3E4B32B2" w14:textId="77777777" w:rsidTr="00444693">
        <w:tc>
          <w:tcPr>
            <w:tcW w:w="5000" w:type="pct"/>
            <w:gridSpan w:val="6"/>
            <w:tcBorders>
              <w:top w:val="single" w:sz="4" w:space="0" w:color="auto"/>
              <w:left w:val="nil"/>
              <w:bottom w:val="single" w:sz="4" w:space="0" w:color="auto"/>
              <w:right w:val="nil"/>
            </w:tcBorders>
          </w:tcPr>
          <w:p w14:paraId="1469EA38" w14:textId="77777777" w:rsidR="00B744EF" w:rsidRPr="008A74A3" w:rsidRDefault="00B744EF" w:rsidP="00BC7034">
            <w:pPr>
              <w:pStyle w:val="TableSubHead0"/>
            </w:pPr>
            <w:r w:rsidRPr="008A74A3">
              <w:t>Water</w:t>
            </w:r>
          </w:p>
        </w:tc>
      </w:tr>
      <w:tr w:rsidR="00B744EF" w:rsidRPr="008A74A3" w14:paraId="06655C2E" w14:textId="77777777" w:rsidTr="00444693">
        <w:tc>
          <w:tcPr>
            <w:tcW w:w="809" w:type="pct"/>
            <w:tcBorders>
              <w:top w:val="single" w:sz="4" w:space="0" w:color="auto"/>
              <w:left w:val="nil"/>
              <w:bottom w:val="nil"/>
              <w:right w:val="nil"/>
            </w:tcBorders>
          </w:tcPr>
          <w:p w14:paraId="65E4B406" w14:textId="77777777" w:rsidR="00B744EF" w:rsidRPr="00834E0F" w:rsidRDefault="00B744EF" w:rsidP="00444693">
            <w:pPr>
              <w:pStyle w:val="BodyText"/>
              <w:keepNext/>
              <w:keepLines/>
              <w:widowControl w:val="0"/>
              <w:spacing w:after="0"/>
              <w:jc w:val="right"/>
              <w:rPr>
                <w:rFonts w:ascii="Arial" w:hAnsi="Arial" w:cs="Arial"/>
                <w:sz w:val="17"/>
                <w:szCs w:val="17"/>
              </w:rPr>
            </w:pPr>
            <w:r w:rsidRPr="00834E0F">
              <w:rPr>
                <w:rFonts w:ascii="Arial" w:hAnsi="Arial" w:cs="Arial"/>
                <w:sz w:val="17"/>
                <w:szCs w:val="17"/>
              </w:rPr>
              <w:t xml:space="preserve">PEC </w:t>
            </w:r>
          </w:p>
        </w:tc>
        <w:tc>
          <w:tcPr>
            <w:tcW w:w="514" w:type="pct"/>
            <w:tcBorders>
              <w:top w:val="single" w:sz="4" w:space="0" w:color="auto"/>
              <w:left w:val="nil"/>
              <w:bottom w:val="nil"/>
              <w:right w:val="nil"/>
            </w:tcBorders>
          </w:tcPr>
          <w:p w14:paraId="11DB3076" w14:textId="77777777" w:rsidR="00B744EF" w:rsidRPr="00834E0F" w:rsidRDefault="00B744EF" w:rsidP="00444693">
            <w:pPr>
              <w:pStyle w:val="BodyText"/>
              <w:keepNext/>
              <w:keepLines/>
              <w:widowControl w:val="0"/>
              <w:spacing w:after="0"/>
              <w:rPr>
                <w:rFonts w:ascii="Arial" w:hAnsi="Arial" w:cs="Arial"/>
                <w:sz w:val="16"/>
                <w:szCs w:val="16"/>
              </w:rPr>
            </w:pPr>
            <w:r w:rsidRPr="00834E0F">
              <w:rPr>
                <w:rFonts w:ascii="Arial" w:hAnsi="Arial" w:cs="Arial"/>
                <w:sz w:val="16"/>
                <w:szCs w:val="16"/>
              </w:rPr>
              <w:t>(</w:t>
            </w:r>
            <w:r w:rsidRPr="00834E0F">
              <w:rPr>
                <w:rFonts w:ascii="Arial" w:hAnsi="Arial" w:cs="Arial"/>
                <w:sz w:val="16"/>
                <w:szCs w:val="16"/>
                <w:lang w:eastAsia="en-AU"/>
              </w:rPr>
              <w:t>µg/L</w:t>
            </w:r>
            <w:r w:rsidRPr="00834E0F">
              <w:rPr>
                <w:rFonts w:ascii="Arial" w:hAnsi="Arial" w:cs="Arial"/>
                <w:sz w:val="16"/>
                <w:szCs w:val="16"/>
              </w:rPr>
              <w:t>)</w:t>
            </w:r>
          </w:p>
        </w:tc>
        <w:tc>
          <w:tcPr>
            <w:tcW w:w="1067" w:type="pct"/>
            <w:tcBorders>
              <w:top w:val="single" w:sz="4" w:space="0" w:color="auto"/>
              <w:left w:val="nil"/>
              <w:bottom w:val="nil"/>
              <w:right w:val="nil"/>
            </w:tcBorders>
          </w:tcPr>
          <w:p w14:paraId="20DED006"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0.15</w:t>
            </w:r>
          </w:p>
        </w:tc>
        <w:tc>
          <w:tcPr>
            <w:tcW w:w="871" w:type="pct"/>
            <w:tcBorders>
              <w:top w:val="single" w:sz="4" w:space="0" w:color="auto"/>
              <w:left w:val="nil"/>
              <w:bottom w:val="nil"/>
              <w:right w:val="nil"/>
            </w:tcBorders>
          </w:tcPr>
          <w:p w14:paraId="1EDF2FA7"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0.04</w:t>
            </w:r>
          </w:p>
        </w:tc>
        <w:tc>
          <w:tcPr>
            <w:tcW w:w="871" w:type="pct"/>
            <w:tcBorders>
              <w:top w:val="single" w:sz="4" w:space="0" w:color="auto"/>
              <w:left w:val="nil"/>
              <w:bottom w:val="nil"/>
              <w:right w:val="nil"/>
            </w:tcBorders>
          </w:tcPr>
          <w:p w14:paraId="7333D95B"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0.24</w:t>
            </w:r>
          </w:p>
        </w:tc>
        <w:tc>
          <w:tcPr>
            <w:tcW w:w="868" w:type="pct"/>
            <w:tcBorders>
              <w:top w:val="single" w:sz="4" w:space="0" w:color="auto"/>
              <w:left w:val="nil"/>
              <w:bottom w:val="nil"/>
              <w:right w:val="nil"/>
            </w:tcBorders>
          </w:tcPr>
          <w:p w14:paraId="27266109"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0.070</w:t>
            </w:r>
          </w:p>
        </w:tc>
      </w:tr>
      <w:tr w:rsidR="00B744EF" w:rsidRPr="008A74A3" w14:paraId="1CC1E12E" w14:textId="77777777" w:rsidTr="00444693">
        <w:tc>
          <w:tcPr>
            <w:tcW w:w="809" w:type="pct"/>
            <w:tcBorders>
              <w:top w:val="nil"/>
              <w:left w:val="nil"/>
              <w:bottom w:val="nil"/>
              <w:right w:val="nil"/>
            </w:tcBorders>
          </w:tcPr>
          <w:p w14:paraId="798E163E" w14:textId="77777777" w:rsidR="00B744EF" w:rsidRPr="00834E0F" w:rsidRDefault="00B744EF" w:rsidP="00444693">
            <w:pPr>
              <w:pStyle w:val="BodyText"/>
              <w:keepNext/>
              <w:keepLines/>
              <w:widowControl w:val="0"/>
              <w:spacing w:after="0"/>
              <w:jc w:val="right"/>
              <w:rPr>
                <w:rFonts w:ascii="Arial" w:hAnsi="Arial" w:cs="Arial"/>
                <w:sz w:val="17"/>
                <w:szCs w:val="17"/>
              </w:rPr>
            </w:pPr>
            <w:r w:rsidRPr="00834E0F">
              <w:rPr>
                <w:rFonts w:ascii="Arial" w:hAnsi="Arial" w:cs="Arial"/>
                <w:sz w:val="17"/>
                <w:szCs w:val="17"/>
              </w:rPr>
              <w:t>RAL</w:t>
            </w:r>
          </w:p>
        </w:tc>
        <w:tc>
          <w:tcPr>
            <w:tcW w:w="514" w:type="pct"/>
            <w:tcBorders>
              <w:top w:val="nil"/>
              <w:left w:val="nil"/>
              <w:bottom w:val="nil"/>
              <w:right w:val="nil"/>
            </w:tcBorders>
          </w:tcPr>
          <w:p w14:paraId="5AF837F1" w14:textId="77777777" w:rsidR="00B744EF" w:rsidRPr="00834E0F" w:rsidRDefault="00B744EF" w:rsidP="00444693">
            <w:pPr>
              <w:pStyle w:val="BodyText"/>
              <w:keepNext/>
              <w:keepLines/>
              <w:widowControl w:val="0"/>
              <w:spacing w:after="0"/>
              <w:rPr>
                <w:rFonts w:ascii="Arial" w:hAnsi="Arial" w:cs="Arial"/>
                <w:sz w:val="16"/>
                <w:szCs w:val="16"/>
              </w:rPr>
            </w:pPr>
            <w:r w:rsidRPr="00834E0F">
              <w:rPr>
                <w:rFonts w:ascii="Arial" w:hAnsi="Arial" w:cs="Arial"/>
                <w:sz w:val="16"/>
                <w:szCs w:val="16"/>
              </w:rPr>
              <w:t>(</w:t>
            </w:r>
            <w:r w:rsidRPr="00834E0F">
              <w:rPr>
                <w:rFonts w:ascii="Arial" w:hAnsi="Arial" w:cs="Arial"/>
                <w:sz w:val="16"/>
                <w:szCs w:val="16"/>
                <w:lang w:eastAsia="en-AU"/>
              </w:rPr>
              <w:t>µg/L</w:t>
            </w:r>
            <w:r w:rsidRPr="00834E0F">
              <w:rPr>
                <w:rFonts w:ascii="Arial" w:hAnsi="Arial" w:cs="Arial"/>
                <w:sz w:val="16"/>
                <w:szCs w:val="16"/>
              </w:rPr>
              <w:t>)</w:t>
            </w:r>
          </w:p>
        </w:tc>
        <w:tc>
          <w:tcPr>
            <w:tcW w:w="1067" w:type="pct"/>
            <w:tcBorders>
              <w:top w:val="nil"/>
              <w:left w:val="nil"/>
              <w:bottom w:val="nil"/>
              <w:right w:val="nil"/>
            </w:tcBorders>
          </w:tcPr>
          <w:p w14:paraId="7F86F648"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0.15</w:t>
            </w:r>
          </w:p>
        </w:tc>
        <w:tc>
          <w:tcPr>
            <w:tcW w:w="871" w:type="pct"/>
            <w:tcBorders>
              <w:top w:val="nil"/>
              <w:left w:val="nil"/>
              <w:bottom w:val="nil"/>
              <w:right w:val="nil"/>
            </w:tcBorders>
          </w:tcPr>
          <w:p w14:paraId="77A33146"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0.15</w:t>
            </w:r>
          </w:p>
        </w:tc>
        <w:tc>
          <w:tcPr>
            <w:tcW w:w="871" w:type="pct"/>
            <w:tcBorders>
              <w:top w:val="nil"/>
              <w:left w:val="nil"/>
              <w:bottom w:val="nil"/>
              <w:right w:val="nil"/>
            </w:tcBorders>
          </w:tcPr>
          <w:p w14:paraId="4AA633DA"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0.15</w:t>
            </w:r>
          </w:p>
        </w:tc>
        <w:tc>
          <w:tcPr>
            <w:tcW w:w="868" w:type="pct"/>
            <w:tcBorders>
              <w:top w:val="nil"/>
              <w:left w:val="nil"/>
              <w:bottom w:val="nil"/>
              <w:right w:val="nil"/>
            </w:tcBorders>
          </w:tcPr>
          <w:p w14:paraId="652021E9"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0.15</w:t>
            </w:r>
          </w:p>
        </w:tc>
      </w:tr>
      <w:tr w:rsidR="00B744EF" w:rsidRPr="008A74A3" w14:paraId="26769771" w14:textId="77777777" w:rsidTr="00444693">
        <w:tc>
          <w:tcPr>
            <w:tcW w:w="809" w:type="pct"/>
            <w:tcBorders>
              <w:top w:val="nil"/>
              <w:left w:val="nil"/>
              <w:bottom w:val="single" w:sz="4" w:space="0" w:color="auto"/>
              <w:right w:val="nil"/>
            </w:tcBorders>
          </w:tcPr>
          <w:p w14:paraId="54E86D03" w14:textId="77777777" w:rsidR="00B744EF" w:rsidRPr="00834E0F" w:rsidRDefault="00B744EF" w:rsidP="00444693">
            <w:pPr>
              <w:pStyle w:val="BodyText"/>
              <w:keepNext/>
              <w:keepLines/>
              <w:widowControl w:val="0"/>
              <w:spacing w:after="0"/>
              <w:jc w:val="right"/>
              <w:rPr>
                <w:rFonts w:ascii="Arial" w:hAnsi="Arial" w:cs="Arial"/>
                <w:sz w:val="17"/>
                <w:szCs w:val="17"/>
              </w:rPr>
            </w:pPr>
            <w:r w:rsidRPr="00834E0F">
              <w:rPr>
                <w:rFonts w:ascii="Arial" w:hAnsi="Arial" w:cs="Arial"/>
                <w:sz w:val="17"/>
                <w:szCs w:val="17"/>
              </w:rPr>
              <w:t>Risk quotient</w:t>
            </w:r>
          </w:p>
        </w:tc>
        <w:tc>
          <w:tcPr>
            <w:tcW w:w="514" w:type="pct"/>
            <w:tcBorders>
              <w:top w:val="nil"/>
              <w:left w:val="nil"/>
              <w:bottom w:val="single" w:sz="4" w:space="0" w:color="auto"/>
              <w:right w:val="nil"/>
            </w:tcBorders>
          </w:tcPr>
          <w:p w14:paraId="73AAFAFB" w14:textId="77777777" w:rsidR="00B744EF" w:rsidRPr="00834E0F" w:rsidRDefault="00B744EF" w:rsidP="00444693">
            <w:pPr>
              <w:pStyle w:val="BodyText"/>
              <w:keepNext/>
              <w:keepLines/>
              <w:widowControl w:val="0"/>
              <w:spacing w:after="0"/>
              <w:rPr>
                <w:rFonts w:ascii="Arial" w:hAnsi="Arial" w:cs="Arial"/>
                <w:sz w:val="16"/>
                <w:szCs w:val="16"/>
              </w:rPr>
            </w:pPr>
            <w:r w:rsidRPr="00834E0F">
              <w:rPr>
                <w:rFonts w:ascii="Arial" w:hAnsi="Arial" w:cs="Arial"/>
                <w:sz w:val="16"/>
                <w:szCs w:val="16"/>
              </w:rPr>
              <w:t>(fraction)</w:t>
            </w:r>
          </w:p>
        </w:tc>
        <w:tc>
          <w:tcPr>
            <w:tcW w:w="1067" w:type="pct"/>
            <w:tcBorders>
              <w:top w:val="nil"/>
              <w:left w:val="nil"/>
              <w:bottom w:val="single" w:sz="4" w:space="0" w:color="auto"/>
              <w:right w:val="nil"/>
            </w:tcBorders>
          </w:tcPr>
          <w:p w14:paraId="016B68CC"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0.99</w:t>
            </w:r>
          </w:p>
        </w:tc>
        <w:tc>
          <w:tcPr>
            <w:tcW w:w="871" w:type="pct"/>
            <w:tcBorders>
              <w:top w:val="nil"/>
              <w:left w:val="nil"/>
              <w:bottom w:val="single" w:sz="4" w:space="0" w:color="auto"/>
              <w:right w:val="nil"/>
            </w:tcBorders>
          </w:tcPr>
          <w:p w14:paraId="10A00618"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0.29</w:t>
            </w:r>
          </w:p>
        </w:tc>
        <w:tc>
          <w:tcPr>
            <w:tcW w:w="871" w:type="pct"/>
            <w:tcBorders>
              <w:top w:val="nil"/>
              <w:left w:val="nil"/>
              <w:bottom w:val="single" w:sz="4" w:space="0" w:color="auto"/>
              <w:right w:val="nil"/>
            </w:tcBorders>
            <w:shd w:val="clear" w:color="auto" w:fill="FF0000"/>
          </w:tcPr>
          <w:p w14:paraId="66169219" w14:textId="77777777" w:rsidR="00B744EF" w:rsidRPr="00834E0F" w:rsidRDefault="00B744EF" w:rsidP="00834E0F">
            <w:pPr>
              <w:pStyle w:val="BodyText"/>
              <w:keepNext/>
              <w:keepLines/>
              <w:widowControl w:val="0"/>
              <w:spacing w:after="0"/>
              <w:jc w:val="right"/>
              <w:rPr>
                <w:rFonts w:ascii="Arial" w:hAnsi="Arial" w:cs="Arial"/>
                <w:b/>
                <w:bCs/>
                <w:sz w:val="17"/>
                <w:szCs w:val="17"/>
              </w:rPr>
            </w:pPr>
            <w:r w:rsidRPr="00834E0F">
              <w:rPr>
                <w:rFonts w:ascii="Arial" w:hAnsi="Arial" w:cs="Arial"/>
                <w:b/>
                <w:bCs/>
                <w:sz w:val="17"/>
                <w:szCs w:val="17"/>
              </w:rPr>
              <w:t>1.6</w:t>
            </w:r>
          </w:p>
        </w:tc>
        <w:tc>
          <w:tcPr>
            <w:tcW w:w="868" w:type="pct"/>
            <w:tcBorders>
              <w:top w:val="nil"/>
              <w:left w:val="nil"/>
              <w:bottom w:val="single" w:sz="4" w:space="0" w:color="auto"/>
              <w:right w:val="nil"/>
            </w:tcBorders>
          </w:tcPr>
          <w:p w14:paraId="0AEFA416"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0.47</w:t>
            </w:r>
          </w:p>
        </w:tc>
      </w:tr>
      <w:tr w:rsidR="00B744EF" w:rsidRPr="008A74A3" w14:paraId="46E9DA4C" w14:textId="77777777" w:rsidTr="00444693">
        <w:tc>
          <w:tcPr>
            <w:tcW w:w="5000" w:type="pct"/>
            <w:gridSpan w:val="6"/>
            <w:tcBorders>
              <w:top w:val="single" w:sz="4" w:space="0" w:color="auto"/>
              <w:left w:val="nil"/>
              <w:bottom w:val="single" w:sz="4" w:space="0" w:color="auto"/>
              <w:right w:val="nil"/>
            </w:tcBorders>
          </w:tcPr>
          <w:p w14:paraId="2E9C8D6A" w14:textId="77777777" w:rsidR="00B744EF" w:rsidRPr="008A74A3" w:rsidRDefault="00B744EF" w:rsidP="00BC7034">
            <w:pPr>
              <w:pStyle w:val="TableSubHead0"/>
            </w:pPr>
            <w:r w:rsidRPr="008A74A3">
              <w:t>Sediment</w:t>
            </w:r>
          </w:p>
        </w:tc>
      </w:tr>
      <w:tr w:rsidR="00B744EF" w:rsidRPr="008A74A3" w14:paraId="723FCB56" w14:textId="77777777" w:rsidTr="00444693">
        <w:tc>
          <w:tcPr>
            <w:tcW w:w="809" w:type="pct"/>
            <w:tcBorders>
              <w:top w:val="single" w:sz="4" w:space="0" w:color="auto"/>
              <w:left w:val="nil"/>
              <w:bottom w:val="nil"/>
              <w:right w:val="nil"/>
            </w:tcBorders>
          </w:tcPr>
          <w:p w14:paraId="146877B2" w14:textId="77777777" w:rsidR="00B744EF" w:rsidRPr="00834E0F" w:rsidRDefault="00B744EF" w:rsidP="00444693">
            <w:pPr>
              <w:pStyle w:val="BodyText"/>
              <w:keepNext/>
              <w:keepLines/>
              <w:widowControl w:val="0"/>
              <w:spacing w:after="0"/>
              <w:jc w:val="right"/>
              <w:rPr>
                <w:rFonts w:ascii="Arial" w:hAnsi="Arial" w:cs="Arial"/>
                <w:sz w:val="17"/>
                <w:szCs w:val="17"/>
              </w:rPr>
            </w:pPr>
            <w:r w:rsidRPr="00834E0F">
              <w:rPr>
                <w:rFonts w:ascii="Arial" w:hAnsi="Arial" w:cs="Arial"/>
                <w:sz w:val="17"/>
                <w:szCs w:val="17"/>
              </w:rPr>
              <w:t xml:space="preserve">PEC </w:t>
            </w:r>
          </w:p>
        </w:tc>
        <w:tc>
          <w:tcPr>
            <w:tcW w:w="514" w:type="pct"/>
            <w:tcBorders>
              <w:top w:val="single" w:sz="4" w:space="0" w:color="auto"/>
              <w:left w:val="nil"/>
              <w:bottom w:val="nil"/>
              <w:right w:val="nil"/>
            </w:tcBorders>
          </w:tcPr>
          <w:p w14:paraId="06C4923A" w14:textId="77777777" w:rsidR="00B744EF" w:rsidRPr="00834E0F" w:rsidRDefault="00B744EF" w:rsidP="00444693">
            <w:pPr>
              <w:pStyle w:val="BodyText"/>
              <w:keepNext/>
              <w:keepLines/>
              <w:widowControl w:val="0"/>
              <w:spacing w:after="0"/>
              <w:rPr>
                <w:rFonts w:ascii="Arial" w:hAnsi="Arial" w:cs="Arial"/>
                <w:sz w:val="16"/>
                <w:szCs w:val="16"/>
              </w:rPr>
            </w:pPr>
            <w:r w:rsidRPr="00834E0F">
              <w:rPr>
                <w:rFonts w:ascii="Arial" w:hAnsi="Arial" w:cs="Arial"/>
                <w:sz w:val="16"/>
                <w:szCs w:val="16"/>
              </w:rPr>
              <w:t>(</w:t>
            </w:r>
            <w:r w:rsidRPr="00834E0F">
              <w:rPr>
                <w:rFonts w:ascii="Arial" w:hAnsi="Arial" w:cs="Arial"/>
                <w:sz w:val="16"/>
                <w:szCs w:val="16"/>
                <w:lang w:eastAsia="en-AU"/>
              </w:rPr>
              <w:t>mg/kg</w:t>
            </w:r>
            <w:r w:rsidRPr="00834E0F">
              <w:rPr>
                <w:rFonts w:ascii="Arial" w:hAnsi="Arial" w:cs="Arial"/>
                <w:sz w:val="16"/>
                <w:szCs w:val="16"/>
              </w:rPr>
              <w:t>)</w:t>
            </w:r>
          </w:p>
        </w:tc>
        <w:tc>
          <w:tcPr>
            <w:tcW w:w="1067" w:type="pct"/>
            <w:tcBorders>
              <w:top w:val="single" w:sz="4" w:space="0" w:color="auto"/>
              <w:left w:val="nil"/>
              <w:bottom w:val="nil"/>
              <w:right w:val="nil"/>
            </w:tcBorders>
          </w:tcPr>
          <w:p w14:paraId="3E2A7524"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2.8</w:t>
            </w:r>
          </w:p>
        </w:tc>
        <w:tc>
          <w:tcPr>
            <w:tcW w:w="871" w:type="pct"/>
            <w:tcBorders>
              <w:top w:val="single" w:sz="4" w:space="0" w:color="auto"/>
              <w:left w:val="nil"/>
              <w:bottom w:val="nil"/>
              <w:right w:val="nil"/>
            </w:tcBorders>
          </w:tcPr>
          <w:p w14:paraId="7DDCB726"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0.82</w:t>
            </w:r>
          </w:p>
        </w:tc>
        <w:tc>
          <w:tcPr>
            <w:tcW w:w="871" w:type="pct"/>
            <w:tcBorders>
              <w:top w:val="single" w:sz="4" w:space="0" w:color="auto"/>
              <w:left w:val="nil"/>
              <w:bottom w:val="nil"/>
              <w:right w:val="nil"/>
            </w:tcBorders>
          </w:tcPr>
          <w:p w14:paraId="176B1B2D"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4.5</w:t>
            </w:r>
          </w:p>
        </w:tc>
        <w:tc>
          <w:tcPr>
            <w:tcW w:w="868" w:type="pct"/>
            <w:tcBorders>
              <w:top w:val="single" w:sz="4" w:space="0" w:color="auto"/>
              <w:left w:val="nil"/>
              <w:bottom w:val="nil"/>
              <w:right w:val="nil"/>
            </w:tcBorders>
          </w:tcPr>
          <w:p w14:paraId="02FE5642"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1.3</w:t>
            </w:r>
          </w:p>
        </w:tc>
      </w:tr>
      <w:tr w:rsidR="00B744EF" w:rsidRPr="008A74A3" w14:paraId="77698794" w14:textId="77777777" w:rsidTr="00444693">
        <w:tc>
          <w:tcPr>
            <w:tcW w:w="809" w:type="pct"/>
            <w:tcBorders>
              <w:top w:val="nil"/>
              <w:left w:val="nil"/>
              <w:bottom w:val="nil"/>
              <w:right w:val="nil"/>
            </w:tcBorders>
          </w:tcPr>
          <w:p w14:paraId="14688647" w14:textId="77777777" w:rsidR="00B744EF" w:rsidRPr="00834E0F" w:rsidRDefault="00B744EF" w:rsidP="00444693">
            <w:pPr>
              <w:pStyle w:val="BodyText"/>
              <w:keepNext/>
              <w:keepLines/>
              <w:widowControl w:val="0"/>
              <w:spacing w:after="0"/>
              <w:jc w:val="right"/>
              <w:rPr>
                <w:rFonts w:ascii="Arial" w:hAnsi="Arial" w:cs="Arial"/>
                <w:sz w:val="17"/>
                <w:szCs w:val="17"/>
              </w:rPr>
            </w:pPr>
            <w:r w:rsidRPr="00834E0F">
              <w:rPr>
                <w:rFonts w:ascii="Arial" w:hAnsi="Arial" w:cs="Arial"/>
                <w:sz w:val="17"/>
                <w:szCs w:val="17"/>
              </w:rPr>
              <w:t>RAL</w:t>
            </w:r>
          </w:p>
        </w:tc>
        <w:tc>
          <w:tcPr>
            <w:tcW w:w="514" w:type="pct"/>
            <w:tcBorders>
              <w:top w:val="nil"/>
              <w:left w:val="nil"/>
              <w:bottom w:val="nil"/>
              <w:right w:val="nil"/>
            </w:tcBorders>
          </w:tcPr>
          <w:p w14:paraId="08F408B8" w14:textId="77777777" w:rsidR="00B744EF" w:rsidRPr="00834E0F" w:rsidRDefault="00B744EF" w:rsidP="00444693">
            <w:pPr>
              <w:pStyle w:val="BodyText"/>
              <w:keepNext/>
              <w:keepLines/>
              <w:widowControl w:val="0"/>
              <w:spacing w:after="0"/>
              <w:rPr>
                <w:rFonts w:ascii="Arial" w:hAnsi="Arial" w:cs="Arial"/>
                <w:sz w:val="16"/>
                <w:szCs w:val="16"/>
              </w:rPr>
            </w:pPr>
            <w:r w:rsidRPr="00834E0F">
              <w:rPr>
                <w:rFonts w:ascii="Arial" w:hAnsi="Arial" w:cs="Arial"/>
                <w:sz w:val="16"/>
                <w:szCs w:val="16"/>
              </w:rPr>
              <w:t>(</w:t>
            </w:r>
            <w:r w:rsidRPr="00834E0F">
              <w:rPr>
                <w:rFonts w:ascii="Arial" w:hAnsi="Arial" w:cs="Arial"/>
                <w:sz w:val="16"/>
                <w:szCs w:val="16"/>
                <w:lang w:eastAsia="en-AU"/>
              </w:rPr>
              <w:t>mg/kg</w:t>
            </w:r>
            <w:r w:rsidRPr="00834E0F">
              <w:rPr>
                <w:rFonts w:ascii="Arial" w:hAnsi="Arial" w:cs="Arial"/>
                <w:sz w:val="16"/>
                <w:szCs w:val="16"/>
              </w:rPr>
              <w:t>)</w:t>
            </w:r>
          </w:p>
        </w:tc>
        <w:tc>
          <w:tcPr>
            <w:tcW w:w="1067" w:type="pct"/>
            <w:tcBorders>
              <w:top w:val="nil"/>
              <w:left w:val="nil"/>
              <w:bottom w:val="nil"/>
              <w:right w:val="nil"/>
            </w:tcBorders>
          </w:tcPr>
          <w:p w14:paraId="14FF33CB"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3.9</w:t>
            </w:r>
          </w:p>
        </w:tc>
        <w:tc>
          <w:tcPr>
            <w:tcW w:w="871" w:type="pct"/>
            <w:tcBorders>
              <w:top w:val="nil"/>
              <w:left w:val="nil"/>
              <w:bottom w:val="nil"/>
              <w:right w:val="nil"/>
            </w:tcBorders>
          </w:tcPr>
          <w:p w14:paraId="1D72A806"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3.9</w:t>
            </w:r>
          </w:p>
        </w:tc>
        <w:tc>
          <w:tcPr>
            <w:tcW w:w="871" w:type="pct"/>
            <w:tcBorders>
              <w:top w:val="nil"/>
              <w:left w:val="nil"/>
              <w:bottom w:val="nil"/>
              <w:right w:val="nil"/>
            </w:tcBorders>
          </w:tcPr>
          <w:p w14:paraId="52A4A746"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3.9</w:t>
            </w:r>
          </w:p>
        </w:tc>
        <w:tc>
          <w:tcPr>
            <w:tcW w:w="868" w:type="pct"/>
            <w:tcBorders>
              <w:top w:val="nil"/>
              <w:left w:val="nil"/>
              <w:bottom w:val="nil"/>
              <w:right w:val="nil"/>
            </w:tcBorders>
          </w:tcPr>
          <w:p w14:paraId="11B21202"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3.9</w:t>
            </w:r>
          </w:p>
        </w:tc>
      </w:tr>
      <w:tr w:rsidR="00B744EF" w:rsidRPr="008A74A3" w14:paraId="2A802E45" w14:textId="77777777" w:rsidTr="00444693">
        <w:tc>
          <w:tcPr>
            <w:tcW w:w="809" w:type="pct"/>
            <w:tcBorders>
              <w:top w:val="nil"/>
              <w:left w:val="nil"/>
              <w:bottom w:val="single" w:sz="4" w:space="0" w:color="auto"/>
              <w:right w:val="nil"/>
            </w:tcBorders>
          </w:tcPr>
          <w:p w14:paraId="26832317" w14:textId="77777777" w:rsidR="00B744EF" w:rsidRPr="00834E0F" w:rsidRDefault="00B744EF" w:rsidP="00444693">
            <w:pPr>
              <w:pStyle w:val="BodyText"/>
              <w:keepNext/>
              <w:keepLines/>
              <w:widowControl w:val="0"/>
              <w:spacing w:after="0"/>
              <w:jc w:val="right"/>
              <w:rPr>
                <w:rFonts w:ascii="Arial" w:hAnsi="Arial" w:cs="Arial"/>
                <w:sz w:val="17"/>
                <w:szCs w:val="17"/>
              </w:rPr>
            </w:pPr>
            <w:r w:rsidRPr="00834E0F">
              <w:rPr>
                <w:rFonts w:ascii="Arial" w:hAnsi="Arial" w:cs="Arial"/>
                <w:sz w:val="17"/>
                <w:szCs w:val="17"/>
              </w:rPr>
              <w:t>Risk quotient</w:t>
            </w:r>
          </w:p>
        </w:tc>
        <w:tc>
          <w:tcPr>
            <w:tcW w:w="514" w:type="pct"/>
            <w:tcBorders>
              <w:top w:val="nil"/>
              <w:left w:val="nil"/>
              <w:bottom w:val="single" w:sz="4" w:space="0" w:color="auto"/>
              <w:right w:val="nil"/>
            </w:tcBorders>
          </w:tcPr>
          <w:p w14:paraId="0FE5F99B" w14:textId="77777777" w:rsidR="00B744EF" w:rsidRPr="00834E0F" w:rsidRDefault="00B744EF" w:rsidP="00444693">
            <w:pPr>
              <w:pStyle w:val="BodyText"/>
              <w:keepNext/>
              <w:keepLines/>
              <w:widowControl w:val="0"/>
              <w:spacing w:after="0"/>
              <w:rPr>
                <w:rFonts w:ascii="Arial" w:hAnsi="Arial" w:cs="Arial"/>
                <w:sz w:val="16"/>
                <w:szCs w:val="16"/>
              </w:rPr>
            </w:pPr>
            <w:r w:rsidRPr="00834E0F">
              <w:rPr>
                <w:rFonts w:ascii="Arial" w:hAnsi="Arial" w:cs="Arial"/>
                <w:sz w:val="16"/>
                <w:szCs w:val="16"/>
              </w:rPr>
              <w:t>(fraction)</w:t>
            </w:r>
          </w:p>
        </w:tc>
        <w:tc>
          <w:tcPr>
            <w:tcW w:w="1067" w:type="pct"/>
            <w:tcBorders>
              <w:top w:val="nil"/>
              <w:left w:val="nil"/>
              <w:bottom w:val="single" w:sz="4" w:space="0" w:color="auto"/>
              <w:right w:val="nil"/>
            </w:tcBorders>
          </w:tcPr>
          <w:p w14:paraId="04A57765"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0.71</w:t>
            </w:r>
          </w:p>
        </w:tc>
        <w:tc>
          <w:tcPr>
            <w:tcW w:w="871" w:type="pct"/>
            <w:tcBorders>
              <w:top w:val="nil"/>
              <w:left w:val="nil"/>
              <w:bottom w:val="single" w:sz="4" w:space="0" w:color="auto"/>
              <w:right w:val="nil"/>
            </w:tcBorders>
          </w:tcPr>
          <w:p w14:paraId="5AE20720"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0.21</w:t>
            </w:r>
          </w:p>
        </w:tc>
        <w:tc>
          <w:tcPr>
            <w:tcW w:w="871" w:type="pct"/>
            <w:tcBorders>
              <w:top w:val="nil"/>
              <w:left w:val="nil"/>
              <w:bottom w:val="single" w:sz="4" w:space="0" w:color="auto"/>
              <w:right w:val="nil"/>
            </w:tcBorders>
            <w:shd w:val="clear" w:color="auto" w:fill="FF0000"/>
          </w:tcPr>
          <w:p w14:paraId="2C3841A0" w14:textId="77777777" w:rsidR="00B744EF" w:rsidRPr="00834E0F" w:rsidRDefault="00B744EF" w:rsidP="00834E0F">
            <w:pPr>
              <w:pStyle w:val="BodyText"/>
              <w:keepNext/>
              <w:keepLines/>
              <w:widowControl w:val="0"/>
              <w:spacing w:after="0"/>
              <w:jc w:val="right"/>
              <w:rPr>
                <w:rFonts w:ascii="Arial" w:hAnsi="Arial" w:cs="Arial"/>
                <w:b/>
                <w:bCs/>
                <w:sz w:val="17"/>
                <w:szCs w:val="17"/>
              </w:rPr>
            </w:pPr>
            <w:r w:rsidRPr="00834E0F">
              <w:rPr>
                <w:rFonts w:ascii="Arial" w:hAnsi="Arial" w:cs="Arial"/>
                <w:b/>
                <w:bCs/>
                <w:sz w:val="17"/>
                <w:szCs w:val="17"/>
              </w:rPr>
              <w:t>1.1</w:t>
            </w:r>
          </w:p>
        </w:tc>
        <w:tc>
          <w:tcPr>
            <w:tcW w:w="868" w:type="pct"/>
            <w:tcBorders>
              <w:top w:val="nil"/>
              <w:left w:val="nil"/>
              <w:bottom w:val="single" w:sz="4" w:space="0" w:color="auto"/>
              <w:right w:val="nil"/>
            </w:tcBorders>
          </w:tcPr>
          <w:p w14:paraId="053A594A" w14:textId="77777777" w:rsidR="00B744EF" w:rsidRPr="00834E0F" w:rsidRDefault="00B744EF" w:rsidP="00834E0F">
            <w:pPr>
              <w:pStyle w:val="BodyText"/>
              <w:keepNext/>
              <w:keepLines/>
              <w:widowControl w:val="0"/>
              <w:spacing w:after="0"/>
              <w:jc w:val="right"/>
              <w:rPr>
                <w:rFonts w:ascii="Arial" w:hAnsi="Arial" w:cs="Arial"/>
                <w:sz w:val="17"/>
                <w:szCs w:val="17"/>
              </w:rPr>
            </w:pPr>
            <w:r w:rsidRPr="00834E0F">
              <w:rPr>
                <w:rFonts w:ascii="Arial" w:hAnsi="Arial" w:cs="Arial"/>
                <w:sz w:val="17"/>
                <w:szCs w:val="17"/>
              </w:rPr>
              <w:t>0.34</w:t>
            </w:r>
          </w:p>
        </w:tc>
      </w:tr>
    </w:tbl>
    <w:p w14:paraId="127BE45C" w14:textId="77777777" w:rsidR="00B744EF" w:rsidRPr="00BB6246" w:rsidRDefault="00B744EF" w:rsidP="00BC7034">
      <w:pPr>
        <w:pStyle w:val="SourceTableNote"/>
        <w:spacing w:line="360" w:lineRule="auto"/>
      </w:pPr>
      <w:r w:rsidRPr="00BB6246">
        <w:t>Scenarios are based on annual applications of 1 × 1140 g ac/ha for 20 years with no interception and soil DT</w:t>
      </w:r>
      <w:r w:rsidRPr="00BB6246">
        <w:rPr>
          <w:vertAlign w:val="subscript"/>
        </w:rPr>
        <w:t>50</w:t>
      </w:r>
      <w:r w:rsidRPr="00BB6246">
        <w:t xml:space="preserve"> of 20 or 60 years. Exposure rate is back-calculated from maximum predicted annual peak concentration in top 5-cm of soil (i.e. peak soil concentration * 750 = exposure rate). The peak accumulated soil concentrations are:</w:t>
      </w:r>
    </w:p>
    <w:p w14:paraId="35F4685A" w14:textId="77777777" w:rsidR="00B744EF" w:rsidRPr="00BB6246" w:rsidRDefault="00B744EF" w:rsidP="00BC7034">
      <w:pPr>
        <w:pStyle w:val="SourceTableNote"/>
        <w:spacing w:line="360" w:lineRule="auto"/>
      </w:pPr>
      <w:r w:rsidRPr="00BB6246">
        <w:tab/>
        <w:t>22 mg ac/kg ds with DT</w:t>
      </w:r>
      <w:r w:rsidRPr="00BB6246">
        <w:rPr>
          <w:vertAlign w:val="subscript"/>
        </w:rPr>
        <w:t>50</w:t>
      </w:r>
      <w:r w:rsidRPr="00BB6246">
        <w:t xml:space="preserve"> of 20 years</w:t>
      </w:r>
    </w:p>
    <w:p w14:paraId="7C5410BF" w14:textId="77777777" w:rsidR="00B744EF" w:rsidRPr="00BB6246" w:rsidRDefault="00B744EF" w:rsidP="00BC7034">
      <w:pPr>
        <w:pStyle w:val="SourceTableNote"/>
        <w:spacing w:line="360" w:lineRule="auto"/>
      </w:pPr>
      <w:r w:rsidRPr="00BB6246">
        <w:tab/>
        <w:t>27 mg ac/kg ds with DT</w:t>
      </w:r>
      <w:r w:rsidRPr="00BB6246">
        <w:rPr>
          <w:vertAlign w:val="subscript"/>
        </w:rPr>
        <w:t>50</w:t>
      </w:r>
      <w:r w:rsidRPr="00BB6246">
        <w:t xml:space="preserve"> of 60 years</w:t>
      </w:r>
    </w:p>
    <w:p w14:paraId="4013573D" w14:textId="22B3DA99" w:rsidR="00B744EF" w:rsidRPr="00BB6246" w:rsidRDefault="00B744EF" w:rsidP="00BC7034">
      <w:pPr>
        <w:pStyle w:val="SourceTableNote"/>
        <w:spacing w:line="360" w:lineRule="auto"/>
      </w:pPr>
      <w:r w:rsidRPr="00BB6246">
        <w:t>Soil DT</w:t>
      </w:r>
      <w:r w:rsidRPr="00BB6246">
        <w:rPr>
          <w:vertAlign w:val="subscript"/>
        </w:rPr>
        <w:t>50</w:t>
      </w:r>
      <w:r w:rsidRPr="00BB6246">
        <w:t>, K</w:t>
      </w:r>
      <w:r w:rsidRPr="00BB6246">
        <w:rPr>
          <w:vertAlign w:val="subscript"/>
        </w:rPr>
        <w:t>f</w:t>
      </w:r>
      <w:r w:rsidRPr="00BB6246">
        <w:t xml:space="preserve"> and 1/n from </w:t>
      </w:r>
      <w:r w:rsidR="00BB6246" w:rsidRPr="00BB6246">
        <w:fldChar w:fldCharType="begin"/>
      </w:r>
      <w:r w:rsidR="00BB6246" w:rsidRPr="00BB6246">
        <w:instrText xml:space="preserve"> REF _Ref158983440 \h  \* MERGEFORMAT </w:instrText>
      </w:r>
      <w:r w:rsidR="00BB6246" w:rsidRPr="00BB6246">
        <w:fldChar w:fldCharType="separate"/>
      </w:r>
      <w:r w:rsidR="008A397D" w:rsidRPr="008A397D">
        <w:t xml:space="preserve">Table </w:t>
      </w:r>
      <w:r w:rsidR="008A397D" w:rsidRPr="008A397D">
        <w:rPr>
          <w:noProof/>
        </w:rPr>
        <w:t>28</w:t>
      </w:r>
      <w:r w:rsidR="00BB6246" w:rsidRPr="00BB6246">
        <w:fldChar w:fldCharType="end"/>
      </w:r>
    </w:p>
    <w:p w14:paraId="41068FB5" w14:textId="77777777" w:rsidR="00B744EF" w:rsidRPr="00BB6246" w:rsidRDefault="00B744EF" w:rsidP="00BC7034">
      <w:pPr>
        <w:pStyle w:val="SourceTableNote"/>
        <w:spacing w:line="360" w:lineRule="auto"/>
      </w:pPr>
      <w:r w:rsidRPr="00BB6246">
        <w:t>Rainfall P value is default for Tier 1</w:t>
      </w:r>
    </w:p>
    <w:p w14:paraId="33C3F6B6" w14:textId="77777777" w:rsidR="00B744EF" w:rsidRPr="00BB6246" w:rsidRDefault="00B744EF" w:rsidP="00BC7034">
      <w:pPr>
        <w:pStyle w:val="SourceTableNote"/>
        <w:spacing w:line="360" w:lineRule="auto"/>
      </w:pPr>
      <w:r w:rsidRPr="00BB6246">
        <w:t>Runoff Q value = (((-0.000196 × (rain^3)) + (0.0232 × (rain^2))) + (-0.00520 × rain)); runoff curve for worst-case Australian soil profile</w:t>
      </w:r>
    </w:p>
    <w:p w14:paraId="7FDC636E" w14:textId="77777777" w:rsidR="00B744EF" w:rsidRPr="00BB6246" w:rsidRDefault="00B744EF" w:rsidP="00BC7034">
      <w:pPr>
        <w:pStyle w:val="SourceTableNote"/>
        <w:spacing w:line="360" w:lineRule="auto"/>
      </w:pPr>
      <w:r w:rsidRPr="00BB6246">
        <w:t>Cr</w:t>
      </w:r>
      <w:r w:rsidRPr="00BB6246">
        <w:rPr>
          <w:vertAlign w:val="subscript"/>
        </w:rPr>
        <w:t>soil surface</w:t>
      </w:r>
      <w:r w:rsidRPr="00BB6246">
        <w:t xml:space="preserve"> = EXP(-3 × ln(2) ∕ DT</w:t>
      </w:r>
      <w:r w:rsidRPr="00BB6246">
        <w:rPr>
          <w:vertAlign w:val="subscript"/>
        </w:rPr>
        <w:t>50soil</w:t>
      </w:r>
      <w:r w:rsidRPr="00BB6246">
        <w:t>) × (1 ∕ (1 + (application rate ∕ 750) ∕ (10^((Log</w:t>
      </w:r>
      <w:r w:rsidRPr="00BB6246">
        <w:rPr>
          <w:vertAlign w:val="subscript"/>
        </w:rPr>
        <w:t>10</w:t>
      </w:r>
      <w:r w:rsidRPr="00BB6246">
        <w:t>(application rate ∕ 750) – Log</w:t>
      </w:r>
      <w:r w:rsidRPr="00BB6246">
        <w:rPr>
          <w:vertAlign w:val="subscript"/>
        </w:rPr>
        <w:t>10</w:t>
      </w:r>
      <w:r w:rsidRPr="00BB6246">
        <w:t>(K</w:t>
      </w:r>
      <w:r w:rsidRPr="00BB6246">
        <w:rPr>
          <w:vertAlign w:val="subscript"/>
        </w:rPr>
        <w:t>f</w:t>
      </w:r>
      <w:r w:rsidRPr="00BB6246">
        <w:t>)) ∕ 1/n))))</w:t>
      </w:r>
    </w:p>
    <w:p w14:paraId="44DF5F75" w14:textId="77777777" w:rsidR="00B744EF" w:rsidRPr="00BB6246" w:rsidRDefault="00B744EF" w:rsidP="00BC7034">
      <w:pPr>
        <w:pStyle w:val="SourceTableNote"/>
        <w:spacing w:line="360" w:lineRule="auto"/>
      </w:pPr>
      <w:r w:rsidRPr="00BB6246">
        <w:t>Slope factor F = (0.02153 × slope + 0.001423 × slope</w:t>
      </w:r>
      <w:r w:rsidRPr="00BB6246">
        <w:rPr>
          <w:vertAlign w:val="superscript"/>
        </w:rPr>
        <w:t>2</w:t>
      </w:r>
      <w:r w:rsidRPr="00BB6246">
        <w:t>), where the slope is 8% (default) or 3% for dryland cropping regions</w:t>
      </w:r>
    </w:p>
    <w:p w14:paraId="485DE5F1" w14:textId="77777777" w:rsidR="00B744EF" w:rsidRPr="00BB6246" w:rsidRDefault="00B744EF" w:rsidP="00BC7034">
      <w:pPr>
        <w:pStyle w:val="SourceTableNote"/>
        <w:spacing w:line="360" w:lineRule="auto"/>
      </w:pPr>
      <w:r w:rsidRPr="00BB6246">
        <w:lastRenderedPageBreak/>
        <w:t>Runoff (% applied) = Q ∕ P × F × Cr</w:t>
      </w:r>
      <w:r w:rsidRPr="00BB6246">
        <w:rPr>
          <w:vertAlign w:val="subscript"/>
        </w:rPr>
        <w:t>soil surface</w:t>
      </w:r>
      <w:r w:rsidRPr="00BB6246">
        <w:t xml:space="preserve"> × 0.5</w:t>
      </w:r>
    </w:p>
    <w:p w14:paraId="554B319B" w14:textId="77777777" w:rsidR="00B744EF" w:rsidRPr="00BB6246" w:rsidRDefault="00B744EF" w:rsidP="00BC7034">
      <w:pPr>
        <w:pStyle w:val="SourceTableNote"/>
        <w:spacing w:line="360" w:lineRule="auto"/>
      </w:pPr>
      <w:r w:rsidRPr="00BB6246">
        <w:t>PEC (water) = application rate × %runoff ∕ 100 × 10 ∕ (1500 + 134)</w:t>
      </w:r>
    </w:p>
    <w:p w14:paraId="40BAE618" w14:textId="386C1877" w:rsidR="00B744EF" w:rsidRPr="00BB6246" w:rsidRDefault="00B744EF" w:rsidP="00BC7034">
      <w:pPr>
        <w:pStyle w:val="SourceTableNote"/>
        <w:spacing w:line="360" w:lineRule="auto"/>
      </w:pPr>
      <w:r w:rsidRPr="00BB6246">
        <w:t>PEC (sediment) = PEC (water) × (0.8 + (0.2 × K</w:t>
      </w:r>
      <w:r w:rsidRPr="00BB6246">
        <w:rPr>
          <w:vertAlign w:val="subscript"/>
        </w:rPr>
        <w:t>P</w:t>
      </w:r>
      <w:r w:rsidRPr="00BB6246">
        <w:t xml:space="preserve"> ∕ 1000 × 2400)) ∕ 1280, where K</w:t>
      </w:r>
      <w:r w:rsidRPr="00BB6246">
        <w:rPr>
          <w:vertAlign w:val="subscript"/>
        </w:rPr>
        <w:t>P</w:t>
      </w:r>
      <w:r w:rsidRPr="00BB6246">
        <w:t xml:space="preserve"> 50000 (from </w:t>
      </w:r>
      <w:r w:rsidR="00BB6246" w:rsidRPr="00BB6246">
        <w:fldChar w:fldCharType="begin"/>
      </w:r>
      <w:r w:rsidR="00BB6246" w:rsidRPr="00BB6246">
        <w:instrText xml:space="preserve"> REF _Ref158983440 \h  \* MERGEFORMAT </w:instrText>
      </w:r>
      <w:r w:rsidR="00BB6246" w:rsidRPr="00BB6246">
        <w:fldChar w:fldCharType="separate"/>
      </w:r>
      <w:r w:rsidR="008A397D" w:rsidRPr="008A397D">
        <w:t xml:space="preserve">Table </w:t>
      </w:r>
      <w:r w:rsidR="008A397D" w:rsidRPr="008A397D">
        <w:rPr>
          <w:noProof/>
        </w:rPr>
        <w:t>28</w:t>
      </w:r>
      <w:r w:rsidR="00BB6246" w:rsidRPr="00BB6246">
        <w:fldChar w:fldCharType="end"/>
      </w:r>
      <w:r w:rsidRPr="00BB6246">
        <w:t>)</w:t>
      </w:r>
    </w:p>
    <w:p w14:paraId="5D19F7F1" w14:textId="6AD2443E" w:rsidR="00B744EF" w:rsidRPr="00BB6246" w:rsidRDefault="00B744EF" w:rsidP="00BC7034">
      <w:pPr>
        <w:pStyle w:val="SourceTableNote"/>
        <w:spacing w:line="360" w:lineRule="auto"/>
      </w:pPr>
      <w:r w:rsidRPr="00BB6246">
        <w:t xml:space="preserve">RAL = regulatory acceptable level (from </w:t>
      </w:r>
      <w:r w:rsidR="00BB6246" w:rsidRPr="00BB6246">
        <w:fldChar w:fldCharType="begin"/>
      </w:r>
      <w:r w:rsidR="00BB6246" w:rsidRPr="00BB6246">
        <w:instrText xml:space="preserve"> REF _Ref158985015 \h  \* MERGEFORMAT </w:instrText>
      </w:r>
      <w:r w:rsidR="00BB6246" w:rsidRPr="00BB6246">
        <w:fldChar w:fldCharType="separate"/>
      </w:r>
      <w:r w:rsidR="008A397D" w:rsidRPr="008A397D">
        <w:t xml:space="preserve">Table </w:t>
      </w:r>
      <w:r w:rsidR="008A397D" w:rsidRPr="008A397D">
        <w:rPr>
          <w:noProof/>
        </w:rPr>
        <w:t>31</w:t>
      </w:r>
      <w:r w:rsidR="00BB6246" w:rsidRPr="00BB6246">
        <w:fldChar w:fldCharType="end"/>
      </w:r>
      <w:r w:rsidRPr="00BB6246">
        <w:t>)</w:t>
      </w:r>
    </w:p>
    <w:p w14:paraId="4849AE7E" w14:textId="77777777" w:rsidR="00B744EF" w:rsidRPr="00BB6246" w:rsidRDefault="00B744EF" w:rsidP="00BC7034">
      <w:pPr>
        <w:pStyle w:val="SourceTableNote"/>
        <w:spacing w:line="360" w:lineRule="auto"/>
      </w:pPr>
      <w:r w:rsidRPr="00BB6246">
        <w:t>RQ = risk quotient = PEC ∕ RAL, where acceptable RQ ≤1</w:t>
      </w:r>
    </w:p>
    <w:p w14:paraId="66CE1630" w14:textId="77777777" w:rsidR="00E84746" w:rsidRPr="00BC7034" w:rsidRDefault="00E84746" w:rsidP="00BC7034">
      <w:pPr>
        <w:pStyle w:val="Heading3"/>
      </w:pPr>
      <w:bookmarkStart w:id="508" w:name="_Toc157602761"/>
      <w:bookmarkStart w:id="509" w:name="_Toc231480915"/>
      <w:bookmarkStart w:id="510" w:name="_Toc233036467"/>
      <w:r w:rsidRPr="00BC7034">
        <w:t>Bees</w:t>
      </w:r>
      <w:bookmarkEnd w:id="508"/>
      <w:bookmarkEnd w:id="509"/>
      <w:bookmarkEnd w:id="510"/>
    </w:p>
    <w:p w14:paraId="34B26796" w14:textId="484EE77A" w:rsidR="00E84746" w:rsidRPr="00AD5500" w:rsidRDefault="00E84746" w:rsidP="00AD5500">
      <w:pPr>
        <w:pStyle w:val="NormalText"/>
      </w:pPr>
      <w:r w:rsidRPr="00AD5500">
        <w:t xml:space="preserve">For spray applications, risks to bees foraging in treated areas are assessed using a tiered approach. A screening level risk assessment assumes the worst-case scenario of a direct overspray of blooming plants that are frequented by bees in order to identify those substances and associated uses that do not pose a risk. Risks of exposure to foliar residues </w:t>
      </w:r>
      <w:r w:rsidR="007F5A83" w:rsidRPr="00AD5500">
        <w:t xml:space="preserve">of paraquat </w:t>
      </w:r>
      <w:r w:rsidRPr="00AD5500">
        <w:t xml:space="preserve">(contact exposure) were acceptable at the highest application rate of </w:t>
      </w:r>
      <w:r w:rsidR="0048742C" w:rsidRPr="00AD5500">
        <w:t xml:space="preserve">1140 </w:t>
      </w:r>
      <w:r w:rsidRPr="00AD5500">
        <w:t>g ac/ha (</w:t>
      </w:r>
      <w:r w:rsidR="00563A6D" w:rsidRPr="00AD5500">
        <w:fldChar w:fldCharType="begin"/>
      </w:r>
      <w:r w:rsidR="00563A6D" w:rsidRPr="00AD5500">
        <w:instrText xml:space="preserve"> REF _Ref167303495 \h </w:instrText>
      </w:r>
      <w:r w:rsidR="00D63217" w:rsidRPr="00AD5500">
        <w:instrText xml:space="preserve"> \* MERGEFORMAT </w:instrText>
      </w:r>
      <w:r w:rsidR="00563A6D" w:rsidRPr="00AD5500">
        <w:fldChar w:fldCharType="separate"/>
      </w:r>
      <w:r w:rsidR="008A397D" w:rsidRPr="00D63217">
        <w:t xml:space="preserve">Table </w:t>
      </w:r>
      <w:r w:rsidR="008A397D">
        <w:t>35</w:t>
      </w:r>
      <w:r w:rsidR="00563A6D" w:rsidRPr="00AD5500">
        <w:fldChar w:fldCharType="end"/>
      </w:r>
      <w:r w:rsidRPr="00AD5500">
        <w:t xml:space="preserve">). </w:t>
      </w:r>
      <w:r w:rsidR="0048742C" w:rsidRPr="00AD5500">
        <w:t>Acceptable risks of oral exposure (via pollen and nectar) to foraging bees could only be concluded at rates up to 175 g ac/ha. To refine the risk assessment 90th percentile RUD values for nectar and pollen (from EFSA 2013b) were used to calculate estimated exposure concentrations (EECs). Based on the refined assessment an acceptable risk can be concluded at up to 1140 g ac/ha. No protection statement is required.</w:t>
      </w:r>
      <w:bookmarkStart w:id="511" w:name="_Hlk164412720"/>
      <w:r w:rsidR="00A812AC" w:rsidRPr="00A812AC">
        <w:t xml:space="preserve"> </w:t>
      </w:r>
      <w:r w:rsidR="00A812AC" w:rsidRPr="00D63217">
        <w:t>The RAL for spray drift assessment</w:t>
      </w:r>
      <w:r w:rsidR="00A812AC">
        <w:t xml:space="preserve"> for pollinator areas</w:t>
      </w:r>
      <w:r w:rsidR="00A812AC" w:rsidRPr="00D63217">
        <w:t xml:space="preserve"> is 2667 g ac/ha based on the contact LD</w:t>
      </w:r>
      <w:r w:rsidR="00A812AC" w:rsidRPr="00D63217">
        <w:rPr>
          <w:vertAlign w:val="subscript"/>
        </w:rPr>
        <w:t>50</w:t>
      </w:r>
      <w:r w:rsidR="00A812AC" w:rsidRPr="00D63217">
        <w:t xml:space="preserve"> 16 µg ac/bee and a conversion factor of LOC 0.4 / ExpE 2.4 * 1000 as per APVMA’s Spray drift risk assessment manual (SDRAM): </w:t>
      </w:r>
      <w:hyperlink r:id="rId46" w:history="1">
        <w:r w:rsidR="00A812AC" w:rsidRPr="00D63217">
          <w:rPr>
            <w:rStyle w:val="Hyperlink"/>
            <w:color w:val="1A1B1A" w:themeColor="text1" w:themeShade="80"/>
            <w:u w:val="none"/>
          </w:rPr>
          <w:t>https://apvma.gov.au/node/51826</w:t>
        </w:r>
      </w:hyperlink>
      <w:r w:rsidR="00A812AC" w:rsidRPr="00D63217">
        <w:t>.</w:t>
      </w:r>
      <w:r w:rsidR="00A812AC">
        <w:t xml:space="preserve"> The risk assessment for spray drift is discussed in section 7 below. </w:t>
      </w:r>
    </w:p>
    <w:p w14:paraId="0DB65E32" w14:textId="2CBC8500" w:rsidR="00E84746" w:rsidRPr="00BC7034" w:rsidRDefault="00E84746" w:rsidP="00BC7034">
      <w:pPr>
        <w:pStyle w:val="Figurecaption"/>
      </w:pPr>
      <w:bookmarkStart w:id="512" w:name="_Ref167303495"/>
      <w:bookmarkStart w:id="513" w:name="_Toc230692301"/>
      <w:bookmarkStart w:id="514" w:name="_Toc233036522"/>
      <w:bookmarkEnd w:id="511"/>
      <w:r w:rsidRPr="00BC7034">
        <w:t xml:space="preserve">Table </w:t>
      </w:r>
      <w:fldSimple w:instr=" SEQ Table \* ARABIC ">
        <w:r w:rsidR="00BC7034">
          <w:rPr>
            <w:noProof/>
          </w:rPr>
          <w:t>35</w:t>
        </w:r>
      </w:fldSimple>
      <w:bookmarkEnd w:id="512"/>
      <w:r w:rsidRPr="00BC7034">
        <w:t>: Screening level assessment of risks to bees</w:t>
      </w:r>
      <w:bookmarkEnd w:id="513"/>
      <w:bookmarkEnd w:id="5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33"/>
        <w:gridCol w:w="2041"/>
        <w:gridCol w:w="1111"/>
        <w:gridCol w:w="2598"/>
        <w:gridCol w:w="1113"/>
        <w:gridCol w:w="732"/>
      </w:tblGrid>
      <w:tr w:rsidR="00E84746" w:rsidRPr="00D63217" w14:paraId="34973F87" w14:textId="77777777" w:rsidTr="00816969">
        <w:trPr>
          <w:tblHeader/>
        </w:trPr>
        <w:tc>
          <w:tcPr>
            <w:tcW w:w="0" w:type="auto"/>
            <w:tcBorders>
              <w:bottom w:val="single" w:sz="4" w:space="0" w:color="auto"/>
            </w:tcBorders>
            <w:shd w:val="clear" w:color="auto" w:fill="5C2946"/>
          </w:tcPr>
          <w:p w14:paraId="28486B59" w14:textId="77777777" w:rsidR="00E84746" w:rsidRPr="00D63217" w:rsidRDefault="00E84746" w:rsidP="00E84746">
            <w:pPr>
              <w:pStyle w:val="TableHead"/>
            </w:pPr>
            <w:r w:rsidRPr="00D63217">
              <w:t>Life stage</w:t>
            </w:r>
          </w:p>
        </w:tc>
        <w:tc>
          <w:tcPr>
            <w:tcW w:w="1060" w:type="pct"/>
            <w:tcBorders>
              <w:bottom w:val="single" w:sz="4" w:space="0" w:color="auto"/>
            </w:tcBorders>
            <w:shd w:val="clear" w:color="auto" w:fill="5C2946"/>
          </w:tcPr>
          <w:p w14:paraId="7D4AFE3C" w14:textId="77777777" w:rsidR="00E84746" w:rsidRPr="00D63217" w:rsidRDefault="00E84746" w:rsidP="00E84746">
            <w:pPr>
              <w:pStyle w:val="TableHead"/>
            </w:pPr>
            <w:r w:rsidRPr="00D63217">
              <w:t>Exposure</w:t>
            </w:r>
          </w:p>
        </w:tc>
        <w:tc>
          <w:tcPr>
            <w:tcW w:w="577" w:type="pct"/>
            <w:tcBorders>
              <w:bottom w:val="single" w:sz="4" w:space="0" w:color="auto"/>
            </w:tcBorders>
            <w:shd w:val="clear" w:color="auto" w:fill="5C2946"/>
          </w:tcPr>
          <w:p w14:paraId="410839E2" w14:textId="77777777" w:rsidR="00E84746" w:rsidRPr="00D63217" w:rsidRDefault="00E84746" w:rsidP="00816969">
            <w:pPr>
              <w:pStyle w:val="TableHead"/>
              <w:jc w:val="right"/>
            </w:pPr>
            <w:r w:rsidRPr="00D63217">
              <w:t>Rate</w:t>
            </w:r>
          </w:p>
          <w:p w14:paraId="73A17721" w14:textId="77777777" w:rsidR="00E84746" w:rsidRPr="00D63217" w:rsidRDefault="00E84746" w:rsidP="00816969">
            <w:pPr>
              <w:pStyle w:val="TableHead"/>
              <w:jc w:val="right"/>
            </w:pPr>
            <w:r w:rsidRPr="00D63217">
              <w:rPr>
                <w:sz w:val="16"/>
                <w:szCs w:val="16"/>
              </w:rPr>
              <w:t>(g/ha)</w:t>
            </w:r>
          </w:p>
        </w:tc>
        <w:tc>
          <w:tcPr>
            <w:tcW w:w="1349" w:type="pct"/>
            <w:tcBorders>
              <w:bottom w:val="single" w:sz="4" w:space="0" w:color="auto"/>
            </w:tcBorders>
            <w:shd w:val="clear" w:color="auto" w:fill="5C2946"/>
          </w:tcPr>
          <w:p w14:paraId="146419A3" w14:textId="77777777" w:rsidR="00E84746" w:rsidRPr="00D63217" w:rsidRDefault="00E84746" w:rsidP="00816969">
            <w:pPr>
              <w:pStyle w:val="TableHead"/>
              <w:jc w:val="right"/>
            </w:pPr>
            <w:r w:rsidRPr="00D63217">
              <w:t>Predicted total dose</w:t>
            </w:r>
          </w:p>
          <w:p w14:paraId="5F384460" w14:textId="77777777" w:rsidR="00E84746" w:rsidRPr="00D63217" w:rsidRDefault="00E84746" w:rsidP="00816969">
            <w:pPr>
              <w:pStyle w:val="TableHead"/>
              <w:jc w:val="right"/>
            </w:pPr>
            <w:r w:rsidRPr="00D63217">
              <w:rPr>
                <w:sz w:val="16"/>
                <w:szCs w:val="16"/>
              </w:rPr>
              <w:t>(µg/bee)</w:t>
            </w:r>
          </w:p>
        </w:tc>
        <w:tc>
          <w:tcPr>
            <w:tcW w:w="578" w:type="pct"/>
            <w:tcBorders>
              <w:bottom w:val="single" w:sz="4" w:space="0" w:color="auto"/>
            </w:tcBorders>
            <w:shd w:val="clear" w:color="auto" w:fill="5C2946"/>
          </w:tcPr>
          <w:p w14:paraId="0CA3FFA1" w14:textId="77777777" w:rsidR="00E84746" w:rsidRPr="00D63217" w:rsidRDefault="00E84746" w:rsidP="00816969">
            <w:pPr>
              <w:pStyle w:val="TableHead"/>
              <w:jc w:val="right"/>
            </w:pPr>
            <w:r w:rsidRPr="00D63217">
              <w:t>RAL</w:t>
            </w:r>
          </w:p>
          <w:p w14:paraId="0A92746C" w14:textId="77777777" w:rsidR="00E84746" w:rsidRPr="00D63217" w:rsidRDefault="00E84746" w:rsidP="00816969">
            <w:pPr>
              <w:pStyle w:val="TableHead"/>
              <w:jc w:val="right"/>
            </w:pPr>
            <w:r w:rsidRPr="00D63217">
              <w:rPr>
                <w:sz w:val="16"/>
                <w:szCs w:val="16"/>
              </w:rPr>
              <w:t>(µg/bee)</w:t>
            </w:r>
          </w:p>
        </w:tc>
        <w:tc>
          <w:tcPr>
            <w:tcW w:w="380" w:type="pct"/>
            <w:tcBorders>
              <w:bottom w:val="single" w:sz="4" w:space="0" w:color="auto"/>
            </w:tcBorders>
            <w:shd w:val="clear" w:color="auto" w:fill="5C2946"/>
          </w:tcPr>
          <w:p w14:paraId="2F88F7CD" w14:textId="77777777" w:rsidR="00E84746" w:rsidRPr="00D63217" w:rsidRDefault="00E84746" w:rsidP="00816969">
            <w:pPr>
              <w:pStyle w:val="TableHead"/>
              <w:jc w:val="right"/>
            </w:pPr>
            <w:r w:rsidRPr="00D63217">
              <w:t>RQ</w:t>
            </w:r>
          </w:p>
        </w:tc>
      </w:tr>
      <w:tr w:rsidR="00AC7398" w:rsidRPr="00D63217" w14:paraId="73B4155F" w14:textId="77777777" w:rsidTr="00BC7034">
        <w:tc>
          <w:tcPr>
            <w:tcW w:w="5000" w:type="pct"/>
            <w:gridSpan w:val="6"/>
            <w:tcBorders>
              <w:top w:val="single" w:sz="4" w:space="0" w:color="auto"/>
              <w:left w:val="nil"/>
              <w:bottom w:val="single" w:sz="4" w:space="0" w:color="auto"/>
              <w:right w:val="nil"/>
            </w:tcBorders>
          </w:tcPr>
          <w:p w14:paraId="4ABA9A09" w14:textId="7C6F2795" w:rsidR="00AC7398" w:rsidRPr="00D63217" w:rsidRDefault="00AC7398" w:rsidP="00BC7034">
            <w:pPr>
              <w:pStyle w:val="TableSubHead0"/>
            </w:pPr>
            <w:r>
              <w:t xml:space="preserve">Screening level assessment (pollen &amp; nectar EEC (mg/kg) = rate </w:t>
            </w:r>
            <w:r>
              <w:rPr>
                <w:rFonts w:cstheme="minorHAnsi"/>
              </w:rPr>
              <w:t>×</w:t>
            </w:r>
            <w:r>
              <w:t xml:space="preserve"> 98 </w:t>
            </w:r>
            <w:r>
              <w:rPr>
                <w:rFonts w:cstheme="minorHAnsi"/>
              </w:rPr>
              <w:t>∕</w:t>
            </w:r>
            <w:r>
              <w:t xml:space="preserve"> 1000)</w:t>
            </w:r>
          </w:p>
        </w:tc>
      </w:tr>
      <w:tr w:rsidR="00AC7398" w:rsidRPr="00D63217" w14:paraId="62E68151" w14:textId="77777777" w:rsidTr="00AC7398">
        <w:tc>
          <w:tcPr>
            <w:tcW w:w="0" w:type="auto"/>
            <w:tcBorders>
              <w:top w:val="single" w:sz="4" w:space="0" w:color="auto"/>
              <w:left w:val="nil"/>
              <w:bottom w:val="nil"/>
              <w:right w:val="nil"/>
            </w:tcBorders>
          </w:tcPr>
          <w:p w14:paraId="258A044F" w14:textId="009A12BF" w:rsidR="00AC7398" w:rsidRPr="00D63217" w:rsidRDefault="00AC7398" w:rsidP="00E84746">
            <w:pPr>
              <w:pStyle w:val="TableText"/>
              <w:spacing w:before="0" w:after="0"/>
            </w:pPr>
            <w:r>
              <w:t>Adults</w:t>
            </w:r>
          </w:p>
        </w:tc>
        <w:tc>
          <w:tcPr>
            <w:tcW w:w="1060" w:type="pct"/>
            <w:tcBorders>
              <w:top w:val="single" w:sz="4" w:space="0" w:color="auto"/>
              <w:left w:val="nil"/>
              <w:bottom w:val="single" w:sz="4" w:space="0" w:color="auto"/>
              <w:right w:val="nil"/>
            </w:tcBorders>
          </w:tcPr>
          <w:p w14:paraId="3AD414E1" w14:textId="1D4DE383" w:rsidR="00AC7398" w:rsidRPr="00D63217" w:rsidRDefault="00AC7398" w:rsidP="00E84746">
            <w:pPr>
              <w:pStyle w:val="TableText"/>
              <w:spacing w:before="0" w:after="0"/>
            </w:pPr>
            <w:r>
              <w:t>Acute contact</w:t>
            </w:r>
          </w:p>
        </w:tc>
        <w:tc>
          <w:tcPr>
            <w:tcW w:w="577" w:type="pct"/>
            <w:tcBorders>
              <w:top w:val="single" w:sz="4" w:space="0" w:color="auto"/>
              <w:left w:val="nil"/>
              <w:bottom w:val="single" w:sz="4" w:space="0" w:color="auto"/>
              <w:right w:val="nil"/>
            </w:tcBorders>
          </w:tcPr>
          <w:p w14:paraId="7531CED5" w14:textId="0D302F09" w:rsidR="00AC7398" w:rsidRPr="00D63217" w:rsidRDefault="00AC7398" w:rsidP="00816969">
            <w:pPr>
              <w:pStyle w:val="TableText"/>
              <w:spacing w:before="0" w:after="0"/>
              <w:jc w:val="right"/>
            </w:pPr>
            <w:r>
              <w:t>1140</w:t>
            </w:r>
          </w:p>
        </w:tc>
        <w:tc>
          <w:tcPr>
            <w:tcW w:w="1349" w:type="pct"/>
            <w:tcBorders>
              <w:top w:val="single" w:sz="4" w:space="0" w:color="auto"/>
              <w:left w:val="nil"/>
              <w:bottom w:val="single" w:sz="4" w:space="0" w:color="auto"/>
              <w:right w:val="nil"/>
            </w:tcBorders>
          </w:tcPr>
          <w:p w14:paraId="12D8AC14" w14:textId="1A894B06" w:rsidR="00AC7398" w:rsidRPr="00D63217" w:rsidRDefault="00AC7398" w:rsidP="00816969">
            <w:pPr>
              <w:pStyle w:val="TableText"/>
              <w:spacing w:before="0" w:after="0"/>
              <w:jc w:val="right"/>
            </w:pPr>
            <w:r>
              <w:t>2.7</w:t>
            </w:r>
          </w:p>
        </w:tc>
        <w:tc>
          <w:tcPr>
            <w:tcW w:w="578" w:type="pct"/>
            <w:tcBorders>
              <w:top w:val="single" w:sz="4" w:space="0" w:color="auto"/>
              <w:left w:val="nil"/>
              <w:bottom w:val="single" w:sz="4" w:space="0" w:color="auto"/>
              <w:right w:val="nil"/>
            </w:tcBorders>
          </w:tcPr>
          <w:p w14:paraId="1D4E47EB" w14:textId="52F53DE9" w:rsidR="00AC7398" w:rsidRPr="00D63217" w:rsidRDefault="00AC7398" w:rsidP="00816969">
            <w:pPr>
              <w:pStyle w:val="TableText"/>
              <w:spacing w:before="0" w:after="0"/>
              <w:jc w:val="right"/>
            </w:pPr>
            <w:r>
              <w:t>6.4</w:t>
            </w:r>
          </w:p>
        </w:tc>
        <w:tc>
          <w:tcPr>
            <w:tcW w:w="380" w:type="pct"/>
            <w:tcBorders>
              <w:top w:val="single" w:sz="4" w:space="0" w:color="auto"/>
              <w:left w:val="nil"/>
              <w:bottom w:val="single" w:sz="4" w:space="0" w:color="auto"/>
              <w:right w:val="nil"/>
            </w:tcBorders>
          </w:tcPr>
          <w:p w14:paraId="5F29D53D" w14:textId="28A373B5" w:rsidR="00AC7398" w:rsidRPr="00D63217" w:rsidRDefault="00AC7398" w:rsidP="00816969">
            <w:pPr>
              <w:pStyle w:val="TableText"/>
              <w:spacing w:before="0" w:after="0"/>
              <w:jc w:val="right"/>
            </w:pPr>
            <w:r>
              <w:t>0.43</w:t>
            </w:r>
          </w:p>
        </w:tc>
      </w:tr>
      <w:tr w:rsidR="00AC7398" w:rsidRPr="00D63217" w14:paraId="5B1DA399" w14:textId="77777777" w:rsidTr="00AC7398">
        <w:tc>
          <w:tcPr>
            <w:tcW w:w="0" w:type="auto"/>
            <w:tcBorders>
              <w:top w:val="nil"/>
              <w:left w:val="nil"/>
              <w:bottom w:val="nil"/>
              <w:right w:val="nil"/>
            </w:tcBorders>
          </w:tcPr>
          <w:p w14:paraId="172BD4DE" w14:textId="77777777" w:rsidR="00AC7398" w:rsidRPr="00D63217" w:rsidRDefault="00AC7398" w:rsidP="00AC7398">
            <w:pPr>
              <w:pStyle w:val="TableText"/>
              <w:spacing w:before="0" w:after="0"/>
            </w:pPr>
          </w:p>
        </w:tc>
        <w:tc>
          <w:tcPr>
            <w:tcW w:w="1060" w:type="pct"/>
            <w:tcBorders>
              <w:top w:val="single" w:sz="4" w:space="0" w:color="auto"/>
              <w:left w:val="nil"/>
              <w:bottom w:val="nil"/>
              <w:right w:val="nil"/>
            </w:tcBorders>
          </w:tcPr>
          <w:p w14:paraId="07920CC3" w14:textId="0F55AB1C" w:rsidR="00AC7398" w:rsidRPr="00D63217" w:rsidRDefault="00AC7398" w:rsidP="00AC7398">
            <w:pPr>
              <w:pStyle w:val="TableText"/>
              <w:spacing w:before="0" w:after="0"/>
            </w:pPr>
            <w:r>
              <w:t>Acute oral</w:t>
            </w:r>
          </w:p>
        </w:tc>
        <w:tc>
          <w:tcPr>
            <w:tcW w:w="577" w:type="pct"/>
            <w:tcBorders>
              <w:top w:val="single" w:sz="4" w:space="0" w:color="auto"/>
              <w:left w:val="nil"/>
              <w:bottom w:val="nil"/>
              <w:right w:val="nil"/>
            </w:tcBorders>
          </w:tcPr>
          <w:p w14:paraId="09004C97" w14:textId="5E5E5843" w:rsidR="00AC7398" w:rsidRPr="00D63217" w:rsidRDefault="00AC7398" w:rsidP="00AC7398">
            <w:pPr>
              <w:pStyle w:val="TableText"/>
              <w:spacing w:before="0" w:after="0"/>
              <w:jc w:val="right"/>
            </w:pPr>
            <w:r>
              <w:t>1140</w:t>
            </w:r>
          </w:p>
        </w:tc>
        <w:tc>
          <w:tcPr>
            <w:tcW w:w="1349" w:type="pct"/>
            <w:tcBorders>
              <w:top w:val="single" w:sz="4" w:space="0" w:color="auto"/>
              <w:left w:val="nil"/>
              <w:bottom w:val="nil"/>
              <w:right w:val="nil"/>
            </w:tcBorders>
          </w:tcPr>
          <w:p w14:paraId="6B86F5B9" w14:textId="163D95BA" w:rsidR="00AC7398" w:rsidRPr="00D63217" w:rsidRDefault="00AC7398" w:rsidP="00AC7398">
            <w:pPr>
              <w:pStyle w:val="TableText"/>
              <w:spacing w:before="0" w:after="0"/>
              <w:jc w:val="right"/>
            </w:pPr>
            <w:r w:rsidRPr="003F47F8">
              <w:t>33</w:t>
            </w:r>
          </w:p>
        </w:tc>
        <w:tc>
          <w:tcPr>
            <w:tcW w:w="578" w:type="pct"/>
            <w:tcBorders>
              <w:top w:val="single" w:sz="4" w:space="0" w:color="auto"/>
              <w:left w:val="nil"/>
              <w:bottom w:val="nil"/>
              <w:right w:val="nil"/>
            </w:tcBorders>
          </w:tcPr>
          <w:p w14:paraId="338DB53E" w14:textId="53A5B998" w:rsidR="00AC7398" w:rsidRPr="00D63217" w:rsidRDefault="00AC7398" w:rsidP="00AC7398">
            <w:pPr>
              <w:pStyle w:val="TableText"/>
              <w:spacing w:before="0" w:after="0"/>
              <w:jc w:val="right"/>
            </w:pPr>
            <w:r w:rsidRPr="003F47F8">
              <w:t>5.2</w:t>
            </w:r>
          </w:p>
        </w:tc>
        <w:tc>
          <w:tcPr>
            <w:tcW w:w="380" w:type="pct"/>
            <w:tcBorders>
              <w:top w:val="single" w:sz="4" w:space="0" w:color="auto"/>
              <w:left w:val="nil"/>
              <w:bottom w:val="nil"/>
              <w:right w:val="nil"/>
            </w:tcBorders>
          </w:tcPr>
          <w:p w14:paraId="5E6EC8E3" w14:textId="17CDCF78" w:rsidR="00AC7398" w:rsidRPr="00AC7398" w:rsidRDefault="00AC7398" w:rsidP="00AC7398">
            <w:pPr>
              <w:pStyle w:val="TableText"/>
              <w:spacing w:before="0" w:after="0"/>
              <w:jc w:val="right"/>
              <w:rPr>
                <w:b/>
                <w:bCs/>
              </w:rPr>
            </w:pPr>
            <w:r w:rsidRPr="00AC7398">
              <w:rPr>
                <w:b/>
                <w:bCs/>
              </w:rPr>
              <w:t>6.3</w:t>
            </w:r>
          </w:p>
        </w:tc>
      </w:tr>
      <w:tr w:rsidR="00AC7398" w:rsidRPr="00D63217" w14:paraId="23A3FAF6" w14:textId="77777777" w:rsidTr="00AC7398">
        <w:tc>
          <w:tcPr>
            <w:tcW w:w="0" w:type="auto"/>
            <w:tcBorders>
              <w:top w:val="nil"/>
              <w:left w:val="nil"/>
              <w:bottom w:val="nil"/>
              <w:right w:val="nil"/>
            </w:tcBorders>
          </w:tcPr>
          <w:p w14:paraId="0AA00B79"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38E4D6AE"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3E0CB41E" w14:textId="32C91F1D" w:rsidR="00AC7398" w:rsidRPr="00D63217" w:rsidRDefault="00AC7398" w:rsidP="00AC7398">
            <w:pPr>
              <w:pStyle w:val="TableText"/>
              <w:spacing w:before="0" w:after="0"/>
              <w:jc w:val="right"/>
            </w:pPr>
            <w:r>
              <w:t>1125</w:t>
            </w:r>
          </w:p>
        </w:tc>
        <w:tc>
          <w:tcPr>
            <w:tcW w:w="1349" w:type="pct"/>
            <w:tcBorders>
              <w:top w:val="nil"/>
              <w:left w:val="nil"/>
              <w:bottom w:val="nil"/>
              <w:right w:val="nil"/>
            </w:tcBorders>
          </w:tcPr>
          <w:p w14:paraId="0866B3C0" w14:textId="4D9CDA80" w:rsidR="00AC7398" w:rsidRPr="00D63217" w:rsidRDefault="00AC7398" w:rsidP="00AC7398">
            <w:pPr>
              <w:pStyle w:val="TableText"/>
              <w:spacing w:before="0" w:after="0"/>
              <w:jc w:val="right"/>
            </w:pPr>
            <w:r w:rsidRPr="003F47F8">
              <w:t>32</w:t>
            </w:r>
          </w:p>
        </w:tc>
        <w:tc>
          <w:tcPr>
            <w:tcW w:w="578" w:type="pct"/>
            <w:tcBorders>
              <w:top w:val="nil"/>
              <w:left w:val="nil"/>
              <w:bottom w:val="nil"/>
              <w:right w:val="nil"/>
            </w:tcBorders>
          </w:tcPr>
          <w:p w14:paraId="670A7FD9" w14:textId="15774B47"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18D7A364" w14:textId="1C8F900D" w:rsidR="00AC7398" w:rsidRPr="00AC7398" w:rsidRDefault="00AC7398" w:rsidP="00AC7398">
            <w:pPr>
              <w:pStyle w:val="TableText"/>
              <w:spacing w:before="0" w:after="0"/>
              <w:jc w:val="right"/>
              <w:rPr>
                <w:b/>
                <w:bCs/>
              </w:rPr>
            </w:pPr>
            <w:r w:rsidRPr="00AC7398">
              <w:rPr>
                <w:b/>
                <w:bCs/>
              </w:rPr>
              <w:t>6.2</w:t>
            </w:r>
          </w:p>
        </w:tc>
      </w:tr>
      <w:tr w:rsidR="00AC7398" w:rsidRPr="00D63217" w14:paraId="48A7B8F3" w14:textId="77777777" w:rsidTr="00AC7398">
        <w:tc>
          <w:tcPr>
            <w:tcW w:w="0" w:type="auto"/>
            <w:tcBorders>
              <w:top w:val="nil"/>
              <w:left w:val="nil"/>
              <w:bottom w:val="nil"/>
              <w:right w:val="nil"/>
            </w:tcBorders>
          </w:tcPr>
          <w:p w14:paraId="19F219E3"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77D7DA0D"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2ED51498" w14:textId="23B7EA40" w:rsidR="00AC7398" w:rsidRPr="00D63217" w:rsidRDefault="00AC7398" w:rsidP="00AC7398">
            <w:pPr>
              <w:pStyle w:val="TableText"/>
              <w:spacing w:before="0" w:after="0"/>
              <w:jc w:val="right"/>
            </w:pPr>
            <w:r>
              <w:t>1120</w:t>
            </w:r>
          </w:p>
        </w:tc>
        <w:tc>
          <w:tcPr>
            <w:tcW w:w="1349" w:type="pct"/>
            <w:tcBorders>
              <w:top w:val="nil"/>
              <w:left w:val="nil"/>
              <w:bottom w:val="nil"/>
              <w:right w:val="nil"/>
            </w:tcBorders>
          </w:tcPr>
          <w:p w14:paraId="3F83C60A" w14:textId="4A961179" w:rsidR="00AC7398" w:rsidRPr="00D63217" w:rsidRDefault="00AC7398" w:rsidP="00AC7398">
            <w:pPr>
              <w:pStyle w:val="TableText"/>
              <w:spacing w:before="0" w:after="0"/>
              <w:jc w:val="right"/>
            </w:pPr>
            <w:r w:rsidRPr="003F47F8">
              <w:t>32</w:t>
            </w:r>
          </w:p>
        </w:tc>
        <w:tc>
          <w:tcPr>
            <w:tcW w:w="578" w:type="pct"/>
            <w:tcBorders>
              <w:top w:val="nil"/>
              <w:left w:val="nil"/>
              <w:bottom w:val="nil"/>
              <w:right w:val="nil"/>
            </w:tcBorders>
          </w:tcPr>
          <w:p w14:paraId="3D5137AA" w14:textId="7A29251F"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6FD139EA" w14:textId="1782121F" w:rsidR="00AC7398" w:rsidRPr="00AC7398" w:rsidRDefault="00AC7398" w:rsidP="00AC7398">
            <w:pPr>
              <w:pStyle w:val="TableText"/>
              <w:spacing w:before="0" w:after="0"/>
              <w:jc w:val="right"/>
              <w:rPr>
                <w:b/>
                <w:bCs/>
              </w:rPr>
            </w:pPr>
            <w:r w:rsidRPr="00AC7398">
              <w:rPr>
                <w:b/>
                <w:bCs/>
              </w:rPr>
              <w:t>6.2</w:t>
            </w:r>
          </w:p>
        </w:tc>
      </w:tr>
      <w:tr w:rsidR="00AC7398" w:rsidRPr="00D63217" w14:paraId="7F67A6A5" w14:textId="77777777" w:rsidTr="00AC7398">
        <w:tc>
          <w:tcPr>
            <w:tcW w:w="0" w:type="auto"/>
            <w:tcBorders>
              <w:top w:val="nil"/>
              <w:left w:val="nil"/>
              <w:bottom w:val="nil"/>
              <w:right w:val="nil"/>
            </w:tcBorders>
          </w:tcPr>
          <w:p w14:paraId="6D0E50A0"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5937FE6A"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5427FEC0" w14:textId="4DD89693" w:rsidR="00AC7398" w:rsidRPr="00D63217" w:rsidRDefault="00AC7398" w:rsidP="00AC7398">
            <w:pPr>
              <w:pStyle w:val="TableText"/>
              <w:spacing w:before="0" w:after="0"/>
              <w:jc w:val="right"/>
            </w:pPr>
            <w:r>
              <w:t>810</w:t>
            </w:r>
          </w:p>
        </w:tc>
        <w:tc>
          <w:tcPr>
            <w:tcW w:w="1349" w:type="pct"/>
            <w:tcBorders>
              <w:top w:val="nil"/>
              <w:left w:val="nil"/>
              <w:bottom w:val="nil"/>
              <w:right w:val="nil"/>
            </w:tcBorders>
          </w:tcPr>
          <w:p w14:paraId="1D64E837" w14:textId="73FDEC7A" w:rsidR="00AC7398" w:rsidRPr="00D63217" w:rsidRDefault="00AC7398" w:rsidP="00AC7398">
            <w:pPr>
              <w:pStyle w:val="TableText"/>
              <w:spacing w:before="0" w:after="0"/>
              <w:jc w:val="right"/>
            </w:pPr>
            <w:r w:rsidRPr="003F47F8">
              <w:t>23</w:t>
            </w:r>
          </w:p>
        </w:tc>
        <w:tc>
          <w:tcPr>
            <w:tcW w:w="578" w:type="pct"/>
            <w:tcBorders>
              <w:top w:val="nil"/>
              <w:left w:val="nil"/>
              <w:bottom w:val="nil"/>
              <w:right w:val="nil"/>
            </w:tcBorders>
          </w:tcPr>
          <w:p w14:paraId="432D3F00" w14:textId="6F65ED84"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39D6C59B" w14:textId="3455E20E" w:rsidR="00AC7398" w:rsidRPr="00AC7398" w:rsidRDefault="00AC7398" w:rsidP="00AC7398">
            <w:pPr>
              <w:pStyle w:val="TableText"/>
              <w:spacing w:before="0" w:after="0"/>
              <w:jc w:val="right"/>
              <w:rPr>
                <w:b/>
                <w:bCs/>
              </w:rPr>
            </w:pPr>
            <w:r w:rsidRPr="00AC7398">
              <w:rPr>
                <w:b/>
                <w:bCs/>
              </w:rPr>
              <w:t>4.5</w:t>
            </w:r>
          </w:p>
        </w:tc>
      </w:tr>
      <w:tr w:rsidR="00AC7398" w:rsidRPr="00D63217" w14:paraId="036A570F" w14:textId="77777777" w:rsidTr="00AC7398">
        <w:tc>
          <w:tcPr>
            <w:tcW w:w="0" w:type="auto"/>
            <w:tcBorders>
              <w:top w:val="nil"/>
              <w:left w:val="nil"/>
              <w:bottom w:val="nil"/>
              <w:right w:val="nil"/>
            </w:tcBorders>
          </w:tcPr>
          <w:p w14:paraId="390E7CD5"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7BD7D842"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229056DC" w14:textId="39DC3400" w:rsidR="00AC7398" w:rsidRPr="00D63217" w:rsidRDefault="00AC7398" w:rsidP="00AC7398">
            <w:pPr>
              <w:pStyle w:val="TableText"/>
              <w:spacing w:before="0" w:after="0"/>
              <w:jc w:val="right"/>
            </w:pPr>
            <w:r>
              <w:t>800</w:t>
            </w:r>
          </w:p>
        </w:tc>
        <w:tc>
          <w:tcPr>
            <w:tcW w:w="1349" w:type="pct"/>
            <w:tcBorders>
              <w:top w:val="nil"/>
              <w:left w:val="nil"/>
              <w:bottom w:val="nil"/>
              <w:right w:val="nil"/>
            </w:tcBorders>
          </w:tcPr>
          <w:p w14:paraId="16610B91" w14:textId="5DCE0BBA" w:rsidR="00AC7398" w:rsidRPr="00D63217" w:rsidRDefault="00AC7398" w:rsidP="00AC7398">
            <w:pPr>
              <w:pStyle w:val="TableText"/>
              <w:spacing w:before="0" w:after="0"/>
              <w:jc w:val="right"/>
            </w:pPr>
            <w:r w:rsidRPr="003F47F8">
              <w:t>23</w:t>
            </w:r>
          </w:p>
        </w:tc>
        <w:tc>
          <w:tcPr>
            <w:tcW w:w="578" w:type="pct"/>
            <w:tcBorders>
              <w:top w:val="nil"/>
              <w:left w:val="nil"/>
              <w:bottom w:val="nil"/>
              <w:right w:val="nil"/>
            </w:tcBorders>
          </w:tcPr>
          <w:p w14:paraId="240584C2" w14:textId="44A4B3D7"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02C2BA1B" w14:textId="7D940DB4" w:rsidR="00AC7398" w:rsidRPr="00AC7398" w:rsidRDefault="00AC7398" w:rsidP="00AC7398">
            <w:pPr>
              <w:pStyle w:val="TableText"/>
              <w:spacing w:before="0" w:after="0"/>
              <w:jc w:val="right"/>
              <w:rPr>
                <w:b/>
                <w:bCs/>
              </w:rPr>
            </w:pPr>
            <w:r w:rsidRPr="00AC7398">
              <w:rPr>
                <w:b/>
                <w:bCs/>
              </w:rPr>
              <w:t>4.4</w:t>
            </w:r>
          </w:p>
        </w:tc>
      </w:tr>
      <w:tr w:rsidR="00AC7398" w:rsidRPr="00D63217" w14:paraId="688FACF2" w14:textId="77777777" w:rsidTr="00AC7398">
        <w:tc>
          <w:tcPr>
            <w:tcW w:w="0" w:type="auto"/>
            <w:tcBorders>
              <w:top w:val="nil"/>
              <w:left w:val="nil"/>
              <w:bottom w:val="nil"/>
              <w:right w:val="nil"/>
            </w:tcBorders>
          </w:tcPr>
          <w:p w14:paraId="5AA2351D"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1BDC758D"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739657CB" w14:textId="14FCFAF4" w:rsidR="00AC7398" w:rsidRDefault="00AC7398" w:rsidP="00AC7398">
            <w:pPr>
              <w:pStyle w:val="TableText"/>
              <w:spacing w:before="0" w:after="0"/>
              <w:jc w:val="right"/>
            </w:pPr>
            <w:r w:rsidRPr="00BE4398">
              <w:t>720</w:t>
            </w:r>
          </w:p>
        </w:tc>
        <w:tc>
          <w:tcPr>
            <w:tcW w:w="1349" w:type="pct"/>
            <w:tcBorders>
              <w:top w:val="nil"/>
              <w:left w:val="nil"/>
              <w:bottom w:val="nil"/>
              <w:right w:val="nil"/>
            </w:tcBorders>
          </w:tcPr>
          <w:p w14:paraId="69B30213" w14:textId="33DEA0FC" w:rsidR="00AC7398" w:rsidRPr="00D63217" w:rsidRDefault="00AC7398" w:rsidP="00AC7398">
            <w:pPr>
              <w:pStyle w:val="TableText"/>
              <w:spacing w:before="0" w:after="0"/>
              <w:jc w:val="right"/>
            </w:pPr>
            <w:r w:rsidRPr="003F47F8">
              <w:t>21</w:t>
            </w:r>
          </w:p>
        </w:tc>
        <w:tc>
          <w:tcPr>
            <w:tcW w:w="578" w:type="pct"/>
            <w:tcBorders>
              <w:top w:val="nil"/>
              <w:left w:val="nil"/>
              <w:bottom w:val="nil"/>
              <w:right w:val="nil"/>
            </w:tcBorders>
          </w:tcPr>
          <w:p w14:paraId="13639282" w14:textId="7ED2C147"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6DF84583" w14:textId="764DC9E9" w:rsidR="00AC7398" w:rsidRPr="00AC7398" w:rsidRDefault="00AC7398" w:rsidP="00AC7398">
            <w:pPr>
              <w:pStyle w:val="TableText"/>
              <w:spacing w:before="0" w:after="0"/>
              <w:jc w:val="right"/>
              <w:rPr>
                <w:b/>
                <w:bCs/>
              </w:rPr>
            </w:pPr>
            <w:r w:rsidRPr="00AC7398">
              <w:rPr>
                <w:b/>
                <w:bCs/>
              </w:rPr>
              <w:t>4.0</w:t>
            </w:r>
          </w:p>
        </w:tc>
      </w:tr>
      <w:tr w:rsidR="00AC7398" w:rsidRPr="00D63217" w14:paraId="222D9438" w14:textId="77777777" w:rsidTr="00AC7398">
        <w:tc>
          <w:tcPr>
            <w:tcW w:w="0" w:type="auto"/>
            <w:tcBorders>
              <w:top w:val="nil"/>
              <w:left w:val="nil"/>
              <w:bottom w:val="nil"/>
              <w:right w:val="nil"/>
            </w:tcBorders>
          </w:tcPr>
          <w:p w14:paraId="1079B019"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27655DD7"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76CDC1C4" w14:textId="4834118C" w:rsidR="00AC7398" w:rsidRDefault="00AC7398" w:rsidP="00AC7398">
            <w:pPr>
              <w:pStyle w:val="TableText"/>
              <w:spacing w:before="0" w:after="0"/>
              <w:jc w:val="right"/>
            </w:pPr>
            <w:r w:rsidRPr="00BE4398">
              <w:t>700</w:t>
            </w:r>
          </w:p>
        </w:tc>
        <w:tc>
          <w:tcPr>
            <w:tcW w:w="1349" w:type="pct"/>
            <w:tcBorders>
              <w:top w:val="nil"/>
              <w:left w:val="nil"/>
              <w:bottom w:val="nil"/>
              <w:right w:val="nil"/>
            </w:tcBorders>
          </w:tcPr>
          <w:p w14:paraId="4E8F730A" w14:textId="2147D912" w:rsidR="00AC7398" w:rsidRPr="00D63217" w:rsidRDefault="00AC7398" w:rsidP="00AC7398">
            <w:pPr>
              <w:pStyle w:val="TableText"/>
              <w:spacing w:before="0" w:after="0"/>
              <w:jc w:val="right"/>
            </w:pPr>
            <w:r w:rsidRPr="003F47F8">
              <w:t>20</w:t>
            </w:r>
          </w:p>
        </w:tc>
        <w:tc>
          <w:tcPr>
            <w:tcW w:w="578" w:type="pct"/>
            <w:tcBorders>
              <w:top w:val="nil"/>
              <w:left w:val="nil"/>
              <w:bottom w:val="nil"/>
              <w:right w:val="nil"/>
            </w:tcBorders>
          </w:tcPr>
          <w:p w14:paraId="703D23C4" w14:textId="5C5F50E4"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74920DF0" w14:textId="4FAF345C" w:rsidR="00AC7398" w:rsidRPr="00AC7398" w:rsidRDefault="00AC7398" w:rsidP="00AC7398">
            <w:pPr>
              <w:pStyle w:val="TableText"/>
              <w:spacing w:before="0" w:after="0"/>
              <w:jc w:val="right"/>
              <w:rPr>
                <w:b/>
                <w:bCs/>
              </w:rPr>
            </w:pPr>
            <w:r w:rsidRPr="00AC7398">
              <w:rPr>
                <w:b/>
                <w:bCs/>
              </w:rPr>
              <w:t>3.9</w:t>
            </w:r>
          </w:p>
        </w:tc>
      </w:tr>
      <w:tr w:rsidR="00AC7398" w:rsidRPr="00D63217" w14:paraId="1491862C" w14:textId="77777777" w:rsidTr="00AC7398">
        <w:tc>
          <w:tcPr>
            <w:tcW w:w="0" w:type="auto"/>
            <w:tcBorders>
              <w:top w:val="nil"/>
              <w:left w:val="nil"/>
              <w:bottom w:val="nil"/>
              <w:right w:val="nil"/>
            </w:tcBorders>
          </w:tcPr>
          <w:p w14:paraId="65371FAD"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0EC724BD"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08D927ED" w14:textId="1091F676" w:rsidR="00AC7398" w:rsidRDefault="00AC7398" w:rsidP="00AC7398">
            <w:pPr>
              <w:pStyle w:val="TableText"/>
              <w:spacing w:before="0" w:after="0"/>
              <w:jc w:val="right"/>
            </w:pPr>
            <w:r w:rsidRPr="00BE4398">
              <w:t>600</w:t>
            </w:r>
          </w:p>
        </w:tc>
        <w:tc>
          <w:tcPr>
            <w:tcW w:w="1349" w:type="pct"/>
            <w:tcBorders>
              <w:top w:val="nil"/>
              <w:left w:val="nil"/>
              <w:bottom w:val="nil"/>
              <w:right w:val="nil"/>
            </w:tcBorders>
          </w:tcPr>
          <w:p w14:paraId="0DDD6A98" w14:textId="0F789F17" w:rsidR="00AC7398" w:rsidRPr="00D63217" w:rsidRDefault="00AC7398" w:rsidP="00AC7398">
            <w:pPr>
              <w:pStyle w:val="TableText"/>
              <w:spacing w:before="0" w:after="0"/>
              <w:jc w:val="right"/>
            </w:pPr>
            <w:r w:rsidRPr="003F47F8">
              <w:t>17</w:t>
            </w:r>
          </w:p>
        </w:tc>
        <w:tc>
          <w:tcPr>
            <w:tcW w:w="578" w:type="pct"/>
            <w:tcBorders>
              <w:top w:val="nil"/>
              <w:left w:val="nil"/>
              <w:bottom w:val="nil"/>
              <w:right w:val="nil"/>
            </w:tcBorders>
          </w:tcPr>
          <w:p w14:paraId="024F053E" w14:textId="217BFDE3"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2C88BB98" w14:textId="2CC7C0B6" w:rsidR="00AC7398" w:rsidRPr="00AC7398" w:rsidRDefault="00AC7398" w:rsidP="00AC7398">
            <w:pPr>
              <w:pStyle w:val="TableText"/>
              <w:spacing w:before="0" w:after="0"/>
              <w:jc w:val="right"/>
              <w:rPr>
                <w:b/>
                <w:bCs/>
              </w:rPr>
            </w:pPr>
            <w:r w:rsidRPr="00AC7398">
              <w:rPr>
                <w:b/>
                <w:bCs/>
              </w:rPr>
              <w:t>3.3</w:t>
            </w:r>
          </w:p>
        </w:tc>
      </w:tr>
      <w:tr w:rsidR="00AC7398" w:rsidRPr="00D63217" w14:paraId="4B7E4221" w14:textId="77777777" w:rsidTr="00AC7398">
        <w:tc>
          <w:tcPr>
            <w:tcW w:w="0" w:type="auto"/>
            <w:tcBorders>
              <w:top w:val="nil"/>
              <w:left w:val="nil"/>
              <w:bottom w:val="nil"/>
              <w:right w:val="nil"/>
            </w:tcBorders>
          </w:tcPr>
          <w:p w14:paraId="48D1C7FD"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32F21B43"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0D0CB7D4" w14:textId="4AA8D519" w:rsidR="00AC7398" w:rsidRDefault="00AC7398" w:rsidP="00AC7398">
            <w:pPr>
              <w:pStyle w:val="TableText"/>
              <w:spacing w:before="0" w:after="0"/>
              <w:jc w:val="right"/>
            </w:pPr>
            <w:r w:rsidRPr="00BE4398">
              <w:t>420</w:t>
            </w:r>
          </w:p>
        </w:tc>
        <w:tc>
          <w:tcPr>
            <w:tcW w:w="1349" w:type="pct"/>
            <w:tcBorders>
              <w:top w:val="nil"/>
              <w:left w:val="nil"/>
              <w:bottom w:val="nil"/>
              <w:right w:val="nil"/>
            </w:tcBorders>
          </w:tcPr>
          <w:p w14:paraId="3BF4F55D" w14:textId="0638D864" w:rsidR="00AC7398" w:rsidRPr="00D63217" w:rsidRDefault="00AC7398" w:rsidP="00AC7398">
            <w:pPr>
              <w:pStyle w:val="TableText"/>
              <w:spacing w:before="0" w:after="0"/>
              <w:jc w:val="right"/>
            </w:pPr>
            <w:r w:rsidRPr="003F47F8">
              <w:t>12</w:t>
            </w:r>
          </w:p>
        </w:tc>
        <w:tc>
          <w:tcPr>
            <w:tcW w:w="578" w:type="pct"/>
            <w:tcBorders>
              <w:top w:val="nil"/>
              <w:left w:val="nil"/>
              <w:bottom w:val="nil"/>
              <w:right w:val="nil"/>
            </w:tcBorders>
          </w:tcPr>
          <w:p w14:paraId="3F75D736" w14:textId="4DD238BD"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26CE1812" w14:textId="14D77E48" w:rsidR="00AC7398" w:rsidRPr="00AC7398" w:rsidRDefault="00AC7398" w:rsidP="00AC7398">
            <w:pPr>
              <w:pStyle w:val="TableText"/>
              <w:spacing w:before="0" w:after="0"/>
              <w:jc w:val="right"/>
              <w:rPr>
                <w:b/>
                <w:bCs/>
              </w:rPr>
            </w:pPr>
            <w:r w:rsidRPr="00AC7398">
              <w:rPr>
                <w:b/>
                <w:bCs/>
              </w:rPr>
              <w:t>2.3</w:t>
            </w:r>
          </w:p>
        </w:tc>
      </w:tr>
      <w:tr w:rsidR="00AC7398" w:rsidRPr="00D63217" w14:paraId="289DCE5F" w14:textId="77777777" w:rsidTr="00AC7398">
        <w:tc>
          <w:tcPr>
            <w:tcW w:w="0" w:type="auto"/>
            <w:tcBorders>
              <w:top w:val="nil"/>
              <w:left w:val="nil"/>
              <w:bottom w:val="nil"/>
              <w:right w:val="nil"/>
            </w:tcBorders>
          </w:tcPr>
          <w:p w14:paraId="60C22528"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13185450"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2767404E" w14:textId="4A03FDD1" w:rsidR="00AC7398" w:rsidRDefault="00AC7398" w:rsidP="00AC7398">
            <w:pPr>
              <w:pStyle w:val="TableText"/>
              <w:spacing w:before="0" w:after="0"/>
              <w:jc w:val="right"/>
            </w:pPr>
            <w:r w:rsidRPr="00BE4398">
              <w:t>400</w:t>
            </w:r>
          </w:p>
        </w:tc>
        <w:tc>
          <w:tcPr>
            <w:tcW w:w="1349" w:type="pct"/>
            <w:tcBorders>
              <w:top w:val="nil"/>
              <w:left w:val="nil"/>
              <w:bottom w:val="nil"/>
              <w:right w:val="nil"/>
            </w:tcBorders>
          </w:tcPr>
          <w:p w14:paraId="3F1AAF80" w14:textId="2A145EE8" w:rsidR="00AC7398" w:rsidRPr="00D63217" w:rsidRDefault="00AC7398" w:rsidP="00AC7398">
            <w:pPr>
              <w:pStyle w:val="TableText"/>
              <w:spacing w:before="0" w:after="0"/>
              <w:jc w:val="right"/>
            </w:pPr>
            <w:r w:rsidRPr="003F47F8">
              <w:t>11</w:t>
            </w:r>
          </w:p>
        </w:tc>
        <w:tc>
          <w:tcPr>
            <w:tcW w:w="578" w:type="pct"/>
            <w:tcBorders>
              <w:top w:val="nil"/>
              <w:left w:val="nil"/>
              <w:bottom w:val="nil"/>
              <w:right w:val="nil"/>
            </w:tcBorders>
          </w:tcPr>
          <w:p w14:paraId="7DCBA00E" w14:textId="6A89C072"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07C84222" w14:textId="41A8D145" w:rsidR="00AC7398" w:rsidRPr="00AC7398" w:rsidRDefault="00AC7398" w:rsidP="00AC7398">
            <w:pPr>
              <w:pStyle w:val="TableText"/>
              <w:spacing w:before="0" w:after="0"/>
              <w:jc w:val="right"/>
              <w:rPr>
                <w:b/>
                <w:bCs/>
              </w:rPr>
            </w:pPr>
            <w:r w:rsidRPr="00AC7398">
              <w:rPr>
                <w:b/>
                <w:bCs/>
              </w:rPr>
              <w:t>2.2</w:t>
            </w:r>
          </w:p>
        </w:tc>
      </w:tr>
      <w:tr w:rsidR="00AC7398" w:rsidRPr="00D63217" w14:paraId="3A68589B" w14:textId="77777777" w:rsidTr="00AC7398">
        <w:tc>
          <w:tcPr>
            <w:tcW w:w="0" w:type="auto"/>
            <w:tcBorders>
              <w:top w:val="nil"/>
              <w:left w:val="nil"/>
              <w:bottom w:val="nil"/>
              <w:right w:val="nil"/>
            </w:tcBorders>
          </w:tcPr>
          <w:p w14:paraId="14794438"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0B3ACBAC"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69A44938" w14:textId="162D1DAF" w:rsidR="00AC7398" w:rsidRDefault="00AC7398" w:rsidP="00AC7398">
            <w:pPr>
              <w:pStyle w:val="TableText"/>
              <w:spacing w:before="0" w:after="0"/>
              <w:jc w:val="right"/>
            </w:pPr>
            <w:r w:rsidRPr="00BE4398">
              <w:t>300</w:t>
            </w:r>
          </w:p>
        </w:tc>
        <w:tc>
          <w:tcPr>
            <w:tcW w:w="1349" w:type="pct"/>
            <w:tcBorders>
              <w:top w:val="nil"/>
              <w:left w:val="nil"/>
              <w:bottom w:val="nil"/>
              <w:right w:val="nil"/>
            </w:tcBorders>
          </w:tcPr>
          <w:p w14:paraId="5E99CAF9" w14:textId="04712793" w:rsidR="00AC7398" w:rsidRPr="00D63217" w:rsidRDefault="00AC7398" w:rsidP="00AC7398">
            <w:pPr>
              <w:pStyle w:val="TableText"/>
              <w:spacing w:before="0" w:after="0"/>
              <w:jc w:val="right"/>
            </w:pPr>
            <w:r w:rsidRPr="003F47F8">
              <w:t>8.6</w:t>
            </w:r>
          </w:p>
        </w:tc>
        <w:tc>
          <w:tcPr>
            <w:tcW w:w="578" w:type="pct"/>
            <w:tcBorders>
              <w:top w:val="nil"/>
              <w:left w:val="nil"/>
              <w:bottom w:val="nil"/>
              <w:right w:val="nil"/>
            </w:tcBorders>
          </w:tcPr>
          <w:p w14:paraId="4D0CA64C" w14:textId="0407EE46"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79548467" w14:textId="3F4CABED" w:rsidR="00AC7398" w:rsidRPr="00AC7398" w:rsidRDefault="00AC7398" w:rsidP="00AC7398">
            <w:pPr>
              <w:pStyle w:val="TableText"/>
              <w:spacing w:before="0" w:after="0"/>
              <w:jc w:val="right"/>
              <w:rPr>
                <w:b/>
                <w:bCs/>
              </w:rPr>
            </w:pPr>
            <w:r w:rsidRPr="00AC7398">
              <w:rPr>
                <w:b/>
                <w:bCs/>
              </w:rPr>
              <w:t>1.7</w:t>
            </w:r>
          </w:p>
        </w:tc>
      </w:tr>
      <w:tr w:rsidR="00AC7398" w:rsidRPr="00D63217" w14:paraId="0ADBD1BE" w14:textId="77777777" w:rsidTr="00AC7398">
        <w:tc>
          <w:tcPr>
            <w:tcW w:w="0" w:type="auto"/>
            <w:tcBorders>
              <w:top w:val="nil"/>
              <w:left w:val="nil"/>
              <w:bottom w:val="nil"/>
              <w:right w:val="nil"/>
            </w:tcBorders>
          </w:tcPr>
          <w:p w14:paraId="5AC2EF4C"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0363183F"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0BA5D001" w14:textId="5BD8857C" w:rsidR="00AC7398" w:rsidRDefault="00AC7398" w:rsidP="00AC7398">
            <w:pPr>
              <w:pStyle w:val="TableText"/>
              <w:spacing w:before="0" w:after="0"/>
              <w:jc w:val="right"/>
            </w:pPr>
            <w:r w:rsidRPr="00BE4398">
              <w:t>250</w:t>
            </w:r>
          </w:p>
        </w:tc>
        <w:tc>
          <w:tcPr>
            <w:tcW w:w="1349" w:type="pct"/>
            <w:tcBorders>
              <w:top w:val="nil"/>
              <w:left w:val="nil"/>
              <w:bottom w:val="nil"/>
              <w:right w:val="nil"/>
            </w:tcBorders>
          </w:tcPr>
          <w:p w14:paraId="732962CB" w14:textId="7B6C7B49" w:rsidR="00AC7398" w:rsidRPr="00D63217" w:rsidRDefault="00AC7398" w:rsidP="00AC7398">
            <w:pPr>
              <w:pStyle w:val="TableText"/>
              <w:spacing w:before="0" w:after="0"/>
              <w:jc w:val="right"/>
            </w:pPr>
            <w:r w:rsidRPr="003F47F8">
              <w:t>7.2</w:t>
            </w:r>
          </w:p>
        </w:tc>
        <w:tc>
          <w:tcPr>
            <w:tcW w:w="578" w:type="pct"/>
            <w:tcBorders>
              <w:top w:val="nil"/>
              <w:left w:val="nil"/>
              <w:bottom w:val="nil"/>
              <w:right w:val="nil"/>
            </w:tcBorders>
          </w:tcPr>
          <w:p w14:paraId="15BFFAF0" w14:textId="0BC297B5"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010A7FF7" w14:textId="4342BBB8" w:rsidR="00AC7398" w:rsidRPr="00AC7398" w:rsidRDefault="00AC7398" w:rsidP="00AC7398">
            <w:pPr>
              <w:pStyle w:val="TableText"/>
              <w:spacing w:before="0" w:after="0"/>
              <w:jc w:val="right"/>
              <w:rPr>
                <w:b/>
                <w:bCs/>
              </w:rPr>
            </w:pPr>
            <w:r w:rsidRPr="00AC7398">
              <w:rPr>
                <w:b/>
                <w:bCs/>
              </w:rPr>
              <w:t>1.4</w:t>
            </w:r>
          </w:p>
        </w:tc>
      </w:tr>
      <w:tr w:rsidR="00AC7398" w:rsidRPr="00D63217" w14:paraId="3807C77D" w14:textId="77777777" w:rsidTr="00AC7398">
        <w:tc>
          <w:tcPr>
            <w:tcW w:w="0" w:type="auto"/>
            <w:tcBorders>
              <w:top w:val="nil"/>
              <w:left w:val="nil"/>
              <w:bottom w:val="nil"/>
              <w:right w:val="nil"/>
            </w:tcBorders>
          </w:tcPr>
          <w:p w14:paraId="0B67BADF" w14:textId="77777777" w:rsidR="00AC7398" w:rsidRPr="00D63217" w:rsidRDefault="00AC7398" w:rsidP="00AC7398">
            <w:pPr>
              <w:pStyle w:val="TableText"/>
              <w:spacing w:before="0" w:after="0"/>
            </w:pPr>
          </w:p>
        </w:tc>
        <w:tc>
          <w:tcPr>
            <w:tcW w:w="1060" w:type="pct"/>
            <w:tcBorders>
              <w:top w:val="nil"/>
              <w:left w:val="nil"/>
              <w:bottom w:val="nil"/>
              <w:right w:val="nil"/>
            </w:tcBorders>
          </w:tcPr>
          <w:p w14:paraId="2578B4AF" w14:textId="77777777" w:rsidR="00AC7398" w:rsidRPr="00D63217" w:rsidRDefault="00AC7398" w:rsidP="00AC7398">
            <w:pPr>
              <w:pStyle w:val="TableText"/>
              <w:spacing w:before="0" w:after="0"/>
            </w:pPr>
          </w:p>
        </w:tc>
        <w:tc>
          <w:tcPr>
            <w:tcW w:w="577" w:type="pct"/>
            <w:tcBorders>
              <w:top w:val="nil"/>
              <w:left w:val="nil"/>
              <w:bottom w:val="nil"/>
              <w:right w:val="nil"/>
            </w:tcBorders>
          </w:tcPr>
          <w:p w14:paraId="22B875D8" w14:textId="1C85C7C1" w:rsidR="00AC7398" w:rsidRDefault="00AC7398" w:rsidP="00AC7398">
            <w:pPr>
              <w:pStyle w:val="TableText"/>
              <w:spacing w:before="0" w:after="0"/>
              <w:jc w:val="right"/>
            </w:pPr>
            <w:r w:rsidRPr="00BE4398">
              <w:t>200</w:t>
            </w:r>
          </w:p>
        </w:tc>
        <w:tc>
          <w:tcPr>
            <w:tcW w:w="1349" w:type="pct"/>
            <w:tcBorders>
              <w:top w:val="nil"/>
              <w:left w:val="nil"/>
              <w:bottom w:val="nil"/>
              <w:right w:val="nil"/>
            </w:tcBorders>
          </w:tcPr>
          <w:p w14:paraId="198D91E6" w14:textId="722847D3" w:rsidR="00AC7398" w:rsidRPr="00D63217" w:rsidRDefault="00AC7398" w:rsidP="00AC7398">
            <w:pPr>
              <w:pStyle w:val="TableText"/>
              <w:spacing w:before="0" w:after="0"/>
              <w:jc w:val="right"/>
            </w:pPr>
            <w:r w:rsidRPr="003F47F8">
              <w:t>5.7</w:t>
            </w:r>
          </w:p>
        </w:tc>
        <w:tc>
          <w:tcPr>
            <w:tcW w:w="578" w:type="pct"/>
            <w:tcBorders>
              <w:top w:val="nil"/>
              <w:left w:val="nil"/>
              <w:bottom w:val="nil"/>
              <w:right w:val="nil"/>
            </w:tcBorders>
          </w:tcPr>
          <w:p w14:paraId="6722E165" w14:textId="0E585C85" w:rsidR="00AC7398" w:rsidRPr="00D63217" w:rsidRDefault="00AC7398" w:rsidP="00AC7398">
            <w:pPr>
              <w:pStyle w:val="TableText"/>
              <w:spacing w:before="0" w:after="0"/>
              <w:jc w:val="right"/>
            </w:pPr>
            <w:r w:rsidRPr="003F47F8">
              <w:t>5.2</w:t>
            </w:r>
          </w:p>
        </w:tc>
        <w:tc>
          <w:tcPr>
            <w:tcW w:w="380" w:type="pct"/>
            <w:tcBorders>
              <w:top w:val="nil"/>
              <w:left w:val="nil"/>
              <w:bottom w:val="nil"/>
              <w:right w:val="nil"/>
            </w:tcBorders>
          </w:tcPr>
          <w:p w14:paraId="402DCC6A" w14:textId="6EE21F53" w:rsidR="00AC7398" w:rsidRPr="00AC7398" w:rsidRDefault="00AC7398" w:rsidP="00AC7398">
            <w:pPr>
              <w:pStyle w:val="TableText"/>
              <w:spacing w:before="0" w:after="0"/>
              <w:jc w:val="right"/>
              <w:rPr>
                <w:b/>
                <w:bCs/>
              </w:rPr>
            </w:pPr>
            <w:r w:rsidRPr="00AC7398">
              <w:rPr>
                <w:b/>
                <w:bCs/>
              </w:rPr>
              <w:t>1.1</w:t>
            </w:r>
          </w:p>
        </w:tc>
      </w:tr>
      <w:tr w:rsidR="00AC7398" w:rsidRPr="00D63217" w14:paraId="75066D94" w14:textId="77777777" w:rsidTr="00AC7398">
        <w:tc>
          <w:tcPr>
            <w:tcW w:w="0" w:type="auto"/>
            <w:tcBorders>
              <w:top w:val="nil"/>
              <w:left w:val="nil"/>
              <w:bottom w:val="single" w:sz="4" w:space="0" w:color="auto"/>
              <w:right w:val="nil"/>
            </w:tcBorders>
          </w:tcPr>
          <w:p w14:paraId="1A6D70DA" w14:textId="77777777" w:rsidR="00AC7398" w:rsidRPr="00D63217" w:rsidRDefault="00AC7398" w:rsidP="00AC7398">
            <w:pPr>
              <w:pStyle w:val="TableText"/>
              <w:spacing w:before="0" w:after="0"/>
            </w:pPr>
          </w:p>
        </w:tc>
        <w:tc>
          <w:tcPr>
            <w:tcW w:w="1060" w:type="pct"/>
            <w:tcBorders>
              <w:top w:val="nil"/>
              <w:left w:val="nil"/>
              <w:bottom w:val="single" w:sz="4" w:space="0" w:color="auto"/>
              <w:right w:val="nil"/>
            </w:tcBorders>
          </w:tcPr>
          <w:p w14:paraId="738F0826" w14:textId="77777777" w:rsidR="00AC7398" w:rsidRPr="00D63217" w:rsidRDefault="00AC7398" w:rsidP="00AC7398">
            <w:pPr>
              <w:pStyle w:val="TableText"/>
              <w:spacing w:before="0" w:after="0"/>
            </w:pPr>
          </w:p>
        </w:tc>
        <w:tc>
          <w:tcPr>
            <w:tcW w:w="577" w:type="pct"/>
            <w:tcBorders>
              <w:top w:val="nil"/>
              <w:left w:val="nil"/>
              <w:bottom w:val="single" w:sz="4" w:space="0" w:color="auto"/>
              <w:right w:val="nil"/>
            </w:tcBorders>
          </w:tcPr>
          <w:p w14:paraId="51389968" w14:textId="534D0B8E" w:rsidR="00AC7398" w:rsidRDefault="00AC7398" w:rsidP="00AC7398">
            <w:pPr>
              <w:pStyle w:val="TableText"/>
              <w:spacing w:before="0" w:after="0"/>
              <w:jc w:val="right"/>
            </w:pPr>
            <w:r w:rsidRPr="00BE4398">
              <w:t>175</w:t>
            </w:r>
          </w:p>
        </w:tc>
        <w:tc>
          <w:tcPr>
            <w:tcW w:w="1349" w:type="pct"/>
            <w:tcBorders>
              <w:top w:val="nil"/>
              <w:left w:val="nil"/>
              <w:bottom w:val="single" w:sz="4" w:space="0" w:color="auto"/>
              <w:right w:val="nil"/>
            </w:tcBorders>
          </w:tcPr>
          <w:p w14:paraId="03621183" w14:textId="73D89827" w:rsidR="00AC7398" w:rsidRPr="00D63217" w:rsidRDefault="00AC7398" w:rsidP="00AC7398">
            <w:pPr>
              <w:pStyle w:val="TableText"/>
              <w:spacing w:before="0" w:after="0"/>
              <w:jc w:val="right"/>
            </w:pPr>
            <w:r w:rsidRPr="003F47F8">
              <w:t>5.0</w:t>
            </w:r>
          </w:p>
        </w:tc>
        <w:tc>
          <w:tcPr>
            <w:tcW w:w="578" w:type="pct"/>
            <w:tcBorders>
              <w:top w:val="nil"/>
              <w:left w:val="nil"/>
              <w:bottom w:val="single" w:sz="4" w:space="0" w:color="auto"/>
              <w:right w:val="nil"/>
            </w:tcBorders>
          </w:tcPr>
          <w:p w14:paraId="64468330" w14:textId="57520AAD" w:rsidR="00AC7398" w:rsidRPr="00D63217" w:rsidRDefault="00AC7398" w:rsidP="00AC7398">
            <w:pPr>
              <w:pStyle w:val="TableText"/>
              <w:spacing w:before="0" w:after="0"/>
              <w:jc w:val="right"/>
            </w:pPr>
            <w:r w:rsidRPr="003F47F8">
              <w:t>5.2</w:t>
            </w:r>
          </w:p>
        </w:tc>
        <w:tc>
          <w:tcPr>
            <w:tcW w:w="380" w:type="pct"/>
            <w:tcBorders>
              <w:top w:val="nil"/>
              <w:left w:val="nil"/>
              <w:bottom w:val="single" w:sz="4" w:space="0" w:color="auto"/>
              <w:right w:val="nil"/>
            </w:tcBorders>
          </w:tcPr>
          <w:p w14:paraId="0023B5E9" w14:textId="01706817" w:rsidR="00AC7398" w:rsidRPr="00D63217" w:rsidRDefault="00AC7398" w:rsidP="00AC7398">
            <w:pPr>
              <w:pStyle w:val="TableText"/>
              <w:spacing w:before="0" w:after="0"/>
              <w:jc w:val="right"/>
            </w:pPr>
            <w:r w:rsidRPr="003F47F8">
              <w:t>1.0</w:t>
            </w:r>
          </w:p>
        </w:tc>
      </w:tr>
      <w:tr w:rsidR="00AC7398" w:rsidRPr="00D63217" w14:paraId="7D8B6FD2" w14:textId="77777777" w:rsidTr="00BC7034">
        <w:tc>
          <w:tcPr>
            <w:tcW w:w="5000" w:type="pct"/>
            <w:gridSpan w:val="6"/>
            <w:tcBorders>
              <w:top w:val="single" w:sz="4" w:space="0" w:color="auto"/>
              <w:left w:val="nil"/>
              <w:bottom w:val="single" w:sz="4" w:space="0" w:color="auto"/>
              <w:right w:val="nil"/>
            </w:tcBorders>
          </w:tcPr>
          <w:p w14:paraId="24D0E91B" w14:textId="52F16688" w:rsidR="00AC7398" w:rsidRPr="00D63217" w:rsidRDefault="00AC7398" w:rsidP="00BC7034">
            <w:pPr>
              <w:pStyle w:val="TableSubHead0"/>
            </w:pPr>
            <w:r>
              <w:lastRenderedPageBreak/>
              <w:t xml:space="preserve">Refined assessment (pollen EEC (mg/kg) = rate </w:t>
            </w:r>
            <w:r>
              <w:rPr>
                <w:rFonts w:cstheme="minorHAnsi"/>
              </w:rPr>
              <w:t>×</w:t>
            </w:r>
            <w:r>
              <w:t xml:space="preserve"> 52 </w:t>
            </w:r>
            <w:r>
              <w:rPr>
                <w:rFonts w:cstheme="minorHAnsi"/>
              </w:rPr>
              <w:t>∕</w:t>
            </w:r>
            <w:r>
              <w:t xml:space="preserve"> 1000 + nectar EEC (mg/kg) = rate </w:t>
            </w:r>
            <w:r>
              <w:rPr>
                <w:rFonts w:cstheme="minorHAnsi"/>
              </w:rPr>
              <w:t>×</w:t>
            </w:r>
            <w:r>
              <w:t xml:space="preserve"> 11 </w:t>
            </w:r>
            <w:r>
              <w:rPr>
                <w:rFonts w:cstheme="minorHAnsi"/>
              </w:rPr>
              <w:t>∕</w:t>
            </w:r>
            <w:r>
              <w:t xml:space="preserve"> 1000)</w:t>
            </w:r>
          </w:p>
        </w:tc>
      </w:tr>
      <w:tr w:rsidR="00AC7398" w:rsidRPr="00D63217" w14:paraId="391829A7" w14:textId="77777777" w:rsidTr="00AC7398">
        <w:tc>
          <w:tcPr>
            <w:tcW w:w="0" w:type="auto"/>
            <w:tcBorders>
              <w:top w:val="single" w:sz="4" w:space="0" w:color="auto"/>
              <w:left w:val="nil"/>
              <w:bottom w:val="single" w:sz="4" w:space="0" w:color="auto"/>
              <w:right w:val="nil"/>
            </w:tcBorders>
          </w:tcPr>
          <w:p w14:paraId="73D5A8E0" w14:textId="2FA219BE" w:rsidR="00AC7398" w:rsidRPr="00D63217" w:rsidRDefault="00AC7398" w:rsidP="00AC7398">
            <w:pPr>
              <w:pStyle w:val="TableText"/>
              <w:spacing w:before="0" w:after="0"/>
            </w:pPr>
            <w:r w:rsidRPr="0052326F">
              <w:t>Adults</w:t>
            </w:r>
          </w:p>
        </w:tc>
        <w:tc>
          <w:tcPr>
            <w:tcW w:w="1060" w:type="pct"/>
            <w:tcBorders>
              <w:top w:val="single" w:sz="4" w:space="0" w:color="auto"/>
              <w:left w:val="nil"/>
              <w:bottom w:val="single" w:sz="4" w:space="0" w:color="auto"/>
              <w:right w:val="nil"/>
            </w:tcBorders>
          </w:tcPr>
          <w:p w14:paraId="66BCA0B2" w14:textId="78C261B7" w:rsidR="00AC7398" w:rsidRPr="00D63217" w:rsidRDefault="00AC7398" w:rsidP="00AC7398">
            <w:pPr>
              <w:pStyle w:val="TableText"/>
              <w:spacing w:before="0" w:after="0"/>
            </w:pPr>
            <w:r w:rsidRPr="0052326F">
              <w:t>Acute oral</w:t>
            </w:r>
          </w:p>
        </w:tc>
        <w:tc>
          <w:tcPr>
            <w:tcW w:w="577" w:type="pct"/>
            <w:tcBorders>
              <w:top w:val="single" w:sz="4" w:space="0" w:color="auto"/>
              <w:left w:val="nil"/>
              <w:bottom w:val="single" w:sz="4" w:space="0" w:color="auto"/>
              <w:right w:val="nil"/>
            </w:tcBorders>
          </w:tcPr>
          <w:p w14:paraId="6D6DA84D" w14:textId="542BA590" w:rsidR="00AC7398" w:rsidRDefault="00AC7398" w:rsidP="00AC7398">
            <w:pPr>
              <w:pStyle w:val="TableText"/>
              <w:spacing w:before="0" w:after="0"/>
              <w:jc w:val="right"/>
            </w:pPr>
            <w:r w:rsidRPr="0052326F">
              <w:t>1140</w:t>
            </w:r>
          </w:p>
        </w:tc>
        <w:tc>
          <w:tcPr>
            <w:tcW w:w="1349" w:type="pct"/>
            <w:tcBorders>
              <w:top w:val="single" w:sz="4" w:space="0" w:color="auto"/>
              <w:left w:val="nil"/>
              <w:bottom w:val="single" w:sz="4" w:space="0" w:color="auto"/>
              <w:right w:val="nil"/>
            </w:tcBorders>
          </w:tcPr>
          <w:p w14:paraId="22DE716F" w14:textId="297B575C" w:rsidR="00AC7398" w:rsidRPr="00D63217" w:rsidRDefault="00AC7398" w:rsidP="00AC7398">
            <w:pPr>
              <w:pStyle w:val="TableText"/>
              <w:spacing w:before="0" w:after="0"/>
              <w:jc w:val="right"/>
            </w:pPr>
            <w:r w:rsidRPr="0052326F">
              <w:t>3.7</w:t>
            </w:r>
          </w:p>
        </w:tc>
        <w:tc>
          <w:tcPr>
            <w:tcW w:w="578" w:type="pct"/>
            <w:tcBorders>
              <w:top w:val="single" w:sz="4" w:space="0" w:color="auto"/>
              <w:left w:val="nil"/>
              <w:bottom w:val="single" w:sz="4" w:space="0" w:color="auto"/>
              <w:right w:val="nil"/>
            </w:tcBorders>
          </w:tcPr>
          <w:p w14:paraId="4AB272AF" w14:textId="7BD33A49" w:rsidR="00AC7398" w:rsidRPr="00D63217" w:rsidRDefault="00AC7398" w:rsidP="00AC7398">
            <w:pPr>
              <w:pStyle w:val="TableText"/>
              <w:spacing w:before="0" w:after="0"/>
              <w:jc w:val="right"/>
            </w:pPr>
            <w:r w:rsidRPr="0052326F">
              <w:t>5.2</w:t>
            </w:r>
          </w:p>
        </w:tc>
        <w:tc>
          <w:tcPr>
            <w:tcW w:w="380" w:type="pct"/>
            <w:tcBorders>
              <w:top w:val="single" w:sz="4" w:space="0" w:color="auto"/>
              <w:left w:val="nil"/>
              <w:bottom w:val="single" w:sz="4" w:space="0" w:color="auto"/>
              <w:right w:val="nil"/>
            </w:tcBorders>
          </w:tcPr>
          <w:p w14:paraId="3AE688BA" w14:textId="717008DD" w:rsidR="00AC7398" w:rsidRPr="00D63217" w:rsidRDefault="00AC7398" w:rsidP="00AC7398">
            <w:pPr>
              <w:pStyle w:val="TableText"/>
              <w:spacing w:before="0" w:after="0"/>
              <w:jc w:val="right"/>
            </w:pPr>
            <w:r w:rsidRPr="0052326F">
              <w:t>0.70</w:t>
            </w:r>
          </w:p>
        </w:tc>
      </w:tr>
    </w:tbl>
    <w:p w14:paraId="4046D5A8" w14:textId="77777777" w:rsidR="00AC7398" w:rsidRDefault="00AC7398" w:rsidP="00AC7398">
      <w:pPr>
        <w:pStyle w:val="SourceTableNote"/>
      </w:pPr>
      <w:r>
        <w:t>Screening level pollen &amp; nectar EEC based on default RUD 98</w:t>
      </w:r>
    </w:p>
    <w:p w14:paraId="5502D134" w14:textId="77777777" w:rsidR="00AC7398" w:rsidRDefault="00AC7398" w:rsidP="00AC7398">
      <w:pPr>
        <w:pStyle w:val="SourceTableNote"/>
      </w:pPr>
      <w:r>
        <w:t>Refined assessment based on 90</w:t>
      </w:r>
      <w:r w:rsidRPr="00AC7398">
        <w:rPr>
          <w:vertAlign w:val="superscript"/>
        </w:rPr>
        <w:t>th</w:t>
      </w:r>
      <w:r>
        <w:t xml:space="preserve"> percentile RUD values of 52 mg/kg for pollen and 11 mg/kg for nectar from EFSA (2013b)</w:t>
      </w:r>
    </w:p>
    <w:p w14:paraId="00E3D23B" w14:textId="3E2AE9AE" w:rsidR="00E84746" w:rsidRPr="00D63217" w:rsidRDefault="00E84746" w:rsidP="00AC7398">
      <w:pPr>
        <w:pStyle w:val="SourceTableNote"/>
      </w:pPr>
      <w:r w:rsidRPr="00D63217">
        <w:t>Predicted total dose calculated using USEPA BeeREX tool for adult worker bee foraging for nectar and larval drone within the hive</w:t>
      </w:r>
      <w:r w:rsidR="00816969" w:rsidRPr="00D63217">
        <w:br/>
      </w:r>
      <w:r w:rsidRPr="00D63217">
        <w:t xml:space="preserve">RAL = regulatory acceptable level (from </w:t>
      </w:r>
      <w:r w:rsidR="00563A6D" w:rsidRPr="00D63217">
        <w:fldChar w:fldCharType="begin"/>
      </w:r>
      <w:r w:rsidR="00563A6D" w:rsidRPr="00D63217">
        <w:instrText xml:space="preserve"> REF _Ref158985015 \h  \* MERGEFORMAT </w:instrText>
      </w:r>
      <w:r w:rsidR="00563A6D" w:rsidRPr="00D63217">
        <w:fldChar w:fldCharType="separate"/>
      </w:r>
      <w:r w:rsidR="008A397D" w:rsidRPr="00D63217">
        <w:t xml:space="preserve">Table </w:t>
      </w:r>
      <w:r w:rsidR="008A397D">
        <w:t>31</w:t>
      </w:r>
      <w:r w:rsidR="00563A6D" w:rsidRPr="00D63217">
        <w:fldChar w:fldCharType="end"/>
      </w:r>
      <w:r w:rsidRPr="00D63217">
        <w:t>)</w:t>
      </w:r>
      <w:r w:rsidR="00816969" w:rsidRPr="00D63217">
        <w:br/>
      </w:r>
      <w:r w:rsidRPr="00D63217">
        <w:t>RQ = risk quotient = PEC / RAC, where acceptable RQ ≤1</w:t>
      </w:r>
    </w:p>
    <w:p w14:paraId="2ECA92F8" w14:textId="77777777" w:rsidR="00E84746" w:rsidRPr="00D63217" w:rsidRDefault="00E84746" w:rsidP="00E84746">
      <w:pPr>
        <w:pStyle w:val="Heading3"/>
      </w:pPr>
      <w:bookmarkStart w:id="515" w:name="_Toc156980630"/>
      <w:bookmarkStart w:id="516" w:name="_Toc157602762"/>
      <w:bookmarkStart w:id="517" w:name="_Toc231480916"/>
      <w:bookmarkStart w:id="518" w:name="_Toc233036468"/>
      <w:r w:rsidRPr="00BC7034">
        <w:t>Other arthropod</w:t>
      </w:r>
      <w:r w:rsidRPr="00D63217">
        <w:t xml:space="preserve"> species</w:t>
      </w:r>
      <w:bookmarkEnd w:id="515"/>
      <w:bookmarkEnd w:id="516"/>
      <w:bookmarkEnd w:id="517"/>
      <w:bookmarkEnd w:id="518"/>
    </w:p>
    <w:p w14:paraId="2C74EE9D" w14:textId="52EB178B" w:rsidR="00E84746" w:rsidRPr="00D63217" w:rsidRDefault="00E84746" w:rsidP="00E84746">
      <w:pPr>
        <w:pStyle w:val="NormalText"/>
      </w:pPr>
      <w:r w:rsidRPr="00D63217">
        <w:t xml:space="preserve">Commercial use of predatory or parasitic arthropods in integrated pest management programs can occur in a wide range of agricultural industries. For broad-spectrum herbicides such as paraquat, exposure of natural populations of arthropod species that are beneficial to agricultural systems is also possible. The risk assessment assumes that arthropods are exposed to fresh-dried residues within the treatment area immediately after the last application. </w:t>
      </w:r>
      <w:r w:rsidR="007F5A83">
        <w:t>Acceptable r</w:t>
      </w:r>
      <w:r w:rsidRPr="00D63217">
        <w:t>isks to predatory and/or parasitic arthropods could not be concluded for any of the assessed scenarios (</w:t>
      </w:r>
      <w:r w:rsidR="00563A6D" w:rsidRPr="00D63217">
        <w:fldChar w:fldCharType="begin"/>
      </w:r>
      <w:r w:rsidR="00563A6D" w:rsidRPr="00D63217">
        <w:instrText xml:space="preserve"> REF _Ref167303557 \h </w:instrText>
      </w:r>
      <w:r w:rsidR="00D63217">
        <w:instrText xml:space="preserve"> \* MERGEFORMAT </w:instrText>
      </w:r>
      <w:r w:rsidR="00563A6D" w:rsidRPr="00D63217">
        <w:fldChar w:fldCharType="separate"/>
      </w:r>
      <w:r w:rsidR="008A397D" w:rsidRPr="00D63217">
        <w:t xml:space="preserve">Table </w:t>
      </w:r>
      <w:r w:rsidR="008A397D">
        <w:rPr>
          <w:noProof/>
        </w:rPr>
        <w:t>36</w:t>
      </w:r>
      <w:r w:rsidR="00563A6D" w:rsidRPr="00D63217">
        <w:fldChar w:fldCharType="end"/>
      </w:r>
      <w:r w:rsidRPr="00D63217">
        <w:t xml:space="preserve">). Therefore, the following protection statement is </w:t>
      </w:r>
      <w:r w:rsidR="00051DD9">
        <w:t>recommended</w:t>
      </w:r>
      <w:r w:rsidR="00051DD9" w:rsidRPr="00D63217">
        <w:t xml:space="preserve"> </w:t>
      </w:r>
      <w:r w:rsidRPr="00D63217">
        <w:t>for all registered uses of paraquat.</w:t>
      </w:r>
    </w:p>
    <w:p w14:paraId="1CF2D18F" w14:textId="0F1C14CC" w:rsidR="00E84746" w:rsidRPr="00AD5500" w:rsidRDefault="00E84746" w:rsidP="00E84746">
      <w:pPr>
        <w:pStyle w:val="NormalText"/>
        <w:ind w:left="567"/>
        <w:rPr>
          <w:i/>
          <w:iCs/>
          <w:sz w:val="18"/>
          <w:szCs w:val="18"/>
        </w:rPr>
      </w:pPr>
      <w:r w:rsidRPr="00AD5500">
        <w:rPr>
          <w:rFonts w:eastAsiaTheme="minorEastAsia"/>
          <w:i/>
          <w:iCs/>
          <w:kern w:val="2"/>
          <w:szCs w:val="19"/>
        </w:rPr>
        <w:t>Toxic to beneficial arthropods. Not compatible with integrated pest management (IPM) programs utilising beneficial arthropods. Minimise spray drift to reduce harmful effects on beneficial arthropods in non-crop areas</w:t>
      </w:r>
      <w:r w:rsidRPr="00AD5500">
        <w:rPr>
          <w:i/>
          <w:iCs/>
          <w:sz w:val="18"/>
        </w:rPr>
        <w:t>.</w:t>
      </w:r>
    </w:p>
    <w:p w14:paraId="7B46A962" w14:textId="49E694FB" w:rsidR="00E84746" w:rsidRPr="00BC7034" w:rsidRDefault="00E84746" w:rsidP="00BC7034">
      <w:pPr>
        <w:pStyle w:val="Caption"/>
      </w:pPr>
      <w:bookmarkStart w:id="519" w:name="_Ref167303557"/>
      <w:bookmarkStart w:id="520" w:name="_Toc230692302"/>
      <w:bookmarkStart w:id="521" w:name="_Toc233036523"/>
      <w:r w:rsidRPr="00BC7034">
        <w:t xml:space="preserve">Table </w:t>
      </w:r>
      <w:fldSimple w:instr=" SEQ Table \* ARABIC ">
        <w:r w:rsidR="00BC7034">
          <w:rPr>
            <w:noProof/>
          </w:rPr>
          <w:t>36</w:t>
        </w:r>
      </w:fldSimple>
      <w:bookmarkEnd w:id="519"/>
      <w:r w:rsidRPr="00BC7034">
        <w:t>:</w:t>
      </w:r>
      <w:r w:rsidR="00B57785">
        <w:t xml:space="preserve"> </w:t>
      </w:r>
      <w:r w:rsidRPr="00BC7034">
        <w:t>Assessment of risks to other non-target arthropods</w:t>
      </w:r>
      <w:bookmarkEnd w:id="520"/>
      <w:bookmarkEnd w:id="5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405"/>
        <w:gridCol w:w="1701"/>
        <w:gridCol w:w="1132"/>
        <w:gridCol w:w="1132"/>
        <w:gridCol w:w="1132"/>
        <w:gridCol w:w="1126"/>
      </w:tblGrid>
      <w:tr w:rsidR="00E84746" w:rsidRPr="00D63217" w14:paraId="611E1DCC" w14:textId="77777777" w:rsidTr="00816969">
        <w:trPr>
          <w:tblHeader/>
        </w:trPr>
        <w:tc>
          <w:tcPr>
            <w:tcW w:w="1768" w:type="pct"/>
            <w:tcBorders>
              <w:bottom w:val="single" w:sz="4" w:space="0" w:color="auto"/>
            </w:tcBorders>
            <w:shd w:val="clear" w:color="auto" w:fill="5C2946"/>
          </w:tcPr>
          <w:p w14:paraId="60DD1062" w14:textId="77777777" w:rsidR="00E84746" w:rsidRPr="00D63217" w:rsidRDefault="00E84746" w:rsidP="00816969">
            <w:pPr>
              <w:pStyle w:val="TableHead"/>
              <w:spacing w:before="0" w:after="0" w:line="240" w:lineRule="auto"/>
            </w:pPr>
            <w:r w:rsidRPr="00D63217">
              <w:t>Scenario</w:t>
            </w:r>
          </w:p>
        </w:tc>
        <w:tc>
          <w:tcPr>
            <w:tcW w:w="883" w:type="pct"/>
            <w:tcBorders>
              <w:bottom w:val="single" w:sz="4" w:space="0" w:color="auto"/>
            </w:tcBorders>
            <w:shd w:val="clear" w:color="auto" w:fill="5C2946"/>
          </w:tcPr>
          <w:p w14:paraId="1BCA5C24" w14:textId="77777777" w:rsidR="00E84746" w:rsidRPr="00D63217" w:rsidRDefault="00E84746" w:rsidP="00816969">
            <w:pPr>
              <w:pStyle w:val="TableHead"/>
              <w:spacing w:before="0" w:after="0" w:line="240" w:lineRule="auto"/>
            </w:pPr>
            <w:r w:rsidRPr="00D63217">
              <w:t>Group</w:t>
            </w:r>
          </w:p>
        </w:tc>
        <w:tc>
          <w:tcPr>
            <w:tcW w:w="588" w:type="pct"/>
            <w:tcBorders>
              <w:bottom w:val="single" w:sz="4" w:space="0" w:color="auto"/>
            </w:tcBorders>
            <w:shd w:val="clear" w:color="auto" w:fill="5C2946"/>
          </w:tcPr>
          <w:p w14:paraId="3D3D9111" w14:textId="77777777" w:rsidR="00E84746" w:rsidRPr="00D63217" w:rsidRDefault="00E84746" w:rsidP="00816969">
            <w:pPr>
              <w:pStyle w:val="TableHead"/>
              <w:spacing w:before="0" w:after="0" w:line="240" w:lineRule="auto"/>
            </w:pPr>
            <w:r w:rsidRPr="00D63217">
              <w:t>Exposure</w:t>
            </w:r>
          </w:p>
        </w:tc>
        <w:tc>
          <w:tcPr>
            <w:tcW w:w="588" w:type="pct"/>
            <w:tcBorders>
              <w:bottom w:val="single" w:sz="4" w:space="0" w:color="auto"/>
            </w:tcBorders>
            <w:shd w:val="clear" w:color="auto" w:fill="5C2946"/>
          </w:tcPr>
          <w:p w14:paraId="7DF317A8" w14:textId="77777777" w:rsidR="00E84746" w:rsidRPr="00D63217" w:rsidRDefault="00E84746" w:rsidP="0028336D">
            <w:pPr>
              <w:pStyle w:val="TableHeadRight"/>
            </w:pPr>
            <w:r w:rsidRPr="00D63217">
              <w:t>Rate</w:t>
            </w:r>
          </w:p>
          <w:p w14:paraId="71DF8A1B" w14:textId="77777777" w:rsidR="00E84746" w:rsidRPr="00D63217" w:rsidRDefault="00E84746" w:rsidP="0028336D">
            <w:pPr>
              <w:pStyle w:val="TableHeadRight"/>
            </w:pPr>
            <w:r w:rsidRPr="00D63217">
              <w:t>(g/ha)</w:t>
            </w:r>
          </w:p>
        </w:tc>
        <w:tc>
          <w:tcPr>
            <w:tcW w:w="588" w:type="pct"/>
            <w:tcBorders>
              <w:bottom w:val="single" w:sz="4" w:space="0" w:color="auto"/>
            </w:tcBorders>
            <w:shd w:val="clear" w:color="auto" w:fill="5C2946"/>
          </w:tcPr>
          <w:p w14:paraId="27C2143D" w14:textId="77777777" w:rsidR="00E84746" w:rsidRPr="00D63217" w:rsidRDefault="00E84746" w:rsidP="0028336D">
            <w:pPr>
              <w:pStyle w:val="TableHeadRight"/>
            </w:pPr>
            <w:r w:rsidRPr="00D63217">
              <w:t>RAL</w:t>
            </w:r>
          </w:p>
          <w:p w14:paraId="5B8F2753" w14:textId="77777777" w:rsidR="00E84746" w:rsidRPr="00D63217" w:rsidRDefault="00E84746" w:rsidP="0028336D">
            <w:pPr>
              <w:pStyle w:val="TableHeadRight"/>
            </w:pPr>
            <w:r w:rsidRPr="00D63217">
              <w:rPr>
                <w:sz w:val="16"/>
                <w:szCs w:val="16"/>
              </w:rPr>
              <w:t>(g/ha)</w:t>
            </w:r>
          </w:p>
        </w:tc>
        <w:tc>
          <w:tcPr>
            <w:tcW w:w="585" w:type="pct"/>
            <w:tcBorders>
              <w:bottom w:val="single" w:sz="4" w:space="0" w:color="auto"/>
            </w:tcBorders>
            <w:shd w:val="clear" w:color="auto" w:fill="5C2946"/>
          </w:tcPr>
          <w:p w14:paraId="1DE479B7" w14:textId="77777777" w:rsidR="00E84746" w:rsidRPr="00D63217" w:rsidRDefault="00E84746" w:rsidP="0028336D">
            <w:pPr>
              <w:pStyle w:val="TableHeadRight"/>
            </w:pPr>
            <w:r w:rsidRPr="00D63217">
              <w:t>RQ</w:t>
            </w:r>
          </w:p>
        </w:tc>
      </w:tr>
      <w:tr w:rsidR="00E84746" w:rsidRPr="00D63217" w14:paraId="6E0BADB9" w14:textId="77777777" w:rsidTr="00816969">
        <w:tc>
          <w:tcPr>
            <w:tcW w:w="1768" w:type="pct"/>
            <w:tcBorders>
              <w:top w:val="single" w:sz="4" w:space="0" w:color="auto"/>
              <w:left w:val="nil"/>
              <w:bottom w:val="nil"/>
              <w:right w:val="nil"/>
            </w:tcBorders>
          </w:tcPr>
          <w:p w14:paraId="5B69FD6A" w14:textId="77777777" w:rsidR="00E84746" w:rsidRPr="00D63217" w:rsidRDefault="00E84746" w:rsidP="00816969">
            <w:pPr>
              <w:pStyle w:val="TableText"/>
              <w:spacing w:before="0" w:after="0" w:line="240" w:lineRule="auto"/>
            </w:pPr>
            <w:r w:rsidRPr="00D63217">
              <w:t>Worst-case (1× 2250 g ac/ha)</w:t>
            </w:r>
          </w:p>
        </w:tc>
        <w:tc>
          <w:tcPr>
            <w:tcW w:w="883" w:type="pct"/>
            <w:tcBorders>
              <w:top w:val="single" w:sz="4" w:space="0" w:color="auto"/>
              <w:left w:val="nil"/>
              <w:bottom w:val="nil"/>
              <w:right w:val="nil"/>
            </w:tcBorders>
          </w:tcPr>
          <w:p w14:paraId="0C2BB157" w14:textId="77777777" w:rsidR="00E84746" w:rsidRPr="00D63217" w:rsidRDefault="00E84746" w:rsidP="00816969">
            <w:pPr>
              <w:pStyle w:val="TableText"/>
              <w:spacing w:before="0" w:after="0" w:line="240" w:lineRule="auto"/>
            </w:pPr>
            <w:r w:rsidRPr="00D63217">
              <w:t>Foliar arthropods</w:t>
            </w:r>
          </w:p>
        </w:tc>
        <w:tc>
          <w:tcPr>
            <w:tcW w:w="588" w:type="pct"/>
            <w:tcBorders>
              <w:top w:val="single" w:sz="4" w:space="0" w:color="auto"/>
              <w:left w:val="nil"/>
              <w:bottom w:val="nil"/>
              <w:right w:val="nil"/>
            </w:tcBorders>
          </w:tcPr>
          <w:p w14:paraId="033F0451" w14:textId="77777777" w:rsidR="00E84746" w:rsidRPr="00D63217" w:rsidRDefault="00E84746" w:rsidP="00816969">
            <w:pPr>
              <w:pStyle w:val="TableText"/>
              <w:spacing w:before="0" w:after="0" w:line="240" w:lineRule="auto"/>
            </w:pPr>
            <w:r w:rsidRPr="00D63217">
              <w:t>Contact</w:t>
            </w:r>
          </w:p>
        </w:tc>
        <w:tc>
          <w:tcPr>
            <w:tcW w:w="588" w:type="pct"/>
            <w:tcBorders>
              <w:top w:val="single" w:sz="4" w:space="0" w:color="auto"/>
              <w:left w:val="nil"/>
              <w:bottom w:val="nil"/>
              <w:right w:val="nil"/>
            </w:tcBorders>
          </w:tcPr>
          <w:p w14:paraId="23954343" w14:textId="77777777" w:rsidR="00E84746" w:rsidRPr="00D63217" w:rsidRDefault="00E84746" w:rsidP="00816969">
            <w:pPr>
              <w:pStyle w:val="TableText"/>
              <w:spacing w:before="0" w:after="0" w:line="240" w:lineRule="auto"/>
              <w:jc w:val="right"/>
            </w:pPr>
            <w:r w:rsidRPr="00D63217">
              <w:t>2250</w:t>
            </w:r>
          </w:p>
        </w:tc>
        <w:tc>
          <w:tcPr>
            <w:tcW w:w="588" w:type="pct"/>
            <w:tcBorders>
              <w:top w:val="single" w:sz="4" w:space="0" w:color="auto"/>
              <w:left w:val="nil"/>
              <w:bottom w:val="nil"/>
              <w:right w:val="nil"/>
            </w:tcBorders>
          </w:tcPr>
          <w:p w14:paraId="30421EC9" w14:textId="77777777" w:rsidR="00E84746" w:rsidRPr="00D63217" w:rsidRDefault="00E84746" w:rsidP="00816969">
            <w:pPr>
              <w:pStyle w:val="TableText"/>
              <w:spacing w:before="0" w:after="0" w:line="240" w:lineRule="auto"/>
              <w:jc w:val="right"/>
            </w:pPr>
            <w:r w:rsidRPr="00D63217">
              <w:t>8.2</w:t>
            </w:r>
          </w:p>
        </w:tc>
        <w:tc>
          <w:tcPr>
            <w:tcW w:w="585" w:type="pct"/>
            <w:tcBorders>
              <w:top w:val="single" w:sz="4" w:space="0" w:color="auto"/>
              <w:left w:val="nil"/>
              <w:bottom w:val="nil"/>
              <w:right w:val="nil"/>
            </w:tcBorders>
          </w:tcPr>
          <w:p w14:paraId="73A3CD66" w14:textId="77777777" w:rsidR="00E84746" w:rsidRPr="00C417CD" w:rsidRDefault="00E84746" w:rsidP="00816969">
            <w:pPr>
              <w:pStyle w:val="TableText"/>
              <w:spacing w:before="0" w:after="0" w:line="240" w:lineRule="auto"/>
              <w:jc w:val="right"/>
              <w:rPr>
                <w:b/>
              </w:rPr>
            </w:pPr>
            <w:r w:rsidRPr="00C417CD">
              <w:rPr>
                <w:b/>
              </w:rPr>
              <w:t>274</w:t>
            </w:r>
          </w:p>
        </w:tc>
      </w:tr>
      <w:tr w:rsidR="00E84746" w:rsidRPr="00D63217" w14:paraId="218D68F4" w14:textId="77777777" w:rsidTr="00816969">
        <w:tc>
          <w:tcPr>
            <w:tcW w:w="1768" w:type="pct"/>
            <w:tcBorders>
              <w:top w:val="nil"/>
              <w:left w:val="nil"/>
              <w:bottom w:val="single" w:sz="4" w:space="0" w:color="auto"/>
              <w:right w:val="nil"/>
            </w:tcBorders>
          </w:tcPr>
          <w:p w14:paraId="51149328" w14:textId="77777777" w:rsidR="00E84746" w:rsidRPr="00D63217" w:rsidRDefault="00E84746" w:rsidP="00816969">
            <w:pPr>
              <w:pStyle w:val="TableText"/>
              <w:spacing w:before="0" w:after="0" w:line="240" w:lineRule="auto"/>
            </w:pPr>
          </w:p>
        </w:tc>
        <w:tc>
          <w:tcPr>
            <w:tcW w:w="883" w:type="pct"/>
            <w:tcBorders>
              <w:top w:val="nil"/>
              <w:left w:val="nil"/>
              <w:bottom w:val="single" w:sz="4" w:space="0" w:color="auto"/>
              <w:right w:val="nil"/>
            </w:tcBorders>
          </w:tcPr>
          <w:p w14:paraId="1D5E569A" w14:textId="77777777" w:rsidR="00E84746" w:rsidRPr="00D63217" w:rsidRDefault="00E84746" w:rsidP="00816969">
            <w:pPr>
              <w:pStyle w:val="TableText"/>
              <w:spacing w:before="0" w:after="0" w:line="240" w:lineRule="auto"/>
            </w:pPr>
            <w:r w:rsidRPr="00D63217">
              <w:t>Ground arthropods</w:t>
            </w:r>
          </w:p>
        </w:tc>
        <w:tc>
          <w:tcPr>
            <w:tcW w:w="588" w:type="pct"/>
            <w:tcBorders>
              <w:top w:val="nil"/>
              <w:left w:val="nil"/>
              <w:bottom w:val="single" w:sz="4" w:space="0" w:color="auto"/>
              <w:right w:val="nil"/>
            </w:tcBorders>
          </w:tcPr>
          <w:p w14:paraId="472D0918" w14:textId="77777777" w:rsidR="00E84746" w:rsidRPr="00D63217" w:rsidRDefault="00E84746" w:rsidP="00816969">
            <w:pPr>
              <w:pStyle w:val="TableText"/>
              <w:spacing w:before="0" w:after="0" w:line="240" w:lineRule="auto"/>
            </w:pPr>
            <w:r w:rsidRPr="00D63217">
              <w:t>Contact</w:t>
            </w:r>
          </w:p>
        </w:tc>
        <w:tc>
          <w:tcPr>
            <w:tcW w:w="588" w:type="pct"/>
            <w:tcBorders>
              <w:top w:val="nil"/>
              <w:left w:val="nil"/>
              <w:bottom w:val="single" w:sz="4" w:space="0" w:color="auto"/>
              <w:right w:val="nil"/>
            </w:tcBorders>
          </w:tcPr>
          <w:p w14:paraId="25C2AB92" w14:textId="77777777" w:rsidR="00E84746" w:rsidRPr="00D63217" w:rsidRDefault="00E84746" w:rsidP="00816969">
            <w:pPr>
              <w:pStyle w:val="TableText"/>
              <w:spacing w:before="0" w:after="0" w:line="240" w:lineRule="auto"/>
              <w:jc w:val="right"/>
            </w:pPr>
            <w:r w:rsidRPr="00D63217">
              <w:t>2250</w:t>
            </w:r>
          </w:p>
        </w:tc>
        <w:tc>
          <w:tcPr>
            <w:tcW w:w="588" w:type="pct"/>
            <w:tcBorders>
              <w:top w:val="nil"/>
              <w:left w:val="nil"/>
              <w:bottom w:val="single" w:sz="4" w:space="0" w:color="auto"/>
              <w:right w:val="nil"/>
            </w:tcBorders>
          </w:tcPr>
          <w:p w14:paraId="383CCF50" w14:textId="77777777" w:rsidR="00E84746" w:rsidRPr="00D63217" w:rsidRDefault="00E84746" w:rsidP="00816969">
            <w:pPr>
              <w:pStyle w:val="TableText"/>
              <w:spacing w:before="0" w:after="0" w:line="240" w:lineRule="auto"/>
              <w:jc w:val="right"/>
            </w:pPr>
            <w:r w:rsidRPr="00D63217">
              <w:t>600</w:t>
            </w:r>
          </w:p>
        </w:tc>
        <w:tc>
          <w:tcPr>
            <w:tcW w:w="585" w:type="pct"/>
            <w:tcBorders>
              <w:top w:val="nil"/>
              <w:left w:val="nil"/>
              <w:bottom w:val="single" w:sz="4" w:space="0" w:color="auto"/>
              <w:right w:val="nil"/>
            </w:tcBorders>
          </w:tcPr>
          <w:p w14:paraId="0FEA10A6" w14:textId="77777777" w:rsidR="00E84746" w:rsidRPr="00C417CD" w:rsidRDefault="00E84746" w:rsidP="00816969">
            <w:pPr>
              <w:pStyle w:val="TableText"/>
              <w:spacing w:before="0" w:after="0" w:line="240" w:lineRule="auto"/>
              <w:jc w:val="right"/>
              <w:rPr>
                <w:b/>
              </w:rPr>
            </w:pPr>
            <w:r w:rsidRPr="00C417CD">
              <w:rPr>
                <w:b/>
              </w:rPr>
              <w:t>3.8</w:t>
            </w:r>
          </w:p>
        </w:tc>
      </w:tr>
      <w:tr w:rsidR="00E84746" w:rsidRPr="00D63217" w14:paraId="638DB081" w14:textId="77777777" w:rsidTr="00816969">
        <w:tc>
          <w:tcPr>
            <w:tcW w:w="1768" w:type="pct"/>
            <w:tcBorders>
              <w:top w:val="single" w:sz="4" w:space="0" w:color="auto"/>
              <w:left w:val="nil"/>
              <w:bottom w:val="nil"/>
              <w:right w:val="nil"/>
            </w:tcBorders>
          </w:tcPr>
          <w:p w14:paraId="49001868" w14:textId="77777777" w:rsidR="00E84746" w:rsidRPr="00D63217" w:rsidRDefault="00E84746" w:rsidP="00816969">
            <w:pPr>
              <w:pStyle w:val="TableText"/>
              <w:spacing w:before="0" w:after="0" w:line="240" w:lineRule="auto"/>
            </w:pPr>
            <w:r w:rsidRPr="00D63217">
              <w:t>Best-case (1× 175 g ac/ha)</w:t>
            </w:r>
          </w:p>
        </w:tc>
        <w:tc>
          <w:tcPr>
            <w:tcW w:w="883" w:type="pct"/>
            <w:tcBorders>
              <w:top w:val="single" w:sz="4" w:space="0" w:color="auto"/>
              <w:left w:val="nil"/>
              <w:bottom w:val="nil"/>
              <w:right w:val="nil"/>
            </w:tcBorders>
          </w:tcPr>
          <w:p w14:paraId="23B5175D" w14:textId="77777777" w:rsidR="00E84746" w:rsidRPr="00D63217" w:rsidRDefault="00E84746" w:rsidP="00816969">
            <w:pPr>
              <w:pStyle w:val="TableText"/>
              <w:spacing w:before="0" w:after="0" w:line="240" w:lineRule="auto"/>
            </w:pPr>
            <w:r w:rsidRPr="00D63217">
              <w:t>Foliar arthropods</w:t>
            </w:r>
          </w:p>
        </w:tc>
        <w:tc>
          <w:tcPr>
            <w:tcW w:w="588" w:type="pct"/>
            <w:tcBorders>
              <w:top w:val="single" w:sz="4" w:space="0" w:color="auto"/>
              <w:left w:val="nil"/>
              <w:bottom w:val="nil"/>
              <w:right w:val="nil"/>
            </w:tcBorders>
          </w:tcPr>
          <w:p w14:paraId="754E0C7F" w14:textId="77777777" w:rsidR="00E84746" w:rsidRPr="00D63217" w:rsidRDefault="00E84746" w:rsidP="00816969">
            <w:pPr>
              <w:pStyle w:val="TableText"/>
              <w:spacing w:before="0" w:after="0" w:line="240" w:lineRule="auto"/>
            </w:pPr>
            <w:r w:rsidRPr="00D63217">
              <w:t>Contact</w:t>
            </w:r>
          </w:p>
        </w:tc>
        <w:tc>
          <w:tcPr>
            <w:tcW w:w="588" w:type="pct"/>
            <w:tcBorders>
              <w:top w:val="single" w:sz="4" w:space="0" w:color="auto"/>
              <w:left w:val="nil"/>
              <w:bottom w:val="nil"/>
              <w:right w:val="nil"/>
            </w:tcBorders>
          </w:tcPr>
          <w:p w14:paraId="4E424970" w14:textId="77777777" w:rsidR="00E84746" w:rsidRPr="00D63217" w:rsidRDefault="00E84746" w:rsidP="00816969">
            <w:pPr>
              <w:pStyle w:val="TableText"/>
              <w:spacing w:before="0" w:after="0" w:line="240" w:lineRule="auto"/>
              <w:jc w:val="right"/>
            </w:pPr>
            <w:r w:rsidRPr="00D63217">
              <w:t>175</w:t>
            </w:r>
          </w:p>
        </w:tc>
        <w:tc>
          <w:tcPr>
            <w:tcW w:w="588" w:type="pct"/>
            <w:tcBorders>
              <w:top w:val="single" w:sz="4" w:space="0" w:color="auto"/>
              <w:left w:val="nil"/>
              <w:bottom w:val="nil"/>
              <w:right w:val="nil"/>
            </w:tcBorders>
          </w:tcPr>
          <w:p w14:paraId="60083DB4" w14:textId="77777777" w:rsidR="00E84746" w:rsidRPr="00D63217" w:rsidRDefault="00E84746" w:rsidP="00816969">
            <w:pPr>
              <w:pStyle w:val="TableText"/>
              <w:spacing w:before="0" w:after="0" w:line="240" w:lineRule="auto"/>
              <w:jc w:val="right"/>
            </w:pPr>
            <w:r w:rsidRPr="00D63217">
              <w:t>8.2</w:t>
            </w:r>
          </w:p>
        </w:tc>
        <w:tc>
          <w:tcPr>
            <w:tcW w:w="585" w:type="pct"/>
            <w:tcBorders>
              <w:top w:val="single" w:sz="4" w:space="0" w:color="auto"/>
              <w:left w:val="nil"/>
              <w:bottom w:val="nil"/>
              <w:right w:val="nil"/>
            </w:tcBorders>
          </w:tcPr>
          <w:p w14:paraId="3734116F" w14:textId="77777777" w:rsidR="00E84746" w:rsidRPr="00C417CD" w:rsidRDefault="00E84746" w:rsidP="00816969">
            <w:pPr>
              <w:pStyle w:val="TableText"/>
              <w:spacing w:before="0" w:after="0" w:line="240" w:lineRule="auto"/>
              <w:jc w:val="right"/>
              <w:rPr>
                <w:b/>
              </w:rPr>
            </w:pPr>
            <w:r w:rsidRPr="00C417CD">
              <w:rPr>
                <w:b/>
              </w:rPr>
              <w:t>21</w:t>
            </w:r>
          </w:p>
        </w:tc>
      </w:tr>
      <w:tr w:rsidR="00E84746" w:rsidRPr="00D63217" w14:paraId="46C33664" w14:textId="77777777" w:rsidTr="00816969">
        <w:tc>
          <w:tcPr>
            <w:tcW w:w="1768" w:type="pct"/>
            <w:tcBorders>
              <w:top w:val="nil"/>
              <w:left w:val="nil"/>
              <w:right w:val="nil"/>
            </w:tcBorders>
          </w:tcPr>
          <w:p w14:paraId="4DB93541" w14:textId="77777777" w:rsidR="00E84746" w:rsidRPr="00D63217" w:rsidRDefault="00E84746" w:rsidP="00816969">
            <w:pPr>
              <w:pStyle w:val="TableText"/>
              <w:spacing w:before="0" w:after="0" w:line="240" w:lineRule="auto"/>
            </w:pPr>
          </w:p>
        </w:tc>
        <w:tc>
          <w:tcPr>
            <w:tcW w:w="883" w:type="pct"/>
            <w:tcBorders>
              <w:top w:val="nil"/>
              <w:left w:val="nil"/>
              <w:bottom w:val="single" w:sz="4" w:space="0" w:color="auto"/>
              <w:right w:val="nil"/>
            </w:tcBorders>
          </w:tcPr>
          <w:p w14:paraId="553CEA22" w14:textId="77777777" w:rsidR="00E84746" w:rsidRPr="00D63217" w:rsidRDefault="00E84746" w:rsidP="00816969">
            <w:pPr>
              <w:pStyle w:val="TableText"/>
              <w:spacing w:before="0" w:after="0" w:line="240" w:lineRule="auto"/>
            </w:pPr>
            <w:r w:rsidRPr="00D63217">
              <w:t>Ground arthropods</w:t>
            </w:r>
          </w:p>
        </w:tc>
        <w:tc>
          <w:tcPr>
            <w:tcW w:w="588" w:type="pct"/>
            <w:tcBorders>
              <w:top w:val="nil"/>
              <w:left w:val="nil"/>
              <w:bottom w:val="single" w:sz="4" w:space="0" w:color="auto"/>
              <w:right w:val="nil"/>
            </w:tcBorders>
          </w:tcPr>
          <w:p w14:paraId="1CEF0D4B" w14:textId="77777777" w:rsidR="00E84746" w:rsidRPr="00D63217" w:rsidRDefault="00E84746" w:rsidP="00816969">
            <w:pPr>
              <w:pStyle w:val="TableText"/>
              <w:spacing w:before="0" w:after="0" w:line="240" w:lineRule="auto"/>
            </w:pPr>
            <w:r w:rsidRPr="00D63217">
              <w:t>Contact</w:t>
            </w:r>
          </w:p>
        </w:tc>
        <w:tc>
          <w:tcPr>
            <w:tcW w:w="588" w:type="pct"/>
            <w:tcBorders>
              <w:top w:val="nil"/>
              <w:left w:val="nil"/>
              <w:bottom w:val="single" w:sz="4" w:space="0" w:color="auto"/>
              <w:right w:val="nil"/>
            </w:tcBorders>
          </w:tcPr>
          <w:p w14:paraId="19DDC227" w14:textId="77777777" w:rsidR="00E84746" w:rsidRPr="00D63217" w:rsidRDefault="00E84746" w:rsidP="00816969">
            <w:pPr>
              <w:pStyle w:val="TableText"/>
              <w:spacing w:before="0" w:after="0" w:line="240" w:lineRule="auto"/>
              <w:jc w:val="right"/>
            </w:pPr>
            <w:r w:rsidRPr="00D63217">
              <w:t>175</w:t>
            </w:r>
          </w:p>
        </w:tc>
        <w:tc>
          <w:tcPr>
            <w:tcW w:w="588" w:type="pct"/>
            <w:tcBorders>
              <w:top w:val="nil"/>
              <w:left w:val="nil"/>
              <w:bottom w:val="single" w:sz="4" w:space="0" w:color="auto"/>
              <w:right w:val="nil"/>
            </w:tcBorders>
          </w:tcPr>
          <w:p w14:paraId="6B6E05B7" w14:textId="77777777" w:rsidR="00E84746" w:rsidRPr="00D63217" w:rsidRDefault="00E84746" w:rsidP="00816969">
            <w:pPr>
              <w:pStyle w:val="TableText"/>
              <w:spacing w:before="0" w:after="0" w:line="240" w:lineRule="auto"/>
              <w:jc w:val="right"/>
            </w:pPr>
            <w:r w:rsidRPr="00D63217">
              <w:t>600</w:t>
            </w:r>
          </w:p>
        </w:tc>
        <w:tc>
          <w:tcPr>
            <w:tcW w:w="585" w:type="pct"/>
            <w:tcBorders>
              <w:top w:val="nil"/>
              <w:left w:val="nil"/>
              <w:bottom w:val="single" w:sz="4" w:space="0" w:color="auto"/>
              <w:right w:val="nil"/>
            </w:tcBorders>
          </w:tcPr>
          <w:p w14:paraId="76DE3C7B" w14:textId="77777777" w:rsidR="00E84746" w:rsidRPr="00D63217" w:rsidRDefault="00E84746" w:rsidP="00816969">
            <w:pPr>
              <w:pStyle w:val="TableText"/>
              <w:spacing w:before="0" w:after="0" w:line="240" w:lineRule="auto"/>
              <w:jc w:val="right"/>
            </w:pPr>
            <w:r w:rsidRPr="00D63217">
              <w:t>0.29</w:t>
            </w:r>
          </w:p>
        </w:tc>
      </w:tr>
    </w:tbl>
    <w:p w14:paraId="0D766E8A" w14:textId="5CC1C487" w:rsidR="00E84746" w:rsidRPr="00D63217" w:rsidRDefault="00E84746" w:rsidP="00CC7EBC">
      <w:pPr>
        <w:pStyle w:val="SourceTableNote"/>
        <w:rPr>
          <w:sz w:val="19"/>
        </w:rPr>
      </w:pPr>
      <w:r w:rsidRPr="00D63217">
        <w:t xml:space="preserve">RAL = regulatory acceptable level (from </w:t>
      </w:r>
      <w:r w:rsidR="00563A6D" w:rsidRPr="00D63217">
        <w:fldChar w:fldCharType="begin"/>
      </w:r>
      <w:r w:rsidR="00563A6D" w:rsidRPr="00D63217">
        <w:instrText xml:space="preserve"> REF _Ref158985015 \h  \* MERGEFORMAT </w:instrText>
      </w:r>
      <w:r w:rsidR="00563A6D" w:rsidRPr="00D63217">
        <w:fldChar w:fldCharType="separate"/>
      </w:r>
      <w:r w:rsidR="008A397D" w:rsidRPr="00D63217">
        <w:t xml:space="preserve">Table </w:t>
      </w:r>
      <w:r w:rsidR="008A397D">
        <w:t>31</w:t>
      </w:r>
      <w:r w:rsidR="00563A6D" w:rsidRPr="00D63217">
        <w:fldChar w:fldCharType="end"/>
      </w:r>
      <w:r w:rsidRPr="00D63217">
        <w:t>)</w:t>
      </w:r>
      <w:r w:rsidR="00816969" w:rsidRPr="00D63217">
        <w:br/>
      </w:r>
      <w:r w:rsidRPr="00D63217">
        <w:t>RQ = risk quotient = PEC / RAL, where acceptable RQ ≤1</w:t>
      </w:r>
    </w:p>
    <w:p w14:paraId="62B267D0" w14:textId="77777777" w:rsidR="00E84746" w:rsidRPr="00BC7034" w:rsidRDefault="00E84746" w:rsidP="00BC7034">
      <w:pPr>
        <w:pStyle w:val="Heading3"/>
      </w:pPr>
      <w:bookmarkStart w:id="522" w:name="_Toc156980631"/>
      <w:bookmarkStart w:id="523" w:name="_Toc157602763"/>
      <w:bookmarkStart w:id="524" w:name="_Toc231480917"/>
      <w:bookmarkStart w:id="525" w:name="_Toc233036469"/>
      <w:r w:rsidRPr="00BC7034">
        <w:t>Soil organisms</w:t>
      </w:r>
      <w:bookmarkEnd w:id="522"/>
      <w:bookmarkEnd w:id="523"/>
      <w:bookmarkEnd w:id="524"/>
      <w:bookmarkEnd w:id="525"/>
    </w:p>
    <w:p w14:paraId="71458B73" w14:textId="201D156F" w:rsidR="00E84746" w:rsidRPr="00D63217" w:rsidRDefault="00E84746" w:rsidP="00E84746">
      <w:pPr>
        <w:pStyle w:val="NormalText"/>
      </w:pPr>
      <w:r w:rsidRPr="00D63217">
        <w:t>The risk assessment assumes soil organisms are exposed to accumulated residues in the top 5-cm after 20 years of use. Assuming annual use at the highest rate of 2250 g ac/ha with no foliar interception, the peak concentration was predicted to be 13 mg ac/kg dry soil (acute exposure scenario), while the steady state concentration was predicted to be 10 mg ac/kg dry soil (chronic exposure scenario). Risks due to acute exposure of soil organisms were determined to be acceptable under this worst-case scenario (</w:t>
      </w:r>
      <w:r w:rsidR="00563A6D" w:rsidRPr="00D63217">
        <w:fldChar w:fldCharType="begin"/>
      </w:r>
      <w:r w:rsidR="00563A6D" w:rsidRPr="00D63217">
        <w:instrText xml:space="preserve"> REF _Ref167303588 \h </w:instrText>
      </w:r>
      <w:r w:rsidR="00D63217">
        <w:instrText xml:space="preserve"> \* MERGEFORMAT </w:instrText>
      </w:r>
      <w:r w:rsidR="00563A6D" w:rsidRPr="00D63217">
        <w:fldChar w:fldCharType="separate"/>
      </w:r>
      <w:r w:rsidR="008A397D" w:rsidRPr="00D63217">
        <w:t xml:space="preserve">Table </w:t>
      </w:r>
      <w:r w:rsidR="008A397D">
        <w:rPr>
          <w:noProof/>
        </w:rPr>
        <w:t>37</w:t>
      </w:r>
      <w:r w:rsidR="00563A6D" w:rsidRPr="00D63217">
        <w:fldChar w:fldCharType="end"/>
      </w:r>
      <w:r w:rsidRPr="00D63217">
        <w:t>).</w:t>
      </w:r>
    </w:p>
    <w:p w14:paraId="1403A268" w14:textId="7675C76E" w:rsidR="00E84746" w:rsidRPr="00D63217" w:rsidRDefault="00E84746" w:rsidP="00E84746">
      <w:pPr>
        <w:pStyle w:val="NormalText"/>
      </w:pPr>
      <w:r w:rsidRPr="00D63217">
        <w:lastRenderedPageBreak/>
        <w:t>The available field studies imply that, when paraquat has not exceeded a given soil</w:t>
      </w:r>
      <w:r w:rsidR="005B0AE2">
        <w:t>’</w:t>
      </w:r>
      <w:r w:rsidRPr="00D63217">
        <w:t>s strong absorption capacity, no adverse effects are expected for soil dwelling macro</w:t>
      </w:r>
      <w:r w:rsidR="005B0AE2">
        <w:t>-</w:t>
      </w:r>
      <w:r w:rsidRPr="00D63217">
        <w:t xml:space="preserve"> or micro-organisms, as any paraquat is essentially biologically unavailable. If the strong absorption capacity of a soil is exceeded, i.e. paraquat is present in solution in soil pore water, then adverse effects may occur amongst soil macro-organisms. Soil micro-organisms are not expected to be affected given their intrinsic reproductive capacity and involvement in the degradation of bioavailable paraquat. For most soils, the strong absorption capacity of the soil will be hundreds of times the annual application rate and it would take further inputs to reach or exceed the SAC-WB value, at which adverse effects have been observed. It has also been observed that under normal agricultural practice (multiple years of accumulated residues, at ≤2.25 kg ac/ha) the rate of degradation of paraquat is expected to be greater than for the single applications tested in the field studies, reducing the likelihood that adverse concentrations will be reached. Given the available evidence, long-term risks to soil organisms are concluded to be acceptable and no protection statements are therefore required.</w:t>
      </w:r>
    </w:p>
    <w:p w14:paraId="13822A9A" w14:textId="1B1CAC21" w:rsidR="00E84746" w:rsidRPr="00D63217" w:rsidRDefault="00E84746" w:rsidP="00BC7034">
      <w:pPr>
        <w:pStyle w:val="Caption"/>
      </w:pPr>
      <w:bookmarkStart w:id="526" w:name="_Ref167303588"/>
      <w:bookmarkStart w:id="527" w:name="_Toc230692303"/>
      <w:bookmarkStart w:id="528" w:name="_Toc233036524"/>
      <w:r w:rsidRPr="00D63217">
        <w:t xml:space="preserve">Table </w:t>
      </w:r>
      <w:fldSimple w:instr=" SEQ Table \* ARABIC ">
        <w:r w:rsidR="00BC7034">
          <w:rPr>
            <w:noProof/>
          </w:rPr>
          <w:t>37</w:t>
        </w:r>
      </w:fldSimple>
      <w:bookmarkEnd w:id="526"/>
      <w:r w:rsidRPr="00D63217">
        <w:t>: Screening level assessment of risks to soil organisms (worst-case scenario)</w:t>
      </w:r>
      <w:bookmarkEnd w:id="527"/>
      <w:bookmarkEnd w:id="5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1542"/>
        <w:gridCol w:w="1350"/>
        <w:gridCol w:w="1929"/>
        <w:gridCol w:w="1928"/>
        <w:gridCol w:w="757"/>
      </w:tblGrid>
      <w:tr w:rsidR="00E84746" w:rsidRPr="00D63217" w14:paraId="66159E6E" w14:textId="77777777" w:rsidTr="00816969">
        <w:trPr>
          <w:tblHeader/>
        </w:trPr>
        <w:tc>
          <w:tcPr>
            <w:tcW w:w="1102" w:type="pct"/>
            <w:tcBorders>
              <w:bottom w:val="single" w:sz="4" w:space="0" w:color="auto"/>
            </w:tcBorders>
            <w:shd w:val="clear" w:color="auto" w:fill="5C2946"/>
          </w:tcPr>
          <w:p w14:paraId="03A91650" w14:textId="77777777" w:rsidR="00E84746" w:rsidRPr="00D63217" w:rsidRDefault="00E84746" w:rsidP="00816969">
            <w:pPr>
              <w:pStyle w:val="TableHead"/>
            </w:pPr>
            <w:r w:rsidRPr="00D63217">
              <w:t>Group</w:t>
            </w:r>
          </w:p>
        </w:tc>
        <w:tc>
          <w:tcPr>
            <w:tcW w:w="801" w:type="pct"/>
            <w:tcBorders>
              <w:bottom w:val="single" w:sz="4" w:space="0" w:color="auto"/>
            </w:tcBorders>
            <w:shd w:val="clear" w:color="auto" w:fill="5C2946"/>
          </w:tcPr>
          <w:p w14:paraId="08C9AFAA" w14:textId="77777777" w:rsidR="00E84746" w:rsidRPr="00D63217" w:rsidRDefault="00E84746" w:rsidP="00816969">
            <w:pPr>
              <w:pStyle w:val="TableHead"/>
            </w:pPr>
            <w:r w:rsidRPr="00D63217">
              <w:t>Exposure</w:t>
            </w:r>
          </w:p>
        </w:tc>
        <w:tc>
          <w:tcPr>
            <w:tcW w:w="701" w:type="pct"/>
            <w:tcBorders>
              <w:bottom w:val="single" w:sz="4" w:space="0" w:color="auto"/>
            </w:tcBorders>
            <w:shd w:val="clear" w:color="auto" w:fill="5C2946"/>
          </w:tcPr>
          <w:p w14:paraId="3C64D3DE" w14:textId="77777777" w:rsidR="00E84746" w:rsidRPr="00D63217" w:rsidRDefault="00E84746" w:rsidP="00816969">
            <w:pPr>
              <w:pStyle w:val="TableHead"/>
              <w:jc w:val="right"/>
            </w:pPr>
            <w:r w:rsidRPr="00D63217">
              <w:t>Annual rate</w:t>
            </w:r>
          </w:p>
          <w:p w14:paraId="0320AD97" w14:textId="77777777" w:rsidR="00E84746" w:rsidRPr="00D63217" w:rsidRDefault="00E84746" w:rsidP="00816969">
            <w:pPr>
              <w:pStyle w:val="TableHead"/>
              <w:jc w:val="right"/>
            </w:pPr>
            <w:r w:rsidRPr="00D63217">
              <w:t>(g/ha)</w:t>
            </w:r>
          </w:p>
        </w:tc>
        <w:tc>
          <w:tcPr>
            <w:tcW w:w="1002" w:type="pct"/>
            <w:tcBorders>
              <w:bottom w:val="single" w:sz="4" w:space="0" w:color="auto"/>
            </w:tcBorders>
            <w:shd w:val="clear" w:color="auto" w:fill="5C2946"/>
          </w:tcPr>
          <w:p w14:paraId="17B02757" w14:textId="77777777" w:rsidR="00E84746" w:rsidRPr="00D63217" w:rsidRDefault="00E84746" w:rsidP="00816969">
            <w:pPr>
              <w:pStyle w:val="TableHeadRight"/>
            </w:pPr>
            <w:r w:rsidRPr="00D63217">
              <w:t>PEC</w:t>
            </w:r>
          </w:p>
          <w:p w14:paraId="5BE1F1E6" w14:textId="77777777" w:rsidR="00E84746" w:rsidRPr="00D63217" w:rsidRDefault="00E84746" w:rsidP="00816969">
            <w:pPr>
              <w:pStyle w:val="TableHeadRight"/>
            </w:pPr>
            <w:r w:rsidRPr="00D63217">
              <w:rPr>
                <w:sz w:val="16"/>
                <w:szCs w:val="16"/>
              </w:rPr>
              <w:t>(mg/kg dry soil)</w:t>
            </w:r>
          </w:p>
        </w:tc>
        <w:tc>
          <w:tcPr>
            <w:tcW w:w="1001" w:type="pct"/>
            <w:tcBorders>
              <w:bottom w:val="single" w:sz="4" w:space="0" w:color="auto"/>
            </w:tcBorders>
            <w:shd w:val="clear" w:color="auto" w:fill="5C2946"/>
          </w:tcPr>
          <w:p w14:paraId="0609E55E" w14:textId="77777777" w:rsidR="00E84746" w:rsidRPr="00D63217" w:rsidRDefault="00E84746" w:rsidP="00816969">
            <w:pPr>
              <w:pStyle w:val="TableHeadRight"/>
            </w:pPr>
            <w:r w:rsidRPr="00D63217">
              <w:t>RAL</w:t>
            </w:r>
          </w:p>
          <w:p w14:paraId="44B0EE56" w14:textId="77777777" w:rsidR="00E84746" w:rsidRPr="00D63217" w:rsidRDefault="00E84746" w:rsidP="00816969">
            <w:pPr>
              <w:pStyle w:val="TableHeadRight"/>
            </w:pPr>
            <w:r w:rsidRPr="00D63217">
              <w:rPr>
                <w:sz w:val="16"/>
                <w:szCs w:val="16"/>
              </w:rPr>
              <w:t>(mg/kg dry soil)</w:t>
            </w:r>
          </w:p>
        </w:tc>
        <w:tc>
          <w:tcPr>
            <w:tcW w:w="394" w:type="pct"/>
            <w:tcBorders>
              <w:bottom w:val="single" w:sz="4" w:space="0" w:color="auto"/>
            </w:tcBorders>
            <w:shd w:val="clear" w:color="auto" w:fill="5C2946"/>
          </w:tcPr>
          <w:p w14:paraId="52B43301" w14:textId="77777777" w:rsidR="00E84746" w:rsidRPr="00D63217" w:rsidRDefault="00E84746" w:rsidP="00816969">
            <w:pPr>
              <w:pStyle w:val="TableHeadRight"/>
            </w:pPr>
            <w:r w:rsidRPr="00D63217">
              <w:t>RQ</w:t>
            </w:r>
          </w:p>
        </w:tc>
      </w:tr>
      <w:tr w:rsidR="00E84746" w:rsidRPr="00D63217" w14:paraId="3168B6E9" w14:textId="77777777" w:rsidTr="00816969">
        <w:tc>
          <w:tcPr>
            <w:tcW w:w="1102" w:type="pct"/>
            <w:tcBorders>
              <w:top w:val="single" w:sz="4" w:space="0" w:color="auto"/>
              <w:left w:val="nil"/>
              <w:bottom w:val="single" w:sz="4" w:space="0" w:color="auto"/>
              <w:right w:val="nil"/>
            </w:tcBorders>
          </w:tcPr>
          <w:p w14:paraId="666BBF78" w14:textId="77777777" w:rsidR="00E84746" w:rsidRPr="00D63217" w:rsidRDefault="00E84746" w:rsidP="00816969">
            <w:pPr>
              <w:pStyle w:val="TableText"/>
            </w:pPr>
            <w:r w:rsidRPr="00D63217">
              <w:t>Macro-organisms</w:t>
            </w:r>
          </w:p>
        </w:tc>
        <w:tc>
          <w:tcPr>
            <w:tcW w:w="801" w:type="pct"/>
            <w:tcBorders>
              <w:top w:val="single" w:sz="4" w:space="0" w:color="auto"/>
              <w:left w:val="nil"/>
              <w:bottom w:val="single" w:sz="4" w:space="0" w:color="auto"/>
              <w:right w:val="nil"/>
            </w:tcBorders>
          </w:tcPr>
          <w:p w14:paraId="4E9D52CF" w14:textId="77777777" w:rsidR="00E84746" w:rsidRPr="00D63217" w:rsidRDefault="00E84746" w:rsidP="00816969">
            <w:pPr>
              <w:pStyle w:val="TableText"/>
            </w:pPr>
            <w:r w:rsidRPr="00D63217">
              <w:t>Acute</w:t>
            </w:r>
          </w:p>
        </w:tc>
        <w:tc>
          <w:tcPr>
            <w:tcW w:w="701" w:type="pct"/>
            <w:tcBorders>
              <w:top w:val="single" w:sz="4" w:space="0" w:color="auto"/>
              <w:left w:val="nil"/>
              <w:bottom w:val="single" w:sz="4" w:space="0" w:color="auto"/>
              <w:right w:val="nil"/>
            </w:tcBorders>
          </w:tcPr>
          <w:p w14:paraId="047E9E7A" w14:textId="4174C870" w:rsidR="00E84746" w:rsidRPr="00D63217" w:rsidRDefault="00E84746" w:rsidP="00816969">
            <w:pPr>
              <w:pStyle w:val="TableText"/>
              <w:jc w:val="right"/>
            </w:pPr>
            <w:r w:rsidRPr="00D63217">
              <w:t>2</w:t>
            </w:r>
            <w:r w:rsidR="00816969" w:rsidRPr="00D63217">
              <w:t xml:space="preserve"> </w:t>
            </w:r>
            <w:r w:rsidRPr="00D63217">
              <w:t>250</w:t>
            </w:r>
          </w:p>
        </w:tc>
        <w:tc>
          <w:tcPr>
            <w:tcW w:w="1002" w:type="pct"/>
            <w:tcBorders>
              <w:top w:val="single" w:sz="4" w:space="0" w:color="auto"/>
              <w:left w:val="nil"/>
              <w:bottom w:val="single" w:sz="4" w:space="0" w:color="auto"/>
              <w:right w:val="nil"/>
            </w:tcBorders>
          </w:tcPr>
          <w:p w14:paraId="0892688B" w14:textId="77777777" w:rsidR="00E84746" w:rsidRPr="00D63217" w:rsidRDefault="00E84746" w:rsidP="00816969">
            <w:pPr>
              <w:pStyle w:val="TableText"/>
              <w:jc w:val="right"/>
            </w:pPr>
            <w:r w:rsidRPr="00D63217">
              <w:t>13</w:t>
            </w:r>
          </w:p>
        </w:tc>
        <w:tc>
          <w:tcPr>
            <w:tcW w:w="1001" w:type="pct"/>
            <w:tcBorders>
              <w:top w:val="single" w:sz="4" w:space="0" w:color="auto"/>
              <w:left w:val="nil"/>
              <w:bottom w:val="single" w:sz="4" w:space="0" w:color="auto"/>
              <w:right w:val="nil"/>
            </w:tcBorders>
          </w:tcPr>
          <w:p w14:paraId="73C15524" w14:textId="77777777" w:rsidR="00E84746" w:rsidRPr="00D63217" w:rsidRDefault="00E84746" w:rsidP="00816969">
            <w:pPr>
              <w:pStyle w:val="TableText"/>
              <w:jc w:val="right"/>
            </w:pPr>
            <w:r w:rsidRPr="00D63217">
              <w:t>100</w:t>
            </w:r>
          </w:p>
        </w:tc>
        <w:tc>
          <w:tcPr>
            <w:tcW w:w="394" w:type="pct"/>
            <w:tcBorders>
              <w:top w:val="single" w:sz="4" w:space="0" w:color="auto"/>
              <w:left w:val="nil"/>
              <w:bottom w:val="single" w:sz="4" w:space="0" w:color="auto"/>
              <w:right w:val="nil"/>
            </w:tcBorders>
          </w:tcPr>
          <w:p w14:paraId="5AEC2C34" w14:textId="77777777" w:rsidR="00E84746" w:rsidRPr="00D63217" w:rsidRDefault="00E84746" w:rsidP="00816969">
            <w:pPr>
              <w:pStyle w:val="TableText"/>
              <w:jc w:val="right"/>
            </w:pPr>
            <w:r w:rsidRPr="00D63217">
              <w:t>0.13</w:t>
            </w:r>
          </w:p>
        </w:tc>
      </w:tr>
    </w:tbl>
    <w:p w14:paraId="3643C997" w14:textId="146FED9F" w:rsidR="00E84746" w:rsidRPr="00D63217" w:rsidRDefault="00E84746" w:rsidP="00CC7EBC">
      <w:pPr>
        <w:pStyle w:val="SourceTableNote"/>
        <w:rPr>
          <w:rFonts w:ascii="Times New Roman" w:hAnsi="Times New Roman"/>
          <w:color w:val="000000"/>
          <w:lang w:eastAsia="en-AU"/>
        </w:rPr>
      </w:pPr>
      <w:r w:rsidRPr="00D63217">
        <w:t>Worst-case scenario based on 1× 2250 g ac/ha applied annually for 20 years with no interception and soil DT</w:t>
      </w:r>
      <w:r w:rsidRPr="00D63217">
        <w:rPr>
          <w:vertAlign w:val="subscript"/>
        </w:rPr>
        <w:t>50</w:t>
      </w:r>
      <w:r w:rsidRPr="00D63217">
        <w:t xml:space="preserve"> 1000 d</w:t>
      </w:r>
      <w:r w:rsidR="00816969" w:rsidRPr="00D63217">
        <w:br/>
      </w:r>
      <w:r w:rsidRPr="00D63217">
        <w:t>Acute PEC is based on maximum predicted annual peak concentration in top 5</w:t>
      </w:r>
      <w:r w:rsidR="00816969" w:rsidRPr="00D63217">
        <w:t xml:space="preserve"> </w:t>
      </w:r>
      <w:r w:rsidRPr="00D63217">
        <w:t>cm</w:t>
      </w:r>
      <w:r w:rsidR="00816969" w:rsidRPr="00D63217">
        <w:br/>
      </w:r>
      <w:r w:rsidRPr="00D63217">
        <w:t>RAL = regulatory acceptable level (from</w:t>
      </w:r>
      <w:r w:rsidR="00563A6D" w:rsidRPr="00D63217">
        <w:t xml:space="preserve"> </w:t>
      </w:r>
      <w:r w:rsidR="00563A6D" w:rsidRPr="00D63217">
        <w:fldChar w:fldCharType="begin"/>
      </w:r>
      <w:r w:rsidR="00563A6D" w:rsidRPr="00D63217">
        <w:instrText xml:space="preserve"> REF _Ref158985015 \h  \* MERGEFORMAT </w:instrText>
      </w:r>
      <w:r w:rsidR="00563A6D" w:rsidRPr="00D63217">
        <w:fldChar w:fldCharType="separate"/>
      </w:r>
      <w:r w:rsidR="008A397D" w:rsidRPr="00D63217">
        <w:t xml:space="preserve">Table </w:t>
      </w:r>
      <w:r w:rsidR="008A397D">
        <w:t>31</w:t>
      </w:r>
      <w:r w:rsidR="00563A6D" w:rsidRPr="00D63217">
        <w:fldChar w:fldCharType="end"/>
      </w:r>
      <w:r w:rsidRPr="00D63217">
        <w:t>)</w:t>
      </w:r>
      <w:r w:rsidR="00816969" w:rsidRPr="00D63217">
        <w:br/>
      </w:r>
      <w:r w:rsidRPr="00D63217">
        <w:t>RQ = risk quotient = PEC / RAC, where acceptable RQ ≤1</w:t>
      </w:r>
    </w:p>
    <w:p w14:paraId="47B7BC9E" w14:textId="77777777" w:rsidR="00E84746" w:rsidRPr="00BC7034" w:rsidRDefault="00E84746" w:rsidP="00BC7034">
      <w:pPr>
        <w:pStyle w:val="Heading3"/>
      </w:pPr>
      <w:bookmarkStart w:id="529" w:name="_Toc156980632"/>
      <w:bookmarkStart w:id="530" w:name="_Toc157602764"/>
      <w:bookmarkStart w:id="531" w:name="_Toc231480918"/>
      <w:bookmarkStart w:id="532" w:name="_Toc233036470"/>
      <w:r w:rsidRPr="00BC7034">
        <w:t>Non-target terrestrial plants</w:t>
      </w:r>
      <w:bookmarkEnd w:id="529"/>
      <w:bookmarkEnd w:id="530"/>
      <w:bookmarkEnd w:id="531"/>
      <w:bookmarkEnd w:id="532"/>
    </w:p>
    <w:p w14:paraId="6ECBD3AF" w14:textId="70836E52" w:rsidR="00E84746" w:rsidRPr="00D63217" w:rsidRDefault="00E84746" w:rsidP="00E84746">
      <w:pPr>
        <w:pStyle w:val="NormalText"/>
      </w:pPr>
      <w:r w:rsidRPr="00D63217">
        <w:t xml:space="preserve">As indicated in </w:t>
      </w:r>
      <w:r w:rsidR="00563A6D" w:rsidRPr="00D63217">
        <w:fldChar w:fldCharType="begin"/>
      </w:r>
      <w:r w:rsidR="00563A6D" w:rsidRPr="00D63217">
        <w:instrText xml:space="preserve"> REF _Ref158985015 \h </w:instrText>
      </w:r>
      <w:r w:rsidR="00D63217">
        <w:instrText xml:space="preserve"> \* MERGEFORMAT </w:instrText>
      </w:r>
      <w:r w:rsidR="00563A6D" w:rsidRPr="00D63217">
        <w:fldChar w:fldCharType="separate"/>
      </w:r>
      <w:r w:rsidR="008A397D" w:rsidRPr="00D63217">
        <w:t xml:space="preserve">Table </w:t>
      </w:r>
      <w:r w:rsidR="008A397D">
        <w:rPr>
          <w:noProof/>
        </w:rPr>
        <w:t>31</w:t>
      </w:r>
      <w:r w:rsidR="00563A6D" w:rsidRPr="00D63217">
        <w:fldChar w:fldCharType="end"/>
      </w:r>
      <w:r w:rsidRPr="00D63217">
        <w:t xml:space="preserve">, the RAL for the spray drift assessment is </w:t>
      </w:r>
      <w:r w:rsidR="00AC7398">
        <w:t>11</w:t>
      </w:r>
      <w:r w:rsidR="00AC7398" w:rsidRPr="00D63217">
        <w:t xml:space="preserve"> </w:t>
      </w:r>
      <w:r w:rsidRPr="00D63217">
        <w:t>g ac/ha for the protection of vegetation areas. Risks of spray drift are addressed separately.</w:t>
      </w:r>
    </w:p>
    <w:p w14:paraId="13CCE73E" w14:textId="79CAB6A7" w:rsidR="00C2168A" w:rsidRPr="00CC28DB" w:rsidRDefault="00C2168A" w:rsidP="00BC7034">
      <w:pPr>
        <w:pStyle w:val="Heading2"/>
      </w:pPr>
      <w:bookmarkStart w:id="533" w:name="_Toc231480919"/>
      <w:bookmarkStart w:id="534" w:name="_Toc233036471"/>
      <w:r w:rsidRPr="00CC28DB">
        <w:t xml:space="preserve">Combination </w:t>
      </w:r>
      <w:r w:rsidRPr="00BC7034">
        <w:t>toxicity</w:t>
      </w:r>
      <w:bookmarkEnd w:id="533"/>
      <w:bookmarkEnd w:id="534"/>
    </w:p>
    <w:p w14:paraId="36CFED92" w14:textId="4B947E5E" w:rsidR="00C2168A" w:rsidRPr="00D63217" w:rsidRDefault="00C2168A" w:rsidP="00BC7034">
      <w:pPr>
        <w:pStyle w:val="Heading3"/>
      </w:pPr>
      <w:bookmarkStart w:id="535" w:name="_Toc231480920"/>
      <w:bookmarkStart w:id="536" w:name="_Toc233036472"/>
      <w:r w:rsidRPr="00D63217">
        <w:t>Assessment scenarios</w:t>
      </w:r>
      <w:r w:rsidR="00625D86">
        <w:t xml:space="preserve"> for diquat/paraquat combination products</w:t>
      </w:r>
      <w:bookmarkEnd w:id="535"/>
      <w:bookmarkEnd w:id="536"/>
    </w:p>
    <w:p w14:paraId="61D9CEC8" w14:textId="2DAA3529" w:rsidR="00C2168A" w:rsidRPr="00D63217" w:rsidRDefault="007B375C" w:rsidP="00C2168A">
      <w:pPr>
        <w:pStyle w:val="NormalText"/>
        <w:rPr>
          <w:szCs w:val="19"/>
        </w:rPr>
      </w:pPr>
      <w:r w:rsidRPr="002D3F83">
        <w:rPr>
          <w:szCs w:val="19"/>
        </w:rPr>
        <w:t xml:space="preserve">The risks for the individual actives, diquat and paraquat, have been assessed separately. For combination products containing 115 g/L diquat and 135 g/L paraquat risks of combination toxicity to non-target species have also been assessed. The relevant scenarios for </w:t>
      </w:r>
      <w:r>
        <w:rPr>
          <w:szCs w:val="19"/>
        </w:rPr>
        <w:t xml:space="preserve">use of </w:t>
      </w:r>
      <w:r w:rsidRPr="002D3F83">
        <w:rPr>
          <w:szCs w:val="19"/>
        </w:rPr>
        <w:t xml:space="preserve">these </w:t>
      </w:r>
      <w:r w:rsidRPr="006F3E46">
        <w:rPr>
          <w:szCs w:val="19"/>
        </w:rPr>
        <w:t xml:space="preserve">products are summarised in </w:t>
      </w:r>
      <w:r>
        <w:rPr>
          <w:szCs w:val="19"/>
        </w:rPr>
        <w:fldChar w:fldCharType="begin"/>
      </w:r>
      <w:r>
        <w:rPr>
          <w:szCs w:val="19"/>
        </w:rPr>
        <w:instrText xml:space="preserve"> REF _Ref220909362 \h </w:instrText>
      </w:r>
      <w:r>
        <w:rPr>
          <w:szCs w:val="19"/>
        </w:rPr>
      </w:r>
      <w:r>
        <w:rPr>
          <w:szCs w:val="19"/>
        </w:rPr>
        <w:fldChar w:fldCharType="separate"/>
      </w:r>
      <w:r w:rsidR="008A397D" w:rsidRPr="00D63217">
        <w:t xml:space="preserve">Table </w:t>
      </w:r>
      <w:r w:rsidR="008A397D">
        <w:rPr>
          <w:noProof/>
        </w:rPr>
        <w:t>38</w:t>
      </w:r>
      <w:r>
        <w:rPr>
          <w:szCs w:val="19"/>
        </w:rPr>
        <w:fldChar w:fldCharType="end"/>
      </w:r>
      <w:r w:rsidRPr="006F3E46">
        <w:rPr>
          <w:szCs w:val="19"/>
        </w:rPr>
        <w:t>.</w:t>
      </w:r>
    </w:p>
    <w:p w14:paraId="7BDEB933" w14:textId="6B30F1A4" w:rsidR="00C2168A" w:rsidRPr="00BC7034" w:rsidRDefault="009D61A7" w:rsidP="00BC7034">
      <w:pPr>
        <w:pStyle w:val="Caption"/>
      </w:pPr>
      <w:bookmarkStart w:id="537" w:name="_Ref220909362"/>
      <w:bookmarkStart w:id="538" w:name="_Toc230692304"/>
      <w:bookmarkStart w:id="539" w:name="_Toc233036525"/>
      <w:r w:rsidRPr="00BC7034">
        <w:t xml:space="preserve">Table </w:t>
      </w:r>
      <w:fldSimple w:instr=" SEQ Table \* ARABIC ">
        <w:r w:rsidR="00BC7034">
          <w:rPr>
            <w:noProof/>
          </w:rPr>
          <w:t>38</w:t>
        </w:r>
      </w:fldSimple>
      <w:bookmarkEnd w:id="537"/>
      <w:r w:rsidR="00C2168A" w:rsidRPr="00BC7034">
        <w:t>:</w:t>
      </w:r>
      <w:r w:rsidRPr="00BC7034">
        <w:t xml:space="preserve"> </w:t>
      </w:r>
      <w:r w:rsidR="00C2168A" w:rsidRPr="00BC7034">
        <w:t>Diquat</w:t>
      </w:r>
      <w:r w:rsidR="007B375C" w:rsidRPr="00BC7034">
        <w:t xml:space="preserve"> (115 g/L)</w:t>
      </w:r>
      <w:r w:rsidR="00C2168A" w:rsidRPr="00BC7034">
        <w:t>/paraquat</w:t>
      </w:r>
      <w:r w:rsidR="007B375C" w:rsidRPr="00BC7034">
        <w:t xml:space="preserve"> (135 g/L)</w:t>
      </w:r>
      <w:r w:rsidR="00C2168A" w:rsidRPr="00BC7034">
        <w:t xml:space="preserve"> combination products: environmental risk assessment scenarios</w:t>
      </w:r>
      <w:bookmarkEnd w:id="538"/>
      <w:bookmarkEnd w:id="5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689"/>
        <w:gridCol w:w="1734"/>
        <w:gridCol w:w="1735"/>
        <w:gridCol w:w="1735"/>
        <w:gridCol w:w="1735"/>
      </w:tblGrid>
      <w:tr w:rsidR="007B375C" w:rsidRPr="00EF5C2F" w14:paraId="17474D2B" w14:textId="77777777" w:rsidTr="00444693">
        <w:trPr>
          <w:cantSplit/>
          <w:tblHeader/>
        </w:trPr>
        <w:tc>
          <w:tcPr>
            <w:tcW w:w="1396" w:type="pct"/>
            <w:tcBorders>
              <w:bottom w:val="single" w:sz="4" w:space="0" w:color="auto"/>
            </w:tcBorders>
            <w:shd w:val="clear" w:color="auto" w:fill="5C2946"/>
          </w:tcPr>
          <w:p w14:paraId="792489FA" w14:textId="77777777" w:rsidR="007B375C" w:rsidRPr="00EF5C2F" w:rsidRDefault="007B375C" w:rsidP="00AD5500">
            <w:pPr>
              <w:pStyle w:val="TableHead"/>
            </w:pPr>
            <w:r>
              <w:t>Crop/situation</w:t>
            </w:r>
          </w:p>
        </w:tc>
        <w:tc>
          <w:tcPr>
            <w:tcW w:w="900" w:type="pct"/>
            <w:tcBorders>
              <w:bottom w:val="single" w:sz="4" w:space="0" w:color="auto"/>
            </w:tcBorders>
            <w:shd w:val="clear" w:color="auto" w:fill="5C2946"/>
          </w:tcPr>
          <w:p w14:paraId="09CE3A87" w14:textId="77777777" w:rsidR="007B375C" w:rsidRDefault="007B375C" w:rsidP="00AD5500">
            <w:pPr>
              <w:pStyle w:val="TableHead"/>
            </w:pPr>
            <w:r>
              <w:t>Product rate range</w:t>
            </w:r>
          </w:p>
          <w:p w14:paraId="47A80683" w14:textId="77777777" w:rsidR="007B375C" w:rsidRPr="00EF5C2F" w:rsidRDefault="007B375C" w:rsidP="00AD5500">
            <w:pPr>
              <w:pStyle w:val="TableHead"/>
            </w:pPr>
            <w:r>
              <w:t>(L/ha)</w:t>
            </w:r>
          </w:p>
        </w:tc>
        <w:tc>
          <w:tcPr>
            <w:tcW w:w="901" w:type="pct"/>
            <w:tcBorders>
              <w:bottom w:val="single" w:sz="4" w:space="0" w:color="auto"/>
            </w:tcBorders>
            <w:shd w:val="clear" w:color="auto" w:fill="5C2946"/>
          </w:tcPr>
          <w:p w14:paraId="140EB5A5" w14:textId="77777777" w:rsidR="007B375C" w:rsidRDefault="007B375C" w:rsidP="00AD5500">
            <w:pPr>
              <w:pStyle w:val="TableHead"/>
            </w:pPr>
            <w:r>
              <w:t>Diquat rate range</w:t>
            </w:r>
          </w:p>
          <w:p w14:paraId="135B3D8E" w14:textId="77777777" w:rsidR="007B375C" w:rsidRPr="00EF5C2F" w:rsidRDefault="007B375C" w:rsidP="00AD5500">
            <w:pPr>
              <w:pStyle w:val="TableHead"/>
            </w:pPr>
            <w:r>
              <w:t>(g ac/ha)</w:t>
            </w:r>
          </w:p>
        </w:tc>
        <w:tc>
          <w:tcPr>
            <w:tcW w:w="901" w:type="pct"/>
            <w:tcBorders>
              <w:bottom w:val="single" w:sz="4" w:space="0" w:color="auto"/>
            </w:tcBorders>
            <w:shd w:val="clear" w:color="auto" w:fill="5C2946"/>
          </w:tcPr>
          <w:p w14:paraId="2E55366C" w14:textId="77777777" w:rsidR="007B375C" w:rsidRDefault="007B375C" w:rsidP="00AD5500">
            <w:pPr>
              <w:pStyle w:val="TableHead"/>
            </w:pPr>
            <w:r>
              <w:t>Paraquat rate range</w:t>
            </w:r>
          </w:p>
          <w:p w14:paraId="16158BCD" w14:textId="77777777" w:rsidR="007B375C" w:rsidRPr="00EF5C2F" w:rsidRDefault="007B375C" w:rsidP="00AD5500">
            <w:pPr>
              <w:pStyle w:val="TableHead"/>
            </w:pPr>
            <w:r>
              <w:t>(g ac/ha)</w:t>
            </w:r>
          </w:p>
        </w:tc>
        <w:tc>
          <w:tcPr>
            <w:tcW w:w="901" w:type="pct"/>
            <w:tcBorders>
              <w:bottom w:val="single" w:sz="4" w:space="0" w:color="auto"/>
            </w:tcBorders>
            <w:shd w:val="clear" w:color="auto" w:fill="5C2946"/>
          </w:tcPr>
          <w:p w14:paraId="53A104A6" w14:textId="77777777" w:rsidR="007B375C" w:rsidRDefault="007B375C" w:rsidP="00AD5500">
            <w:pPr>
              <w:pStyle w:val="TableHead"/>
            </w:pPr>
            <w:r>
              <w:t>Total actives rate range</w:t>
            </w:r>
          </w:p>
          <w:p w14:paraId="633C3197" w14:textId="77777777" w:rsidR="007B375C" w:rsidRPr="00EF5C2F" w:rsidRDefault="007B375C" w:rsidP="00AD5500">
            <w:pPr>
              <w:pStyle w:val="TableHead"/>
            </w:pPr>
            <w:r>
              <w:t>(g acs/ha)</w:t>
            </w:r>
          </w:p>
        </w:tc>
      </w:tr>
      <w:tr w:rsidR="007B375C" w:rsidRPr="00DE51F5" w14:paraId="0C6E73E8" w14:textId="77777777" w:rsidTr="00444693">
        <w:trPr>
          <w:cantSplit/>
        </w:trPr>
        <w:tc>
          <w:tcPr>
            <w:tcW w:w="1396" w:type="pct"/>
            <w:tcBorders>
              <w:top w:val="single" w:sz="4" w:space="0" w:color="auto"/>
              <w:left w:val="nil"/>
              <w:bottom w:val="single" w:sz="4" w:space="0" w:color="auto"/>
              <w:right w:val="nil"/>
            </w:tcBorders>
          </w:tcPr>
          <w:p w14:paraId="25681FE6" w14:textId="77777777" w:rsidR="007B375C" w:rsidRPr="00EF5C2F" w:rsidRDefault="007B375C" w:rsidP="00834E0F">
            <w:pPr>
              <w:pStyle w:val="TableText"/>
              <w:spacing w:before="0" w:after="0" w:line="240" w:lineRule="auto"/>
            </w:pPr>
            <w:r w:rsidRPr="00542AB7">
              <w:t>As an aid to cultivation in fallow (full disturbance)</w:t>
            </w:r>
          </w:p>
        </w:tc>
        <w:tc>
          <w:tcPr>
            <w:tcW w:w="900" w:type="pct"/>
            <w:tcBorders>
              <w:top w:val="single" w:sz="4" w:space="0" w:color="auto"/>
              <w:left w:val="nil"/>
              <w:bottom w:val="single" w:sz="4" w:space="0" w:color="auto"/>
              <w:right w:val="nil"/>
            </w:tcBorders>
          </w:tcPr>
          <w:p w14:paraId="269C73A7" w14:textId="77777777" w:rsidR="007B375C" w:rsidRPr="00DE51F5" w:rsidRDefault="007B375C" w:rsidP="00834E0F">
            <w:pPr>
              <w:pStyle w:val="TableText"/>
              <w:spacing w:before="0" w:after="0" w:line="240" w:lineRule="auto"/>
            </w:pPr>
            <w:r>
              <w:t>0.6 to 3.2</w:t>
            </w:r>
          </w:p>
        </w:tc>
        <w:tc>
          <w:tcPr>
            <w:tcW w:w="901" w:type="pct"/>
            <w:tcBorders>
              <w:top w:val="single" w:sz="4" w:space="0" w:color="auto"/>
              <w:left w:val="nil"/>
              <w:bottom w:val="single" w:sz="4" w:space="0" w:color="auto"/>
              <w:right w:val="nil"/>
            </w:tcBorders>
          </w:tcPr>
          <w:p w14:paraId="5B0D90E1" w14:textId="77777777" w:rsidR="007B375C" w:rsidRPr="00DE51F5" w:rsidRDefault="007B375C" w:rsidP="00834E0F">
            <w:pPr>
              <w:pStyle w:val="TableText"/>
              <w:spacing w:before="0" w:after="0" w:line="240" w:lineRule="auto"/>
            </w:pPr>
            <w:r>
              <w:t>69 to 368</w:t>
            </w:r>
          </w:p>
        </w:tc>
        <w:tc>
          <w:tcPr>
            <w:tcW w:w="901" w:type="pct"/>
            <w:tcBorders>
              <w:top w:val="single" w:sz="4" w:space="0" w:color="auto"/>
              <w:left w:val="nil"/>
              <w:bottom w:val="single" w:sz="4" w:space="0" w:color="auto"/>
              <w:right w:val="nil"/>
            </w:tcBorders>
          </w:tcPr>
          <w:p w14:paraId="327BDEF5" w14:textId="77777777" w:rsidR="007B375C" w:rsidRPr="00DE51F5" w:rsidRDefault="007B375C" w:rsidP="00834E0F">
            <w:pPr>
              <w:pStyle w:val="TableText"/>
              <w:spacing w:before="0" w:after="0" w:line="240" w:lineRule="auto"/>
            </w:pPr>
            <w:r>
              <w:t>81 to 432</w:t>
            </w:r>
          </w:p>
        </w:tc>
        <w:tc>
          <w:tcPr>
            <w:tcW w:w="901" w:type="pct"/>
            <w:tcBorders>
              <w:top w:val="single" w:sz="4" w:space="0" w:color="auto"/>
              <w:left w:val="nil"/>
              <w:bottom w:val="single" w:sz="4" w:space="0" w:color="auto"/>
              <w:right w:val="nil"/>
            </w:tcBorders>
          </w:tcPr>
          <w:p w14:paraId="552520F7" w14:textId="77777777" w:rsidR="007B375C" w:rsidRPr="00DE51F5" w:rsidRDefault="007B375C" w:rsidP="00834E0F">
            <w:pPr>
              <w:pStyle w:val="TableText"/>
              <w:spacing w:before="0" w:after="0" w:line="240" w:lineRule="auto"/>
            </w:pPr>
            <w:r>
              <w:t>150 to 800</w:t>
            </w:r>
          </w:p>
        </w:tc>
      </w:tr>
      <w:tr w:rsidR="007B375C" w:rsidRPr="00DE51F5" w14:paraId="38091794" w14:textId="77777777" w:rsidTr="00444693">
        <w:trPr>
          <w:cantSplit/>
        </w:trPr>
        <w:tc>
          <w:tcPr>
            <w:tcW w:w="1396" w:type="pct"/>
            <w:tcBorders>
              <w:top w:val="single" w:sz="4" w:space="0" w:color="auto"/>
              <w:left w:val="nil"/>
              <w:bottom w:val="single" w:sz="4" w:space="0" w:color="auto"/>
              <w:right w:val="nil"/>
            </w:tcBorders>
          </w:tcPr>
          <w:p w14:paraId="04614C66" w14:textId="77777777" w:rsidR="007B375C" w:rsidRDefault="007B375C" w:rsidP="00834E0F">
            <w:pPr>
              <w:pStyle w:val="TableText"/>
              <w:spacing w:before="0" w:after="0" w:line="240" w:lineRule="auto"/>
            </w:pPr>
            <w:r w:rsidRPr="00542AB7">
              <w:lastRenderedPageBreak/>
              <w:t>As an aid to cultivation in fallow (minimum disturbance)</w:t>
            </w:r>
          </w:p>
        </w:tc>
        <w:tc>
          <w:tcPr>
            <w:tcW w:w="900" w:type="pct"/>
            <w:tcBorders>
              <w:top w:val="single" w:sz="4" w:space="0" w:color="auto"/>
              <w:left w:val="nil"/>
              <w:bottom w:val="single" w:sz="4" w:space="0" w:color="auto"/>
              <w:right w:val="nil"/>
            </w:tcBorders>
          </w:tcPr>
          <w:p w14:paraId="23BC929D" w14:textId="77777777" w:rsidR="007B375C" w:rsidRPr="00DE51F5" w:rsidRDefault="007B375C" w:rsidP="00834E0F">
            <w:pPr>
              <w:pStyle w:val="TableText"/>
              <w:spacing w:before="0" w:after="0" w:line="240" w:lineRule="auto"/>
            </w:pPr>
            <w:r>
              <w:t>0.6 to 3.2</w:t>
            </w:r>
          </w:p>
        </w:tc>
        <w:tc>
          <w:tcPr>
            <w:tcW w:w="901" w:type="pct"/>
            <w:tcBorders>
              <w:top w:val="single" w:sz="4" w:space="0" w:color="auto"/>
              <w:left w:val="nil"/>
              <w:bottom w:val="single" w:sz="4" w:space="0" w:color="auto"/>
              <w:right w:val="nil"/>
            </w:tcBorders>
          </w:tcPr>
          <w:p w14:paraId="1451554C" w14:textId="77777777" w:rsidR="007B375C" w:rsidRPr="00DE51F5" w:rsidRDefault="007B375C" w:rsidP="00834E0F">
            <w:pPr>
              <w:pStyle w:val="TableText"/>
              <w:spacing w:before="0" w:after="0" w:line="240" w:lineRule="auto"/>
            </w:pPr>
            <w:r>
              <w:t>69 to 368</w:t>
            </w:r>
          </w:p>
        </w:tc>
        <w:tc>
          <w:tcPr>
            <w:tcW w:w="901" w:type="pct"/>
            <w:tcBorders>
              <w:top w:val="single" w:sz="4" w:space="0" w:color="auto"/>
              <w:left w:val="nil"/>
              <w:bottom w:val="single" w:sz="4" w:space="0" w:color="auto"/>
              <w:right w:val="nil"/>
            </w:tcBorders>
          </w:tcPr>
          <w:p w14:paraId="0F420A4C" w14:textId="77777777" w:rsidR="007B375C" w:rsidRPr="00DE51F5" w:rsidRDefault="007B375C" w:rsidP="00834E0F">
            <w:pPr>
              <w:pStyle w:val="TableText"/>
              <w:spacing w:before="0" w:after="0" w:line="240" w:lineRule="auto"/>
            </w:pPr>
            <w:r>
              <w:t>81 to 432</w:t>
            </w:r>
          </w:p>
        </w:tc>
        <w:tc>
          <w:tcPr>
            <w:tcW w:w="901" w:type="pct"/>
            <w:tcBorders>
              <w:top w:val="single" w:sz="4" w:space="0" w:color="auto"/>
              <w:left w:val="nil"/>
              <w:bottom w:val="single" w:sz="4" w:space="0" w:color="auto"/>
              <w:right w:val="nil"/>
            </w:tcBorders>
          </w:tcPr>
          <w:p w14:paraId="7391B63C" w14:textId="77777777" w:rsidR="007B375C" w:rsidRPr="00DE51F5" w:rsidRDefault="007B375C" w:rsidP="00834E0F">
            <w:pPr>
              <w:pStyle w:val="TableText"/>
              <w:spacing w:before="0" w:after="0" w:line="240" w:lineRule="auto"/>
            </w:pPr>
            <w:r>
              <w:t>150 to 800</w:t>
            </w:r>
          </w:p>
        </w:tc>
      </w:tr>
      <w:tr w:rsidR="007B375C" w:rsidRPr="00DE51F5" w14:paraId="39AE7B23" w14:textId="77777777" w:rsidTr="00444693">
        <w:trPr>
          <w:cantSplit/>
        </w:trPr>
        <w:tc>
          <w:tcPr>
            <w:tcW w:w="1396" w:type="pct"/>
            <w:tcBorders>
              <w:top w:val="single" w:sz="4" w:space="0" w:color="auto"/>
              <w:left w:val="nil"/>
              <w:bottom w:val="single" w:sz="4" w:space="0" w:color="auto"/>
              <w:right w:val="nil"/>
            </w:tcBorders>
          </w:tcPr>
          <w:p w14:paraId="4FDA654D" w14:textId="77777777" w:rsidR="007B375C" w:rsidRDefault="007B375C" w:rsidP="00834E0F">
            <w:pPr>
              <w:pStyle w:val="TableText"/>
              <w:spacing w:before="0" w:after="0" w:line="240" w:lineRule="auto"/>
            </w:pPr>
            <w:r w:rsidRPr="00542AB7">
              <w:t>As an aid in post-harvest weed control in fallow (minimum disturbance)</w:t>
            </w:r>
          </w:p>
        </w:tc>
        <w:tc>
          <w:tcPr>
            <w:tcW w:w="900" w:type="pct"/>
            <w:tcBorders>
              <w:top w:val="single" w:sz="4" w:space="0" w:color="auto"/>
              <w:left w:val="nil"/>
              <w:bottom w:val="single" w:sz="4" w:space="0" w:color="auto"/>
              <w:right w:val="nil"/>
            </w:tcBorders>
          </w:tcPr>
          <w:p w14:paraId="086D2154" w14:textId="77777777" w:rsidR="007B375C" w:rsidRPr="00DE51F5" w:rsidRDefault="007B375C" w:rsidP="00834E0F">
            <w:pPr>
              <w:pStyle w:val="TableText"/>
              <w:spacing w:before="0" w:after="0" w:line="240" w:lineRule="auto"/>
            </w:pPr>
            <w:r>
              <w:t>1.6 to 2.4</w:t>
            </w:r>
          </w:p>
        </w:tc>
        <w:tc>
          <w:tcPr>
            <w:tcW w:w="901" w:type="pct"/>
            <w:tcBorders>
              <w:top w:val="single" w:sz="4" w:space="0" w:color="auto"/>
              <w:left w:val="nil"/>
              <w:bottom w:val="single" w:sz="4" w:space="0" w:color="auto"/>
              <w:right w:val="nil"/>
            </w:tcBorders>
          </w:tcPr>
          <w:p w14:paraId="5DA44BA3" w14:textId="77777777" w:rsidR="007B375C" w:rsidRPr="00DE51F5" w:rsidRDefault="007B375C" w:rsidP="00834E0F">
            <w:pPr>
              <w:pStyle w:val="TableText"/>
              <w:spacing w:before="0" w:after="0" w:line="240" w:lineRule="auto"/>
            </w:pPr>
            <w:r>
              <w:t>184 to 276</w:t>
            </w:r>
          </w:p>
        </w:tc>
        <w:tc>
          <w:tcPr>
            <w:tcW w:w="901" w:type="pct"/>
            <w:tcBorders>
              <w:top w:val="single" w:sz="4" w:space="0" w:color="auto"/>
              <w:left w:val="nil"/>
              <w:bottom w:val="single" w:sz="4" w:space="0" w:color="auto"/>
              <w:right w:val="nil"/>
            </w:tcBorders>
          </w:tcPr>
          <w:p w14:paraId="02F687EE" w14:textId="77777777" w:rsidR="007B375C" w:rsidRPr="00DE51F5" w:rsidRDefault="007B375C" w:rsidP="00834E0F">
            <w:pPr>
              <w:pStyle w:val="TableText"/>
              <w:spacing w:before="0" w:after="0" w:line="240" w:lineRule="auto"/>
            </w:pPr>
            <w:r>
              <w:t>216 to 324</w:t>
            </w:r>
          </w:p>
        </w:tc>
        <w:tc>
          <w:tcPr>
            <w:tcW w:w="901" w:type="pct"/>
            <w:tcBorders>
              <w:top w:val="single" w:sz="4" w:space="0" w:color="auto"/>
              <w:left w:val="nil"/>
              <w:bottom w:val="single" w:sz="4" w:space="0" w:color="auto"/>
              <w:right w:val="nil"/>
            </w:tcBorders>
          </w:tcPr>
          <w:p w14:paraId="46C97586" w14:textId="77777777" w:rsidR="007B375C" w:rsidRPr="00DE51F5" w:rsidRDefault="007B375C" w:rsidP="00834E0F">
            <w:pPr>
              <w:pStyle w:val="TableText"/>
              <w:spacing w:before="0" w:after="0" w:line="240" w:lineRule="auto"/>
            </w:pPr>
            <w:r>
              <w:t>400 to 600</w:t>
            </w:r>
          </w:p>
        </w:tc>
      </w:tr>
      <w:tr w:rsidR="007B375C" w:rsidRPr="00DE51F5" w14:paraId="3E564A8C" w14:textId="77777777" w:rsidTr="00444693">
        <w:trPr>
          <w:cantSplit/>
        </w:trPr>
        <w:tc>
          <w:tcPr>
            <w:tcW w:w="1396" w:type="pct"/>
            <w:tcBorders>
              <w:top w:val="single" w:sz="4" w:space="0" w:color="auto"/>
              <w:left w:val="nil"/>
              <w:bottom w:val="single" w:sz="4" w:space="0" w:color="auto"/>
              <w:right w:val="nil"/>
            </w:tcBorders>
          </w:tcPr>
          <w:p w14:paraId="75B6B5F1" w14:textId="77777777" w:rsidR="007B375C" w:rsidRDefault="007B375C" w:rsidP="00834E0F">
            <w:pPr>
              <w:pStyle w:val="TableText"/>
              <w:spacing w:before="0" w:after="0" w:line="240" w:lineRule="auto"/>
            </w:pPr>
            <w:r w:rsidRPr="00542AB7">
              <w:t>As an aid in establishing sugarcane or controlling weeds in a fallow prior to sugarcane</w:t>
            </w:r>
          </w:p>
        </w:tc>
        <w:tc>
          <w:tcPr>
            <w:tcW w:w="900" w:type="pct"/>
            <w:tcBorders>
              <w:top w:val="single" w:sz="4" w:space="0" w:color="auto"/>
              <w:left w:val="nil"/>
              <w:bottom w:val="single" w:sz="4" w:space="0" w:color="auto"/>
              <w:right w:val="nil"/>
            </w:tcBorders>
          </w:tcPr>
          <w:p w14:paraId="7D6EE2A5" w14:textId="77777777" w:rsidR="007B375C" w:rsidRPr="00DE51F5" w:rsidRDefault="007B375C" w:rsidP="00834E0F">
            <w:pPr>
              <w:pStyle w:val="TableText"/>
              <w:spacing w:before="0" w:after="0" w:line="240" w:lineRule="auto"/>
            </w:pPr>
            <w:r>
              <w:t>1.2 to 3.2</w:t>
            </w:r>
          </w:p>
        </w:tc>
        <w:tc>
          <w:tcPr>
            <w:tcW w:w="901" w:type="pct"/>
            <w:tcBorders>
              <w:top w:val="single" w:sz="4" w:space="0" w:color="auto"/>
              <w:left w:val="nil"/>
              <w:bottom w:val="single" w:sz="4" w:space="0" w:color="auto"/>
              <w:right w:val="nil"/>
            </w:tcBorders>
          </w:tcPr>
          <w:p w14:paraId="21F9DD23" w14:textId="77777777" w:rsidR="007B375C" w:rsidRPr="00DE51F5" w:rsidRDefault="007B375C" w:rsidP="00834E0F">
            <w:pPr>
              <w:pStyle w:val="TableText"/>
              <w:spacing w:before="0" w:after="0" w:line="240" w:lineRule="auto"/>
            </w:pPr>
            <w:r>
              <w:t>138 to 368</w:t>
            </w:r>
          </w:p>
        </w:tc>
        <w:tc>
          <w:tcPr>
            <w:tcW w:w="901" w:type="pct"/>
            <w:tcBorders>
              <w:top w:val="single" w:sz="4" w:space="0" w:color="auto"/>
              <w:left w:val="nil"/>
              <w:bottom w:val="single" w:sz="4" w:space="0" w:color="auto"/>
              <w:right w:val="nil"/>
            </w:tcBorders>
          </w:tcPr>
          <w:p w14:paraId="09A551AC" w14:textId="77777777" w:rsidR="007B375C" w:rsidRPr="00DE51F5" w:rsidRDefault="007B375C" w:rsidP="00834E0F">
            <w:pPr>
              <w:pStyle w:val="TableText"/>
              <w:spacing w:before="0" w:after="0" w:line="240" w:lineRule="auto"/>
            </w:pPr>
            <w:r>
              <w:t>162 to 432</w:t>
            </w:r>
          </w:p>
        </w:tc>
        <w:tc>
          <w:tcPr>
            <w:tcW w:w="901" w:type="pct"/>
            <w:tcBorders>
              <w:top w:val="single" w:sz="4" w:space="0" w:color="auto"/>
              <w:left w:val="nil"/>
              <w:bottom w:val="single" w:sz="4" w:space="0" w:color="auto"/>
              <w:right w:val="nil"/>
            </w:tcBorders>
          </w:tcPr>
          <w:p w14:paraId="263AF1AD" w14:textId="77777777" w:rsidR="007B375C" w:rsidRPr="00DE51F5" w:rsidRDefault="007B375C" w:rsidP="00834E0F">
            <w:pPr>
              <w:pStyle w:val="TableText"/>
              <w:spacing w:before="0" w:after="0" w:line="240" w:lineRule="auto"/>
            </w:pPr>
            <w:r>
              <w:t>300 to 800</w:t>
            </w:r>
          </w:p>
        </w:tc>
      </w:tr>
      <w:tr w:rsidR="007B375C" w:rsidRPr="00CD311A" w14:paraId="78CCA196" w14:textId="77777777" w:rsidTr="00444693">
        <w:trPr>
          <w:cantSplit/>
        </w:trPr>
        <w:tc>
          <w:tcPr>
            <w:tcW w:w="1396" w:type="pct"/>
            <w:tcBorders>
              <w:top w:val="single" w:sz="4" w:space="0" w:color="auto"/>
              <w:left w:val="nil"/>
              <w:bottom w:val="single" w:sz="4" w:space="0" w:color="auto"/>
              <w:right w:val="nil"/>
            </w:tcBorders>
          </w:tcPr>
          <w:p w14:paraId="0F76A864" w14:textId="77777777" w:rsidR="007B375C" w:rsidRPr="00CD311A" w:rsidRDefault="007B375C" w:rsidP="00834E0F">
            <w:pPr>
              <w:pStyle w:val="TableText"/>
              <w:spacing w:before="0" w:after="0" w:line="240" w:lineRule="auto"/>
            </w:pPr>
            <w:r w:rsidRPr="00542AB7">
              <w:t>Sugarcane plant and ratoon</w:t>
            </w:r>
          </w:p>
        </w:tc>
        <w:tc>
          <w:tcPr>
            <w:tcW w:w="900" w:type="pct"/>
            <w:tcBorders>
              <w:top w:val="single" w:sz="4" w:space="0" w:color="auto"/>
              <w:left w:val="nil"/>
              <w:bottom w:val="single" w:sz="4" w:space="0" w:color="auto"/>
              <w:right w:val="nil"/>
            </w:tcBorders>
          </w:tcPr>
          <w:p w14:paraId="5626BB66" w14:textId="77777777" w:rsidR="007B375C" w:rsidRPr="00CD311A" w:rsidRDefault="007B375C" w:rsidP="00834E0F">
            <w:pPr>
              <w:pStyle w:val="TableText"/>
              <w:spacing w:before="0" w:after="0" w:line="240" w:lineRule="auto"/>
            </w:pPr>
            <w:r>
              <w:t>1.2 to 2.0</w:t>
            </w:r>
          </w:p>
        </w:tc>
        <w:tc>
          <w:tcPr>
            <w:tcW w:w="901" w:type="pct"/>
            <w:tcBorders>
              <w:top w:val="single" w:sz="4" w:space="0" w:color="auto"/>
              <w:left w:val="nil"/>
              <w:bottom w:val="single" w:sz="4" w:space="0" w:color="auto"/>
              <w:right w:val="nil"/>
            </w:tcBorders>
          </w:tcPr>
          <w:p w14:paraId="26F0254D" w14:textId="77777777" w:rsidR="007B375C" w:rsidRPr="00CD311A" w:rsidRDefault="007B375C" w:rsidP="00834E0F">
            <w:pPr>
              <w:pStyle w:val="TableText"/>
              <w:spacing w:before="0" w:after="0" w:line="240" w:lineRule="auto"/>
            </w:pPr>
            <w:r>
              <w:t>138 to 230</w:t>
            </w:r>
          </w:p>
        </w:tc>
        <w:tc>
          <w:tcPr>
            <w:tcW w:w="901" w:type="pct"/>
            <w:tcBorders>
              <w:top w:val="single" w:sz="4" w:space="0" w:color="auto"/>
              <w:left w:val="nil"/>
              <w:bottom w:val="single" w:sz="4" w:space="0" w:color="auto"/>
              <w:right w:val="nil"/>
            </w:tcBorders>
          </w:tcPr>
          <w:p w14:paraId="65D3CE5E" w14:textId="77777777" w:rsidR="007B375C" w:rsidRPr="00CD311A" w:rsidRDefault="007B375C" w:rsidP="00834E0F">
            <w:pPr>
              <w:pStyle w:val="TableText"/>
              <w:spacing w:before="0" w:after="0" w:line="240" w:lineRule="auto"/>
            </w:pPr>
            <w:r>
              <w:t>162 to 270</w:t>
            </w:r>
          </w:p>
        </w:tc>
        <w:tc>
          <w:tcPr>
            <w:tcW w:w="901" w:type="pct"/>
            <w:tcBorders>
              <w:top w:val="single" w:sz="4" w:space="0" w:color="auto"/>
              <w:left w:val="nil"/>
              <w:bottom w:val="single" w:sz="4" w:space="0" w:color="auto"/>
              <w:right w:val="nil"/>
            </w:tcBorders>
          </w:tcPr>
          <w:p w14:paraId="09A0CC5C" w14:textId="77777777" w:rsidR="007B375C" w:rsidRPr="00CD311A" w:rsidRDefault="007B375C" w:rsidP="00834E0F">
            <w:pPr>
              <w:pStyle w:val="TableText"/>
              <w:spacing w:before="0" w:after="0" w:line="240" w:lineRule="auto"/>
            </w:pPr>
            <w:r>
              <w:t>300 to 500</w:t>
            </w:r>
          </w:p>
        </w:tc>
      </w:tr>
      <w:tr w:rsidR="007B375C" w14:paraId="3E2F975D" w14:textId="77777777" w:rsidTr="00444693">
        <w:trPr>
          <w:cantSplit/>
        </w:trPr>
        <w:tc>
          <w:tcPr>
            <w:tcW w:w="1396" w:type="pct"/>
            <w:tcBorders>
              <w:top w:val="single" w:sz="4" w:space="0" w:color="auto"/>
              <w:left w:val="nil"/>
              <w:bottom w:val="single" w:sz="4" w:space="0" w:color="auto"/>
              <w:right w:val="nil"/>
            </w:tcBorders>
          </w:tcPr>
          <w:p w14:paraId="5D5FF239" w14:textId="77777777" w:rsidR="007B375C" w:rsidRPr="00CD311A" w:rsidRDefault="007B375C" w:rsidP="00834E0F">
            <w:pPr>
              <w:pStyle w:val="TableText"/>
              <w:spacing w:before="0" w:after="0" w:line="240" w:lineRule="auto"/>
            </w:pPr>
            <w:r w:rsidRPr="00542AB7">
              <w:t>Desiccant to aid harvest in cotton</w:t>
            </w:r>
          </w:p>
        </w:tc>
        <w:tc>
          <w:tcPr>
            <w:tcW w:w="900" w:type="pct"/>
            <w:tcBorders>
              <w:top w:val="single" w:sz="4" w:space="0" w:color="auto"/>
              <w:left w:val="nil"/>
              <w:bottom w:val="single" w:sz="4" w:space="0" w:color="auto"/>
              <w:right w:val="nil"/>
            </w:tcBorders>
          </w:tcPr>
          <w:p w14:paraId="44DC62ED" w14:textId="77777777" w:rsidR="007B375C" w:rsidRDefault="007B375C" w:rsidP="00834E0F">
            <w:pPr>
              <w:pStyle w:val="TableText"/>
              <w:spacing w:before="0" w:after="0" w:line="240" w:lineRule="auto"/>
            </w:pPr>
            <w:r>
              <w:t>1.2 to 1.6</w:t>
            </w:r>
          </w:p>
        </w:tc>
        <w:tc>
          <w:tcPr>
            <w:tcW w:w="901" w:type="pct"/>
            <w:tcBorders>
              <w:top w:val="single" w:sz="4" w:space="0" w:color="auto"/>
              <w:left w:val="nil"/>
              <w:bottom w:val="single" w:sz="4" w:space="0" w:color="auto"/>
              <w:right w:val="nil"/>
            </w:tcBorders>
          </w:tcPr>
          <w:p w14:paraId="55CBFF5B" w14:textId="77777777" w:rsidR="007B375C" w:rsidRDefault="007B375C" w:rsidP="00834E0F">
            <w:pPr>
              <w:pStyle w:val="TableText"/>
              <w:spacing w:before="0" w:after="0" w:line="240" w:lineRule="auto"/>
            </w:pPr>
            <w:r>
              <w:t>138 to 184</w:t>
            </w:r>
          </w:p>
        </w:tc>
        <w:tc>
          <w:tcPr>
            <w:tcW w:w="901" w:type="pct"/>
            <w:tcBorders>
              <w:top w:val="single" w:sz="4" w:space="0" w:color="auto"/>
              <w:left w:val="nil"/>
              <w:bottom w:val="single" w:sz="4" w:space="0" w:color="auto"/>
              <w:right w:val="nil"/>
            </w:tcBorders>
          </w:tcPr>
          <w:p w14:paraId="0E10170F" w14:textId="77777777" w:rsidR="007B375C" w:rsidRDefault="007B375C" w:rsidP="00834E0F">
            <w:pPr>
              <w:pStyle w:val="TableText"/>
              <w:spacing w:before="0" w:after="0" w:line="240" w:lineRule="auto"/>
            </w:pPr>
            <w:r>
              <w:t>162 to 216</w:t>
            </w:r>
          </w:p>
        </w:tc>
        <w:tc>
          <w:tcPr>
            <w:tcW w:w="901" w:type="pct"/>
            <w:tcBorders>
              <w:top w:val="single" w:sz="4" w:space="0" w:color="auto"/>
              <w:left w:val="nil"/>
              <w:bottom w:val="single" w:sz="4" w:space="0" w:color="auto"/>
              <w:right w:val="nil"/>
            </w:tcBorders>
          </w:tcPr>
          <w:p w14:paraId="1A515B7D" w14:textId="77777777" w:rsidR="007B375C" w:rsidRDefault="007B375C" w:rsidP="00834E0F">
            <w:pPr>
              <w:pStyle w:val="TableText"/>
              <w:spacing w:before="0" w:after="0" w:line="240" w:lineRule="auto"/>
            </w:pPr>
            <w:r>
              <w:t>300 to 400</w:t>
            </w:r>
          </w:p>
        </w:tc>
      </w:tr>
      <w:tr w:rsidR="007B375C" w:rsidRPr="00CD311A" w14:paraId="173FD7CD" w14:textId="77777777" w:rsidTr="00444693">
        <w:trPr>
          <w:cantSplit/>
        </w:trPr>
        <w:tc>
          <w:tcPr>
            <w:tcW w:w="1396" w:type="pct"/>
            <w:tcBorders>
              <w:top w:val="single" w:sz="4" w:space="0" w:color="auto"/>
              <w:left w:val="nil"/>
              <w:bottom w:val="single" w:sz="4" w:space="0" w:color="auto"/>
              <w:right w:val="nil"/>
            </w:tcBorders>
          </w:tcPr>
          <w:p w14:paraId="42CE932B" w14:textId="77777777" w:rsidR="007B375C" w:rsidRPr="00CD311A" w:rsidRDefault="007B375C" w:rsidP="00834E0F">
            <w:pPr>
              <w:pStyle w:val="TableText"/>
              <w:spacing w:before="0" w:after="0" w:line="240" w:lineRule="auto"/>
            </w:pPr>
            <w:r w:rsidRPr="00542AB7">
              <w:t>Lucerne (established at least 1 year old)</w:t>
            </w:r>
          </w:p>
        </w:tc>
        <w:tc>
          <w:tcPr>
            <w:tcW w:w="900" w:type="pct"/>
            <w:tcBorders>
              <w:top w:val="single" w:sz="4" w:space="0" w:color="auto"/>
              <w:left w:val="nil"/>
              <w:bottom w:val="single" w:sz="4" w:space="0" w:color="auto"/>
              <w:right w:val="nil"/>
            </w:tcBorders>
          </w:tcPr>
          <w:p w14:paraId="09F09DEF" w14:textId="77777777" w:rsidR="007B375C" w:rsidRPr="00CD311A" w:rsidRDefault="007B375C" w:rsidP="00834E0F">
            <w:pPr>
              <w:pStyle w:val="TableText"/>
              <w:spacing w:before="0" w:after="0" w:line="240" w:lineRule="auto"/>
            </w:pPr>
            <w:r>
              <w:t>1.6 to 2.4</w:t>
            </w:r>
          </w:p>
        </w:tc>
        <w:tc>
          <w:tcPr>
            <w:tcW w:w="901" w:type="pct"/>
            <w:tcBorders>
              <w:top w:val="single" w:sz="4" w:space="0" w:color="auto"/>
              <w:left w:val="nil"/>
              <w:bottom w:val="single" w:sz="4" w:space="0" w:color="auto"/>
              <w:right w:val="nil"/>
            </w:tcBorders>
          </w:tcPr>
          <w:p w14:paraId="6EE78DF9" w14:textId="77777777" w:rsidR="007B375C" w:rsidRPr="00CD311A" w:rsidRDefault="007B375C" w:rsidP="00834E0F">
            <w:pPr>
              <w:pStyle w:val="TableText"/>
              <w:spacing w:before="0" w:after="0" w:line="240" w:lineRule="auto"/>
            </w:pPr>
            <w:r>
              <w:t>184 to 276</w:t>
            </w:r>
          </w:p>
        </w:tc>
        <w:tc>
          <w:tcPr>
            <w:tcW w:w="901" w:type="pct"/>
            <w:tcBorders>
              <w:top w:val="single" w:sz="4" w:space="0" w:color="auto"/>
              <w:left w:val="nil"/>
              <w:bottom w:val="single" w:sz="4" w:space="0" w:color="auto"/>
              <w:right w:val="nil"/>
            </w:tcBorders>
          </w:tcPr>
          <w:p w14:paraId="443E737B" w14:textId="77777777" w:rsidR="007B375C" w:rsidRPr="00CD311A" w:rsidRDefault="007B375C" w:rsidP="00834E0F">
            <w:pPr>
              <w:pStyle w:val="TableText"/>
              <w:spacing w:before="0" w:after="0" w:line="240" w:lineRule="auto"/>
            </w:pPr>
            <w:r>
              <w:t>216 to 324</w:t>
            </w:r>
          </w:p>
        </w:tc>
        <w:tc>
          <w:tcPr>
            <w:tcW w:w="901" w:type="pct"/>
            <w:tcBorders>
              <w:top w:val="single" w:sz="4" w:space="0" w:color="auto"/>
              <w:left w:val="nil"/>
              <w:bottom w:val="single" w:sz="4" w:space="0" w:color="auto"/>
              <w:right w:val="nil"/>
            </w:tcBorders>
          </w:tcPr>
          <w:p w14:paraId="2AE1106C" w14:textId="77777777" w:rsidR="007B375C" w:rsidRPr="00CD311A" w:rsidRDefault="007B375C" w:rsidP="00834E0F">
            <w:pPr>
              <w:pStyle w:val="TableText"/>
              <w:spacing w:before="0" w:after="0" w:line="240" w:lineRule="auto"/>
            </w:pPr>
            <w:r>
              <w:t>400 to 600</w:t>
            </w:r>
          </w:p>
        </w:tc>
      </w:tr>
      <w:tr w:rsidR="007B375C" w:rsidRPr="00CD311A" w14:paraId="0FECE87B" w14:textId="77777777" w:rsidTr="00444693">
        <w:trPr>
          <w:cantSplit/>
        </w:trPr>
        <w:tc>
          <w:tcPr>
            <w:tcW w:w="1396" w:type="pct"/>
            <w:tcBorders>
              <w:top w:val="single" w:sz="4" w:space="0" w:color="auto"/>
              <w:left w:val="nil"/>
              <w:bottom w:val="nil"/>
              <w:right w:val="nil"/>
            </w:tcBorders>
          </w:tcPr>
          <w:p w14:paraId="0746A1C7" w14:textId="77777777" w:rsidR="007B375C" w:rsidRPr="00CD311A" w:rsidRDefault="007B375C" w:rsidP="00834E0F">
            <w:pPr>
              <w:pStyle w:val="TableText"/>
              <w:spacing w:before="0" w:after="0" w:line="240" w:lineRule="auto"/>
            </w:pPr>
            <w:r w:rsidRPr="00542AB7">
              <w:t>Public Service Areas, Rights-of-Way</w:t>
            </w:r>
          </w:p>
        </w:tc>
        <w:tc>
          <w:tcPr>
            <w:tcW w:w="900" w:type="pct"/>
            <w:tcBorders>
              <w:top w:val="single" w:sz="4" w:space="0" w:color="auto"/>
              <w:left w:val="nil"/>
              <w:bottom w:val="nil"/>
              <w:right w:val="nil"/>
            </w:tcBorders>
          </w:tcPr>
          <w:p w14:paraId="3BB8FBA7" w14:textId="77777777" w:rsidR="007B375C" w:rsidRPr="00CD311A"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429AFD86" w14:textId="77777777" w:rsidR="007B375C" w:rsidRPr="00CD311A"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4EFCDEF0" w14:textId="77777777" w:rsidR="007B375C" w:rsidRPr="00CD311A"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56016E2F" w14:textId="77777777" w:rsidR="007B375C" w:rsidRPr="00CD311A" w:rsidRDefault="007B375C" w:rsidP="00834E0F">
            <w:pPr>
              <w:pStyle w:val="TableText"/>
              <w:spacing w:before="0" w:after="0" w:line="240" w:lineRule="auto"/>
            </w:pPr>
            <w:r>
              <w:t>600 to 800</w:t>
            </w:r>
          </w:p>
        </w:tc>
      </w:tr>
      <w:tr w:rsidR="007B375C" w:rsidRPr="00CD311A" w14:paraId="6510650D" w14:textId="77777777" w:rsidTr="00444693">
        <w:trPr>
          <w:cantSplit/>
        </w:trPr>
        <w:tc>
          <w:tcPr>
            <w:tcW w:w="1396" w:type="pct"/>
            <w:tcBorders>
              <w:top w:val="nil"/>
              <w:left w:val="nil"/>
              <w:bottom w:val="single" w:sz="4" w:space="0" w:color="auto"/>
              <w:right w:val="nil"/>
            </w:tcBorders>
          </w:tcPr>
          <w:p w14:paraId="0E9F5D46" w14:textId="77777777" w:rsidR="007B375C" w:rsidRPr="00542AB7"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12CA0ED0" w14:textId="77777777" w:rsidR="007B375C" w:rsidRPr="00CD311A"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6CA706DE" w14:textId="77777777" w:rsidR="007B375C" w:rsidRPr="00CD311A"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5EBF7386" w14:textId="77777777" w:rsidR="007B375C" w:rsidRPr="00CD311A"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71BFC5B3" w14:textId="77777777" w:rsidR="007B375C" w:rsidRPr="00CD311A" w:rsidRDefault="007B375C" w:rsidP="00834E0F">
            <w:pPr>
              <w:pStyle w:val="TableText"/>
              <w:spacing w:before="0" w:after="0" w:line="240" w:lineRule="auto"/>
            </w:pPr>
            <w:r>
              <w:t>600 to 800</w:t>
            </w:r>
          </w:p>
        </w:tc>
      </w:tr>
      <w:tr w:rsidR="007B375C" w:rsidRPr="00CD311A" w14:paraId="3B7DD348" w14:textId="77777777" w:rsidTr="00444693">
        <w:trPr>
          <w:cantSplit/>
        </w:trPr>
        <w:tc>
          <w:tcPr>
            <w:tcW w:w="1396" w:type="pct"/>
            <w:tcBorders>
              <w:top w:val="single" w:sz="4" w:space="0" w:color="auto"/>
              <w:left w:val="nil"/>
              <w:bottom w:val="nil"/>
              <w:right w:val="nil"/>
            </w:tcBorders>
          </w:tcPr>
          <w:p w14:paraId="41019BD5" w14:textId="77777777" w:rsidR="007B375C" w:rsidRPr="00CD311A" w:rsidRDefault="007B375C" w:rsidP="00834E0F">
            <w:pPr>
              <w:pStyle w:val="TableText"/>
              <w:spacing w:before="0" w:after="0" w:line="240" w:lineRule="auto"/>
            </w:pPr>
            <w:r w:rsidRPr="00542AB7">
              <w:t>Market Gardens and Nurseries</w:t>
            </w:r>
          </w:p>
        </w:tc>
        <w:tc>
          <w:tcPr>
            <w:tcW w:w="900" w:type="pct"/>
            <w:tcBorders>
              <w:top w:val="single" w:sz="4" w:space="0" w:color="auto"/>
              <w:left w:val="nil"/>
              <w:bottom w:val="nil"/>
              <w:right w:val="nil"/>
            </w:tcBorders>
          </w:tcPr>
          <w:p w14:paraId="75C41ABC" w14:textId="77777777" w:rsidR="007B375C" w:rsidRPr="00CD311A"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7F428EC3" w14:textId="77777777" w:rsidR="007B375C" w:rsidRPr="00CD311A"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376BC168" w14:textId="77777777" w:rsidR="007B375C" w:rsidRPr="00CD311A"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3BE78248" w14:textId="77777777" w:rsidR="007B375C" w:rsidRPr="00CD311A" w:rsidRDefault="007B375C" w:rsidP="00834E0F">
            <w:pPr>
              <w:pStyle w:val="TableText"/>
              <w:spacing w:before="0" w:after="0" w:line="240" w:lineRule="auto"/>
            </w:pPr>
            <w:r>
              <w:t>600 to 800</w:t>
            </w:r>
          </w:p>
        </w:tc>
      </w:tr>
      <w:tr w:rsidR="007B375C" w:rsidRPr="00CD311A" w14:paraId="76A6F9F3" w14:textId="77777777" w:rsidTr="00444693">
        <w:trPr>
          <w:cantSplit/>
        </w:trPr>
        <w:tc>
          <w:tcPr>
            <w:tcW w:w="1396" w:type="pct"/>
            <w:tcBorders>
              <w:top w:val="nil"/>
              <w:left w:val="nil"/>
              <w:bottom w:val="single" w:sz="4" w:space="0" w:color="auto"/>
              <w:right w:val="nil"/>
            </w:tcBorders>
          </w:tcPr>
          <w:p w14:paraId="651F43CD" w14:textId="77777777" w:rsidR="007B375C" w:rsidRPr="00542AB7"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7B78F6B8" w14:textId="77777777" w:rsidR="007B375C" w:rsidRPr="00CD311A"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6A9DFC95" w14:textId="77777777" w:rsidR="007B375C" w:rsidRPr="00CD311A"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49EFD731" w14:textId="77777777" w:rsidR="007B375C" w:rsidRPr="00CD311A"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111F3E55" w14:textId="77777777" w:rsidR="007B375C" w:rsidRPr="00CD311A" w:rsidRDefault="007B375C" w:rsidP="00834E0F">
            <w:pPr>
              <w:pStyle w:val="TableText"/>
              <w:spacing w:before="0" w:after="0" w:line="240" w:lineRule="auto"/>
            </w:pPr>
            <w:r>
              <w:t>600 to 800</w:t>
            </w:r>
          </w:p>
        </w:tc>
      </w:tr>
      <w:tr w:rsidR="007B375C" w:rsidRPr="000A0283" w14:paraId="10040D7D" w14:textId="77777777" w:rsidTr="00444693">
        <w:trPr>
          <w:cantSplit/>
        </w:trPr>
        <w:tc>
          <w:tcPr>
            <w:tcW w:w="1396" w:type="pct"/>
            <w:tcBorders>
              <w:top w:val="single" w:sz="4" w:space="0" w:color="auto"/>
              <w:left w:val="nil"/>
              <w:bottom w:val="nil"/>
              <w:right w:val="nil"/>
            </w:tcBorders>
          </w:tcPr>
          <w:p w14:paraId="7ECFCC85" w14:textId="77777777" w:rsidR="007B375C" w:rsidRDefault="007B375C" w:rsidP="00834E0F">
            <w:pPr>
              <w:pStyle w:val="TableText"/>
              <w:spacing w:before="0" w:after="0" w:line="240" w:lineRule="auto"/>
            </w:pPr>
            <w:r w:rsidRPr="00542AB7">
              <w:t>Orchards (including Bananas), Vineyards and Forests–ring weeding around trees with brown bark and strip spraying in Orchards and Vineyards</w:t>
            </w:r>
          </w:p>
        </w:tc>
        <w:tc>
          <w:tcPr>
            <w:tcW w:w="900" w:type="pct"/>
            <w:tcBorders>
              <w:top w:val="single" w:sz="4" w:space="0" w:color="auto"/>
              <w:left w:val="nil"/>
              <w:bottom w:val="nil"/>
              <w:right w:val="nil"/>
            </w:tcBorders>
          </w:tcPr>
          <w:p w14:paraId="04E6043B" w14:textId="77777777" w:rsidR="007B375C" w:rsidRPr="00FF66B6" w:rsidRDefault="007B375C" w:rsidP="00834E0F">
            <w:pPr>
              <w:pStyle w:val="TableText"/>
              <w:spacing w:before="0" w:after="0" w:line="240" w:lineRule="auto"/>
              <w:rPr>
                <w:highlight w:val="magenta"/>
              </w:rPr>
            </w:pPr>
            <w:r>
              <w:t>2.4 to 3.2</w:t>
            </w:r>
          </w:p>
        </w:tc>
        <w:tc>
          <w:tcPr>
            <w:tcW w:w="901" w:type="pct"/>
            <w:tcBorders>
              <w:top w:val="single" w:sz="4" w:space="0" w:color="auto"/>
              <w:left w:val="nil"/>
              <w:bottom w:val="nil"/>
              <w:right w:val="nil"/>
            </w:tcBorders>
          </w:tcPr>
          <w:p w14:paraId="073CECEE" w14:textId="77777777" w:rsidR="007B375C" w:rsidRPr="000A0283"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475A215B" w14:textId="77777777" w:rsidR="007B375C" w:rsidRPr="000A0283"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67BE710E" w14:textId="77777777" w:rsidR="007B375C" w:rsidRPr="000A0283" w:rsidRDefault="007B375C" w:rsidP="00834E0F">
            <w:pPr>
              <w:pStyle w:val="TableText"/>
              <w:spacing w:before="0" w:after="0" w:line="240" w:lineRule="auto"/>
            </w:pPr>
            <w:r>
              <w:t>600 to 800</w:t>
            </w:r>
          </w:p>
        </w:tc>
      </w:tr>
      <w:tr w:rsidR="007B375C" w:rsidRPr="000A0283" w14:paraId="53F47259" w14:textId="77777777" w:rsidTr="00444693">
        <w:trPr>
          <w:cantSplit/>
        </w:trPr>
        <w:tc>
          <w:tcPr>
            <w:tcW w:w="1396" w:type="pct"/>
            <w:tcBorders>
              <w:top w:val="nil"/>
              <w:left w:val="nil"/>
              <w:bottom w:val="single" w:sz="4" w:space="0" w:color="auto"/>
              <w:right w:val="nil"/>
            </w:tcBorders>
          </w:tcPr>
          <w:p w14:paraId="0686415E" w14:textId="77777777" w:rsidR="007B375C" w:rsidRPr="00542AB7"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6786552A" w14:textId="77777777" w:rsidR="007B375C" w:rsidRPr="00FF66B6" w:rsidRDefault="007B375C" w:rsidP="00834E0F">
            <w:pPr>
              <w:pStyle w:val="TableText"/>
              <w:spacing w:before="0" w:after="0" w:line="240" w:lineRule="auto"/>
              <w:rPr>
                <w:highlight w:val="magenta"/>
              </w:rPr>
            </w:pPr>
            <w:r>
              <w:t>2.4 to 3.2</w:t>
            </w:r>
          </w:p>
        </w:tc>
        <w:tc>
          <w:tcPr>
            <w:tcW w:w="901" w:type="pct"/>
            <w:tcBorders>
              <w:top w:val="nil"/>
              <w:left w:val="nil"/>
              <w:bottom w:val="single" w:sz="4" w:space="0" w:color="auto"/>
              <w:right w:val="nil"/>
            </w:tcBorders>
          </w:tcPr>
          <w:p w14:paraId="277E17EE" w14:textId="77777777" w:rsidR="007B375C" w:rsidRPr="000A0283"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2B68DFFA" w14:textId="77777777" w:rsidR="007B375C" w:rsidRPr="000A0283"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71653D7A" w14:textId="77777777" w:rsidR="007B375C" w:rsidRPr="000A0283" w:rsidRDefault="007B375C" w:rsidP="00834E0F">
            <w:pPr>
              <w:pStyle w:val="TableText"/>
              <w:spacing w:before="0" w:after="0" w:line="240" w:lineRule="auto"/>
            </w:pPr>
            <w:r>
              <w:t>600 to 800</w:t>
            </w:r>
          </w:p>
        </w:tc>
      </w:tr>
      <w:tr w:rsidR="007B375C" w:rsidRPr="000A0283" w14:paraId="183DC5D9" w14:textId="77777777" w:rsidTr="00444693">
        <w:trPr>
          <w:cantSplit/>
        </w:trPr>
        <w:tc>
          <w:tcPr>
            <w:tcW w:w="1396" w:type="pct"/>
            <w:tcBorders>
              <w:top w:val="single" w:sz="4" w:space="0" w:color="auto"/>
              <w:left w:val="nil"/>
              <w:bottom w:val="nil"/>
              <w:right w:val="nil"/>
            </w:tcBorders>
          </w:tcPr>
          <w:p w14:paraId="63D39214" w14:textId="77777777" w:rsidR="007B375C" w:rsidRDefault="007B375C" w:rsidP="00834E0F">
            <w:pPr>
              <w:pStyle w:val="TableText"/>
              <w:spacing w:before="0" w:after="0" w:line="240" w:lineRule="auto"/>
            </w:pPr>
            <w:r>
              <w:t>Hazelnut plantations</w:t>
            </w:r>
          </w:p>
        </w:tc>
        <w:tc>
          <w:tcPr>
            <w:tcW w:w="900" w:type="pct"/>
            <w:tcBorders>
              <w:top w:val="single" w:sz="4" w:space="0" w:color="auto"/>
              <w:left w:val="nil"/>
              <w:bottom w:val="nil"/>
              <w:right w:val="nil"/>
            </w:tcBorders>
          </w:tcPr>
          <w:p w14:paraId="4697E9A0" w14:textId="77777777" w:rsidR="007B375C" w:rsidRPr="000A0283"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4CEA693B" w14:textId="77777777" w:rsidR="007B375C" w:rsidRPr="000A0283"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57D3C88F" w14:textId="77777777" w:rsidR="007B375C" w:rsidRPr="000A0283"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72C204C4" w14:textId="77777777" w:rsidR="007B375C" w:rsidRPr="000A0283" w:rsidRDefault="007B375C" w:rsidP="00834E0F">
            <w:pPr>
              <w:pStyle w:val="TableText"/>
              <w:spacing w:before="0" w:after="0" w:line="240" w:lineRule="auto"/>
            </w:pPr>
            <w:r>
              <w:t>600 to 800</w:t>
            </w:r>
          </w:p>
        </w:tc>
      </w:tr>
      <w:tr w:rsidR="007B375C" w:rsidRPr="000A0283" w14:paraId="05C9D744" w14:textId="77777777" w:rsidTr="00444693">
        <w:trPr>
          <w:cantSplit/>
        </w:trPr>
        <w:tc>
          <w:tcPr>
            <w:tcW w:w="1396" w:type="pct"/>
            <w:tcBorders>
              <w:top w:val="nil"/>
              <w:left w:val="nil"/>
              <w:bottom w:val="single" w:sz="4" w:space="0" w:color="auto"/>
              <w:right w:val="nil"/>
            </w:tcBorders>
          </w:tcPr>
          <w:p w14:paraId="14DBC604" w14:textId="77777777" w:rsidR="007B375C"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4E483310" w14:textId="77777777" w:rsidR="007B375C" w:rsidRPr="000A0283"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42DBBBB6" w14:textId="77777777" w:rsidR="007B375C" w:rsidRPr="000A0283"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02BD193A" w14:textId="77777777" w:rsidR="007B375C" w:rsidRPr="000A0283"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2B7D6CF6" w14:textId="77777777" w:rsidR="007B375C" w:rsidRPr="000A0283" w:rsidRDefault="007B375C" w:rsidP="00834E0F">
            <w:pPr>
              <w:pStyle w:val="TableText"/>
              <w:spacing w:before="0" w:after="0" w:line="240" w:lineRule="auto"/>
            </w:pPr>
            <w:r>
              <w:t>600 to 800</w:t>
            </w:r>
          </w:p>
        </w:tc>
      </w:tr>
      <w:tr w:rsidR="007B375C" w:rsidRPr="000A0283" w14:paraId="66161B16" w14:textId="77777777" w:rsidTr="00444693">
        <w:trPr>
          <w:cantSplit/>
        </w:trPr>
        <w:tc>
          <w:tcPr>
            <w:tcW w:w="1396" w:type="pct"/>
            <w:tcBorders>
              <w:top w:val="single" w:sz="4" w:space="0" w:color="auto"/>
              <w:left w:val="nil"/>
              <w:bottom w:val="nil"/>
              <w:right w:val="nil"/>
            </w:tcBorders>
          </w:tcPr>
          <w:p w14:paraId="2B53F12B" w14:textId="77777777" w:rsidR="007B375C" w:rsidRDefault="007B375C" w:rsidP="00834E0F">
            <w:pPr>
              <w:pStyle w:val="TableText"/>
              <w:spacing w:before="0" w:after="0" w:line="240" w:lineRule="auto"/>
            </w:pPr>
            <w:r>
              <w:t>Pistachio nuts</w:t>
            </w:r>
          </w:p>
        </w:tc>
        <w:tc>
          <w:tcPr>
            <w:tcW w:w="900" w:type="pct"/>
            <w:tcBorders>
              <w:top w:val="single" w:sz="4" w:space="0" w:color="auto"/>
              <w:left w:val="nil"/>
              <w:bottom w:val="nil"/>
              <w:right w:val="nil"/>
            </w:tcBorders>
          </w:tcPr>
          <w:p w14:paraId="4E57D191" w14:textId="77777777" w:rsidR="007B375C" w:rsidRPr="000A0283"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1A0F8471" w14:textId="77777777" w:rsidR="007B375C" w:rsidRPr="000A0283"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60589194" w14:textId="77777777" w:rsidR="007B375C" w:rsidRPr="000A0283"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40D5D340" w14:textId="77777777" w:rsidR="007B375C" w:rsidRPr="000A0283" w:rsidRDefault="007B375C" w:rsidP="00834E0F">
            <w:pPr>
              <w:pStyle w:val="TableText"/>
              <w:spacing w:before="0" w:after="0" w:line="240" w:lineRule="auto"/>
            </w:pPr>
            <w:r>
              <w:t>600 to 800</w:t>
            </w:r>
          </w:p>
        </w:tc>
      </w:tr>
      <w:tr w:rsidR="007B375C" w:rsidRPr="000A0283" w14:paraId="1C51D2C4" w14:textId="77777777" w:rsidTr="00444693">
        <w:trPr>
          <w:cantSplit/>
        </w:trPr>
        <w:tc>
          <w:tcPr>
            <w:tcW w:w="1396" w:type="pct"/>
            <w:tcBorders>
              <w:top w:val="nil"/>
              <w:left w:val="nil"/>
              <w:bottom w:val="single" w:sz="4" w:space="0" w:color="auto"/>
              <w:right w:val="nil"/>
            </w:tcBorders>
          </w:tcPr>
          <w:p w14:paraId="7919F6DA" w14:textId="77777777" w:rsidR="007B375C"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741FFD8E" w14:textId="77777777" w:rsidR="007B375C" w:rsidRPr="000A0283"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0A4F343D" w14:textId="77777777" w:rsidR="007B375C" w:rsidRPr="000A0283"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1B93C12F" w14:textId="77777777" w:rsidR="007B375C" w:rsidRPr="000A0283"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0E66E452" w14:textId="77777777" w:rsidR="007B375C" w:rsidRPr="000A0283" w:rsidRDefault="007B375C" w:rsidP="00834E0F">
            <w:pPr>
              <w:pStyle w:val="TableText"/>
              <w:spacing w:before="0" w:after="0" w:line="240" w:lineRule="auto"/>
            </w:pPr>
            <w:r>
              <w:t>600 to 800</w:t>
            </w:r>
          </w:p>
        </w:tc>
      </w:tr>
      <w:tr w:rsidR="007B375C" w:rsidRPr="000A0283" w14:paraId="6FCABAF9" w14:textId="77777777" w:rsidTr="00444693">
        <w:trPr>
          <w:cantSplit/>
        </w:trPr>
        <w:tc>
          <w:tcPr>
            <w:tcW w:w="1396" w:type="pct"/>
            <w:tcBorders>
              <w:top w:val="single" w:sz="4" w:space="0" w:color="auto"/>
              <w:left w:val="nil"/>
              <w:bottom w:val="nil"/>
              <w:right w:val="nil"/>
            </w:tcBorders>
          </w:tcPr>
          <w:p w14:paraId="0A0F6CCB" w14:textId="77777777" w:rsidR="007B375C" w:rsidRDefault="007B375C" w:rsidP="00834E0F">
            <w:pPr>
              <w:pStyle w:val="TableText"/>
              <w:spacing w:before="0" w:after="0" w:line="240" w:lineRule="auto"/>
            </w:pPr>
            <w:r>
              <w:t>Walnuts</w:t>
            </w:r>
          </w:p>
        </w:tc>
        <w:tc>
          <w:tcPr>
            <w:tcW w:w="900" w:type="pct"/>
            <w:tcBorders>
              <w:top w:val="single" w:sz="4" w:space="0" w:color="auto"/>
              <w:left w:val="nil"/>
              <w:bottom w:val="nil"/>
              <w:right w:val="nil"/>
            </w:tcBorders>
          </w:tcPr>
          <w:p w14:paraId="0CCD5515" w14:textId="77777777" w:rsidR="007B375C" w:rsidRPr="000A0283"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3C45B5FC" w14:textId="77777777" w:rsidR="007B375C"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59635698" w14:textId="77777777" w:rsidR="007B375C" w:rsidRPr="000A0283"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52FDDB16" w14:textId="77777777" w:rsidR="007B375C" w:rsidRPr="000A0283" w:rsidRDefault="007B375C" w:rsidP="00834E0F">
            <w:pPr>
              <w:pStyle w:val="TableText"/>
              <w:spacing w:before="0" w:after="0" w:line="240" w:lineRule="auto"/>
            </w:pPr>
            <w:r>
              <w:t>600 to 800</w:t>
            </w:r>
          </w:p>
        </w:tc>
      </w:tr>
      <w:tr w:rsidR="007B375C" w:rsidRPr="000A0283" w14:paraId="64DD2D95" w14:textId="77777777" w:rsidTr="00444693">
        <w:trPr>
          <w:cantSplit/>
        </w:trPr>
        <w:tc>
          <w:tcPr>
            <w:tcW w:w="1396" w:type="pct"/>
            <w:tcBorders>
              <w:top w:val="nil"/>
              <w:left w:val="nil"/>
              <w:bottom w:val="single" w:sz="4" w:space="0" w:color="auto"/>
              <w:right w:val="nil"/>
            </w:tcBorders>
          </w:tcPr>
          <w:p w14:paraId="4F73D672" w14:textId="77777777" w:rsidR="007B375C"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29F6B426" w14:textId="77777777" w:rsidR="007B375C" w:rsidRPr="000A0283"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7869DC62" w14:textId="77777777" w:rsidR="007B375C"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10389FDA" w14:textId="77777777" w:rsidR="007B375C" w:rsidRPr="000A0283"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67593899" w14:textId="77777777" w:rsidR="007B375C" w:rsidRPr="000A0283" w:rsidRDefault="007B375C" w:rsidP="00834E0F">
            <w:pPr>
              <w:pStyle w:val="TableText"/>
              <w:spacing w:before="0" w:after="0" w:line="240" w:lineRule="auto"/>
            </w:pPr>
            <w:r>
              <w:t>600 to 800</w:t>
            </w:r>
          </w:p>
        </w:tc>
      </w:tr>
      <w:tr w:rsidR="007B375C" w:rsidRPr="00CD311A" w14:paraId="7060B6FB" w14:textId="77777777" w:rsidTr="00444693">
        <w:trPr>
          <w:cantSplit/>
        </w:trPr>
        <w:tc>
          <w:tcPr>
            <w:tcW w:w="1396" w:type="pct"/>
            <w:tcBorders>
              <w:top w:val="single" w:sz="4" w:space="0" w:color="auto"/>
              <w:left w:val="nil"/>
              <w:bottom w:val="nil"/>
              <w:right w:val="nil"/>
            </w:tcBorders>
          </w:tcPr>
          <w:p w14:paraId="142A8B77" w14:textId="77777777" w:rsidR="007B375C" w:rsidRDefault="007B375C" w:rsidP="00834E0F">
            <w:pPr>
              <w:pStyle w:val="TableText"/>
              <w:spacing w:before="0" w:after="0" w:line="240" w:lineRule="auto"/>
            </w:pPr>
            <w:r>
              <w:t>Pre-crop emergence weed control</w:t>
            </w:r>
          </w:p>
        </w:tc>
        <w:tc>
          <w:tcPr>
            <w:tcW w:w="900" w:type="pct"/>
            <w:tcBorders>
              <w:top w:val="single" w:sz="4" w:space="0" w:color="auto"/>
              <w:left w:val="nil"/>
              <w:bottom w:val="nil"/>
              <w:right w:val="nil"/>
            </w:tcBorders>
          </w:tcPr>
          <w:p w14:paraId="3F352202" w14:textId="77777777" w:rsidR="007B375C" w:rsidRPr="00CD311A"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74666F08" w14:textId="77777777" w:rsidR="007B375C" w:rsidRPr="00CD311A"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18BE6A9D" w14:textId="77777777" w:rsidR="007B375C" w:rsidRPr="00CD311A"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5C0CC14E" w14:textId="77777777" w:rsidR="007B375C" w:rsidRPr="00CD311A" w:rsidRDefault="007B375C" w:rsidP="00834E0F">
            <w:pPr>
              <w:pStyle w:val="TableText"/>
              <w:spacing w:before="0" w:after="0" w:line="240" w:lineRule="auto"/>
            </w:pPr>
            <w:r>
              <w:t>600 to 800</w:t>
            </w:r>
          </w:p>
        </w:tc>
      </w:tr>
      <w:tr w:rsidR="007B375C" w:rsidRPr="00CD311A" w14:paraId="5C342399" w14:textId="77777777" w:rsidTr="00444693">
        <w:trPr>
          <w:cantSplit/>
        </w:trPr>
        <w:tc>
          <w:tcPr>
            <w:tcW w:w="1396" w:type="pct"/>
            <w:tcBorders>
              <w:top w:val="nil"/>
              <w:left w:val="nil"/>
              <w:bottom w:val="single" w:sz="4" w:space="0" w:color="auto"/>
              <w:right w:val="nil"/>
            </w:tcBorders>
          </w:tcPr>
          <w:p w14:paraId="4958BFBB" w14:textId="77777777" w:rsidR="007B375C"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6CC04F35" w14:textId="77777777" w:rsidR="007B375C" w:rsidRPr="00CD311A"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28ABA223" w14:textId="77777777" w:rsidR="007B375C" w:rsidRPr="00CD311A"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5B77D22F" w14:textId="77777777" w:rsidR="007B375C" w:rsidRPr="00CD311A"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1EC73B21" w14:textId="77777777" w:rsidR="007B375C" w:rsidRPr="00CD311A" w:rsidRDefault="007B375C" w:rsidP="00834E0F">
            <w:pPr>
              <w:pStyle w:val="TableText"/>
              <w:spacing w:before="0" w:after="0" w:line="240" w:lineRule="auto"/>
            </w:pPr>
            <w:r>
              <w:t>600 to 800</w:t>
            </w:r>
          </w:p>
        </w:tc>
      </w:tr>
      <w:tr w:rsidR="007B375C" w:rsidRPr="00CD311A" w14:paraId="11BC5712" w14:textId="77777777" w:rsidTr="00444693">
        <w:trPr>
          <w:cantSplit/>
        </w:trPr>
        <w:tc>
          <w:tcPr>
            <w:tcW w:w="1396" w:type="pct"/>
            <w:tcBorders>
              <w:top w:val="single" w:sz="4" w:space="0" w:color="auto"/>
              <w:left w:val="nil"/>
              <w:bottom w:val="nil"/>
              <w:right w:val="nil"/>
            </w:tcBorders>
          </w:tcPr>
          <w:p w14:paraId="574690C7" w14:textId="77777777" w:rsidR="007B375C" w:rsidRPr="0041709B" w:rsidRDefault="007B375C" w:rsidP="00834E0F">
            <w:pPr>
              <w:pStyle w:val="TableText"/>
              <w:spacing w:before="0" w:after="0" w:line="240" w:lineRule="auto"/>
            </w:pPr>
            <w:r w:rsidRPr="0041709B">
              <w:t>Long-term weed control</w:t>
            </w:r>
            <w:r w:rsidRPr="0041709B">
              <w:rPr>
                <w:rStyle w:val="FootnoteReference"/>
                <w:szCs w:val="17"/>
              </w:rPr>
              <w:footnoteReference w:id="26"/>
            </w:r>
            <w:r w:rsidRPr="0041709B">
              <w:t xml:space="preserve"> </w:t>
            </w:r>
          </w:p>
        </w:tc>
        <w:tc>
          <w:tcPr>
            <w:tcW w:w="900" w:type="pct"/>
            <w:tcBorders>
              <w:top w:val="single" w:sz="4" w:space="0" w:color="auto"/>
              <w:left w:val="nil"/>
              <w:bottom w:val="nil"/>
              <w:right w:val="nil"/>
            </w:tcBorders>
          </w:tcPr>
          <w:p w14:paraId="492D0739" w14:textId="77777777" w:rsidR="007B375C" w:rsidRPr="00CD311A"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5F7AE2E2" w14:textId="77777777" w:rsidR="007B375C" w:rsidRPr="00CD311A"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085ED564" w14:textId="77777777" w:rsidR="007B375C" w:rsidRPr="00CD311A"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392D1646" w14:textId="77777777" w:rsidR="007B375C" w:rsidRPr="00CD311A" w:rsidRDefault="007B375C" w:rsidP="00834E0F">
            <w:pPr>
              <w:pStyle w:val="TableText"/>
              <w:spacing w:before="0" w:after="0" w:line="240" w:lineRule="auto"/>
            </w:pPr>
            <w:r>
              <w:t>600 to 800</w:t>
            </w:r>
          </w:p>
        </w:tc>
      </w:tr>
      <w:tr w:rsidR="007B375C" w:rsidRPr="00CD311A" w14:paraId="5E82EDDE" w14:textId="77777777" w:rsidTr="00444693">
        <w:trPr>
          <w:cantSplit/>
        </w:trPr>
        <w:tc>
          <w:tcPr>
            <w:tcW w:w="1396" w:type="pct"/>
            <w:tcBorders>
              <w:top w:val="nil"/>
              <w:left w:val="nil"/>
              <w:bottom w:val="single" w:sz="4" w:space="0" w:color="auto"/>
              <w:right w:val="nil"/>
            </w:tcBorders>
          </w:tcPr>
          <w:p w14:paraId="016506A3" w14:textId="77777777" w:rsidR="007B375C" w:rsidRPr="0041709B" w:rsidRDefault="007B375C" w:rsidP="00834E0F">
            <w:pPr>
              <w:pStyle w:val="TableText"/>
              <w:spacing w:before="0" w:after="0" w:line="240" w:lineRule="auto"/>
            </w:pPr>
            <w:r w:rsidRPr="0041709B">
              <w:t>(spot spray)</w:t>
            </w:r>
          </w:p>
        </w:tc>
        <w:tc>
          <w:tcPr>
            <w:tcW w:w="900" w:type="pct"/>
            <w:tcBorders>
              <w:top w:val="nil"/>
              <w:left w:val="nil"/>
              <w:bottom w:val="single" w:sz="4" w:space="0" w:color="auto"/>
              <w:right w:val="nil"/>
            </w:tcBorders>
          </w:tcPr>
          <w:p w14:paraId="1BBC5E6E" w14:textId="77777777" w:rsidR="007B375C" w:rsidRPr="00CD311A"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247F52D1" w14:textId="77777777" w:rsidR="007B375C" w:rsidRPr="00CD311A"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4398EB63" w14:textId="77777777" w:rsidR="007B375C" w:rsidRPr="00CD311A"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5C8B13C9" w14:textId="77777777" w:rsidR="007B375C" w:rsidRPr="00CD311A" w:rsidRDefault="007B375C" w:rsidP="00834E0F">
            <w:pPr>
              <w:pStyle w:val="TableText"/>
              <w:spacing w:before="0" w:after="0" w:line="240" w:lineRule="auto"/>
            </w:pPr>
            <w:r>
              <w:t>600 to 800</w:t>
            </w:r>
          </w:p>
        </w:tc>
      </w:tr>
      <w:tr w:rsidR="007B375C" w:rsidRPr="00CD311A" w14:paraId="41F2019D" w14:textId="77777777" w:rsidTr="00444693">
        <w:trPr>
          <w:cantSplit/>
        </w:trPr>
        <w:tc>
          <w:tcPr>
            <w:tcW w:w="1396" w:type="pct"/>
            <w:tcBorders>
              <w:top w:val="single" w:sz="4" w:space="0" w:color="auto"/>
              <w:left w:val="nil"/>
              <w:bottom w:val="nil"/>
              <w:right w:val="nil"/>
            </w:tcBorders>
          </w:tcPr>
          <w:p w14:paraId="5FEC5468" w14:textId="77777777" w:rsidR="007B375C" w:rsidRDefault="007B375C" w:rsidP="00834E0F">
            <w:pPr>
              <w:pStyle w:val="TableText"/>
              <w:spacing w:before="0" w:after="0" w:line="240" w:lineRule="auto"/>
            </w:pPr>
            <w:r>
              <w:t>Potatoes weed control</w:t>
            </w:r>
          </w:p>
        </w:tc>
        <w:tc>
          <w:tcPr>
            <w:tcW w:w="900" w:type="pct"/>
            <w:tcBorders>
              <w:top w:val="single" w:sz="4" w:space="0" w:color="auto"/>
              <w:left w:val="nil"/>
              <w:bottom w:val="nil"/>
              <w:right w:val="nil"/>
            </w:tcBorders>
          </w:tcPr>
          <w:p w14:paraId="086F162A" w14:textId="77777777" w:rsidR="007B375C" w:rsidRPr="00CD311A" w:rsidRDefault="007B375C" w:rsidP="00834E0F">
            <w:pPr>
              <w:pStyle w:val="TableText"/>
              <w:spacing w:before="0" w:after="0" w:line="240" w:lineRule="auto"/>
            </w:pPr>
            <w:r>
              <w:t>2.4 to 3.2</w:t>
            </w:r>
          </w:p>
        </w:tc>
        <w:tc>
          <w:tcPr>
            <w:tcW w:w="901" w:type="pct"/>
            <w:tcBorders>
              <w:top w:val="single" w:sz="4" w:space="0" w:color="auto"/>
              <w:left w:val="nil"/>
              <w:bottom w:val="nil"/>
              <w:right w:val="nil"/>
            </w:tcBorders>
          </w:tcPr>
          <w:p w14:paraId="28B210D1" w14:textId="77777777" w:rsidR="007B375C" w:rsidRPr="00CD311A" w:rsidRDefault="007B375C" w:rsidP="00834E0F">
            <w:pPr>
              <w:pStyle w:val="TableText"/>
              <w:spacing w:before="0" w:after="0" w:line="240" w:lineRule="auto"/>
            </w:pPr>
            <w:r>
              <w:t>276 to 368</w:t>
            </w:r>
          </w:p>
        </w:tc>
        <w:tc>
          <w:tcPr>
            <w:tcW w:w="901" w:type="pct"/>
            <w:tcBorders>
              <w:top w:val="single" w:sz="4" w:space="0" w:color="auto"/>
              <w:left w:val="nil"/>
              <w:bottom w:val="nil"/>
              <w:right w:val="nil"/>
            </w:tcBorders>
          </w:tcPr>
          <w:p w14:paraId="523BE74F" w14:textId="77777777" w:rsidR="007B375C" w:rsidRPr="00CD311A" w:rsidRDefault="007B375C" w:rsidP="00834E0F">
            <w:pPr>
              <w:pStyle w:val="TableText"/>
              <w:spacing w:before="0" w:after="0" w:line="240" w:lineRule="auto"/>
            </w:pPr>
            <w:r>
              <w:t>324 to 432</w:t>
            </w:r>
          </w:p>
        </w:tc>
        <w:tc>
          <w:tcPr>
            <w:tcW w:w="901" w:type="pct"/>
            <w:tcBorders>
              <w:top w:val="single" w:sz="4" w:space="0" w:color="auto"/>
              <w:left w:val="nil"/>
              <w:bottom w:val="nil"/>
              <w:right w:val="nil"/>
            </w:tcBorders>
          </w:tcPr>
          <w:p w14:paraId="5F25A32E" w14:textId="77777777" w:rsidR="007B375C" w:rsidRPr="00CD311A" w:rsidRDefault="007B375C" w:rsidP="00834E0F">
            <w:pPr>
              <w:pStyle w:val="TableText"/>
              <w:spacing w:before="0" w:after="0" w:line="240" w:lineRule="auto"/>
            </w:pPr>
            <w:r>
              <w:t>600 to 800</w:t>
            </w:r>
          </w:p>
        </w:tc>
      </w:tr>
      <w:tr w:rsidR="007B375C" w:rsidRPr="00CD311A" w14:paraId="10DD0C4B" w14:textId="77777777" w:rsidTr="00444693">
        <w:trPr>
          <w:cantSplit/>
        </w:trPr>
        <w:tc>
          <w:tcPr>
            <w:tcW w:w="1396" w:type="pct"/>
            <w:tcBorders>
              <w:top w:val="nil"/>
              <w:left w:val="nil"/>
              <w:bottom w:val="single" w:sz="4" w:space="0" w:color="auto"/>
              <w:right w:val="nil"/>
            </w:tcBorders>
          </w:tcPr>
          <w:p w14:paraId="7C34BF12" w14:textId="77777777" w:rsidR="007B375C"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0E9309FB" w14:textId="77777777" w:rsidR="007B375C" w:rsidRPr="00CD311A" w:rsidRDefault="007B375C" w:rsidP="00834E0F">
            <w:pPr>
              <w:pStyle w:val="TableText"/>
              <w:spacing w:before="0" w:after="0" w:line="240" w:lineRule="auto"/>
            </w:pPr>
            <w:r>
              <w:t>2.4 to 3.2</w:t>
            </w:r>
          </w:p>
        </w:tc>
        <w:tc>
          <w:tcPr>
            <w:tcW w:w="901" w:type="pct"/>
            <w:tcBorders>
              <w:top w:val="nil"/>
              <w:left w:val="nil"/>
              <w:bottom w:val="single" w:sz="4" w:space="0" w:color="auto"/>
              <w:right w:val="nil"/>
            </w:tcBorders>
          </w:tcPr>
          <w:p w14:paraId="39F2A026" w14:textId="77777777" w:rsidR="007B375C" w:rsidRPr="00CD311A" w:rsidRDefault="007B375C" w:rsidP="00834E0F">
            <w:pPr>
              <w:pStyle w:val="TableText"/>
              <w:spacing w:before="0" w:after="0" w:line="240" w:lineRule="auto"/>
            </w:pPr>
            <w:r>
              <w:t>276 to 368</w:t>
            </w:r>
          </w:p>
        </w:tc>
        <w:tc>
          <w:tcPr>
            <w:tcW w:w="901" w:type="pct"/>
            <w:tcBorders>
              <w:top w:val="nil"/>
              <w:left w:val="nil"/>
              <w:bottom w:val="single" w:sz="4" w:space="0" w:color="auto"/>
              <w:right w:val="nil"/>
            </w:tcBorders>
          </w:tcPr>
          <w:p w14:paraId="2BF6B3F6" w14:textId="77777777" w:rsidR="007B375C" w:rsidRPr="00CD311A" w:rsidRDefault="007B375C" w:rsidP="00834E0F">
            <w:pPr>
              <w:pStyle w:val="TableText"/>
              <w:spacing w:before="0" w:after="0" w:line="240" w:lineRule="auto"/>
            </w:pPr>
            <w:r>
              <w:t>324 to 432</w:t>
            </w:r>
          </w:p>
        </w:tc>
        <w:tc>
          <w:tcPr>
            <w:tcW w:w="901" w:type="pct"/>
            <w:tcBorders>
              <w:top w:val="nil"/>
              <w:left w:val="nil"/>
              <w:bottom w:val="single" w:sz="4" w:space="0" w:color="auto"/>
              <w:right w:val="nil"/>
            </w:tcBorders>
          </w:tcPr>
          <w:p w14:paraId="3262BC42" w14:textId="77777777" w:rsidR="007B375C" w:rsidRPr="00CD311A" w:rsidRDefault="007B375C" w:rsidP="00834E0F">
            <w:pPr>
              <w:pStyle w:val="TableText"/>
              <w:spacing w:before="0" w:after="0" w:line="240" w:lineRule="auto"/>
            </w:pPr>
            <w:r>
              <w:t>600 to 800</w:t>
            </w:r>
          </w:p>
        </w:tc>
      </w:tr>
      <w:tr w:rsidR="007B375C" w:rsidRPr="00CD311A" w14:paraId="6CA492C0" w14:textId="77777777" w:rsidTr="00444693">
        <w:trPr>
          <w:cantSplit/>
        </w:trPr>
        <w:tc>
          <w:tcPr>
            <w:tcW w:w="1396" w:type="pct"/>
            <w:tcBorders>
              <w:top w:val="single" w:sz="4" w:space="0" w:color="auto"/>
              <w:left w:val="nil"/>
              <w:bottom w:val="nil"/>
              <w:right w:val="nil"/>
            </w:tcBorders>
          </w:tcPr>
          <w:p w14:paraId="0B2D4455" w14:textId="77777777" w:rsidR="007B375C" w:rsidRDefault="007B375C" w:rsidP="00834E0F">
            <w:pPr>
              <w:pStyle w:val="TableText"/>
              <w:spacing w:before="0" w:after="0" w:line="240" w:lineRule="auto"/>
            </w:pPr>
            <w:r>
              <w:lastRenderedPageBreak/>
              <w:t>Potatoes weed destruction prior to digging</w:t>
            </w:r>
          </w:p>
        </w:tc>
        <w:tc>
          <w:tcPr>
            <w:tcW w:w="900" w:type="pct"/>
            <w:tcBorders>
              <w:top w:val="single" w:sz="4" w:space="0" w:color="auto"/>
              <w:left w:val="nil"/>
              <w:bottom w:val="nil"/>
              <w:right w:val="nil"/>
            </w:tcBorders>
          </w:tcPr>
          <w:p w14:paraId="62A3355D" w14:textId="77777777" w:rsidR="007B375C" w:rsidRPr="00CD311A" w:rsidRDefault="007B375C" w:rsidP="00834E0F">
            <w:pPr>
              <w:pStyle w:val="TableText"/>
              <w:spacing w:before="0" w:after="0" w:line="240" w:lineRule="auto"/>
            </w:pPr>
            <w:r>
              <w:t>3.2</w:t>
            </w:r>
          </w:p>
        </w:tc>
        <w:tc>
          <w:tcPr>
            <w:tcW w:w="901" w:type="pct"/>
            <w:tcBorders>
              <w:top w:val="single" w:sz="4" w:space="0" w:color="auto"/>
              <w:left w:val="nil"/>
              <w:bottom w:val="nil"/>
              <w:right w:val="nil"/>
            </w:tcBorders>
          </w:tcPr>
          <w:p w14:paraId="2A430B60" w14:textId="77777777" w:rsidR="007B375C" w:rsidRPr="00CD311A" w:rsidRDefault="007B375C" w:rsidP="00834E0F">
            <w:pPr>
              <w:pStyle w:val="TableText"/>
              <w:spacing w:before="0" w:after="0" w:line="240" w:lineRule="auto"/>
            </w:pPr>
            <w:r>
              <w:t>368</w:t>
            </w:r>
          </w:p>
        </w:tc>
        <w:tc>
          <w:tcPr>
            <w:tcW w:w="901" w:type="pct"/>
            <w:tcBorders>
              <w:top w:val="single" w:sz="4" w:space="0" w:color="auto"/>
              <w:left w:val="nil"/>
              <w:bottom w:val="nil"/>
              <w:right w:val="nil"/>
            </w:tcBorders>
          </w:tcPr>
          <w:p w14:paraId="69182C80" w14:textId="77777777" w:rsidR="007B375C" w:rsidRPr="00CD311A" w:rsidRDefault="007B375C" w:rsidP="00834E0F">
            <w:pPr>
              <w:pStyle w:val="TableText"/>
              <w:spacing w:before="0" w:after="0" w:line="240" w:lineRule="auto"/>
            </w:pPr>
            <w:r>
              <w:t>432</w:t>
            </w:r>
          </w:p>
        </w:tc>
        <w:tc>
          <w:tcPr>
            <w:tcW w:w="901" w:type="pct"/>
            <w:tcBorders>
              <w:top w:val="single" w:sz="4" w:space="0" w:color="auto"/>
              <w:left w:val="nil"/>
              <w:bottom w:val="nil"/>
              <w:right w:val="nil"/>
            </w:tcBorders>
          </w:tcPr>
          <w:p w14:paraId="5F702767" w14:textId="77777777" w:rsidR="007B375C" w:rsidRPr="00CD311A" w:rsidRDefault="007B375C" w:rsidP="00834E0F">
            <w:pPr>
              <w:pStyle w:val="TableText"/>
              <w:spacing w:before="0" w:after="0" w:line="240" w:lineRule="auto"/>
            </w:pPr>
            <w:r>
              <w:t>800</w:t>
            </w:r>
          </w:p>
        </w:tc>
      </w:tr>
      <w:tr w:rsidR="007B375C" w:rsidRPr="00CD311A" w14:paraId="0155A233" w14:textId="77777777" w:rsidTr="00444693">
        <w:trPr>
          <w:cantSplit/>
        </w:trPr>
        <w:tc>
          <w:tcPr>
            <w:tcW w:w="1396" w:type="pct"/>
            <w:tcBorders>
              <w:top w:val="nil"/>
              <w:left w:val="nil"/>
              <w:bottom w:val="single" w:sz="4" w:space="0" w:color="auto"/>
              <w:right w:val="nil"/>
            </w:tcBorders>
          </w:tcPr>
          <w:p w14:paraId="009EC504" w14:textId="77777777" w:rsidR="007B375C" w:rsidRDefault="007B375C" w:rsidP="00834E0F">
            <w:pPr>
              <w:pStyle w:val="TableText"/>
              <w:spacing w:before="0" w:after="0" w:line="240" w:lineRule="auto"/>
            </w:pPr>
            <w:r>
              <w:t>(spot spray)</w:t>
            </w:r>
          </w:p>
        </w:tc>
        <w:tc>
          <w:tcPr>
            <w:tcW w:w="900" w:type="pct"/>
            <w:tcBorders>
              <w:top w:val="nil"/>
              <w:left w:val="nil"/>
              <w:bottom w:val="single" w:sz="4" w:space="0" w:color="auto"/>
              <w:right w:val="nil"/>
            </w:tcBorders>
          </w:tcPr>
          <w:p w14:paraId="65F8E844" w14:textId="77777777" w:rsidR="007B375C" w:rsidRPr="00CD311A" w:rsidRDefault="007B375C" w:rsidP="00834E0F">
            <w:pPr>
              <w:pStyle w:val="TableText"/>
              <w:spacing w:before="0" w:after="0" w:line="240" w:lineRule="auto"/>
            </w:pPr>
            <w:r>
              <w:t>3.2</w:t>
            </w:r>
          </w:p>
        </w:tc>
        <w:tc>
          <w:tcPr>
            <w:tcW w:w="901" w:type="pct"/>
            <w:tcBorders>
              <w:top w:val="nil"/>
              <w:left w:val="nil"/>
              <w:bottom w:val="single" w:sz="4" w:space="0" w:color="auto"/>
              <w:right w:val="nil"/>
            </w:tcBorders>
          </w:tcPr>
          <w:p w14:paraId="18F3734A" w14:textId="77777777" w:rsidR="007B375C" w:rsidRPr="00CD311A" w:rsidRDefault="007B375C" w:rsidP="00834E0F">
            <w:pPr>
              <w:pStyle w:val="TableText"/>
              <w:spacing w:before="0" w:after="0" w:line="240" w:lineRule="auto"/>
            </w:pPr>
            <w:r>
              <w:t>368</w:t>
            </w:r>
          </w:p>
        </w:tc>
        <w:tc>
          <w:tcPr>
            <w:tcW w:w="901" w:type="pct"/>
            <w:tcBorders>
              <w:top w:val="nil"/>
              <w:left w:val="nil"/>
              <w:bottom w:val="single" w:sz="4" w:space="0" w:color="auto"/>
              <w:right w:val="nil"/>
            </w:tcBorders>
          </w:tcPr>
          <w:p w14:paraId="4E9AA31E" w14:textId="77777777" w:rsidR="007B375C" w:rsidRPr="00CD311A" w:rsidRDefault="007B375C" w:rsidP="00834E0F">
            <w:pPr>
              <w:pStyle w:val="TableText"/>
              <w:spacing w:before="0" w:after="0" w:line="240" w:lineRule="auto"/>
            </w:pPr>
            <w:r>
              <w:t>432</w:t>
            </w:r>
          </w:p>
        </w:tc>
        <w:tc>
          <w:tcPr>
            <w:tcW w:w="901" w:type="pct"/>
            <w:tcBorders>
              <w:top w:val="nil"/>
              <w:left w:val="nil"/>
              <w:bottom w:val="single" w:sz="4" w:space="0" w:color="auto"/>
              <w:right w:val="nil"/>
            </w:tcBorders>
          </w:tcPr>
          <w:p w14:paraId="1D708972" w14:textId="77777777" w:rsidR="007B375C" w:rsidRPr="00CD311A" w:rsidRDefault="007B375C" w:rsidP="00834E0F">
            <w:pPr>
              <w:pStyle w:val="TableText"/>
              <w:spacing w:before="0" w:after="0" w:line="240" w:lineRule="auto"/>
            </w:pPr>
            <w:r>
              <w:t>800</w:t>
            </w:r>
          </w:p>
        </w:tc>
      </w:tr>
      <w:tr w:rsidR="007B375C" w:rsidRPr="00CD311A" w14:paraId="7B7E7C64" w14:textId="77777777" w:rsidTr="00444693">
        <w:trPr>
          <w:cantSplit/>
        </w:trPr>
        <w:tc>
          <w:tcPr>
            <w:tcW w:w="1396" w:type="pct"/>
            <w:tcBorders>
              <w:top w:val="single" w:sz="4" w:space="0" w:color="auto"/>
              <w:left w:val="nil"/>
              <w:bottom w:val="single" w:sz="4" w:space="0" w:color="auto"/>
              <w:right w:val="nil"/>
            </w:tcBorders>
          </w:tcPr>
          <w:p w14:paraId="4D3C3274" w14:textId="77777777" w:rsidR="007B375C" w:rsidRDefault="007B375C" w:rsidP="00834E0F">
            <w:pPr>
              <w:pStyle w:val="TableText"/>
              <w:spacing w:before="0" w:after="0" w:line="240" w:lineRule="auto"/>
            </w:pPr>
            <w:r>
              <w:t>Avocados, custard apples, lychees, mangoes (spot spray)</w:t>
            </w:r>
          </w:p>
        </w:tc>
        <w:tc>
          <w:tcPr>
            <w:tcW w:w="900" w:type="pct"/>
            <w:tcBorders>
              <w:top w:val="single" w:sz="4" w:space="0" w:color="auto"/>
              <w:left w:val="nil"/>
              <w:bottom w:val="single" w:sz="4" w:space="0" w:color="auto"/>
              <w:right w:val="nil"/>
            </w:tcBorders>
          </w:tcPr>
          <w:p w14:paraId="19686143" w14:textId="77777777" w:rsidR="007B375C" w:rsidRPr="00CD311A" w:rsidRDefault="007B375C" w:rsidP="00834E0F">
            <w:pPr>
              <w:pStyle w:val="TableText"/>
              <w:spacing w:before="0" w:after="0" w:line="240" w:lineRule="auto"/>
            </w:pPr>
            <w:r>
              <w:t>1.2 to 2.4</w:t>
            </w:r>
          </w:p>
        </w:tc>
        <w:tc>
          <w:tcPr>
            <w:tcW w:w="901" w:type="pct"/>
            <w:tcBorders>
              <w:top w:val="single" w:sz="4" w:space="0" w:color="auto"/>
              <w:left w:val="nil"/>
              <w:bottom w:val="single" w:sz="4" w:space="0" w:color="auto"/>
              <w:right w:val="nil"/>
            </w:tcBorders>
          </w:tcPr>
          <w:p w14:paraId="54681377" w14:textId="77777777" w:rsidR="007B375C" w:rsidRPr="00CD311A" w:rsidRDefault="007B375C" w:rsidP="00834E0F">
            <w:pPr>
              <w:pStyle w:val="TableText"/>
              <w:spacing w:before="0" w:after="0" w:line="240" w:lineRule="auto"/>
            </w:pPr>
            <w:r>
              <w:t>138 to 276</w:t>
            </w:r>
          </w:p>
        </w:tc>
        <w:tc>
          <w:tcPr>
            <w:tcW w:w="901" w:type="pct"/>
            <w:tcBorders>
              <w:top w:val="single" w:sz="4" w:space="0" w:color="auto"/>
              <w:left w:val="nil"/>
              <w:bottom w:val="single" w:sz="4" w:space="0" w:color="auto"/>
              <w:right w:val="nil"/>
            </w:tcBorders>
          </w:tcPr>
          <w:p w14:paraId="37BFAB0D" w14:textId="77777777" w:rsidR="007B375C" w:rsidRPr="00CD311A" w:rsidRDefault="007B375C" w:rsidP="00834E0F">
            <w:pPr>
              <w:pStyle w:val="TableText"/>
              <w:spacing w:before="0" w:after="0" w:line="240" w:lineRule="auto"/>
            </w:pPr>
            <w:r>
              <w:t>162 to 324</w:t>
            </w:r>
          </w:p>
        </w:tc>
        <w:tc>
          <w:tcPr>
            <w:tcW w:w="901" w:type="pct"/>
            <w:tcBorders>
              <w:top w:val="single" w:sz="4" w:space="0" w:color="auto"/>
              <w:left w:val="nil"/>
              <w:bottom w:val="single" w:sz="4" w:space="0" w:color="auto"/>
              <w:right w:val="nil"/>
            </w:tcBorders>
          </w:tcPr>
          <w:p w14:paraId="4F11DE00" w14:textId="77777777" w:rsidR="007B375C" w:rsidRPr="00CD311A" w:rsidRDefault="007B375C" w:rsidP="00834E0F">
            <w:pPr>
              <w:pStyle w:val="TableText"/>
              <w:spacing w:before="0" w:after="0" w:line="240" w:lineRule="auto"/>
            </w:pPr>
            <w:r>
              <w:t>300 to 600</w:t>
            </w:r>
          </w:p>
        </w:tc>
      </w:tr>
      <w:tr w:rsidR="007B375C" w:rsidRPr="00CD311A" w14:paraId="009460CB" w14:textId="77777777" w:rsidTr="00444693">
        <w:trPr>
          <w:cantSplit/>
        </w:trPr>
        <w:tc>
          <w:tcPr>
            <w:tcW w:w="1396" w:type="pct"/>
            <w:tcBorders>
              <w:top w:val="single" w:sz="4" w:space="0" w:color="auto"/>
              <w:left w:val="nil"/>
              <w:bottom w:val="single" w:sz="4" w:space="0" w:color="auto"/>
              <w:right w:val="nil"/>
            </w:tcBorders>
          </w:tcPr>
          <w:p w14:paraId="3E76F2BA" w14:textId="77777777" w:rsidR="007B375C" w:rsidRDefault="007B375C" w:rsidP="00834E0F">
            <w:pPr>
              <w:pStyle w:val="TableText"/>
              <w:spacing w:before="0" w:after="0" w:line="240" w:lineRule="auto"/>
            </w:pPr>
            <w:r>
              <w:t>Rice</w:t>
            </w:r>
          </w:p>
        </w:tc>
        <w:tc>
          <w:tcPr>
            <w:tcW w:w="900" w:type="pct"/>
            <w:tcBorders>
              <w:top w:val="single" w:sz="4" w:space="0" w:color="auto"/>
              <w:left w:val="nil"/>
              <w:bottom w:val="single" w:sz="4" w:space="0" w:color="auto"/>
              <w:right w:val="nil"/>
            </w:tcBorders>
          </w:tcPr>
          <w:p w14:paraId="744AA0B6" w14:textId="77777777" w:rsidR="007B375C" w:rsidRPr="00CD311A" w:rsidRDefault="007B375C" w:rsidP="00834E0F">
            <w:pPr>
              <w:pStyle w:val="TableText"/>
              <w:spacing w:before="0" w:after="0" w:line="240" w:lineRule="auto"/>
            </w:pPr>
            <w:r>
              <w:t>1.6 to 3.2</w:t>
            </w:r>
          </w:p>
        </w:tc>
        <w:tc>
          <w:tcPr>
            <w:tcW w:w="901" w:type="pct"/>
            <w:tcBorders>
              <w:top w:val="single" w:sz="4" w:space="0" w:color="auto"/>
              <w:left w:val="nil"/>
              <w:bottom w:val="single" w:sz="4" w:space="0" w:color="auto"/>
              <w:right w:val="nil"/>
            </w:tcBorders>
          </w:tcPr>
          <w:p w14:paraId="6E044978" w14:textId="77777777" w:rsidR="007B375C" w:rsidRPr="00CD311A" w:rsidRDefault="007B375C" w:rsidP="00834E0F">
            <w:pPr>
              <w:pStyle w:val="TableText"/>
              <w:spacing w:before="0" w:after="0" w:line="240" w:lineRule="auto"/>
            </w:pPr>
            <w:r>
              <w:t>184 to 368</w:t>
            </w:r>
          </w:p>
        </w:tc>
        <w:tc>
          <w:tcPr>
            <w:tcW w:w="901" w:type="pct"/>
            <w:tcBorders>
              <w:top w:val="single" w:sz="4" w:space="0" w:color="auto"/>
              <w:left w:val="nil"/>
              <w:bottom w:val="single" w:sz="4" w:space="0" w:color="auto"/>
              <w:right w:val="nil"/>
            </w:tcBorders>
          </w:tcPr>
          <w:p w14:paraId="35837B67" w14:textId="77777777" w:rsidR="007B375C" w:rsidRPr="00CD311A" w:rsidRDefault="007B375C" w:rsidP="00834E0F">
            <w:pPr>
              <w:pStyle w:val="TableText"/>
              <w:spacing w:before="0" w:after="0" w:line="240" w:lineRule="auto"/>
            </w:pPr>
            <w:r>
              <w:t>216 to 432</w:t>
            </w:r>
          </w:p>
        </w:tc>
        <w:tc>
          <w:tcPr>
            <w:tcW w:w="901" w:type="pct"/>
            <w:tcBorders>
              <w:top w:val="single" w:sz="4" w:space="0" w:color="auto"/>
              <w:left w:val="nil"/>
              <w:bottom w:val="single" w:sz="4" w:space="0" w:color="auto"/>
              <w:right w:val="nil"/>
            </w:tcBorders>
          </w:tcPr>
          <w:p w14:paraId="1021ED2C" w14:textId="77777777" w:rsidR="007B375C" w:rsidRPr="00CD311A" w:rsidRDefault="007B375C" w:rsidP="00834E0F">
            <w:pPr>
              <w:pStyle w:val="TableText"/>
              <w:spacing w:before="0" w:after="0" w:line="240" w:lineRule="auto"/>
            </w:pPr>
            <w:r>
              <w:t>400 to 800</w:t>
            </w:r>
          </w:p>
        </w:tc>
      </w:tr>
      <w:tr w:rsidR="007B375C" w:rsidRPr="00CD311A" w14:paraId="6EE4BF18" w14:textId="77777777" w:rsidTr="00444693">
        <w:trPr>
          <w:cantSplit/>
        </w:trPr>
        <w:tc>
          <w:tcPr>
            <w:tcW w:w="1396" w:type="pct"/>
            <w:tcBorders>
              <w:top w:val="single" w:sz="4" w:space="0" w:color="auto"/>
              <w:left w:val="nil"/>
              <w:bottom w:val="single" w:sz="4" w:space="0" w:color="auto"/>
              <w:right w:val="nil"/>
            </w:tcBorders>
          </w:tcPr>
          <w:p w14:paraId="5751FAE0" w14:textId="77777777" w:rsidR="007B375C" w:rsidRDefault="007B375C" w:rsidP="00834E0F">
            <w:pPr>
              <w:pStyle w:val="TableText"/>
              <w:spacing w:before="0" w:after="0" w:line="240" w:lineRule="auto"/>
            </w:pPr>
            <w:r w:rsidRPr="006172AF">
              <w:t>Pasture (Kikuyu/paspalum)</w:t>
            </w:r>
          </w:p>
        </w:tc>
        <w:tc>
          <w:tcPr>
            <w:tcW w:w="900" w:type="pct"/>
            <w:tcBorders>
              <w:top w:val="single" w:sz="4" w:space="0" w:color="auto"/>
              <w:left w:val="nil"/>
              <w:bottom w:val="single" w:sz="4" w:space="0" w:color="auto"/>
              <w:right w:val="nil"/>
            </w:tcBorders>
          </w:tcPr>
          <w:p w14:paraId="7F1246E1" w14:textId="77777777" w:rsidR="007B375C" w:rsidRPr="00CD311A" w:rsidRDefault="007B375C" w:rsidP="00834E0F">
            <w:pPr>
              <w:pStyle w:val="TableText"/>
              <w:spacing w:before="0" w:after="0" w:line="240" w:lineRule="auto"/>
            </w:pPr>
            <w:r>
              <w:t>2.4 to 3.2</w:t>
            </w:r>
          </w:p>
        </w:tc>
        <w:tc>
          <w:tcPr>
            <w:tcW w:w="901" w:type="pct"/>
            <w:tcBorders>
              <w:top w:val="single" w:sz="4" w:space="0" w:color="auto"/>
              <w:left w:val="nil"/>
              <w:bottom w:val="single" w:sz="4" w:space="0" w:color="auto"/>
              <w:right w:val="nil"/>
            </w:tcBorders>
          </w:tcPr>
          <w:p w14:paraId="7B36136E" w14:textId="77777777" w:rsidR="007B375C" w:rsidRPr="00CD311A" w:rsidRDefault="007B375C" w:rsidP="00834E0F">
            <w:pPr>
              <w:pStyle w:val="TableText"/>
              <w:spacing w:before="0" w:after="0" w:line="240" w:lineRule="auto"/>
            </w:pPr>
            <w:r>
              <w:t>276 to 368</w:t>
            </w:r>
          </w:p>
        </w:tc>
        <w:tc>
          <w:tcPr>
            <w:tcW w:w="901" w:type="pct"/>
            <w:tcBorders>
              <w:top w:val="single" w:sz="4" w:space="0" w:color="auto"/>
              <w:left w:val="nil"/>
              <w:bottom w:val="single" w:sz="4" w:space="0" w:color="auto"/>
              <w:right w:val="nil"/>
            </w:tcBorders>
          </w:tcPr>
          <w:p w14:paraId="6494602A" w14:textId="77777777" w:rsidR="007B375C" w:rsidRPr="00CD311A" w:rsidRDefault="007B375C" w:rsidP="00834E0F">
            <w:pPr>
              <w:pStyle w:val="TableText"/>
              <w:spacing w:before="0" w:after="0" w:line="240" w:lineRule="auto"/>
            </w:pPr>
            <w:r>
              <w:t>324 to 432</w:t>
            </w:r>
          </w:p>
        </w:tc>
        <w:tc>
          <w:tcPr>
            <w:tcW w:w="901" w:type="pct"/>
            <w:tcBorders>
              <w:top w:val="single" w:sz="4" w:space="0" w:color="auto"/>
              <w:left w:val="nil"/>
              <w:bottom w:val="single" w:sz="4" w:space="0" w:color="auto"/>
              <w:right w:val="nil"/>
            </w:tcBorders>
          </w:tcPr>
          <w:p w14:paraId="2B3A192E" w14:textId="77777777" w:rsidR="007B375C" w:rsidRPr="00CD311A" w:rsidRDefault="007B375C" w:rsidP="00834E0F">
            <w:pPr>
              <w:pStyle w:val="TableText"/>
              <w:spacing w:before="0" w:after="0" w:line="240" w:lineRule="auto"/>
            </w:pPr>
            <w:r>
              <w:t>600 to 800</w:t>
            </w:r>
          </w:p>
        </w:tc>
      </w:tr>
      <w:tr w:rsidR="007B375C" w:rsidRPr="00CD311A" w14:paraId="75CF2E37" w14:textId="77777777" w:rsidTr="00444693">
        <w:trPr>
          <w:cantSplit/>
        </w:trPr>
        <w:tc>
          <w:tcPr>
            <w:tcW w:w="1396" w:type="pct"/>
            <w:tcBorders>
              <w:top w:val="single" w:sz="4" w:space="0" w:color="auto"/>
              <w:left w:val="nil"/>
              <w:bottom w:val="single" w:sz="4" w:space="0" w:color="auto"/>
              <w:right w:val="nil"/>
            </w:tcBorders>
          </w:tcPr>
          <w:p w14:paraId="5883DD33" w14:textId="77777777" w:rsidR="007B375C" w:rsidRDefault="007B375C" w:rsidP="00834E0F">
            <w:pPr>
              <w:pStyle w:val="TableText"/>
              <w:spacing w:before="0" w:after="0" w:line="240" w:lineRule="auto"/>
            </w:pPr>
            <w:r>
              <w:t>Pasture</w:t>
            </w:r>
          </w:p>
        </w:tc>
        <w:tc>
          <w:tcPr>
            <w:tcW w:w="900" w:type="pct"/>
            <w:tcBorders>
              <w:top w:val="single" w:sz="4" w:space="0" w:color="auto"/>
              <w:left w:val="nil"/>
              <w:bottom w:val="single" w:sz="4" w:space="0" w:color="auto"/>
              <w:right w:val="nil"/>
            </w:tcBorders>
          </w:tcPr>
          <w:p w14:paraId="55C9D381" w14:textId="77777777" w:rsidR="007B375C" w:rsidRPr="00CD311A" w:rsidRDefault="007B375C" w:rsidP="00834E0F">
            <w:pPr>
              <w:pStyle w:val="TableText"/>
              <w:spacing w:before="0" w:after="0" w:line="240" w:lineRule="auto"/>
            </w:pPr>
            <w:r>
              <w:t>0.8 to 2.4</w:t>
            </w:r>
          </w:p>
        </w:tc>
        <w:tc>
          <w:tcPr>
            <w:tcW w:w="901" w:type="pct"/>
            <w:tcBorders>
              <w:top w:val="single" w:sz="4" w:space="0" w:color="auto"/>
              <w:left w:val="nil"/>
              <w:bottom w:val="single" w:sz="4" w:space="0" w:color="auto"/>
              <w:right w:val="nil"/>
            </w:tcBorders>
          </w:tcPr>
          <w:p w14:paraId="3AC3DDDF" w14:textId="77777777" w:rsidR="007B375C" w:rsidRPr="00CD311A" w:rsidRDefault="007B375C" w:rsidP="00834E0F">
            <w:pPr>
              <w:pStyle w:val="TableText"/>
              <w:spacing w:before="0" w:after="0" w:line="240" w:lineRule="auto"/>
            </w:pPr>
            <w:r>
              <w:t>92 to 276</w:t>
            </w:r>
          </w:p>
        </w:tc>
        <w:tc>
          <w:tcPr>
            <w:tcW w:w="901" w:type="pct"/>
            <w:tcBorders>
              <w:top w:val="single" w:sz="4" w:space="0" w:color="auto"/>
              <w:left w:val="nil"/>
              <w:bottom w:val="single" w:sz="4" w:space="0" w:color="auto"/>
              <w:right w:val="nil"/>
            </w:tcBorders>
          </w:tcPr>
          <w:p w14:paraId="07237DF8" w14:textId="77777777" w:rsidR="007B375C" w:rsidRPr="00CD311A" w:rsidRDefault="007B375C" w:rsidP="00834E0F">
            <w:pPr>
              <w:pStyle w:val="TableText"/>
              <w:spacing w:before="0" w:after="0" w:line="240" w:lineRule="auto"/>
            </w:pPr>
            <w:r>
              <w:t>108 to 324</w:t>
            </w:r>
          </w:p>
        </w:tc>
        <w:tc>
          <w:tcPr>
            <w:tcW w:w="901" w:type="pct"/>
            <w:tcBorders>
              <w:top w:val="single" w:sz="4" w:space="0" w:color="auto"/>
              <w:left w:val="nil"/>
              <w:bottom w:val="single" w:sz="4" w:space="0" w:color="auto"/>
              <w:right w:val="nil"/>
            </w:tcBorders>
          </w:tcPr>
          <w:p w14:paraId="77A45148" w14:textId="77777777" w:rsidR="007B375C" w:rsidRPr="00CD311A" w:rsidRDefault="007B375C" w:rsidP="00834E0F">
            <w:pPr>
              <w:pStyle w:val="TableText"/>
              <w:spacing w:before="0" w:after="0" w:line="240" w:lineRule="auto"/>
            </w:pPr>
            <w:r>
              <w:t>200 to 600</w:t>
            </w:r>
          </w:p>
        </w:tc>
      </w:tr>
      <w:tr w:rsidR="007B375C" w:rsidRPr="00CD311A" w14:paraId="43F9B7A9" w14:textId="77777777" w:rsidTr="00444693">
        <w:trPr>
          <w:cantSplit/>
        </w:trPr>
        <w:tc>
          <w:tcPr>
            <w:tcW w:w="1396" w:type="pct"/>
            <w:tcBorders>
              <w:top w:val="single" w:sz="4" w:space="0" w:color="auto"/>
              <w:left w:val="nil"/>
              <w:bottom w:val="single" w:sz="4" w:space="0" w:color="auto"/>
              <w:right w:val="nil"/>
            </w:tcBorders>
          </w:tcPr>
          <w:p w14:paraId="282CE5F3" w14:textId="77777777" w:rsidR="007B375C" w:rsidRPr="00BC7034" w:rsidRDefault="007B375C" w:rsidP="00834E0F">
            <w:pPr>
              <w:pStyle w:val="TableText"/>
              <w:spacing w:before="0" w:after="0" w:line="240" w:lineRule="auto"/>
            </w:pPr>
            <w:r w:rsidRPr="00BC7034">
              <w:t>Duboisia</w:t>
            </w:r>
          </w:p>
        </w:tc>
        <w:tc>
          <w:tcPr>
            <w:tcW w:w="900" w:type="pct"/>
            <w:tcBorders>
              <w:top w:val="single" w:sz="4" w:space="0" w:color="auto"/>
              <w:left w:val="nil"/>
              <w:bottom w:val="single" w:sz="4" w:space="0" w:color="auto"/>
              <w:right w:val="nil"/>
            </w:tcBorders>
          </w:tcPr>
          <w:p w14:paraId="5D7E5964" w14:textId="77777777" w:rsidR="007B375C" w:rsidRPr="00BC7034" w:rsidRDefault="007B375C" w:rsidP="00834E0F">
            <w:pPr>
              <w:pStyle w:val="TableText"/>
              <w:spacing w:before="0" w:after="0" w:line="240" w:lineRule="auto"/>
            </w:pPr>
            <w:r w:rsidRPr="00BC7034">
              <w:t>2.4 to 3.2</w:t>
            </w:r>
          </w:p>
        </w:tc>
        <w:tc>
          <w:tcPr>
            <w:tcW w:w="901" w:type="pct"/>
            <w:tcBorders>
              <w:top w:val="single" w:sz="4" w:space="0" w:color="auto"/>
              <w:left w:val="nil"/>
              <w:bottom w:val="single" w:sz="4" w:space="0" w:color="auto"/>
              <w:right w:val="nil"/>
            </w:tcBorders>
          </w:tcPr>
          <w:p w14:paraId="5338416C" w14:textId="77777777" w:rsidR="007B375C" w:rsidRPr="00BC7034" w:rsidRDefault="007B375C" w:rsidP="00834E0F">
            <w:pPr>
              <w:pStyle w:val="TableText"/>
              <w:spacing w:before="0" w:after="0" w:line="240" w:lineRule="auto"/>
            </w:pPr>
            <w:r w:rsidRPr="00BC7034">
              <w:t>276 to 368</w:t>
            </w:r>
          </w:p>
        </w:tc>
        <w:tc>
          <w:tcPr>
            <w:tcW w:w="901" w:type="pct"/>
            <w:tcBorders>
              <w:top w:val="single" w:sz="4" w:space="0" w:color="auto"/>
              <w:left w:val="nil"/>
              <w:bottom w:val="single" w:sz="4" w:space="0" w:color="auto"/>
              <w:right w:val="nil"/>
            </w:tcBorders>
          </w:tcPr>
          <w:p w14:paraId="30329BE2" w14:textId="77777777" w:rsidR="007B375C" w:rsidRPr="00BC7034" w:rsidRDefault="007B375C" w:rsidP="00834E0F">
            <w:pPr>
              <w:pStyle w:val="TableText"/>
              <w:spacing w:before="0" w:after="0" w:line="240" w:lineRule="auto"/>
            </w:pPr>
            <w:r w:rsidRPr="00BC7034">
              <w:t>324 to 432</w:t>
            </w:r>
          </w:p>
        </w:tc>
        <w:tc>
          <w:tcPr>
            <w:tcW w:w="901" w:type="pct"/>
            <w:tcBorders>
              <w:top w:val="single" w:sz="4" w:space="0" w:color="auto"/>
              <w:left w:val="nil"/>
              <w:bottom w:val="single" w:sz="4" w:space="0" w:color="auto"/>
              <w:right w:val="nil"/>
            </w:tcBorders>
          </w:tcPr>
          <w:p w14:paraId="20930A2A" w14:textId="77777777" w:rsidR="007B375C" w:rsidRPr="00BC7034" w:rsidRDefault="007B375C" w:rsidP="00834E0F">
            <w:pPr>
              <w:pStyle w:val="TableText"/>
              <w:spacing w:before="0" w:after="0" w:line="240" w:lineRule="auto"/>
            </w:pPr>
            <w:r w:rsidRPr="00BC7034">
              <w:t>600 to 800</w:t>
            </w:r>
          </w:p>
        </w:tc>
      </w:tr>
      <w:tr w:rsidR="007B375C" w:rsidRPr="00CD311A" w14:paraId="124909BE" w14:textId="77777777" w:rsidTr="00444693">
        <w:trPr>
          <w:cantSplit/>
        </w:trPr>
        <w:tc>
          <w:tcPr>
            <w:tcW w:w="1396" w:type="pct"/>
            <w:tcBorders>
              <w:top w:val="single" w:sz="4" w:space="0" w:color="auto"/>
              <w:left w:val="nil"/>
              <w:bottom w:val="single" w:sz="4" w:space="0" w:color="auto"/>
              <w:right w:val="nil"/>
            </w:tcBorders>
          </w:tcPr>
          <w:p w14:paraId="5E07B665" w14:textId="77777777" w:rsidR="007B375C" w:rsidRPr="00BC7034" w:rsidRDefault="007B375C" w:rsidP="00834E0F">
            <w:pPr>
              <w:pStyle w:val="TableText"/>
              <w:spacing w:before="0" w:after="0" w:line="240" w:lineRule="auto"/>
            </w:pPr>
            <w:r w:rsidRPr="00BC7034">
              <w:t>Tea-trees</w:t>
            </w:r>
          </w:p>
        </w:tc>
        <w:tc>
          <w:tcPr>
            <w:tcW w:w="900" w:type="pct"/>
            <w:tcBorders>
              <w:top w:val="single" w:sz="4" w:space="0" w:color="auto"/>
              <w:left w:val="nil"/>
              <w:bottom w:val="single" w:sz="4" w:space="0" w:color="auto"/>
              <w:right w:val="nil"/>
            </w:tcBorders>
          </w:tcPr>
          <w:p w14:paraId="68ED1F06" w14:textId="77777777" w:rsidR="007B375C" w:rsidRPr="00BC7034" w:rsidRDefault="007B375C" w:rsidP="00834E0F">
            <w:pPr>
              <w:pStyle w:val="TableText"/>
              <w:spacing w:before="0" w:after="0" w:line="240" w:lineRule="auto"/>
            </w:pPr>
            <w:r w:rsidRPr="00BC7034">
              <w:t>1.6 to 3.2</w:t>
            </w:r>
          </w:p>
        </w:tc>
        <w:tc>
          <w:tcPr>
            <w:tcW w:w="901" w:type="pct"/>
            <w:tcBorders>
              <w:top w:val="single" w:sz="4" w:space="0" w:color="auto"/>
              <w:left w:val="nil"/>
              <w:bottom w:val="single" w:sz="4" w:space="0" w:color="auto"/>
              <w:right w:val="nil"/>
            </w:tcBorders>
          </w:tcPr>
          <w:p w14:paraId="6BCC1D51" w14:textId="77777777" w:rsidR="007B375C" w:rsidRPr="00BC7034" w:rsidRDefault="007B375C" w:rsidP="00834E0F">
            <w:pPr>
              <w:pStyle w:val="TableText"/>
              <w:spacing w:before="0" w:after="0" w:line="240" w:lineRule="auto"/>
            </w:pPr>
            <w:r w:rsidRPr="00BC7034">
              <w:t>184 to 368</w:t>
            </w:r>
          </w:p>
        </w:tc>
        <w:tc>
          <w:tcPr>
            <w:tcW w:w="901" w:type="pct"/>
            <w:tcBorders>
              <w:top w:val="single" w:sz="4" w:space="0" w:color="auto"/>
              <w:left w:val="nil"/>
              <w:bottom w:val="single" w:sz="4" w:space="0" w:color="auto"/>
              <w:right w:val="nil"/>
            </w:tcBorders>
          </w:tcPr>
          <w:p w14:paraId="108D9B19" w14:textId="77777777" w:rsidR="007B375C" w:rsidRPr="00BC7034" w:rsidRDefault="007B375C" w:rsidP="00834E0F">
            <w:pPr>
              <w:pStyle w:val="TableText"/>
              <w:spacing w:before="0" w:after="0" w:line="240" w:lineRule="auto"/>
            </w:pPr>
            <w:r w:rsidRPr="00BC7034">
              <w:t>216 to 432</w:t>
            </w:r>
          </w:p>
        </w:tc>
        <w:tc>
          <w:tcPr>
            <w:tcW w:w="901" w:type="pct"/>
            <w:tcBorders>
              <w:top w:val="single" w:sz="4" w:space="0" w:color="auto"/>
              <w:left w:val="nil"/>
              <w:bottom w:val="single" w:sz="4" w:space="0" w:color="auto"/>
              <w:right w:val="nil"/>
            </w:tcBorders>
          </w:tcPr>
          <w:p w14:paraId="2383CC80" w14:textId="77777777" w:rsidR="007B375C" w:rsidRPr="00BC7034" w:rsidRDefault="007B375C" w:rsidP="00834E0F">
            <w:pPr>
              <w:pStyle w:val="TableText"/>
              <w:spacing w:before="0" w:after="0" w:line="240" w:lineRule="auto"/>
            </w:pPr>
            <w:r w:rsidRPr="00BC7034">
              <w:t>400 to 800</w:t>
            </w:r>
          </w:p>
        </w:tc>
      </w:tr>
    </w:tbl>
    <w:p w14:paraId="4DD8057D" w14:textId="77777777" w:rsidR="00C2168A" w:rsidRPr="00BC7034" w:rsidRDefault="00C2168A" w:rsidP="00BC7034">
      <w:pPr>
        <w:pStyle w:val="Heading3"/>
      </w:pPr>
      <w:bookmarkStart w:id="540" w:name="_Toc231480921"/>
      <w:bookmarkStart w:id="541" w:name="_Toc233036473"/>
      <w:r w:rsidRPr="00BC7034">
        <w:t>Effects on non-target species</w:t>
      </w:r>
      <w:bookmarkEnd w:id="540"/>
      <w:bookmarkEnd w:id="541"/>
    </w:p>
    <w:p w14:paraId="2E3EA0F4" w14:textId="53EBE208" w:rsidR="00931B9D" w:rsidRPr="00C51CC9" w:rsidRDefault="00931B9D" w:rsidP="00BC7034">
      <w:pPr>
        <w:pStyle w:val="NormalText"/>
      </w:pPr>
      <w:bookmarkStart w:id="542" w:name="_Hlk157518797"/>
      <w:r w:rsidRPr="00931B9D">
        <w:t>Please refer to Appendix B (</w:t>
      </w:r>
      <w:r w:rsidRPr="00931B9D">
        <w:fldChar w:fldCharType="begin"/>
      </w:r>
      <w:r w:rsidRPr="00931B9D">
        <w:instrText xml:space="preserve"> REF _Ref220917700 \h </w:instrText>
      </w:r>
      <w:r>
        <w:instrText xml:space="preserve"> \* MERGEFORMAT </w:instrText>
      </w:r>
      <w:r w:rsidRPr="00931B9D">
        <w:fldChar w:fldCharType="separate"/>
      </w:r>
      <w:r w:rsidR="008A397D" w:rsidRPr="008A397D">
        <w:t xml:space="preserve">Table </w:t>
      </w:r>
      <w:r w:rsidR="008A397D" w:rsidRPr="008A397D">
        <w:rPr>
          <w:noProof/>
        </w:rPr>
        <w:t>68</w:t>
      </w:r>
      <w:r w:rsidRPr="00931B9D">
        <w:fldChar w:fldCharType="end"/>
      </w:r>
      <w:r w:rsidRPr="00931B9D">
        <w:t xml:space="preserve"> to </w:t>
      </w:r>
      <w:r w:rsidRPr="00931B9D">
        <w:fldChar w:fldCharType="begin"/>
      </w:r>
      <w:r w:rsidRPr="00931B9D">
        <w:instrText xml:space="preserve"> REF _Ref220917715 \h </w:instrText>
      </w:r>
      <w:r>
        <w:instrText xml:space="preserve"> \* MERGEFORMAT </w:instrText>
      </w:r>
      <w:r w:rsidRPr="00931B9D">
        <w:fldChar w:fldCharType="separate"/>
      </w:r>
      <w:r w:rsidR="008A397D" w:rsidRPr="008A397D">
        <w:t xml:space="preserve">Table </w:t>
      </w:r>
      <w:r w:rsidR="008A397D" w:rsidRPr="008A397D">
        <w:rPr>
          <w:noProof/>
        </w:rPr>
        <w:t>73</w:t>
      </w:r>
      <w:r w:rsidRPr="00931B9D">
        <w:fldChar w:fldCharType="end"/>
      </w:r>
      <w:r w:rsidRPr="00931B9D">
        <w:t>) for the predicted</w:t>
      </w:r>
      <w:r w:rsidRPr="00C51CC9">
        <w:t xml:space="preserve"> </w:t>
      </w:r>
      <w:r w:rsidR="00692862">
        <w:t xml:space="preserve">diquat/paraquat </w:t>
      </w:r>
      <w:r w:rsidRPr="00C51CC9">
        <w:t xml:space="preserve">combination toxicity values for non-target species. For further details on the estimation method, please refer to the </w:t>
      </w:r>
      <w:bookmarkStart w:id="543" w:name="_Hlk215235554"/>
      <w:r>
        <w:fldChar w:fldCharType="begin"/>
      </w:r>
      <w:r>
        <w:instrText>HYPERLINK "https://www.apvma.gov.au/registrations-and-permits/data-guidelines/risk-assessment-manuals/environment"</w:instrText>
      </w:r>
      <w:r>
        <w:fldChar w:fldCharType="separate"/>
      </w:r>
      <w:r w:rsidRPr="00FD5491">
        <w:rPr>
          <w:rStyle w:val="Hyperlink"/>
          <w:szCs w:val="19"/>
        </w:rPr>
        <w:t>APVMA Risk Assessment Manual – Environment</w:t>
      </w:r>
      <w:r>
        <w:fldChar w:fldCharType="end"/>
      </w:r>
      <w:bookmarkEnd w:id="543"/>
      <w:r w:rsidRPr="00C51CC9">
        <w:t>. All combination toxicity endpoints are expressed in terms of total active constituents (acs).</w:t>
      </w:r>
    </w:p>
    <w:p w14:paraId="33B185E9" w14:textId="6FB7A684" w:rsidR="00931B9D" w:rsidRPr="00C51CC9" w:rsidRDefault="00931B9D" w:rsidP="00BC7034">
      <w:pPr>
        <w:pStyle w:val="NormalText"/>
      </w:pPr>
      <w:r w:rsidRPr="00C51CC9">
        <w:t>A representative combination product containing 115 g/L diquat and 135 g/L paraquat had moderate toxicity to rats (LD</w:t>
      </w:r>
      <w:r w:rsidRPr="00C51CC9">
        <w:rPr>
          <w:vertAlign w:val="subscript"/>
        </w:rPr>
        <w:t>50</w:t>
      </w:r>
      <w:r w:rsidRPr="00C51CC9">
        <w:t xml:space="preserve"> 119 mg acs/kg bw, </w:t>
      </w:r>
      <w:r w:rsidRPr="00C51CC9">
        <w:rPr>
          <w:i/>
          <w:iCs/>
        </w:rPr>
        <w:t>Rattus norvegicus</w:t>
      </w:r>
      <w:r w:rsidRPr="00C51CC9">
        <w:t>). No data are available on the toxicity of a representative combination product containing 115 g/L diquat and 135 g/L paraquat to any other non-target species. Therefore, combination toxicity to non-target species was estimated assuming additive toxicity of the active constituents. Based on available data, the diquat/paraquat combination products were predicted to have high toxicity to mammals (geomean LD</w:t>
      </w:r>
      <w:r w:rsidRPr="00C51CC9">
        <w:rPr>
          <w:vertAlign w:val="subscript"/>
        </w:rPr>
        <w:t>50</w:t>
      </w:r>
      <w:r w:rsidRPr="00C51CC9">
        <w:t xml:space="preserve"> 76 mg acs/kg bw, 4 mammal species) and birds (</w:t>
      </w:r>
      <w:r w:rsidRPr="00640049">
        <w:t>geomean LD</w:t>
      </w:r>
      <w:r w:rsidRPr="00640049">
        <w:rPr>
          <w:vertAlign w:val="subscript"/>
        </w:rPr>
        <w:t>50</w:t>
      </w:r>
      <w:r w:rsidRPr="00640049">
        <w:t xml:space="preserve"> 62 mg acs/kg bw, 3 bird species). Therefore, the following hazard statement is re</w:t>
      </w:r>
      <w:r w:rsidR="004932D5">
        <w:t>commended</w:t>
      </w:r>
      <w:r w:rsidRPr="00640049">
        <w:t xml:space="preserve"> on diquat/paraquat combination product labels (followed by an appropriate risk management statement).</w:t>
      </w:r>
    </w:p>
    <w:p w14:paraId="3C6B0A3F" w14:textId="416670B1" w:rsidR="00931B9D" w:rsidRPr="00BC7034" w:rsidRDefault="00931B9D" w:rsidP="00BC7034">
      <w:pPr>
        <w:pStyle w:val="NormalText"/>
        <w:ind w:left="567"/>
        <w:rPr>
          <w:i/>
          <w:iCs/>
        </w:rPr>
      </w:pPr>
      <w:r w:rsidRPr="00BC7034">
        <w:rPr>
          <w:i/>
          <w:iCs/>
        </w:rPr>
        <w:t>Toxic to birds and native mammals</w:t>
      </w:r>
      <w:r w:rsidR="004D56AE">
        <w:rPr>
          <w:i/>
          <w:iCs/>
        </w:rPr>
        <w:t xml:space="preserve">. </w:t>
      </w:r>
      <w:r w:rsidR="004D56AE" w:rsidRPr="00D63217">
        <w:rPr>
          <w:szCs w:val="17"/>
        </w:rPr>
        <w:t>However, the use of this product as directed is not expected to have adverse effects on birds</w:t>
      </w:r>
      <w:r w:rsidR="004D56AE" w:rsidRPr="00D63217">
        <w:t xml:space="preserve"> </w:t>
      </w:r>
      <w:r w:rsidR="004D56AE" w:rsidRPr="00D63217">
        <w:rPr>
          <w:szCs w:val="17"/>
        </w:rPr>
        <w:t>and native mammals</w:t>
      </w:r>
      <w:r w:rsidRPr="00BC7034">
        <w:rPr>
          <w:i/>
          <w:iCs/>
        </w:rPr>
        <w:t>.</w:t>
      </w:r>
    </w:p>
    <w:p w14:paraId="7174DB1D" w14:textId="77777777" w:rsidR="00931B9D" w:rsidRPr="00435E7F" w:rsidRDefault="00931B9D" w:rsidP="00BC7034">
      <w:pPr>
        <w:pStyle w:val="NormalText"/>
      </w:pPr>
      <w:r w:rsidRPr="00435E7F">
        <w:t>In aquatic systems, diquat and paraquat dissipate quickly from the water column under natural conditions due to rapid adsorption to sediment and suspended particulates; therefore, the aquatic endpoints were first adjusted to account for their expected dissipation under natural conditions prior to deriving the combination toxicity estimates. Although field data on diquat suggest a more rapid half-life, the more conservative water DT</w:t>
      </w:r>
      <w:r w:rsidRPr="00435E7F">
        <w:rPr>
          <w:vertAlign w:val="subscript"/>
        </w:rPr>
        <w:t>50</w:t>
      </w:r>
      <w:r w:rsidRPr="00435E7F">
        <w:t xml:space="preserve"> of 7.0 days for paraquat has been utilised for both chemicals to avoid artificially skewing the relative toxicity contributions toward paraquat.</w:t>
      </w:r>
    </w:p>
    <w:p w14:paraId="2B06EBA3" w14:textId="737BF9AE" w:rsidR="00931B9D" w:rsidRPr="00435E7F" w:rsidRDefault="00931B9D" w:rsidP="00BC7034">
      <w:pPr>
        <w:pStyle w:val="NormalText"/>
      </w:pPr>
      <w:r w:rsidRPr="00435E7F">
        <w:t>After considering the exposure periods for each of the aquatic endpoints and rapid dissipation under natural conditions, the diquat/</w:t>
      </w:r>
      <w:r w:rsidRPr="00BF3265">
        <w:t>paraquat combination products were predicted to have moderate toxicity to fish (LC</w:t>
      </w:r>
      <w:r w:rsidRPr="00BF3265">
        <w:rPr>
          <w:vertAlign w:val="subscript"/>
        </w:rPr>
        <w:t>50</w:t>
      </w:r>
      <w:r w:rsidRPr="00BF3265">
        <w:t xml:space="preserve"> 1.7 mg acs/L for most sensitive species) and</w:t>
      </w:r>
      <w:r w:rsidRPr="00435E7F">
        <w:t xml:space="preserve"> </w:t>
      </w:r>
      <w:r w:rsidRPr="00BF3265">
        <w:t>aquatic invertebrates (lowest LC</w:t>
      </w:r>
      <w:r w:rsidRPr="00BF3265">
        <w:rPr>
          <w:vertAlign w:val="subscript"/>
        </w:rPr>
        <w:t>50</w:t>
      </w:r>
      <w:r w:rsidRPr="00BF3265">
        <w:t xml:space="preserve"> 0.15 mg acs/L, </w:t>
      </w:r>
      <w:r w:rsidRPr="00BF3265">
        <w:rPr>
          <w:i/>
          <w:iCs/>
        </w:rPr>
        <w:t>Hyalella azteca</w:t>
      </w:r>
      <w:r w:rsidRPr="00BF3265">
        <w:t>), and</w:t>
      </w:r>
      <w:r w:rsidRPr="00435E7F">
        <w:t xml:space="preserve"> high toxicity to primary </w:t>
      </w:r>
      <w:r w:rsidRPr="00640049">
        <w:t>producers (geomean E</w:t>
      </w:r>
      <w:r w:rsidRPr="00640049">
        <w:rPr>
          <w:vertAlign w:val="subscript"/>
        </w:rPr>
        <w:t>r</w:t>
      </w:r>
      <w:r w:rsidRPr="00640049">
        <w:t>C</w:t>
      </w:r>
      <w:r w:rsidRPr="00640049">
        <w:rPr>
          <w:vertAlign w:val="subscript"/>
        </w:rPr>
        <w:t>50</w:t>
      </w:r>
      <w:r w:rsidRPr="00640049">
        <w:t xml:space="preserve"> 0.010 mg acs/L, 3 algal</w:t>
      </w:r>
      <w:r w:rsidRPr="00BF3265">
        <w:t xml:space="preserve"> and 2 aquatic plant species</w:t>
      </w:r>
      <w:r w:rsidRPr="00435E7F">
        <w:t>). Therefore, the following protection statement is re</w:t>
      </w:r>
      <w:r w:rsidR="004932D5">
        <w:t>commended</w:t>
      </w:r>
      <w:r w:rsidRPr="00435E7F">
        <w:t xml:space="preserve"> on diquat/paraquat combination product labels.</w:t>
      </w:r>
    </w:p>
    <w:p w14:paraId="438A88AF" w14:textId="77777777" w:rsidR="00931B9D" w:rsidRPr="00F146AE" w:rsidRDefault="00931B9D" w:rsidP="007E28B2">
      <w:pPr>
        <w:pStyle w:val="NormalText"/>
        <w:ind w:left="567"/>
      </w:pPr>
      <w:r w:rsidRPr="00F146AE">
        <w:lastRenderedPageBreak/>
        <w:t>Very toxic to aquatic life. DO NOT contaminate wetlands or watercourses with this product or used containers.</w:t>
      </w:r>
    </w:p>
    <w:p w14:paraId="34AA6B74" w14:textId="242BA06A" w:rsidR="00931B9D" w:rsidRPr="00C51CC9" w:rsidRDefault="00931B9D" w:rsidP="007E28B2">
      <w:pPr>
        <w:pStyle w:val="NormalText"/>
      </w:pPr>
      <w:r w:rsidRPr="00C51CC9">
        <w:t>Based on available data, the diquat/paraquat combination products were predicted to have moderate toxicity to bees by contact exposure (LD</w:t>
      </w:r>
      <w:r w:rsidRPr="00C51CC9">
        <w:rPr>
          <w:vertAlign w:val="subscript"/>
        </w:rPr>
        <w:t>50</w:t>
      </w:r>
      <w:r w:rsidRPr="00C51CC9">
        <w:t xml:space="preserve"> 26 µg acs/bee, </w:t>
      </w:r>
      <w:r w:rsidRPr="00C51CC9">
        <w:rPr>
          <w:i/>
          <w:iCs/>
        </w:rPr>
        <w:t>Apis mellifera</w:t>
      </w:r>
      <w:r w:rsidRPr="00C51CC9">
        <w:t>) and oral exposure (LD</w:t>
      </w:r>
      <w:r w:rsidRPr="00C51CC9">
        <w:rPr>
          <w:vertAlign w:val="subscript"/>
        </w:rPr>
        <w:t>50</w:t>
      </w:r>
      <w:r w:rsidRPr="00C51CC9">
        <w:t xml:space="preserve"> 16 µg acs/bee, </w:t>
      </w:r>
      <w:r w:rsidRPr="00C51CC9">
        <w:rPr>
          <w:i/>
          <w:iCs/>
        </w:rPr>
        <w:t>Apis mellifera</w:t>
      </w:r>
      <w:r w:rsidRPr="00C51CC9">
        <w:t>). For the protection of pollinator areas, the RAL for the spray drift assessment is 4,333 g acs/ha based on the predicted contact LD</w:t>
      </w:r>
      <w:r w:rsidRPr="00C51CC9">
        <w:rPr>
          <w:vertAlign w:val="subscript"/>
        </w:rPr>
        <w:t>50</w:t>
      </w:r>
      <w:r w:rsidRPr="00C51CC9">
        <w:t xml:space="preserve"> </w:t>
      </w:r>
      <w:r w:rsidR="00692862">
        <w:t xml:space="preserve">of </w:t>
      </w:r>
      <w:r w:rsidRPr="00C51CC9">
        <w:t xml:space="preserve">26 µg acs/bee and a conversion factor of LOC 0.4 / ExpE 2.4 * 1,000 as per the APVMA’s </w:t>
      </w:r>
      <w:hyperlink r:id="rId47" w:history="1">
        <w:r w:rsidRPr="00FD5491">
          <w:rPr>
            <w:rStyle w:val="Hyperlink"/>
            <w:szCs w:val="19"/>
          </w:rPr>
          <w:t>Spray drift risk assessment manual</w:t>
        </w:r>
      </w:hyperlink>
      <w:r w:rsidRPr="00C51CC9">
        <w:t xml:space="preserve"> (SDRAM).</w:t>
      </w:r>
    </w:p>
    <w:p w14:paraId="08E91EBB" w14:textId="6E030F82" w:rsidR="00931B9D" w:rsidRPr="00C51CC9" w:rsidRDefault="00931B9D" w:rsidP="007E28B2">
      <w:pPr>
        <w:pStyle w:val="NormalText"/>
      </w:pPr>
      <w:r w:rsidRPr="00C51CC9">
        <w:t>Based on the available data, the LR</w:t>
      </w:r>
      <w:r w:rsidRPr="00C51CC9">
        <w:rPr>
          <w:vertAlign w:val="subscript"/>
        </w:rPr>
        <w:t>50</w:t>
      </w:r>
      <w:r w:rsidRPr="00C51CC9">
        <w:t xml:space="preserve"> values for the indicator species of predatory arthropods (predatory mite </w:t>
      </w:r>
      <w:r w:rsidRPr="00C51CC9">
        <w:rPr>
          <w:i/>
          <w:iCs/>
        </w:rPr>
        <w:t>Typhlodromus pyri</w:t>
      </w:r>
      <w:r w:rsidRPr="00C51CC9">
        <w:t>) were predicted to be 2.3 g acs/ha (tier 1) and 5.6 g acs/ha (tier 2). Insufficient data were available on the indicator species of parasitic arthropod</w:t>
      </w:r>
      <w:r w:rsidR="00692862">
        <w:t>s</w:t>
      </w:r>
      <w:r w:rsidRPr="00C51CC9">
        <w:t xml:space="preserve"> (parasitic wasp </w:t>
      </w:r>
      <w:r w:rsidRPr="00C51CC9">
        <w:rPr>
          <w:i/>
          <w:iCs/>
        </w:rPr>
        <w:t>Aphidius rhopalosiphi</w:t>
      </w:r>
      <w:r w:rsidRPr="00C51CC9">
        <w:t>) to estimate combination toxicity. The diquat/paraquat combination products were not expected to be toxic to ground arthropods such as rain beetles (</w:t>
      </w:r>
      <w:r w:rsidRPr="00C51CC9">
        <w:rPr>
          <w:i/>
          <w:iCs/>
        </w:rPr>
        <w:t>Pterostichus melanarius</w:t>
      </w:r>
      <w:r w:rsidRPr="00C51CC9">
        <w:t>), wolf spiders (</w:t>
      </w:r>
      <w:r w:rsidRPr="00C51CC9">
        <w:rPr>
          <w:i/>
          <w:iCs/>
        </w:rPr>
        <w:t>Pardosa</w:t>
      </w:r>
      <w:r w:rsidRPr="00C51CC9">
        <w:t xml:space="preserve"> sp.), and rove beetles (</w:t>
      </w:r>
      <w:r w:rsidRPr="00C51CC9">
        <w:rPr>
          <w:i/>
          <w:iCs/>
        </w:rPr>
        <w:t>Aleochara bilineata</w:t>
      </w:r>
      <w:r w:rsidRPr="00C51CC9">
        <w:t>).</w:t>
      </w:r>
    </w:p>
    <w:p w14:paraId="724C9A63" w14:textId="77777777" w:rsidR="00931B9D" w:rsidRPr="00C51CC9" w:rsidRDefault="00931B9D" w:rsidP="007E28B2">
      <w:pPr>
        <w:pStyle w:val="NormalText"/>
      </w:pPr>
      <w:r w:rsidRPr="00C51CC9">
        <w:t>Based on available data, any toxicity to soil macro-organisms such as earthworms would be attributed to diquat. The diquat/paraquat combination products are not expected to adversely influence soil processes such as nitrification.</w:t>
      </w:r>
    </w:p>
    <w:p w14:paraId="7FCBB97A" w14:textId="4B25DF1B" w:rsidR="00931B9D" w:rsidRPr="00931B9D" w:rsidRDefault="00931B9D" w:rsidP="007E28B2">
      <w:pPr>
        <w:pStyle w:val="NormalText"/>
      </w:pPr>
      <w:r w:rsidRPr="00C51CC9">
        <w:t xml:space="preserve">Because both diquat and paraquat have low toxicity to non-target terrestrial plants following pre-emergent exposure (seedling emergence </w:t>
      </w:r>
      <w:r w:rsidRPr="00640049">
        <w:t xml:space="preserve">tests), </w:t>
      </w:r>
      <w:r w:rsidR="004932D5">
        <w:t xml:space="preserve">hence </w:t>
      </w:r>
      <w:r w:rsidRPr="00640049">
        <w:t xml:space="preserve">post-emergent exposure data (vegetative vigour tests) were </w:t>
      </w:r>
      <w:r w:rsidR="004932D5">
        <w:t xml:space="preserve">alone </w:t>
      </w:r>
      <w:r w:rsidRPr="00640049">
        <w:t>considered. Based on available data, predicted ER</w:t>
      </w:r>
      <w:r w:rsidRPr="00640049">
        <w:rPr>
          <w:vertAlign w:val="subscript"/>
        </w:rPr>
        <w:t>50</w:t>
      </w:r>
      <w:r w:rsidRPr="00640049">
        <w:t xml:space="preserve"> values following post-emergent exposure ranged </w:t>
      </w:r>
      <w:r w:rsidR="00692862">
        <w:t xml:space="preserve">from </w:t>
      </w:r>
      <w:r w:rsidRPr="00640049">
        <w:t xml:space="preserve">19 g acs/ha for the most sensitive species (cabbage or rough cocklebur) to &gt;446 g acs/ha for common </w:t>
      </w:r>
      <w:r w:rsidRPr="00931B9D">
        <w:t>bean. An SSD analysis was performed on the post-emergent ER</w:t>
      </w:r>
      <w:r w:rsidRPr="00931B9D">
        <w:rPr>
          <w:vertAlign w:val="subscript"/>
        </w:rPr>
        <w:t>50</w:t>
      </w:r>
      <w:r w:rsidRPr="00931B9D">
        <w:t xml:space="preserve"> values for 6 non-target terrestrial plant species. An HR</w:t>
      </w:r>
      <w:r w:rsidRPr="00931B9D">
        <w:rPr>
          <w:vertAlign w:val="subscript"/>
        </w:rPr>
        <w:t>5</w:t>
      </w:r>
      <w:r w:rsidRPr="00931B9D">
        <w:t xml:space="preserve"> of 15 g acs/ha was derived (</w:t>
      </w:r>
      <w:r w:rsidRPr="00931B9D">
        <w:fldChar w:fldCharType="begin"/>
      </w:r>
      <w:r w:rsidRPr="00931B9D">
        <w:instrText xml:space="preserve"> REF _Ref167303891 \h </w:instrText>
      </w:r>
      <w:r>
        <w:instrText xml:space="preserve"> \* MERGEFORMAT </w:instrText>
      </w:r>
      <w:r w:rsidRPr="00931B9D">
        <w:fldChar w:fldCharType="separate"/>
      </w:r>
      <w:r w:rsidR="008A397D" w:rsidRPr="008A397D">
        <w:t xml:space="preserve">Table </w:t>
      </w:r>
      <w:r w:rsidR="008A397D" w:rsidRPr="008A397D">
        <w:rPr>
          <w:noProof/>
        </w:rPr>
        <w:t>39</w:t>
      </w:r>
      <w:r w:rsidRPr="00931B9D">
        <w:fldChar w:fldCharType="end"/>
      </w:r>
      <w:r w:rsidRPr="00931B9D">
        <w:t>), which is lower than the lowest ER</w:t>
      </w:r>
      <w:r w:rsidRPr="00931B9D">
        <w:rPr>
          <w:vertAlign w:val="subscript"/>
        </w:rPr>
        <w:t>50</w:t>
      </w:r>
      <w:r w:rsidRPr="00931B9D">
        <w:t xml:space="preserve"> value. As such, 15 g acs/ha was selected as the RAL for the protection of vegetation areas.</w:t>
      </w:r>
    </w:p>
    <w:p w14:paraId="459784B7" w14:textId="6B4CDC6E" w:rsidR="00931B9D" w:rsidRPr="00C51CC9" w:rsidRDefault="00931B9D" w:rsidP="007E28B2">
      <w:pPr>
        <w:pStyle w:val="NormalText"/>
      </w:pPr>
      <w:r w:rsidRPr="00931B9D">
        <w:t xml:space="preserve">The regulatory acceptable levels for the environmental risk assessment are </w:t>
      </w:r>
      <w:r w:rsidR="00E77589">
        <w:t>listed</w:t>
      </w:r>
      <w:r w:rsidR="00E77589" w:rsidRPr="00931B9D">
        <w:t xml:space="preserve"> </w:t>
      </w:r>
      <w:r w:rsidRPr="00931B9D">
        <w:t xml:space="preserve">in </w:t>
      </w:r>
      <w:r w:rsidRPr="00931B9D">
        <w:fldChar w:fldCharType="begin"/>
      </w:r>
      <w:r w:rsidRPr="00931B9D">
        <w:instrText xml:space="preserve"> REF _Ref167303882 \h </w:instrText>
      </w:r>
      <w:r>
        <w:instrText xml:space="preserve"> \* MERGEFORMAT </w:instrText>
      </w:r>
      <w:r w:rsidRPr="00931B9D">
        <w:fldChar w:fldCharType="separate"/>
      </w:r>
      <w:r w:rsidR="008A397D" w:rsidRPr="008A397D">
        <w:t xml:space="preserve">Table </w:t>
      </w:r>
      <w:r w:rsidR="008A397D" w:rsidRPr="008A397D">
        <w:rPr>
          <w:noProof/>
        </w:rPr>
        <w:t>40</w:t>
      </w:r>
      <w:r w:rsidRPr="00931B9D">
        <w:fldChar w:fldCharType="end"/>
      </w:r>
      <w:r w:rsidRPr="00931B9D">
        <w:t>, which are based on predicted toxicity values. The RAL values for the spray drift assessment are 1.0 µg acs/L for the protection of</w:t>
      </w:r>
      <w:r w:rsidRPr="00640049">
        <w:t xml:space="preserve"> natural aquatic areas, 4,333 g acs/ha</w:t>
      </w:r>
      <w:r w:rsidRPr="00640049">
        <w:rPr>
          <w:rStyle w:val="FootnoteReference"/>
          <w:szCs w:val="19"/>
        </w:rPr>
        <w:footnoteReference w:id="27"/>
      </w:r>
      <w:r w:rsidRPr="00640049">
        <w:t xml:space="preserve"> for the protection of pollinator areas, and 15 g acs/ha for the</w:t>
      </w:r>
      <w:r w:rsidRPr="00C51CC9">
        <w:t xml:space="preserve"> protection of vegetation areas.</w:t>
      </w:r>
    </w:p>
    <w:p w14:paraId="33F8F94B" w14:textId="2EC01BCB" w:rsidR="00C2168A" w:rsidRPr="007E28B2" w:rsidRDefault="009D61A7" w:rsidP="007E28B2">
      <w:pPr>
        <w:pStyle w:val="Caption"/>
      </w:pPr>
      <w:bookmarkStart w:id="544" w:name="_Ref167303891"/>
      <w:bookmarkStart w:id="545" w:name="_Toc230692305"/>
      <w:bookmarkStart w:id="546" w:name="_Toc233036526"/>
      <w:bookmarkEnd w:id="542"/>
      <w:r w:rsidRPr="007E28B2">
        <w:t xml:space="preserve">Table </w:t>
      </w:r>
      <w:fldSimple w:instr=" SEQ Table \* ARABIC ">
        <w:r w:rsidR="007E28B2">
          <w:rPr>
            <w:noProof/>
          </w:rPr>
          <w:t>39</w:t>
        </w:r>
      </w:fldSimple>
      <w:bookmarkEnd w:id="544"/>
      <w:r w:rsidR="00C2168A" w:rsidRPr="007E28B2">
        <w:t>:</w:t>
      </w:r>
      <w:r w:rsidRPr="007E28B2">
        <w:t xml:space="preserve"> </w:t>
      </w:r>
      <w:r w:rsidR="00C2168A" w:rsidRPr="007E28B2">
        <w:t>Diquat</w:t>
      </w:r>
      <w:r w:rsidR="007B375C" w:rsidRPr="007E28B2">
        <w:t xml:space="preserve"> (115 g/L)</w:t>
      </w:r>
      <w:r w:rsidR="00C2168A" w:rsidRPr="007E28B2">
        <w:t>/paraquat</w:t>
      </w:r>
      <w:r w:rsidR="007B375C" w:rsidRPr="007E28B2">
        <w:t xml:space="preserve"> (135 g/L)</w:t>
      </w:r>
      <w:r w:rsidR="00C2168A" w:rsidRPr="007E28B2">
        <w:t xml:space="preserve"> combination products - Predicted toxicity endpoints for non-target terrestrial plants (post-emergent exposure) used in SSD analysis</w:t>
      </w:r>
      <w:bookmarkEnd w:id="545"/>
      <w:bookmarkEnd w:id="5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56"/>
        <w:gridCol w:w="2272"/>
      </w:tblGrid>
      <w:tr w:rsidR="00C2168A" w:rsidRPr="00D63217" w14:paraId="069352AF" w14:textId="77777777" w:rsidTr="0028336D">
        <w:trPr>
          <w:tblHeader/>
        </w:trPr>
        <w:tc>
          <w:tcPr>
            <w:tcW w:w="0" w:type="auto"/>
            <w:tcBorders>
              <w:bottom w:val="single" w:sz="4" w:space="0" w:color="auto"/>
            </w:tcBorders>
            <w:shd w:val="clear" w:color="auto" w:fill="5C2946"/>
          </w:tcPr>
          <w:p w14:paraId="71809141" w14:textId="77777777" w:rsidR="00C2168A" w:rsidRPr="00D63217" w:rsidRDefault="00C2168A" w:rsidP="007E28B2">
            <w:pPr>
              <w:pStyle w:val="TableHead"/>
            </w:pPr>
            <w:r w:rsidRPr="00D63217">
              <w:t>Species</w:t>
            </w:r>
          </w:p>
        </w:tc>
        <w:tc>
          <w:tcPr>
            <w:tcW w:w="0" w:type="auto"/>
            <w:tcBorders>
              <w:bottom w:val="single" w:sz="4" w:space="0" w:color="auto"/>
            </w:tcBorders>
            <w:shd w:val="clear" w:color="auto" w:fill="5C2946"/>
          </w:tcPr>
          <w:p w14:paraId="6C5150BD" w14:textId="77777777" w:rsidR="00C2168A" w:rsidRPr="00D63217" w:rsidRDefault="00C2168A" w:rsidP="007E28B2">
            <w:pPr>
              <w:pStyle w:val="TableHead"/>
              <w:jc w:val="right"/>
            </w:pPr>
            <w:r w:rsidRPr="00D63217">
              <w:t>Predicted ER</w:t>
            </w:r>
            <w:r w:rsidRPr="00D63217">
              <w:rPr>
                <w:vertAlign w:val="subscript"/>
              </w:rPr>
              <w:t>50</w:t>
            </w:r>
          </w:p>
        </w:tc>
      </w:tr>
      <w:tr w:rsidR="00C2168A" w:rsidRPr="00D63217" w14:paraId="5179EF4A" w14:textId="77777777" w:rsidTr="00816969">
        <w:tc>
          <w:tcPr>
            <w:tcW w:w="0" w:type="auto"/>
            <w:tcBorders>
              <w:top w:val="single" w:sz="4" w:space="0" w:color="auto"/>
              <w:left w:val="nil"/>
              <w:bottom w:val="nil"/>
              <w:right w:val="nil"/>
            </w:tcBorders>
          </w:tcPr>
          <w:p w14:paraId="58E45573" w14:textId="0D72190E" w:rsidR="00C2168A" w:rsidRPr="007E28B2" w:rsidRDefault="00C2168A" w:rsidP="007E28B2">
            <w:pPr>
              <w:pStyle w:val="TableText"/>
              <w:rPr>
                <w:i/>
                <w:iCs/>
              </w:rPr>
            </w:pPr>
            <w:r w:rsidRPr="007E28B2">
              <w:rPr>
                <w:i/>
                <w:iCs/>
              </w:rPr>
              <w:t>Sensitive species (Brassica oleracea/Xanthium strumarium)</w:t>
            </w:r>
            <w:r w:rsidR="00816969" w:rsidRPr="007E28B2">
              <w:rPr>
                <w:i/>
                <w:iCs/>
              </w:rPr>
              <w:br/>
            </w:r>
            <w:r w:rsidRPr="007E28B2">
              <w:rPr>
                <w:i/>
                <w:iCs/>
              </w:rPr>
              <w:t>Beta vulgaris</w:t>
            </w:r>
            <w:r w:rsidR="00816969" w:rsidRPr="007E28B2">
              <w:rPr>
                <w:i/>
                <w:iCs/>
              </w:rPr>
              <w:br/>
            </w:r>
            <w:r w:rsidRPr="007E28B2">
              <w:rPr>
                <w:i/>
                <w:iCs/>
              </w:rPr>
              <w:t>Lolium perenne</w:t>
            </w:r>
            <w:r w:rsidR="007B375C" w:rsidRPr="007E28B2" w:rsidDel="007B375C">
              <w:rPr>
                <w:i/>
                <w:iCs/>
              </w:rPr>
              <w:t xml:space="preserve"> </w:t>
            </w:r>
            <w:r w:rsidR="00816969" w:rsidRPr="007E28B2">
              <w:rPr>
                <w:i/>
                <w:iCs/>
              </w:rPr>
              <w:br/>
            </w:r>
            <w:r w:rsidRPr="007E28B2">
              <w:rPr>
                <w:i/>
                <w:iCs/>
              </w:rPr>
              <w:t>Allium cepa</w:t>
            </w:r>
            <w:r w:rsidR="00816969" w:rsidRPr="007E28B2">
              <w:rPr>
                <w:i/>
                <w:iCs/>
              </w:rPr>
              <w:br/>
            </w:r>
            <w:r w:rsidRPr="007E28B2">
              <w:rPr>
                <w:i/>
                <w:iCs/>
              </w:rPr>
              <w:t>Zea mays</w:t>
            </w:r>
            <w:r w:rsidR="00816969" w:rsidRPr="007E28B2">
              <w:rPr>
                <w:i/>
                <w:iCs/>
              </w:rPr>
              <w:br/>
            </w:r>
            <w:r w:rsidR="006D7C8D" w:rsidRPr="007E28B2">
              <w:rPr>
                <w:i/>
                <w:iCs/>
              </w:rPr>
              <w:t>Phaseolus vulgaris</w:t>
            </w:r>
          </w:p>
        </w:tc>
        <w:tc>
          <w:tcPr>
            <w:tcW w:w="0" w:type="auto"/>
            <w:tcBorders>
              <w:top w:val="single" w:sz="4" w:space="0" w:color="auto"/>
              <w:left w:val="nil"/>
              <w:bottom w:val="nil"/>
              <w:right w:val="nil"/>
            </w:tcBorders>
          </w:tcPr>
          <w:p w14:paraId="622F73CA" w14:textId="46FD5D3C" w:rsidR="00C2168A" w:rsidRPr="00D63217" w:rsidRDefault="00C2168A" w:rsidP="007E28B2">
            <w:pPr>
              <w:pStyle w:val="TableText"/>
              <w:jc w:val="right"/>
            </w:pPr>
            <w:r w:rsidRPr="00D63217">
              <w:t>19 g ac</w:t>
            </w:r>
            <w:r w:rsidR="00017CE7" w:rsidRPr="00D63217">
              <w:t>s</w:t>
            </w:r>
            <w:r w:rsidRPr="00D63217">
              <w:t>/ha</w:t>
            </w:r>
            <w:r w:rsidR="00816969" w:rsidRPr="00D63217">
              <w:br/>
            </w:r>
            <w:r w:rsidRPr="00D63217">
              <w:t>50 g ac</w:t>
            </w:r>
            <w:r w:rsidR="00017CE7" w:rsidRPr="00D63217">
              <w:t>s</w:t>
            </w:r>
            <w:r w:rsidRPr="00D63217">
              <w:t>/ha</w:t>
            </w:r>
            <w:r w:rsidR="00816969" w:rsidRPr="00D63217">
              <w:br/>
            </w:r>
            <w:r w:rsidRPr="00D63217">
              <w:t>61 g ac</w:t>
            </w:r>
            <w:r w:rsidR="00017CE7" w:rsidRPr="00D63217">
              <w:t>s</w:t>
            </w:r>
            <w:r w:rsidRPr="00D63217">
              <w:t>/ha</w:t>
            </w:r>
            <w:r w:rsidR="006D7C8D" w:rsidRPr="00D63217" w:rsidDel="006D7C8D">
              <w:t xml:space="preserve"> </w:t>
            </w:r>
            <w:r w:rsidR="00816969" w:rsidRPr="00D63217">
              <w:br/>
            </w:r>
            <w:r w:rsidRPr="00D63217">
              <w:t>173 g ac</w:t>
            </w:r>
            <w:r w:rsidR="00017CE7" w:rsidRPr="00D63217">
              <w:t>s</w:t>
            </w:r>
            <w:r w:rsidRPr="00D63217">
              <w:t>/ha</w:t>
            </w:r>
            <w:r w:rsidR="00816969" w:rsidRPr="00D63217">
              <w:br/>
            </w:r>
            <w:r w:rsidRPr="00D63217">
              <w:t>206 g ac</w:t>
            </w:r>
            <w:r w:rsidR="00017CE7" w:rsidRPr="00D63217">
              <w:t>s</w:t>
            </w:r>
            <w:r w:rsidRPr="00D63217">
              <w:t>/ha</w:t>
            </w:r>
            <w:r w:rsidR="00816969" w:rsidRPr="00D63217">
              <w:br/>
            </w:r>
            <w:r w:rsidR="006D7C8D">
              <w:t>&gt;446</w:t>
            </w:r>
            <w:r w:rsidRPr="00D63217">
              <w:t xml:space="preserve"> g ac</w:t>
            </w:r>
            <w:r w:rsidR="00017CE7" w:rsidRPr="00D63217">
              <w:t>s</w:t>
            </w:r>
            <w:r w:rsidRPr="00D63217">
              <w:t>/ha</w:t>
            </w:r>
          </w:p>
        </w:tc>
      </w:tr>
      <w:tr w:rsidR="00C2168A" w:rsidRPr="00D63217" w14:paraId="0E1FFDE3" w14:textId="77777777" w:rsidTr="00816969">
        <w:tc>
          <w:tcPr>
            <w:tcW w:w="0" w:type="auto"/>
            <w:tcBorders>
              <w:top w:val="nil"/>
              <w:left w:val="nil"/>
              <w:bottom w:val="single" w:sz="4" w:space="0" w:color="auto"/>
              <w:right w:val="nil"/>
            </w:tcBorders>
          </w:tcPr>
          <w:p w14:paraId="4DDDBABB" w14:textId="77777777" w:rsidR="00C2168A" w:rsidRPr="00D63217" w:rsidRDefault="00C2168A" w:rsidP="007E28B2">
            <w:pPr>
              <w:pStyle w:val="TableText"/>
            </w:pPr>
          </w:p>
        </w:tc>
        <w:tc>
          <w:tcPr>
            <w:tcW w:w="0" w:type="auto"/>
            <w:tcBorders>
              <w:top w:val="nil"/>
              <w:left w:val="nil"/>
              <w:bottom w:val="single" w:sz="4" w:space="0" w:color="auto"/>
              <w:right w:val="nil"/>
            </w:tcBorders>
          </w:tcPr>
          <w:p w14:paraId="25782B40" w14:textId="6B62BCD1" w:rsidR="00C2168A" w:rsidRPr="00D63217" w:rsidRDefault="00C2168A" w:rsidP="007E28B2">
            <w:pPr>
              <w:pStyle w:val="TableText"/>
              <w:jc w:val="right"/>
            </w:pPr>
            <w:r w:rsidRPr="00D63217">
              <w:t>HR</w:t>
            </w:r>
            <w:r w:rsidRPr="00D63217">
              <w:rPr>
                <w:vertAlign w:val="subscript"/>
              </w:rPr>
              <w:t>5</w:t>
            </w:r>
            <w:r w:rsidRPr="00D63217">
              <w:t xml:space="preserve"> </w:t>
            </w:r>
            <w:r w:rsidR="006D7C8D">
              <w:t>15</w:t>
            </w:r>
            <w:r w:rsidR="006D7C8D" w:rsidRPr="00D63217">
              <w:t xml:space="preserve"> </w:t>
            </w:r>
            <w:r w:rsidRPr="00D63217">
              <w:t>g ac</w:t>
            </w:r>
            <w:r w:rsidR="008761AA" w:rsidRPr="00D63217">
              <w:t>s</w:t>
            </w:r>
            <w:r w:rsidRPr="00D63217">
              <w:t>/ha</w:t>
            </w:r>
            <w:r w:rsidR="00816969" w:rsidRPr="00D63217">
              <w:br/>
            </w:r>
            <w:r w:rsidRPr="00D63217">
              <w:t xml:space="preserve">(95% CI </w:t>
            </w:r>
            <w:r w:rsidR="006D7C8D">
              <w:t>2.4</w:t>
            </w:r>
            <w:r w:rsidRPr="00D63217">
              <w:t>-</w:t>
            </w:r>
            <w:r w:rsidR="006D7C8D">
              <w:t>78</w:t>
            </w:r>
            <w:r w:rsidRPr="00D63217">
              <w:t>)</w:t>
            </w:r>
            <w:r w:rsidR="008A42E8">
              <w:rPr>
                <w:rStyle w:val="FootnoteReference"/>
                <w:szCs w:val="17"/>
              </w:rPr>
              <w:footnoteReference w:id="28"/>
            </w:r>
          </w:p>
        </w:tc>
      </w:tr>
    </w:tbl>
    <w:p w14:paraId="7C5B9373" w14:textId="5429120F" w:rsidR="00C2168A" w:rsidRPr="007E28B2" w:rsidRDefault="009D61A7" w:rsidP="007E28B2">
      <w:pPr>
        <w:pStyle w:val="Caption"/>
      </w:pPr>
      <w:bookmarkStart w:id="547" w:name="_Ref167303882"/>
      <w:bookmarkStart w:id="548" w:name="_Toc230692306"/>
      <w:bookmarkStart w:id="549" w:name="_Toc233036527"/>
      <w:bookmarkStart w:id="550" w:name="_Hlk157519028"/>
      <w:r w:rsidRPr="007E28B2">
        <w:t xml:space="preserve">Table </w:t>
      </w:r>
      <w:fldSimple w:instr=" SEQ Table \* ARABIC ">
        <w:r w:rsidR="007E28B2">
          <w:rPr>
            <w:noProof/>
          </w:rPr>
          <w:t>40</w:t>
        </w:r>
      </w:fldSimple>
      <w:bookmarkEnd w:id="547"/>
      <w:r w:rsidRPr="007E28B2">
        <w:t xml:space="preserve">: </w:t>
      </w:r>
      <w:r w:rsidR="00C2168A" w:rsidRPr="007E28B2">
        <w:t>Diquat</w:t>
      </w:r>
      <w:r w:rsidR="007B375C" w:rsidRPr="007E28B2">
        <w:t xml:space="preserve"> (115 g/L)</w:t>
      </w:r>
      <w:r w:rsidR="00C2168A" w:rsidRPr="007E28B2">
        <w:t>/paraquat</w:t>
      </w:r>
      <w:r w:rsidR="007B375C" w:rsidRPr="007E28B2">
        <w:t xml:space="preserve"> (135 g/L)</w:t>
      </w:r>
      <w:r w:rsidR="00C2168A" w:rsidRPr="007E28B2">
        <w:t xml:space="preserve"> combination products: regulatory acceptable levels for non-target species</w:t>
      </w:r>
      <w:bookmarkEnd w:id="548"/>
      <w:bookmarkEnd w:id="5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69"/>
        <w:gridCol w:w="1681"/>
        <w:gridCol w:w="2834"/>
        <w:gridCol w:w="566"/>
        <w:gridCol w:w="2078"/>
      </w:tblGrid>
      <w:tr w:rsidR="00C2168A" w:rsidRPr="00D63217" w14:paraId="6F6C0296" w14:textId="77777777" w:rsidTr="0028336D">
        <w:trPr>
          <w:cantSplit/>
          <w:tblHeader/>
        </w:trPr>
        <w:tc>
          <w:tcPr>
            <w:tcW w:w="1282" w:type="pct"/>
            <w:tcBorders>
              <w:bottom w:val="single" w:sz="4" w:space="0" w:color="auto"/>
            </w:tcBorders>
            <w:shd w:val="clear" w:color="auto" w:fill="5C2946"/>
          </w:tcPr>
          <w:p w14:paraId="6034A680" w14:textId="77777777" w:rsidR="00C2168A" w:rsidRPr="00D63217" w:rsidRDefault="00C2168A" w:rsidP="00DA171F">
            <w:pPr>
              <w:pStyle w:val="TableHead"/>
              <w:rPr>
                <w:lang w:eastAsia="en-AU"/>
              </w:rPr>
            </w:pPr>
            <w:r w:rsidRPr="00D63217">
              <w:rPr>
                <w:lang w:eastAsia="en-AU"/>
              </w:rPr>
              <w:t>Group</w:t>
            </w:r>
          </w:p>
        </w:tc>
        <w:tc>
          <w:tcPr>
            <w:tcW w:w="873" w:type="pct"/>
            <w:tcBorders>
              <w:bottom w:val="single" w:sz="4" w:space="0" w:color="auto"/>
            </w:tcBorders>
            <w:shd w:val="clear" w:color="auto" w:fill="5C2946"/>
          </w:tcPr>
          <w:p w14:paraId="5EE462ED" w14:textId="77777777" w:rsidR="00C2168A" w:rsidRPr="00D63217" w:rsidRDefault="00C2168A" w:rsidP="00DA171F">
            <w:pPr>
              <w:pStyle w:val="TableHead"/>
              <w:rPr>
                <w:lang w:eastAsia="en-AU"/>
              </w:rPr>
            </w:pPr>
            <w:r w:rsidRPr="00D63217">
              <w:rPr>
                <w:lang w:eastAsia="en-AU"/>
              </w:rPr>
              <w:t>Exposure</w:t>
            </w:r>
          </w:p>
        </w:tc>
        <w:tc>
          <w:tcPr>
            <w:tcW w:w="1472" w:type="pct"/>
            <w:tcBorders>
              <w:bottom w:val="single" w:sz="4" w:space="0" w:color="auto"/>
            </w:tcBorders>
            <w:shd w:val="clear" w:color="auto" w:fill="5C2946"/>
          </w:tcPr>
          <w:p w14:paraId="7AB4038C" w14:textId="77777777" w:rsidR="00C2168A" w:rsidRPr="00D63217" w:rsidRDefault="00C2168A" w:rsidP="00DA171F">
            <w:pPr>
              <w:pStyle w:val="TableHeadRight"/>
              <w:rPr>
                <w:lang w:eastAsia="en-AU"/>
              </w:rPr>
            </w:pPr>
            <w:r w:rsidRPr="00D63217">
              <w:rPr>
                <w:lang w:eastAsia="en-AU"/>
              </w:rPr>
              <w:t>Endpoint</w:t>
            </w:r>
          </w:p>
        </w:tc>
        <w:tc>
          <w:tcPr>
            <w:tcW w:w="294" w:type="pct"/>
            <w:tcBorders>
              <w:bottom w:val="single" w:sz="4" w:space="0" w:color="auto"/>
            </w:tcBorders>
            <w:shd w:val="clear" w:color="auto" w:fill="5C2946"/>
          </w:tcPr>
          <w:p w14:paraId="66F90FD0" w14:textId="77777777" w:rsidR="00C2168A" w:rsidRPr="00D63217" w:rsidRDefault="00C2168A" w:rsidP="00DA171F">
            <w:pPr>
              <w:pStyle w:val="TableHeadRight"/>
              <w:rPr>
                <w:lang w:eastAsia="en-AU"/>
              </w:rPr>
            </w:pPr>
            <w:r w:rsidRPr="00D63217">
              <w:rPr>
                <w:lang w:eastAsia="en-AU"/>
              </w:rPr>
              <w:t>AF</w:t>
            </w:r>
          </w:p>
        </w:tc>
        <w:tc>
          <w:tcPr>
            <w:tcW w:w="1079" w:type="pct"/>
            <w:tcBorders>
              <w:bottom w:val="single" w:sz="4" w:space="0" w:color="auto"/>
            </w:tcBorders>
            <w:shd w:val="clear" w:color="auto" w:fill="5C2946"/>
          </w:tcPr>
          <w:p w14:paraId="7BE08570" w14:textId="77777777" w:rsidR="00C2168A" w:rsidRPr="00D63217" w:rsidRDefault="00C2168A" w:rsidP="00DA171F">
            <w:pPr>
              <w:pStyle w:val="TableHeadRight"/>
              <w:rPr>
                <w:lang w:eastAsia="en-AU"/>
              </w:rPr>
            </w:pPr>
            <w:r w:rsidRPr="00D63217">
              <w:rPr>
                <w:lang w:eastAsia="en-AU"/>
              </w:rPr>
              <w:t>RAL</w:t>
            </w:r>
          </w:p>
        </w:tc>
      </w:tr>
      <w:tr w:rsidR="00C2168A" w:rsidRPr="00D63217" w14:paraId="62D9EA7F" w14:textId="77777777" w:rsidTr="007D1EF1">
        <w:trPr>
          <w:cantSplit/>
        </w:trPr>
        <w:tc>
          <w:tcPr>
            <w:tcW w:w="1282" w:type="pct"/>
            <w:tcBorders>
              <w:left w:val="nil"/>
              <w:bottom w:val="nil"/>
              <w:right w:val="nil"/>
            </w:tcBorders>
          </w:tcPr>
          <w:p w14:paraId="1DAC19B9" w14:textId="77777777" w:rsidR="00C2168A" w:rsidRPr="00D63217" w:rsidRDefault="00C2168A" w:rsidP="00834E0F">
            <w:pPr>
              <w:pStyle w:val="TableText"/>
              <w:spacing w:before="0" w:after="0"/>
              <w:rPr>
                <w:lang w:eastAsia="en-AU"/>
              </w:rPr>
            </w:pPr>
            <w:r w:rsidRPr="00D63217">
              <w:rPr>
                <w:lang w:eastAsia="en-AU"/>
              </w:rPr>
              <w:t>Mammals</w:t>
            </w:r>
          </w:p>
        </w:tc>
        <w:tc>
          <w:tcPr>
            <w:tcW w:w="873" w:type="pct"/>
            <w:tcBorders>
              <w:left w:val="nil"/>
              <w:bottom w:val="nil"/>
              <w:right w:val="nil"/>
            </w:tcBorders>
          </w:tcPr>
          <w:p w14:paraId="6E6390F7" w14:textId="77777777" w:rsidR="00C2168A" w:rsidRPr="00D63217" w:rsidRDefault="00C2168A" w:rsidP="00834E0F">
            <w:pPr>
              <w:pStyle w:val="TableText"/>
              <w:spacing w:before="0" w:after="0"/>
              <w:rPr>
                <w:lang w:eastAsia="en-AU"/>
              </w:rPr>
            </w:pPr>
            <w:r w:rsidRPr="00D63217">
              <w:rPr>
                <w:lang w:eastAsia="en-AU"/>
              </w:rPr>
              <w:t>Acute</w:t>
            </w:r>
          </w:p>
        </w:tc>
        <w:tc>
          <w:tcPr>
            <w:tcW w:w="1472" w:type="pct"/>
            <w:tcBorders>
              <w:left w:val="nil"/>
              <w:bottom w:val="nil"/>
              <w:right w:val="nil"/>
            </w:tcBorders>
          </w:tcPr>
          <w:p w14:paraId="7CBD4DDC" w14:textId="77777777" w:rsidR="00C2168A" w:rsidRPr="00D63217" w:rsidRDefault="00C2168A" w:rsidP="00834E0F">
            <w:pPr>
              <w:pStyle w:val="TableTextRight"/>
              <w:spacing w:before="0" w:after="0"/>
              <w:rPr>
                <w:lang w:eastAsia="en-AU"/>
              </w:rPr>
            </w:pPr>
            <w:r w:rsidRPr="00D63217">
              <w:t>LD</w:t>
            </w:r>
            <w:r w:rsidRPr="00D63217">
              <w:rPr>
                <w:vertAlign w:val="subscript"/>
              </w:rPr>
              <w:t>50</w:t>
            </w:r>
            <w:r w:rsidRPr="00D63217">
              <w:t xml:space="preserve"> 76 mg acs/kg bw</w:t>
            </w:r>
          </w:p>
        </w:tc>
        <w:tc>
          <w:tcPr>
            <w:tcW w:w="294" w:type="pct"/>
            <w:tcBorders>
              <w:left w:val="nil"/>
              <w:bottom w:val="nil"/>
              <w:right w:val="nil"/>
            </w:tcBorders>
          </w:tcPr>
          <w:p w14:paraId="0560F420" w14:textId="77777777" w:rsidR="00C2168A" w:rsidRPr="00D63217" w:rsidRDefault="00C2168A" w:rsidP="00834E0F">
            <w:pPr>
              <w:pStyle w:val="TableTextRight"/>
              <w:spacing w:before="0" w:after="0"/>
              <w:rPr>
                <w:lang w:eastAsia="en-AU"/>
              </w:rPr>
            </w:pPr>
            <w:r w:rsidRPr="00D63217">
              <w:rPr>
                <w:lang w:eastAsia="en-AU"/>
              </w:rPr>
              <w:t>10</w:t>
            </w:r>
          </w:p>
        </w:tc>
        <w:tc>
          <w:tcPr>
            <w:tcW w:w="1079" w:type="pct"/>
            <w:tcBorders>
              <w:left w:val="nil"/>
              <w:bottom w:val="nil"/>
              <w:right w:val="nil"/>
            </w:tcBorders>
          </w:tcPr>
          <w:p w14:paraId="73822532" w14:textId="77777777" w:rsidR="00C2168A" w:rsidRPr="00D63217" w:rsidRDefault="00C2168A" w:rsidP="00834E0F">
            <w:pPr>
              <w:pStyle w:val="TableTextRight"/>
              <w:spacing w:before="0" w:after="0"/>
              <w:rPr>
                <w:lang w:eastAsia="en-AU"/>
              </w:rPr>
            </w:pPr>
            <w:r w:rsidRPr="00D63217">
              <w:rPr>
                <w:lang w:eastAsia="en-AU"/>
              </w:rPr>
              <w:t>7.6 mg acs/kg bw</w:t>
            </w:r>
          </w:p>
        </w:tc>
      </w:tr>
      <w:tr w:rsidR="00C2168A" w:rsidRPr="00D63217" w14:paraId="79F58432" w14:textId="77777777" w:rsidTr="007D1EF1">
        <w:trPr>
          <w:cantSplit/>
        </w:trPr>
        <w:tc>
          <w:tcPr>
            <w:tcW w:w="1282" w:type="pct"/>
            <w:tcBorders>
              <w:top w:val="nil"/>
              <w:left w:val="nil"/>
              <w:bottom w:val="nil"/>
              <w:right w:val="nil"/>
            </w:tcBorders>
          </w:tcPr>
          <w:p w14:paraId="5D05E360" w14:textId="77777777" w:rsidR="00C2168A" w:rsidRPr="00D63217" w:rsidRDefault="00C2168A" w:rsidP="00834E0F">
            <w:pPr>
              <w:pStyle w:val="TableText"/>
              <w:spacing w:before="0" w:after="0"/>
              <w:rPr>
                <w:lang w:eastAsia="en-AU"/>
              </w:rPr>
            </w:pPr>
            <w:r w:rsidRPr="00D63217">
              <w:rPr>
                <w:lang w:eastAsia="en-AU"/>
              </w:rPr>
              <w:t>Birds</w:t>
            </w:r>
          </w:p>
        </w:tc>
        <w:tc>
          <w:tcPr>
            <w:tcW w:w="873" w:type="pct"/>
            <w:tcBorders>
              <w:top w:val="nil"/>
              <w:left w:val="nil"/>
              <w:bottom w:val="nil"/>
              <w:right w:val="nil"/>
            </w:tcBorders>
          </w:tcPr>
          <w:p w14:paraId="45F0C087" w14:textId="77777777" w:rsidR="00C2168A" w:rsidRPr="00D63217" w:rsidRDefault="00C2168A" w:rsidP="00834E0F">
            <w:pPr>
              <w:pStyle w:val="TableText"/>
              <w:spacing w:before="0" w:after="0"/>
              <w:rPr>
                <w:lang w:eastAsia="en-AU"/>
              </w:rPr>
            </w:pPr>
            <w:r w:rsidRPr="00D63217">
              <w:rPr>
                <w:lang w:eastAsia="en-AU"/>
              </w:rPr>
              <w:t>Acute</w:t>
            </w:r>
          </w:p>
        </w:tc>
        <w:tc>
          <w:tcPr>
            <w:tcW w:w="1472" w:type="pct"/>
            <w:tcBorders>
              <w:top w:val="nil"/>
              <w:left w:val="nil"/>
              <w:bottom w:val="nil"/>
              <w:right w:val="nil"/>
            </w:tcBorders>
          </w:tcPr>
          <w:p w14:paraId="4016CF0A" w14:textId="45F280AE" w:rsidR="00C2168A" w:rsidRPr="00D63217" w:rsidRDefault="00C2168A" w:rsidP="00834E0F">
            <w:pPr>
              <w:pStyle w:val="TableTextRight"/>
              <w:spacing w:before="0" w:after="0"/>
              <w:rPr>
                <w:lang w:eastAsia="en-AU"/>
              </w:rPr>
            </w:pPr>
            <w:r w:rsidRPr="00D63217">
              <w:t>LD</w:t>
            </w:r>
            <w:r w:rsidRPr="00D63217">
              <w:rPr>
                <w:vertAlign w:val="subscript"/>
              </w:rPr>
              <w:t>50</w:t>
            </w:r>
            <w:r w:rsidRPr="00D63217">
              <w:t xml:space="preserve"> </w:t>
            </w:r>
            <w:r w:rsidR="006D7C8D">
              <w:t>62</w:t>
            </w:r>
            <w:r w:rsidR="006D7C8D" w:rsidRPr="00D63217">
              <w:t xml:space="preserve"> </w:t>
            </w:r>
            <w:r w:rsidRPr="00D63217">
              <w:t>mg acs/kg bw</w:t>
            </w:r>
          </w:p>
        </w:tc>
        <w:tc>
          <w:tcPr>
            <w:tcW w:w="294" w:type="pct"/>
            <w:tcBorders>
              <w:top w:val="nil"/>
              <w:left w:val="nil"/>
              <w:bottom w:val="nil"/>
              <w:right w:val="nil"/>
            </w:tcBorders>
          </w:tcPr>
          <w:p w14:paraId="46117DDC" w14:textId="77777777" w:rsidR="00C2168A" w:rsidRPr="00D63217" w:rsidRDefault="00C2168A" w:rsidP="00834E0F">
            <w:pPr>
              <w:pStyle w:val="TableTextRight"/>
              <w:spacing w:before="0" w:after="0"/>
              <w:rPr>
                <w:lang w:eastAsia="en-AU"/>
              </w:rPr>
            </w:pPr>
            <w:r w:rsidRPr="00D63217">
              <w:rPr>
                <w:lang w:eastAsia="en-AU"/>
              </w:rPr>
              <w:t>10</w:t>
            </w:r>
          </w:p>
        </w:tc>
        <w:tc>
          <w:tcPr>
            <w:tcW w:w="1079" w:type="pct"/>
            <w:tcBorders>
              <w:top w:val="nil"/>
              <w:left w:val="nil"/>
              <w:bottom w:val="nil"/>
              <w:right w:val="nil"/>
            </w:tcBorders>
          </w:tcPr>
          <w:p w14:paraId="281648D9" w14:textId="033F7CA4" w:rsidR="00C2168A" w:rsidRPr="00D63217" w:rsidRDefault="006D7C8D" w:rsidP="00834E0F">
            <w:pPr>
              <w:pStyle w:val="TableTextRight"/>
              <w:spacing w:before="0" w:after="0"/>
              <w:rPr>
                <w:lang w:eastAsia="en-AU"/>
              </w:rPr>
            </w:pPr>
            <w:r>
              <w:rPr>
                <w:lang w:eastAsia="en-AU"/>
              </w:rPr>
              <w:t>6.2</w:t>
            </w:r>
            <w:r w:rsidR="00C2168A" w:rsidRPr="00D63217">
              <w:rPr>
                <w:lang w:eastAsia="en-AU"/>
              </w:rPr>
              <w:t xml:space="preserve"> mg acs/kg bw</w:t>
            </w:r>
          </w:p>
        </w:tc>
      </w:tr>
      <w:tr w:rsidR="00C2168A" w:rsidRPr="00D63217" w14:paraId="42890151" w14:textId="77777777" w:rsidTr="007D1EF1">
        <w:trPr>
          <w:cantSplit/>
        </w:trPr>
        <w:tc>
          <w:tcPr>
            <w:tcW w:w="1282" w:type="pct"/>
            <w:tcBorders>
              <w:top w:val="nil"/>
              <w:left w:val="nil"/>
              <w:bottom w:val="nil"/>
              <w:right w:val="nil"/>
            </w:tcBorders>
          </w:tcPr>
          <w:p w14:paraId="5ADD6A6C" w14:textId="77777777" w:rsidR="00C2168A" w:rsidRPr="00D63217" w:rsidRDefault="00C2168A" w:rsidP="00834E0F">
            <w:pPr>
              <w:pStyle w:val="TableText"/>
              <w:spacing w:before="0" w:after="0"/>
              <w:rPr>
                <w:lang w:eastAsia="en-AU"/>
              </w:rPr>
            </w:pPr>
            <w:r w:rsidRPr="00D63217">
              <w:rPr>
                <w:lang w:eastAsia="en-AU"/>
              </w:rPr>
              <w:t>Aquatic species</w:t>
            </w:r>
          </w:p>
        </w:tc>
        <w:tc>
          <w:tcPr>
            <w:tcW w:w="873" w:type="pct"/>
            <w:tcBorders>
              <w:top w:val="nil"/>
              <w:left w:val="nil"/>
              <w:bottom w:val="nil"/>
              <w:right w:val="nil"/>
            </w:tcBorders>
          </w:tcPr>
          <w:p w14:paraId="7B489F9A" w14:textId="77777777" w:rsidR="00C2168A" w:rsidRPr="00D63217" w:rsidRDefault="00C2168A" w:rsidP="00834E0F">
            <w:pPr>
              <w:pStyle w:val="TableText"/>
              <w:spacing w:before="0" w:after="0"/>
            </w:pPr>
            <w:r w:rsidRPr="00D63217">
              <w:t>Acute</w:t>
            </w:r>
          </w:p>
        </w:tc>
        <w:tc>
          <w:tcPr>
            <w:tcW w:w="1472" w:type="pct"/>
            <w:tcBorders>
              <w:top w:val="nil"/>
              <w:left w:val="nil"/>
              <w:bottom w:val="nil"/>
              <w:right w:val="nil"/>
            </w:tcBorders>
          </w:tcPr>
          <w:p w14:paraId="2C1FC624" w14:textId="359D427F" w:rsidR="00C2168A" w:rsidRPr="00D63217" w:rsidRDefault="00C2168A" w:rsidP="00834E0F">
            <w:pPr>
              <w:pStyle w:val="TableTextRight"/>
              <w:spacing w:before="0" w:after="0"/>
            </w:pPr>
            <w:r w:rsidRPr="00D63217">
              <w:t>EC</w:t>
            </w:r>
            <w:r w:rsidRPr="00D63217">
              <w:rPr>
                <w:vertAlign w:val="subscript"/>
              </w:rPr>
              <w:t>50</w:t>
            </w:r>
            <w:r w:rsidRPr="00D63217">
              <w:t xml:space="preserve"> </w:t>
            </w:r>
            <w:r w:rsidR="006D7C8D">
              <w:t>10</w:t>
            </w:r>
            <w:r w:rsidRPr="00D63217">
              <w:t xml:space="preserve"> µg acs/L*</w:t>
            </w:r>
          </w:p>
        </w:tc>
        <w:tc>
          <w:tcPr>
            <w:tcW w:w="294" w:type="pct"/>
            <w:tcBorders>
              <w:top w:val="nil"/>
              <w:left w:val="nil"/>
              <w:bottom w:val="nil"/>
              <w:right w:val="nil"/>
            </w:tcBorders>
          </w:tcPr>
          <w:p w14:paraId="5A011BD5" w14:textId="77777777" w:rsidR="00C2168A" w:rsidRPr="00D63217" w:rsidRDefault="00C2168A" w:rsidP="00834E0F">
            <w:pPr>
              <w:pStyle w:val="TableTextRight"/>
              <w:spacing w:before="0" w:after="0"/>
            </w:pPr>
            <w:r w:rsidRPr="00D63217">
              <w:t>10</w:t>
            </w:r>
          </w:p>
        </w:tc>
        <w:tc>
          <w:tcPr>
            <w:tcW w:w="1079" w:type="pct"/>
            <w:tcBorders>
              <w:top w:val="nil"/>
              <w:left w:val="nil"/>
              <w:bottom w:val="nil"/>
              <w:right w:val="nil"/>
            </w:tcBorders>
          </w:tcPr>
          <w:p w14:paraId="7795A287" w14:textId="6D0CCE57" w:rsidR="00C2168A" w:rsidRPr="00D63217" w:rsidRDefault="006D7C8D" w:rsidP="00834E0F">
            <w:pPr>
              <w:pStyle w:val="TableTextRight"/>
              <w:spacing w:before="0" w:after="0"/>
            </w:pPr>
            <w:r>
              <w:t>1.0</w:t>
            </w:r>
            <w:r w:rsidR="00C2168A" w:rsidRPr="00D63217">
              <w:t xml:space="preserve"> µg acs/L </w:t>
            </w:r>
          </w:p>
        </w:tc>
      </w:tr>
      <w:tr w:rsidR="00C2168A" w:rsidRPr="00D63217" w14:paraId="2F0AE538" w14:textId="77777777" w:rsidTr="007D1EF1">
        <w:trPr>
          <w:cantSplit/>
        </w:trPr>
        <w:tc>
          <w:tcPr>
            <w:tcW w:w="1282" w:type="pct"/>
            <w:tcBorders>
              <w:top w:val="nil"/>
              <w:left w:val="nil"/>
              <w:bottom w:val="nil"/>
              <w:right w:val="nil"/>
            </w:tcBorders>
          </w:tcPr>
          <w:p w14:paraId="1D044609" w14:textId="77777777" w:rsidR="00C2168A" w:rsidRPr="00D63217" w:rsidRDefault="00C2168A" w:rsidP="00834E0F">
            <w:pPr>
              <w:pStyle w:val="TableText"/>
              <w:spacing w:before="0" w:after="0"/>
              <w:rPr>
                <w:lang w:eastAsia="en-AU"/>
              </w:rPr>
            </w:pPr>
            <w:r w:rsidRPr="00D63217">
              <w:t>Adult bees</w:t>
            </w:r>
          </w:p>
        </w:tc>
        <w:tc>
          <w:tcPr>
            <w:tcW w:w="873" w:type="pct"/>
            <w:tcBorders>
              <w:top w:val="nil"/>
              <w:left w:val="nil"/>
              <w:bottom w:val="nil"/>
              <w:right w:val="nil"/>
            </w:tcBorders>
          </w:tcPr>
          <w:p w14:paraId="47FF974B" w14:textId="77777777" w:rsidR="00C2168A" w:rsidRPr="00D63217" w:rsidRDefault="00C2168A" w:rsidP="00834E0F">
            <w:pPr>
              <w:pStyle w:val="TableText"/>
              <w:spacing w:before="0" w:after="0"/>
              <w:rPr>
                <w:lang w:eastAsia="en-AU"/>
              </w:rPr>
            </w:pPr>
            <w:r w:rsidRPr="00D63217">
              <w:t>Contact</w:t>
            </w:r>
          </w:p>
        </w:tc>
        <w:tc>
          <w:tcPr>
            <w:tcW w:w="1472" w:type="pct"/>
            <w:tcBorders>
              <w:top w:val="nil"/>
              <w:left w:val="nil"/>
              <w:bottom w:val="nil"/>
              <w:right w:val="nil"/>
            </w:tcBorders>
          </w:tcPr>
          <w:p w14:paraId="335BF1C9" w14:textId="77777777" w:rsidR="00C2168A" w:rsidRPr="00D63217" w:rsidRDefault="00C2168A" w:rsidP="00834E0F">
            <w:pPr>
              <w:pStyle w:val="TableTextRight"/>
              <w:spacing w:before="0" w:after="0"/>
            </w:pPr>
            <w:r w:rsidRPr="00D63217">
              <w:t>LD</w:t>
            </w:r>
            <w:r w:rsidRPr="00D63217">
              <w:rPr>
                <w:vertAlign w:val="subscript"/>
              </w:rPr>
              <w:t>50</w:t>
            </w:r>
            <w:r w:rsidRPr="00D63217">
              <w:t xml:space="preserve"> 26 µg acs/bee</w:t>
            </w:r>
          </w:p>
        </w:tc>
        <w:tc>
          <w:tcPr>
            <w:tcW w:w="294" w:type="pct"/>
            <w:tcBorders>
              <w:top w:val="nil"/>
              <w:left w:val="nil"/>
              <w:bottom w:val="nil"/>
              <w:right w:val="nil"/>
            </w:tcBorders>
          </w:tcPr>
          <w:p w14:paraId="6957882E" w14:textId="77777777" w:rsidR="00C2168A" w:rsidRPr="00D63217" w:rsidRDefault="00C2168A" w:rsidP="00834E0F">
            <w:pPr>
              <w:pStyle w:val="TableTextRight"/>
              <w:spacing w:before="0" w:after="0"/>
            </w:pPr>
            <w:r w:rsidRPr="00D63217">
              <w:t>2.5</w:t>
            </w:r>
          </w:p>
        </w:tc>
        <w:tc>
          <w:tcPr>
            <w:tcW w:w="1079" w:type="pct"/>
            <w:tcBorders>
              <w:top w:val="nil"/>
              <w:left w:val="nil"/>
              <w:bottom w:val="nil"/>
              <w:right w:val="nil"/>
            </w:tcBorders>
          </w:tcPr>
          <w:p w14:paraId="5E103695" w14:textId="77777777" w:rsidR="00C2168A" w:rsidRPr="00D63217" w:rsidRDefault="00C2168A" w:rsidP="00834E0F">
            <w:pPr>
              <w:pStyle w:val="TableTextRight"/>
              <w:spacing w:before="0" w:after="0"/>
            </w:pPr>
            <w:r w:rsidRPr="00D63217">
              <w:t xml:space="preserve">10 µg acs/bee </w:t>
            </w:r>
          </w:p>
        </w:tc>
      </w:tr>
      <w:tr w:rsidR="00C2168A" w:rsidRPr="00D63217" w14:paraId="1609D169" w14:textId="77777777" w:rsidTr="007D1EF1">
        <w:trPr>
          <w:cantSplit/>
        </w:trPr>
        <w:tc>
          <w:tcPr>
            <w:tcW w:w="1282" w:type="pct"/>
            <w:tcBorders>
              <w:top w:val="nil"/>
              <w:left w:val="nil"/>
              <w:bottom w:val="nil"/>
              <w:right w:val="nil"/>
            </w:tcBorders>
          </w:tcPr>
          <w:p w14:paraId="50086F2F" w14:textId="77777777" w:rsidR="00C2168A" w:rsidRPr="00D63217" w:rsidRDefault="00C2168A" w:rsidP="00834E0F">
            <w:pPr>
              <w:pStyle w:val="TableText"/>
              <w:spacing w:before="0" w:after="0"/>
            </w:pPr>
          </w:p>
        </w:tc>
        <w:tc>
          <w:tcPr>
            <w:tcW w:w="873" w:type="pct"/>
            <w:tcBorders>
              <w:top w:val="nil"/>
              <w:left w:val="nil"/>
              <w:bottom w:val="nil"/>
              <w:right w:val="nil"/>
            </w:tcBorders>
          </w:tcPr>
          <w:p w14:paraId="6E9E2FBE" w14:textId="77777777" w:rsidR="00C2168A" w:rsidRPr="00D63217" w:rsidRDefault="00C2168A" w:rsidP="00834E0F">
            <w:pPr>
              <w:pStyle w:val="TableText"/>
              <w:spacing w:before="0" w:after="0"/>
            </w:pPr>
            <w:r w:rsidRPr="00D63217">
              <w:t>Oral</w:t>
            </w:r>
          </w:p>
        </w:tc>
        <w:tc>
          <w:tcPr>
            <w:tcW w:w="1472" w:type="pct"/>
            <w:tcBorders>
              <w:top w:val="nil"/>
              <w:left w:val="nil"/>
              <w:bottom w:val="nil"/>
              <w:right w:val="nil"/>
            </w:tcBorders>
          </w:tcPr>
          <w:p w14:paraId="459A8BC7" w14:textId="77777777" w:rsidR="00C2168A" w:rsidRPr="00D63217" w:rsidRDefault="00C2168A" w:rsidP="00834E0F">
            <w:pPr>
              <w:pStyle w:val="TableTextRight"/>
              <w:spacing w:before="0" w:after="0"/>
            </w:pPr>
            <w:r w:rsidRPr="00D63217">
              <w:t>LD</w:t>
            </w:r>
            <w:r w:rsidRPr="00D63217">
              <w:rPr>
                <w:vertAlign w:val="subscript"/>
              </w:rPr>
              <w:t>50</w:t>
            </w:r>
            <w:r w:rsidRPr="00D63217">
              <w:t xml:space="preserve"> 16 µg acs/bee</w:t>
            </w:r>
          </w:p>
        </w:tc>
        <w:tc>
          <w:tcPr>
            <w:tcW w:w="294" w:type="pct"/>
            <w:tcBorders>
              <w:top w:val="nil"/>
              <w:left w:val="nil"/>
              <w:bottom w:val="nil"/>
              <w:right w:val="nil"/>
            </w:tcBorders>
          </w:tcPr>
          <w:p w14:paraId="54F11F98" w14:textId="77777777" w:rsidR="00C2168A" w:rsidRPr="00D63217" w:rsidRDefault="00C2168A" w:rsidP="00834E0F">
            <w:pPr>
              <w:pStyle w:val="TableTextRight"/>
              <w:spacing w:before="0" w:after="0"/>
            </w:pPr>
            <w:r w:rsidRPr="00D63217">
              <w:t>2.5</w:t>
            </w:r>
          </w:p>
        </w:tc>
        <w:tc>
          <w:tcPr>
            <w:tcW w:w="1079" w:type="pct"/>
            <w:tcBorders>
              <w:top w:val="nil"/>
              <w:left w:val="nil"/>
              <w:bottom w:val="nil"/>
              <w:right w:val="nil"/>
            </w:tcBorders>
          </w:tcPr>
          <w:p w14:paraId="4155DCF1" w14:textId="77777777" w:rsidR="00C2168A" w:rsidRPr="00D63217" w:rsidRDefault="00C2168A" w:rsidP="00834E0F">
            <w:pPr>
              <w:pStyle w:val="TableTextRight"/>
              <w:spacing w:before="0" w:after="0"/>
            </w:pPr>
            <w:r w:rsidRPr="00D63217">
              <w:t>6.4 µg acs/bee</w:t>
            </w:r>
          </w:p>
        </w:tc>
      </w:tr>
      <w:tr w:rsidR="00C2168A" w:rsidRPr="00D63217" w14:paraId="4B0B6EF2" w14:textId="77777777" w:rsidTr="007D1EF1">
        <w:trPr>
          <w:cantSplit/>
        </w:trPr>
        <w:tc>
          <w:tcPr>
            <w:tcW w:w="1282" w:type="pct"/>
            <w:tcBorders>
              <w:top w:val="nil"/>
              <w:left w:val="nil"/>
              <w:bottom w:val="nil"/>
              <w:right w:val="nil"/>
            </w:tcBorders>
          </w:tcPr>
          <w:p w14:paraId="11B3640B" w14:textId="77777777" w:rsidR="00C2168A" w:rsidRPr="00D63217" w:rsidRDefault="00C2168A" w:rsidP="00834E0F">
            <w:pPr>
              <w:pStyle w:val="TableText"/>
              <w:spacing w:before="0" w:after="0"/>
            </w:pPr>
            <w:r w:rsidRPr="00D63217">
              <w:t>Foliar arthropods</w:t>
            </w:r>
          </w:p>
        </w:tc>
        <w:tc>
          <w:tcPr>
            <w:tcW w:w="873" w:type="pct"/>
            <w:tcBorders>
              <w:top w:val="nil"/>
              <w:left w:val="nil"/>
              <w:bottom w:val="nil"/>
              <w:right w:val="nil"/>
            </w:tcBorders>
          </w:tcPr>
          <w:p w14:paraId="2A11A4A2" w14:textId="77777777" w:rsidR="00C2168A" w:rsidRPr="00D63217" w:rsidRDefault="00C2168A" w:rsidP="00834E0F">
            <w:pPr>
              <w:pStyle w:val="TableText"/>
              <w:spacing w:before="0" w:after="0"/>
            </w:pPr>
            <w:r w:rsidRPr="00D63217">
              <w:t>Contact</w:t>
            </w:r>
          </w:p>
        </w:tc>
        <w:tc>
          <w:tcPr>
            <w:tcW w:w="1472" w:type="pct"/>
            <w:tcBorders>
              <w:top w:val="nil"/>
              <w:left w:val="nil"/>
              <w:bottom w:val="nil"/>
              <w:right w:val="nil"/>
            </w:tcBorders>
          </w:tcPr>
          <w:p w14:paraId="01E59BE5" w14:textId="40ABF3CF" w:rsidR="00C2168A" w:rsidRPr="00D63217" w:rsidRDefault="00C2168A" w:rsidP="00834E0F">
            <w:pPr>
              <w:pStyle w:val="TableTextRight"/>
              <w:spacing w:before="0" w:after="0"/>
            </w:pPr>
            <w:r w:rsidRPr="00D63217">
              <w:t>LR</w:t>
            </w:r>
            <w:r w:rsidRPr="00D63217">
              <w:rPr>
                <w:vertAlign w:val="subscript"/>
              </w:rPr>
              <w:t>50</w:t>
            </w:r>
            <w:r w:rsidRPr="00D63217">
              <w:t xml:space="preserve"> 5.6 g acs/ha </w:t>
            </w:r>
          </w:p>
        </w:tc>
        <w:tc>
          <w:tcPr>
            <w:tcW w:w="294" w:type="pct"/>
            <w:tcBorders>
              <w:top w:val="nil"/>
              <w:left w:val="nil"/>
              <w:bottom w:val="nil"/>
              <w:right w:val="nil"/>
            </w:tcBorders>
          </w:tcPr>
          <w:p w14:paraId="609A46C7" w14:textId="77777777" w:rsidR="00C2168A" w:rsidRPr="00D63217" w:rsidRDefault="00C2168A" w:rsidP="00834E0F">
            <w:pPr>
              <w:pStyle w:val="TableTextRight"/>
              <w:spacing w:before="0" w:after="0"/>
            </w:pPr>
            <w:r w:rsidRPr="00D63217">
              <w:t>1</w:t>
            </w:r>
          </w:p>
        </w:tc>
        <w:tc>
          <w:tcPr>
            <w:tcW w:w="1079" w:type="pct"/>
            <w:tcBorders>
              <w:top w:val="nil"/>
              <w:left w:val="nil"/>
              <w:bottom w:val="nil"/>
              <w:right w:val="nil"/>
            </w:tcBorders>
          </w:tcPr>
          <w:p w14:paraId="199A2F0B" w14:textId="77777777" w:rsidR="00C2168A" w:rsidRPr="00D63217" w:rsidRDefault="00C2168A" w:rsidP="00834E0F">
            <w:pPr>
              <w:pStyle w:val="TableTextRight"/>
              <w:spacing w:before="0" w:after="0"/>
            </w:pPr>
            <w:r w:rsidRPr="00D63217">
              <w:t>5.6 g acs/ha</w:t>
            </w:r>
          </w:p>
        </w:tc>
      </w:tr>
      <w:tr w:rsidR="00C2168A" w:rsidRPr="00D63217" w14:paraId="7BA84FA8" w14:textId="77777777" w:rsidTr="007D1EF1">
        <w:trPr>
          <w:cantSplit/>
        </w:trPr>
        <w:tc>
          <w:tcPr>
            <w:tcW w:w="1282" w:type="pct"/>
            <w:tcBorders>
              <w:top w:val="nil"/>
              <w:left w:val="nil"/>
              <w:bottom w:val="nil"/>
              <w:right w:val="nil"/>
            </w:tcBorders>
          </w:tcPr>
          <w:p w14:paraId="10AC0B5D" w14:textId="77777777" w:rsidR="00C2168A" w:rsidRPr="00D63217" w:rsidRDefault="00C2168A" w:rsidP="00834E0F">
            <w:pPr>
              <w:pStyle w:val="TableText"/>
              <w:spacing w:before="0" w:after="0"/>
            </w:pPr>
            <w:r w:rsidRPr="00D63217">
              <w:t>Ground arthropods</w:t>
            </w:r>
          </w:p>
        </w:tc>
        <w:tc>
          <w:tcPr>
            <w:tcW w:w="873" w:type="pct"/>
            <w:tcBorders>
              <w:top w:val="nil"/>
              <w:left w:val="nil"/>
              <w:bottom w:val="nil"/>
              <w:right w:val="nil"/>
            </w:tcBorders>
          </w:tcPr>
          <w:p w14:paraId="333CB345" w14:textId="77777777" w:rsidR="00C2168A" w:rsidRPr="00D63217" w:rsidRDefault="00C2168A" w:rsidP="00834E0F">
            <w:pPr>
              <w:pStyle w:val="TableText"/>
              <w:spacing w:before="0" w:after="0"/>
            </w:pPr>
            <w:r w:rsidRPr="00D63217">
              <w:t>Contact</w:t>
            </w:r>
          </w:p>
        </w:tc>
        <w:tc>
          <w:tcPr>
            <w:tcW w:w="2845" w:type="pct"/>
            <w:gridSpan w:val="3"/>
            <w:tcBorders>
              <w:top w:val="nil"/>
              <w:left w:val="nil"/>
              <w:bottom w:val="nil"/>
              <w:right w:val="nil"/>
            </w:tcBorders>
          </w:tcPr>
          <w:p w14:paraId="3AB638A8" w14:textId="77777777" w:rsidR="00C2168A" w:rsidRPr="00D63217" w:rsidRDefault="00C2168A" w:rsidP="00834E0F">
            <w:pPr>
              <w:pStyle w:val="TableText"/>
              <w:spacing w:before="0" w:after="0"/>
            </w:pPr>
            <w:r w:rsidRPr="00D63217">
              <w:t>Not expected to be toxic</w:t>
            </w:r>
          </w:p>
        </w:tc>
      </w:tr>
      <w:tr w:rsidR="00C2168A" w:rsidRPr="00D63217" w14:paraId="331134D2" w14:textId="77777777" w:rsidTr="007D1EF1">
        <w:trPr>
          <w:cantSplit/>
        </w:trPr>
        <w:tc>
          <w:tcPr>
            <w:tcW w:w="1282" w:type="pct"/>
            <w:tcBorders>
              <w:top w:val="nil"/>
              <w:left w:val="nil"/>
              <w:bottom w:val="nil"/>
              <w:right w:val="nil"/>
            </w:tcBorders>
          </w:tcPr>
          <w:p w14:paraId="0304DCF1" w14:textId="77777777" w:rsidR="00C2168A" w:rsidRPr="00D63217" w:rsidRDefault="00C2168A" w:rsidP="00834E0F">
            <w:pPr>
              <w:pStyle w:val="TableText"/>
              <w:spacing w:before="0" w:after="0"/>
            </w:pPr>
            <w:r w:rsidRPr="00D63217">
              <w:t>Soil macro-organisms</w:t>
            </w:r>
          </w:p>
        </w:tc>
        <w:tc>
          <w:tcPr>
            <w:tcW w:w="873" w:type="pct"/>
            <w:tcBorders>
              <w:top w:val="nil"/>
              <w:left w:val="nil"/>
              <w:bottom w:val="nil"/>
              <w:right w:val="nil"/>
            </w:tcBorders>
          </w:tcPr>
          <w:p w14:paraId="6C9CB53B" w14:textId="77777777" w:rsidR="00C2168A" w:rsidRPr="00D63217" w:rsidRDefault="00C2168A" w:rsidP="00834E0F">
            <w:pPr>
              <w:pStyle w:val="TableText"/>
              <w:spacing w:before="0" w:after="0"/>
            </w:pPr>
            <w:r w:rsidRPr="00D63217">
              <w:t>Acute</w:t>
            </w:r>
          </w:p>
        </w:tc>
        <w:tc>
          <w:tcPr>
            <w:tcW w:w="2845" w:type="pct"/>
            <w:gridSpan w:val="3"/>
            <w:tcBorders>
              <w:top w:val="nil"/>
              <w:left w:val="nil"/>
              <w:bottom w:val="nil"/>
              <w:right w:val="nil"/>
            </w:tcBorders>
          </w:tcPr>
          <w:p w14:paraId="52E194AB" w14:textId="77777777" w:rsidR="00C2168A" w:rsidRPr="00D63217" w:rsidRDefault="00C2168A" w:rsidP="00834E0F">
            <w:pPr>
              <w:pStyle w:val="TableText"/>
              <w:spacing w:before="0" w:after="0"/>
            </w:pPr>
            <w:r w:rsidRPr="00D63217">
              <w:t>Any toxicity would be attributed to diquat</w:t>
            </w:r>
          </w:p>
        </w:tc>
      </w:tr>
      <w:tr w:rsidR="00C2168A" w:rsidRPr="00D63217" w14:paraId="626F3B84" w14:textId="77777777" w:rsidTr="007D1EF1">
        <w:trPr>
          <w:cantSplit/>
        </w:trPr>
        <w:tc>
          <w:tcPr>
            <w:tcW w:w="1282" w:type="pct"/>
            <w:tcBorders>
              <w:top w:val="nil"/>
              <w:left w:val="nil"/>
              <w:bottom w:val="nil"/>
              <w:right w:val="nil"/>
            </w:tcBorders>
          </w:tcPr>
          <w:p w14:paraId="362427D1" w14:textId="77777777" w:rsidR="00C2168A" w:rsidRPr="00D63217" w:rsidRDefault="00C2168A" w:rsidP="00834E0F">
            <w:pPr>
              <w:pStyle w:val="TableText"/>
              <w:spacing w:before="0" w:after="0"/>
            </w:pPr>
            <w:r w:rsidRPr="00D63217">
              <w:t>Soil micro-organisms</w:t>
            </w:r>
          </w:p>
        </w:tc>
        <w:tc>
          <w:tcPr>
            <w:tcW w:w="873" w:type="pct"/>
            <w:tcBorders>
              <w:top w:val="nil"/>
              <w:left w:val="nil"/>
              <w:bottom w:val="nil"/>
              <w:right w:val="nil"/>
            </w:tcBorders>
          </w:tcPr>
          <w:p w14:paraId="24185A5D" w14:textId="77777777" w:rsidR="00C2168A" w:rsidRPr="00D63217" w:rsidRDefault="00C2168A" w:rsidP="00834E0F">
            <w:pPr>
              <w:pStyle w:val="TableText"/>
              <w:spacing w:before="0" w:after="0"/>
            </w:pPr>
            <w:r w:rsidRPr="00D63217">
              <w:t>Chronic</w:t>
            </w:r>
          </w:p>
        </w:tc>
        <w:tc>
          <w:tcPr>
            <w:tcW w:w="2845" w:type="pct"/>
            <w:gridSpan w:val="3"/>
            <w:tcBorders>
              <w:top w:val="nil"/>
              <w:left w:val="nil"/>
              <w:bottom w:val="nil"/>
              <w:right w:val="nil"/>
            </w:tcBorders>
          </w:tcPr>
          <w:p w14:paraId="554F68AB" w14:textId="77777777" w:rsidR="00C2168A" w:rsidRPr="00D63217" w:rsidRDefault="00C2168A" w:rsidP="00834E0F">
            <w:pPr>
              <w:pStyle w:val="TableText"/>
              <w:spacing w:before="0" w:after="0"/>
            </w:pPr>
            <w:r w:rsidRPr="00D63217">
              <w:t>Not expected to be toxic</w:t>
            </w:r>
          </w:p>
        </w:tc>
      </w:tr>
      <w:tr w:rsidR="00C2168A" w:rsidRPr="00D63217" w14:paraId="2220ABDC" w14:textId="77777777" w:rsidTr="007D1EF1">
        <w:trPr>
          <w:cantSplit/>
        </w:trPr>
        <w:tc>
          <w:tcPr>
            <w:tcW w:w="1282" w:type="pct"/>
            <w:tcBorders>
              <w:top w:val="nil"/>
              <w:left w:val="nil"/>
              <w:right w:val="nil"/>
            </w:tcBorders>
          </w:tcPr>
          <w:p w14:paraId="604B1729" w14:textId="77777777" w:rsidR="00C2168A" w:rsidRPr="00D63217" w:rsidRDefault="00C2168A" w:rsidP="00834E0F">
            <w:pPr>
              <w:pStyle w:val="TableText"/>
              <w:spacing w:before="0" w:after="0"/>
            </w:pPr>
            <w:r w:rsidRPr="00D63217">
              <w:t>Terrestrial plants</w:t>
            </w:r>
          </w:p>
        </w:tc>
        <w:tc>
          <w:tcPr>
            <w:tcW w:w="873" w:type="pct"/>
            <w:tcBorders>
              <w:top w:val="nil"/>
              <w:left w:val="nil"/>
              <w:bottom w:val="single" w:sz="4" w:space="0" w:color="auto"/>
              <w:right w:val="nil"/>
            </w:tcBorders>
          </w:tcPr>
          <w:p w14:paraId="3BC4626D" w14:textId="77777777" w:rsidR="00C2168A" w:rsidRPr="00D63217" w:rsidRDefault="00C2168A" w:rsidP="00834E0F">
            <w:pPr>
              <w:pStyle w:val="TableText"/>
              <w:spacing w:before="0" w:after="0"/>
            </w:pPr>
            <w:r w:rsidRPr="00D63217">
              <w:t>Post-emergent</w:t>
            </w:r>
          </w:p>
        </w:tc>
        <w:tc>
          <w:tcPr>
            <w:tcW w:w="1472" w:type="pct"/>
            <w:tcBorders>
              <w:top w:val="nil"/>
              <w:left w:val="nil"/>
              <w:bottom w:val="single" w:sz="4" w:space="0" w:color="auto"/>
              <w:right w:val="nil"/>
            </w:tcBorders>
          </w:tcPr>
          <w:p w14:paraId="7800C3F7" w14:textId="1F54C609" w:rsidR="00C2168A" w:rsidRPr="00D63217" w:rsidRDefault="00C2168A" w:rsidP="00834E0F">
            <w:pPr>
              <w:pStyle w:val="TableTextRight"/>
            </w:pPr>
            <w:r w:rsidRPr="00D63217">
              <w:t>HR</w:t>
            </w:r>
            <w:r w:rsidRPr="00D63217">
              <w:rPr>
                <w:vertAlign w:val="subscript"/>
              </w:rPr>
              <w:t>5</w:t>
            </w:r>
            <w:r w:rsidRPr="00D63217">
              <w:t xml:space="preserve"> </w:t>
            </w:r>
            <w:r w:rsidR="006D7C8D">
              <w:t>15</w:t>
            </w:r>
            <w:r w:rsidR="006D7C8D" w:rsidRPr="00D63217">
              <w:t xml:space="preserve"> </w:t>
            </w:r>
            <w:r w:rsidRPr="00D63217">
              <w:t>g acs/ha</w:t>
            </w:r>
          </w:p>
        </w:tc>
        <w:tc>
          <w:tcPr>
            <w:tcW w:w="294" w:type="pct"/>
            <w:tcBorders>
              <w:top w:val="nil"/>
              <w:left w:val="nil"/>
              <w:bottom w:val="single" w:sz="4" w:space="0" w:color="auto"/>
              <w:right w:val="nil"/>
            </w:tcBorders>
          </w:tcPr>
          <w:p w14:paraId="506AC8CD" w14:textId="77777777" w:rsidR="00C2168A" w:rsidRPr="00D63217" w:rsidRDefault="00C2168A" w:rsidP="00834E0F">
            <w:pPr>
              <w:pStyle w:val="TableTextRight"/>
            </w:pPr>
            <w:r w:rsidRPr="00D63217">
              <w:t>1</w:t>
            </w:r>
          </w:p>
        </w:tc>
        <w:tc>
          <w:tcPr>
            <w:tcW w:w="1079" w:type="pct"/>
            <w:tcBorders>
              <w:top w:val="nil"/>
              <w:left w:val="nil"/>
              <w:bottom w:val="single" w:sz="4" w:space="0" w:color="auto"/>
              <w:right w:val="nil"/>
            </w:tcBorders>
          </w:tcPr>
          <w:p w14:paraId="2BA633DF" w14:textId="123E0670" w:rsidR="00C2168A" w:rsidRPr="00D63217" w:rsidRDefault="006D7C8D" w:rsidP="00834E0F">
            <w:pPr>
              <w:pStyle w:val="TableTextRight"/>
            </w:pPr>
            <w:r>
              <w:t>15</w:t>
            </w:r>
            <w:r w:rsidRPr="00D63217">
              <w:t xml:space="preserve"> </w:t>
            </w:r>
            <w:r w:rsidR="00C2168A" w:rsidRPr="00D63217">
              <w:t>g acs/ha</w:t>
            </w:r>
          </w:p>
        </w:tc>
      </w:tr>
    </w:tbl>
    <w:p w14:paraId="5A6DD317" w14:textId="77777777" w:rsidR="00C2168A" w:rsidRPr="00D63217" w:rsidRDefault="00C2168A" w:rsidP="0028336D">
      <w:pPr>
        <w:pStyle w:val="SourceTableNote"/>
      </w:pPr>
      <w:r w:rsidRPr="00D63217">
        <w:t>*Aquatic endpoints have been adjusted to account for rapid dissipation from the water column under natural conditions (adjusted endpoint = measured endpoint / (1 - EXP (exposure days * (-ln(2)/DT</w:t>
      </w:r>
      <w:r w:rsidRPr="00D63217">
        <w:rPr>
          <w:vertAlign w:val="subscript"/>
        </w:rPr>
        <w:t>50</w:t>
      </w:r>
      <w:r w:rsidRPr="00D63217">
        <w:t xml:space="preserve"> 7.0 days))) * (exposure days * ln(2)/DT</w:t>
      </w:r>
      <w:r w:rsidRPr="00D63217">
        <w:rPr>
          <w:vertAlign w:val="subscript"/>
        </w:rPr>
        <w:t>50</w:t>
      </w:r>
      <w:r w:rsidRPr="00D63217">
        <w:t xml:space="preserve"> 7.0 days)</w:t>
      </w:r>
      <w:bookmarkEnd w:id="550"/>
    </w:p>
    <w:p w14:paraId="4247EDBA" w14:textId="77777777" w:rsidR="00C2168A" w:rsidRPr="007E28B2" w:rsidRDefault="00C2168A" w:rsidP="007E28B2">
      <w:pPr>
        <w:pStyle w:val="Heading3"/>
      </w:pPr>
      <w:bookmarkStart w:id="551" w:name="_Toc231480922"/>
      <w:bookmarkStart w:id="552" w:name="_Toc233036474"/>
      <w:r w:rsidRPr="007E28B2">
        <w:t>Risks to non-target species</w:t>
      </w:r>
      <w:bookmarkEnd w:id="551"/>
      <w:bookmarkEnd w:id="552"/>
    </w:p>
    <w:p w14:paraId="36666624" w14:textId="691EB419" w:rsidR="00931B9D" w:rsidRPr="00931B9D" w:rsidRDefault="00931B9D" w:rsidP="007E28B2">
      <w:pPr>
        <w:pStyle w:val="NormalText"/>
      </w:pPr>
      <w:r w:rsidRPr="00931B9D">
        <w:t xml:space="preserve">The risk assessment for </w:t>
      </w:r>
      <w:r w:rsidR="00692862">
        <w:t xml:space="preserve">diquat/paraquat </w:t>
      </w:r>
      <w:r w:rsidRPr="00931B9D">
        <w:t>combination products considers only short-term risks to non-target species following direct exposure to combined residues of the active constituents (diquat + paraquat cations) immediately after one application.</w:t>
      </w:r>
    </w:p>
    <w:p w14:paraId="11694115" w14:textId="4DE0679C" w:rsidR="00931B9D" w:rsidRPr="00931B9D" w:rsidRDefault="00931B9D" w:rsidP="007E28B2">
      <w:pPr>
        <w:pStyle w:val="NormalText"/>
        <w:rPr>
          <w:strike/>
        </w:rPr>
      </w:pPr>
      <w:r w:rsidRPr="00931B9D">
        <w:t>The assessment for terrestrial vertebrates assumes 100% of food items are obtained from the treatment area on the day of application. The use patterns were divided into groups which consist of crops that have similar growing patterns (</w:t>
      </w:r>
      <w:r w:rsidRPr="00931B9D">
        <w:rPr>
          <w:highlight w:val="magenta"/>
        </w:rPr>
        <w:fldChar w:fldCharType="begin"/>
      </w:r>
      <w:r w:rsidRPr="00931B9D">
        <w:instrText xml:space="preserve"> REF _Ref167304193 \h </w:instrText>
      </w:r>
      <w:r>
        <w:rPr>
          <w:highlight w:val="magenta"/>
        </w:rPr>
        <w:instrText xml:space="preserve"> \* MERGEFORMAT </w:instrText>
      </w:r>
      <w:r w:rsidRPr="00931B9D">
        <w:rPr>
          <w:highlight w:val="magenta"/>
        </w:rPr>
      </w:r>
      <w:r w:rsidRPr="00931B9D">
        <w:rPr>
          <w:highlight w:val="magenta"/>
        </w:rPr>
        <w:fldChar w:fldCharType="separate"/>
      </w:r>
      <w:r w:rsidR="008A397D" w:rsidRPr="008A397D">
        <w:t xml:space="preserve">Table </w:t>
      </w:r>
      <w:r w:rsidR="008A397D" w:rsidRPr="008A397D">
        <w:rPr>
          <w:noProof/>
        </w:rPr>
        <w:t>41</w:t>
      </w:r>
      <w:r w:rsidRPr="00931B9D">
        <w:rPr>
          <w:highlight w:val="magenta"/>
        </w:rPr>
        <w:fldChar w:fldCharType="end"/>
      </w:r>
      <w:r w:rsidRPr="00931B9D">
        <w:t xml:space="preserve">). The risk from the combined exposure to paraquat and diquat is considered in </w:t>
      </w:r>
      <w:r w:rsidRPr="00931B9D">
        <w:fldChar w:fldCharType="begin"/>
      </w:r>
      <w:r w:rsidRPr="00931B9D">
        <w:instrText xml:space="preserve"> REF _Ref220917992 \h </w:instrText>
      </w:r>
      <w:r>
        <w:instrText xml:space="preserve"> \* MERGEFORMAT </w:instrText>
      </w:r>
      <w:r w:rsidRPr="00931B9D">
        <w:fldChar w:fldCharType="separate"/>
      </w:r>
      <w:r w:rsidR="008A397D" w:rsidRPr="008A397D">
        <w:t xml:space="preserve">Table </w:t>
      </w:r>
      <w:r w:rsidR="008A397D" w:rsidRPr="008A397D">
        <w:rPr>
          <w:noProof/>
        </w:rPr>
        <w:t>42</w:t>
      </w:r>
      <w:r w:rsidRPr="00931B9D">
        <w:fldChar w:fldCharType="end"/>
      </w:r>
      <w:r w:rsidRPr="00931B9D">
        <w:t xml:space="preserve">. The conclusion for each crop group and whether weight of-evidence arguments are considered sufficient to resolve the risk is summarised in the text below and in </w:t>
      </w:r>
      <w:r w:rsidRPr="00931B9D">
        <w:fldChar w:fldCharType="begin"/>
      </w:r>
      <w:r w:rsidRPr="00931B9D">
        <w:instrText xml:space="preserve"> REF _Ref167304470 \h </w:instrText>
      </w:r>
      <w:r>
        <w:instrText xml:space="preserve"> \* MERGEFORMAT </w:instrText>
      </w:r>
      <w:r w:rsidRPr="00931B9D">
        <w:fldChar w:fldCharType="separate"/>
      </w:r>
      <w:r w:rsidR="008A397D" w:rsidRPr="008A397D">
        <w:t xml:space="preserve">Table </w:t>
      </w:r>
      <w:r w:rsidR="008A397D" w:rsidRPr="008A397D">
        <w:rPr>
          <w:noProof/>
        </w:rPr>
        <w:t>43</w:t>
      </w:r>
      <w:r w:rsidRPr="00931B9D">
        <w:fldChar w:fldCharType="end"/>
      </w:r>
      <w:r w:rsidRPr="00931B9D">
        <w:t>.</w:t>
      </w:r>
    </w:p>
    <w:p w14:paraId="0DF2797B" w14:textId="77777777" w:rsidR="00931B9D" w:rsidRPr="007E28B2" w:rsidRDefault="00931B9D" w:rsidP="007E28B2">
      <w:pPr>
        <w:pStyle w:val="NormalText"/>
        <w:rPr>
          <w:b/>
          <w:bCs/>
        </w:rPr>
      </w:pPr>
      <w:r w:rsidRPr="007E28B2">
        <w:rPr>
          <w:b/>
          <w:bCs/>
        </w:rPr>
        <w:t>Bare soil crop group</w:t>
      </w:r>
    </w:p>
    <w:p w14:paraId="2A2B15AA" w14:textId="015F8E84" w:rsidR="00931B9D" w:rsidRPr="00931B9D" w:rsidRDefault="00931B9D" w:rsidP="007E28B2">
      <w:pPr>
        <w:pStyle w:val="NormalText"/>
      </w:pPr>
      <w:r w:rsidRPr="00931B9D">
        <w:t xml:space="preserve">Mammals – There are unresolved risks to small omnivorous mammals at &gt;531 g acs/ha. However, the risk is concluded to be acceptable at up to the maximum on-label use rate (800 g acs/ha) based on the same weight of </w:t>
      </w:r>
      <w:r w:rsidRPr="00931B9D">
        <w:lastRenderedPageBreak/>
        <w:t>evidence argument as considered for paraquat, e.g.</w:t>
      </w:r>
      <w:r w:rsidR="00420DC5">
        <w:t>,</w:t>
      </w:r>
      <w:r w:rsidRPr="00931B9D">
        <w:t xml:space="preserve"> small mammals are not expected to routinely use environments with limited ground cover.</w:t>
      </w:r>
    </w:p>
    <w:p w14:paraId="51EAD427" w14:textId="77777777" w:rsidR="00931B9D" w:rsidRPr="00931B9D" w:rsidRDefault="00931B9D" w:rsidP="007E28B2">
      <w:pPr>
        <w:pStyle w:val="NormalText"/>
      </w:pPr>
      <w:r w:rsidRPr="00931B9D">
        <w:t>Birds – There are unresolved risks to small granivorous birds at &gt;251 g acs/ha, small omnivorous birds at &gt;356 g acs/ha and small insectivorous birds at &gt;569 g acs/ha. A sufficient weight-of-evidence argument has not been identified to resolve the risk.</w:t>
      </w:r>
    </w:p>
    <w:p w14:paraId="38D9BB41" w14:textId="77777777" w:rsidR="00931B9D" w:rsidRPr="007E28B2" w:rsidRDefault="00931B9D" w:rsidP="007E28B2">
      <w:pPr>
        <w:pStyle w:val="NormalText"/>
        <w:rPr>
          <w:b/>
          <w:bCs/>
        </w:rPr>
      </w:pPr>
      <w:r w:rsidRPr="007E28B2">
        <w:rPr>
          <w:b/>
          <w:bCs/>
        </w:rPr>
        <w:t>Cotton crop group</w:t>
      </w:r>
    </w:p>
    <w:p w14:paraId="13F17359" w14:textId="77777777" w:rsidR="00931B9D" w:rsidRPr="00931B9D" w:rsidRDefault="00931B9D" w:rsidP="007E28B2">
      <w:pPr>
        <w:pStyle w:val="NormalText"/>
      </w:pPr>
      <w:r w:rsidRPr="00931B9D">
        <w:t>Mammals – There are unresolved risks to small herbivorous mammals at &gt;271 g acs/ha. A sufficient weight-of-evidence argument has not been identified to resolve the risk.</w:t>
      </w:r>
    </w:p>
    <w:p w14:paraId="30E2E2CB" w14:textId="03F852FF" w:rsidR="00931B9D" w:rsidRPr="00931B9D" w:rsidRDefault="00931B9D" w:rsidP="007E28B2">
      <w:pPr>
        <w:pStyle w:val="NormalText"/>
      </w:pPr>
      <w:r w:rsidRPr="00931B9D">
        <w:t>Birds – The risk is concluded to be acceptable (</w:t>
      </w:r>
      <w:r w:rsidRPr="00931B9D">
        <w:fldChar w:fldCharType="begin"/>
      </w:r>
      <w:r w:rsidRPr="00931B9D">
        <w:instrText xml:space="preserve"> REF _Ref220917992 \h </w:instrText>
      </w:r>
      <w:r>
        <w:instrText xml:space="preserve"> \* MERGEFORMAT </w:instrText>
      </w:r>
      <w:r w:rsidRPr="00931B9D">
        <w:fldChar w:fldCharType="separate"/>
      </w:r>
      <w:r w:rsidR="008A397D" w:rsidRPr="008A397D">
        <w:t xml:space="preserve">Table </w:t>
      </w:r>
      <w:r w:rsidR="008A397D" w:rsidRPr="008A397D">
        <w:rPr>
          <w:noProof/>
        </w:rPr>
        <w:t>42</w:t>
      </w:r>
      <w:r w:rsidRPr="00931B9D">
        <w:fldChar w:fldCharType="end"/>
      </w:r>
      <w:r w:rsidRPr="00931B9D">
        <w:t>) and no further consideration is required.</w:t>
      </w:r>
    </w:p>
    <w:p w14:paraId="0B2347D6" w14:textId="77777777" w:rsidR="00931B9D" w:rsidRPr="007E28B2" w:rsidRDefault="00931B9D" w:rsidP="007E28B2">
      <w:pPr>
        <w:pStyle w:val="NormalText"/>
        <w:rPr>
          <w:b/>
          <w:bCs/>
        </w:rPr>
      </w:pPr>
      <w:r w:rsidRPr="007E28B2">
        <w:rPr>
          <w:b/>
          <w:bCs/>
        </w:rPr>
        <w:t>Grassland crop group – Pasture</w:t>
      </w:r>
    </w:p>
    <w:p w14:paraId="63879829" w14:textId="77777777" w:rsidR="00931B9D" w:rsidRPr="00931B9D" w:rsidRDefault="00931B9D" w:rsidP="007E28B2">
      <w:pPr>
        <w:pStyle w:val="NormalText"/>
      </w:pPr>
      <w:r w:rsidRPr="00931B9D">
        <w:t>Mammals – There are unresolved risks to small herbivorous mammals at &gt;68 g acs/ha, large herbivorous mammals at &gt;286 g acs/ha and small omnivorous mammals at &gt;528 g acs/ha. A sufficient weight-of-evidence argument has not been identified to resolve the risk.</w:t>
      </w:r>
    </w:p>
    <w:p w14:paraId="63E5384E" w14:textId="77777777" w:rsidR="00931B9D" w:rsidRPr="00931B9D" w:rsidRDefault="00931B9D" w:rsidP="007E28B2">
      <w:pPr>
        <w:pStyle w:val="NormalText"/>
      </w:pPr>
      <w:r w:rsidRPr="00931B9D">
        <w:t>Birds – There are unresolved risks to small granivorous birds at &gt;251 g acs/ha, large herbivorous birds at &gt;203 g acs/ha and small insectivorous birds at &gt;231 g acs/ha. A sufficient weight-of-evidence argument has not been identified to resolve the risk.</w:t>
      </w:r>
    </w:p>
    <w:p w14:paraId="6BADF940" w14:textId="77777777" w:rsidR="00931B9D" w:rsidRPr="007E28B2" w:rsidRDefault="00931B9D" w:rsidP="007E28B2">
      <w:pPr>
        <w:pStyle w:val="NormalText"/>
        <w:rPr>
          <w:b/>
          <w:bCs/>
        </w:rPr>
      </w:pPr>
      <w:r w:rsidRPr="007E28B2">
        <w:rPr>
          <w:b/>
          <w:bCs/>
        </w:rPr>
        <w:t>Grassland crop group – General weed control in public service areas and rights of way</w:t>
      </w:r>
    </w:p>
    <w:p w14:paraId="0C400231" w14:textId="77777777" w:rsidR="00931B9D" w:rsidRPr="00931B9D" w:rsidRDefault="00931B9D" w:rsidP="007E28B2">
      <w:pPr>
        <w:pStyle w:val="NormalText"/>
      </w:pPr>
      <w:r w:rsidRPr="00931B9D">
        <w:t>Mammals – There are unresolved risks to small herbivorous mammals at &gt;68 g acs/ha, large herbivorous mammals at &gt;286 g acs/ha and small omnivorous mammals at &gt;528 g acs/ha. However, the risk is concluded to be acceptable at up to the maximum on-label use rate (800 g acs/ha) based on the same weight of evidence argument as considered for paraquat and diquat, e.g. only a small fraction of any given area will be treated, or suitable habitat is expected to be absent.</w:t>
      </w:r>
    </w:p>
    <w:p w14:paraId="0EA0C1AF" w14:textId="77777777" w:rsidR="00931B9D" w:rsidRPr="00931B9D" w:rsidRDefault="00931B9D" w:rsidP="007E28B2">
      <w:pPr>
        <w:pStyle w:val="NormalText"/>
      </w:pPr>
      <w:r w:rsidRPr="00931B9D">
        <w:t>Birds – There are unresolved risks to small granivorous birds at &gt;251 g acs/ha, large herbivorous birds at &gt;203 g acs/ha and small insectivorous birds at &gt;231 g acs/ha. No suitable weight-of-evidence arguments have been identified to resolve the risk. However, the risk is concluded to be acceptable at up to the maximum on-label use rate (800 g acs/ha) based on the same weight of evidence argument as considered for paraquat and diquat, e.g. only a small fraction of any given area will be treated, or suitable habitat is expected to be absent.</w:t>
      </w:r>
    </w:p>
    <w:p w14:paraId="48330CAC" w14:textId="77777777" w:rsidR="00931B9D" w:rsidRPr="007E28B2" w:rsidRDefault="00931B9D" w:rsidP="007E28B2">
      <w:pPr>
        <w:pStyle w:val="NormalText"/>
        <w:rPr>
          <w:b/>
          <w:bCs/>
        </w:rPr>
      </w:pPr>
      <w:r w:rsidRPr="007E28B2">
        <w:rPr>
          <w:b/>
          <w:bCs/>
        </w:rPr>
        <w:t>Legume forage crop group</w:t>
      </w:r>
    </w:p>
    <w:p w14:paraId="697A01DE" w14:textId="7E5C79E1" w:rsidR="00931B9D" w:rsidRPr="00931B9D" w:rsidRDefault="00931B9D" w:rsidP="007E28B2">
      <w:pPr>
        <w:pStyle w:val="NormalText"/>
      </w:pPr>
      <w:r w:rsidRPr="00931B9D">
        <w:t>Mammals – The risk is concluded to be acceptable (</w:t>
      </w:r>
      <w:r w:rsidRPr="00931B9D">
        <w:fldChar w:fldCharType="begin"/>
      </w:r>
      <w:r w:rsidRPr="00931B9D">
        <w:instrText xml:space="preserve"> REF _Ref220917992 \h </w:instrText>
      </w:r>
      <w:r>
        <w:instrText xml:space="preserve"> \* MERGEFORMAT </w:instrText>
      </w:r>
      <w:r w:rsidRPr="00931B9D">
        <w:fldChar w:fldCharType="separate"/>
      </w:r>
      <w:r w:rsidR="008A397D" w:rsidRPr="008A397D">
        <w:t xml:space="preserve">Table </w:t>
      </w:r>
      <w:r w:rsidR="008A397D" w:rsidRPr="008A397D">
        <w:rPr>
          <w:noProof/>
        </w:rPr>
        <w:t>42</w:t>
      </w:r>
      <w:r w:rsidRPr="00931B9D">
        <w:fldChar w:fldCharType="end"/>
      </w:r>
      <w:r w:rsidRPr="00931B9D">
        <w:t>) and no further consideration is required.</w:t>
      </w:r>
    </w:p>
    <w:p w14:paraId="08A68442" w14:textId="77777777" w:rsidR="00931B9D" w:rsidRPr="00931B9D" w:rsidRDefault="00931B9D" w:rsidP="007E28B2">
      <w:pPr>
        <w:pStyle w:val="NormalText"/>
      </w:pPr>
      <w:r w:rsidRPr="00931B9D">
        <w:t>Birds – There are unresolved risks to small granivorous birds at &gt;251 g acs/ha, small omnivorous birds at &gt;258 g acs/ha and small insectivorous birds at &gt;231 g acs/ha. A sufficient weight-of-evidence argument has not been identified to resolve the risk.</w:t>
      </w:r>
    </w:p>
    <w:p w14:paraId="772C8CF3" w14:textId="77777777" w:rsidR="00931B9D" w:rsidRPr="007E28B2" w:rsidRDefault="00931B9D" w:rsidP="007E28B2">
      <w:pPr>
        <w:pStyle w:val="NormalText"/>
        <w:rPr>
          <w:b/>
          <w:bCs/>
        </w:rPr>
      </w:pPr>
      <w:r w:rsidRPr="007E28B2">
        <w:rPr>
          <w:b/>
          <w:bCs/>
        </w:rPr>
        <w:t>Maize crop group – Sugarcane</w:t>
      </w:r>
    </w:p>
    <w:p w14:paraId="0328303B" w14:textId="77777777" w:rsidR="00931B9D" w:rsidRPr="00931B9D" w:rsidRDefault="00931B9D" w:rsidP="007E28B2">
      <w:pPr>
        <w:pStyle w:val="NormalText"/>
      </w:pPr>
      <w:r w:rsidRPr="00931B9D">
        <w:lastRenderedPageBreak/>
        <w:t>Mammals – There are unresolved risks to small herbivorous mammals at &gt;68 g acs/ha and small omnivorous mammals at &gt;442 g acs/ha. However, the risk is concluded to be acceptable at up to the maximum on-label use rate (500 g acs/ha) based on the same weight of evidence argument as considered for paraquat and diquat, e.g. the risk is concluded to be acceptable for focal species observed to occur in sugarcane.</w:t>
      </w:r>
    </w:p>
    <w:p w14:paraId="37CEF4EA" w14:textId="77777777" w:rsidR="00931B9D" w:rsidRPr="00931B9D" w:rsidRDefault="00931B9D" w:rsidP="007E28B2">
      <w:pPr>
        <w:pStyle w:val="NormalText"/>
      </w:pPr>
      <w:r w:rsidRPr="00931B9D">
        <w:t>Birds – There are unresolved risks to medium herbivorous/granivorous birds at &gt;149 g acs/ha, small omnivorous birds at &gt;258 g acs/ha and small insectivorous birds at &gt;231 g acs/ha. A sufficient weight-of-evidence argument has not been identified to resolve the risk.</w:t>
      </w:r>
    </w:p>
    <w:p w14:paraId="199698AB" w14:textId="77777777" w:rsidR="00931B9D" w:rsidRPr="007E28B2" w:rsidRDefault="00931B9D" w:rsidP="007E28B2">
      <w:pPr>
        <w:pStyle w:val="NormalText"/>
        <w:rPr>
          <w:b/>
          <w:bCs/>
        </w:rPr>
      </w:pPr>
      <w:r w:rsidRPr="007E28B2">
        <w:rPr>
          <w:b/>
          <w:bCs/>
        </w:rPr>
        <w:t>Orchard crop group</w:t>
      </w:r>
    </w:p>
    <w:p w14:paraId="416B9291" w14:textId="77777777" w:rsidR="00931B9D" w:rsidRPr="00931B9D" w:rsidRDefault="00931B9D" w:rsidP="007E28B2">
      <w:pPr>
        <w:pStyle w:val="NormalText"/>
      </w:pPr>
      <w:r w:rsidRPr="00931B9D">
        <w:t>Mammals – There are unresolved risks to small herbivorous mammals at &gt;68 g acs/ha, large herbivorous mammals at &gt;342 g acs/ha and small omnivorous mammals at &gt;650 g acs/ha. A sufficient weight-of-evidence argument has not been identified to resolve the risk.</w:t>
      </w:r>
    </w:p>
    <w:p w14:paraId="56E2923A" w14:textId="77777777" w:rsidR="00931B9D" w:rsidRDefault="00931B9D" w:rsidP="007E28B2">
      <w:pPr>
        <w:pStyle w:val="NormalText"/>
      </w:pPr>
      <w:r w:rsidRPr="00931B9D">
        <w:t>Birds – There are unresolved risks to small granivorous birds at &gt;411 g acs/ha. A sufficient weight-of-evidence argument has not been identified to resolve the risk.</w:t>
      </w:r>
    </w:p>
    <w:p w14:paraId="4D1094D5" w14:textId="77777777" w:rsidR="00931B9D" w:rsidRPr="007E28B2" w:rsidRDefault="00931B9D" w:rsidP="007E28B2">
      <w:pPr>
        <w:pStyle w:val="NormalText"/>
        <w:rPr>
          <w:b/>
          <w:bCs/>
        </w:rPr>
      </w:pPr>
      <w:r w:rsidRPr="007E28B2">
        <w:rPr>
          <w:b/>
          <w:bCs/>
        </w:rPr>
        <w:t>Potato crop group</w:t>
      </w:r>
    </w:p>
    <w:p w14:paraId="102AA073" w14:textId="77777777" w:rsidR="00931B9D" w:rsidRPr="00931B9D" w:rsidRDefault="00931B9D" w:rsidP="007E28B2">
      <w:pPr>
        <w:pStyle w:val="NormalText"/>
      </w:pPr>
      <w:r w:rsidRPr="00931B9D">
        <w:t>Mammals – There are unresolved risks to small herbivorous mammals at &gt;452 g acs/ha. A sufficient weight-of-evidence argument has not been identified to resolve the risk.</w:t>
      </w:r>
    </w:p>
    <w:p w14:paraId="4E5A12ED" w14:textId="77777777" w:rsidR="00931B9D" w:rsidRPr="00931B9D" w:rsidRDefault="00931B9D" w:rsidP="007E28B2">
      <w:pPr>
        <w:pStyle w:val="NormalText"/>
      </w:pPr>
      <w:r w:rsidRPr="00931B9D">
        <w:t>Birds – There are unresolved risks to small insectivorous birds at &gt;246 g acs/ha. A sufficient weight-of-evidence argument has not been identified to resolve the risk.</w:t>
      </w:r>
    </w:p>
    <w:p w14:paraId="7094DBF2" w14:textId="77777777" w:rsidR="00931B9D" w:rsidRPr="007E28B2" w:rsidRDefault="00931B9D" w:rsidP="007E28B2">
      <w:pPr>
        <w:pStyle w:val="NormalText"/>
        <w:rPr>
          <w:b/>
          <w:bCs/>
        </w:rPr>
      </w:pPr>
      <w:r w:rsidRPr="007E28B2">
        <w:rPr>
          <w:b/>
          <w:bCs/>
        </w:rPr>
        <w:t>Vineyard crop group</w:t>
      </w:r>
    </w:p>
    <w:p w14:paraId="19C6C88E" w14:textId="77777777" w:rsidR="00931B9D" w:rsidRPr="00931B9D" w:rsidRDefault="00931B9D" w:rsidP="007E28B2">
      <w:pPr>
        <w:pStyle w:val="NormalText"/>
      </w:pPr>
      <w:r w:rsidRPr="00931B9D">
        <w:t>Mammals – There are unresolved risks to small herbivorous mammals at &gt;68 g acs/ha, large herbivorous mammals at &gt;342 g acs/ha and small omnivorous mammals at &gt;650 g acs/ha. A sufficient weight-of-evidence argument has not been identified to resolve the risk.</w:t>
      </w:r>
    </w:p>
    <w:p w14:paraId="7A08A9F4" w14:textId="77777777" w:rsidR="00931B9D" w:rsidRPr="00931B9D" w:rsidRDefault="00931B9D" w:rsidP="007E28B2">
      <w:pPr>
        <w:pStyle w:val="NormalText"/>
      </w:pPr>
      <w:r w:rsidRPr="00931B9D">
        <w:t>Birds – There are unresolved risks to small granivorous birds at &gt;411 g acs/ha. A sufficient weight-of-evidence argument has not been identified to resolve the risk.</w:t>
      </w:r>
    </w:p>
    <w:p w14:paraId="396CE296" w14:textId="77777777" w:rsidR="00931B9D" w:rsidRPr="00931B9D" w:rsidRDefault="00931B9D" w:rsidP="007E28B2">
      <w:pPr>
        <w:pStyle w:val="NormalText"/>
      </w:pPr>
      <w:r w:rsidRPr="00931B9D">
        <w:t>Risks from runoff of diquat and paraquat to aquatic species are considered separately in the respective risk assessments for the individual actives. Both require the following restraints which also apply to the diquat/paraquat combination products.</w:t>
      </w:r>
    </w:p>
    <w:p w14:paraId="213D7288" w14:textId="77777777" w:rsidR="00931B9D" w:rsidRPr="007E28B2" w:rsidRDefault="00931B9D" w:rsidP="007E28B2">
      <w:pPr>
        <w:pStyle w:val="NormalText"/>
        <w:ind w:left="567"/>
        <w:rPr>
          <w:i/>
          <w:iCs/>
        </w:rPr>
      </w:pPr>
      <w:r w:rsidRPr="007E28B2">
        <w:rPr>
          <w:i/>
          <w:iCs/>
        </w:rPr>
        <w:t>DO NOT apply if heavy rains or storms are forecast within 3 days.</w:t>
      </w:r>
    </w:p>
    <w:p w14:paraId="4D5F7D4F" w14:textId="77777777" w:rsidR="00931B9D" w:rsidRPr="007E28B2" w:rsidRDefault="00931B9D" w:rsidP="007E28B2">
      <w:pPr>
        <w:pStyle w:val="NormalText"/>
        <w:ind w:left="567"/>
        <w:rPr>
          <w:i/>
          <w:iCs/>
        </w:rPr>
      </w:pPr>
      <w:r w:rsidRPr="007E28B2">
        <w:rPr>
          <w:i/>
          <w:iCs/>
        </w:rPr>
        <w:t>DO NOT irrigate to the point of field runoff for at least 3 days after application.</w:t>
      </w:r>
    </w:p>
    <w:p w14:paraId="6357187D" w14:textId="34F81A3F" w:rsidR="00931B9D" w:rsidRPr="00931B9D" w:rsidRDefault="00931B9D" w:rsidP="007E28B2">
      <w:pPr>
        <w:pStyle w:val="NormalText"/>
      </w:pPr>
      <w:r w:rsidRPr="00931B9D">
        <w:t>The assessment for bees assumes the worst-case scenario of a direct overspray of blooming plants that are frequented by bees in order to identify those substances and associated uses that do not pose a risk. Risks of exposure to foliar residues (contact exposure) were acceptable at the highest application rate of 800 g acs/ha (</w:t>
      </w:r>
      <w:r w:rsidRPr="00931B9D">
        <w:fldChar w:fldCharType="begin"/>
      </w:r>
      <w:r w:rsidRPr="00931B9D">
        <w:instrText xml:space="preserve"> REF _Ref167304412 \h </w:instrText>
      </w:r>
      <w:r>
        <w:instrText xml:space="preserve"> \* MERGEFORMAT </w:instrText>
      </w:r>
      <w:r w:rsidRPr="00931B9D">
        <w:fldChar w:fldCharType="separate"/>
      </w:r>
      <w:r w:rsidR="008A397D" w:rsidRPr="008A397D">
        <w:t xml:space="preserve">Table </w:t>
      </w:r>
      <w:r w:rsidR="008A397D" w:rsidRPr="008A397D">
        <w:rPr>
          <w:noProof/>
        </w:rPr>
        <w:t>44</w:t>
      </w:r>
      <w:r w:rsidRPr="00931B9D">
        <w:fldChar w:fldCharType="end"/>
      </w:r>
      <w:r w:rsidRPr="00931B9D">
        <w:t xml:space="preserve">). An acceptable risk from oral exposure (via pollen and nectar) could not be concluded based on the </w:t>
      </w:r>
      <w:r w:rsidRPr="00931B9D">
        <w:lastRenderedPageBreak/>
        <w:t>screening assessment at the maximum rate 800 g acs/ha. To refine the risk assessment 90</w:t>
      </w:r>
      <w:r w:rsidRPr="00931B9D">
        <w:rPr>
          <w:vertAlign w:val="superscript"/>
        </w:rPr>
        <w:t>th</w:t>
      </w:r>
      <w:r w:rsidRPr="00931B9D">
        <w:t xml:space="preserve"> percentile RUD values for nectar and pollen (from EFSA 2013b) were used to calculate estimated exposure concentrations (EECs). Based on the refined assessment an acceptable risk can be concluded at rates up to 800 g acs/ha. No protection statement is required.</w:t>
      </w:r>
    </w:p>
    <w:p w14:paraId="1F53569E" w14:textId="484896B5" w:rsidR="00931B9D" w:rsidRPr="00931B9D" w:rsidRDefault="00931B9D" w:rsidP="007E28B2">
      <w:pPr>
        <w:pStyle w:val="NormalText"/>
      </w:pPr>
      <w:r w:rsidRPr="00931B9D">
        <w:t>The assessment for other arthropod species assumes that predatory and parasitic arthropods are exposed to fresh-dried residues within the treatment area immediately after application. The combination product is not expected to be toxic to ground arthropods. However, risks to foliar arthropods could not be concluded at the lowest rate (</w:t>
      </w:r>
      <w:r w:rsidRPr="00931B9D">
        <w:fldChar w:fldCharType="begin"/>
      </w:r>
      <w:r w:rsidRPr="00931B9D">
        <w:instrText xml:space="preserve"> REF _Ref167304354 \h </w:instrText>
      </w:r>
      <w:r>
        <w:instrText xml:space="preserve"> \* MERGEFORMAT </w:instrText>
      </w:r>
      <w:r w:rsidRPr="00931B9D">
        <w:fldChar w:fldCharType="separate"/>
      </w:r>
      <w:r w:rsidR="008A397D" w:rsidRPr="008A397D">
        <w:t xml:space="preserve">Table </w:t>
      </w:r>
      <w:r w:rsidR="008A397D" w:rsidRPr="008A397D">
        <w:rPr>
          <w:noProof/>
        </w:rPr>
        <w:t>45</w:t>
      </w:r>
      <w:r w:rsidRPr="00931B9D">
        <w:fldChar w:fldCharType="end"/>
      </w:r>
      <w:r w:rsidRPr="00931B9D">
        <w:t xml:space="preserve">). Therefore, the following protection statement is </w:t>
      </w:r>
      <w:r w:rsidR="004932D5">
        <w:t>recommended</w:t>
      </w:r>
      <w:r w:rsidRPr="00931B9D">
        <w:t xml:space="preserve"> for all combination products containing 115 g/L diquat and 135 g/L paraquat.</w:t>
      </w:r>
    </w:p>
    <w:p w14:paraId="5B2EB1C1" w14:textId="77777777" w:rsidR="00931B9D" w:rsidRPr="007E28B2" w:rsidRDefault="00931B9D" w:rsidP="007E28B2">
      <w:pPr>
        <w:pStyle w:val="NormalText"/>
        <w:ind w:left="567"/>
        <w:rPr>
          <w:i/>
          <w:iCs/>
        </w:rPr>
      </w:pPr>
      <w:r w:rsidRPr="007E28B2">
        <w:rPr>
          <w:i/>
          <w:iCs/>
        </w:rPr>
        <w:t>Toxic to beneficial arthropods. Not compatible with integrated pest management (IPM) programs utilising beneficial arthropods. Minimise spray drift to reduce harmful effects on beneficial arthropods in non-crop areas.</w:t>
      </w:r>
    </w:p>
    <w:p w14:paraId="155A4265" w14:textId="77777777" w:rsidR="00834E0F" w:rsidRDefault="00931B9D" w:rsidP="007E28B2">
      <w:pPr>
        <w:pStyle w:val="NormalText"/>
      </w:pPr>
      <w:r w:rsidRPr="00931B9D">
        <w:t>No protection statements are required for soil organisms to address risks of diquat or paraquat alone, as per their individual environmental assessments. When considering their combination (115 g/L diquat + 135 g/L paraquat), toxicity to soil macro-organisms such as earthworms would be attributed to diquat.</w:t>
      </w:r>
    </w:p>
    <w:p w14:paraId="29662875" w14:textId="72D94C8A" w:rsidR="00931B9D" w:rsidRPr="00931B9D" w:rsidRDefault="00931B9D" w:rsidP="007E28B2">
      <w:pPr>
        <w:pStyle w:val="NormalText"/>
      </w:pPr>
      <w:r w:rsidRPr="00931B9D">
        <w:t>The combination products are not expected to adversely affect soil processes such as nitrogen transformation, and therefore risks are considered acceptable.</w:t>
      </w:r>
    </w:p>
    <w:p w14:paraId="5A07657C" w14:textId="69F866C4" w:rsidR="00C2168A" w:rsidRPr="00D63217" w:rsidRDefault="00931B9D" w:rsidP="007E28B2">
      <w:pPr>
        <w:pStyle w:val="NormalText"/>
      </w:pPr>
      <w:r w:rsidRPr="00931B9D">
        <w:t xml:space="preserve">As indicated in the </w:t>
      </w:r>
      <w:r w:rsidR="00420DC5">
        <w:t>‘</w:t>
      </w:r>
      <w:r w:rsidRPr="00931B9D">
        <w:t>Effects on non-target species</w:t>
      </w:r>
      <w:r w:rsidR="00420DC5">
        <w:t>’</w:t>
      </w:r>
      <w:r w:rsidRPr="00931B9D">
        <w:t xml:space="preserve"> </w:t>
      </w:r>
      <w:r w:rsidR="00420DC5">
        <w:t>S</w:t>
      </w:r>
      <w:r w:rsidRPr="00931B9D">
        <w:t>ection</w:t>
      </w:r>
      <w:r w:rsidR="00420DC5">
        <w:t xml:space="preserve"> 6.4.8</w:t>
      </w:r>
      <w:r w:rsidRPr="00931B9D">
        <w:t>, the RAL values for the spray drift assessment are 1.0 µg acs/L for the protection of natural aquatic areas, 4,333 g acs/ha for the protection of pollinator areas, and 15 g acs/ha for the protection of vegetation areas. Risks of spray drift are addressed separately, as needed.</w:t>
      </w:r>
    </w:p>
    <w:p w14:paraId="68CD1C4A" w14:textId="254D1E85" w:rsidR="00C2168A" w:rsidRPr="007E28B2" w:rsidRDefault="009D61A7" w:rsidP="00834E0F">
      <w:pPr>
        <w:pStyle w:val="Caption"/>
        <w:tabs>
          <w:tab w:val="clear" w:pos="907"/>
          <w:tab w:val="left" w:pos="993"/>
        </w:tabs>
      </w:pPr>
      <w:bookmarkStart w:id="553" w:name="_Ref167304193"/>
      <w:bookmarkStart w:id="554" w:name="_Toc230692307"/>
      <w:bookmarkStart w:id="555" w:name="_Toc233036528"/>
      <w:bookmarkStart w:id="556" w:name="_Hlk163651356"/>
      <w:r w:rsidRPr="007E28B2">
        <w:t xml:space="preserve">Table </w:t>
      </w:r>
      <w:fldSimple w:instr=" SEQ Table \* ARABIC ">
        <w:r w:rsidR="007E28B2">
          <w:rPr>
            <w:noProof/>
          </w:rPr>
          <w:t>41</w:t>
        </w:r>
      </w:fldSimple>
      <w:bookmarkEnd w:id="553"/>
      <w:r w:rsidR="00C2168A" w:rsidRPr="007E28B2">
        <w:t>:</w:t>
      </w:r>
      <w:r w:rsidR="00B57785">
        <w:t xml:space="preserve"> </w:t>
      </w:r>
      <w:r w:rsidR="00C2168A" w:rsidRPr="007E28B2">
        <w:t>Diquat</w:t>
      </w:r>
      <w:r w:rsidR="006D7C8D" w:rsidRPr="007E28B2">
        <w:t xml:space="preserve"> (115 g/L</w:t>
      </w:r>
      <w:r w:rsidR="004932D5" w:rsidRPr="007E28B2">
        <w:t xml:space="preserve">) &amp; </w:t>
      </w:r>
      <w:r w:rsidR="00C2168A" w:rsidRPr="007E28B2">
        <w:t>paraquat</w:t>
      </w:r>
      <w:r w:rsidR="006D7C8D" w:rsidRPr="007E28B2">
        <w:t xml:space="preserve"> (135 g/L)</w:t>
      </w:r>
      <w:r w:rsidR="00C2168A" w:rsidRPr="007E28B2">
        <w:t xml:space="preserve"> combination products: crop groups for terrestrial vertebrate assessment</w:t>
      </w:r>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0"/>
        <w:gridCol w:w="4961"/>
        <w:gridCol w:w="709"/>
        <w:gridCol w:w="1978"/>
      </w:tblGrid>
      <w:tr w:rsidR="006D7C8D" w:rsidRPr="00D63217" w14:paraId="2F574A50" w14:textId="77777777" w:rsidTr="00D53099">
        <w:trPr>
          <w:cantSplit/>
          <w:trHeight w:val="195"/>
          <w:tblHeader/>
        </w:trPr>
        <w:tc>
          <w:tcPr>
            <w:tcW w:w="1980" w:type="dxa"/>
            <w:tcBorders>
              <w:bottom w:val="single" w:sz="4" w:space="0" w:color="auto"/>
            </w:tcBorders>
            <w:shd w:val="clear" w:color="auto" w:fill="5C2946"/>
          </w:tcPr>
          <w:p w14:paraId="1FC31F59" w14:textId="77777777" w:rsidR="006D7C8D" w:rsidRPr="007E28B2" w:rsidRDefault="006D7C8D" w:rsidP="007E28B2">
            <w:pPr>
              <w:pStyle w:val="TableHead"/>
            </w:pPr>
            <w:r w:rsidRPr="007E28B2">
              <w:t>EFSA 2009 crop group</w:t>
            </w:r>
          </w:p>
        </w:tc>
        <w:tc>
          <w:tcPr>
            <w:tcW w:w="4961" w:type="dxa"/>
            <w:tcBorders>
              <w:bottom w:val="single" w:sz="4" w:space="0" w:color="auto"/>
            </w:tcBorders>
            <w:shd w:val="clear" w:color="auto" w:fill="5C2946"/>
          </w:tcPr>
          <w:p w14:paraId="1B96525B" w14:textId="77777777" w:rsidR="006D7C8D" w:rsidRPr="007E28B2" w:rsidRDefault="006D7C8D" w:rsidP="007E28B2">
            <w:pPr>
              <w:pStyle w:val="TableHead"/>
            </w:pPr>
            <w:r w:rsidRPr="007E28B2">
              <w:t>Crop / situation</w:t>
            </w:r>
          </w:p>
        </w:tc>
        <w:tc>
          <w:tcPr>
            <w:tcW w:w="709" w:type="dxa"/>
            <w:shd w:val="clear" w:color="auto" w:fill="5C2946"/>
          </w:tcPr>
          <w:p w14:paraId="57F9CED9" w14:textId="15DB1D06" w:rsidR="006D7C8D" w:rsidRPr="007E28B2" w:rsidRDefault="006D7C8D" w:rsidP="007E28B2">
            <w:pPr>
              <w:pStyle w:val="TableHeadRight"/>
            </w:pPr>
            <w:r w:rsidRPr="007E28B2">
              <w:t>FFT</w:t>
            </w:r>
          </w:p>
        </w:tc>
        <w:tc>
          <w:tcPr>
            <w:tcW w:w="1978" w:type="dxa"/>
            <w:tcBorders>
              <w:bottom w:val="single" w:sz="4" w:space="0" w:color="auto"/>
            </w:tcBorders>
            <w:shd w:val="clear" w:color="auto" w:fill="5C2946"/>
          </w:tcPr>
          <w:p w14:paraId="70E2294C" w14:textId="77F17FA0" w:rsidR="006D7C8D" w:rsidRPr="00D63217" w:rsidRDefault="006D7C8D" w:rsidP="007E28B2">
            <w:pPr>
              <w:pStyle w:val="TableHeadRight"/>
            </w:pPr>
            <w:r w:rsidRPr="00D63217">
              <w:t>Application rates</w:t>
            </w:r>
            <w:r>
              <w:t xml:space="preserve"> (g acs/ha)</w:t>
            </w:r>
          </w:p>
        </w:tc>
      </w:tr>
      <w:tr w:rsidR="006D7C8D" w:rsidRPr="00D63217" w14:paraId="4FBA63CA" w14:textId="77777777" w:rsidTr="00D53099">
        <w:trPr>
          <w:cantSplit/>
          <w:trHeight w:val="20"/>
        </w:trPr>
        <w:tc>
          <w:tcPr>
            <w:tcW w:w="1980" w:type="dxa"/>
            <w:tcBorders>
              <w:top w:val="nil"/>
              <w:left w:val="nil"/>
              <w:bottom w:val="nil"/>
              <w:right w:val="nil"/>
            </w:tcBorders>
          </w:tcPr>
          <w:p w14:paraId="18E4CD02" w14:textId="534C3E0A" w:rsidR="006D7C8D" w:rsidRPr="00D63217" w:rsidRDefault="006D7C8D" w:rsidP="00834E0F">
            <w:pPr>
              <w:pStyle w:val="TableText"/>
              <w:spacing w:before="0" w:after="0"/>
            </w:pPr>
            <w:r>
              <w:t>Bare soil</w:t>
            </w:r>
          </w:p>
        </w:tc>
        <w:tc>
          <w:tcPr>
            <w:tcW w:w="4961" w:type="dxa"/>
            <w:tcBorders>
              <w:top w:val="nil"/>
              <w:left w:val="nil"/>
              <w:bottom w:val="nil"/>
              <w:right w:val="nil"/>
            </w:tcBorders>
          </w:tcPr>
          <w:p w14:paraId="1C9988CA" w14:textId="2EF4D9B4" w:rsidR="006D7C8D" w:rsidRPr="00D63217" w:rsidRDefault="006D7C8D" w:rsidP="00834E0F">
            <w:pPr>
              <w:pStyle w:val="TableText"/>
              <w:spacing w:before="0" w:after="0"/>
            </w:pPr>
            <w:r w:rsidRPr="00542AB7">
              <w:t xml:space="preserve">As an aid to cultivation in fallow </w:t>
            </w:r>
            <w:r>
              <w:t>(</w:t>
            </w:r>
            <w:r w:rsidRPr="00542AB7">
              <w:t xml:space="preserve">minimum </w:t>
            </w:r>
            <w:r>
              <w:t xml:space="preserve">and </w:t>
            </w:r>
            <w:r w:rsidRPr="00542AB7">
              <w:t>full disturbance)</w:t>
            </w:r>
            <w:r>
              <w:t xml:space="preserve">, </w:t>
            </w:r>
            <w:r w:rsidRPr="00542AB7">
              <w:t>post-harvest weed control in fallow</w:t>
            </w:r>
            <w:r>
              <w:t xml:space="preserve">, </w:t>
            </w:r>
            <w:r w:rsidRPr="00542AB7">
              <w:t>aid in establishing sugarcane</w:t>
            </w:r>
            <w:r>
              <w:t>, m</w:t>
            </w:r>
            <w:r w:rsidRPr="00542AB7">
              <w:t xml:space="preserve">arket </w:t>
            </w:r>
            <w:r>
              <w:t>g</w:t>
            </w:r>
            <w:r w:rsidRPr="00542AB7">
              <w:t>ardens</w:t>
            </w:r>
            <w:r>
              <w:t>, n</w:t>
            </w:r>
            <w:r w:rsidRPr="00542AB7">
              <w:t>urseries</w:t>
            </w:r>
            <w:r>
              <w:t xml:space="preserve">, pre-crop emergence weed control, potatoes (pre-emergence), and rice </w:t>
            </w:r>
          </w:p>
        </w:tc>
        <w:tc>
          <w:tcPr>
            <w:tcW w:w="709" w:type="dxa"/>
            <w:tcBorders>
              <w:top w:val="nil"/>
              <w:left w:val="nil"/>
              <w:bottom w:val="nil"/>
              <w:right w:val="nil"/>
            </w:tcBorders>
          </w:tcPr>
          <w:p w14:paraId="492176AA" w14:textId="0250A097" w:rsidR="006D7C8D" w:rsidRPr="00D63217" w:rsidRDefault="006D7C8D" w:rsidP="00834E0F">
            <w:pPr>
              <w:pStyle w:val="TableTextRight"/>
              <w:spacing w:before="0" w:after="0"/>
            </w:pPr>
            <w:r>
              <w:t>1.0</w:t>
            </w:r>
          </w:p>
        </w:tc>
        <w:tc>
          <w:tcPr>
            <w:tcW w:w="1978" w:type="dxa"/>
            <w:tcBorders>
              <w:top w:val="nil"/>
              <w:left w:val="nil"/>
              <w:bottom w:val="nil"/>
              <w:right w:val="nil"/>
            </w:tcBorders>
          </w:tcPr>
          <w:p w14:paraId="23D223F6" w14:textId="6A2D7E4B" w:rsidR="006D7C8D" w:rsidRPr="00D63217" w:rsidRDefault="006D7C8D" w:rsidP="00834E0F">
            <w:pPr>
              <w:pStyle w:val="TableTextRight"/>
              <w:spacing w:before="0" w:after="0"/>
            </w:pPr>
            <w:r>
              <w:t>150 to 800</w:t>
            </w:r>
          </w:p>
        </w:tc>
      </w:tr>
      <w:tr w:rsidR="006D7C8D" w:rsidRPr="00D63217" w14:paraId="065747EF" w14:textId="77777777" w:rsidTr="00D53099">
        <w:trPr>
          <w:cantSplit/>
          <w:trHeight w:val="20"/>
        </w:trPr>
        <w:tc>
          <w:tcPr>
            <w:tcW w:w="1980" w:type="dxa"/>
            <w:tcBorders>
              <w:top w:val="nil"/>
              <w:left w:val="nil"/>
              <w:bottom w:val="nil"/>
              <w:right w:val="nil"/>
            </w:tcBorders>
          </w:tcPr>
          <w:p w14:paraId="7BA853E1" w14:textId="77777777" w:rsidR="006D7C8D" w:rsidRPr="00D63217" w:rsidRDefault="006D7C8D" w:rsidP="00834E0F">
            <w:pPr>
              <w:pStyle w:val="TableText"/>
              <w:spacing w:before="0" w:after="0"/>
            </w:pPr>
          </w:p>
        </w:tc>
        <w:tc>
          <w:tcPr>
            <w:tcW w:w="4961" w:type="dxa"/>
            <w:tcBorders>
              <w:top w:val="nil"/>
              <w:left w:val="nil"/>
              <w:bottom w:val="nil"/>
              <w:right w:val="nil"/>
            </w:tcBorders>
          </w:tcPr>
          <w:p w14:paraId="03A6D547" w14:textId="6E53015A" w:rsidR="006D7C8D" w:rsidRPr="00D63217" w:rsidRDefault="006D7C8D" w:rsidP="00834E0F">
            <w:pPr>
              <w:pStyle w:val="TableText"/>
              <w:spacing w:before="0" w:after="0"/>
            </w:pPr>
            <w:r>
              <w:t>Spot spraying in m</w:t>
            </w:r>
            <w:r w:rsidRPr="00542AB7">
              <w:t xml:space="preserve">arket </w:t>
            </w:r>
            <w:r>
              <w:t>g</w:t>
            </w:r>
            <w:r w:rsidRPr="00542AB7">
              <w:t>ardens</w:t>
            </w:r>
            <w:r>
              <w:t>, n</w:t>
            </w:r>
            <w:r w:rsidRPr="00542AB7">
              <w:t>urseries</w:t>
            </w:r>
            <w:r>
              <w:t>, pre-crop emergence weed control, and potatoes (pre-emergence)</w:t>
            </w:r>
          </w:p>
        </w:tc>
        <w:tc>
          <w:tcPr>
            <w:tcW w:w="709" w:type="dxa"/>
            <w:tcBorders>
              <w:top w:val="nil"/>
              <w:left w:val="nil"/>
              <w:bottom w:val="nil"/>
              <w:right w:val="nil"/>
            </w:tcBorders>
          </w:tcPr>
          <w:p w14:paraId="3250C60F" w14:textId="0167BF14" w:rsidR="006D7C8D" w:rsidRPr="00D63217" w:rsidRDefault="006D7C8D" w:rsidP="00834E0F">
            <w:pPr>
              <w:pStyle w:val="TableTextRight"/>
              <w:spacing w:before="0" w:after="0"/>
            </w:pPr>
            <w:r>
              <w:t>0.4</w:t>
            </w:r>
          </w:p>
        </w:tc>
        <w:tc>
          <w:tcPr>
            <w:tcW w:w="1978" w:type="dxa"/>
            <w:tcBorders>
              <w:top w:val="nil"/>
              <w:left w:val="nil"/>
              <w:bottom w:val="nil"/>
              <w:right w:val="nil"/>
            </w:tcBorders>
          </w:tcPr>
          <w:p w14:paraId="5FCAE8F1" w14:textId="041A0C9B" w:rsidR="006D7C8D" w:rsidRPr="00D63217" w:rsidRDefault="006D7C8D" w:rsidP="00834E0F">
            <w:pPr>
              <w:pStyle w:val="TableTextRight"/>
              <w:spacing w:before="0" w:after="0"/>
            </w:pPr>
            <w:r>
              <w:t>240 to 320</w:t>
            </w:r>
          </w:p>
        </w:tc>
      </w:tr>
      <w:tr w:rsidR="006D7C8D" w:rsidRPr="00D63217" w14:paraId="584F41A6" w14:textId="77777777" w:rsidTr="00D53099">
        <w:trPr>
          <w:cantSplit/>
          <w:trHeight w:val="20"/>
        </w:trPr>
        <w:tc>
          <w:tcPr>
            <w:tcW w:w="1980" w:type="dxa"/>
            <w:tcBorders>
              <w:top w:val="nil"/>
              <w:left w:val="nil"/>
              <w:bottom w:val="nil"/>
              <w:right w:val="nil"/>
            </w:tcBorders>
          </w:tcPr>
          <w:p w14:paraId="5D7C1942" w14:textId="76623B79" w:rsidR="006D7C8D" w:rsidRPr="00D63217" w:rsidRDefault="006D7C8D" w:rsidP="00834E0F">
            <w:pPr>
              <w:pStyle w:val="TableText"/>
              <w:spacing w:before="0" w:after="0"/>
            </w:pPr>
            <w:r>
              <w:t>Cotton</w:t>
            </w:r>
          </w:p>
        </w:tc>
        <w:tc>
          <w:tcPr>
            <w:tcW w:w="4961" w:type="dxa"/>
            <w:tcBorders>
              <w:top w:val="nil"/>
              <w:left w:val="nil"/>
              <w:bottom w:val="nil"/>
              <w:right w:val="nil"/>
            </w:tcBorders>
          </w:tcPr>
          <w:p w14:paraId="7CE1F069" w14:textId="319079E4" w:rsidR="006D7C8D" w:rsidRPr="00D63217" w:rsidRDefault="006D7C8D" w:rsidP="00834E0F">
            <w:pPr>
              <w:pStyle w:val="TableText"/>
              <w:spacing w:before="0" w:after="0"/>
            </w:pPr>
            <w:r w:rsidRPr="00542AB7">
              <w:t>Desiccant to aid harvest in cotton</w:t>
            </w:r>
          </w:p>
        </w:tc>
        <w:tc>
          <w:tcPr>
            <w:tcW w:w="709" w:type="dxa"/>
            <w:tcBorders>
              <w:top w:val="nil"/>
              <w:left w:val="nil"/>
              <w:bottom w:val="nil"/>
              <w:right w:val="nil"/>
            </w:tcBorders>
          </w:tcPr>
          <w:p w14:paraId="02D0DA85" w14:textId="0EA0EDD5" w:rsidR="006D7C8D" w:rsidRPr="00D63217" w:rsidRDefault="006D7C8D" w:rsidP="00834E0F">
            <w:pPr>
              <w:pStyle w:val="TableTextRight"/>
              <w:spacing w:before="0" w:after="0"/>
            </w:pPr>
            <w:r w:rsidRPr="00C16D73">
              <w:t>1.0</w:t>
            </w:r>
          </w:p>
        </w:tc>
        <w:tc>
          <w:tcPr>
            <w:tcW w:w="1978" w:type="dxa"/>
            <w:tcBorders>
              <w:top w:val="nil"/>
              <w:left w:val="nil"/>
              <w:bottom w:val="nil"/>
              <w:right w:val="nil"/>
            </w:tcBorders>
          </w:tcPr>
          <w:p w14:paraId="215BC2DC" w14:textId="4ED0BB3A" w:rsidR="006D7C8D" w:rsidRPr="00D63217" w:rsidRDefault="006D7C8D" w:rsidP="00834E0F">
            <w:pPr>
              <w:pStyle w:val="TableTextRight"/>
              <w:spacing w:before="0" w:after="0"/>
            </w:pPr>
            <w:r>
              <w:t>300 to 400</w:t>
            </w:r>
          </w:p>
        </w:tc>
      </w:tr>
      <w:tr w:rsidR="006D7C8D" w:rsidRPr="00D63217" w14:paraId="02EA3B3B" w14:textId="77777777" w:rsidTr="00D53099">
        <w:trPr>
          <w:cantSplit/>
          <w:trHeight w:val="20"/>
        </w:trPr>
        <w:tc>
          <w:tcPr>
            <w:tcW w:w="1980" w:type="dxa"/>
            <w:tcBorders>
              <w:top w:val="nil"/>
              <w:left w:val="nil"/>
              <w:bottom w:val="nil"/>
              <w:right w:val="nil"/>
            </w:tcBorders>
          </w:tcPr>
          <w:p w14:paraId="7905DB9C" w14:textId="38AB7869" w:rsidR="006D7C8D" w:rsidRPr="00D63217" w:rsidRDefault="006D7C8D" w:rsidP="00834E0F">
            <w:pPr>
              <w:pStyle w:val="TableText"/>
              <w:spacing w:before="0" w:after="0"/>
            </w:pPr>
            <w:r>
              <w:t>Grassland</w:t>
            </w:r>
          </w:p>
        </w:tc>
        <w:tc>
          <w:tcPr>
            <w:tcW w:w="4961" w:type="dxa"/>
            <w:tcBorders>
              <w:top w:val="nil"/>
              <w:left w:val="nil"/>
              <w:bottom w:val="nil"/>
              <w:right w:val="nil"/>
            </w:tcBorders>
          </w:tcPr>
          <w:p w14:paraId="70C6F245" w14:textId="253733E8" w:rsidR="006D7C8D" w:rsidRPr="00D63217" w:rsidRDefault="006D7C8D" w:rsidP="00834E0F">
            <w:pPr>
              <w:pStyle w:val="TableText"/>
              <w:spacing w:before="0" w:after="0"/>
            </w:pPr>
            <w:r w:rsidRPr="00542AB7">
              <w:t xml:space="preserve">Public </w:t>
            </w:r>
            <w:r>
              <w:t>s</w:t>
            </w:r>
            <w:r w:rsidRPr="00542AB7">
              <w:t xml:space="preserve">ervice </w:t>
            </w:r>
            <w:r>
              <w:t>a</w:t>
            </w:r>
            <w:r w:rsidRPr="00542AB7">
              <w:t xml:space="preserve">reas, </w:t>
            </w:r>
            <w:r>
              <w:t>r</w:t>
            </w:r>
            <w:r w:rsidRPr="00542AB7">
              <w:t>ights-of-</w:t>
            </w:r>
            <w:r>
              <w:t>w</w:t>
            </w:r>
            <w:r w:rsidRPr="00542AB7">
              <w:t>ay</w:t>
            </w:r>
            <w:r>
              <w:t>, pasture (including k</w:t>
            </w:r>
            <w:r w:rsidRPr="006172AF">
              <w:t>ikuyu/paspalum</w:t>
            </w:r>
            <w:r>
              <w:t>)</w:t>
            </w:r>
          </w:p>
        </w:tc>
        <w:tc>
          <w:tcPr>
            <w:tcW w:w="709" w:type="dxa"/>
            <w:tcBorders>
              <w:top w:val="nil"/>
              <w:left w:val="nil"/>
              <w:bottom w:val="nil"/>
              <w:right w:val="nil"/>
            </w:tcBorders>
          </w:tcPr>
          <w:p w14:paraId="1B4931FC" w14:textId="51CF0400" w:rsidR="006D7C8D" w:rsidRPr="00D63217" w:rsidRDefault="006D7C8D" w:rsidP="00834E0F">
            <w:pPr>
              <w:pStyle w:val="TableTextRight"/>
              <w:spacing w:before="0" w:after="0"/>
            </w:pPr>
            <w:r w:rsidRPr="00C16D73">
              <w:t>1.0</w:t>
            </w:r>
          </w:p>
        </w:tc>
        <w:tc>
          <w:tcPr>
            <w:tcW w:w="1978" w:type="dxa"/>
            <w:tcBorders>
              <w:top w:val="nil"/>
              <w:left w:val="nil"/>
              <w:bottom w:val="nil"/>
              <w:right w:val="nil"/>
            </w:tcBorders>
          </w:tcPr>
          <w:p w14:paraId="620F6032" w14:textId="0DD96119" w:rsidR="006D7C8D" w:rsidRPr="00D63217" w:rsidRDefault="006D7C8D" w:rsidP="00834E0F">
            <w:pPr>
              <w:pStyle w:val="TableTextRight"/>
              <w:spacing w:before="0" w:after="0"/>
            </w:pPr>
            <w:r>
              <w:t>200 to 800</w:t>
            </w:r>
          </w:p>
        </w:tc>
      </w:tr>
      <w:tr w:rsidR="006D7C8D" w:rsidRPr="00D63217" w14:paraId="678B167E" w14:textId="77777777" w:rsidTr="00D53099">
        <w:trPr>
          <w:cantSplit/>
          <w:trHeight w:val="20"/>
        </w:trPr>
        <w:tc>
          <w:tcPr>
            <w:tcW w:w="1980" w:type="dxa"/>
            <w:tcBorders>
              <w:top w:val="nil"/>
              <w:left w:val="nil"/>
              <w:bottom w:val="nil"/>
              <w:right w:val="nil"/>
            </w:tcBorders>
          </w:tcPr>
          <w:p w14:paraId="3C0A3D1F" w14:textId="77777777" w:rsidR="006D7C8D" w:rsidRPr="00D63217" w:rsidRDefault="006D7C8D" w:rsidP="00834E0F">
            <w:pPr>
              <w:pStyle w:val="TableText"/>
              <w:spacing w:before="0" w:after="0"/>
            </w:pPr>
          </w:p>
        </w:tc>
        <w:tc>
          <w:tcPr>
            <w:tcW w:w="4961" w:type="dxa"/>
            <w:tcBorders>
              <w:top w:val="nil"/>
              <w:left w:val="nil"/>
              <w:bottom w:val="nil"/>
              <w:right w:val="nil"/>
            </w:tcBorders>
          </w:tcPr>
          <w:p w14:paraId="6FD7AA59" w14:textId="676EC18A" w:rsidR="006D7C8D" w:rsidRPr="00D63217" w:rsidRDefault="006D7C8D" w:rsidP="00834E0F">
            <w:pPr>
              <w:pStyle w:val="TableText"/>
              <w:spacing w:before="0" w:after="0"/>
            </w:pPr>
            <w:r>
              <w:t>Spot spraying in</w:t>
            </w:r>
            <w:r w:rsidRPr="00542AB7">
              <w:t xml:space="preserve"> </w:t>
            </w:r>
            <w:r>
              <w:t>p</w:t>
            </w:r>
            <w:r w:rsidRPr="00542AB7">
              <w:t xml:space="preserve">ublic </w:t>
            </w:r>
            <w:r>
              <w:t>s</w:t>
            </w:r>
            <w:r w:rsidRPr="00542AB7">
              <w:t xml:space="preserve">ervice </w:t>
            </w:r>
            <w:r>
              <w:t>a</w:t>
            </w:r>
            <w:r w:rsidRPr="00542AB7">
              <w:t>reas</w:t>
            </w:r>
            <w:r>
              <w:t xml:space="preserve"> and</w:t>
            </w:r>
            <w:r w:rsidRPr="00542AB7">
              <w:t xml:space="preserve"> </w:t>
            </w:r>
            <w:r>
              <w:t>r</w:t>
            </w:r>
            <w:r w:rsidRPr="00542AB7">
              <w:t>ights-of-</w:t>
            </w:r>
            <w:r>
              <w:t>w</w:t>
            </w:r>
            <w:r w:rsidRPr="00542AB7">
              <w:t>ay</w:t>
            </w:r>
          </w:p>
        </w:tc>
        <w:tc>
          <w:tcPr>
            <w:tcW w:w="709" w:type="dxa"/>
            <w:tcBorders>
              <w:top w:val="nil"/>
              <w:left w:val="nil"/>
              <w:bottom w:val="nil"/>
              <w:right w:val="nil"/>
            </w:tcBorders>
          </w:tcPr>
          <w:p w14:paraId="3FAF123E" w14:textId="1F03B396" w:rsidR="006D7C8D" w:rsidRPr="00D63217" w:rsidRDefault="006D7C8D" w:rsidP="00834E0F">
            <w:pPr>
              <w:pStyle w:val="TableTextRight"/>
              <w:spacing w:before="0" w:after="0"/>
            </w:pPr>
            <w:r>
              <w:t>0.4</w:t>
            </w:r>
          </w:p>
        </w:tc>
        <w:tc>
          <w:tcPr>
            <w:tcW w:w="1978" w:type="dxa"/>
            <w:tcBorders>
              <w:top w:val="nil"/>
              <w:left w:val="nil"/>
              <w:bottom w:val="nil"/>
              <w:right w:val="nil"/>
            </w:tcBorders>
          </w:tcPr>
          <w:p w14:paraId="3A5B9C61" w14:textId="6C0D3CE8" w:rsidR="006D7C8D" w:rsidRPr="00D63217" w:rsidRDefault="006D7C8D" w:rsidP="00834E0F">
            <w:pPr>
              <w:pStyle w:val="TableTextRight"/>
              <w:spacing w:before="0" w:after="0"/>
            </w:pPr>
            <w:r>
              <w:t>240 to 320</w:t>
            </w:r>
          </w:p>
        </w:tc>
      </w:tr>
      <w:tr w:rsidR="006D7C8D" w:rsidRPr="00D63217" w14:paraId="736EB736" w14:textId="77777777" w:rsidTr="00D53099">
        <w:trPr>
          <w:cantSplit/>
          <w:trHeight w:val="20"/>
        </w:trPr>
        <w:tc>
          <w:tcPr>
            <w:tcW w:w="1980" w:type="dxa"/>
            <w:tcBorders>
              <w:top w:val="nil"/>
              <w:left w:val="nil"/>
              <w:bottom w:val="nil"/>
              <w:right w:val="nil"/>
            </w:tcBorders>
          </w:tcPr>
          <w:p w14:paraId="24F0A6D5" w14:textId="52E6920E" w:rsidR="006D7C8D" w:rsidRPr="00D63217" w:rsidRDefault="006D7C8D" w:rsidP="00834E0F">
            <w:pPr>
              <w:pStyle w:val="TableText"/>
              <w:spacing w:before="0" w:after="0"/>
            </w:pPr>
            <w:r>
              <w:t>Legume forage</w:t>
            </w:r>
          </w:p>
        </w:tc>
        <w:tc>
          <w:tcPr>
            <w:tcW w:w="4961" w:type="dxa"/>
            <w:tcBorders>
              <w:top w:val="nil"/>
              <w:left w:val="nil"/>
              <w:bottom w:val="nil"/>
              <w:right w:val="nil"/>
            </w:tcBorders>
          </w:tcPr>
          <w:p w14:paraId="3F3D0BA7" w14:textId="727E1400" w:rsidR="006D7C8D" w:rsidRPr="00D63217" w:rsidRDefault="006D7C8D" w:rsidP="00834E0F">
            <w:pPr>
              <w:pStyle w:val="TableText"/>
              <w:spacing w:before="0" w:after="0"/>
            </w:pPr>
            <w:r w:rsidRPr="00542AB7">
              <w:t>Lucerne (established at least 1 year old)</w:t>
            </w:r>
          </w:p>
        </w:tc>
        <w:tc>
          <w:tcPr>
            <w:tcW w:w="709" w:type="dxa"/>
            <w:tcBorders>
              <w:top w:val="nil"/>
              <w:left w:val="nil"/>
              <w:bottom w:val="nil"/>
              <w:right w:val="nil"/>
            </w:tcBorders>
          </w:tcPr>
          <w:p w14:paraId="23F4CA14" w14:textId="69D239EF" w:rsidR="006D7C8D" w:rsidRPr="00D63217" w:rsidRDefault="006D7C8D" w:rsidP="00834E0F">
            <w:pPr>
              <w:pStyle w:val="TableTextRight"/>
              <w:spacing w:before="0" w:after="0"/>
            </w:pPr>
            <w:r w:rsidRPr="00C16D73">
              <w:t>1.0</w:t>
            </w:r>
          </w:p>
        </w:tc>
        <w:tc>
          <w:tcPr>
            <w:tcW w:w="1978" w:type="dxa"/>
            <w:tcBorders>
              <w:top w:val="nil"/>
              <w:left w:val="nil"/>
              <w:bottom w:val="nil"/>
              <w:right w:val="nil"/>
            </w:tcBorders>
          </w:tcPr>
          <w:p w14:paraId="00F934E4" w14:textId="4105826E" w:rsidR="006D7C8D" w:rsidRPr="00D63217" w:rsidRDefault="006D7C8D" w:rsidP="00834E0F">
            <w:pPr>
              <w:pStyle w:val="TableTextRight"/>
              <w:spacing w:before="0" w:after="0"/>
            </w:pPr>
            <w:r>
              <w:t>400 to 600</w:t>
            </w:r>
          </w:p>
        </w:tc>
      </w:tr>
      <w:tr w:rsidR="006D7C8D" w:rsidRPr="00D63217" w14:paraId="57C850AF" w14:textId="77777777" w:rsidTr="00D53099">
        <w:trPr>
          <w:cantSplit/>
          <w:trHeight w:val="20"/>
        </w:trPr>
        <w:tc>
          <w:tcPr>
            <w:tcW w:w="1980" w:type="dxa"/>
            <w:tcBorders>
              <w:top w:val="nil"/>
              <w:left w:val="nil"/>
              <w:bottom w:val="nil"/>
              <w:right w:val="nil"/>
            </w:tcBorders>
          </w:tcPr>
          <w:p w14:paraId="53A289D4" w14:textId="0B69926D" w:rsidR="006D7C8D" w:rsidRPr="00D63217" w:rsidRDefault="006D7C8D" w:rsidP="00834E0F">
            <w:pPr>
              <w:pStyle w:val="TableText"/>
              <w:spacing w:before="0" w:after="0"/>
            </w:pPr>
            <w:r>
              <w:t>Maize</w:t>
            </w:r>
          </w:p>
        </w:tc>
        <w:tc>
          <w:tcPr>
            <w:tcW w:w="4961" w:type="dxa"/>
            <w:tcBorders>
              <w:top w:val="nil"/>
              <w:left w:val="nil"/>
              <w:bottom w:val="nil"/>
              <w:right w:val="nil"/>
            </w:tcBorders>
          </w:tcPr>
          <w:p w14:paraId="1D8E6774" w14:textId="6C23189E" w:rsidR="006D7C8D" w:rsidRPr="00D63217" w:rsidRDefault="006D7C8D" w:rsidP="00834E0F">
            <w:pPr>
              <w:pStyle w:val="TableText"/>
              <w:spacing w:before="0" w:after="0"/>
            </w:pPr>
            <w:r w:rsidRPr="00542AB7">
              <w:t>Sugarcane plant and ratoon</w:t>
            </w:r>
          </w:p>
        </w:tc>
        <w:tc>
          <w:tcPr>
            <w:tcW w:w="709" w:type="dxa"/>
            <w:tcBorders>
              <w:top w:val="nil"/>
              <w:left w:val="nil"/>
              <w:bottom w:val="nil"/>
              <w:right w:val="nil"/>
            </w:tcBorders>
          </w:tcPr>
          <w:p w14:paraId="7B239405" w14:textId="19744802" w:rsidR="006D7C8D" w:rsidRPr="00D63217" w:rsidRDefault="006D7C8D" w:rsidP="00834E0F">
            <w:pPr>
              <w:pStyle w:val="TableTextRight"/>
              <w:spacing w:before="0" w:after="0"/>
            </w:pPr>
            <w:r w:rsidRPr="00C16D73">
              <w:t>1.0</w:t>
            </w:r>
          </w:p>
        </w:tc>
        <w:tc>
          <w:tcPr>
            <w:tcW w:w="1978" w:type="dxa"/>
            <w:tcBorders>
              <w:top w:val="nil"/>
              <w:left w:val="nil"/>
              <w:bottom w:val="nil"/>
              <w:right w:val="nil"/>
            </w:tcBorders>
          </w:tcPr>
          <w:p w14:paraId="1EF27D94" w14:textId="1CFB29B4" w:rsidR="006D7C8D" w:rsidRPr="00D63217" w:rsidRDefault="006D7C8D" w:rsidP="00834E0F">
            <w:pPr>
              <w:pStyle w:val="TableTextRight"/>
              <w:spacing w:before="0" w:after="0"/>
            </w:pPr>
            <w:r>
              <w:t>300 to 500</w:t>
            </w:r>
          </w:p>
        </w:tc>
      </w:tr>
      <w:tr w:rsidR="006D7C8D" w:rsidRPr="00D63217" w14:paraId="223C0528" w14:textId="77777777" w:rsidTr="00D53099">
        <w:trPr>
          <w:cantSplit/>
          <w:trHeight w:val="20"/>
        </w:trPr>
        <w:tc>
          <w:tcPr>
            <w:tcW w:w="1980" w:type="dxa"/>
            <w:tcBorders>
              <w:top w:val="nil"/>
              <w:left w:val="nil"/>
              <w:bottom w:val="nil"/>
              <w:right w:val="nil"/>
            </w:tcBorders>
          </w:tcPr>
          <w:p w14:paraId="5E17E727" w14:textId="6A7BA1F9" w:rsidR="006D7C8D" w:rsidRPr="00D63217" w:rsidRDefault="006D7C8D" w:rsidP="00834E0F">
            <w:pPr>
              <w:pStyle w:val="TableText"/>
              <w:spacing w:before="0" w:after="0"/>
            </w:pPr>
            <w:r>
              <w:lastRenderedPageBreak/>
              <w:t>Orchards</w:t>
            </w:r>
          </w:p>
        </w:tc>
        <w:tc>
          <w:tcPr>
            <w:tcW w:w="4961" w:type="dxa"/>
            <w:tcBorders>
              <w:top w:val="nil"/>
              <w:left w:val="nil"/>
              <w:bottom w:val="nil"/>
              <w:right w:val="nil"/>
            </w:tcBorders>
          </w:tcPr>
          <w:p w14:paraId="560BA027" w14:textId="2401C784" w:rsidR="006D7C8D" w:rsidRPr="00D63217" w:rsidRDefault="006D7C8D" w:rsidP="00834E0F">
            <w:pPr>
              <w:pStyle w:val="TableText"/>
              <w:spacing w:before="0" w:after="0"/>
            </w:pPr>
            <w:r w:rsidRPr="00542AB7">
              <w:t xml:space="preserve">Orchards (including Bananas), and </w:t>
            </w:r>
            <w:r>
              <w:t>f</w:t>
            </w:r>
            <w:r w:rsidRPr="00542AB7">
              <w:t xml:space="preserve">orests–ring weeding around trees with brown bark and strip spraying in </w:t>
            </w:r>
            <w:r>
              <w:t>o</w:t>
            </w:r>
            <w:r w:rsidRPr="00542AB7">
              <w:t>rchards</w:t>
            </w:r>
            <w:r>
              <w:t>, hazelnut plantations, pistachio nuts, walnuts, duboisia, tea-trees</w:t>
            </w:r>
          </w:p>
        </w:tc>
        <w:tc>
          <w:tcPr>
            <w:tcW w:w="709" w:type="dxa"/>
            <w:tcBorders>
              <w:top w:val="nil"/>
              <w:left w:val="nil"/>
              <w:bottom w:val="nil"/>
              <w:right w:val="nil"/>
            </w:tcBorders>
          </w:tcPr>
          <w:p w14:paraId="170BE1F8" w14:textId="734FE8AB" w:rsidR="006D7C8D" w:rsidRPr="00D63217" w:rsidRDefault="006D7C8D" w:rsidP="00834E0F">
            <w:pPr>
              <w:pStyle w:val="TableTextRight"/>
              <w:spacing w:before="0" w:after="0"/>
            </w:pPr>
            <w:r>
              <w:t>1.0</w:t>
            </w:r>
          </w:p>
        </w:tc>
        <w:tc>
          <w:tcPr>
            <w:tcW w:w="1978" w:type="dxa"/>
            <w:tcBorders>
              <w:top w:val="nil"/>
              <w:left w:val="nil"/>
              <w:bottom w:val="nil"/>
              <w:right w:val="nil"/>
            </w:tcBorders>
          </w:tcPr>
          <w:p w14:paraId="3DE8ACDA" w14:textId="5B9DE088" w:rsidR="006D7C8D" w:rsidRPr="00D63217" w:rsidRDefault="006D7C8D" w:rsidP="00834E0F">
            <w:pPr>
              <w:pStyle w:val="TableTextRight"/>
              <w:spacing w:before="0" w:after="0"/>
            </w:pPr>
            <w:r>
              <w:t>400 to 800</w:t>
            </w:r>
          </w:p>
        </w:tc>
      </w:tr>
      <w:tr w:rsidR="006D7C8D" w:rsidRPr="00D63217" w14:paraId="6830EEFB" w14:textId="77777777" w:rsidTr="00D53099">
        <w:trPr>
          <w:cantSplit/>
          <w:trHeight w:val="20"/>
        </w:trPr>
        <w:tc>
          <w:tcPr>
            <w:tcW w:w="1980" w:type="dxa"/>
            <w:tcBorders>
              <w:top w:val="nil"/>
              <w:left w:val="nil"/>
              <w:bottom w:val="nil"/>
              <w:right w:val="nil"/>
            </w:tcBorders>
          </w:tcPr>
          <w:p w14:paraId="09351CA4" w14:textId="77777777" w:rsidR="006D7C8D" w:rsidRPr="00D63217" w:rsidRDefault="006D7C8D" w:rsidP="00834E0F">
            <w:pPr>
              <w:pStyle w:val="TableText"/>
              <w:spacing w:before="0" w:after="0"/>
            </w:pPr>
          </w:p>
        </w:tc>
        <w:tc>
          <w:tcPr>
            <w:tcW w:w="4961" w:type="dxa"/>
            <w:tcBorders>
              <w:top w:val="nil"/>
              <w:left w:val="nil"/>
              <w:bottom w:val="nil"/>
              <w:right w:val="nil"/>
            </w:tcBorders>
          </w:tcPr>
          <w:p w14:paraId="5598864F" w14:textId="52BB9759" w:rsidR="006D7C8D" w:rsidRPr="00D63217" w:rsidRDefault="006D7C8D" w:rsidP="00834E0F">
            <w:pPr>
              <w:pStyle w:val="TableText"/>
              <w:spacing w:before="0" w:after="0"/>
            </w:pPr>
            <w:r>
              <w:t>Spot spraying in o</w:t>
            </w:r>
            <w:r w:rsidRPr="00542AB7">
              <w:t xml:space="preserve">rchards (including Bananas), and </w:t>
            </w:r>
            <w:r>
              <w:t>f</w:t>
            </w:r>
            <w:r w:rsidRPr="00542AB7">
              <w:t xml:space="preserve">orests–ring weeding around trees with brown bark and strip spraying in </w:t>
            </w:r>
            <w:r>
              <w:t>o</w:t>
            </w:r>
            <w:r w:rsidRPr="00542AB7">
              <w:t>rchards</w:t>
            </w:r>
            <w:r>
              <w:t>, hazelnut plantations, pistachio nuts, walnuts, duboisia</w:t>
            </w:r>
          </w:p>
        </w:tc>
        <w:tc>
          <w:tcPr>
            <w:tcW w:w="709" w:type="dxa"/>
            <w:tcBorders>
              <w:top w:val="nil"/>
              <w:left w:val="nil"/>
              <w:bottom w:val="nil"/>
              <w:right w:val="nil"/>
            </w:tcBorders>
          </w:tcPr>
          <w:p w14:paraId="57657085" w14:textId="01AA184A" w:rsidR="006D7C8D" w:rsidRPr="00D63217" w:rsidRDefault="006D7C8D" w:rsidP="00834E0F">
            <w:pPr>
              <w:pStyle w:val="TableTextRight"/>
              <w:spacing w:before="0" w:after="0"/>
            </w:pPr>
            <w:r>
              <w:t>0.4</w:t>
            </w:r>
          </w:p>
        </w:tc>
        <w:tc>
          <w:tcPr>
            <w:tcW w:w="1978" w:type="dxa"/>
            <w:tcBorders>
              <w:top w:val="nil"/>
              <w:left w:val="nil"/>
              <w:bottom w:val="nil"/>
              <w:right w:val="nil"/>
            </w:tcBorders>
          </w:tcPr>
          <w:p w14:paraId="699A86C4" w14:textId="75727205" w:rsidR="006D7C8D" w:rsidRPr="00D63217" w:rsidRDefault="006D7C8D" w:rsidP="00834E0F">
            <w:pPr>
              <w:pStyle w:val="TableTextRight"/>
              <w:spacing w:before="0" w:after="0"/>
            </w:pPr>
            <w:r>
              <w:t>240 to 320</w:t>
            </w:r>
          </w:p>
        </w:tc>
      </w:tr>
      <w:tr w:rsidR="006D7C8D" w:rsidRPr="00D63217" w14:paraId="66D744C5" w14:textId="77777777" w:rsidTr="00D53099">
        <w:trPr>
          <w:cantSplit/>
          <w:trHeight w:val="20"/>
        </w:trPr>
        <w:tc>
          <w:tcPr>
            <w:tcW w:w="1980" w:type="dxa"/>
            <w:tcBorders>
              <w:top w:val="nil"/>
              <w:left w:val="nil"/>
              <w:bottom w:val="nil"/>
              <w:right w:val="nil"/>
            </w:tcBorders>
          </w:tcPr>
          <w:p w14:paraId="27881729" w14:textId="77777777" w:rsidR="006D7C8D" w:rsidRPr="00D63217" w:rsidRDefault="006D7C8D" w:rsidP="00834E0F">
            <w:pPr>
              <w:pStyle w:val="TableText"/>
              <w:spacing w:before="0" w:after="0"/>
            </w:pPr>
          </w:p>
        </w:tc>
        <w:tc>
          <w:tcPr>
            <w:tcW w:w="4961" w:type="dxa"/>
            <w:tcBorders>
              <w:top w:val="nil"/>
              <w:left w:val="nil"/>
              <w:bottom w:val="nil"/>
              <w:right w:val="nil"/>
            </w:tcBorders>
          </w:tcPr>
          <w:p w14:paraId="2AED56F6" w14:textId="428D314A" w:rsidR="006D7C8D" w:rsidRPr="00D63217" w:rsidRDefault="006D7C8D" w:rsidP="00834E0F">
            <w:pPr>
              <w:pStyle w:val="TableText"/>
              <w:spacing w:before="0" w:after="0"/>
            </w:pPr>
            <w:r>
              <w:t>Spot spraying in avocados, custard apples, lychees, mangoes</w:t>
            </w:r>
          </w:p>
        </w:tc>
        <w:tc>
          <w:tcPr>
            <w:tcW w:w="709" w:type="dxa"/>
            <w:tcBorders>
              <w:top w:val="nil"/>
              <w:left w:val="nil"/>
              <w:bottom w:val="nil"/>
              <w:right w:val="nil"/>
            </w:tcBorders>
          </w:tcPr>
          <w:p w14:paraId="6E2DF7C0" w14:textId="3DA8B27C" w:rsidR="006D7C8D" w:rsidRPr="00D63217" w:rsidRDefault="006D7C8D" w:rsidP="00834E0F">
            <w:pPr>
              <w:pStyle w:val="TableTextRight"/>
              <w:spacing w:before="0" w:after="0"/>
            </w:pPr>
            <w:r>
              <w:t>0.4</w:t>
            </w:r>
          </w:p>
        </w:tc>
        <w:tc>
          <w:tcPr>
            <w:tcW w:w="1978" w:type="dxa"/>
            <w:tcBorders>
              <w:top w:val="nil"/>
              <w:left w:val="nil"/>
              <w:bottom w:val="nil"/>
              <w:right w:val="nil"/>
            </w:tcBorders>
          </w:tcPr>
          <w:p w14:paraId="74867F87" w14:textId="0BD40748" w:rsidR="006D7C8D" w:rsidRPr="00D63217" w:rsidRDefault="006D7C8D" w:rsidP="00834E0F">
            <w:pPr>
              <w:pStyle w:val="TableTextRight"/>
              <w:spacing w:before="0" w:after="0"/>
            </w:pPr>
            <w:r>
              <w:t>120 to 240</w:t>
            </w:r>
          </w:p>
        </w:tc>
      </w:tr>
      <w:tr w:rsidR="006D7C8D" w:rsidRPr="00D63217" w14:paraId="3E04CDD6" w14:textId="77777777" w:rsidTr="00D53099">
        <w:trPr>
          <w:cantSplit/>
          <w:trHeight w:val="20"/>
        </w:trPr>
        <w:tc>
          <w:tcPr>
            <w:tcW w:w="1980" w:type="dxa"/>
            <w:tcBorders>
              <w:top w:val="nil"/>
              <w:left w:val="nil"/>
              <w:bottom w:val="nil"/>
              <w:right w:val="nil"/>
            </w:tcBorders>
          </w:tcPr>
          <w:p w14:paraId="6C43ACC8" w14:textId="60280C87" w:rsidR="006D7C8D" w:rsidRPr="00D63217" w:rsidRDefault="006D7C8D" w:rsidP="00834E0F">
            <w:pPr>
              <w:pStyle w:val="TableText"/>
              <w:spacing w:before="0" w:after="0"/>
            </w:pPr>
            <w:r>
              <w:t>Potatoes</w:t>
            </w:r>
          </w:p>
        </w:tc>
        <w:tc>
          <w:tcPr>
            <w:tcW w:w="4961" w:type="dxa"/>
            <w:tcBorders>
              <w:top w:val="nil"/>
              <w:left w:val="nil"/>
              <w:bottom w:val="nil"/>
              <w:right w:val="nil"/>
            </w:tcBorders>
          </w:tcPr>
          <w:p w14:paraId="7B48772E" w14:textId="7B7579CC" w:rsidR="006D7C8D" w:rsidRPr="00D63217" w:rsidRDefault="006D7C8D" w:rsidP="00834E0F">
            <w:pPr>
              <w:pStyle w:val="TableText"/>
              <w:spacing w:before="0" w:after="0"/>
            </w:pPr>
            <w:r>
              <w:t>Potatoes weed destruction prior to digging</w:t>
            </w:r>
          </w:p>
        </w:tc>
        <w:tc>
          <w:tcPr>
            <w:tcW w:w="709" w:type="dxa"/>
            <w:tcBorders>
              <w:top w:val="nil"/>
              <w:left w:val="nil"/>
              <w:bottom w:val="nil"/>
              <w:right w:val="nil"/>
            </w:tcBorders>
          </w:tcPr>
          <w:p w14:paraId="261109BD" w14:textId="64CE7062" w:rsidR="006D7C8D" w:rsidRPr="00D63217" w:rsidRDefault="006D7C8D" w:rsidP="00834E0F">
            <w:pPr>
              <w:pStyle w:val="TableTextRight"/>
              <w:spacing w:before="0" w:after="0"/>
            </w:pPr>
            <w:r>
              <w:t>1.0</w:t>
            </w:r>
          </w:p>
        </w:tc>
        <w:tc>
          <w:tcPr>
            <w:tcW w:w="1978" w:type="dxa"/>
            <w:tcBorders>
              <w:top w:val="nil"/>
              <w:left w:val="nil"/>
              <w:bottom w:val="nil"/>
              <w:right w:val="nil"/>
            </w:tcBorders>
          </w:tcPr>
          <w:p w14:paraId="76AF4C08" w14:textId="5EBA4162" w:rsidR="006D7C8D" w:rsidRPr="00D63217" w:rsidRDefault="006D7C8D" w:rsidP="00834E0F">
            <w:pPr>
              <w:pStyle w:val="TableTextRight"/>
              <w:spacing w:before="0" w:after="0"/>
            </w:pPr>
            <w:r>
              <w:t>800</w:t>
            </w:r>
          </w:p>
        </w:tc>
      </w:tr>
      <w:tr w:rsidR="006D7C8D" w:rsidRPr="00D63217" w14:paraId="7171655E" w14:textId="77777777" w:rsidTr="00D53099">
        <w:trPr>
          <w:cantSplit/>
          <w:trHeight w:val="20"/>
        </w:trPr>
        <w:tc>
          <w:tcPr>
            <w:tcW w:w="1980" w:type="dxa"/>
            <w:tcBorders>
              <w:top w:val="nil"/>
              <w:left w:val="nil"/>
              <w:bottom w:val="nil"/>
              <w:right w:val="nil"/>
            </w:tcBorders>
          </w:tcPr>
          <w:p w14:paraId="446210CB" w14:textId="77777777" w:rsidR="006D7C8D" w:rsidRPr="00D63217" w:rsidRDefault="006D7C8D" w:rsidP="00834E0F">
            <w:pPr>
              <w:pStyle w:val="TableText"/>
              <w:spacing w:before="0" w:after="0"/>
            </w:pPr>
          </w:p>
        </w:tc>
        <w:tc>
          <w:tcPr>
            <w:tcW w:w="4961" w:type="dxa"/>
            <w:tcBorders>
              <w:top w:val="nil"/>
              <w:left w:val="nil"/>
              <w:bottom w:val="nil"/>
              <w:right w:val="nil"/>
            </w:tcBorders>
          </w:tcPr>
          <w:p w14:paraId="012B04BB" w14:textId="2A6B2804" w:rsidR="006D7C8D" w:rsidRPr="00D63217" w:rsidRDefault="006D7C8D" w:rsidP="00834E0F">
            <w:pPr>
              <w:pStyle w:val="TableText"/>
              <w:spacing w:before="0" w:after="0"/>
            </w:pPr>
            <w:r>
              <w:t>Spot spraying in potatoes</w:t>
            </w:r>
          </w:p>
        </w:tc>
        <w:tc>
          <w:tcPr>
            <w:tcW w:w="709" w:type="dxa"/>
            <w:tcBorders>
              <w:top w:val="nil"/>
              <w:left w:val="nil"/>
              <w:bottom w:val="nil"/>
              <w:right w:val="nil"/>
            </w:tcBorders>
          </w:tcPr>
          <w:p w14:paraId="6A612A43" w14:textId="6BEAEC01" w:rsidR="006D7C8D" w:rsidRPr="00D63217" w:rsidRDefault="006D7C8D" w:rsidP="00834E0F">
            <w:pPr>
              <w:pStyle w:val="TableTextRight"/>
              <w:spacing w:before="0" w:after="0"/>
            </w:pPr>
            <w:r>
              <w:t>0.4</w:t>
            </w:r>
          </w:p>
        </w:tc>
        <w:tc>
          <w:tcPr>
            <w:tcW w:w="1978" w:type="dxa"/>
            <w:tcBorders>
              <w:top w:val="nil"/>
              <w:left w:val="nil"/>
              <w:bottom w:val="nil"/>
              <w:right w:val="nil"/>
            </w:tcBorders>
          </w:tcPr>
          <w:p w14:paraId="2C9F2C40" w14:textId="2E6CD84D" w:rsidR="006D7C8D" w:rsidRPr="00D63217" w:rsidRDefault="006D7C8D" w:rsidP="00834E0F">
            <w:pPr>
              <w:pStyle w:val="TableTextRight"/>
              <w:spacing w:before="0" w:after="0"/>
            </w:pPr>
            <w:r>
              <w:t>320</w:t>
            </w:r>
          </w:p>
        </w:tc>
      </w:tr>
      <w:tr w:rsidR="006D7C8D" w:rsidRPr="00D63217" w14:paraId="477BBA03" w14:textId="77777777" w:rsidTr="00D53099">
        <w:trPr>
          <w:cantSplit/>
          <w:trHeight w:val="20"/>
        </w:trPr>
        <w:tc>
          <w:tcPr>
            <w:tcW w:w="1980" w:type="dxa"/>
            <w:tcBorders>
              <w:top w:val="nil"/>
              <w:left w:val="nil"/>
              <w:bottom w:val="nil"/>
              <w:right w:val="nil"/>
            </w:tcBorders>
          </w:tcPr>
          <w:p w14:paraId="345FC8DC" w14:textId="20B2D838" w:rsidR="006D7C8D" w:rsidRPr="00D63217" w:rsidRDefault="006D7C8D" w:rsidP="00834E0F">
            <w:pPr>
              <w:pStyle w:val="TableText"/>
              <w:spacing w:before="0" w:after="0"/>
            </w:pPr>
            <w:r>
              <w:t>Vineyards</w:t>
            </w:r>
          </w:p>
        </w:tc>
        <w:tc>
          <w:tcPr>
            <w:tcW w:w="4961" w:type="dxa"/>
            <w:tcBorders>
              <w:top w:val="nil"/>
              <w:left w:val="nil"/>
              <w:bottom w:val="nil"/>
              <w:right w:val="nil"/>
            </w:tcBorders>
          </w:tcPr>
          <w:p w14:paraId="59A9642E" w14:textId="081D9272" w:rsidR="006D7C8D" w:rsidRPr="00D63217" w:rsidRDefault="006D7C8D" w:rsidP="00834E0F">
            <w:pPr>
              <w:pStyle w:val="TableText"/>
              <w:spacing w:before="0" w:after="0"/>
            </w:pPr>
            <w:r w:rsidRPr="00542AB7">
              <w:t>Vineyards and strip spraying</w:t>
            </w:r>
            <w:r>
              <w:t xml:space="preserve"> in vineyards</w:t>
            </w:r>
          </w:p>
        </w:tc>
        <w:tc>
          <w:tcPr>
            <w:tcW w:w="709" w:type="dxa"/>
            <w:tcBorders>
              <w:top w:val="nil"/>
              <w:left w:val="nil"/>
              <w:bottom w:val="nil"/>
              <w:right w:val="nil"/>
            </w:tcBorders>
          </w:tcPr>
          <w:p w14:paraId="527524C2" w14:textId="7187D86F" w:rsidR="006D7C8D" w:rsidRPr="00D63217" w:rsidRDefault="006D7C8D" w:rsidP="00834E0F">
            <w:pPr>
              <w:pStyle w:val="TableTextRight"/>
              <w:spacing w:before="0" w:after="0"/>
            </w:pPr>
            <w:r>
              <w:t>1.0</w:t>
            </w:r>
          </w:p>
        </w:tc>
        <w:tc>
          <w:tcPr>
            <w:tcW w:w="1978" w:type="dxa"/>
            <w:tcBorders>
              <w:top w:val="nil"/>
              <w:left w:val="nil"/>
              <w:bottom w:val="nil"/>
              <w:right w:val="nil"/>
            </w:tcBorders>
          </w:tcPr>
          <w:p w14:paraId="730FFD77" w14:textId="0386FCEF" w:rsidR="006D7C8D" w:rsidRPr="00D63217" w:rsidRDefault="006D7C8D" w:rsidP="00834E0F">
            <w:pPr>
              <w:pStyle w:val="TableTextRight"/>
              <w:spacing w:before="0" w:after="0"/>
            </w:pPr>
            <w:r>
              <w:t>600 to 800</w:t>
            </w:r>
          </w:p>
        </w:tc>
      </w:tr>
      <w:tr w:rsidR="006D7C8D" w:rsidRPr="00D63217" w14:paraId="4192A2DA" w14:textId="77777777" w:rsidTr="00D53099">
        <w:trPr>
          <w:cantSplit/>
          <w:trHeight w:val="20"/>
        </w:trPr>
        <w:tc>
          <w:tcPr>
            <w:tcW w:w="1980" w:type="dxa"/>
            <w:tcBorders>
              <w:top w:val="nil"/>
              <w:left w:val="nil"/>
              <w:bottom w:val="nil"/>
              <w:right w:val="nil"/>
            </w:tcBorders>
          </w:tcPr>
          <w:p w14:paraId="62557F27" w14:textId="77777777" w:rsidR="006D7C8D" w:rsidRPr="00D63217" w:rsidRDefault="006D7C8D" w:rsidP="00834E0F">
            <w:pPr>
              <w:pStyle w:val="TableText"/>
              <w:spacing w:before="0" w:after="0"/>
            </w:pPr>
          </w:p>
        </w:tc>
        <w:tc>
          <w:tcPr>
            <w:tcW w:w="4961" w:type="dxa"/>
            <w:tcBorders>
              <w:top w:val="nil"/>
              <w:left w:val="nil"/>
              <w:bottom w:val="nil"/>
              <w:right w:val="nil"/>
            </w:tcBorders>
          </w:tcPr>
          <w:p w14:paraId="04FBE02D" w14:textId="6CA211CC" w:rsidR="006D7C8D" w:rsidRPr="00D63217" w:rsidRDefault="006D7C8D" w:rsidP="00834E0F">
            <w:pPr>
              <w:pStyle w:val="TableText"/>
              <w:spacing w:before="0" w:after="0"/>
            </w:pPr>
            <w:r>
              <w:t>Spot spraying in vineyards</w:t>
            </w:r>
          </w:p>
        </w:tc>
        <w:tc>
          <w:tcPr>
            <w:tcW w:w="709" w:type="dxa"/>
            <w:tcBorders>
              <w:top w:val="nil"/>
              <w:left w:val="nil"/>
              <w:bottom w:val="nil"/>
              <w:right w:val="nil"/>
            </w:tcBorders>
          </w:tcPr>
          <w:p w14:paraId="4DD3CC21" w14:textId="2091A90F" w:rsidR="006D7C8D" w:rsidRPr="00D63217" w:rsidRDefault="006D7C8D" w:rsidP="00834E0F">
            <w:pPr>
              <w:pStyle w:val="TableTextRight"/>
              <w:spacing w:before="0" w:after="0"/>
            </w:pPr>
            <w:r>
              <w:t>0.4</w:t>
            </w:r>
          </w:p>
        </w:tc>
        <w:tc>
          <w:tcPr>
            <w:tcW w:w="1978" w:type="dxa"/>
            <w:tcBorders>
              <w:top w:val="nil"/>
              <w:left w:val="nil"/>
              <w:bottom w:val="nil"/>
              <w:right w:val="nil"/>
            </w:tcBorders>
          </w:tcPr>
          <w:p w14:paraId="514AE727" w14:textId="0F0F784C" w:rsidR="006D7C8D" w:rsidRPr="00D63217" w:rsidRDefault="006D7C8D" w:rsidP="00834E0F">
            <w:pPr>
              <w:pStyle w:val="TableTextRight"/>
              <w:spacing w:before="0" w:after="0"/>
            </w:pPr>
            <w:r>
              <w:t>240 to 320</w:t>
            </w:r>
          </w:p>
        </w:tc>
      </w:tr>
      <w:tr w:rsidR="006D7C8D" w:rsidRPr="00D63217" w14:paraId="7B4966C7" w14:textId="77777777" w:rsidTr="00D53099">
        <w:trPr>
          <w:cantSplit/>
          <w:trHeight w:val="20"/>
        </w:trPr>
        <w:tc>
          <w:tcPr>
            <w:tcW w:w="1980" w:type="dxa"/>
            <w:tcBorders>
              <w:top w:val="nil"/>
              <w:left w:val="nil"/>
              <w:bottom w:val="single" w:sz="4" w:space="0" w:color="auto"/>
              <w:right w:val="nil"/>
            </w:tcBorders>
          </w:tcPr>
          <w:p w14:paraId="60846616" w14:textId="5F86B8E6" w:rsidR="006D7C8D" w:rsidRPr="00D63217" w:rsidRDefault="006D7C8D" w:rsidP="00834E0F">
            <w:pPr>
              <w:pStyle w:val="TableText"/>
              <w:spacing w:before="0" w:after="0"/>
            </w:pPr>
            <w:r w:rsidRPr="0041709B">
              <w:t>-</w:t>
            </w:r>
          </w:p>
        </w:tc>
        <w:tc>
          <w:tcPr>
            <w:tcW w:w="4961" w:type="dxa"/>
            <w:tcBorders>
              <w:top w:val="nil"/>
              <w:left w:val="nil"/>
              <w:bottom w:val="single" w:sz="4" w:space="0" w:color="auto"/>
              <w:right w:val="nil"/>
            </w:tcBorders>
          </w:tcPr>
          <w:p w14:paraId="524D39C0" w14:textId="39331728" w:rsidR="006D7C8D" w:rsidRPr="00D63217" w:rsidRDefault="006D7C8D" w:rsidP="00834E0F">
            <w:pPr>
              <w:pStyle w:val="TableText"/>
              <w:spacing w:before="0" w:after="0"/>
            </w:pPr>
            <w:r w:rsidRPr="0041709B">
              <w:t>Long-term weed control (including spot spraying)</w:t>
            </w:r>
            <w:r>
              <w:rPr>
                <w:rStyle w:val="FootnoteReference"/>
                <w:szCs w:val="17"/>
              </w:rPr>
              <w:footnoteReference w:id="29"/>
            </w:r>
          </w:p>
        </w:tc>
        <w:tc>
          <w:tcPr>
            <w:tcW w:w="709" w:type="dxa"/>
            <w:tcBorders>
              <w:top w:val="nil"/>
              <w:left w:val="nil"/>
              <w:bottom w:val="single" w:sz="4" w:space="0" w:color="auto"/>
              <w:right w:val="nil"/>
            </w:tcBorders>
          </w:tcPr>
          <w:p w14:paraId="77AD59D5" w14:textId="07BC8DF2" w:rsidR="006D7C8D" w:rsidRPr="00D63217" w:rsidRDefault="006D7C8D" w:rsidP="00834E0F">
            <w:pPr>
              <w:pStyle w:val="TableTextRight"/>
              <w:spacing w:before="0" w:after="0"/>
            </w:pPr>
            <w:r w:rsidRPr="0041709B">
              <w:t>-</w:t>
            </w:r>
          </w:p>
        </w:tc>
        <w:tc>
          <w:tcPr>
            <w:tcW w:w="1978" w:type="dxa"/>
            <w:tcBorders>
              <w:top w:val="nil"/>
              <w:left w:val="nil"/>
              <w:bottom w:val="single" w:sz="4" w:space="0" w:color="auto"/>
              <w:right w:val="nil"/>
            </w:tcBorders>
          </w:tcPr>
          <w:p w14:paraId="505C2D79" w14:textId="679E2F7D" w:rsidR="006D7C8D" w:rsidRPr="00D63217" w:rsidRDefault="006D7C8D" w:rsidP="00834E0F">
            <w:pPr>
              <w:pStyle w:val="TableTextRight"/>
              <w:spacing w:before="0" w:after="0"/>
            </w:pPr>
            <w:r w:rsidRPr="0041709B">
              <w:t>-</w:t>
            </w:r>
          </w:p>
        </w:tc>
      </w:tr>
    </w:tbl>
    <w:p w14:paraId="59D78473" w14:textId="6CCADD76" w:rsidR="00C2168A" w:rsidRPr="00D63217" w:rsidRDefault="00C2168A" w:rsidP="00D53099">
      <w:pPr>
        <w:pStyle w:val="SourceTableNote"/>
        <w:rPr>
          <w:szCs w:val="16"/>
        </w:rPr>
      </w:pPr>
      <w:r w:rsidRPr="00931B9D">
        <w:t xml:space="preserve">Risk assessment scenarios as described in </w:t>
      </w:r>
      <w:r w:rsidR="00931B9D" w:rsidRPr="00931B9D">
        <w:fldChar w:fldCharType="begin"/>
      </w:r>
      <w:r w:rsidR="00931B9D" w:rsidRPr="00931B9D">
        <w:instrText xml:space="preserve"> REF _Ref220909362 \h </w:instrText>
      </w:r>
      <w:r w:rsidR="00931B9D">
        <w:instrText xml:space="preserve"> \* MERGEFORMAT </w:instrText>
      </w:r>
      <w:r w:rsidR="00931B9D" w:rsidRPr="00931B9D">
        <w:fldChar w:fldCharType="separate"/>
      </w:r>
      <w:r w:rsidR="008A397D" w:rsidRPr="008A397D">
        <w:t xml:space="preserve">Table </w:t>
      </w:r>
      <w:r w:rsidR="008A397D" w:rsidRPr="008A397D">
        <w:rPr>
          <w:noProof/>
        </w:rPr>
        <w:t>38</w:t>
      </w:r>
      <w:r w:rsidR="00931B9D" w:rsidRPr="00931B9D">
        <w:fldChar w:fldCharType="end"/>
      </w:r>
    </w:p>
    <w:p w14:paraId="3C0118E7" w14:textId="1A98A099" w:rsidR="00C2168A" w:rsidRPr="00D53099" w:rsidRDefault="009D61A7" w:rsidP="00834E0F">
      <w:pPr>
        <w:pStyle w:val="Caption"/>
        <w:tabs>
          <w:tab w:val="clear" w:pos="907"/>
          <w:tab w:val="left" w:pos="993"/>
        </w:tabs>
      </w:pPr>
      <w:bookmarkStart w:id="557" w:name="_Ref220917992"/>
      <w:bookmarkStart w:id="558" w:name="_Toc230692308"/>
      <w:bookmarkStart w:id="559" w:name="_Toc233036529"/>
      <w:bookmarkEnd w:id="556"/>
      <w:r w:rsidRPr="00D53099">
        <w:t xml:space="preserve">Table </w:t>
      </w:r>
      <w:fldSimple w:instr=" SEQ Table \* ARABIC ">
        <w:r w:rsidR="00D53099">
          <w:rPr>
            <w:noProof/>
          </w:rPr>
          <w:t>42</w:t>
        </w:r>
      </w:fldSimple>
      <w:bookmarkEnd w:id="557"/>
      <w:r w:rsidR="00C2168A" w:rsidRPr="00D53099">
        <w:t>:</w:t>
      </w:r>
      <w:r w:rsidR="00834E0F" w:rsidRPr="00834E0F">
        <w:t xml:space="preserve"> </w:t>
      </w:r>
      <w:r w:rsidR="00C2168A" w:rsidRPr="00D53099">
        <w:t>Diquat</w:t>
      </w:r>
      <w:r w:rsidR="006D7C8D" w:rsidRPr="00D53099">
        <w:t xml:space="preserve"> (115 g/L)</w:t>
      </w:r>
      <w:r w:rsidR="00C2168A" w:rsidRPr="00D53099">
        <w:t>/paraquat</w:t>
      </w:r>
      <w:r w:rsidR="006D7C8D" w:rsidRPr="00D53099">
        <w:t xml:space="preserve"> (135 g/L)</w:t>
      </w:r>
      <w:r w:rsidR="00C2168A" w:rsidRPr="00D53099">
        <w:t xml:space="preserve"> combination products: acute risks to terrestrial vertebrates</w:t>
      </w:r>
      <w:bookmarkEnd w:id="558"/>
      <w:bookmarkEnd w:id="559"/>
    </w:p>
    <w:tbl>
      <w:tblPr>
        <w:tblW w:w="5000" w:type="pct"/>
        <w:tblCellMar>
          <w:top w:w="57" w:type="dxa"/>
          <w:left w:w="57" w:type="dxa"/>
          <w:bottom w:w="57" w:type="dxa"/>
          <w:right w:w="57" w:type="dxa"/>
        </w:tblCellMar>
        <w:tblLook w:val="0000" w:firstRow="0" w:lastRow="0" w:firstColumn="0" w:lastColumn="0" w:noHBand="0" w:noVBand="0"/>
      </w:tblPr>
      <w:tblGrid>
        <w:gridCol w:w="1124"/>
        <w:gridCol w:w="1488"/>
        <w:gridCol w:w="1221"/>
        <w:gridCol w:w="990"/>
        <w:gridCol w:w="1275"/>
        <w:gridCol w:w="1701"/>
        <w:gridCol w:w="707"/>
        <w:gridCol w:w="1127"/>
      </w:tblGrid>
      <w:tr w:rsidR="006D7C8D" w14:paraId="0227EE15" w14:textId="77777777" w:rsidTr="00444693">
        <w:trPr>
          <w:cantSplit/>
          <w:tblHeader/>
        </w:trPr>
        <w:tc>
          <w:tcPr>
            <w:tcW w:w="583" w:type="pct"/>
            <w:tcBorders>
              <w:top w:val="single" w:sz="4" w:space="0" w:color="auto"/>
              <w:bottom w:val="single" w:sz="4" w:space="0" w:color="auto"/>
              <w:right w:val="single" w:sz="4" w:space="0" w:color="auto"/>
            </w:tcBorders>
            <w:shd w:val="clear" w:color="auto" w:fill="5C2946"/>
          </w:tcPr>
          <w:p w14:paraId="22C443CE" w14:textId="77777777" w:rsidR="006D7C8D" w:rsidRPr="00D53099" w:rsidRDefault="006D7C8D" w:rsidP="00D53099">
            <w:pPr>
              <w:pStyle w:val="TableHead"/>
            </w:pPr>
            <w:r w:rsidRPr="00D53099">
              <w:t>Crop group</w:t>
            </w:r>
          </w:p>
        </w:tc>
        <w:tc>
          <w:tcPr>
            <w:tcW w:w="772" w:type="pct"/>
            <w:tcBorders>
              <w:top w:val="single" w:sz="4" w:space="0" w:color="auto"/>
              <w:left w:val="single" w:sz="4" w:space="0" w:color="auto"/>
              <w:bottom w:val="single" w:sz="4" w:space="0" w:color="auto"/>
              <w:right w:val="single" w:sz="4" w:space="0" w:color="auto"/>
            </w:tcBorders>
            <w:shd w:val="clear" w:color="auto" w:fill="5C2946"/>
          </w:tcPr>
          <w:p w14:paraId="5E6A0841" w14:textId="77777777" w:rsidR="006D7C8D" w:rsidRPr="00D53099" w:rsidRDefault="006D7C8D" w:rsidP="00D53099">
            <w:pPr>
              <w:pStyle w:val="TableHead"/>
            </w:pPr>
            <w:r w:rsidRPr="00D53099">
              <w:t>Generic focal species</w:t>
            </w:r>
          </w:p>
        </w:tc>
        <w:tc>
          <w:tcPr>
            <w:tcW w:w="634" w:type="pct"/>
            <w:tcBorders>
              <w:top w:val="single" w:sz="4" w:space="0" w:color="auto"/>
              <w:left w:val="single" w:sz="4" w:space="0" w:color="auto"/>
              <w:bottom w:val="single" w:sz="4" w:space="0" w:color="auto"/>
              <w:right w:val="single" w:sz="4" w:space="0" w:color="auto"/>
            </w:tcBorders>
            <w:shd w:val="clear" w:color="auto" w:fill="5C2946"/>
          </w:tcPr>
          <w:p w14:paraId="24CB9E53" w14:textId="77777777" w:rsidR="006D7C8D" w:rsidRPr="00D53099" w:rsidRDefault="006D7C8D" w:rsidP="00D53099">
            <w:pPr>
              <w:pStyle w:val="TableHead"/>
            </w:pPr>
            <w:r w:rsidRPr="00D53099">
              <w:t>Crop stage</w:t>
            </w:r>
          </w:p>
        </w:tc>
        <w:tc>
          <w:tcPr>
            <w:tcW w:w="514" w:type="pct"/>
            <w:tcBorders>
              <w:top w:val="single" w:sz="4" w:space="0" w:color="auto"/>
              <w:left w:val="single" w:sz="4" w:space="0" w:color="auto"/>
              <w:bottom w:val="single" w:sz="4" w:space="0" w:color="auto"/>
              <w:right w:val="single" w:sz="4" w:space="0" w:color="auto"/>
            </w:tcBorders>
            <w:shd w:val="clear" w:color="auto" w:fill="5C2946"/>
          </w:tcPr>
          <w:p w14:paraId="3285A188" w14:textId="77777777" w:rsidR="006D7C8D" w:rsidRDefault="006D7C8D" w:rsidP="00D53099">
            <w:pPr>
              <w:pStyle w:val="TableHeadRight"/>
            </w:pPr>
            <w:r>
              <w:t>Shortcut value</w:t>
            </w:r>
          </w:p>
        </w:tc>
        <w:tc>
          <w:tcPr>
            <w:tcW w:w="662" w:type="pct"/>
            <w:tcBorders>
              <w:top w:val="single" w:sz="4" w:space="0" w:color="auto"/>
              <w:left w:val="single" w:sz="4" w:space="0" w:color="auto"/>
              <w:bottom w:val="single" w:sz="4" w:space="0" w:color="auto"/>
              <w:right w:val="single" w:sz="4" w:space="0" w:color="auto"/>
            </w:tcBorders>
            <w:shd w:val="clear" w:color="auto" w:fill="5C2946"/>
          </w:tcPr>
          <w:p w14:paraId="4B92ADE8" w14:textId="77777777" w:rsidR="006D7C8D" w:rsidRDefault="006D7C8D" w:rsidP="00D53099">
            <w:pPr>
              <w:pStyle w:val="TableHeadRight"/>
            </w:pPr>
            <w:r>
              <w:t>AR</w:t>
            </w:r>
          </w:p>
          <w:p w14:paraId="55266C68" w14:textId="77777777" w:rsidR="006D7C8D" w:rsidRDefault="006D7C8D" w:rsidP="00D53099">
            <w:pPr>
              <w:pStyle w:val="TableHeadRight"/>
            </w:pPr>
            <w:r>
              <w:t>(g acs/ha)</w:t>
            </w:r>
          </w:p>
        </w:tc>
        <w:tc>
          <w:tcPr>
            <w:tcW w:w="883" w:type="pct"/>
            <w:tcBorders>
              <w:top w:val="single" w:sz="4" w:space="0" w:color="auto"/>
              <w:left w:val="single" w:sz="4" w:space="0" w:color="auto"/>
              <w:bottom w:val="single" w:sz="4" w:space="0" w:color="auto"/>
              <w:right w:val="single" w:sz="4" w:space="0" w:color="auto"/>
            </w:tcBorders>
            <w:shd w:val="clear" w:color="auto" w:fill="5C2946"/>
          </w:tcPr>
          <w:p w14:paraId="3E19A46D" w14:textId="77777777" w:rsidR="006D7C8D" w:rsidRDefault="006D7C8D" w:rsidP="00D53099">
            <w:pPr>
              <w:pStyle w:val="TableHeadRight"/>
            </w:pPr>
            <w:r>
              <w:t>DDD</w:t>
            </w:r>
          </w:p>
          <w:p w14:paraId="78C5D0D8" w14:textId="77777777" w:rsidR="006D7C8D" w:rsidRDefault="006D7C8D" w:rsidP="00D53099">
            <w:pPr>
              <w:pStyle w:val="TableHeadRight"/>
            </w:pPr>
            <w:r>
              <w:t>(mg acs/kg bw)</w:t>
            </w:r>
          </w:p>
        </w:tc>
        <w:tc>
          <w:tcPr>
            <w:tcW w:w="367" w:type="pct"/>
            <w:tcBorders>
              <w:top w:val="single" w:sz="4" w:space="0" w:color="auto"/>
              <w:left w:val="single" w:sz="4" w:space="0" w:color="auto"/>
              <w:bottom w:val="single" w:sz="4" w:space="0" w:color="auto"/>
              <w:right w:val="single" w:sz="4" w:space="0" w:color="auto"/>
            </w:tcBorders>
            <w:shd w:val="clear" w:color="auto" w:fill="5C2946"/>
          </w:tcPr>
          <w:p w14:paraId="57E9FA35" w14:textId="77777777" w:rsidR="006D7C8D" w:rsidRPr="00CE16D2" w:rsidRDefault="006D7C8D" w:rsidP="00D53099">
            <w:pPr>
              <w:pStyle w:val="TableHeadRight"/>
            </w:pPr>
            <w:r>
              <w:t>RQ</w:t>
            </w:r>
          </w:p>
        </w:tc>
        <w:tc>
          <w:tcPr>
            <w:tcW w:w="585" w:type="pct"/>
            <w:tcBorders>
              <w:top w:val="single" w:sz="4" w:space="0" w:color="auto"/>
              <w:left w:val="single" w:sz="4" w:space="0" w:color="auto"/>
              <w:bottom w:val="single" w:sz="4" w:space="0" w:color="auto"/>
              <w:right w:val="single" w:sz="4" w:space="0" w:color="auto"/>
            </w:tcBorders>
            <w:shd w:val="clear" w:color="auto" w:fill="5C2946"/>
          </w:tcPr>
          <w:p w14:paraId="4630BA51" w14:textId="77777777" w:rsidR="006D7C8D" w:rsidRDefault="006D7C8D" w:rsidP="00D53099">
            <w:pPr>
              <w:pStyle w:val="TableHeadRight"/>
            </w:pPr>
            <w:r>
              <w:t>Max</w:t>
            </w:r>
          </w:p>
          <w:p w14:paraId="566880F4" w14:textId="77777777" w:rsidR="006D7C8D" w:rsidRDefault="006D7C8D" w:rsidP="00D53099">
            <w:pPr>
              <w:pStyle w:val="TableHeadRight"/>
            </w:pPr>
            <w:r>
              <w:t>(g acs/ha)</w:t>
            </w:r>
          </w:p>
        </w:tc>
      </w:tr>
      <w:tr w:rsidR="006D7C8D" w:rsidRPr="00721FF0" w14:paraId="05415135" w14:textId="77777777" w:rsidTr="00444693">
        <w:trPr>
          <w:cantSplit/>
          <w:trHeight w:val="13"/>
        </w:trPr>
        <w:tc>
          <w:tcPr>
            <w:tcW w:w="5000" w:type="pct"/>
            <w:gridSpan w:val="8"/>
            <w:tcBorders>
              <w:top w:val="single" w:sz="4" w:space="0" w:color="auto"/>
            </w:tcBorders>
          </w:tcPr>
          <w:p w14:paraId="50E53C26" w14:textId="77777777" w:rsidR="006D7C8D" w:rsidRPr="00721FF0" w:rsidRDefault="006D7C8D" w:rsidP="00D53099">
            <w:pPr>
              <w:pStyle w:val="TableSubHead0"/>
            </w:pPr>
            <w:r>
              <w:t>Wild mammals (</w:t>
            </w:r>
            <w:r w:rsidRPr="005C46C0">
              <w:t>RAL 7.6 mg ac/kg bw</w:t>
            </w:r>
            <w:r>
              <w:t>)</w:t>
            </w:r>
          </w:p>
        </w:tc>
      </w:tr>
      <w:tr w:rsidR="006D7C8D" w:rsidRPr="00721FF0" w14:paraId="7377FB4A" w14:textId="77777777" w:rsidTr="00444693">
        <w:trPr>
          <w:cantSplit/>
          <w:trHeight w:val="13"/>
        </w:trPr>
        <w:tc>
          <w:tcPr>
            <w:tcW w:w="583" w:type="pct"/>
            <w:vMerge w:val="restart"/>
            <w:tcBorders>
              <w:top w:val="single" w:sz="4" w:space="0" w:color="auto"/>
            </w:tcBorders>
          </w:tcPr>
          <w:p w14:paraId="35D508BD" w14:textId="77777777" w:rsidR="006D7C8D" w:rsidRDefault="006D7C8D" w:rsidP="00444693">
            <w:pPr>
              <w:pStyle w:val="TableText"/>
              <w:widowControl w:val="0"/>
              <w:suppressAutoHyphens w:val="0"/>
              <w:spacing w:before="0" w:after="0" w:line="240" w:lineRule="auto"/>
              <w:rPr>
                <w:szCs w:val="17"/>
              </w:rPr>
            </w:pPr>
            <w:r>
              <w:rPr>
                <w:szCs w:val="17"/>
              </w:rPr>
              <w:t>Bare soil</w:t>
            </w:r>
          </w:p>
        </w:tc>
        <w:tc>
          <w:tcPr>
            <w:tcW w:w="772" w:type="pct"/>
            <w:tcBorders>
              <w:top w:val="single" w:sz="4" w:space="0" w:color="auto"/>
            </w:tcBorders>
          </w:tcPr>
          <w:p w14:paraId="48BD1420"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tcBorders>
              <w:top w:val="single" w:sz="4" w:space="0" w:color="auto"/>
            </w:tcBorders>
          </w:tcPr>
          <w:p w14:paraId="18B9E4D2" w14:textId="77777777" w:rsidR="006D7C8D" w:rsidRDefault="006D7C8D" w:rsidP="00444693">
            <w:pPr>
              <w:pStyle w:val="TableText"/>
              <w:widowControl w:val="0"/>
              <w:suppressAutoHyphens w:val="0"/>
              <w:spacing w:before="0" w:after="0" w:line="240" w:lineRule="auto"/>
              <w:rPr>
                <w:szCs w:val="17"/>
              </w:rPr>
            </w:pPr>
            <w:r>
              <w:rPr>
                <w:szCs w:val="17"/>
              </w:rPr>
              <w:t>BBCH &lt;10</w:t>
            </w:r>
          </w:p>
        </w:tc>
        <w:tc>
          <w:tcPr>
            <w:tcW w:w="514" w:type="pct"/>
            <w:tcBorders>
              <w:top w:val="single" w:sz="4" w:space="0" w:color="auto"/>
            </w:tcBorders>
          </w:tcPr>
          <w:p w14:paraId="2E8C13EC" w14:textId="77777777" w:rsidR="006D7C8D" w:rsidRPr="00426E98" w:rsidRDefault="006D7C8D" w:rsidP="00D53099">
            <w:pPr>
              <w:pStyle w:val="TableText"/>
              <w:widowControl w:val="0"/>
              <w:suppressAutoHyphens w:val="0"/>
              <w:spacing w:before="0" w:after="0" w:line="240" w:lineRule="auto"/>
              <w:jc w:val="right"/>
              <w:rPr>
                <w:szCs w:val="17"/>
              </w:rPr>
            </w:pPr>
            <w:r>
              <w:rPr>
                <w:szCs w:val="17"/>
              </w:rPr>
              <w:t>14.3</w:t>
            </w:r>
          </w:p>
        </w:tc>
        <w:tc>
          <w:tcPr>
            <w:tcW w:w="662" w:type="pct"/>
            <w:tcBorders>
              <w:top w:val="single" w:sz="4" w:space="0" w:color="auto"/>
            </w:tcBorders>
            <w:vAlign w:val="center"/>
          </w:tcPr>
          <w:p w14:paraId="4EE5111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44CD565A" w14:textId="77777777" w:rsidR="006D7C8D" w:rsidRPr="003B78B6" w:rsidRDefault="006D7C8D" w:rsidP="00D53099">
            <w:pPr>
              <w:pStyle w:val="TableText"/>
              <w:widowControl w:val="0"/>
              <w:suppressAutoHyphens w:val="0"/>
              <w:spacing w:before="0" w:after="0" w:line="240" w:lineRule="auto"/>
              <w:jc w:val="right"/>
            </w:pPr>
            <w:r>
              <w:rPr>
                <w:color w:val="1A1B1A"/>
                <w:szCs w:val="17"/>
              </w:rPr>
              <w:t>11</w:t>
            </w:r>
          </w:p>
        </w:tc>
        <w:tc>
          <w:tcPr>
            <w:tcW w:w="367" w:type="pct"/>
            <w:tcBorders>
              <w:top w:val="single" w:sz="4" w:space="0" w:color="auto"/>
            </w:tcBorders>
            <w:shd w:val="clear" w:color="auto" w:fill="FF0000"/>
            <w:vAlign w:val="center"/>
          </w:tcPr>
          <w:p w14:paraId="1476A0F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1.5</w:t>
            </w:r>
          </w:p>
        </w:tc>
        <w:tc>
          <w:tcPr>
            <w:tcW w:w="585" w:type="pct"/>
            <w:tcBorders>
              <w:top w:val="single" w:sz="4" w:space="0" w:color="auto"/>
            </w:tcBorders>
            <w:vAlign w:val="bottom"/>
          </w:tcPr>
          <w:p w14:paraId="260A47FA" w14:textId="77777777" w:rsidR="006D7C8D" w:rsidRPr="00721FF0" w:rsidRDefault="006D7C8D" w:rsidP="00D53099">
            <w:pPr>
              <w:pStyle w:val="TableText"/>
              <w:widowControl w:val="0"/>
              <w:suppressAutoHyphens w:val="0"/>
              <w:spacing w:before="0" w:after="0" w:line="240" w:lineRule="auto"/>
              <w:jc w:val="right"/>
            </w:pPr>
            <w:r>
              <w:rPr>
                <w:color w:val="000000"/>
                <w:szCs w:val="17"/>
              </w:rPr>
              <w:t>531</w:t>
            </w:r>
          </w:p>
        </w:tc>
      </w:tr>
      <w:tr w:rsidR="006D7C8D" w:rsidRPr="00721FF0" w14:paraId="036F3A69" w14:textId="77777777" w:rsidTr="00444693">
        <w:trPr>
          <w:cantSplit/>
          <w:trHeight w:val="13"/>
        </w:trPr>
        <w:tc>
          <w:tcPr>
            <w:tcW w:w="583" w:type="pct"/>
            <w:vMerge/>
          </w:tcPr>
          <w:p w14:paraId="5CF02BEF" w14:textId="77777777" w:rsidR="006D7C8D" w:rsidRDefault="006D7C8D" w:rsidP="00444693">
            <w:pPr>
              <w:pStyle w:val="TableText"/>
              <w:widowControl w:val="0"/>
              <w:suppressAutoHyphens w:val="0"/>
              <w:spacing w:before="0" w:after="0" w:line="240" w:lineRule="auto"/>
              <w:rPr>
                <w:szCs w:val="17"/>
              </w:rPr>
            </w:pPr>
          </w:p>
        </w:tc>
        <w:tc>
          <w:tcPr>
            <w:tcW w:w="772" w:type="pct"/>
          </w:tcPr>
          <w:p w14:paraId="04D258F4" w14:textId="77777777" w:rsidR="006D7C8D" w:rsidRDefault="006D7C8D" w:rsidP="00444693">
            <w:pPr>
              <w:pStyle w:val="TableText"/>
              <w:widowControl w:val="0"/>
              <w:suppressAutoHyphens w:val="0"/>
              <w:spacing w:before="0" w:after="0" w:line="240" w:lineRule="auto"/>
              <w:rPr>
                <w:szCs w:val="17"/>
              </w:rPr>
            </w:pPr>
          </w:p>
        </w:tc>
        <w:tc>
          <w:tcPr>
            <w:tcW w:w="634" w:type="pct"/>
          </w:tcPr>
          <w:p w14:paraId="14AB360D" w14:textId="77777777" w:rsidR="006D7C8D" w:rsidRDefault="006D7C8D" w:rsidP="00444693">
            <w:pPr>
              <w:pStyle w:val="TableText"/>
              <w:widowControl w:val="0"/>
              <w:suppressAutoHyphens w:val="0"/>
              <w:spacing w:before="0" w:after="0" w:line="240" w:lineRule="auto"/>
              <w:rPr>
                <w:szCs w:val="17"/>
              </w:rPr>
            </w:pPr>
          </w:p>
        </w:tc>
        <w:tc>
          <w:tcPr>
            <w:tcW w:w="514" w:type="pct"/>
          </w:tcPr>
          <w:p w14:paraId="0745470D" w14:textId="77777777" w:rsidR="006D7C8D" w:rsidRDefault="006D7C8D" w:rsidP="00D53099">
            <w:pPr>
              <w:pStyle w:val="TableText"/>
              <w:widowControl w:val="0"/>
              <w:suppressAutoHyphens w:val="0"/>
              <w:spacing w:before="0" w:after="0" w:line="240" w:lineRule="auto"/>
              <w:jc w:val="right"/>
              <w:rPr>
                <w:szCs w:val="17"/>
              </w:rPr>
            </w:pPr>
            <w:r w:rsidRPr="00A642D1">
              <w:rPr>
                <w:szCs w:val="17"/>
              </w:rPr>
              <w:t>14.3</w:t>
            </w:r>
          </w:p>
        </w:tc>
        <w:tc>
          <w:tcPr>
            <w:tcW w:w="662" w:type="pct"/>
            <w:vAlign w:val="center"/>
          </w:tcPr>
          <w:p w14:paraId="07C3654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6E1177C2" w14:textId="77777777" w:rsidR="006D7C8D" w:rsidRPr="003B78B6" w:rsidRDefault="006D7C8D" w:rsidP="00D53099">
            <w:pPr>
              <w:pStyle w:val="TableText"/>
              <w:widowControl w:val="0"/>
              <w:suppressAutoHyphens w:val="0"/>
              <w:spacing w:before="0" w:after="0" w:line="240" w:lineRule="auto"/>
              <w:jc w:val="right"/>
            </w:pPr>
            <w:r>
              <w:rPr>
                <w:color w:val="1A1B1A"/>
                <w:szCs w:val="17"/>
              </w:rPr>
              <w:t>8.6</w:t>
            </w:r>
          </w:p>
        </w:tc>
        <w:tc>
          <w:tcPr>
            <w:tcW w:w="367" w:type="pct"/>
            <w:shd w:val="clear" w:color="auto" w:fill="FF0000"/>
            <w:vAlign w:val="center"/>
          </w:tcPr>
          <w:p w14:paraId="2F2C504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vAlign w:val="bottom"/>
          </w:tcPr>
          <w:p w14:paraId="52117981" w14:textId="77777777" w:rsidR="006D7C8D" w:rsidRPr="00721FF0" w:rsidRDefault="006D7C8D" w:rsidP="00D53099">
            <w:pPr>
              <w:pStyle w:val="TableText"/>
              <w:widowControl w:val="0"/>
              <w:suppressAutoHyphens w:val="0"/>
              <w:spacing w:before="0" w:after="0" w:line="240" w:lineRule="auto"/>
              <w:jc w:val="right"/>
            </w:pPr>
            <w:r>
              <w:rPr>
                <w:color w:val="000000"/>
                <w:szCs w:val="17"/>
              </w:rPr>
              <w:t>531</w:t>
            </w:r>
          </w:p>
        </w:tc>
      </w:tr>
      <w:tr w:rsidR="006D7C8D" w:rsidRPr="00721FF0" w14:paraId="3ABD363A" w14:textId="77777777" w:rsidTr="00444693">
        <w:trPr>
          <w:cantSplit/>
          <w:trHeight w:val="13"/>
        </w:trPr>
        <w:tc>
          <w:tcPr>
            <w:tcW w:w="583" w:type="pct"/>
            <w:vMerge/>
          </w:tcPr>
          <w:p w14:paraId="5D207AE0" w14:textId="77777777" w:rsidR="006D7C8D" w:rsidRDefault="006D7C8D" w:rsidP="00444693">
            <w:pPr>
              <w:pStyle w:val="TableText"/>
              <w:widowControl w:val="0"/>
              <w:suppressAutoHyphens w:val="0"/>
              <w:spacing w:before="0" w:after="0" w:line="240" w:lineRule="auto"/>
              <w:rPr>
                <w:szCs w:val="17"/>
              </w:rPr>
            </w:pPr>
          </w:p>
        </w:tc>
        <w:tc>
          <w:tcPr>
            <w:tcW w:w="772" w:type="pct"/>
          </w:tcPr>
          <w:p w14:paraId="4216CE13" w14:textId="77777777" w:rsidR="006D7C8D" w:rsidRDefault="006D7C8D" w:rsidP="00444693">
            <w:pPr>
              <w:pStyle w:val="TableText"/>
              <w:widowControl w:val="0"/>
              <w:suppressAutoHyphens w:val="0"/>
              <w:spacing w:before="0" w:after="0" w:line="240" w:lineRule="auto"/>
              <w:rPr>
                <w:szCs w:val="17"/>
              </w:rPr>
            </w:pPr>
          </w:p>
        </w:tc>
        <w:tc>
          <w:tcPr>
            <w:tcW w:w="634" w:type="pct"/>
          </w:tcPr>
          <w:p w14:paraId="7FEC7B8D" w14:textId="77777777" w:rsidR="006D7C8D" w:rsidRDefault="006D7C8D" w:rsidP="00444693">
            <w:pPr>
              <w:pStyle w:val="TableText"/>
              <w:widowControl w:val="0"/>
              <w:suppressAutoHyphens w:val="0"/>
              <w:spacing w:before="0" w:after="0" w:line="240" w:lineRule="auto"/>
              <w:rPr>
                <w:szCs w:val="17"/>
              </w:rPr>
            </w:pPr>
          </w:p>
        </w:tc>
        <w:tc>
          <w:tcPr>
            <w:tcW w:w="514" w:type="pct"/>
          </w:tcPr>
          <w:p w14:paraId="2E4CC975" w14:textId="77777777" w:rsidR="006D7C8D" w:rsidRDefault="006D7C8D" w:rsidP="00D53099">
            <w:pPr>
              <w:pStyle w:val="TableText"/>
              <w:widowControl w:val="0"/>
              <w:suppressAutoHyphens w:val="0"/>
              <w:spacing w:before="0" w:after="0" w:line="240" w:lineRule="auto"/>
              <w:jc w:val="right"/>
              <w:rPr>
                <w:szCs w:val="17"/>
              </w:rPr>
            </w:pPr>
            <w:r w:rsidRPr="00A642D1">
              <w:rPr>
                <w:szCs w:val="17"/>
              </w:rPr>
              <w:t>14.3</w:t>
            </w:r>
          </w:p>
        </w:tc>
        <w:tc>
          <w:tcPr>
            <w:tcW w:w="662" w:type="pct"/>
            <w:vAlign w:val="center"/>
          </w:tcPr>
          <w:p w14:paraId="52D9637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78C8F35D" w14:textId="77777777" w:rsidR="006D7C8D" w:rsidRPr="003B78B6" w:rsidRDefault="006D7C8D" w:rsidP="00D53099">
            <w:pPr>
              <w:pStyle w:val="TableText"/>
              <w:widowControl w:val="0"/>
              <w:suppressAutoHyphens w:val="0"/>
              <w:spacing w:before="0" w:after="0" w:line="240" w:lineRule="auto"/>
              <w:jc w:val="right"/>
            </w:pPr>
            <w:r>
              <w:rPr>
                <w:color w:val="1A1B1A"/>
                <w:szCs w:val="17"/>
              </w:rPr>
              <w:t>5.7</w:t>
            </w:r>
          </w:p>
        </w:tc>
        <w:tc>
          <w:tcPr>
            <w:tcW w:w="367" w:type="pct"/>
            <w:vAlign w:val="center"/>
          </w:tcPr>
          <w:p w14:paraId="502D26A7" w14:textId="77777777" w:rsidR="006D7C8D" w:rsidRPr="00721FF0" w:rsidRDefault="006D7C8D" w:rsidP="00D53099">
            <w:pPr>
              <w:pStyle w:val="TableText"/>
              <w:widowControl w:val="0"/>
              <w:suppressAutoHyphens w:val="0"/>
              <w:spacing w:before="0" w:after="0" w:line="240" w:lineRule="auto"/>
              <w:jc w:val="right"/>
            </w:pPr>
            <w:r>
              <w:rPr>
                <w:color w:val="1A1B1A"/>
                <w:szCs w:val="17"/>
              </w:rPr>
              <w:t>0.75</w:t>
            </w:r>
          </w:p>
        </w:tc>
        <w:tc>
          <w:tcPr>
            <w:tcW w:w="585" w:type="pct"/>
            <w:vAlign w:val="bottom"/>
          </w:tcPr>
          <w:p w14:paraId="6F30B5D9" w14:textId="77777777" w:rsidR="006D7C8D" w:rsidRPr="00721FF0" w:rsidRDefault="006D7C8D" w:rsidP="00D53099">
            <w:pPr>
              <w:pStyle w:val="TableText"/>
              <w:widowControl w:val="0"/>
              <w:suppressAutoHyphens w:val="0"/>
              <w:spacing w:before="0" w:after="0" w:line="240" w:lineRule="auto"/>
              <w:jc w:val="right"/>
            </w:pPr>
            <w:r>
              <w:rPr>
                <w:color w:val="000000"/>
                <w:szCs w:val="17"/>
              </w:rPr>
              <w:t>531</w:t>
            </w:r>
          </w:p>
        </w:tc>
      </w:tr>
      <w:tr w:rsidR="006D7C8D" w14:paraId="16A52A8B" w14:textId="77777777" w:rsidTr="00444693">
        <w:trPr>
          <w:cantSplit/>
          <w:trHeight w:val="13"/>
        </w:trPr>
        <w:tc>
          <w:tcPr>
            <w:tcW w:w="583" w:type="pct"/>
            <w:vMerge/>
          </w:tcPr>
          <w:p w14:paraId="07D6143C" w14:textId="77777777" w:rsidR="006D7C8D" w:rsidRDefault="006D7C8D" w:rsidP="00444693">
            <w:pPr>
              <w:pStyle w:val="TableText"/>
              <w:widowControl w:val="0"/>
              <w:suppressAutoHyphens w:val="0"/>
              <w:spacing w:before="0" w:after="0" w:line="240" w:lineRule="auto"/>
              <w:rPr>
                <w:szCs w:val="17"/>
              </w:rPr>
            </w:pPr>
          </w:p>
        </w:tc>
        <w:tc>
          <w:tcPr>
            <w:tcW w:w="772" w:type="pct"/>
          </w:tcPr>
          <w:p w14:paraId="3AD2E803" w14:textId="77777777" w:rsidR="006D7C8D" w:rsidRDefault="006D7C8D" w:rsidP="00444693">
            <w:pPr>
              <w:pStyle w:val="TableText"/>
              <w:widowControl w:val="0"/>
              <w:suppressAutoHyphens w:val="0"/>
              <w:spacing w:before="0" w:after="0" w:line="240" w:lineRule="auto"/>
              <w:rPr>
                <w:szCs w:val="17"/>
              </w:rPr>
            </w:pPr>
          </w:p>
        </w:tc>
        <w:tc>
          <w:tcPr>
            <w:tcW w:w="634" w:type="pct"/>
          </w:tcPr>
          <w:p w14:paraId="481B86FE" w14:textId="77777777" w:rsidR="006D7C8D" w:rsidRDefault="006D7C8D" w:rsidP="00444693">
            <w:pPr>
              <w:pStyle w:val="TableText"/>
              <w:widowControl w:val="0"/>
              <w:suppressAutoHyphens w:val="0"/>
              <w:spacing w:before="0" w:after="0" w:line="240" w:lineRule="auto"/>
              <w:rPr>
                <w:szCs w:val="17"/>
              </w:rPr>
            </w:pPr>
          </w:p>
        </w:tc>
        <w:tc>
          <w:tcPr>
            <w:tcW w:w="514" w:type="pct"/>
          </w:tcPr>
          <w:p w14:paraId="63169830" w14:textId="77777777" w:rsidR="006D7C8D" w:rsidRPr="00A642D1" w:rsidRDefault="006D7C8D" w:rsidP="00D53099">
            <w:pPr>
              <w:pStyle w:val="TableText"/>
              <w:widowControl w:val="0"/>
              <w:suppressAutoHyphens w:val="0"/>
              <w:spacing w:before="0" w:after="0" w:line="240" w:lineRule="auto"/>
              <w:jc w:val="right"/>
              <w:rPr>
                <w:szCs w:val="17"/>
              </w:rPr>
            </w:pPr>
            <w:r w:rsidRPr="00485887">
              <w:rPr>
                <w:szCs w:val="17"/>
              </w:rPr>
              <w:t>14.3</w:t>
            </w:r>
          </w:p>
        </w:tc>
        <w:tc>
          <w:tcPr>
            <w:tcW w:w="662" w:type="pct"/>
            <w:vAlign w:val="center"/>
          </w:tcPr>
          <w:p w14:paraId="74D94213" w14:textId="77777777" w:rsidR="006D7C8D" w:rsidRDefault="006D7C8D" w:rsidP="00D53099">
            <w:pPr>
              <w:pStyle w:val="TableText"/>
              <w:widowControl w:val="0"/>
              <w:suppressAutoHyphens w:val="0"/>
              <w:spacing w:before="0" w:after="0" w:line="240" w:lineRule="auto"/>
              <w:jc w:val="right"/>
            </w:pPr>
            <w:r>
              <w:rPr>
                <w:color w:val="1A1B1A"/>
                <w:szCs w:val="17"/>
              </w:rPr>
              <w:t>320</w:t>
            </w:r>
          </w:p>
        </w:tc>
        <w:tc>
          <w:tcPr>
            <w:tcW w:w="883" w:type="pct"/>
            <w:vAlign w:val="center"/>
          </w:tcPr>
          <w:p w14:paraId="4DC8CE89" w14:textId="77777777" w:rsidR="006D7C8D" w:rsidRDefault="006D7C8D" w:rsidP="00D53099">
            <w:pPr>
              <w:pStyle w:val="TableText"/>
              <w:widowControl w:val="0"/>
              <w:suppressAutoHyphens w:val="0"/>
              <w:spacing w:before="0" w:after="0" w:line="240" w:lineRule="auto"/>
              <w:jc w:val="right"/>
              <w:rPr>
                <w:color w:val="1A1B1A"/>
                <w:szCs w:val="17"/>
              </w:rPr>
            </w:pPr>
            <w:r>
              <w:rPr>
                <w:color w:val="1A1B1A"/>
                <w:szCs w:val="17"/>
              </w:rPr>
              <w:t>4.6</w:t>
            </w:r>
          </w:p>
        </w:tc>
        <w:tc>
          <w:tcPr>
            <w:tcW w:w="367" w:type="pct"/>
            <w:vAlign w:val="center"/>
          </w:tcPr>
          <w:p w14:paraId="2BA82C85" w14:textId="77777777" w:rsidR="006D7C8D" w:rsidRDefault="006D7C8D" w:rsidP="00D53099">
            <w:pPr>
              <w:pStyle w:val="TableText"/>
              <w:widowControl w:val="0"/>
              <w:suppressAutoHyphens w:val="0"/>
              <w:spacing w:before="0" w:after="0" w:line="240" w:lineRule="auto"/>
              <w:jc w:val="right"/>
              <w:rPr>
                <w:color w:val="1A1B1A"/>
                <w:szCs w:val="17"/>
              </w:rPr>
            </w:pPr>
            <w:r>
              <w:rPr>
                <w:color w:val="1A1B1A"/>
                <w:szCs w:val="17"/>
              </w:rPr>
              <w:t>0.60</w:t>
            </w:r>
          </w:p>
        </w:tc>
        <w:tc>
          <w:tcPr>
            <w:tcW w:w="585" w:type="pct"/>
            <w:vAlign w:val="bottom"/>
          </w:tcPr>
          <w:p w14:paraId="6DC0C07B" w14:textId="77777777" w:rsidR="006D7C8D" w:rsidRDefault="006D7C8D" w:rsidP="00D53099">
            <w:pPr>
              <w:pStyle w:val="TableText"/>
              <w:widowControl w:val="0"/>
              <w:suppressAutoHyphens w:val="0"/>
              <w:spacing w:before="0" w:after="0" w:line="240" w:lineRule="auto"/>
              <w:jc w:val="right"/>
              <w:rPr>
                <w:color w:val="000000"/>
                <w:szCs w:val="17"/>
              </w:rPr>
            </w:pPr>
            <w:r>
              <w:rPr>
                <w:color w:val="000000"/>
                <w:szCs w:val="17"/>
              </w:rPr>
              <w:t>531</w:t>
            </w:r>
          </w:p>
        </w:tc>
      </w:tr>
      <w:tr w:rsidR="006D7C8D" w:rsidRPr="00721FF0" w14:paraId="4A94D6B9" w14:textId="77777777" w:rsidTr="00444693">
        <w:trPr>
          <w:cantSplit/>
          <w:trHeight w:val="13"/>
        </w:trPr>
        <w:tc>
          <w:tcPr>
            <w:tcW w:w="583" w:type="pct"/>
            <w:vMerge/>
          </w:tcPr>
          <w:p w14:paraId="595DD3B6" w14:textId="77777777" w:rsidR="006D7C8D" w:rsidRDefault="006D7C8D" w:rsidP="00444693">
            <w:pPr>
              <w:pStyle w:val="TableText"/>
              <w:widowControl w:val="0"/>
              <w:suppressAutoHyphens w:val="0"/>
              <w:spacing w:before="0" w:after="0" w:line="240" w:lineRule="auto"/>
              <w:rPr>
                <w:szCs w:val="17"/>
              </w:rPr>
            </w:pPr>
          </w:p>
        </w:tc>
        <w:tc>
          <w:tcPr>
            <w:tcW w:w="772" w:type="pct"/>
          </w:tcPr>
          <w:p w14:paraId="7F8FD650" w14:textId="77777777" w:rsidR="006D7C8D" w:rsidRDefault="006D7C8D" w:rsidP="00444693">
            <w:pPr>
              <w:pStyle w:val="TableText"/>
              <w:widowControl w:val="0"/>
              <w:suppressAutoHyphens w:val="0"/>
              <w:spacing w:before="0" w:after="0" w:line="240" w:lineRule="auto"/>
              <w:rPr>
                <w:szCs w:val="17"/>
              </w:rPr>
            </w:pPr>
          </w:p>
        </w:tc>
        <w:tc>
          <w:tcPr>
            <w:tcW w:w="634" w:type="pct"/>
          </w:tcPr>
          <w:p w14:paraId="4C1DBC2A" w14:textId="77777777" w:rsidR="006D7C8D" w:rsidRDefault="006D7C8D" w:rsidP="00444693">
            <w:pPr>
              <w:pStyle w:val="TableText"/>
              <w:widowControl w:val="0"/>
              <w:suppressAutoHyphens w:val="0"/>
              <w:spacing w:before="0" w:after="0" w:line="240" w:lineRule="auto"/>
              <w:rPr>
                <w:szCs w:val="17"/>
              </w:rPr>
            </w:pPr>
          </w:p>
        </w:tc>
        <w:tc>
          <w:tcPr>
            <w:tcW w:w="514" w:type="pct"/>
          </w:tcPr>
          <w:p w14:paraId="2BC86FE6" w14:textId="77777777" w:rsidR="006D7C8D" w:rsidRDefault="006D7C8D" w:rsidP="00D53099">
            <w:pPr>
              <w:pStyle w:val="TableText"/>
              <w:widowControl w:val="0"/>
              <w:suppressAutoHyphens w:val="0"/>
              <w:spacing w:before="0" w:after="0" w:line="240" w:lineRule="auto"/>
              <w:jc w:val="right"/>
              <w:rPr>
                <w:szCs w:val="17"/>
              </w:rPr>
            </w:pPr>
            <w:r w:rsidRPr="00485887">
              <w:rPr>
                <w:szCs w:val="17"/>
              </w:rPr>
              <w:t>14.3</w:t>
            </w:r>
          </w:p>
        </w:tc>
        <w:tc>
          <w:tcPr>
            <w:tcW w:w="662" w:type="pct"/>
            <w:vAlign w:val="center"/>
          </w:tcPr>
          <w:p w14:paraId="43799FD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2BF53041" w14:textId="77777777" w:rsidR="006D7C8D" w:rsidRPr="003B78B6" w:rsidRDefault="006D7C8D" w:rsidP="00D53099">
            <w:pPr>
              <w:pStyle w:val="TableText"/>
              <w:widowControl w:val="0"/>
              <w:suppressAutoHyphens w:val="0"/>
              <w:spacing w:before="0" w:after="0" w:line="240" w:lineRule="auto"/>
              <w:jc w:val="right"/>
            </w:pPr>
            <w:r>
              <w:rPr>
                <w:color w:val="1A1B1A"/>
                <w:szCs w:val="17"/>
              </w:rPr>
              <w:t>4.3</w:t>
            </w:r>
          </w:p>
        </w:tc>
        <w:tc>
          <w:tcPr>
            <w:tcW w:w="367" w:type="pct"/>
            <w:vAlign w:val="center"/>
          </w:tcPr>
          <w:p w14:paraId="7848F5D7" w14:textId="77777777" w:rsidR="006D7C8D" w:rsidRPr="00721FF0" w:rsidRDefault="006D7C8D" w:rsidP="00D53099">
            <w:pPr>
              <w:pStyle w:val="TableText"/>
              <w:widowControl w:val="0"/>
              <w:suppressAutoHyphens w:val="0"/>
              <w:spacing w:before="0" w:after="0" w:line="240" w:lineRule="auto"/>
              <w:jc w:val="right"/>
            </w:pPr>
            <w:r>
              <w:rPr>
                <w:color w:val="1A1B1A"/>
                <w:szCs w:val="17"/>
              </w:rPr>
              <w:t>0.56</w:t>
            </w:r>
          </w:p>
        </w:tc>
        <w:tc>
          <w:tcPr>
            <w:tcW w:w="585" w:type="pct"/>
            <w:vAlign w:val="bottom"/>
          </w:tcPr>
          <w:p w14:paraId="220C3D35" w14:textId="77777777" w:rsidR="006D7C8D" w:rsidRPr="00721FF0" w:rsidRDefault="006D7C8D" w:rsidP="00D53099">
            <w:pPr>
              <w:pStyle w:val="TableText"/>
              <w:widowControl w:val="0"/>
              <w:suppressAutoHyphens w:val="0"/>
              <w:spacing w:before="0" w:after="0" w:line="240" w:lineRule="auto"/>
              <w:jc w:val="right"/>
            </w:pPr>
            <w:r>
              <w:rPr>
                <w:color w:val="000000"/>
                <w:szCs w:val="17"/>
              </w:rPr>
              <w:t>531</w:t>
            </w:r>
          </w:p>
        </w:tc>
      </w:tr>
      <w:tr w:rsidR="006D7C8D" w14:paraId="6B6F350D" w14:textId="77777777" w:rsidTr="00444693">
        <w:trPr>
          <w:cantSplit/>
          <w:trHeight w:val="13"/>
        </w:trPr>
        <w:tc>
          <w:tcPr>
            <w:tcW w:w="583" w:type="pct"/>
            <w:vMerge/>
          </w:tcPr>
          <w:p w14:paraId="4AFE4116" w14:textId="77777777" w:rsidR="006D7C8D" w:rsidRDefault="006D7C8D" w:rsidP="00444693">
            <w:pPr>
              <w:pStyle w:val="TableText"/>
              <w:widowControl w:val="0"/>
              <w:suppressAutoHyphens w:val="0"/>
              <w:spacing w:before="0" w:after="0" w:line="240" w:lineRule="auto"/>
              <w:rPr>
                <w:szCs w:val="17"/>
              </w:rPr>
            </w:pPr>
          </w:p>
        </w:tc>
        <w:tc>
          <w:tcPr>
            <w:tcW w:w="772" w:type="pct"/>
          </w:tcPr>
          <w:p w14:paraId="1713C695" w14:textId="77777777" w:rsidR="006D7C8D" w:rsidRDefault="006D7C8D" w:rsidP="00444693">
            <w:pPr>
              <w:pStyle w:val="TableText"/>
              <w:widowControl w:val="0"/>
              <w:suppressAutoHyphens w:val="0"/>
              <w:spacing w:before="0" w:after="0" w:line="240" w:lineRule="auto"/>
              <w:rPr>
                <w:szCs w:val="17"/>
              </w:rPr>
            </w:pPr>
          </w:p>
        </w:tc>
        <w:tc>
          <w:tcPr>
            <w:tcW w:w="634" w:type="pct"/>
          </w:tcPr>
          <w:p w14:paraId="6CB5F095" w14:textId="77777777" w:rsidR="006D7C8D" w:rsidRDefault="006D7C8D" w:rsidP="00444693">
            <w:pPr>
              <w:pStyle w:val="TableText"/>
              <w:widowControl w:val="0"/>
              <w:suppressAutoHyphens w:val="0"/>
              <w:spacing w:before="0" w:after="0" w:line="240" w:lineRule="auto"/>
              <w:rPr>
                <w:szCs w:val="17"/>
              </w:rPr>
            </w:pPr>
          </w:p>
        </w:tc>
        <w:tc>
          <w:tcPr>
            <w:tcW w:w="514" w:type="pct"/>
          </w:tcPr>
          <w:p w14:paraId="1ADB75A6" w14:textId="77777777" w:rsidR="006D7C8D" w:rsidRPr="00A642D1" w:rsidRDefault="006D7C8D" w:rsidP="00D53099">
            <w:pPr>
              <w:pStyle w:val="TableText"/>
              <w:widowControl w:val="0"/>
              <w:suppressAutoHyphens w:val="0"/>
              <w:spacing w:before="0" w:after="0" w:line="240" w:lineRule="auto"/>
              <w:jc w:val="right"/>
              <w:rPr>
                <w:szCs w:val="17"/>
              </w:rPr>
            </w:pPr>
            <w:r w:rsidRPr="00485887">
              <w:rPr>
                <w:szCs w:val="17"/>
              </w:rPr>
              <w:t>14.3</w:t>
            </w:r>
          </w:p>
        </w:tc>
        <w:tc>
          <w:tcPr>
            <w:tcW w:w="662" w:type="pct"/>
            <w:vAlign w:val="center"/>
          </w:tcPr>
          <w:p w14:paraId="703D1BF9" w14:textId="77777777" w:rsidR="006D7C8D" w:rsidRDefault="006D7C8D" w:rsidP="00D53099">
            <w:pPr>
              <w:pStyle w:val="TableText"/>
              <w:widowControl w:val="0"/>
              <w:suppressAutoHyphens w:val="0"/>
              <w:spacing w:before="0" w:after="0" w:line="240" w:lineRule="auto"/>
              <w:jc w:val="right"/>
            </w:pPr>
            <w:r>
              <w:rPr>
                <w:color w:val="1A1B1A"/>
                <w:szCs w:val="17"/>
              </w:rPr>
              <w:t>240</w:t>
            </w:r>
          </w:p>
        </w:tc>
        <w:tc>
          <w:tcPr>
            <w:tcW w:w="883" w:type="pct"/>
            <w:vAlign w:val="center"/>
          </w:tcPr>
          <w:p w14:paraId="736701E9" w14:textId="77777777" w:rsidR="006D7C8D" w:rsidRDefault="006D7C8D" w:rsidP="00D53099">
            <w:pPr>
              <w:pStyle w:val="TableText"/>
              <w:widowControl w:val="0"/>
              <w:suppressAutoHyphens w:val="0"/>
              <w:spacing w:before="0" w:after="0" w:line="240" w:lineRule="auto"/>
              <w:jc w:val="right"/>
              <w:rPr>
                <w:color w:val="1A1B1A"/>
                <w:szCs w:val="17"/>
              </w:rPr>
            </w:pPr>
            <w:r>
              <w:rPr>
                <w:color w:val="1A1B1A"/>
                <w:szCs w:val="17"/>
              </w:rPr>
              <w:t>3.4</w:t>
            </w:r>
          </w:p>
        </w:tc>
        <w:tc>
          <w:tcPr>
            <w:tcW w:w="367" w:type="pct"/>
            <w:vAlign w:val="center"/>
          </w:tcPr>
          <w:p w14:paraId="51C13B8F" w14:textId="77777777" w:rsidR="006D7C8D" w:rsidRDefault="006D7C8D" w:rsidP="00D53099">
            <w:pPr>
              <w:pStyle w:val="TableText"/>
              <w:widowControl w:val="0"/>
              <w:suppressAutoHyphens w:val="0"/>
              <w:spacing w:before="0" w:after="0" w:line="240" w:lineRule="auto"/>
              <w:jc w:val="right"/>
              <w:rPr>
                <w:color w:val="1A1B1A"/>
                <w:szCs w:val="17"/>
              </w:rPr>
            </w:pPr>
            <w:r>
              <w:rPr>
                <w:color w:val="1A1B1A"/>
                <w:szCs w:val="17"/>
              </w:rPr>
              <w:t>0.45</w:t>
            </w:r>
          </w:p>
        </w:tc>
        <w:tc>
          <w:tcPr>
            <w:tcW w:w="585" w:type="pct"/>
            <w:vAlign w:val="bottom"/>
          </w:tcPr>
          <w:p w14:paraId="7D16B6C9" w14:textId="77777777" w:rsidR="006D7C8D" w:rsidRDefault="006D7C8D" w:rsidP="00D53099">
            <w:pPr>
              <w:pStyle w:val="TableText"/>
              <w:widowControl w:val="0"/>
              <w:suppressAutoHyphens w:val="0"/>
              <w:spacing w:before="0" w:after="0" w:line="240" w:lineRule="auto"/>
              <w:jc w:val="right"/>
              <w:rPr>
                <w:color w:val="000000"/>
                <w:szCs w:val="17"/>
              </w:rPr>
            </w:pPr>
            <w:r>
              <w:rPr>
                <w:color w:val="000000"/>
                <w:szCs w:val="17"/>
              </w:rPr>
              <w:t>531</w:t>
            </w:r>
          </w:p>
        </w:tc>
      </w:tr>
      <w:tr w:rsidR="006D7C8D" w:rsidRPr="00721FF0" w14:paraId="2AD33186" w14:textId="77777777" w:rsidTr="00444693">
        <w:trPr>
          <w:cantSplit/>
          <w:trHeight w:val="13"/>
        </w:trPr>
        <w:tc>
          <w:tcPr>
            <w:tcW w:w="583" w:type="pct"/>
            <w:vMerge/>
            <w:tcBorders>
              <w:bottom w:val="single" w:sz="4" w:space="0" w:color="auto"/>
            </w:tcBorders>
          </w:tcPr>
          <w:p w14:paraId="245333A1" w14:textId="77777777" w:rsidR="006D7C8D" w:rsidRDefault="006D7C8D" w:rsidP="00444693">
            <w:pPr>
              <w:pStyle w:val="TableText"/>
              <w:widowControl w:val="0"/>
              <w:suppressAutoHyphens w:val="0"/>
              <w:spacing w:before="0" w:after="0" w:line="240" w:lineRule="auto"/>
              <w:rPr>
                <w:szCs w:val="17"/>
              </w:rPr>
            </w:pPr>
          </w:p>
        </w:tc>
        <w:tc>
          <w:tcPr>
            <w:tcW w:w="772" w:type="pct"/>
            <w:tcBorders>
              <w:bottom w:val="single" w:sz="4" w:space="0" w:color="auto"/>
            </w:tcBorders>
          </w:tcPr>
          <w:p w14:paraId="26F05D5D" w14:textId="77777777" w:rsidR="006D7C8D" w:rsidRDefault="006D7C8D" w:rsidP="00444693">
            <w:pPr>
              <w:pStyle w:val="TableText"/>
              <w:widowControl w:val="0"/>
              <w:suppressAutoHyphens w:val="0"/>
              <w:spacing w:before="0" w:after="0" w:line="240" w:lineRule="auto"/>
              <w:rPr>
                <w:szCs w:val="17"/>
              </w:rPr>
            </w:pPr>
          </w:p>
        </w:tc>
        <w:tc>
          <w:tcPr>
            <w:tcW w:w="634" w:type="pct"/>
            <w:tcBorders>
              <w:bottom w:val="single" w:sz="4" w:space="0" w:color="auto"/>
            </w:tcBorders>
          </w:tcPr>
          <w:p w14:paraId="6E3A8343" w14:textId="77777777" w:rsidR="006D7C8D" w:rsidRDefault="006D7C8D" w:rsidP="00444693">
            <w:pPr>
              <w:pStyle w:val="TableText"/>
              <w:widowControl w:val="0"/>
              <w:suppressAutoHyphens w:val="0"/>
              <w:spacing w:before="0" w:after="0" w:line="240" w:lineRule="auto"/>
              <w:rPr>
                <w:szCs w:val="17"/>
              </w:rPr>
            </w:pPr>
          </w:p>
        </w:tc>
        <w:tc>
          <w:tcPr>
            <w:tcW w:w="514" w:type="pct"/>
            <w:tcBorders>
              <w:bottom w:val="single" w:sz="4" w:space="0" w:color="auto"/>
            </w:tcBorders>
          </w:tcPr>
          <w:p w14:paraId="55CA904F" w14:textId="77777777" w:rsidR="006D7C8D" w:rsidRDefault="006D7C8D" w:rsidP="00D53099">
            <w:pPr>
              <w:pStyle w:val="TableText"/>
              <w:widowControl w:val="0"/>
              <w:suppressAutoHyphens w:val="0"/>
              <w:spacing w:before="0" w:after="0" w:line="240" w:lineRule="auto"/>
              <w:jc w:val="right"/>
              <w:rPr>
                <w:szCs w:val="17"/>
              </w:rPr>
            </w:pPr>
            <w:r w:rsidRPr="00A642D1">
              <w:rPr>
                <w:szCs w:val="17"/>
              </w:rPr>
              <w:t>14.3</w:t>
            </w:r>
          </w:p>
        </w:tc>
        <w:tc>
          <w:tcPr>
            <w:tcW w:w="662" w:type="pct"/>
            <w:tcBorders>
              <w:bottom w:val="single" w:sz="4" w:space="0" w:color="auto"/>
            </w:tcBorders>
            <w:vAlign w:val="center"/>
          </w:tcPr>
          <w:p w14:paraId="570F00F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150</w:t>
            </w:r>
          </w:p>
        </w:tc>
        <w:tc>
          <w:tcPr>
            <w:tcW w:w="883" w:type="pct"/>
            <w:tcBorders>
              <w:bottom w:val="single" w:sz="4" w:space="0" w:color="auto"/>
            </w:tcBorders>
            <w:vAlign w:val="center"/>
          </w:tcPr>
          <w:p w14:paraId="75A5BF07" w14:textId="77777777" w:rsidR="006D7C8D" w:rsidRPr="003B78B6" w:rsidRDefault="006D7C8D" w:rsidP="00D53099">
            <w:pPr>
              <w:pStyle w:val="TableText"/>
              <w:widowControl w:val="0"/>
              <w:suppressAutoHyphens w:val="0"/>
              <w:spacing w:before="0" w:after="0" w:line="240" w:lineRule="auto"/>
              <w:jc w:val="right"/>
            </w:pPr>
            <w:r>
              <w:rPr>
                <w:color w:val="1A1B1A"/>
                <w:szCs w:val="17"/>
              </w:rPr>
              <w:t>2.1</w:t>
            </w:r>
          </w:p>
        </w:tc>
        <w:tc>
          <w:tcPr>
            <w:tcW w:w="367" w:type="pct"/>
            <w:tcBorders>
              <w:bottom w:val="single" w:sz="4" w:space="0" w:color="auto"/>
            </w:tcBorders>
            <w:vAlign w:val="center"/>
          </w:tcPr>
          <w:p w14:paraId="729E5691" w14:textId="77777777" w:rsidR="006D7C8D" w:rsidRPr="00721FF0" w:rsidRDefault="006D7C8D" w:rsidP="00D53099">
            <w:pPr>
              <w:pStyle w:val="TableText"/>
              <w:widowControl w:val="0"/>
              <w:suppressAutoHyphens w:val="0"/>
              <w:spacing w:before="0" w:after="0" w:line="240" w:lineRule="auto"/>
              <w:jc w:val="right"/>
            </w:pPr>
            <w:r>
              <w:rPr>
                <w:color w:val="1A1B1A"/>
                <w:szCs w:val="17"/>
              </w:rPr>
              <w:t>0.28</w:t>
            </w:r>
          </w:p>
        </w:tc>
        <w:tc>
          <w:tcPr>
            <w:tcW w:w="585" w:type="pct"/>
            <w:tcBorders>
              <w:bottom w:val="single" w:sz="4" w:space="0" w:color="auto"/>
            </w:tcBorders>
            <w:vAlign w:val="bottom"/>
          </w:tcPr>
          <w:p w14:paraId="3F6BEF96" w14:textId="77777777" w:rsidR="006D7C8D" w:rsidRPr="00721FF0" w:rsidRDefault="006D7C8D" w:rsidP="00D53099">
            <w:pPr>
              <w:pStyle w:val="TableText"/>
              <w:widowControl w:val="0"/>
              <w:suppressAutoHyphens w:val="0"/>
              <w:spacing w:before="0" w:after="0" w:line="240" w:lineRule="auto"/>
              <w:jc w:val="right"/>
            </w:pPr>
            <w:r>
              <w:rPr>
                <w:color w:val="000000"/>
                <w:szCs w:val="17"/>
              </w:rPr>
              <w:t>531</w:t>
            </w:r>
          </w:p>
        </w:tc>
      </w:tr>
      <w:tr w:rsidR="006D7C8D" w:rsidRPr="00721FF0" w14:paraId="3BC72105" w14:textId="77777777" w:rsidTr="00444693">
        <w:trPr>
          <w:cantSplit/>
          <w:trHeight w:val="13"/>
        </w:trPr>
        <w:tc>
          <w:tcPr>
            <w:tcW w:w="583" w:type="pct"/>
            <w:vMerge w:val="restart"/>
            <w:tcBorders>
              <w:top w:val="single" w:sz="4" w:space="0" w:color="auto"/>
            </w:tcBorders>
          </w:tcPr>
          <w:p w14:paraId="031FA7F7" w14:textId="77777777" w:rsidR="006D7C8D" w:rsidRDefault="006D7C8D" w:rsidP="00444693">
            <w:pPr>
              <w:pStyle w:val="TableText"/>
              <w:widowControl w:val="0"/>
              <w:suppressAutoHyphens w:val="0"/>
              <w:spacing w:before="0" w:after="0" w:line="240" w:lineRule="auto"/>
              <w:rPr>
                <w:szCs w:val="17"/>
              </w:rPr>
            </w:pPr>
            <w:r>
              <w:rPr>
                <w:szCs w:val="17"/>
              </w:rPr>
              <w:t>Cotton</w:t>
            </w:r>
          </w:p>
        </w:tc>
        <w:tc>
          <w:tcPr>
            <w:tcW w:w="772" w:type="pct"/>
            <w:vMerge w:val="restart"/>
            <w:tcBorders>
              <w:top w:val="single" w:sz="4" w:space="0" w:color="auto"/>
            </w:tcBorders>
          </w:tcPr>
          <w:p w14:paraId="707B70BD" w14:textId="77777777" w:rsidR="006D7C8D" w:rsidRDefault="006D7C8D" w:rsidP="00444693">
            <w:pPr>
              <w:pStyle w:val="TableText"/>
              <w:widowControl w:val="0"/>
              <w:suppressAutoHyphens w:val="0"/>
              <w:spacing w:before="0" w:after="0" w:line="240" w:lineRule="auto"/>
              <w:rPr>
                <w:szCs w:val="17"/>
              </w:rPr>
            </w:pPr>
            <w:r w:rsidRPr="00B6513E">
              <w:rPr>
                <w:szCs w:val="17"/>
              </w:rPr>
              <w:t>Small herbivore</w:t>
            </w:r>
          </w:p>
        </w:tc>
        <w:tc>
          <w:tcPr>
            <w:tcW w:w="634" w:type="pct"/>
            <w:vMerge w:val="restart"/>
            <w:tcBorders>
              <w:top w:val="single" w:sz="4" w:space="0" w:color="auto"/>
            </w:tcBorders>
          </w:tcPr>
          <w:p w14:paraId="4AA103D7" w14:textId="77777777" w:rsidR="006D7C8D" w:rsidRDefault="006D7C8D" w:rsidP="00444693">
            <w:pPr>
              <w:pStyle w:val="TableText"/>
              <w:widowControl w:val="0"/>
              <w:suppressAutoHyphens w:val="0"/>
              <w:spacing w:before="0" w:after="0" w:line="240" w:lineRule="auto"/>
              <w:rPr>
                <w:szCs w:val="17"/>
              </w:rPr>
            </w:pPr>
            <w:r>
              <w:rPr>
                <w:szCs w:val="17"/>
              </w:rPr>
              <w:t>BBCH ≥50</w:t>
            </w:r>
          </w:p>
        </w:tc>
        <w:tc>
          <w:tcPr>
            <w:tcW w:w="514" w:type="pct"/>
            <w:tcBorders>
              <w:top w:val="single" w:sz="4" w:space="0" w:color="auto"/>
            </w:tcBorders>
            <w:shd w:val="clear" w:color="auto" w:fill="D5D7D5" w:themeFill="text1" w:themeFillTint="33"/>
          </w:tcPr>
          <w:p w14:paraId="1E1D1F5B" w14:textId="77777777" w:rsidR="006D7C8D" w:rsidRPr="00426E98" w:rsidRDefault="006D7C8D" w:rsidP="00D53099">
            <w:pPr>
              <w:pStyle w:val="TableText"/>
              <w:widowControl w:val="0"/>
              <w:suppressAutoHyphens w:val="0"/>
              <w:spacing w:before="0" w:after="0" w:line="240" w:lineRule="auto"/>
              <w:jc w:val="right"/>
              <w:rPr>
                <w:szCs w:val="17"/>
              </w:rPr>
            </w:pPr>
            <w:r>
              <w:rPr>
                <w:szCs w:val="17"/>
              </w:rPr>
              <w:t>28.0</w:t>
            </w:r>
            <w:r w:rsidRPr="00D26D8E">
              <w:rPr>
                <w:szCs w:val="17"/>
                <w:vertAlign w:val="superscript"/>
              </w:rPr>
              <w:t>a,c</w:t>
            </w:r>
          </w:p>
        </w:tc>
        <w:tc>
          <w:tcPr>
            <w:tcW w:w="662" w:type="pct"/>
            <w:tcBorders>
              <w:top w:val="single" w:sz="4" w:space="0" w:color="auto"/>
            </w:tcBorders>
            <w:vAlign w:val="center"/>
          </w:tcPr>
          <w:p w14:paraId="5E48AE2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tcBorders>
              <w:top w:val="single" w:sz="4" w:space="0" w:color="auto"/>
            </w:tcBorders>
            <w:vAlign w:val="center"/>
          </w:tcPr>
          <w:p w14:paraId="254D6AE1" w14:textId="77777777" w:rsidR="006D7C8D" w:rsidRPr="003B78B6" w:rsidRDefault="006D7C8D" w:rsidP="00D53099">
            <w:pPr>
              <w:pStyle w:val="TableText"/>
              <w:widowControl w:val="0"/>
              <w:suppressAutoHyphens w:val="0"/>
              <w:spacing w:before="0" w:after="0" w:line="240" w:lineRule="auto"/>
              <w:jc w:val="right"/>
            </w:pPr>
            <w:r>
              <w:rPr>
                <w:color w:val="1A1B1A"/>
                <w:szCs w:val="17"/>
              </w:rPr>
              <w:t>11</w:t>
            </w:r>
          </w:p>
        </w:tc>
        <w:tc>
          <w:tcPr>
            <w:tcW w:w="367" w:type="pct"/>
            <w:tcBorders>
              <w:top w:val="single" w:sz="4" w:space="0" w:color="auto"/>
            </w:tcBorders>
            <w:shd w:val="clear" w:color="auto" w:fill="FF0000"/>
            <w:vAlign w:val="center"/>
          </w:tcPr>
          <w:p w14:paraId="2609FE60"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1.5</w:t>
            </w:r>
          </w:p>
        </w:tc>
        <w:tc>
          <w:tcPr>
            <w:tcW w:w="585" w:type="pct"/>
            <w:tcBorders>
              <w:top w:val="single" w:sz="4" w:space="0" w:color="auto"/>
            </w:tcBorders>
            <w:vAlign w:val="bottom"/>
          </w:tcPr>
          <w:p w14:paraId="68706B09" w14:textId="77777777" w:rsidR="006D7C8D" w:rsidRPr="00721FF0" w:rsidRDefault="006D7C8D" w:rsidP="00D53099">
            <w:pPr>
              <w:pStyle w:val="TableText"/>
              <w:widowControl w:val="0"/>
              <w:suppressAutoHyphens w:val="0"/>
              <w:spacing w:before="0" w:after="0" w:line="240" w:lineRule="auto"/>
              <w:jc w:val="right"/>
            </w:pPr>
            <w:r>
              <w:rPr>
                <w:color w:val="000000"/>
                <w:szCs w:val="17"/>
              </w:rPr>
              <w:t>271</w:t>
            </w:r>
          </w:p>
        </w:tc>
      </w:tr>
      <w:tr w:rsidR="006D7C8D" w:rsidRPr="00721FF0" w14:paraId="0922BEF5" w14:textId="77777777" w:rsidTr="00444693">
        <w:trPr>
          <w:cantSplit/>
          <w:trHeight w:val="13"/>
        </w:trPr>
        <w:tc>
          <w:tcPr>
            <w:tcW w:w="583" w:type="pct"/>
            <w:vMerge/>
          </w:tcPr>
          <w:p w14:paraId="614A941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520C11B"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549CCE7F"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1EAAC5FD" w14:textId="77777777" w:rsidR="006D7C8D" w:rsidRDefault="006D7C8D" w:rsidP="00D53099">
            <w:pPr>
              <w:pStyle w:val="TableText"/>
              <w:widowControl w:val="0"/>
              <w:suppressAutoHyphens w:val="0"/>
              <w:spacing w:before="0" w:after="0" w:line="240" w:lineRule="auto"/>
              <w:jc w:val="right"/>
              <w:rPr>
                <w:szCs w:val="17"/>
              </w:rPr>
            </w:pPr>
            <w:r>
              <w:rPr>
                <w:szCs w:val="17"/>
              </w:rPr>
              <w:t>28.0</w:t>
            </w:r>
            <w:r w:rsidRPr="00D26D8E">
              <w:rPr>
                <w:szCs w:val="17"/>
                <w:vertAlign w:val="superscript"/>
              </w:rPr>
              <w:t>a,c</w:t>
            </w:r>
          </w:p>
        </w:tc>
        <w:tc>
          <w:tcPr>
            <w:tcW w:w="662" w:type="pct"/>
            <w:vAlign w:val="center"/>
          </w:tcPr>
          <w:p w14:paraId="187A4B5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26A7EBB8" w14:textId="77777777" w:rsidR="006D7C8D" w:rsidRPr="003B78B6" w:rsidRDefault="006D7C8D" w:rsidP="00D53099">
            <w:pPr>
              <w:pStyle w:val="TableText"/>
              <w:widowControl w:val="0"/>
              <w:suppressAutoHyphens w:val="0"/>
              <w:spacing w:before="0" w:after="0" w:line="240" w:lineRule="auto"/>
              <w:jc w:val="right"/>
            </w:pPr>
            <w:r>
              <w:rPr>
                <w:color w:val="1A1B1A"/>
                <w:szCs w:val="17"/>
              </w:rPr>
              <w:t>8.4</w:t>
            </w:r>
          </w:p>
        </w:tc>
        <w:tc>
          <w:tcPr>
            <w:tcW w:w="367" w:type="pct"/>
            <w:shd w:val="clear" w:color="auto" w:fill="FF0000"/>
            <w:vAlign w:val="center"/>
          </w:tcPr>
          <w:p w14:paraId="130AB967"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vAlign w:val="bottom"/>
          </w:tcPr>
          <w:p w14:paraId="1D7769CE" w14:textId="77777777" w:rsidR="006D7C8D" w:rsidRPr="00721FF0" w:rsidRDefault="006D7C8D" w:rsidP="00D53099">
            <w:pPr>
              <w:pStyle w:val="TableText"/>
              <w:widowControl w:val="0"/>
              <w:suppressAutoHyphens w:val="0"/>
              <w:spacing w:before="0" w:after="0" w:line="240" w:lineRule="auto"/>
              <w:jc w:val="right"/>
            </w:pPr>
            <w:r>
              <w:rPr>
                <w:color w:val="000000"/>
                <w:szCs w:val="17"/>
              </w:rPr>
              <w:t>271</w:t>
            </w:r>
          </w:p>
        </w:tc>
      </w:tr>
      <w:tr w:rsidR="006D7C8D" w:rsidRPr="00721FF0" w14:paraId="36ECCF3B" w14:textId="77777777" w:rsidTr="00444693">
        <w:trPr>
          <w:cantSplit/>
          <w:trHeight w:val="13"/>
        </w:trPr>
        <w:tc>
          <w:tcPr>
            <w:tcW w:w="583" w:type="pct"/>
            <w:vMerge/>
          </w:tcPr>
          <w:p w14:paraId="15047C8C"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82ABB88"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4A6944D8" w14:textId="77777777" w:rsidR="006D7C8D" w:rsidRDefault="006D7C8D" w:rsidP="00444693">
            <w:pPr>
              <w:pStyle w:val="TableText"/>
              <w:widowControl w:val="0"/>
              <w:suppressAutoHyphens w:val="0"/>
              <w:spacing w:before="0" w:after="0" w:line="240" w:lineRule="auto"/>
              <w:rPr>
                <w:szCs w:val="17"/>
              </w:rPr>
            </w:pPr>
            <w:r>
              <w:rPr>
                <w:szCs w:val="17"/>
              </w:rPr>
              <w:t>BBCH ≥50</w:t>
            </w:r>
          </w:p>
        </w:tc>
        <w:tc>
          <w:tcPr>
            <w:tcW w:w="514" w:type="pct"/>
            <w:tcBorders>
              <w:top w:val="single" w:sz="4" w:space="0" w:color="auto"/>
            </w:tcBorders>
          </w:tcPr>
          <w:p w14:paraId="4382F6A6" w14:textId="77777777" w:rsidR="006D7C8D" w:rsidRPr="00426E98" w:rsidRDefault="006D7C8D" w:rsidP="00D53099">
            <w:pPr>
              <w:pStyle w:val="TableText"/>
              <w:widowControl w:val="0"/>
              <w:suppressAutoHyphens w:val="0"/>
              <w:spacing w:before="0" w:after="0" w:line="240" w:lineRule="auto"/>
              <w:jc w:val="right"/>
              <w:rPr>
                <w:szCs w:val="17"/>
              </w:rPr>
            </w:pPr>
            <w:r w:rsidRPr="00524B33">
              <w:rPr>
                <w:szCs w:val="17"/>
              </w:rPr>
              <w:t>4.3</w:t>
            </w:r>
          </w:p>
        </w:tc>
        <w:tc>
          <w:tcPr>
            <w:tcW w:w="662" w:type="pct"/>
            <w:tcBorders>
              <w:top w:val="single" w:sz="4" w:space="0" w:color="auto"/>
            </w:tcBorders>
            <w:vAlign w:val="center"/>
          </w:tcPr>
          <w:p w14:paraId="123D128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tcBorders>
              <w:top w:val="single" w:sz="4" w:space="0" w:color="auto"/>
            </w:tcBorders>
            <w:vAlign w:val="center"/>
          </w:tcPr>
          <w:p w14:paraId="4BFC7ED0" w14:textId="77777777" w:rsidR="006D7C8D" w:rsidRPr="003B78B6" w:rsidRDefault="006D7C8D" w:rsidP="00D53099">
            <w:pPr>
              <w:pStyle w:val="TableText"/>
              <w:widowControl w:val="0"/>
              <w:suppressAutoHyphens w:val="0"/>
              <w:spacing w:before="0" w:after="0" w:line="240" w:lineRule="auto"/>
              <w:jc w:val="right"/>
            </w:pPr>
            <w:r>
              <w:rPr>
                <w:color w:val="1A1B1A"/>
                <w:szCs w:val="17"/>
              </w:rPr>
              <w:t>1.7</w:t>
            </w:r>
          </w:p>
        </w:tc>
        <w:tc>
          <w:tcPr>
            <w:tcW w:w="367" w:type="pct"/>
            <w:tcBorders>
              <w:top w:val="single" w:sz="4" w:space="0" w:color="auto"/>
            </w:tcBorders>
            <w:vAlign w:val="center"/>
          </w:tcPr>
          <w:p w14:paraId="3099CD20" w14:textId="77777777" w:rsidR="006D7C8D" w:rsidRPr="00721FF0" w:rsidRDefault="006D7C8D" w:rsidP="00D53099">
            <w:pPr>
              <w:pStyle w:val="TableText"/>
              <w:widowControl w:val="0"/>
              <w:suppressAutoHyphens w:val="0"/>
              <w:spacing w:before="0" w:after="0" w:line="240" w:lineRule="auto"/>
              <w:jc w:val="right"/>
            </w:pPr>
            <w:r>
              <w:rPr>
                <w:color w:val="1A1B1A"/>
                <w:szCs w:val="17"/>
              </w:rPr>
              <w:t>0.23</w:t>
            </w:r>
          </w:p>
        </w:tc>
        <w:tc>
          <w:tcPr>
            <w:tcW w:w="585" w:type="pct"/>
            <w:tcBorders>
              <w:top w:val="single" w:sz="4" w:space="0" w:color="auto"/>
            </w:tcBorders>
            <w:vAlign w:val="bottom"/>
          </w:tcPr>
          <w:p w14:paraId="175F1D1E" w14:textId="77777777" w:rsidR="006D7C8D" w:rsidRPr="00721FF0" w:rsidRDefault="006D7C8D" w:rsidP="00D53099">
            <w:pPr>
              <w:pStyle w:val="TableText"/>
              <w:widowControl w:val="0"/>
              <w:suppressAutoHyphens w:val="0"/>
              <w:spacing w:before="0" w:after="0" w:line="240" w:lineRule="auto"/>
              <w:jc w:val="right"/>
            </w:pPr>
            <w:r>
              <w:rPr>
                <w:color w:val="000000"/>
                <w:szCs w:val="17"/>
              </w:rPr>
              <w:t>1767</w:t>
            </w:r>
          </w:p>
        </w:tc>
      </w:tr>
      <w:tr w:rsidR="006D7C8D" w:rsidRPr="00721FF0" w14:paraId="229D7C89" w14:textId="77777777" w:rsidTr="00444693">
        <w:trPr>
          <w:cantSplit/>
          <w:trHeight w:val="13"/>
        </w:trPr>
        <w:tc>
          <w:tcPr>
            <w:tcW w:w="583" w:type="pct"/>
            <w:vMerge/>
          </w:tcPr>
          <w:p w14:paraId="35D6E147"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F8D2847"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54EEA36" w14:textId="77777777" w:rsidR="006D7C8D" w:rsidRDefault="006D7C8D" w:rsidP="00444693">
            <w:pPr>
              <w:pStyle w:val="TableText"/>
              <w:widowControl w:val="0"/>
              <w:suppressAutoHyphens w:val="0"/>
              <w:spacing w:before="0" w:after="0" w:line="240" w:lineRule="auto"/>
              <w:rPr>
                <w:szCs w:val="17"/>
              </w:rPr>
            </w:pPr>
          </w:p>
        </w:tc>
        <w:tc>
          <w:tcPr>
            <w:tcW w:w="514" w:type="pct"/>
          </w:tcPr>
          <w:p w14:paraId="2F7BD8DC" w14:textId="77777777" w:rsidR="006D7C8D" w:rsidRDefault="006D7C8D" w:rsidP="00D53099">
            <w:pPr>
              <w:pStyle w:val="TableText"/>
              <w:widowControl w:val="0"/>
              <w:suppressAutoHyphens w:val="0"/>
              <w:spacing w:before="0" w:after="0" w:line="240" w:lineRule="auto"/>
              <w:jc w:val="right"/>
              <w:rPr>
                <w:szCs w:val="17"/>
              </w:rPr>
            </w:pPr>
            <w:r w:rsidRPr="00524B33">
              <w:rPr>
                <w:szCs w:val="17"/>
              </w:rPr>
              <w:t>4.3</w:t>
            </w:r>
          </w:p>
        </w:tc>
        <w:tc>
          <w:tcPr>
            <w:tcW w:w="662" w:type="pct"/>
            <w:vAlign w:val="center"/>
          </w:tcPr>
          <w:p w14:paraId="3D3B2F1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228A3D8E"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vAlign w:val="center"/>
          </w:tcPr>
          <w:p w14:paraId="2C682CE8" w14:textId="77777777" w:rsidR="006D7C8D" w:rsidRPr="00721FF0" w:rsidRDefault="006D7C8D" w:rsidP="00D53099">
            <w:pPr>
              <w:pStyle w:val="TableText"/>
              <w:widowControl w:val="0"/>
              <w:suppressAutoHyphens w:val="0"/>
              <w:spacing w:before="0" w:after="0" w:line="240" w:lineRule="auto"/>
              <w:jc w:val="right"/>
            </w:pPr>
            <w:r>
              <w:rPr>
                <w:color w:val="1A1B1A"/>
                <w:szCs w:val="17"/>
              </w:rPr>
              <w:t>0.17</w:t>
            </w:r>
          </w:p>
        </w:tc>
        <w:tc>
          <w:tcPr>
            <w:tcW w:w="585" w:type="pct"/>
            <w:vAlign w:val="bottom"/>
          </w:tcPr>
          <w:p w14:paraId="338F7C3A" w14:textId="77777777" w:rsidR="006D7C8D" w:rsidRPr="00721FF0" w:rsidRDefault="006D7C8D" w:rsidP="00D53099">
            <w:pPr>
              <w:pStyle w:val="TableText"/>
              <w:widowControl w:val="0"/>
              <w:suppressAutoHyphens w:val="0"/>
              <w:spacing w:before="0" w:after="0" w:line="240" w:lineRule="auto"/>
              <w:jc w:val="right"/>
            </w:pPr>
            <w:r>
              <w:rPr>
                <w:color w:val="000000"/>
                <w:szCs w:val="17"/>
              </w:rPr>
              <w:t>1767</w:t>
            </w:r>
          </w:p>
        </w:tc>
      </w:tr>
      <w:tr w:rsidR="006D7C8D" w:rsidRPr="00721FF0" w14:paraId="64353519" w14:textId="77777777" w:rsidTr="00444693">
        <w:trPr>
          <w:cantSplit/>
          <w:trHeight w:val="13"/>
        </w:trPr>
        <w:tc>
          <w:tcPr>
            <w:tcW w:w="583" w:type="pct"/>
            <w:vMerge/>
          </w:tcPr>
          <w:p w14:paraId="0EBF67D8"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5FFF754D" w14:textId="77777777" w:rsidR="006D7C8D" w:rsidRDefault="006D7C8D" w:rsidP="00444693">
            <w:pPr>
              <w:pStyle w:val="TableText"/>
              <w:widowControl w:val="0"/>
              <w:suppressAutoHyphens w:val="0"/>
              <w:spacing w:before="0" w:after="0" w:line="240" w:lineRule="auto"/>
              <w:rPr>
                <w:szCs w:val="17"/>
              </w:rPr>
            </w:pPr>
            <w:r w:rsidRPr="00336DF4">
              <w:rPr>
                <w:szCs w:val="17"/>
              </w:rPr>
              <w:t>Small insectivore</w:t>
            </w:r>
          </w:p>
        </w:tc>
        <w:tc>
          <w:tcPr>
            <w:tcW w:w="634" w:type="pct"/>
            <w:vMerge w:val="restart"/>
            <w:tcBorders>
              <w:top w:val="single" w:sz="4" w:space="0" w:color="auto"/>
            </w:tcBorders>
          </w:tcPr>
          <w:p w14:paraId="6643EEC6" w14:textId="77777777" w:rsidR="006D7C8D" w:rsidRDefault="006D7C8D" w:rsidP="00444693">
            <w:pPr>
              <w:pStyle w:val="TableText"/>
              <w:widowControl w:val="0"/>
              <w:suppressAutoHyphens w:val="0"/>
              <w:spacing w:before="0" w:after="0" w:line="240" w:lineRule="auto"/>
              <w:rPr>
                <w:szCs w:val="17"/>
              </w:rPr>
            </w:pPr>
            <w:r>
              <w:rPr>
                <w:szCs w:val="17"/>
              </w:rPr>
              <w:t>BBCH ≥20</w:t>
            </w:r>
          </w:p>
        </w:tc>
        <w:tc>
          <w:tcPr>
            <w:tcW w:w="514" w:type="pct"/>
            <w:tcBorders>
              <w:top w:val="single" w:sz="4" w:space="0" w:color="auto"/>
            </w:tcBorders>
          </w:tcPr>
          <w:p w14:paraId="572C2008" w14:textId="77777777" w:rsidR="006D7C8D" w:rsidRPr="00426E98" w:rsidRDefault="006D7C8D" w:rsidP="00D53099">
            <w:pPr>
              <w:pStyle w:val="TableText"/>
              <w:widowControl w:val="0"/>
              <w:suppressAutoHyphens w:val="0"/>
              <w:spacing w:before="0" w:after="0" w:line="240" w:lineRule="auto"/>
              <w:jc w:val="right"/>
              <w:rPr>
                <w:szCs w:val="17"/>
              </w:rPr>
            </w:pPr>
            <w:r w:rsidRPr="007365D9">
              <w:rPr>
                <w:szCs w:val="17"/>
              </w:rPr>
              <w:t>5.4</w:t>
            </w:r>
          </w:p>
        </w:tc>
        <w:tc>
          <w:tcPr>
            <w:tcW w:w="662" w:type="pct"/>
            <w:tcBorders>
              <w:top w:val="single" w:sz="4" w:space="0" w:color="auto"/>
            </w:tcBorders>
            <w:vAlign w:val="center"/>
          </w:tcPr>
          <w:p w14:paraId="52D5C7A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tcBorders>
              <w:top w:val="single" w:sz="4" w:space="0" w:color="auto"/>
            </w:tcBorders>
            <w:vAlign w:val="center"/>
          </w:tcPr>
          <w:p w14:paraId="6E58DEA1" w14:textId="77777777" w:rsidR="006D7C8D" w:rsidRPr="003B78B6" w:rsidRDefault="006D7C8D" w:rsidP="00D53099">
            <w:pPr>
              <w:pStyle w:val="TableText"/>
              <w:widowControl w:val="0"/>
              <w:suppressAutoHyphens w:val="0"/>
              <w:spacing w:before="0" w:after="0" w:line="240" w:lineRule="auto"/>
              <w:jc w:val="right"/>
            </w:pPr>
            <w:r>
              <w:rPr>
                <w:color w:val="1A1B1A"/>
                <w:szCs w:val="17"/>
              </w:rPr>
              <w:t>2.2</w:t>
            </w:r>
          </w:p>
        </w:tc>
        <w:tc>
          <w:tcPr>
            <w:tcW w:w="367" w:type="pct"/>
            <w:tcBorders>
              <w:top w:val="single" w:sz="4" w:space="0" w:color="auto"/>
            </w:tcBorders>
            <w:vAlign w:val="center"/>
          </w:tcPr>
          <w:p w14:paraId="6261B096" w14:textId="77777777" w:rsidR="006D7C8D" w:rsidRPr="00721FF0" w:rsidRDefault="006D7C8D" w:rsidP="00D53099">
            <w:pPr>
              <w:pStyle w:val="TableText"/>
              <w:widowControl w:val="0"/>
              <w:suppressAutoHyphens w:val="0"/>
              <w:spacing w:before="0" w:after="0" w:line="240" w:lineRule="auto"/>
              <w:jc w:val="right"/>
            </w:pPr>
            <w:r>
              <w:rPr>
                <w:color w:val="1A1B1A"/>
                <w:szCs w:val="17"/>
              </w:rPr>
              <w:t>0.28</w:t>
            </w:r>
          </w:p>
        </w:tc>
        <w:tc>
          <w:tcPr>
            <w:tcW w:w="585" w:type="pct"/>
            <w:tcBorders>
              <w:top w:val="single" w:sz="4" w:space="0" w:color="auto"/>
            </w:tcBorders>
            <w:vAlign w:val="bottom"/>
          </w:tcPr>
          <w:p w14:paraId="58C04C1F"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4F166C52" w14:textId="77777777" w:rsidTr="00444693">
        <w:trPr>
          <w:cantSplit/>
          <w:trHeight w:val="13"/>
        </w:trPr>
        <w:tc>
          <w:tcPr>
            <w:tcW w:w="583" w:type="pct"/>
            <w:vMerge/>
          </w:tcPr>
          <w:p w14:paraId="6842F93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C608E58"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4F41C978" w14:textId="77777777" w:rsidR="006D7C8D" w:rsidRDefault="006D7C8D" w:rsidP="00444693">
            <w:pPr>
              <w:pStyle w:val="TableText"/>
              <w:widowControl w:val="0"/>
              <w:suppressAutoHyphens w:val="0"/>
              <w:spacing w:before="0" w:after="0" w:line="240" w:lineRule="auto"/>
              <w:rPr>
                <w:szCs w:val="17"/>
              </w:rPr>
            </w:pPr>
          </w:p>
        </w:tc>
        <w:tc>
          <w:tcPr>
            <w:tcW w:w="514" w:type="pct"/>
          </w:tcPr>
          <w:p w14:paraId="29DAD20B" w14:textId="77777777" w:rsidR="006D7C8D" w:rsidRDefault="006D7C8D" w:rsidP="00D53099">
            <w:pPr>
              <w:pStyle w:val="TableText"/>
              <w:widowControl w:val="0"/>
              <w:suppressAutoHyphens w:val="0"/>
              <w:spacing w:before="0" w:after="0" w:line="240" w:lineRule="auto"/>
              <w:jc w:val="right"/>
              <w:rPr>
                <w:szCs w:val="17"/>
              </w:rPr>
            </w:pPr>
            <w:r w:rsidRPr="007365D9">
              <w:rPr>
                <w:szCs w:val="17"/>
              </w:rPr>
              <w:t>5.4</w:t>
            </w:r>
          </w:p>
        </w:tc>
        <w:tc>
          <w:tcPr>
            <w:tcW w:w="662" w:type="pct"/>
            <w:vAlign w:val="center"/>
          </w:tcPr>
          <w:p w14:paraId="4AB8B47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2AF0AD46" w14:textId="77777777" w:rsidR="006D7C8D" w:rsidRPr="003B78B6" w:rsidRDefault="006D7C8D" w:rsidP="00D53099">
            <w:pPr>
              <w:pStyle w:val="TableText"/>
              <w:widowControl w:val="0"/>
              <w:suppressAutoHyphens w:val="0"/>
              <w:spacing w:before="0" w:after="0" w:line="240" w:lineRule="auto"/>
              <w:jc w:val="right"/>
            </w:pPr>
            <w:r>
              <w:rPr>
                <w:color w:val="1A1B1A"/>
                <w:szCs w:val="17"/>
              </w:rPr>
              <w:t>1.6</w:t>
            </w:r>
          </w:p>
        </w:tc>
        <w:tc>
          <w:tcPr>
            <w:tcW w:w="367" w:type="pct"/>
            <w:vAlign w:val="center"/>
          </w:tcPr>
          <w:p w14:paraId="6E34210E" w14:textId="77777777" w:rsidR="006D7C8D" w:rsidRPr="00721FF0" w:rsidRDefault="006D7C8D" w:rsidP="00D53099">
            <w:pPr>
              <w:pStyle w:val="TableText"/>
              <w:widowControl w:val="0"/>
              <w:suppressAutoHyphens w:val="0"/>
              <w:spacing w:before="0" w:after="0" w:line="240" w:lineRule="auto"/>
              <w:jc w:val="right"/>
            </w:pPr>
            <w:r>
              <w:rPr>
                <w:color w:val="1A1B1A"/>
                <w:szCs w:val="17"/>
              </w:rPr>
              <w:t>0.21</w:t>
            </w:r>
          </w:p>
        </w:tc>
        <w:tc>
          <w:tcPr>
            <w:tcW w:w="585" w:type="pct"/>
            <w:vAlign w:val="bottom"/>
          </w:tcPr>
          <w:p w14:paraId="60E512FD"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0600974A" w14:textId="77777777" w:rsidTr="00444693">
        <w:trPr>
          <w:cantSplit/>
          <w:trHeight w:val="13"/>
        </w:trPr>
        <w:tc>
          <w:tcPr>
            <w:tcW w:w="583" w:type="pct"/>
            <w:vMerge w:val="restart"/>
            <w:tcBorders>
              <w:top w:val="single" w:sz="4" w:space="0" w:color="auto"/>
            </w:tcBorders>
          </w:tcPr>
          <w:p w14:paraId="2A465BA9" w14:textId="77777777" w:rsidR="006D7C8D" w:rsidRDefault="006D7C8D" w:rsidP="00444693">
            <w:pPr>
              <w:pStyle w:val="TableText"/>
              <w:widowControl w:val="0"/>
              <w:suppressAutoHyphens w:val="0"/>
              <w:spacing w:before="0" w:after="0" w:line="240" w:lineRule="auto"/>
              <w:rPr>
                <w:szCs w:val="17"/>
              </w:rPr>
            </w:pPr>
            <w:r>
              <w:rPr>
                <w:szCs w:val="17"/>
              </w:rPr>
              <w:t>Grassland</w:t>
            </w:r>
          </w:p>
        </w:tc>
        <w:tc>
          <w:tcPr>
            <w:tcW w:w="772" w:type="pct"/>
            <w:vMerge w:val="restart"/>
            <w:tcBorders>
              <w:top w:val="single" w:sz="4" w:space="0" w:color="auto"/>
            </w:tcBorders>
          </w:tcPr>
          <w:p w14:paraId="68371C03" w14:textId="77777777" w:rsidR="006D7C8D" w:rsidRPr="00336DF4" w:rsidRDefault="006D7C8D" w:rsidP="00444693">
            <w:pPr>
              <w:pStyle w:val="TableText"/>
              <w:widowControl w:val="0"/>
              <w:suppressAutoHyphens w:val="0"/>
              <w:spacing w:before="0" w:after="0" w:line="240" w:lineRule="auto"/>
              <w:rPr>
                <w:szCs w:val="17"/>
              </w:rPr>
            </w:pPr>
            <w:r w:rsidRPr="00B6513E">
              <w:rPr>
                <w:szCs w:val="17"/>
              </w:rPr>
              <w:t>Small herbivore</w:t>
            </w:r>
          </w:p>
        </w:tc>
        <w:tc>
          <w:tcPr>
            <w:tcW w:w="634" w:type="pct"/>
            <w:vMerge w:val="restart"/>
            <w:tcBorders>
              <w:top w:val="single" w:sz="4" w:space="0" w:color="auto"/>
            </w:tcBorders>
          </w:tcPr>
          <w:p w14:paraId="253A9315" w14:textId="77777777" w:rsidR="006D7C8D" w:rsidRDefault="006D7C8D" w:rsidP="00444693">
            <w:pPr>
              <w:pStyle w:val="TableText"/>
              <w:widowControl w:val="0"/>
              <w:suppressAutoHyphens w:val="0"/>
              <w:spacing w:before="0" w:after="0" w:line="240" w:lineRule="auto"/>
              <w:rPr>
                <w:szCs w:val="17"/>
              </w:rPr>
            </w:pPr>
            <w:r>
              <w:rPr>
                <w:szCs w:val="17"/>
              </w:rPr>
              <w:t>All season</w:t>
            </w:r>
          </w:p>
        </w:tc>
        <w:tc>
          <w:tcPr>
            <w:tcW w:w="514" w:type="pct"/>
            <w:tcBorders>
              <w:top w:val="single" w:sz="4" w:space="0" w:color="auto"/>
            </w:tcBorders>
            <w:shd w:val="clear" w:color="auto" w:fill="D5D7D5" w:themeFill="text1" w:themeFillTint="33"/>
          </w:tcPr>
          <w:p w14:paraId="532946FF" w14:textId="77777777" w:rsidR="006D7C8D" w:rsidRPr="00426E98" w:rsidRDefault="006D7C8D" w:rsidP="00D53099">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662" w:type="pct"/>
            <w:tcBorders>
              <w:top w:val="single" w:sz="4" w:space="0" w:color="auto"/>
            </w:tcBorders>
            <w:vAlign w:val="center"/>
          </w:tcPr>
          <w:p w14:paraId="7195919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11FEDF04" w14:textId="77777777" w:rsidR="006D7C8D" w:rsidRPr="003B78B6" w:rsidRDefault="006D7C8D" w:rsidP="00D53099">
            <w:pPr>
              <w:pStyle w:val="TableText"/>
              <w:widowControl w:val="0"/>
              <w:suppressAutoHyphens w:val="0"/>
              <w:spacing w:before="0" w:after="0" w:line="240" w:lineRule="auto"/>
              <w:jc w:val="right"/>
            </w:pPr>
            <w:r>
              <w:rPr>
                <w:color w:val="1A1B1A"/>
                <w:szCs w:val="17"/>
              </w:rPr>
              <w:t>90</w:t>
            </w:r>
          </w:p>
        </w:tc>
        <w:tc>
          <w:tcPr>
            <w:tcW w:w="367" w:type="pct"/>
            <w:tcBorders>
              <w:top w:val="single" w:sz="4" w:space="0" w:color="auto"/>
            </w:tcBorders>
            <w:shd w:val="clear" w:color="auto" w:fill="FF0000"/>
            <w:vAlign w:val="center"/>
          </w:tcPr>
          <w:p w14:paraId="79BE66D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11.8</w:t>
            </w:r>
          </w:p>
        </w:tc>
        <w:tc>
          <w:tcPr>
            <w:tcW w:w="585" w:type="pct"/>
            <w:tcBorders>
              <w:top w:val="single" w:sz="4" w:space="0" w:color="auto"/>
            </w:tcBorders>
            <w:vAlign w:val="bottom"/>
          </w:tcPr>
          <w:p w14:paraId="187CC790"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41D87E3D" w14:textId="77777777" w:rsidTr="00444693">
        <w:trPr>
          <w:cantSplit/>
          <w:trHeight w:val="13"/>
        </w:trPr>
        <w:tc>
          <w:tcPr>
            <w:tcW w:w="583" w:type="pct"/>
            <w:vMerge/>
          </w:tcPr>
          <w:p w14:paraId="5FB8994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7DDC0EA"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213EB5B7"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DCDE5C0" w14:textId="77777777" w:rsidR="006D7C8D" w:rsidRPr="000B2FAB" w:rsidRDefault="006D7C8D" w:rsidP="00D53099">
            <w:pPr>
              <w:pStyle w:val="TableText"/>
              <w:widowControl w:val="0"/>
              <w:suppressAutoHyphens w:val="0"/>
              <w:spacing w:before="0" w:after="0" w:line="240" w:lineRule="auto"/>
              <w:jc w:val="right"/>
              <w:rPr>
                <w:szCs w:val="17"/>
              </w:rPr>
            </w:pPr>
            <w:r w:rsidRPr="00024236">
              <w:rPr>
                <w:szCs w:val="17"/>
              </w:rPr>
              <w:t>112</w:t>
            </w:r>
            <w:r w:rsidRPr="00024236">
              <w:rPr>
                <w:szCs w:val="17"/>
                <w:vertAlign w:val="superscript"/>
              </w:rPr>
              <w:t>a</w:t>
            </w:r>
          </w:p>
        </w:tc>
        <w:tc>
          <w:tcPr>
            <w:tcW w:w="662" w:type="pct"/>
            <w:vAlign w:val="center"/>
          </w:tcPr>
          <w:p w14:paraId="5EF3E06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4CF48764" w14:textId="77777777" w:rsidR="006D7C8D" w:rsidRPr="003B78B6" w:rsidRDefault="006D7C8D" w:rsidP="00D53099">
            <w:pPr>
              <w:pStyle w:val="TableText"/>
              <w:widowControl w:val="0"/>
              <w:suppressAutoHyphens w:val="0"/>
              <w:spacing w:before="0" w:after="0" w:line="240" w:lineRule="auto"/>
              <w:jc w:val="right"/>
            </w:pPr>
            <w:r>
              <w:rPr>
                <w:color w:val="1A1B1A"/>
                <w:szCs w:val="17"/>
              </w:rPr>
              <w:t>67</w:t>
            </w:r>
          </w:p>
        </w:tc>
        <w:tc>
          <w:tcPr>
            <w:tcW w:w="367" w:type="pct"/>
            <w:shd w:val="clear" w:color="auto" w:fill="FF0000"/>
            <w:vAlign w:val="center"/>
          </w:tcPr>
          <w:p w14:paraId="5BFAD51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8.8</w:t>
            </w:r>
          </w:p>
        </w:tc>
        <w:tc>
          <w:tcPr>
            <w:tcW w:w="585" w:type="pct"/>
            <w:vAlign w:val="bottom"/>
          </w:tcPr>
          <w:p w14:paraId="40CE351D"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05EE7B7D" w14:textId="77777777" w:rsidTr="00444693">
        <w:trPr>
          <w:cantSplit/>
          <w:trHeight w:val="13"/>
        </w:trPr>
        <w:tc>
          <w:tcPr>
            <w:tcW w:w="583" w:type="pct"/>
            <w:vMerge/>
          </w:tcPr>
          <w:p w14:paraId="296FC8C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076FD65"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2FE3E9E1"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55901C94" w14:textId="77777777" w:rsidR="006D7C8D" w:rsidRPr="000B2FAB" w:rsidRDefault="006D7C8D" w:rsidP="00D53099">
            <w:pPr>
              <w:pStyle w:val="TableText"/>
              <w:widowControl w:val="0"/>
              <w:suppressAutoHyphens w:val="0"/>
              <w:spacing w:before="0" w:after="0" w:line="240" w:lineRule="auto"/>
              <w:jc w:val="right"/>
              <w:rPr>
                <w:szCs w:val="17"/>
              </w:rPr>
            </w:pPr>
            <w:r w:rsidRPr="0054555E">
              <w:rPr>
                <w:szCs w:val="17"/>
              </w:rPr>
              <w:t>112</w:t>
            </w:r>
            <w:r w:rsidRPr="0054555E">
              <w:rPr>
                <w:szCs w:val="17"/>
                <w:vertAlign w:val="superscript"/>
              </w:rPr>
              <w:t>a</w:t>
            </w:r>
          </w:p>
        </w:tc>
        <w:tc>
          <w:tcPr>
            <w:tcW w:w="662" w:type="pct"/>
            <w:vAlign w:val="center"/>
          </w:tcPr>
          <w:p w14:paraId="14A52A5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1F552305" w14:textId="77777777" w:rsidR="006D7C8D" w:rsidRPr="003B78B6" w:rsidRDefault="006D7C8D" w:rsidP="00D53099">
            <w:pPr>
              <w:pStyle w:val="TableText"/>
              <w:widowControl w:val="0"/>
              <w:suppressAutoHyphens w:val="0"/>
              <w:spacing w:before="0" w:after="0" w:line="240" w:lineRule="auto"/>
              <w:jc w:val="right"/>
            </w:pPr>
            <w:r>
              <w:rPr>
                <w:color w:val="1A1B1A"/>
                <w:szCs w:val="17"/>
              </w:rPr>
              <w:t>36</w:t>
            </w:r>
          </w:p>
        </w:tc>
        <w:tc>
          <w:tcPr>
            <w:tcW w:w="367" w:type="pct"/>
            <w:shd w:val="clear" w:color="auto" w:fill="FF0000"/>
            <w:vAlign w:val="center"/>
          </w:tcPr>
          <w:p w14:paraId="202D362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4.7</w:t>
            </w:r>
          </w:p>
        </w:tc>
        <w:tc>
          <w:tcPr>
            <w:tcW w:w="585" w:type="pct"/>
            <w:vAlign w:val="bottom"/>
          </w:tcPr>
          <w:p w14:paraId="01827C7D"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59D83DDD" w14:textId="77777777" w:rsidTr="00444693">
        <w:trPr>
          <w:cantSplit/>
          <w:trHeight w:val="13"/>
        </w:trPr>
        <w:tc>
          <w:tcPr>
            <w:tcW w:w="583" w:type="pct"/>
            <w:vMerge/>
          </w:tcPr>
          <w:p w14:paraId="2904271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F5CFABB"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4D0B89CC"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4EB23F99" w14:textId="77777777" w:rsidR="006D7C8D" w:rsidRPr="000B2FAB" w:rsidRDefault="006D7C8D" w:rsidP="00D53099">
            <w:pPr>
              <w:pStyle w:val="TableText"/>
              <w:widowControl w:val="0"/>
              <w:suppressAutoHyphens w:val="0"/>
              <w:spacing w:before="0" w:after="0" w:line="240" w:lineRule="auto"/>
              <w:jc w:val="right"/>
              <w:rPr>
                <w:szCs w:val="17"/>
              </w:rPr>
            </w:pPr>
            <w:r w:rsidRPr="0054555E">
              <w:rPr>
                <w:szCs w:val="17"/>
              </w:rPr>
              <w:t>112</w:t>
            </w:r>
            <w:r w:rsidRPr="0054555E">
              <w:rPr>
                <w:szCs w:val="17"/>
                <w:vertAlign w:val="superscript"/>
              </w:rPr>
              <w:t>a</w:t>
            </w:r>
          </w:p>
        </w:tc>
        <w:tc>
          <w:tcPr>
            <w:tcW w:w="662" w:type="pct"/>
            <w:vAlign w:val="center"/>
          </w:tcPr>
          <w:p w14:paraId="273EA2B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28F4B03A" w14:textId="77777777" w:rsidR="006D7C8D" w:rsidRPr="003B78B6" w:rsidRDefault="006D7C8D" w:rsidP="00D53099">
            <w:pPr>
              <w:pStyle w:val="TableText"/>
              <w:widowControl w:val="0"/>
              <w:suppressAutoHyphens w:val="0"/>
              <w:spacing w:before="0" w:after="0" w:line="240" w:lineRule="auto"/>
              <w:jc w:val="right"/>
            </w:pPr>
            <w:r>
              <w:rPr>
                <w:color w:val="1A1B1A"/>
                <w:szCs w:val="17"/>
              </w:rPr>
              <w:t>27</w:t>
            </w:r>
          </w:p>
        </w:tc>
        <w:tc>
          <w:tcPr>
            <w:tcW w:w="367" w:type="pct"/>
            <w:shd w:val="clear" w:color="auto" w:fill="FF0000"/>
            <w:vAlign w:val="center"/>
          </w:tcPr>
          <w:p w14:paraId="4E197CEF"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3.5</w:t>
            </w:r>
          </w:p>
        </w:tc>
        <w:tc>
          <w:tcPr>
            <w:tcW w:w="585" w:type="pct"/>
            <w:vAlign w:val="bottom"/>
          </w:tcPr>
          <w:p w14:paraId="42DAAAD3"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640D28DF" w14:textId="77777777" w:rsidTr="00444693">
        <w:trPr>
          <w:cantSplit/>
          <w:trHeight w:val="13"/>
        </w:trPr>
        <w:tc>
          <w:tcPr>
            <w:tcW w:w="583" w:type="pct"/>
            <w:vMerge/>
          </w:tcPr>
          <w:p w14:paraId="57CA1FA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02C1CE3"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375CE930"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026A9D2D" w14:textId="77777777" w:rsidR="006D7C8D" w:rsidRPr="000B2FAB" w:rsidRDefault="006D7C8D" w:rsidP="00D53099">
            <w:pPr>
              <w:pStyle w:val="TableText"/>
              <w:widowControl w:val="0"/>
              <w:suppressAutoHyphens w:val="0"/>
              <w:spacing w:before="0" w:after="0" w:line="240" w:lineRule="auto"/>
              <w:jc w:val="right"/>
              <w:rPr>
                <w:szCs w:val="17"/>
              </w:rPr>
            </w:pPr>
            <w:r w:rsidRPr="00024236">
              <w:rPr>
                <w:szCs w:val="17"/>
              </w:rPr>
              <w:t>112</w:t>
            </w:r>
            <w:r w:rsidRPr="00024236">
              <w:rPr>
                <w:szCs w:val="17"/>
                <w:vertAlign w:val="superscript"/>
              </w:rPr>
              <w:t>a</w:t>
            </w:r>
          </w:p>
        </w:tc>
        <w:tc>
          <w:tcPr>
            <w:tcW w:w="662" w:type="pct"/>
            <w:vAlign w:val="center"/>
          </w:tcPr>
          <w:p w14:paraId="4F1C74D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11BACCAD" w14:textId="77777777" w:rsidR="006D7C8D" w:rsidRPr="003B78B6" w:rsidRDefault="006D7C8D" w:rsidP="00D53099">
            <w:pPr>
              <w:pStyle w:val="TableText"/>
              <w:widowControl w:val="0"/>
              <w:suppressAutoHyphens w:val="0"/>
              <w:spacing w:before="0" w:after="0" w:line="240" w:lineRule="auto"/>
              <w:jc w:val="right"/>
            </w:pPr>
            <w:r>
              <w:rPr>
                <w:color w:val="1A1B1A"/>
                <w:szCs w:val="17"/>
              </w:rPr>
              <w:t>22</w:t>
            </w:r>
          </w:p>
        </w:tc>
        <w:tc>
          <w:tcPr>
            <w:tcW w:w="367" w:type="pct"/>
            <w:shd w:val="clear" w:color="auto" w:fill="FF0000"/>
            <w:vAlign w:val="center"/>
          </w:tcPr>
          <w:p w14:paraId="464AC34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2.9</w:t>
            </w:r>
          </w:p>
        </w:tc>
        <w:tc>
          <w:tcPr>
            <w:tcW w:w="585" w:type="pct"/>
            <w:vAlign w:val="bottom"/>
          </w:tcPr>
          <w:p w14:paraId="3D32E1CC"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17B571E9" w14:textId="77777777" w:rsidTr="00444693">
        <w:trPr>
          <w:cantSplit/>
          <w:trHeight w:val="13"/>
        </w:trPr>
        <w:tc>
          <w:tcPr>
            <w:tcW w:w="583" w:type="pct"/>
            <w:vMerge/>
          </w:tcPr>
          <w:p w14:paraId="67E5E414"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796BB0C6" w14:textId="77777777" w:rsidR="006D7C8D" w:rsidRPr="00336DF4" w:rsidRDefault="006D7C8D" w:rsidP="00444693">
            <w:pPr>
              <w:pStyle w:val="TableText"/>
              <w:widowControl w:val="0"/>
              <w:suppressAutoHyphens w:val="0"/>
              <w:spacing w:before="0" w:after="0" w:line="240" w:lineRule="auto"/>
              <w:rPr>
                <w:szCs w:val="17"/>
              </w:rPr>
            </w:pPr>
            <w:r>
              <w:rPr>
                <w:szCs w:val="17"/>
              </w:rPr>
              <w:t>Large herbivore</w:t>
            </w:r>
          </w:p>
        </w:tc>
        <w:tc>
          <w:tcPr>
            <w:tcW w:w="634" w:type="pct"/>
            <w:vMerge w:val="restart"/>
            <w:tcBorders>
              <w:top w:val="single" w:sz="4" w:space="0" w:color="auto"/>
            </w:tcBorders>
          </w:tcPr>
          <w:p w14:paraId="33699025" w14:textId="77777777" w:rsidR="006D7C8D" w:rsidRDefault="006D7C8D" w:rsidP="00444693">
            <w:pPr>
              <w:pStyle w:val="TableText"/>
              <w:widowControl w:val="0"/>
              <w:suppressAutoHyphens w:val="0"/>
              <w:spacing w:before="0" w:after="0" w:line="240" w:lineRule="auto"/>
              <w:rPr>
                <w:szCs w:val="17"/>
              </w:rPr>
            </w:pPr>
            <w:r>
              <w:rPr>
                <w:szCs w:val="17"/>
              </w:rPr>
              <w:t>All season</w:t>
            </w:r>
          </w:p>
        </w:tc>
        <w:tc>
          <w:tcPr>
            <w:tcW w:w="514" w:type="pct"/>
            <w:tcBorders>
              <w:top w:val="single" w:sz="4" w:space="0" w:color="auto"/>
            </w:tcBorders>
            <w:shd w:val="clear" w:color="auto" w:fill="D5D7D5" w:themeFill="text1" w:themeFillTint="33"/>
          </w:tcPr>
          <w:p w14:paraId="73CBAACA" w14:textId="77777777" w:rsidR="006D7C8D" w:rsidRPr="00426E98" w:rsidRDefault="006D7C8D" w:rsidP="00D53099">
            <w:pPr>
              <w:pStyle w:val="TableText"/>
              <w:widowControl w:val="0"/>
              <w:suppressAutoHyphens w:val="0"/>
              <w:spacing w:before="0" w:after="0" w:line="240" w:lineRule="auto"/>
              <w:jc w:val="right"/>
              <w:rPr>
                <w:szCs w:val="17"/>
              </w:rPr>
            </w:pPr>
            <w:r>
              <w:t>26.6</w:t>
            </w:r>
            <w:r w:rsidRPr="00634F9D">
              <w:rPr>
                <w:vertAlign w:val="superscript"/>
              </w:rPr>
              <w:t>b</w:t>
            </w:r>
          </w:p>
        </w:tc>
        <w:tc>
          <w:tcPr>
            <w:tcW w:w="662" w:type="pct"/>
            <w:tcBorders>
              <w:top w:val="single" w:sz="4" w:space="0" w:color="auto"/>
            </w:tcBorders>
            <w:vAlign w:val="center"/>
          </w:tcPr>
          <w:p w14:paraId="6763EEE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7FD221DC" w14:textId="77777777" w:rsidR="006D7C8D" w:rsidRPr="003B78B6" w:rsidRDefault="006D7C8D" w:rsidP="00D53099">
            <w:pPr>
              <w:pStyle w:val="TableText"/>
              <w:widowControl w:val="0"/>
              <w:suppressAutoHyphens w:val="0"/>
              <w:spacing w:before="0" w:after="0" w:line="240" w:lineRule="auto"/>
              <w:jc w:val="right"/>
            </w:pPr>
            <w:r>
              <w:rPr>
                <w:color w:val="1A1B1A"/>
                <w:szCs w:val="17"/>
              </w:rPr>
              <w:t>21</w:t>
            </w:r>
          </w:p>
        </w:tc>
        <w:tc>
          <w:tcPr>
            <w:tcW w:w="367" w:type="pct"/>
            <w:tcBorders>
              <w:top w:val="single" w:sz="4" w:space="0" w:color="auto"/>
            </w:tcBorders>
            <w:shd w:val="clear" w:color="auto" w:fill="FF0000"/>
            <w:vAlign w:val="center"/>
          </w:tcPr>
          <w:p w14:paraId="3B69E95C"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2.8</w:t>
            </w:r>
          </w:p>
        </w:tc>
        <w:tc>
          <w:tcPr>
            <w:tcW w:w="585" w:type="pct"/>
            <w:tcBorders>
              <w:top w:val="single" w:sz="4" w:space="0" w:color="auto"/>
            </w:tcBorders>
            <w:vAlign w:val="bottom"/>
          </w:tcPr>
          <w:p w14:paraId="692A52C0" w14:textId="77777777" w:rsidR="006D7C8D" w:rsidRPr="00721FF0" w:rsidRDefault="006D7C8D" w:rsidP="00D53099">
            <w:pPr>
              <w:pStyle w:val="TableText"/>
              <w:widowControl w:val="0"/>
              <w:suppressAutoHyphens w:val="0"/>
              <w:spacing w:before="0" w:after="0" w:line="240" w:lineRule="auto"/>
              <w:jc w:val="right"/>
            </w:pPr>
            <w:r>
              <w:rPr>
                <w:color w:val="000000"/>
                <w:szCs w:val="17"/>
              </w:rPr>
              <w:t>286</w:t>
            </w:r>
          </w:p>
        </w:tc>
      </w:tr>
      <w:tr w:rsidR="006D7C8D" w:rsidRPr="00721FF0" w14:paraId="2D6E177E" w14:textId="77777777" w:rsidTr="00444693">
        <w:trPr>
          <w:cantSplit/>
          <w:trHeight w:val="13"/>
        </w:trPr>
        <w:tc>
          <w:tcPr>
            <w:tcW w:w="583" w:type="pct"/>
            <w:vMerge/>
          </w:tcPr>
          <w:p w14:paraId="26DFA92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D69D94B"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10C20A0F"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F08A601" w14:textId="77777777" w:rsidR="006D7C8D" w:rsidRDefault="006D7C8D" w:rsidP="00D53099">
            <w:pPr>
              <w:pStyle w:val="TableText"/>
              <w:widowControl w:val="0"/>
              <w:suppressAutoHyphens w:val="0"/>
              <w:spacing w:before="0" w:after="0" w:line="240" w:lineRule="auto"/>
              <w:jc w:val="right"/>
            </w:pPr>
            <w:r w:rsidRPr="000A7F7D">
              <w:t>26.6</w:t>
            </w:r>
            <w:r w:rsidRPr="000A7F7D">
              <w:rPr>
                <w:vertAlign w:val="superscript"/>
              </w:rPr>
              <w:t>b</w:t>
            </w:r>
          </w:p>
        </w:tc>
        <w:tc>
          <w:tcPr>
            <w:tcW w:w="662" w:type="pct"/>
            <w:vAlign w:val="center"/>
          </w:tcPr>
          <w:p w14:paraId="09D57C4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5E0DC32D" w14:textId="77777777" w:rsidR="006D7C8D" w:rsidRPr="003B78B6" w:rsidRDefault="006D7C8D" w:rsidP="00D53099">
            <w:pPr>
              <w:pStyle w:val="TableText"/>
              <w:widowControl w:val="0"/>
              <w:suppressAutoHyphens w:val="0"/>
              <w:spacing w:before="0" w:after="0" w:line="240" w:lineRule="auto"/>
              <w:jc w:val="right"/>
            </w:pPr>
            <w:r>
              <w:rPr>
                <w:color w:val="1A1B1A"/>
                <w:szCs w:val="17"/>
              </w:rPr>
              <w:t>16</w:t>
            </w:r>
          </w:p>
        </w:tc>
        <w:tc>
          <w:tcPr>
            <w:tcW w:w="367" w:type="pct"/>
            <w:shd w:val="clear" w:color="auto" w:fill="FF0000"/>
            <w:vAlign w:val="center"/>
          </w:tcPr>
          <w:p w14:paraId="51057A33"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2.1</w:t>
            </w:r>
          </w:p>
        </w:tc>
        <w:tc>
          <w:tcPr>
            <w:tcW w:w="585" w:type="pct"/>
            <w:vAlign w:val="bottom"/>
          </w:tcPr>
          <w:p w14:paraId="5A2DE319" w14:textId="77777777" w:rsidR="006D7C8D" w:rsidRPr="00721FF0" w:rsidRDefault="006D7C8D" w:rsidP="00D53099">
            <w:pPr>
              <w:pStyle w:val="TableText"/>
              <w:widowControl w:val="0"/>
              <w:suppressAutoHyphens w:val="0"/>
              <w:spacing w:before="0" w:after="0" w:line="240" w:lineRule="auto"/>
              <w:jc w:val="right"/>
            </w:pPr>
            <w:r>
              <w:rPr>
                <w:color w:val="000000"/>
                <w:szCs w:val="17"/>
              </w:rPr>
              <w:t>286</w:t>
            </w:r>
          </w:p>
        </w:tc>
      </w:tr>
      <w:tr w:rsidR="006D7C8D" w:rsidRPr="00721FF0" w14:paraId="7E58472D" w14:textId="77777777" w:rsidTr="00444693">
        <w:trPr>
          <w:cantSplit/>
          <w:trHeight w:val="13"/>
        </w:trPr>
        <w:tc>
          <w:tcPr>
            <w:tcW w:w="583" w:type="pct"/>
            <w:vMerge/>
          </w:tcPr>
          <w:p w14:paraId="7387F557"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1DC102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2638FD7"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3091FA62" w14:textId="77777777" w:rsidR="006D7C8D" w:rsidRDefault="006D7C8D" w:rsidP="00D53099">
            <w:pPr>
              <w:pStyle w:val="TableText"/>
              <w:widowControl w:val="0"/>
              <w:suppressAutoHyphens w:val="0"/>
              <w:spacing w:before="0" w:after="0" w:line="240" w:lineRule="auto"/>
              <w:jc w:val="right"/>
            </w:pPr>
            <w:r w:rsidRPr="000A7F7D">
              <w:t>26.6</w:t>
            </w:r>
            <w:r w:rsidRPr="000A7F7D">
              <w:rPr>
                <w:vertAlign w:val="superscript"/>
              </w:rPr>
              <w:t>b</w:t>
            </w:r>
          </w:p>
        </w:tc>
        <w:tc>
          <w:tcPr>
            <w:tcW w:w="662" w:type="pct"/>
            <w:vAlign w:val="center"/>
          </w:tcPr>
          <w:p w14:paraId="6B3F3BD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73E6C64C" w14:textId="77777777" w:rsidR="006D7C8D" w:rsidRPr="003B78B6" w:rsidRDefault="006D7C8D" w:rsidP="00D53099">
            <w:pPr>
              <w:pStyle w:val="TableText"/>
              <w:widowControl w:val="0"/>
              <w:suppressAutoHyphens w:val="0"/>
              <w:spacing w:before="0" w:after="0" w:line="240" w:lineRule="auto"/>
              <w:jc w:val="right"/>
            </w:pPr>
            <w:r>
              <w:rPr>
                <w:color w:val="1A1B1A"/>
                <w:szCs w:val="17"/>
              </w:rPr>
              <w:t>8.5</w:t>
            </w:r>
          </w:p>
        </w:tc>
        <w:tc>
          <w:tcPr>
            <w:tcW w:w="367" w:type="pct"/>
            <w:shd w:val="clear" w:color="auto" w:fill="FF0000"/>
            <w:vAlign w:val="center"/>
          </w:tcPr>
          <w:p w14:paraId="775237BC"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vAlign w:val="bottom"/>
          </w:tcPr>
          <w:p w14:paraId="28311751" w14:textId="77777777" w:rsidR="006D7C8D" w:rsidRPr="00721FF0" w:rsidRDefault="006D7C8D" w:rsidP="00D53099">
            <w:pPr>
              <w:pStyle w:val="TableText"/>
              <w:widowControl w:val="0"/>
              <w:suppressAutoHyphens w:val="0"/>
              <w:spacing w:before="0" w:after="0" w:line="240" w:lineRule="auto"/>
              <w:jc w:val="right"/>
            </w:pPr>
            <w:r>
              <w:rPr>
                <w:color w:val="000000"/>
                <w:szCs w:val="17"/>
              </w:rPr>
              <w:t>286</w:t>
            </w:r>
          </w:p>
        </w:tc>
      </w:tr>
      <w:tr w:rsidR="006D7C8D" w:rsidRPr="00721FF0" w14:paraId="1BF30B56" w14:textId="77777777" w:rsidTr="00444693">
        <w:trPr>
          <w:cantSplit/>
          <w:trHeight w:val="13"/>
        </w:trPr>
        <w:tc>
          <w:tcPr>
            <w:tcW w:w="583" w:type="pct"/>
            <w:vMerge/>
          </w:tcPr>
          <w:p w14:paraId="1BAF97D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A61BF58"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2F66670"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51C4BDDD" w14:textId="77777777" w:rsidR="006D7C8D" w:rsidRDefault="006D7C8D" w:rsidP="00D53099">
            <w:pPr>
              <w:pStyle w:val="TableText"/>
              <w:widowControl w:val="0"/>
              <w:suppressAutoHyphens w:val="0"/>
              <w:spacing w:before="0" w:after="0" w:line="240" w:lineRule="auto"/>
              <w:jc w:val="right"/>
            </w:pPr>
            <w:r w:rsidRPr="000A7F7D">
              <w:t>26.6</w:t>
            </w:r>
            <w:r w:rsidRPr="000A7F7D">
              <w:rPr>
                <w:vertAlign w:val="superscript"/>
              </w:rPr>
              <w:t>b</w:t>
            </w:r>
          </w:p>
        </w:tc>
        <w:tc>
          <w:tcPr>
            <w:tcW w:w="662" w:type="pct"/>
            <w:vAlign w:val="center"/>
          </w:tcPr>
          <w:p w14:paraId="03B4A5B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44457268" w14:textId="77777777" w:rsidR="006D7C8D" w:rsidRPr="003B78B6" w:rsidRDefault="006D7C8D" w:rsidP="00D53099">
            <w:pPr>
              <w:pStyle w:val="TableText"/>
              <w:widowControl w:val="0"/>
              <w:suppressAutoHyphens w:val="0"/>
              <w:spacing w:before="0" w:after="0" w:line="240" w:lineRule="auto"/>
              <w:jc w:val="right"/>
            </w:pPr>
            <w:r>
              <w:rPr>
                <w:color w:val="1A1B1A"/>
                <w:szCs w:val="17"/>
              </w:rPr>
              <w:t>6.4</w:t>
            </w:r>
          </w:p>
        </w:tc>
        <w:tc>
          <w:tcPr>
            <w:tcW w:w="367" w:type="pct"/>
            <w:vAlign w:val="center"/>
          </w:tcPr>
          <w:p w14:paraId="3742EA55" w14:textId="77777777" w:rsidR="006D7C8D" w:rsidRPr="00721FF0" w:rsidRDefault="006D7C8D" w:rsidP="00D53099">
            <w:pPr>
              <w:pStyle w:val="TableText"/>
              <w:widowControl w:val="0"/>
              <w:suppressAutoHyphens w:val="0"/>
              <w:spacing w:before="0" w:after="0" w:line="240" w:lineRule="auto"/>
              <w:jc w:val="right"/>
            </w:pPr>
            <w:r>
              <w:rPr>
                <w:color w:val="1A1B1A"/>
                <w:szCs w:val="17"/>
              </w:rPr>
              <w:t>0.84</w:t>
            </w:r>
          </w:p>
        </w:tc>
        <w:tc>
          <w:tcPr>
            <w:tcW w:w="585" w:type="pct"/>
            <w:vAlign w:val="bottom"/>
          </w:tcPr>
          <w:p w14:paraId="1D247D99" w14:textId="77777777" w:rsidR="006D7C8D" w:rsidRPr="00721FF0" w:rsidRDefault="006D7C8D" w:rsidP="00D53099">
            <w:pPr>
              <w:pStyle w:val="TableText"/>
              <w:widowControl w:val="0"/>
              <w:suppressAutoHyphens w:val="0"/>
              <w:spacing w:before="0" w:after="0" w:line="240" w:lineRule="auto"/>
              <w:jc w:val="right"/>
            </w:pPr>
            <w:r>
              <w:rPr>
                <w:color w:val="000000"/>
                <w:szCs w:val="17"/>
              </w:rPr>
              <w:t>286</w:t>
            </w:r>
          </w:p>
        </w:tc>
      </w:tr>
      <w:tr w:rsidR="006D7C8D" w:rsidRPr="00721FF0" w14:paraId="5440BA15" w14:textId="77777777" w:rsidTr="00444693">
        <w:trPr>
          <w:cantSplit/>
          <w:trHeight w:val="13"/>
        </w:trPr>
        <w:tc>
          <w:tcPr>
            <w:tcW w:w="583" w:type="pct"/>
            <w:vMerge/>
          </w:tcPr>
          <w:p w14:paraId="560690E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4F28DCB"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8367956"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5CD9DB37" w14:textId="77777777" w:rsidR="006D7C8D" w:rsidRDefault="006D7C8D" w:rsidP="00D53099">
            <w:pPr>
              <w:pStyle w:val="TableText"/>
              <w:widowControl w:val="0"/>
              <w:suppressAutoHyphens w:val="0"/>
              <w:spacing w:before="0" w:after="0" w:line="240" w:lineRule="auto"/>
              <w:jc w:val="right"/>
            </w:pPr>
            <w:r w:rsidRPr="00940D9C">
              <w:t>26.6</w:t>
            </w:r>
            <w:r w:rsidRPr="00940D9C">
              <w:rPr>
                <w:vertAlign w:val="superscript"/>
              </w:rPr>
              <w:t>b</w:t>
            </w:r>
          </w:p>
        </w:tc>
        <w:tc>
          <w:tcPr>
            <w:tcW w:w="662" w:type="pct"/>
            <w:vAlign w:val="center"/>
          </w:tcPr>
          <w:p w14:paraId="2CBBBA4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38E6F656" w14:textId="77777777" w:rsidR="006D7C8D" w:rsidRPr="003B78B6" w:rsidRDefault="006D7C8D" w:rsidP="00D53099">
            <w:pPr>
              <w:pStyle w:val="TableText"/>
              <w:widowControl w:val="0"/>
              <w:suppressAutoHyphens w:val="0"/>
              <w:spacing w:before="0" w:after="0" w:line="240" w:lineRule="auto"/>
              <w:jc w:val="right"/>
            </w:pPr>
            <w:r>
              <w:rPr>
                <w:color w:val="1A1B1A"/>
                <w:szCs w:val="17"/>
              </w:rPr>
              <w:t>5.3</w:t>
            </w:r>
          </w:p>
        </w:tc>
        <w:tc>
          <w:tcPr>
            <w:tcW w:w="367" w:type="pct"/>
            <w:vAlign w:val="center"/>
          </w:tcPr>
          <w:p w14:paraId="0F851D55" w14:textId="77777777" w:rsidR="006D7C8D" w:rsidRPr="00721FF0" w:rsidRDefault="006D7C8D" w:rsidP="00D53099">
            <w:pPr>
              <w:pStyle w:val="TableText"/>
              <w:widowControl w:val="0"/>
              <w:suppressAutoHyphens w:val="0"/>
              <w:spacing w:before="0" w:after="0" w:line="240" w:lineRule="auto"/>
              <w:jc w:val="right"/>
            </w:pPr>
            <w:r>
              <w:rPr>
                <w:color w:val="1A1B1A"/>
                <w:szCs w:val="17"/>
              </w:rPr>
              <w:t>0.70</w:t>
            </w:r>
          </w:p>
        </w:tc>
        <w:tc>
          <w:tcPr>
            <w:tcW w:w="585" w:type="pct"/>
            <w:vAlign w:val="bottom"/>
          </w:tcPr>
          <w:p w14:paraId="00C3026D" w14:textId="77777777" w:rsidR="006D7C8D" w:rsidRPr="00721FF0" w:rsidRDefault="006D7C8D" w:rsidP="00D53099">
            <w:pPr>
              <w:pStyle w:val="TableText"/>
              <w:widowControl w:val="0"/>
              <w:suppressAutoHyphens w:val="0"/>
              <w:spacing w:before="0" w:after="0" w:line="240" w:lineRule="auto"/>
              <w:jc w:val="right"/>
            </w:pPr>
            <w:r>
              <w:rPr>
                <w:color w:val="000000"/>
                <w:szCs w:val="17"/>
              </w:rPr>
              <w:t>286</w:t>
            </w:r>
          </w:p>
        </w:tc>
      </w:tr>
      <w:tr w:rsidR="006D7C8D" w:rsidRPr="00721FF0" w14:paraId="4144AD57" w14:textId="77777777" w:rsidTr="00444693">
        <w:trPr>
          <w:cantSplit/>
          <w:trHeight w:val="13"/>
        </w:trPr>
        <w:tc>
          <w:tcPr>
            <w:tcW w:w="583" w:type="pct"/>
            <w:vMerge/>
          </w:tcPr>
          <w:p w14:paraId="522F9118"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05DE2661" w14:textId="77777777" w:rsidR="006D7C8D" w:rsidRPr="00336DF4"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367316DA" w14:textId="77777777" w:rsidR="006D7C8D" w:rsidRDefault="006D7C8D" w:rsidP="00444693">
            <w:pPr>
              <w:pStyle w:val="TableText"/>
              <w:widowControl w:val="0"/>
              <w:suppressAutoHyphens w:val="0"/>
              <w:spacing w:before="0" w:after="0" w:line="240" w:lineRule="auto"/>
              <w:rPr>
                <w:szCs w:val="17"/>
              </w:rPr>
            </w:pPr>
            <w:r>
              <w:rPr>
                <w:szCs w:val="17"/>
              </w:rPr>
              <w:t>New sown or late season</w:t>
            </w:r>
          </w:p>
        </w:tc>
        <w:tc>
          <w:tcPr>
            <w:tcW w:w="514" w:type="pct"/>
            <w:tcBorders>
              <w:top w:val="single" w:sz="4" w:space="0" w:color="auto"/>
            </w:tcBorders>
          </w:tcPr>
          <w:p w14:paraId="78408B33" w14:textId="77777777" w:rsidR="006D7C8D" w:rsidRPr="00426E98" w:rsidRDefault="006D7C8D" w:rsidP="00D53099">
            <w:pPr>
              <w:pStyle w:val="TableText"/>
              <w:widowControl w:val="0"/>
              <w:suppressAutoHyphens w:val="0"/>
              <w:spacing w:before="0" w:after="0" w:line="240" w:lineRule="auto"/>
              <w:jc w:val="right"/>
              <w:rPr>
                <w:szCs w:val="17"/>
              </w:rPr>
            </w:pPr>
            <w:r>
              <w:t>14.4</w:t>
            </w:r>
          </w:p>
        </w:tc>
        <w:tc>
          <w:tcPr>
            <w:tcW w:w="662" w:type="pct"/>
            <w:tcBorders>
              <w:top w:val="single" w:sz="4" w:space="0" w:color="auto"/>
            </w:tcBorders>
            <w:vAlign w:val="center"/>
          </w:tcPr>
          <w:p w14:paraId="5F2913D8"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45EB2A19" w14:textId="77777777" w:rsidR="006D7C8D" w:rsidRPr="003B78B6" w:rsidRDefault="006D7C8D" w:rsidP="00D53099">
            <w:pPr>
              <w:pStyle w:val="TableText"/>
              <w:widowControl w:val="0"/>
              <w:suppressAutoHyphens w:val="0"/>
              <w:spacing w:before="0" w:after="0" w:line="240" w:lineRule="auto"/>
              <w:jc w:val="right"/>
            </w:pPr>
            <w:r>
              <w:rPr>
                <w:color w:val="1A1B1A"/>
                <w:szCs w:val="17"/>
              </w:rPr>
              <w:t>12</w:t>
            </w:r>
          </w:p>
        </w:tc>
        <w:tc>
          <w:tcPr>
            <w:tcW w:w="367" w:type="pct"/>
            <w:tcBorders>
              <w:top w:val="single" w:sz="4" w:space="0" w:color="auto"/>
            </w:tcBorders>
            <w:shd w:val="clear" w:color="auto" w:fill="FF0000"/>
            <w:vAlign w:val="center"/>
          </w:tcPr>
          <w:p w14:paraId="69BAD8BF"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1.5</w:t>
            </w:r>
          </w:p>
        </w:tc>
        <w:tc>
          <w:tcPr>
            <w:tcW w:w="585" w:type="pct"/>
            <w:tcBorders>
              <w:top w:val="single" w:sz="4" w:space="0" w:color="auto"/>
            </w:tcBorders>
            <w:vAlign w:val="bottom"/>
          </w:tcPr>
          <w:p w14:paraId="401A0528" w14:textId="77777777" w:rsidR="006D7C8D" w:rsidRPr="00721FF0" w:rsidRDefault="006D7C8D" w:rsidP="00D53099">
            <w:pPr>
              <w:pStyle w:val="TableText"/>
              <w:widowControl w:val="0"/>
              <w:suppressAutoHyphens w:val="0"/>
              <w:spacing w:before="0" w:after="0" w:line="240" w:lineRule="auto"/>
              <w:jc w:val="right"/>
            </w:pPr>
            <w:r>
              <w:rPr>
                <w:color w:val="000000"/>
                <w:szCs w:val="17"/>
              </w:rPr>
              <w:t>528</w:t>
            </w:r>
          </w:p>
        </w:tc>
      </w:tr>
      <w:tr w:rsidR="006D7C8D" w:rsidRPr="00721FF0" w14:paraId="68DBACAF" w14:textId="77777777" w:rsidTr="00444693">
        <w:trPr>
          <w:cantSplit/>
          <w:trHeight w:val="13"/>
        </w:trPr>
        <w:tc>
          <w:tcPr>
            <w:tcW w:w="583" w:type="pct"/>
            <w:vMerge/>
          </w:tcPr>
          <w:p w14:paraId="02BACC55"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33D97AB"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CF05D34" w14:textId="77777777" w:rsidR="006D7C8D" w:rsidRDefault="006D7C8D" w:rsidP="00444693">
            <w:pPr>
              <w:pStyle w:val="TableText"/>
              <w:widowControl w:val="0"/>
              <w:suppressAutoHyphens w:val="0"/>
              <w:spacing w:before="0" w:after="0" w:line="240" w:lineRule="auto"/>
              <w:rPr>
                <w:szCs w:val="17"/>
              </w:rPr>
            </w:pPr>
          </w:p>
        </w:tc>
        <w:tc>
          <w:tcPr>
            <w:tcW w:w="514" w:type="pct"/>
          </w:tcPr>
          <w:p w14:paraId="2C347BD1" w14:textId="77777777" w:rsidR="006D7C8D" w:rsidRDefault="006D7C8D" w:rsidP="00D53099">
            <w:pPr>
              <w:pStyle w:val="TableText"/>
              <w:widowControl w:val="0"/>
              <w:suppressAutoHyphens w:val="0"/>
              <w:spacing w:before="0" w:after="0" w:line="240" w:lineRule="auto"/>
              <w:jc w:val="right"/>
            </w:pPr>
            <w:r w:rsidRPr="005A273F">
              <w:t>14.4</w:t>
            </w:r>
          </w:p>
        </w:tc>
        <w:tc>
          <w:tcPr>
            <w:tcW w:w="662" w:type="pct"/>
            <w:vAlign w:val="center"/>
          </w:tcPr>
          <w:p w14:paraId="747ED85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413F6703" w14:textId="77777777" w:rsidR="006D7C8D" w:rsidRPr="003B78B6" w:rsidRDefault="006D7C8D" w:rsidP="00D53099">
            <w:pPr>
              <w:pStyle w:val="TableText"/>
              <w:widowControl w:val="0"/>
              <w:suppressAutoHyphens w:val="0"/>
              <w:spacing w:before="0" w:after="0" w:line="240" w:lineRule="auto"/>
              <w:jc w:val="right"/>
            </w:pPr>
            <w:r>
              <w:rPr>
                <w:color w:val="1A1B1A"/>
                <w:szCs w:val="17"/>
              </w:rPr>
              <w:t>8.6</w:t>
            </w:r>
          </w:p>
        </w:tc>
        <w:tc>
          <w:tcPr>
            <w:tcW w:w="367" w:type="pct"/>
            <w:shd w:val="clear" w:color="auto" w:fill="FF0000"/>
            <w:vAlign w:val="center"/>
          </w:tcPr>
          <w:p w14:paraId="385FC86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vAlign w:val="bottom"/>
          </w:tcPr>
          <w:p w14:paraId="4D985AAE" w14:textId="77777777" w:rsidR="006D7C8D" w:rsidRPr="00721FF0" w:rsidRDefault="006D7C8D" w:rsidP="00D53099">
            <w:pPr>
              <w:pStyle w:val="TableText"/>
              <w:widowControl w:val="0"/>
              <w:suppressAutoHyphens w:val="0"/>
              <w:spacing w:before="0" w:after="0" w:line="240" w:lineRule="auto"/>
              <w:jc w:val="right"/>
            </w:pPr>
            <w:r>
              <w:rPr>
                <w:color w:val="000000"/>
                <w:szCs w:val="17"/>
              </w:rPr>
              <w:t>528</w:t>
            </w:r>
          </w:p>
        </w:tc>
      </w:tr>
      <w:tr w:rsidR="006D7C8D" w:rsidRPr="00721FF0" w14:paraId="422D9300" w14:textId="77777777" w:rsidTr="00444693">
        <w:trPr>
          <w:cantSplit/>
          <w:trHeight w:val="13"/>
        </w:trPr>
        <w:tc>
          <w:tcPr>
            <w:tcW w:w="583" w:type="pct"/>
            <w:vMerge/>
          </w:tcPr>
          <w:p w14:paraId="4E7CAFD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0734F2F"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2B183C3" w14:textId="77777777" w:rsidR="006D7C8D" w:rsidRDefault="006D7C8D" w:rsidP="00444693">
            <w:pPr>
              <w:pStyle w:val="TableText"/>
              <w:widowControl w:val="0"/>
              <w:suppressAutoHyphens w:val="0"/>
              <w:spacing w:before="0" w:after="0" w:line="240" w:lineRule="auto"/>
              <w:rPr>
                <w:szCs w:val="17"/>
              </w:rPr>
            </w:pPr>
          </w:p>
        </w:tc>
        <w:tc>
          <w:tcPr>
            <w:tcW w:w="514" w:type="pct"/>
          </w:tcPr>
          <w:p w14:paraId="6F188077" w14:textId="77777777" w:rsidR="006D7C8D" w:rsidRDefault="006D7C8D" w:rsidP="00D53099">
            <w:pPr>
              <w:pStyle w:val="TableText"/>
              <w:widowControl w:val="0"/>
              <w:suppressAutoHyphens w:val="0"/>
              <w:spacing w:before="0" w:after="0" w:line="240" w:lineRule="auto"/>
              <w:jc w:val="right"/>
            </w:pPr>
            <w:r w:rsidRPr="005A273F">
              <w:t>14.4</w:t>
            </w:r>
          </w:p>
        </w:tc>
        <w:tc>
          <w:tcPr>
            <w:tcW w:w="662" w:type="pct"/>
            <w:vAlign w:val="center"/>
          </w:tcPr>
          <w:p w14:paraId="1A05510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5901D3B4" w14:textId="77777777" w:rsidR="006D7C8D" w:rsidRPr="003B78B6" w:rsidRDefault="006D7C8D" w:rsidP="00D53099">
            <w:pPr>
              <w:pStyle w:val="TableText"/>
              <w:widowControl w:val="0"/>
              <w:suppressAutoHyphens w:val="0"/>
              <w:spacing w:before="0" w:after="0" w:line="240" w:lineRule="auto"/>
              <w:jc w:val="right"/>
            </w:pPr>
            <w:r>
              <w:rPr>
                <w:color w:val="1A1B1A"/>
                <w:szCs w:val="17"/>
              </w:rPr>
              <w:t>4.6</w:t>
            </w:r>
          </w:p>
        </w:tc>
        <w:tc>
          <w:tcPr>
            <w:tcW w:w="367" w:type="pct"/>
            <w:vAlign w:val="center"/>
          </w:tcPr>
          <w:p w14:paraId="362384A5" w14:textId="77777777" w:rsidR="006D7C8D" w:rsidRPr="00721FF0" w:rsidRDefault="006D7C8D" w:rsidP="00D53099">
            <w:pPr>
              <w:pStyle w:val="TableText"/>
              <w:widowControl w:val="0"/>
              <w:suppressAutoHyphens w:val="0"/>
              <w:spacing w:before="0" w:after="0" w:line="240" w:lineRule="auto"/>
              <w:jc w:val="right"/>
            </w:pPr>
            <w:r>
              <w:rPr>
                <w:color w:val="1A1B1A"/>
                <w:szCs w:val="17"/>
              </w:rPr>
              <w:t>0.61</w:t>
            </w:r>
          </w:p>
        </w:tc>
        <w:tc>
          <w:tcPr>
            <w:tcW w:w="585" w:type="pct"/>
            <w:vAlign w:val="bottom"/>
          </w:tcPr>
          <w:p w14:paraId="0BA48922" w14:textId="77777777" w:rsidR="006D7C8D" w:rsidRPr="00721FF0" w:rsidRDefault="006D7C8D" w:rsidP="00D53099">
            <w:pPr>
              <w:pStyle w:val="TableText"/>
              <w:widowControl w:val="0"/>
              <w:suppressAutoHyphens w:val="0"/>
              <w:spacing w:before="0" w:after="0" w:line="240" w:lineRule="auto"/>
              <w:jc w:val="right"/>
            </w:pPr>
            <w:r>
              <w:rPr>
                <w:color w:val="000000"/>
                <w:szCs w:val="17"/>
              </w:rPr>
              <w:t>528</w:t>
            </w:r>
          </w:p>
        </w:tc>
      </w:tr>
      <w:tr w:rsidR="006D7C8D" w:rsidRPr="00721FF0" w14:paraId="285E15FB" w14:textId="77777777" w:rsidTr="00444693">
        <w:trPr>
          <w:cantSplit/>
          <w:trHeight w:val="13"/>
        </w:trPr>
        <w:tc>
          <w:tcPr>
            <w:tcW w:w="583" w:type="pct"/>
            <w:vMerge/>
          </w:tcPr>
          <w:p w14:paraId="696D42E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FADC629"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6897C59E" w14:textId="77777777" w:rsidR="006D7C8D" w:rsidRDefault="006D7C8D" w:rsidP="00444693">
            <w:pPr>
              <w:pStyle w:val="TableText"/>
              <w:widowControl w:val="0"/>
              <w:suppressAutoHyphens w:val="0"/>
              <w:spacing w:before="0" w:after="0" w:line="240" w:lineRule="auto"/>
              <w:rPr>
                <w:szCs w:val="17"/>
              </w:rPr>
            </w:pPr>
          </w:p>
        </w:tc>
        <w:tc>
          <w:tcPr>
            <w:tcW w:w="514" w:type="pct"/>
          </w:tcPr>
          <w:p w14:paraId="21853D7B" w14:textId="77777777" w:rsidR="006D7C8D" w:rsidRDefault="006D7C8D" w:rsidP="00D53099">
            <w:pPr>
              <w:pStyle w:val="TableText"/>
              <w:widowControl w:val="0"/>
              <w:suppressAutoHyphens w:val="0"/>
              <w:spacing w:before="0" w:after="0" w:line="240" w:lineRule="auto"/>
              <w:jc w:val="right"/>
            </w:pPr>
            <w:r w:rsidRPr="005A273F">
              <w:t>14.4</w:t>
            </w:r>
          </w:p>
        </w:tc>
        <w:tc>
          <w:tcPr>
            <w:tcW w:w="662" w:type="pct"/>
            <w:vAlign w:val="center"/>
          </w:tcPr>
          <w:p w14:paraId="0F944D8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4770316E" w14:textId="77777777" w:rsidR="006D7C8D" w:rsidRPr="003B78B6" w:rsidRDefault="006D7C8D" w:rsidP="00D53099">
            <w:pPr>
              <w:pStyle w:val="TableText"/>
              <w:widowControl w:val="0"/>
              <w:suppressAutoHyphens w:val="0"/>
              <w:spacing w:before="0" w:after="0" w:line="240" w:lineRule="auto"/>
              <w:jc w:val="right"/>
            </w:pPr>
            <w:r>
              <w:rPr>
                <w:color w:val="1A1B1A"/>
                <w:szCs w:val="17"/>
              </w:rPr>
              <w:t>3.5</w:t>
            </w:r>
          </w:p>
        </w:tc>
        <w:tc>
          <w:tcPr>
            <w:tcW w:w="367" w:type="pct"/>
            <w:vAlign w:val="center"/>
          </w:tcPr>
          <w:p w14:paraId="36251191" w14:textId="77777777" w:rsidR="006D7C8D" w:rsidRPr="00721FF0" w:rsidRDefault="006D7C8D" w:rsidP="00D53099">
            <w:pPr>
              <w:pStyle w:val="TableText"/>
              <w:widowControl w:val="0"/>
              <w:suppressAutoHyphens w:val="0"/>
              <w:spacing w:before="0" w:after="0" w:line="240" w:lineRule="auto"/>
              <w:jc w:val="right"/>
            </w:pPr>
            <w:r>
              <w:rPr>
                <w:color w:val="1A1B1A"/>
                <w:szCs w:val="17"/>
              </w:rPr>
              <w:t>0.45</w:t>
            </w:r>
          </w:p>
        </w:tc>
        <w:tc>
          <w:tcPr>
            <w:tcW w:w="585" w:type="pct"/>
            <w:vAlign w:val="bottom"/>
          </w:tcPr>
          <w:p w14:paraId="471FC1E4" w14:textId="77777777" w:rsidR="006D7C8D" w:rsidRPr="00721FF0" w:rsidRDefault="006D7C8D" w:rsidP="00D53099">
            <w:pPr>
              <w:pStyle w:val="TableText"/>
              <w:widowControl w:val="0"/>
              <w:suppressAutoHyphens w:val="0"/>
              <w:spacing w:before="0" w:after="0" w:line="240" w:lineRule="auto"/>
              <w:jc w:val="right"/>
            </w:pPr>
            <w:r>
              <w:rPr>
                <w:color w:val="000000"/>
                <w:szCs w:val="17"/>
              </w:rPr>
              <w:t>528</w:t>
            </w:r>
          </w:p>
        </w:tc>
      </w:tr>
      <w:tr w:rsidR="006D7C8D" w:rsidRPr="00721FF0" w14:paraId="3DA7DA95" w14:textId="77777777" w:rsidTr="00444693">
        <w:trPr>
          <w:cantSplit/>
          <w:trHeight w:val="13"/>
        </w:trPr>
        <w:tc>
          <w:tcPr>
            <w:tcW w:w="583" w:type="pct"/>
            <w:vMerge/>
          </w:tcPr>
          <w:p w14:paraId="3C7E02F8"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944B43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6BC19C4E" w14:textId="77777777" w:rsidR="006D7C8D" w:rsidRDefault="006D7C8D" w:rsidP="00444693">
            <w:pPr>
              <w:pStyle w:val="TableText"/>
              <w:widowControl w:val="0"/>
              <w:suppressAutoHyphens w:val="0"/>
              <w:spacing w:before="0" w:after="0" w:line="240" w:lineRule="auto"/>
              <w:rPr>
                <w:szCs w:val="17"/>
              </w:rPr>
            </w:pPr>
          </w:p>
        </w:tc>
        <w:tc>
          <w:tcPr>
            <w:tcW w:w="514" w:type="pct"/>
          </w:tcPr>
          <w:p w14:paraId="7D965ABD" w14:textId="77777777" w:rsidR="006D7C8D" w:rsidRDefault="006D7C8D" w:rsidP="00D53099">
            <w:pPr>
              <w:pStyle w:val="TableText"/>
              <w:widowControl w:val="0"/>
              <w:suppressAutoHyphens w:val="0"/>
              <w:spacing w:before="0" w:after="0" w:line="240" w:lineRule="auto"/>
              <w:jc w:val="right"/>
            </w:pPr>
            <w:r w:rsidRPr="00BE5392">
              <w:t>14.4</w:t>
            </w:r>
          </w:p>
        </w:tc>
        <w:tc>
          <w:tcPr>
            <w:tcW w:w="662" w:type="pct"/>
            <w:vAlign w:val="center"/>
          </w:tcPr>
          <w:p w14:paraId="0C23EEF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599409CB" w14:textId="77777777" w:rsidR="006D7C8D" w:rsidRPr="003B78B6" w:rsidRDefault="006D7C8D" w:rsidP="00D53099">
            <w:pPr>
              <w:pStyle w:val="TableText"/>
              <w:widowControl w:val="0"/>
              <w:suppressAutoHyphens w:val="0"/>
              <w:spacing w:before="0" w:after="0" w:line="240" w:lineRule="auto"/>
              <w:jc w:val="right"/>
            </w:pPr>
            <w:r>
              <w:rPr>
                <w:color w:val="1A1B1A"/>
                <w:szCs w:val="17"/>
              </w:rPr>
              <w:t>2.9</w:t>
            </w:r>
          </w:p>
        </w:tc>
        <w:tc>
          <w:tcPr>
            <w:tcW w:w="367" w:type="pct"/>
            <w:vAlign w:val="center"/>
          </w:tcPr>
          <w:p w14:paraId="1F489F31" w14:textId="77777777" w:rsidR="006D7C8D" w:rsidRPr="00721FF0" w:rsidRDefault="006D7C8D" w:rsidP="00D53099">
            <w:pPr>
              <w:pStyle w:val="TableText"/>
              <w:widowControl w:val="0"/>
              <w:suppressAutoHyphens w:val="0"/>
              <w:spacing w:before="0" w:after="0" w:line="240" w:lineRule="auto"/>
              <w:jc w:val="right"/>
            </w:pPr>
            <w:r>
              <w:rPr>
                <w:color w:val="1A1B1A"/>
                <w:szCs w:val="17"/>
              </w:rPr>
              <w:t>0.38</w:t>
            </w:r>
          </w:p>
        </w:tc>
        <w:tc>
          <w:tcPr>
            <w:tcW w:w="585" w:type="pct"/>
            <w:vAlign w:val="bottom"/>
          </w:tcPr>
          <w:p w14:paraId="400FEA9A" w14:textId="77777777" w:rsidR="006D7C8D" w:rsidRPr="00721FF0" w:rsidRDefault="006D7C8D" w:rsidP="00D53099">
            <w:pPr>
              <w:pStyle w:val="TableText"/>
              <w:widowControl w:val="0"/>
              <w:suppressAutoHyphens w:val="0"/>
              <w:spacing w:before="0" w:after="0" w:line="240" w:lineRule="auto"/>
              <w:jc w:val="right"/>
            </w:pPr>
            <w:r>
              <w:rPr>
                <w:color w:val="000000"/>
                <w:szCs w:val="17"/>
              </w:rPr>
              <w:t>528</w:t>
            </w:r>
          </w:p>
        </w:tc>
      </w:tr>
      <w:tr w:rsidR="006D7C8D" w:rsidRPr="00721FF0" w14:paraId="370F3797" w14:textId="77777777" w:rsidTr="00444693">
        <w:trPr>
          <w:cantSplit/>
          <w:trHeight w:val="13"/>
        </w:trPr>
        <w:tc>
          <w:tcPr>
            <w:tcW w:w="583" w:type="pct"/>
            <w:vMerge/>
          </w:tcPr>
          <w:p w14:paraId="6B79484A"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26D727A2" w14:textId="77777777" w:rsidR="006D7C8D" w:rsidRPr="00336DF4" w:rsidRDefault="006D7C8D" w:rsidP="00444693">
            <w:pPr>
              <w:pStyle w:val="TableText"/>
              <w:widowControl w:val="0"/>
              <w:suppressAutoHyphens w:val="0"/>
              <w:spacing w:before="0" w:after="0" w:line="240" w:lineRule="auto"/>
              <w:rPr>
                <w:szCs w:val="17"/>
              </w:rPr>
            </w:pPr>
            <w:r w:rsidRPr="00336DF4">
              <w:rPr>
                <w:szCs w:val="17"/>
              </w:rPr>
              <w:t>Small insectivore</w:t>
            </w:r>
          </w:p>
        </w:tc>
        <w:tc>
          <w:tcPr>
            <w:tcW w:w="634" w:type="pct"/>
            <w:vMerge w:val="restart"/>
            <w:tcBorders>
              <w:top w:val="single" w:sz="4" w:space="0" w:color="auto"/>
            </w:tcBorders>
          </w:tcPr>
          <w:p w14:paraId="2718494B" w14:textId="77777777" w:rsidR="006D7C8D" w:rsidRDefault="006D7C8D" w:rsidP="00444693">
            <w:pPr>
              <w:pStyle w:val="TableText"/>
              <w:widowControl w:val="0"/>
              <w:suppressAutoHyphens w:val="0"/>
              <w:spacing w:before="0" w:after="0" w:line="240" w:lineRule="auto"/>
              <w:rPr>
                <w:szCs w:val="17"/>
              </w:rPr>
            </w:pPr>
            <w:r>
              <w:rPr>
                <w:szCs w:val="17"/>
              </w:rPr>
              <w:t>Late season</w:t>
            </w:r>
          </w:p>
        </w:tc>
        <w:tc>
          <w:tcPr>
            <w:tcW w:w="514" w:type="pct"/>
            <w:tcBorders>
              <w:top w:val="single" w:sz="4" w:space="0" w:color="auto"/>
            </w:tcBorders>
          </w:tcPr>
          <w:p w14:paraId="69C09B1C" w14:textId="77777777" w:rsidR="006D7C8D" w:rsidRPr="00426E98" w:rsidRDefault="006D7C8D" w:rsidP="00D53099">
            <w:pPr>
              <w:pStyle w:val="TableText"/>
              <w:widowControl w:val="0"/>
              <w:suppressAutoHyphens w:val="0"/>
              <w:spacing w:before="0" w:after="0" w:line="240" w:lineRule="auto"/>
              <w:jc w:val="right"/>
              <w:rPr>
                <w:szCs w:val="17"/>
              </w:rPr>
            </w:pPr>
            <w:r>
              <w:t>5.4</w:t>
            </w:r>
          </w:p>
        </w:tc>
        <w:tc>
          <w:tcPr>
            <w:tcW w:w="662" w:type="pct"/>
            <w:tcBorders>
              <w:top w:val="single" w:sz="4" w:space="0" w:color="auto"/>
            </w:tcBorders>
            <w:vAlign w:val="center"/>
          </w:tcPr>
          <w:p w14:paraId="1D0B6B5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5A21F791" w14:textId="77777777" w:rsidR="006D7C8D" w:rsidRPr="003B78B6" w:rsidRDefault="006D7C8D" w:rsidP="00D53099">
            <w:pPr>
              <w:pStyle w:val="TableText"/>
              <w:widowControl w:val="0"/>
              <w:suppressAutoHyphens w:val="0"/>
              <w:spacing w:before="0" w:after="0" w:line="240" w:lineRule="auto"/>
              <w:jc w:val="right"/>
            </w:pPr>
            <w:r>
              <w:rPr>
                <w:color w:val="1A1B1A"/>
                <w:szCs w:val="17"/>
              </w:rPr>
              <w:t>4.3</w:t>
            </w:r>
          </w:p>
        </w:tc>
        <w:tc>
          <w:tcPr>
            <w:tcW w:w="367" w:type="pct"/>
            <w:tcBorders>
              <w:top w:val="single" w:sz="4" w:space="0" w:color="auto"/>
            </w:tcBorders>
            <w:vAlign w:val="center"/>
          </w:tcPr>
          <w:p w14:paraId="64236564" w14:textId="77777777" w:rsidR="006D7C8D" w:rsidRPr="00721FF0" w:rsidRDefault="006D7C8D" w:rsidP="00D53099">
            <w:pPr>
              <w:pStyle w:val="TableText"/>
              <w:widowControl w:val="0"/>
              <w:suppressAutoHyphens w:val="0"/>
              <w:spacing w:before="0" w:after="0" w:line="240" w:lineRule="auto"/>
              <w:jc w:val="right"/>
            </w:pPr>
            <w:r>
              <w:rPr>
                <w:color w:val="1A1B1A"/>
                <w:szCs w:val="17"/>
              </w:rPr>
              <w:t>0.57</w:t>
            </w:r>
          </w:p>
        </w:tc>
        <w:tc>
          <w:tcPr>
            <w:tcW w:w="585" w:type="pct"/>
            <w:tcBorders>
              <w:top w:val="single" w:sz="4" w:space="0" w:color="auto"/>
            </w:tcBorders>
            <w:vAlign w:val="bottom"/>
          </w:tcPr>
          <w:p w14:paraId="3CF5A6DD"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1F4C07F7" w14:textId="77777777" w:rsidTr="00444693">
        <w:trPr>
          <w:cantSplit/>
          <w:trHeight w:val="13"/>
        </w:trPr>
        <w:tc>
          <w:tcPr>
            <w:tcW w:w="583" w:type="pct"/>
            <w:vMerge/>
          </w:tcPr>
          <w:p w14:paraId="5DD4646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81BFD36"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24CDD2E4" w14:textId="77777777" w:rsidR="006D7C8D" w:rsidRDefault="006D7C8D" w:rsidP="00444693">
            <w:pPr>
              <w:pStyle w:val="TableText"/>
              <w:widowControl w:val="0"/>
              <w:suppressAutoHyphens w:val="0"/>
              <w:spacing w:before="0" w:after="0" w:line="240" w:lineRule="auto"/>
              <w:rPr>
                <w:szCs w:val="17"/>
              </w:rPr>
            </w:pPr>
          </w:p>
        </w:tc>
        <w:tc>
          <w:tcPr>
            <w:tcW w:w="514" w:type="pct"/>
          </w:tcPr>
          <w:p w14:paraId="0720393E" w14:textId="77777777" w:rsidR="006D7C8D" w:rsidRDefault="006D7C8D" w:rsidP="00D53099">
            <w:pPr>
              <w:pStyle w:val="TableText"/>
              <w:widowControl w:val="0"/>
              <w:suppressAutoHyphens w:val="0"/>
              <w:spacing w:before="0" w:after="0" w:line="240" w:lineRule="auto"/>
              <w:jc w:val="right"/>
            </w:pPr>
            <w:r w:rsidRPr="00BC4DBD">
              <w:t>5.4</w:t>
            </w:r>
          </w:p>
        </w:tc>
        <w:tc>
          <w:tcPr>
            <w:tcW w:w="662" w:type="pct"/>
            <w:vAlign w:val="center"/>
          </w:tcPr>
          <w:p w14:paraId="7A40ACC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1E314369" w14:textId="77777777" w:rsidR="006D7C8D" w:rsidRPr="003B78B6" w:rsidRDefault="006D7C8D" w:rsidP="00D53099">
            <w:pPr>
              <w:pStyle w:val="TableText"/>
              <w:widowControl w:val="0"/>
              <w:suppressAutoHyphens w:val="0"/>
              <w:spacing w:before="0" w:after="0" w:line="240" w:lineRule="auto"/>
              <w:jc w:val="right"/>
            </w:pPr>
            <w:r>
              <w:rPr>
                <w:color w:val="1A1B1A"/>
                <w:szCs w:val="17"/>
              </w:rPr>
              <w:t>3.2</w:t>
            </w:r>
          </w:p>
        </w:tc>
        <w:tc>
          <w:tcPr>
            <w:tcW w:w="367" w:type="pct"/>
            <w:vAlign w:val="center"/>
          </w:tcPr>
          <w:p w14:paraId="62F3C306" w14:textId="77777777" w:rsidR="006D7C8D" w:rsidRPr="00721FF0" w:rsidRDefault="006D7C8D" w:rsidP="00D53099">
            <w:pPr>
              <w:pStyle w:val="TableText"/>
              <w:widowControl w:val="0"/>
              <w:suppressAutoHyphens w:val="0"/>
              <w:spacing w:before="0" w:after="0" w:line="240" w:lineRule="auto"/>
              <w:jc w:val="right"/>
            </w:pPr>
            <w:r>
              <w:rPr>
                <w:color w:val="1A1B1A"/>
                <w:szCs w:val="17"/>
              </w:rPr>
              <w:t>0.43</w:t>
            </w:r>
          </w:p>
        </w:tc>
        <w:tc>
          <w:tcPr>
            <w:tcW w:w="585" w:type="pct"/>
            <w:vAlign w:val="bottom"/>
          </w:tcPr>
          <w:p w14:paraId="3C8D99A4"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330D262E" w14:textId="77777777" w:rsidTr="00444693">
        <w:trPr>
          <w:cantSplit/>
          <w:trHeight w:val="13"/>
        </w:trPr>
        <w:tc>
          <w:tcPr>
            <w:tcW w:w="583" w:type="pct"/>
            <w:vMerge/>
          </w:tcPr>
          <w:p w14:paraId="42DA4AF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B7B0DCB"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4ACD0EB2" w14:textId="77777777" w:rsidR="006D7C8D" w:rsidRDefault="006D7C8D" w:rsidP="00444693">
            <w:pPr>
              <w:pStyle w:val="TableText"/>
              <w:widowControl w:val="0"/>
              <w:suppressAutoHyphens w:val="0"/>
              <w:spacing w:before="0" w:after="0" w:line="240" w:lineRule="auto"/>
              <w:rPr>
                <w:szCs w:val="17"/>
              </w:rPr>
            </w:pPr>
          </w:p>
        </w:tc>
        <w:tc>
          <w:tcPr>
            <w:tcW w:w="514" w:type="pct"/>
          </w:tcPr>
          <w:p w14:paraId="37B9965C" w14:textId="77777777" w:rsidR="006D7C8D" w:rsidRDefault="006D7C8D" w:rsidP="00D53099">
            <w:pPr>
              <w:pStyle w:val="TableText"/>
              <w:widowControl w:val="0"/>
              <w:suppressAutoHyphens w:val="0"/>
              <w:spacing w:before="0" w:after="0" w:line="240" w:lineRule="auto"/>
              <w:jc w:val="right"/>
            </w:pPr>
            <w:r w:rsidRPr="00F862C9">
              <w:t>5.4</w:t>
            </w:r>
          </w:p>
        </w:tc>
        <w:tc>
          <w:tcPr>
            <w:tcW w:w="662" w:type="pct"/>
            <w:vAlign w:val="center"/>
          </w:tcPr>
          <w:p w14:paraId="65CA1D2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15CCC021" w14:textId="77777777" w:rsidR="006D7C8D" w:rsidRPr="003B78B6" w:rsidRDefault="006D7C8D" w:rsidP="00D53099">
            <w:pPr>
              <w:pStyle w:val="TableText"/>
              <w:widowControl w:val="0"/>
              <w:suppressAutoHyphens w:val="0"/>
              <w:spacing w:before="0" w:after="0" w:line="240" w:lineRule="auto"/>
              <w:jc w:val="right"/>
            </w:pPr>
            <w:r>
              <w:rPr>
                <w:color w:val="1A1B1A"/>
                <w:szCs w:val="17"/>
              </w:rPr>
              <w:t>1.7</w:t>
            </w:r>
          </w:p>
        </w:tc>
        <w:tc>
          <w:tcPr>
            <w:tcW w:w="367" w:type="pct"/>
            <w:vAlign w:val="center"/>
          </w:tcPr>
          <w:p w14:paraId="6AF3617E" w14:textId="77777777" w:rsidR="006D7C8D" w:rsidRPr="00721FF0" w:rsidRDefault="006D7C8D" w:rsidP="00D53099">
            <w:pPr>
              <w:pStyle w:val="TableText"/>
              <w:widowControl w:val="0"/>
              <w:suppressAutoHyphens w:val="0"/>
              <w:spacing w:before="0" w:after="0" w:line="240" w:lineRule="auto"/>
              <w:jc w:val="right"/>
            </w:pPr>
            <w:r>
              <w:rPr>
                <w:color w:val="1A1B1A"/>
                <w:szCs w:val="17"/>
              </w:rPr>
              <w:t>0.23</w:t>
            </w:r>
          </w:p>
        </w:tc>
        <w:tc>
          <w:tcPr>
            <w:tcW w:w="585" w:type="pct"/>
            <w:vAlign w:val="bottom"/>
          </w:tcPr>
          <w:p w14:paraId="15EFFEC2"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28352022" w14:textId="77777777" w:rsidTr="00444693">
        <w:trPr>
          <w:cantSplit/>
          <w:trHeight w:val="13"/>
        </w:trPr>
        <w:tc>
          <w:tcPr>
            <w:tcW w:w="583" w:type="pct"/>
            <w:vMerge/>
          </w:tcPr>
          <w:p w14:paraId="1A7E740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036D930"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5336BE55" w14:textId="77777777" w:rsidR="006D7C8D" w:rsidRDefault="006D7C8D" w:rsidP="00444693">
            <w:pPr>
              <w:pStyle w:val="TableText"/>
              <w:widowControl w:val="0"/>
              <w:suppressAutoHyphens w:val="0"/>
              <w:spacing w:before="0" w:after="0" w:line="240" w:lineRule="auto"/>
              <w:rPr>
                <w:szCs w:val="17"/>
              </w:rPr>
            </w:pPr>
          </w:p>
        </w:tc>
        <w:tc>
          <w:tcPr>
            <w:tcW w:w="514" w:type="pct"/>
          </w:tcPr>
          <w:p w14:paraId="7630B00C" w14:textId="77777777" w:rsidR="006D7C8D" w:rsidRDefault="006D7C8D" w:rsidP="00D53099">
            <w:pPr>
              <w:pStyle w:val="TableText"/>
              <w:widowControl w:val="0"/>
              <w:suppressAutoHyphens w:val="0"/>
              <w:spacing w:before="0" w:after="0" w:line="240" w:lineRule="auto"/>
              <w:jc w:val="right"/>
            </w:pPr>
            <w:r w:rsidRPr="00F862C9">
              <w:t>5.4</w:t>
            </w:r>
          </w:p>
        </w:tc>
        <w:tc>
          <w:tcPr>
            <w:tcW w:w="662" w:type="pct"/>
            <w:vAlign w:val="center"/>
          </w:tcPr>
          <w:p w14:paraId="44DEBD8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301A104E"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vAlign w:val="center"/>
          </w:tcPr>
          <w:p w14:paraId="72F04A83" w14:textId="77777777" w:rsidR="006D7C8D" w:rsidRPr="00721FF0" w:rsidRDefault="006D7C8D" w:rsidP="00D53099">
            <w:pPr>
              <w:pStyle w:val="TableText"/>
              <w:widowControl w:val="0"/>
              <w:suppressAutoHyphens w:val="0"/>
              <w:spacing w:before="0" w:after="0" w:line="240" w:lineRule="auto"/>
              <w:jc w:val="right"/>
            </w:pPr>
            <w:r>
              <w:rPr>
                <w:color w:val="1A1B1A"/>
                <w:szCs w:val="17"/>
              </w:rPr>
              <w:t>0.17</w:t>
            </w:r>
          </w:p>
        </w:tc>
        <w:tc>
          <w:tcPr>
            <w:tcW w:w="585" w:type="pct"/>
            <w:vAlign w:val="bottom"/>
          </w:tcPr>
          <w:p w14:paraId="07677D0D"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61888C05" w14:textId="77777777" w:rsidTr="00444693">
        <w:trPr>
          <w:cantSplit/>
          <w:trHeight w:val="13"/>
        </w:trPr>
        <w:tc>
          <w:tcPr>
            <w:tcW w:w="583" w:type="pct"/>
            <w:vMerge/>
          </w:tcPr>
          <w:p w14:paraId="191E8BF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3EC9E35"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677E2D6B" w14:textId="77777777" w:rsidR="006D7C8D" w:rsidRDefault="006D7C8D" w:rsidP="00444693">
            <w:pPr>
              <w:pStyle w:val="TableText"/>
              <w:widowControl w:val="0"/>
              <w:suppressAutoHyphens w:val="0"/>
              <w:spacing w:before="0" w:after="0" w:line="240" w:lineRule="auto"/>
              <w:rPr>
                <w:szCs w:val="17"/>
              </w:rPr>
            </w:pPr>
          </w:p>
        </w:tc>
        <w:tc>
          <w:tcPr>
            <w:tcW w:w="514" w:type="pct"/>
          </w:tcPr>
          <w:p w14:paraId="6EA15DBA" w14:textId="77777777" w:rsidR="006D7C8D" w:rsidRDefault="006D7C8D" w:rsidP="00D53099">
            <w:pPr>
              <w:pStyle w:val="TableText"/>
              <w:widowControl w:val="0"/>
              <w:suppressAutoHyphens w:val="0"/>
              <w:spacing w:before="0" w:after="0" w:line="240" w:lineRule="auto"/>
              <w:jc w:val="right"/>
            </w:pPr>
            <w:r w:rsidRPr="00BC4DBD">
              <w:t>5.4</w:t>
            </w:r>
          </w:p>
        </w:tc>
        <w:tc>
          <w:tcPr>
            <w:tcW w:w="662" w:type="pct"/>
            <w:vAlign w:val="center"/>
          </w:tcPr>
          <w:p w14:paraId="3F958C1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672B9722" w14:textId="77777777" w:rsidR="006D7C8D" w:rsidRPr="003B78B6" w:rsidRDefault="006D7C8D" w:rsidP="00D53099">
            <w:pPr>
              <w:pStyle w:val="TableText"/>
              <w:widowControl w:val="0"/>
              <w:suppressAutoHyphens w:val="0"/>
              <w:spacing w:before="0" w:after="0" w:line="240" w:lineRule="auto"/>
              <w:jc w:val="right"/>
            </w:pPr>
            <w:r>
              <w:rPr>
                <w:color w:val="1A1B1A"/>
                <w:szCs w:val="17"/>
              </w:rPr>
              <w:t>1.1</w:t>
            </w:r>
          </w:p>
        </w:tc>
        <w:tc>
          <w:tcPr>
            <w:tcW w:w="367" w:type="pct"/>
            <w:vAlign w:val="center"/>
          </w:tcPr>
          <w:p w14:paraId="0E51D237" w14:textId="77777777" w:rsidR="006D7C8D" w:rsidRPr="00721FF0" w:rsidRDefault="006D7C8D" w:rsidP="00D53099">
            <w:pPr>
              <w:pStyle w:val="TableText"/>
              <w:widowControl w:val="0"/>
              <w:suppressAutoHyphens w:val="0"/>
              <w:spacing w:before="0" w:after="0" w:line="240" w:lineRule="auto"/>
              <w:jc w:val="right"/>
            </w:pPr>
            <w:r>
              <w:rPr>
                <w:color w:val="1A1B1A"/>
                <w:szCs w:val="17"/>
              </w:rPr>
              <w:t>0.14</w:t>
            </w:r>
          </w:p>
        </w:tc>
        <w:tc>
          <w:tcPr>
            <w:tcW w:w="585" w:type="pct"/>
            <w:vAlign w:val="bottom"/>
          </w:tcPr>
          <w:p w14:paraId="73FA39CE"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06C416B2" w14:textId="77777777" w:rsidTr="00444693">
        <w:trPr>
          <w:cantSplit/>
          <w:trHeight w:val="13"/>
        </w:trPr>
        <w:tc>
          <w:tcPr>
            <w:tcW w:w="583" w:type="pct"/>
            <w:vMerge w:val="restart"/>
            <w:tcBorders>
              <w:top w:val="single" w:sz="4" w:space="0" w:color="auto"/>
            </w:tcBorders>
          </w:tcPr>
          <w:p w14:paraId="4E708324" w14:textId="77777777" w:rsidR="006D7C8D" w:rsidRDefault="006D7C8D" w:rsidP="00444693">
            <w:pPr>
              <w:pStyle w:val="TableText"/>
              <w:widowControl w:val="0"/>
              <w:suppressAutoHyphens w:val="0"/>
              <w:spacing w:before="0" w:after="0" w:line="240" w:lineRule="auto"/>
              <w:rPr>
                <w:szCs w:val="17"/>
              </w:rPr>
            </w:pPr>
            <w:r>
              <w:rPr>
                <w:szCs w:val="17"/>
              </w:rPr>
              <w:t>Legume forage</w:t>
            </w:r>
          </w:p>
        </w:tc>
        <w:tc>
          <w:tcPr>
            <w:tcW w:w="772" w:type="pct"/>
            <w:vMerge w:val="restart"/>
            <w:tcBorders>
              <w:top w:val="single" w:sz="4" w:space="0" w:color="auto"/>
            </w:tcBorders>
          </w:tcPr>
          <w:p w14:paraId="4D63E86D" w14:textId="77777777" w:rsidR="006D7C8D" w:rsidRPr="00336DF4"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0CD86A1A" w14:textId="77777777" w:rsidR="006D7C8D" w:rsidRDefault="006D7C8D" w:rsidP="00444693">
            <w:pPr>
              <w:pStyle w:val="TableText"/>
              <w:widowControl w:val="0"/>
              <w:suppressAutoHyphens w:val="0"/>
              <w:spacing w:before="0" w:after="0" w:line="240" w:lineRule="auto"/>
              <w:rPr>
                <w:szCs w:val="17"/>
              </w:rPr>
            </w:pPr>
            <w:r>
              <w:rPr>
                <w:szCs w:val="17"/>
              </w:rPr>
              <w:t>BBCH 10-49</w:t>
            </w:r>
          </w:p>
        </w:tc>
        <w:tc>
          <w:tcPr>
            <w:tcW w:w="514" w:type="pct"/>
            <w:tcBorders>
              <w:top w:val="single" w:sz="4" w:space="0" w:color="auto"/>
            </w:tcBorders>
            <w:shd w:val="clear" w:color="auto" w:fill="D5D7D5" w:themeFill="text1" w:themeFillTint="33"/>
          </w:tcPr>
          <w:p w14:paraId="656B2C61" w14:textId="77777777" w:rsidR="006D7C8D" w:rsidRDefault="006D7C8D" w:rsidP="00D53099">
            <w:pPr>
              <w:pStyle w:val="TableText"/>
              <w:widowControl w:val="0"/>
              <w:suppressAutoHyphens w:val="0"/>
              <w:spacing w:before="0" w:after="0" w:line="240" w:lineRule="auto"/>
              <w:jc w:val="right"/>
            </w:pPr>
            <w:r>
              <w:t>11.2</w:t>
            </w:r>
            <w:r w:rsidRPr="00077A92">
              <w:rPr>
                <w:vertAlign w:val="superscript"/>
              </w:rPr>
              <w:t>a</w:t>
            </w:r>
            <w:r>
              <w:rPr>
                <w:vertAlign w:val="superscript"/>
              </w:rPr>
              <w:t>,c</w:t>
            </w:r>
          </w:p>
        </w:tc>
        <w:tc>
          <w:tcPr>
            <w:tcW w:w="662" w:type="pct"/>
            <w:tcBorders>
              <w:top w:val="single" w:sz="4" w:space="0" w:color="auto"/>
            </w:tcBorders>
            <w:vAlign w:val="center"/>
          </w:tcPr>
          <w:p w14:paraId="5B92634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tcBorders>
              <w:top w:val="single" w:sz="4" w:space="0" w:color="auto"/>
            </w:tcBorders>
            <w:vAlign w:val="center"/>
          </w:tcPr>
          <w:p w14:paraId="19F74CB3" w14:textId="77777777" w:rsidR="006D7C8D" w:rsidRPr="003B78B6" w:rsidRDefault="006D7C8D" w:rsidP="00D53099">
            <w:pPr>
              <w:pStyle w:val="TableText"/>
              <w:widowControl w:val="0"/>
              <w:suppressAutoHyphens w:val="0"/>
              <w:spacing w:before="0" w:after="0" w:line="240" w:lineRule="auto"/>
              <w:jc w:val="right"/>
            </w:pPr>
            <w:r>
              <w:rPr>
                <w:color w:val="1A1B1A"/>
                <w:szCs w:val="17"/>
              </w:rPr>
              <w:t>6.7</w:t>
            </w:r>
          </w:p>
        </w:tc>
        <w:tc>
          <w:tcPr>
            <w:tcW w:w="367" w:type="pct"/>
            <w:tcBorders>
              <w:top w:val="single" w:sz="4" w:space="0" w:color="auto"/>
            </w:tcBorders>
            <w:vAlign w:val="center"/>
          </w:tcPr>
          <w:p w14:paraId="3F462174" w14:textId="77777777" w:rsidR="006D7C8D" w:rsidRPr="00721FF0" w:rsidRDefault="006D7C8D" w:rsidP="00D53099">
            <w:pPr>
              <w:pStyle w:val="TableText"/>
              <w:widowControl w:val="0"/>
              <w:suppressAutoHyphens w:val="0"/>
              <w:spacing w:before="0" w:after="0" w:line="240" w:lineRule="auto"/>
              <w:jc w:val="right"/>
            </w:pPr>
            <w:r>
              <w:rPr>
                <w:color w:val="1A1B1A"/>
                <w:szCs w:val="17"/>
              </w:rPr>
              <w:t>0.88</w:t>
            </w:r>
          </w:p>
        </w:tc>
        <w:tc>
          <w:tcPr>
            <w:tcW w:w="585" w:type="pct"/>
            <w:tcBorders>
              <w:top w:val="single" w:sz="4" w:space="0" w:color="auto"/>
            </w:tcBorders>
            <w:vAlign w:val="bottom"/>
          </w:tcPr>
          <w:p w14:paraId="007E425A" w14:textId="77777777" w:rsidR="006D7C8D" w:rsidRPr="00721FF0" w:rsidRDefault="006D7C8D" w:rsidP="00D53099">
            <w:pPr>
              <w:pStyle w:val="TableText"/>
              <w:widowControl w:val="0"/>
              <w:suppressAutoHyphens w:val="0"/>
              <w:spacing w:before="0" w:after="0" w:line="240" w:lineRule="auto"/>
              <w:jc w:val="right"/>
            </w:pPr>
            <w:r>
              <w:rPr>
                <w:color w:val="000000"/>
                <w:szCs w:val="17"/>
              </w:rPr>
              <w:t>679</w:t>
            </w:r>
          </w:p>
        </w:tc>
      </w:tr>
      <w:tr w:rsidR="006D7C8D" w:rsidRPr="00721FF0" w14:paraId="679E7ED0" w14:textId="77777777" w:rsidTr="00444693">
        <w:trPr>
          <w:cantSplit/>
          <w:trHeight w:val="13"/>
        </w:trPr>
        <w:tc>
          <w:tcPr>
            <w:tcW w:w="583" w:type="pct"/>
            <w:vMerge/>
          </w:tcPr>
          <w:p w14:paraId="2BA74D4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C4CA559"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37035E4"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2D032DB" w14:textId="77777777" w:rsidR="006D7C8D" w:rsidRDefault="006D7C8D" w:rsidP="00D53099">
            <w:pPr>
              <w:pStyle w:val="TableText"/>
              <w:widowControl w:val="0"/>
              <w:suppressAutoHyphens w:val="0"/>
              <w:spacing w:before="0" w:after="0" w:line="240" w:lineRule="auto"/>
              <w:jc w:val="right"/>
            </w:pPr>
            <w:r w:rsidRPr="003548A6">
              <w:t>11.2</w:t>
            </w:r>
            <w:r w:rsidRPr="003548A6">
              <w:rPr>
                <w:vertAlign w:val="superscript"/>
              </w:rPr>
              <w:t>a,c</w:t>
            </w:r>
          </w:p>
        </w:tc>
        <w:tc>
          <w:tcPr>
            <w:tcW w:w="662" w:type="pct"/>
            <w:vAlign w:val="center"/>
          </w:tcPr>
          <w:p w14:paraId="383C034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7155ACA7" w14:textId="77777777" w:rsidR="006D7C8D" w:rsidRPr="003B78B6" w:rsidRDefault="006D7C8D" w:rsidP="00D53099">
            <w:pPr>
              <w:pStyle w:val="TableText"/>
              <w:widowControl w:val="0"/>
              <w:suppressAutoHyphens w:val="0"/>
              <w:spacing w:before="0" w:after="0" w:line="240" w:lineRule="auto"/>
              <w:jc w:val="right"/>
            </w:pPr>
            <w:r>
              <w:rPr>
                <w:color w:val="1A1B1A"/>
                <w:szCs w:val="17"/>
              </w:rPr>
              <w:t>4.5</w:t>
            </w:r>
          </w:p>
        </w:tc>
        <w:tc>
          <w:tcPr>
            <w:tcW w:w="367" w:type="pct"/>
            <w:vAlign w:val="center"/>
          </w:tcPr>
          <w:p w14:paraId="7ECD6CEA" w14:textId="77777777" w:rsidR="006D7C8D" w:rsidRPr="00721FF0" w:rsidRDefault="006D7C8D" w:rsidP="00D53099">
            <w:pPr>
              <w:pStyle w:val="TableText"/>
              <w:widowControl w:val="0"/>
              <w:suppressAutoHyphens w:val="0"/>
              <w:spacing w:before="0" w:after="0" w:line="240" w:lineRule="auto"/>
              <w:jc w:val="right"/>
            </w:pPr>
            <w:r>
              <w:rPr>
                <w:color w:val="1A1B1A"/>
                <w:szCs w:val="17"/>
              </w:rPr>
              <w:t>0.59</w:t>
            </w:r>
          </w:p>
        </w:tc>
        <w:tc>
          <w:tcPr>
            <w:tcW w:w="585" w:type="pct"/>
            <w:vAlign w:val="bottom"/>
          </w:tcPr>
          <w:p w14:paraId="29D83CBA" w14:textId="77777777" w:rsidR="006D7C8D" w:rsidRPr="00721FF0" w:rsidRDefault="006D7C8D" w:rsidP="00D53099">
            <w:pPr>
              <w:pStyle w:val="TableText"/>
              <w:widowControl w:val="0"/>
              <w:suppressAutoHyphens w:val="0"/>
              <w:spacing w:before="0" w:after="0" w:line="240" w:lineRule="auto"/>
              <w:jc w:val="right"/>
            </w:pPr>
            <w:r>
              <w:rPr>
                <w:color w:val="000000"/>
                <w:szCs w:val="17"/>
              </w:rPr>
              <w:t>679</w:t>
            </w:r>
          </w:p>
        </w:tc>
      </w:tr>
      <w:tr w:rsidR="006D7C8D" w:rsidRPr="00721FF0" w14:paraId="475DAEC1" w14:textId="77777777" w:rsidTr="00444693">
        <w:trPr>
          <w:cantSplit/>
          <w:trHeight w:val="13"/>
        </w:trPr>
        <w:tc>
          <w:tcPr>
            <w:tcW w:w="583" w:type="pct"/>
            <w:vMerge/>
          </w:tcPr>
          <w:p w14:paraId="4673EA32"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7EC6AEF" w14:textId="77777777" w:rsidR="006D7C8D" w:rsidRPr="00336DF4" w:rsidRDefault="006D7C8D" w:rsidP="00444693">
            <w:pPr>
              <w:pStyle w:val="TableText"/>
              <w:widowControl w:val="0"/>
              <w:suppressAutoHyphens w:val="0"/>
              <w:spacing w:before="0" w:after="0" w:line="240" w:lineRule="auto"/>
              <w:rPr>
                <w:szCs w:val="17"/>
              </w:rPr>
            </w:pPr>
            <w:r w:rsidRPr="00336DF4">
              <w:rPr>
                <w:szCs w:val="17"/>
              </w:rPr>
              <w:t>Small insectivore</w:t>
            </w:r>
          </w:p>
        </w:tc>
        <w:tc>
          <w:tcPr>
            <w:tcW w:w="634" w:type="pct"/>
            <w:vMerge w:val="restart"/>
            <w:tcBorders>
              <w:top w:val="single" w:sz="4" w:space="0" w:color="auto"/>
            </w:tcBorders>
          </w:tcPr>
          <w:p w14:paraId="73CF4CCE" w14:textId="77777777" w:rsidR="006D7C8D" w:rsidRDefault="006D7C8D" w:rsidP="00444693">
            <w:pPr>
              <w:pStyle w:val="TableText"/>
              <w:widowControl w:val="0"/>
              <w:suppressAutoHyphens w:val="0"/>
              <w:spacing w:before="0" w:after="0" w:line="240" w:lineRule="auto"/>
              <w:rPr>
                <w:szCs w:val="17"/>
              </w:rPr>
            </w:pPr>
            <w:r>
              <w:rPr>
                <w:szCs w:val="17"/>
              </w:rPr>
              <w:t>BBCH 10-19</w:t>
            </w:r>
          </w:p>
        </w:tc>
        <w:tc>
          <w:tcPr>
            <w:tcW w:w="514" w:type="pct"/>
            <w:tcBorders>
              <w:top w:val="single" w:sz="4" w:space="0" w:color="auto"/>
            </w:tcBorders>
          </w:tcPr>
          <w:p w14:paraId="72C26FF2" w14:textId="77777777" w:rsidR="006D7C8D" w:rsidRDefault="006D7C8D" w:rsidP="00D53099">
            <w:pPr>
              <w:pStyle w:val="TableText"/>
              <w:widowControl w:val="0"/>
              <w:suppressAutoHyphens w:val="0"/>
              <w:spacing w:before="0" w:after="0" w:line="240" w:lineRule="auto"/>
              <w:jc w:val="right"/>
            </w:pPr>
            <w:r>
              <w:t>7.6</w:t>
            </w:r>
          </w:p>
        </w:tc>
        <w:tc>
          <w:tcPr>
            <w:tcW w:w="662" w:type="pct"/>
            <w:tcBorders>
              <w:top w:val="single" w:sz="4" w:space="0" w:color="auto"/>
            </w:tcBorders>
            <w:vAlign w:val="center"/>
          </w:tcPr>
          <w:p w14:paraId="284D938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tcBorders>
              <w:top w:val="single" w:sz="4" w:space="0" w:color="auto"/>
            </w:tcBorders>
            <w:vAlign w:val="center"/>
          </w:tcPr>
          <w:p w14:paraId="432131DA" w14:textId="77777777" w:rsidR="006D7C8D" w:rsidRPr="003B78B6" w:rsidRDefault="006D7C8D" w:rsidP="00D53099">
            <w:pPr>
              <w:pStyle w:val="TableText"/>
              <w:widowControl w:val="0"/>
              <w:suppressAutoHyphens w:val="0"/>
              <w:spacing w:before="0" w:after="0" w:line="240" w:lineRule="auto"/>
              <w:jc w:val="right"/>
            </w:pPr>
            <w:r>
              <w:rPr>
                <w:color w:val="1A1B1A"/>
                <w:szCs w:val="17"/>
              </w:rPr>
              <w:t>4.6</w:t>
            </w:r>
          </w:p>
        </w:tc>
        <w:tc>
          <w:tcPr>
            <w:tcW w:w="367" w:type="pct"/>
            <w:tcBorders>
              <w:top w:val="single" w:sz="4" w:space="0" w:color="auto"/>
            </w:tcBorders>
            <w:vAlign w:val="center"/>
          </w:tcPr>
          <w:p w14:paraId="6B825E8C" w14:textId="77777777" w:rsidR="006D7C8D" w:rsidRPr="00721FF0" w:rsidRDefault="006D7C8D" w:rsidP="00D53099">
            <w:pPr>
              <w:pStyle w:val="TableText"/>
              <w:widowControl w:val="0"/>
              <w:suppressAutoHyphens w:val="0"/>
              <w:spacing w:before="0" w:after="0" w:line="240" w:lineRule="auto"/>
              <w:jc w:val="right"/>
            </w:pPr>
            <w:r>
              <w:rPr>
                <w:color w:val="1A1B1A"/>
                <w:szCs w:val="17"/>
              </w:rPr>
              <w:t>0.60</w:t>
            </w:r>
          </w:p>
        </w:tc>
        <w:tc>
          <w:tcPr>
            <w:tcW w:w="585" w:type="pct"/>
            <w:tcBorders>
              <w:top w:val="single" w:sz="4" w:space="0" w:color="auto"/>
            </w:tcBorders>
            <w:vAlign w:val="bottom"/>
          </w:tcPr>
          <w:p w14:paraId="0371FF59" w14:textId="77777777" w:rsidR="006D7C8D" w:rsidRPr="00721FF0" w:rsidRDefault="006D7C8D" w:rsidP="00D53099">
            <w:pPr>
              <w:pStyle w:val="TableText"/>
              <w:widowControl w:val="0"/>
              <w:suppressAutoHyphens w:val="0"/>
              <w:spacing w:before="0" w:after="0" w:line="240" w:lineRule="auto"/>
              <w:jc w:val="right"/>
            </w:pPr>
            <w:r>
              <w:rPr>
                <w:color w:val="000000"/>
                <w:szCs w:val="17"/>
              </w:rPr>
              <w:t>1000</w:t>
            </w:r>
          </w:p>
        </w:tc>
      </w:tr>
      <w:tr w:rsidR="006D7C8D" w:rsidRPr="00721FF0" w14:paraId="64060222" w14:textId="77777777" w:rsidTr="00444693">
        <w:trPr>
          <w:cantSplit/>
          <w:trHeight w:val="13"/>
        </w:trPr>
        <w:tc>
          <w:tcPr>
            <w:tcW w:w="583" w:type="pct"/>
            <w:vMerge/>
          </w:tcPr>
          <w:p w14:paraId="70060F8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38DCF8F"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626078FD" w14:textId="77777777" w:rsidR="006D7C8D" w:rsidRDefault="006D7C8D" w:rsidP="00444693">
            <w:pPr>
              <w:pStyle w:val="TableText"/>
              <w:widowControl w:val="0"/>
              <w:suppressAutoHyphens w:val="0"/>
              <w:spacing w:before="0" w:after="0" w:line="240" w:lineRule="auto"/>
              <w:rPr>
                <w:szCs w:val="17"/>
              </w:rPr>
            </w:pPr>
          </w:p>
        </w:tc>
        <w:tc>
          <w:tcPr>
            <w:tcW w:w="514" w:type="pct"/>
          </w:tcPr>
          <w:p w14:paraId="2A0E6C29" w14:textId="77777777" w:rsidR="006D7C8D" w:rsidRDefault="006D7C8D" w:rsidP="00D53099">
            <w:pPr>
              <w:pStyle w:val="TableText"/>
              <w:widowControl w:val="0"/>
              <w:suppressAutoHyphens w:val="0"/>
              <w:spacing w:before="0" w:after="0" w:line="240" w:lineRule="auto"/>
              <w:jc w:val="right"/>
            </w:pPr>
            <w:r w:rsidRPr="00671392">
              <w:t>7.6</w:t>
            </w:r>
          </w:p>
        </w:tc>
        <w:tc>
          <w:tcPr>
            <w:tcW w:w="662" w:type="pct"/>
            <w:vAlign w:val="center"/>
          </w:tcPr>
          <w:p w14:paraId="06582A1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7F53ECAD" w14:textId="77777777" w:rsidR="006D7C8D" w:rsidRPr="003B78B6" w:rsidRDefault="006D7C8D" w:rsidP="00D53099">
            <w:pPr>
              <w:pStyle w:val="TableText"/>
              <w:widowControl w:val="0"/>
              <w:suppressAutoHyphens w:val="0"/>
              <w:spacing w:before="0" w:after="0" w:line="240" w:lineRule="auto"/>
              <w:jc w:val="right"/>
            </w:pPr>
            <w:r>
              <w:rPr>
                <w:color w:val="1A1B1A"/>
                <w:szCs w:val="17"/>
              </w:rPr>
              <w:t>3.0</w:t>
            </w:r>
          </w:p>
        </w:tc>
        <w:tc>
          <w:tcPr>
            <w:tcW w:w="367" w:type="pct"/>
            <w:vAlign w:val="center"/>
          </w:tcPr>
          <w:p w14:paraId="51ABA2C1" w14:textId="77777777" w:rsidR="006D7C8D" w:rsidRPr="00721FF0" w:rsidRDefault="006D7C8D" w:rsidP="00D53099">
            <w:pPr>
              <w:pStyle w:val="TableText"/>
              <w:widowControl w:val="0"/>
              <w:suppressAutoHyphens w:val="0"/>
              <w:spacing w:before="0" w:after="0" w:line="240" w:lineRule="auto"/>
              <w:jc w:val="right"/>
            </w:pPr>
            <w:r>
              <w:rPr>
                <w:color w:val="1A1B1A"/>
                <w:szCs w:val="17"/>
              </w:rPr>
              <w:t>0.40</w:t>
            </w:r>
          </w:p>
        </w:tc>
        <w:tc>
          <w:tcPr>
            <w:tcW w:w="585" w:type="pct"/>
            <w:vAlign w:val="bottom"/>
          </w:tcPr>
          <w:p w14:paraId="408FB455" w14:textId="77777777" w:rsidR="006D7C8D" w:rsidRPr="00721FF0" w:rsidRDefault="006D7C8D" w:rsidP="00D53099">
            <w:pPr>
              <w:pStyle w:val="TableText"/>
              <w:widowControl w:val="0"/>
              <w:suppressAutoHyphens w:val="0"/>
              <w:spacing w:before="0" w:after="0" w:line="240" w:lineRule="auto"/>
              <w:jc w:val="right"/>
            </w:pPr>
            <w:r>
              <w:rPr>
                <w:color w:val="000000"/>
                <w:szCs w:val="17"/>
              </w:rPr>
              <w:t>1000</w:t>
            </w:r>
          </w:p>
        </w:tc>
      </w:tr>
      <w:tr w:rsidR="006D7C8D" w:rsidRPr="00721FF0" w14:paraId="1A99ABBA" w14:textId="77777777" w:rsidTr="00444693">
        <w:trPr>
          <w:cantSplit/>
          <w:trHeight w:val="13"/>
        </w:trPr>
        <w:tc>
          <w:tcPr>
            <w:tcW w:w="583" w:type="pct"/>
            <w:vMerge w:val="restart"/>
            <w:tcBorders>
              <w:top w:val="single" w:sz="4" w:space="0" w:color="auto"/>
            </w:tcBorders>
          </w:tcPr>
          <w:p w14:paraId="558CC9B6" w14:textId="77777777" w:rsidR="006D7C8D" w:rsidRDefault="006D7C8D" w:rsidP="00444693">
            <w:pPr>
              <w:pStyle w:val="TableText"/>
              <w:widowControl w:val="0"/>
              <w:suppressAutoHyphens w:val="0"/>
              <w:spacing w:before="0" w:after="0" w:line="240" w:lineRule="auto"/>
              <w:rPr>
                <w:szCs w:val="17"/>
              </w:rPr>
            </w:pPr>
            <w:r>
              <w:rPr>
                <w:szCs w:val="17"/>
              </w:rPr>
              <w:t>Maize</w:t>
            </w:r>
          </w:p>
        </w:tc>
        <w:tc>
          <w:tcPr>
            <w:tcW w:w="772" w:type="pct"/>
            <w:vMerge w:val="restart"/>
            <w:tcBorders>
              <w:top w:val="single" w:sz="4" w:space="0" w:color="auto"/>
            </w:tcBorders>
          </w:tcPr>
          <w:p w14:paraId="15233285" w14:textId="77777777" w:rsidR="006D7C8D" w:rsidRPr="00336DF4" w:rsidRDefault="006D7C8D" w:rsidP="00444693">
            <w:pPr>
              <w:pStyle w:val="TableText"/>
              <w:widowControl w:val="0"/>
              <w:suppressAutoHyphens w:val="0"/>
              <w:spacing w:before="0" w:after="0" w:line="240" w:lineRule="auto"/>
              <w:rPr>
                <w:szCs w:val="17"/>
              </w:rPr>
            </w:pPr>
            <w:r>
              <w:rPr>
                <w:szCs w:val="17"/>
              </w:rPr>
              <w:t>Small herbivore</w:t>
            </w:r>
          </w:p>
        </w:tc>
        <w:tc>
          <w:tcPr>
            <w:tcW w:w="634" w:type="pct"/>
            <w:vMerge w:val="restart"/>
            <w:tcBorders>
              <w:top w:val="single" w:sz="4" w:space="0" w:color="auto"/>
            </w:tcBorders>
          </w:tcPr>
          <w:p w14:paraId="0255E546" w14:textId="77777777" w:rsidR="006D7C8D" w:rsidRDefault="006D7C8D" w:rsidP="00444693">
            <w:pPr>
              <w:pStyle w:val="TableText"/>
              <w:widowControl w:val="0"/>
              <w:suppressAutoHyphens w:val="0"/>
              <w:spacing w:before="0" w:after="0" w:line="240" w:lineRule="auto"/>
              <w:rPr>
                <w:szCs w:val="17"/>
              </w:rPr>
            </w:pPr>
            <w:r>
              <w:rPr>
                <w:szCs w:val="17"/>
              </w:rPr>
              <w:t>BBCH 10-29</w:t>
            </w:r>
          </w:p>
        </w:tc>
        <w:tc>
          <w:tcPr>
            <w:tcW w:w="514" w:type="pct"/>
            <w:tcBorders>
              <w:top w:val="single" w:sz="4" w:space="0" w:color="auto"/>
            </w:tcBorders>
            <w:shd w:val="clear" w:color="auto" w:fill="D5D7D5" w:themeFill="text1" w:themeFillTint="33"/>
          </w:tcPr>
          <w:p w14:paraId="34495073" w14:textId="77777777" w:rsidR="006D7C8D" w:rsidRDefault="006D7C8D" w:rsidP="00D53099">
            <w:pPr>
              <w:pStyle w:val="TableText"/>
              <w:widowControl w:val="0"/>
              <w:suppressAutoHyphens w:val="0"/>
              <w:spacing w:before="0" w:after="0" w:line="240" w:lineRule="auto"/>
              <w:jc w:val="right"/>
            </w:pPr>
            <w:r w:rsidRPr="000B2FAB">
              <w:rPr>
                <w:szCs w:val="17"/>
              </w:rPr>
              <w:t>112</w:t>
            </w:r>
            <w:r w:rsidRPr="000B2FAB">
              <w:rPr>
                <w:szCs w:val="17"/>
                <w:vertAlign w:val="superscript"/>
              </w:rPr>
              <w:t>a</w:t>
            </w:r>
          </w:p>
        </w:tc>
        <w:tc>
          <w:tcPr>
            <w:tcW w:w="662" w:type="pct"/>
            <w:tcBorders>
              <w:top w:val="single" w:sz="4" w:space="0" w:color="auto"/>
            </w:tcBorders>
            <w:vAlign w:val="center"/>
          </w:tcPr>
          <w:p w14:paraId="7BA0111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46BC6A82" w14:textId="77777777" w:rsidR="006D7C8D" w:rsidRPr="003B78B6" w:rsidRDefault="006D7C8D" w:rsidP="00D53099">
            <w:pPr>
              <w:pStyle w:val="TableText"/>
              <w:widowControl w:val="0"/>
              <w:suppressAutoHyphens w:val="0"/>
              <w:spacing w:before="0" w:after="0" w:line="240" w:lineRule="auto"/>
              <w:jc w:val="right"/>
            </w:pPr>
            <w:r>
              <w:rPr>
                <w:color w:val="1A1B1A"/>
                <w:szCs w:val="17"/>
              </w:rPr>
              <w:t>56</w:t>
            </w:r>
          </w:p>
        </w:tc>
        <w:tc>
          <w:tcPr>
            <w:tcW w:w="367" w:type="pct"/>
            <w:tcBorders>
              <w:top w:val="single" w:sz="4" w:space="0" w:color="auto"/>
            </w:tcBorders>
            <w:shd w:val="clear" w:color="auto" w:fill="FF0000"/>
            <w:vAlign w:val="center"/>
          </w:tcPr>
          <w:p w14:paraId="454EDE4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7.4</w:t>
            </w:r>
          </w:p>
        </w:tc>
        <w:tc>
          <w:tcPr>
            <w:tcW w:w="585" w:type="pct"/>
            <w:tcBorders>
              <w:top w:val="single" w:sz="4" w:space="0" w:color="auto"/>
            </w:tcBorders>
            <w:vAlign w:val="bottom"/>
          </w:tcPr>
          <w:p w14:paraId="7DB16C6E"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6FF90231" w14:textId="77777777" w:rsidTr="00444693">
        <w:trPr>
          <w:cantSplit/>
          <w:trHeight w:val="13"/>
        </w:trPr>
        <w:tc>
          <w:tcPr>
            <w:tcW w:w="583" w:type="pct"/>
            <w:vMerge/>
          </w:tcPr>
          <w:p w14:paraId="145DCA7A"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D2D5DDE"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0770CA8"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22D3802" w14:textId="77777777" w:rsidR="006D7C8D" w:rsidRPr="000B2FAB" w:rsidRDefault="006D7C8D" w:rsidP="00D53099">
            <w:pPr>
              <w:pStyle w:val="TableText"/>
              <w:widowControl w:val="0"/>
              <w:suppressAutoHyphens w:val="0"/>
              <w:spacing w:before="0" w:after="0" w:line="240" w:lineRule="auto"/>
              <w:jc w:val="right"/>
              <w:rPr>
                <w:szCs w:val="17"/>
              </w:rPr>
            </w:pPr>
            <w:r w:rsidRPr="000D172A">
              <w:rPr>
                <w:szCs w:val="17"/>
              </w:rPr>
              <w:t>112</w:t>
            </w:r>
            <w:r w:rsidRPr="000D172A">
              <w:rPr>
                <w:szCs w:val="17"/>
                <w:vertAlign w:val="superscript"/>
              </w:rPr>
              <w:t>a</w:t>
            </w:r>
          </w:p>
        </w:tc>
        <w:tc>
          <w:tcPr>
            <w:tcW w:w="662" w:type="pct"/>
            <w:vAlign w:val="center"/>
          </w:tcPr>
          <w:p w14:paraId="4BCAA0A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3782430B" w14:textId="77777777" w:rsidR="006D7C8D" w:rsidRPr="003B78B6" w:rsidRDefault="006D7C8D" w:rsidP="00D53099">
            <w:pPr>
              <w:pStyle w:val="TableText"/>
              <w:widowControl w:val="0"/>
              <w:suppressAutoHyphens w:val="0"/>
              <w:spacing w:before="0" w:after="0" w:line="240" w:lineRule="auto"/>
              <w:jc w:val="right"/>
            </w:pPr>
            <w:r>
              <w:rPr>
                <w:color w:val="1A1B1A"/>
                <w:szCs w:val="17"/>
              </w:rPr>
              <w:t>34</w:t>
            </w:r>
          </w:p>
        </w:tc>
        <w:tc>
          <w:tcPr>
            <w:tcW w:w="367" w:type="pct"/>
            <w:shd w:val="clear" w:color="auto" w:fill="FF0000"/>
            <w:vAlign w:val="center"/>
          </w:tcPr>
          <w:p w14:paraId="1B52DA0F"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4.4</w:t>
            </w:r>
          </w:p>
        </w:tc>
        <w:tc>
          <w:tcPr>
            <w:tcW w:w="585" w:type="pct"/>
            <w:vAlign w:val="bottom"/>
          </w:tcPr>
          <w:p w14:paraId="54843BDA"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6251E1BC" w14:textId="77777777" w:rsidTr="00444693">
        <w:trPr>
          <w:cantSplit/>
          <w:trHeight w:val="13"/>
        </w:trPr>
        <w:tc>
          <w:tcPr>
            <w:tcW w:w="583" w:type="pct"/>
            <w:vMerge/>
          </w:tcPr>
          <w:p w14:paraId="3ED61680"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3629FA5A" w14:textId="77777777" w:rsidR="006D7C8D" w:rsidRPr="00336DF4"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03761DF9" w14:textId="77777777" w:rsidR="006D7C8D" w:rsidRDefault="006D7C8D" w:rsidP="00444693">
            <w:pPr>
              <w:pStyle w:val="TableText"/>
              <w:widowControl w:val="0"/>
              <w:suppressAutoHyphens w:val="0"/>
              <w:spacing w:before="0" w:after="0" w:line="240" w:lineRule="auto"/>
              <w:rPr>
                <w:szCs w:val="17"/>
              </w:rPr>
            </w:pPr>
            <w:r>
              <w:rPr>
                <w:szCs w:val="17"/>
              </w:rPr>
              <w:t>BBCH 10-29</w:t>
            </w:r>
          </w:p>
        </w:tc>
        <w:tc>
          <w:tcPr>
            <w:tcW w:w="514" w:type="pct"/>
            <w:tcBorders>
              <w:top w:val="single" w:sz="4" w:space="0" w:color="auto"/>
            </w:tcBorders>
          </w:tcPr>
          <w:p w14:paraId="656893AD" w14:textId="77777777" w:rsidR="006D7C8D" w:rsidRDefault="006D7C8D" w:rsidP="00D53099">
            <w:pPr>
              <w:pStyle w:val="TableText"/>
              <w:widowControl w:val="0"/>
              <w:suppressAutoHyphens w:val="0"/>
              <w:spacing w:before="0" w:after="0" w:line="240" w:lineRule="auto"/>
              <w:jc w:val="right"/>
            </w:pPr>
            <w:r>
              <w:t>17.2</w:t>
            </w:r>
          </w:p>
        </w:tc>
        <w:tc>
          <w:tcPr>
            <w:tcW w:w="662" w:type="pct"/>
            <w:tcBorders>
              <w:top w:val="single" w:sz="4" w:space="0" w:color="auto"/>
            </w:tcBorders>
            <w:vAlign w:val="center"/>
          </w:tcPr>
          <w:p w14:paraId="77F632D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3B09E1B0" w14:textId="77777777" w:rsidR="006D7C8D" w:rsidRPr="003B78B6" w:rsidRDefault="006D7C8D" w:rsidP="00D53099">
            <w:pPr>
              <w:pStyle w:val="TableText"/>
              <w:widowControl w:val="0"/>
              <w:suppressAutoHyphens w:val="0"/>
              <w:spacing w:before="0" w:after="0" w:line="240" w:lineRule="auto"/>
              <w:jc w:val="right"/>
            </w:pPr>
            <w:r>
              <w:rPr>
                <w:color w:val="1A1B1A"/>
                <w:szCs w:val="17"/>
              </w:rPr>
              <w:t>8.6</w:t>
            </w:r>
          </w:p>
        </w:tc>
        <w:tc>
          <w:tcPr>
            <w:tcW w:w="367" w:type="pct"/>
            <w:tcBorders>
              <w:top w:val="single" w:sz="4" w:space="0" w:color="auto"/>
            </w:tcBorders>
            <w:shd w:val="clear" w:color="auto" w:fill="FF0000"/>
            <w:vAlign w:val="center"/>
          </w:tcPr>
          <w:p w14:paraId="0523E699"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tcBorders>
              <w:top w:val="single" w:sz="4" w:space="0" w:color="auto"/>
            </w:tcBorders>
            <w:vAlign w:val="bottom"/>
          </w:tcPr>
          <w:p w14:paraId="4D521DE6" w14:textId="77777777" w:rsidR="006D7C8D" w:rsidRPr="00721FF0" w:rsidRDefault="006D7C8D" w:rsidP="00D53099">
            <w:pPr>
              <w:pStyle w:val="TableText"/>
              <w:widowControl w:val="0"/>
              <w:suppressAutoHyphens w:val="0"/>
              <w:spacing w:before="0" w:after="0" w:line="240" w:lineRule="auto"/>
              <w:jc w:val="right"/>
            </w:pPr>
            <w:r>
              <w:rPr>
                <w:color w:val="000000"/>
                <w:szCs w:val="17"/>
              </w:rPr>
              <w:t>442</w:t>
            </w:r>
          </w:p>
        </w:tc>
      </w:tr>
      <w:tr w:rsidR="006D7C8D" w:rsidRPr="00721FF0" w14:paraId="2A11F6BD" w14:textId="77777777" w:rsidTr="00444693">
        <w:trPr>
          <w:cantSplit/>
          <w:trHeight w:val="13"/>
        </w:trPr>
        <w:tc>
          <w:tcPr>
            <w:tcW w:w="583" w:type="pct"/>
            <w:vMerge/>
          </w:tcPr>
          <w:p w14:paraId="7A4DD9B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7A52076"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4DB1B85" w14:textId="77777777" w:rsidR="006D7C8D" w:rsidRDefault="006D7C8D" w:rsidP="00444693">
            <w:pPr>
              <w:pStyle w:val="TableText"/>
              <w:widowControl w:val="0"/>
              <w:suppressAutoHyphens w:val="0"/>
              <w:spacing w:before="0" w:after="0" w:line="240" w:lineRule="auto"/>
              <w:rPr>
                <w:szCs w:val="17"/>
              </w:rPr>
            </w:pPr>
          </w:p>
        </w:tc>
        <w:tc>
          <w:tcPr>
            <w:tcW w:w="514" w:type="pct"/>
          </w:tcPr>
          <w:p w14:paraId="54BB9030" w14:textId="77777777" w:rsidR="006D7C8D" w:rsidRDefault="006D7C8D" w:rsidP="00D53099">
            <w:pPr>
              <w:pStyle w:val="TableText"/>
              <w:widowControl w:val="0"/>
              <w:suppressAutoHyphens w:val="0"/>
              <w:spacing w:before="0" w:after="0" w:line="240" w:lineRule="auto"/>
              <w:jc w:val="right"/>
            </w:pPr>
            <w:r w:rsidRPr="00B850F3">
              <w:t>17.2</w:t>
            </w:r>
          </w:p>
        </w:tc>
        <w:tc>
          <w:tcPr>
            <w:tcW w:w="662" w:type="pct"/>
            <w:vAlign w:val="center"/>
          </w:tcPr>
          <w:p w14:paraId="3A97573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5AFA4B72" w14:textId="77777777" w:rsidR="006D7C8D" w:rsidRPr="003B78B6" w:rsidRDefault="006D7C8D" w:rsidP="00D53099">
            <w:pPr>
              <w:pStyle w:val="TableText"/>
              <w:widowControl w:val="0"/>
              <w:suppressAutoHyphens w:val="0"/>
              <w:spacing w:before="0" w:after="0" w:line="240" w:lineRule="auto"/>
              <w:jc w:val="right"/>
            </w:pPr>
            <w:r>
              <w:rPr>
                <w:color w:val="1A1B1A"/>
                <w:szCs w:val="17"/>
              </w:rPr>
              <w:t>5.2</w:t>
            </w:r>
          </w:p>
        </w:tc>
        <w:tc>
          <w:tcPr>
            <w:tcW w:w="367" w:type="pct"/>
            <w:vAlign w:val="center"/>
          </w:tcPr>
          <w:p w14:paraId="4F2D4C86" w14:textId="77777777" w:rsidR="006D7C8D" w:rsidRPr="00721FF0" w:rsidRDefault="006D7C8D" w:rsidP="00D53099">
            <w:pPr>
              <w:pStyle w:val="TableText"/>
              <w:widowControl w:val="0"/>
              <w:suppressAutoHyphens w:val="0"/>
              <w:spacing w:before="0" w:after="0" w:line="240" w:lineRule="auto"/>
              <w:jc w:val="right"/>
            </w:pPr>
            <w:r>
              <w:rPr>
                <w:color w:val="1A1B1A"/>
                <w:szCs w:val="17"/>
              </w:rPr>
              <w:t>0.68</w:t>
            </w:r>
          </w:p>
        </w:tc>
        <w:tc>
          <w:tcPr>
            <w:tcW w:w="585" w:type="pct"/>
            <w:vAlign w:val="bottom"/>
          </w:tcPr>
          <w:p w14:paraId="17DD910A" w14:textId="77777777" w:rsidR="006D7C8D" w:rsidRPr="00721FF0" w:rsidRDefault="006D7C8D" w:rsidP="00D53099">
            <w:pPr>
              <w:pStyle w:val="TableText"/>
              <w:widowControl w:val="0"/>
              <w:suppressAutoHyphens w:val="0"/>
              <w:spacing w:before="0" w:after="0" w:line="240" w:lineRule="auto"/>
              <w:jc w:val="right"/>
            </w:pPr>
            <w:r>
              <w:rPr>
                <w:color w:val="000000"/>
                <w:szCs w:val="17"/>
              </w:rPr>
              <w:t>442</w:t>
            </w:r>
          </w:p>
        </w:tc>
      </w:tr>
      <w:tr w:rsidR="006D7C8D" w:rsidRPr="00721FF0" w14:paraId="156899ED" w14:textId="77777777" w:rsidTr="00444693">
        <w:trPr>
          <w:cantSplit/>
          <w:trHeight w:val="13"/>
        </w:trPr>
        <w:tc>
          <w:tcPr>
            <w:tcW w:w="583" w:type="pct"/>
            <w:vMerge/>
          </w:tcPr>
          <w:p w14:paraId="0E337CCA"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84719D6" w14:textId="77777777" w:rsidR="006D7C8D" w:rsidRPr="00336DF4" w:rsidRDefault="006D7C8D" w:rsidP="00444693">
            <w:pPr>
              <w:pStyle w:val="TableText"/>
              <w:widowControl w:val="0"/>
              <w:suppressAutoHyphens w:val="0"/>
              <w:spacing w:before="0" w:after="0" w:line="240" w:lineRule="auto"/>
              <w:rPr>
                <w:szCs w:val="17"/>
              </w:rPr>
            </w:pPr>
            <w:r>
              <w:rPr>
                <w:szCs w:val="17"/>
              </w:rPr>
              <w:t>Small insectivore</w:t>
            </w:r>
          </w:p>
        </w:tc>
        <w:tc>
          <w:tcPr>
            <w:tcW w:w="634" w:type="pct"/>
            <w:vMerge w:val="restart"/>
            <w:tcBorders>
              <w:top w:val="single" w:sz="4" w:space="0" w:color="auto"/>
            </w:tcBorders>
          </w:tcPr>
          <w:p w14:paraId="0AB71963" w14:textId="77777777" w:rsidR="006D7C8D" w:rsidRDefault="006D7C8D" w:rsidP="00444693">
            <w:pPr>
              <w:pStyle w:val="TableText"/>
              <w:widowControl w:val="0"/>
              <w:suppressAutoHyphens w:val="0"/>
              <w:spacing w:before="0" w:after="0" w:line="240" w:lineRule="auto"/>
              <w:rPr>
                <w:szCs w:val="17"/>
              </w:rPr>
            </w:pPr>
            <w:r>
              <w:rPr>
                <w:szCs w:val="17"/>
              </w:rPr>
              <w:t>BBCH 10-19</w:t>
            </w:r>
          </w:p>
        </w:tc>
        <w:tc>
          <w:tcPr>
            <w:tcW w:w="514" w:type="pct"/>
            <w:tcBorders>
              <w:top w:val="single" w:sz="4" w:space="0" w:color="auto"/>
            </w:tcBorders>
          </w:tcPr>
          <w:p w14:paraId="2D559AFF" w14:textId="77777777" w:rsidR="006D7C8D" w:rsidRDefault="006D7C8D" w:rsidP="00D53099">
            <w:pPr>
              <w:pStyle w:val="TableText"/>
              <w:widowControl w:val="0"/>
              <w:suppressAutoHyphens w:val="0"/>
              <w:spacing w:before="0" w:after="0" w:line="240" w:lineRule="auto"/>
              <w:jc w:val="right"/>
            </w:pPr>
            <w:r>
              <w:t>7.6</w:t>
            </w:r>
          </w:p>
        </w:tc>
        <w:tc>
          <w:tcPr>
            <w:tcW w:w="662" w:type="pct"/>
            <w:tcBorders>
              <w:top w:val="single" w:sz="4" w:space="0" w:color="auto"/>
            </w:tcBorders>
            <w:vAlign w:val="center"/>
          </w:tcPr>
          <w:p w14:paraId="4827ECA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3EAF59A0" w14:textId="77777777" w:rsidR="006D7C8D" w:rsidRPr="003B78B6" w:rsidRDefault="006D7C8D" w:rsidP="00D53099">
            <w:pPr>
              <w:pStyle w:val="TableText"/>
              <w:widowControl w:val="0"/>
              <w:suppressAutoHyphens w:val="0"/>
              <w:spacing w:before="0" w:after="0" w:line="240" w:lineRule="auto"/>
              <w:jc w:val="right"/>
            </w:pPr>
            <w:r>
              <w:rPr>
                <w:color w:val="1A1B1A"/>
                <w:szCs w:val="17"/>
              </w:rPr>
              <w:t>3.8</w:t>
            </w:r>
          </w:p>
        </w:tc>
        <w:tc>
          <w:tcPr>
            <w:tcW w:w="367" w:type="pct"/>
            <w:tcBorders>
              <w:top w:val="single" w:sz="4" w:space="0" w:color="auto"/>
            </w:tcBorders>
            <w:vAlign w:val="center"/>
          </w:tcPr>
          <w:p w14:paraId="680E327A" w14:textId="77777777" w:rsidR="006D7C8D" w:rsidRPr="00721FF0" w:rsidRDefault="006D7C8D" w:rsidP="00D53099">
            <w:pPr>
              <w:pStyle w:val="TableText"/>
              <w:widowControl w:val="0"/>
              <w:suppressAutoHyphens w:val="0"/>
              <w:spacing w:before="0" w:after="0" w:line="240" w:lineRule="auto"/>
              <w:jc w:val="right"/>
            </w:pPr>
            <w:r>
              <w:rPr>
                <w:color w:val="1A1B1A"/>
                <w:szCs w:val="17"/>
              </w:rPr>
              <w:t>0.50</w:t>
            </w:r>
          </w:p>
        </w:tc>
        <w:tc>
          <w:tcPr>
            <w:tcW w:w="585" w:type="pct"/>
            <w:tcBorders>
              <w:top w:val="single" w:sz="4" w:space="0" w:color="auto"/>
            </w:tcBorders>
            <w:vAlign w:val="bottom"/>
          </w:tcPr>
          <w:p w14:paraId="03B36CFB" w14:textId="77777777" w:rsidR="006D7C8D" w:rsidRPr="00721FF0" w:rsidRDefault="006D7C8D" w:rsidP="00D53099">
            <w:pPr>
              <w:pStyle w:val="TableText"/>
              <w:widowControl w:val="0"/>
              <w:suppressAutoHyphens w:val="0"/>
              <w:spacing w:before="0" w:after="0" w:line="240" w:lineRule="auto"/>
              <w:jc w:val="right"/>
            </w:pPr>
            <w:r>
              <w:rPr>
                <w:color w:val="000000"/>
                <w:szCs w:val="17"/>
              </w:rPr>
              <w:t>1000</w:t>
            </w:r>
          </w:p>
        </w:tc>
      </w:tr>
      <w:tr w:rsidR="006D7C8D" w:rsidRPr="00721FF0" w14:paraId="5C534686" w14:textId="77777777" w:rsidTr="00444693">
        <w:trPr>
          <w:cantSplit/>
          <w:trHeight w:val="13"/>
        </w:trPr>
        <w:tc>
          <w:tcPr>
            <w:tcW w:w="583" w:type="pct"/>
            <w:vMerge/>
          </w:tcPr>
          <w:p w14:paraId="68E5CA2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289F936"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122A76CB" w14:textId="77777777" w:rsidR="006D7C8D" w:rsidRDefault="006D7C8D" w:rsidP="00444693">
            <w:pPr>
              <w:pStyle w:val="TableText"/>
              <w:widowControl w:val="0"/>
              <w:suppressAutoHyphens w:val="0"/>
              <w:spacing w:before="0" w:after="0" w:line="240" w:lineRule="auto"/>
              <w:rPr>
                <w:szCs w:val="17"/>
              </w:rPr>
            </w:pPr>
          </w:p>
        </w:tc>
        <w:tc>
          <w:tcPr>
            <w:tcW w:w="514" w:type="pct"/>
          </w:tcPr>
          <w:p w14:paraId="021C0BFD" w14:textId="77777777" w:rsidR="006D7C8D" w:rsidRDefault="006D7C8D" w:rsidP="00D53099">
            <w:pPr>
              <w:pStyle w:val="TableText"/>
              <w:widowControl w:val="0"/>
              <w:suppressAutoHyphens w:val="0"/>
              <w:spacing w:before="0" w:after="0" w:line="240" w:lineRule="auto"/>
              <w:jc w:val="right"/>
            </w:pPr>
            <w:r w:rsidRPr="00CD1B22">
              <w:t>7.6</w:t>
            </w:r>
          </w:p>
        </w:tc>
        <w:tc>
          <w:tcPr>
            <w:tcW w:w="662" w:type="pct"/>
            <w:vAlign w:val="center"/>
          </w:tcPr>
          <w:p w14:paraId="09048BE8"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0E77F018" w14:textId="77777777" w:rsidR="006D7C8D" w:rsidRPr="003B78B6" w:rsidRDefault="006D7C8D" w:rsidP="00D53099">
            <w:pPr>
              <w:pStyle w:val="TableText"/>
              <w:widowControl w:val="0"/>
              <w:suppressAutoHyphens w:val="0"/>
              <w:spacing w:before="0" w:after="0" w:line="240" w:lineRule="auto"/>
              <w:jc w:val="right"/>
            </w:pPr>
            <w:r>
              <w:rPr>
                <w:color w:val="1A1B1A"/>
                <w:szCs w:val="17"/>
              </w:rPr>
              <w:t>2.3</w:t>
            </w:r>
          </w:p>
        </w:tc>
        <w:tc>
          <w:tcPr>
            <w:tcW w:w="367" w:type="pct"/>
            <w:vAlign w:val="center"/>
          </w:tcPr>
          <w:p w14:paraId="2A4284A7" w14:textId="77777777" w:rsidR="006D7C8D" w:rsidRPr="00721FF0" w:rsidRDefault="006D7C8D" w:rsidP="00D53099">
            <w:pPr>
              <w:pStyle w:val="TableText"/>
              <w:widowControl w:val="0"/>
              <w:suppressAutoHyphens w:val="0"/>
              <w:spacing w:before="0" w:after="0" w:line="240" w:lineRule="auto"/>
              <w:jc w:val="right"/>
            </w:pPr>
            <w:r>
              <w:rPr>
                <w:color w:val="1A1B1A"/>
                <w:szCs w:val="17"/>
              </w:rPr>
              <w:t>0.30</w:t>
            </w:r>
          </w:p>
        </w:tc>
        <w:tc>
          <w:tcPr>
            <w:tcW w:w="585" w:type="pct"/>
            <w:vAlign w:val="bottom"/>
          </w:tcPr>
          <w:p w14:paraId="54E7D13F" w14:textId="77777777" w:rsidR="006D7C8D" w:rsidRPr="00721FF0" w:rsidRDefault="006D7C8D" w:rsidP="00D53099">
            <w:pPr>
              <w:pStyle w:val="TableText"/>
              <w:widowControl w:val="0"/>
              <w:suppressAutoHyphens w:val="0"/>
              <w:spacing w:before="0" w:after="0" w:line="240" w:lineRule="auto"/>
              <w:jc w:val="right"/>
            </w:pPr>
            <w:r>
              <w:rPr>
                <w:color w:val="000000"/>
                <w:szCs w:val="17"/>
              </w:rPr>
              <w:t>1000</w:t>
            </w:r>
          </w:p>
        </w:tc>
      </w:tr>
      <w:tr w:rsidR="006D7C8D" w:rsidRPr="00721FF0" w14:paraId="43AED070" w14:textId="77777777" w:rsidTr="00444693">
        <w:trPr>
          <w:cantSplit/>
          <w:trHeight w:val="13"/>
        </w:trPr>
        <w:tc>
          <w:tcPr>
            <w:tcW w:w="583" w:type="pct"/>
            <w:vMerge w:val="restart"/>
            <w:tcBorders>
              <w:top w:val="single" w:sz="4" w:space="0" w:color="auto"/>
            </w:tcBorders>
          </w:tcPr>
          <w:p w14:paraId="01C562BE" w14:textId="77777777" w:rsidR="006D7C8D" w:rsidRDefault="006D7C8D" w:rsidP="00444693">
            <w:pPr>
              <w:pStyle w:val="TableText"/>
              <w:widowControl w:val="0"/>
              <w:suppressAutoHyphens w:val="0"/>
              <w:spacing w:before="0" w:after="0" w:line="240" w:lineRule="auto"/>
              <w:rPr>
                <w:szCs w:val="17"/>
              </w:rPr>
            </w:pPr>
            <w:r>
              <w:rPr>
                <w:szCs w:val="17"/>
              </w:rPr>
              <w:t>Orchards</w:t>
            </w:r>
          </w:p>
        </w:tc>
        <w:tc>
          <w:tcPr>
            <w:tcW w:w="772" w:type="pct"/>
            <w:vMerge w:val="restart"/>
            <w:tcBorders>
              <w:top w:val="single" w:sz="4" w:space="0" w:color="auto"/>
            </w:tcBorders>
          </w:tcPr>
          <w:p w14:paraId="0C69C142" w14:textId="77777777" w:rsidR="006D7C8D" w:rsidRDefault="006D7C8D" w:rsidP="00444693">
            <w:pPr>
              <w:pStyle w:val="TableText"/>
              <w:widowControl w:val="0"/>
              <w:suppressAutoHyphens w:val="0"/>
              <w:spacing w:before="0" w:after="0" w:line="240" w:lineRule="auto"/>
              <w:rPr>
                <w:szCs w:val="17"/>
              </w:rPr>
            </w:pPr>
            <w:r w:rsidRPr="00B6513E">
              <w:rPr>
                <w:szCs w:val="17"/>
              </w:rPr>
              <w:t>Small herbivore</w:t>
            </w:r>
          </w:p>
        </w:tc>
        <w:tc>
          <w:tcPr>
            <w:tcW w:w="634" w:type="pct"/>
            <w:vMerge w:val="restart"/>
            <w:tcBorders>
              <w:top w:val="single" w:sz="4" w:space="0" w:color="auto"/>
            </w:tcBorders>
          </w:tcPr>
          <w:p w14:paraId="5027B73A" w14:textId="77777777" w:rsidR="006D7C8D" w:rsidRDefault="006D7C8D" w:rsidP="00444693">
            <w:pPr>
              <w:pStyle w:val="TableText"/>
              <w:widowControl w:val="0"/>
              <w:suppressAutoHyphens w:val="0"/>
              <w:spacing w:before="0" w:after="0" w:line="240" w:lineRule="auto"/>
              <w:rPr>
                <w:szCs w:val="17"/>
              </w:rPr>
            </w:pPr>
            <w:r w:rsidRPr="00C20C79">
              <w:rPr>
                <w:szCs w:val="17"/>
              </w:rPr>
              <w:t>Ground directed</w:t>
            </w:r>
          </w:p>
        </w:tc>
        <w:tc>
          <w:tcPr>
            <w:tcW w:w="514" w:type="pct"/>
            <w:tcBorders>
              <w:top w:val="single" w:sz="4" w:space="0" w:color="auto"/>
            </w:tcBorders>
            <w:shd w:val="clear" w:color="auto" w:fill="D5D7D5" w:themeFill="text1" w:themeFillTint="33"/>
          </w:tcPr>
          <w:p w14:paraId="1EAD0A06" w14:textId="77777777" w:rsidR="006D7C8D" w:rsidRDefault="006D7C8D" w:rsidP="00D53099">
            <w:pPr>
              <w:pStyle w:val="TableText"/>
              <w:widowControl w:val="0"/>
              <w:suppressAutoHyphens w:val="0"/>
              <w:spacing w:before="0" w:after="0" w:line="240" w:lineRule="auto"/>
              <w:jc w:val="right"/>
            </w:pPr>
            <w:r w:rsidRPr="000B2FAB">
              <w:rPr>
                <w:szCs w:val="17"/>
              </w:rPr>
              <w:t>112</w:t>
            </w:r>
            <w:r w:rsidRPr="000B2FAB">
              <w:rPr>
                <w:szCs w:val="17"/>
                <w:vertAlign w:val="superscript"/>
              </w:rPr>
              <w:t>a</w:t>
            </w:r>
          </w:p>
        </w:tc>
        <w:tc>
          <w:tcPr>
            <w:tcW w:w="662" w:type="pct"/>
            <w:tcBorders>
              <w:top w:val="single" w:sz="4" w:space="0" w:color="auto"/>
            </w:tcBorders>
            <w:vAlign w:val="center"/>
          </w:tcPr>
          <w:p w14:paraId="6F664A3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4239149D" w14:textId="77777777" w:rsidR="006D7C8D" w:rsidRPr="003B78B6" w:rsidRDefault="006D7C8D" w:rsidP="00D53099">
            <w:pPr>
              <w:pStyle w:val="TableText"/>
              <w:widowControl w:val="0"/>
              <w:suppressAutoHyphens w:val="0"/>
              <w:spacing w:before="0" w:after="0" w:line="240" w:lineRule="auto"/>
              <w:jc w:val="right"/>
            </w:pPr>
            <w:r>
              <w:rPr>
                <w:color w:val="1A1B1A"/>
                <w:szCs w:val="17"/>
              </w:rPr>
              <w:t>90</w:t>
            </w:r>
          </w:p>
        </w:tc>
        <w:tc>
          <w:tcPr>
            <w:tcW w:w="367" w:type="pct"/>
            <w:tcBorders>
              <w:top w:val="single" w:sz="4" w:space="0" w:color="auto"/>
            </w:tcBorders>
            <w:shd w:val="clear" w:color="auto" w:fill="FF0000"/>
            <w:vAlign w:val="center"/>
          </w:tcPr>
          <w:p w14:paraId="22D8AA9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11.8</w:t>
            </w:r>
          </w:p>
        </w:tc>
        <w:tc>
          <w:tcPr>
            <w:tcW w:w="585" w:type="pct"/>
            <w:tcBorders>
              <w:top w:val="single" w:sz="4" w:space="0" w:color="auto"/>
            </w:tcBorders>
            <w:vAlign w:val="bottom"/>
          </w:tcPr>
          <w:p w14:paraId="6D146D37"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209D51A3" w14:textId="77777777" w:rsidTr="00444693">
        <w:trPr>
          <w:cantSplit/>
          <w:trHeight w:val="13"/>
        </w:trPr>
        <w:tc>
          <w:tcPr>
            <w:tcW w:w="583" w:type="pct"/>
            <w:vMerge/>
          </w:tcPr>
          <w:p w14:paraId="247F4376"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14BD97D"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15E35F2A"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4EC67E10" w14:textId="77777777" w:rsidR="006D7C8D" w:rsidRPr="000B2FAB" w:rsidRDefault="006D7C8D" w:rsidP="00D53099">
            <w:pPr>
              <w:pStyle w:val="TableText"/>
              <w:widowControl w:val="0"/>
              <w:suppressAutoHyphens w:val="0"/>
              <w:spacing w:before="0" w:after="0" w:line="240" w:lineRule="auto"/>
              <w:jc w:val="right"/>
              <w:rPr>
                <w:szCs w:val="17"/>
              </w:rPr>
            </w:pPr>
            <w:r w:rsidRPr="00A9269F">
              <w:rPr>
                <w:szCs w:val="17"/>
              </w:rPr>
              <w:t>112</w:t>
            </w:r>
            <w:r w:rsidRPr="00A9269F">
              <w:rPr>
                <w:szCs w:val="17"/>
                <w:vertAlign w:val="superscript"/>
              </w:rPr>
              <w:t>a</w:t>
            </w:r>
          </w:p>
        </w:tc>
        <w:tc>
          <w:tcPr>
            <w:tcW w:w="662" w:type="pct"/>
            <w:vAlign w:val="center"/>
          </w:tcPr>
          <w:p w14:paraId="2FDF014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1941F0D8" w14:textId="77777777" w:rsidR="006D7C8D" w:rsidRPr="003B78B6" w:rsidRDefault="006D7C8D" w:rsidP="00D53099">
            <w:pPr>
              <w:pStyle w:val="TableText"/>
              <w:widowControl w:val="0"/>
              <w:suppressAutoHyphens w:val="0"/>
              <w:spacing w:before="0" w:after="0" w:line="240" w:lineRule="auto"/>
              <w:jc w:val="right"/>
            </w:pPr>
            <w:r>
              <w:rPr>
                <w:color w:val="1A1B1A"/>
                <w:szCs w:val="17"/>
              </w:rPr>
              <w:t>67</w:t>
            </w:r>
          </w:p>
        </w:tc>
        <w:tc>
          <w:tcPr>
            <w:tcW w:w="367" w:type="pct"/>
            <w:shd w:val="clear" w:color="auto" w:fill="FF0000"/>
            <w:vAlign w:val="center"/>
          </w:tcPr>
          <w:p w14:paraId="11C14A57"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8.8</w:t>
            </w:r>
          </w:p>
        </w:tc>
        <w:tc>
          <w:tcPr>
            <w:tcW w:w="585" w:type="pct"/>
            <w:vAlign w:val="bottom"/>
          </w:tcPr>
          <w:p w14:paraId="3F4DA41A"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3B62C4F0" w14:textId="77777777" w:rsidTr="00444693">
        <w:trPr>
          <w:cantSplit/>
          <w:trHeight w:val="13"/>
        </w:trPr>
        <w:tc>
          <w:tcPr>
            <w:tcW w:w="583" w:type="pct"/>
            <w:vMerge/>
          </w:tcPr>
          <w:p w14:paraId="4E51AC0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E41BC99"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2AECFF91"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1152A2D" w14:textId="77777777" w:rsidR="006D7C8D" w:rsidRPr="000B2FAB" w:rsidRDefault="006D7C8D" w:rsidP="00D53099">
            <w:pPr>
              <w:pStyle w:val="TableText"/>
              <w:widowControl w:val="0"/>
              <w:suppressAutoHyphens w:val="0"/>
              <w:spacing w:before="0" w:after="0" w:line="240" w:lineRule="auto"/>
              <w:jc w:val="right"/>
              <w:rPr>
                <w:szCs w:val="17"/>
              </w:rPr>
            </w:pPr>
            <w:r w:rsidRPr="00A9269F">
              <w:rPr>
                <w:szCs w:val="17"/>
              </w:rPr>
              <w:t>112</w:t>
            </w:r>
            <w:r w:rsidRPr="00A9269F">
              <w:rPr>
                <w:szCs w:val="17"/>
                <w:vertAlign w:val="superscript"/>
              </w:rPr>
              <w:t>a</w:t>
            </w:r>
          </w:p>
        </w:tc>
        <w:tc>
          <w:tcPr>
            <w:tcW w:w="662" w:type="pct"/>
            <w:vAlign w:val="center"/>
          </w:tcPr>
          <w:p w14:paraId="03FFEBA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0BFFF6FB" w14:textId="77777777" w:rsidR="006D7C8D" w:rsidRPr="003B78B6" w:rsidRDefault="006D7C8D" w:rsidP="00D53099">
            <w:pPr>
              <w:pStyle w:val="TableText"/>
              <w:widowControl w:val="0"/>
              <w:suppressAutoHyphens w:val="0"/>
              <w:spacing w:before="0" w:after="0" w:line="240" w:lineRule="auto"/>
              <w:jc w:val="right"/>
            </w:pPr>
            <w:r>
              <w:rPr>
                <w:color w:val="1A1B1A"/>
                <w:szCs w:val="17"/>
              </w:rPr>
              <w:t>45</w:t>
            </w:r>
          </w:p>
        </w:tc>
        <w:tc>
          <w:tcPr>
            <w:tcW w:w="367" w:type="pct"/>
            <w:shd w:val="clear" w:color="auto" w:fill="FF0000"/>
            <w:vAlign w:val="center"/>
          </w:tcPr>
          <w:p w14:paraId="75B2AD15"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5.9</w:t>
            </w:r>
          </w:p>
        </w:tc>
        <w:tc>
          <w:tcPr>
            <w:tcW w:w="585" w:type="pct"/>
            <w:vAlign w:val="bottom"/>
          </w:tcPr>
          <w:p w14:paraId="62A6FDC8"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602C7482" w14:textId="77777777" w:rsidTr="00444693">
        <w:trPr>
          <w:cantSplit/>
          <w:trHeight w:val="13"/>
        </w:trPr>
        <w:tc>
          <w:tcPr>
            <w:tcW w:w="583" w:type="pct"/>
            <w:vMerge/>
          </w:tcPr>
          <w:p w14:paraId="5729F88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02FA4D1"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3ED296A1"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2FE97AE1" w14:textId="77777777" w:rsidR="006D7C8D" w:rsidRPr="000B2FAB" w:rsidRDefault="006D7C8D" w:rsidP="00D53099">
            <w:pPr>
              <w:pStyle w:val="TableText"/>
              <w:widowControl w:val="0"/>
              <w:suppressAutoHyphens w:val="0"/>
              <w:spacing w:before="0" w:after="0" w:line="240" w:lineRule="auto"/>
              <w:jc w:val="right"/>
              <w:rPr>
                <w:szCs w:val="17"/>
              </w:rPr>
            </w:pPr>
            <w:r w:rsidRPr="00A9269F">
              <w:rPr>
                <w:szCs w:val="17"/>
              </w:rPr>
              <w:t>112</w:t>
            </w:r>
            <w:r w:rsidRPr="00A9269F">
              <w:rPr>
                <w:szCs w:val="17"/>
                <w:vertAlign w:val="superscript"/>
              </w:rPr>
              <w:t>a</w:t>
            </w:r>
          </w:p>
        </w:tc>
        <w:tc>
          <w:tcPr>
            <w:tcW w:w="662" w:type="pct"/>
            <w:vAlign w:val="center"/>
          </w:tcPr>
          <w:p w14:paraId="2B1BCA2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64280247" w14:textId="77777777" w:rsidR="006D7C8D" w:rsidRPr="003B78B6" w:rsidRDefault="006D7C8D" w:rsidP="00D53099">
            <w:pPr>
              <w:pStyle w:val="TableText"/>
              <w:widowControl w:val="0"/>
              <w:suppressAutoHyphens w:val="0"/>
              <w:spacing w:before="0" w:after="0" w:line="240" w:lineRule="auto"/>
              <w:jc w:val="right"/>
            </w:pPr>
            <w:r>
              <w:rPr>
                <w:color w:val="1A1B1A"/>
                <w:szCs w:val="17"/>
              </w:rPr>
              <w:t>36</w:t>
            </w:r>
          </w:p>
        </w:tc>
        <w:tc>
          <w:tcPr>
            <w:tcW w:w="367" w:type="pct"/>
            <w:shd w:val="clear" w:color="auto" w:fill="FF0000"/>
            <w:vAlign w:val="center"/>
          </w:tcPr>
          <w:p w14:paraId="6DEC472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4.7</w:t>
            </w:r>
          </w:p>
        </w:tc>
        <w:tc>
          <w:tcPr>
            <w:tcW w:w="585" w:type="pct"/>
            <w:vAlign w:val="bottom"/>
          </w:tcPr>
          <w:p w14:paraId="1C7218C1"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1EA73610" w14:textId="77777777" w:rsidTr="00444693">
        <w:trPr>
          <w:cantSplit/>
          <w:trHeight w:val="13"/>
        </w:trPr>
        <w:tc>
          <w:tcPr>
            <w:tcW w:w="583" w:type="pct"/>
            <w:vMerge/>
          </w:tcPr>
          <w:p w14:paraId="247E9B9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824773B"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19FED7D2"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0AA4E68" w14:textId="77777777" w:rsidR="006D7C8D" w:rsidRPr="000B2FAB" w:rsidRDefault="006D7C8D" w:rsidP="00D53099">
            <w:pPr>
              <w:pStyle w:val="TableText"/>
              <w:widowControl w:val="0"/>
              <w:suppressAutoHyphens w:val="0"/>
              <w:spacing w:before="0" w:after="0" w:line="240" w:lineRule="auto"/>
              <w:jc w:val="right"/>
              <w:rPr>
                <w:szCs w:val="17"/>
              </w:rPr>
            </w:pPr>
            <w:r w:rsidRPr="00A9269F">
              <w:rPr>
                <w:szCs w:val="17"/>
              </w:rPr>
              <w:t>112</w:t>
            </w:r>
            <w:r w:rsidRPr="00A9269F">
              <w:rPr>
                <w:szCs w:val="17"/>
                <w:vertAlign w:val="superscript"/>
              </w:rPr>
              <w:t>a</w:t>
            </w:r>
          </w:p>
        </w:tc>
        <w:tc>
          <w:tcPr>
            <w:tcW w:w="662" w:type="pct"/>
            <w:vAlign w:val="center"/>
          </w:tcPr>
          <w:p w14:paraId="008ED1B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020F019E" w14:textId="77777777" w:rsidR="006D7C8D" w:rsidRPr="003B78B6" w:rsidRDefault="006D7C8D" w:rsidP="00D53099">
            <w:pPr>
              <w:pStyle w:val="TableText"/>
              <w:widowControl w:val="0"/>
              <w:suppressAutoHyphens w:val="0"/>
              <w:spacing w:before="0" w:after="0" w:line="240" w:lineRule="auto"/>
              <w:jc w:val="right"/>
            </w:pPr>
            <w:r>
              <w:rPr>
                <w:color w:val="1A1B1A"/>
                <w:szCs w:val="17"/>
              </w:rPr>
              <w:t>27</w:t>
            </w:r>
          </w:p>
        </w:tc>
        <w:tc>
          <w:tcPr>
            <w:tcW w:w="367" w:type="pct"/>
            <w:shd w:val="clear" w:color="auto" w:fill="FF0000"/>
            <w:vAlign w:val="center"/>
          </w:tcPr>
          <w:p w14:paraId="14BDB21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3.5</w:t>
            </w:r>
          </w:p>
        </w:tc>
        <w:tc>
          <w:tcPr>
            <w:tcW w:w="585" w:type="pct"/>
            <w:vAlign w:val="bottom"/>
          </w:tcPr>
          <w:p w14:paraId="4C66CBDA"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16E0E14F" w14:textId="77777777" w:rsidTr="00444693">
        <w:trPr>
          <w:cantSplit/>
          <w:trHeight w:val="13"/>
        </w:trPr>
        <w:tc>
          <w:tcPr>
            <w:tcW w:w="583" w:type="pct"/>
            <w:vMerge/>
          </w:tcPr>
          <w:p w14:paraId="0FD1C71A"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DCFE843"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2C0E5EE8"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3E5BBAD4" w14:textId="77777777" w:rsidR="006D7C8D" w:rsidRPr="000B2FAB" w:rsidRDefault="006D7C8D" w:rsidP="00D53099">
            <w:pPr>
              <w:pStyle w:val="TableText"/>
              <w:widowControl w:val="0"/>
              <w:suppressAutoHyphens w:val="0"/>
              <w:spacing w:before="0" w:after="0" w:line="240" w:lineRule="auto"/>
              <w:jc w:val="right"/>
              <w:rPr>
                <w:szCs w:val="17"/>
              </w:rPr>
            </w:pPr>
            <w:r w:rsidRPr="00A9269F">
              <w:rPr>
                <w:szCs w:val="17"/>
              </w:rPr>
              <w:t>112</w:t>
            </w:r>
            <w:r w:rsidRPr="00A9269F">
              <w:rPr>
                <w:szCs w:val="17"/>
                <w:vertAlign w:val="superscript"/>
              </w:rPr>
              <w:t>a</w:t>
            </w:r>
          </w:p>
        </w:tc>
        <w:tc>
          <w:tcPr>
            <w:tcW w:w="662" w:type="pct"/>
            <w:vAlign w:val="center"/>
          </w:tcPr>
          <w:p w14:paraId="601B3AF8"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120</w:t>
            </w:r>
          </w:p>
        </w:tc>
        <w:tc>
          <w:tcPr>
            <w:tcW w:w="883" w:type="pct"/>
            <w:vAlign w:val="center"/>
          </w:tcPr>
          <w:p w14:paraId="0FB221C6"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shd w:val="clear" w:color="auto" w:fill="FF0000"/>
            <w:vAlign w:val="center"/>
          </w:tcPr>
          <w:p w14:paraId="3FC66F10"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1.8</w:t>
            </w:r>
          </w:p>
        </w:tc>
        <w:tc>
          <w:tcPr>
            <w:tcW w:w="585" w:type="pct"/>
            <w:vAlign w:val="bottom"/>
          </w:tcPr>
          <w:p w14:paraId="3A9F9340"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5674015D" w14:textId="77777777" w:rsidTr="00444693">
        <w:trPr>
          <w:cantSplit/>
          <w:trHeight w:val="13"/>
        </w:trPr>
        <w:tc>
          <w:tcPr>
            <w:tcW w:w="583" w:type="pct"/>
            <w:vMerge/>
          </w:tcPr>
          <w:p w14:paraId="4C304C1F"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73E5127B" w14:textId="77777777" w:rsidR="006D7C8D" w:rsidRDefault="006D7C8D" w:rsidP="00444693">
            <w:pPr>
              <w:pStyle w:val="TableText"/>
              <w:widowControl w:val="0"/>
              <w:suppressAutoHyphens w:val="0"/>
              <w:spacing w:before="0" w:after="0" w:line="240" w:lineRule="auto"/>
              <w:rPr>
                <w:szCs w:val="17"/>
              </w:rPr>
            </w:pPr>
            <w:r>
              <w:rPr>
                <w:szCs w:val="17"/>
              </w:rPr>
              <w:t>Large herbivore</w:t>
            </w:r>
          </w:p>
        </w:tc>
        <w:tc>
          <w:tcPr>
            <w:tcW w:w="634" w:type="pct"/>
            <w:vMerge w:val="restart"/>
            <w:tcBorders>
              <w:top w:val="single" w:sz="4" w:space="0" w:color="auto"/>
            </w:tcBorders>
          </w:tcPr>
          <w:p w14:paraId="3602F4FE" w14:textId="77777777" w:rsidR="006D7C8D" w:rsidRDefault="006D7C8D" w:rsidP="00444693">
            <w:pPr>
              <w:pStyle w:val="TableText"/>
              <w:widowControl w:val="0"/>
              <w:suppressAutoHyphens w:val="0"/>
              <w:spacing w:before="0" w:after="0" w:line="240" w:lineRule="auto"/>
              <w:rPr>
                <w:szCs w:val="17"/>
              </w:rPr>
            </w:pPr>
            <w:r w:rsidRPr="00C20C79">
              <w:rPr>
                <w:szCs w:val="17"/>
              </w:rPr>
              <w:t>Ground directed</w:t>
            </w:r>
          </w:p>
        </w:tc>
        <w:tc>
          <w:tcPr>
            <w:tcW w:w="514" w:type="pct"/>
            <w:tcBorders>
              <w:top w:val="single" w:sz="4" w:space="0" w:color="auto"/>
            </w:tcBorders>
            <w:shd w:val="clear" w:color="auto" w:fill="D5D7D5" w:themeFill="text1" w:themeFillTint="33"/>
          </w:tcPr>
          <w:p w14:paraId="2A7D74F0" w14:textId="77777777" w:rsidR="006D7C8D" w:rsidRDefault="006D7C8D" w:rsidP="00D53099">
            <w:pPr>
              <w:pStyle w:val="TableText"/>
              <w:widowControl w:val="0"/>
              <w:suppressAutoHyphens w:val="0"/>
              <w:spacing w:before="0" w:after="0" w:line="240" w:lineRule="auto"/>
              <w:jc w:val="right"/>
            </w:pPr>
            <w:r>
              <w:t>22.2</w:t>
            </w:r>
            <w:r w:rsidRPr="00634F9D">
              <w:rPr>
                <w:vertAlign w:val="superscript"/>
              </w:rPr>
              <w:t>b</w:t>
            </w:r>
          </w:p>
        </w:tc>
        <w:tc>
          <w:tcPr>
            <w:tcW w:w="662" w:type="pct"/>
            <w:tcBorders>
              <w:top w:val="single" w:sz="4" w:space="0" w:color="auto"/>
            </w:tcBorders>
            <w:vAlign w:val="center"/>
          </w:tcPr>
          <w:p w14:paraId="29FBEBA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408C8F61" w14:textId="77777777" w:rsidR="006D7C8D" w:rsidRPr="003B78B6" w:rsidRDefault="006D7C8D" w:rsidP="00D53099">
            <w:pPr>
              <w:pStyle w:val="TableText"/>
              <w:widowControl w:val="0"/>
              <w:suppressAutoHyphens w:val="0"/>
              <w:spacing w:before="0" w:after="0" w:line="240" w:lineRule="auto"/>
              <w:jc w:val="right"/>
            </w:pPr>
            <w:r>
              <w:rPr>
                <w:color w:val="1A1B1A"/>
                <w:szCs w:val="17"/>
              </w:rPr>
              <w:t>18</w:t>
            </w:r>
          </w:p>
        </w:tc>
        <w:tc>
          <w:tcPr>
            <w:tcW w:w="367" w:type="pct"/>
            <w:tcBorders>
              <w:top w:val="single" w:sz="4" w:space="0" w:color="auto"/>
            </w:tcBorders>
            <w:shd w:val="clear" w:color="auto" w:fill="FF0000"/>
            <w:vAlign w:val="center"/>
          </w:tcPr>
          <w:p w14:paraId="6B656609"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2.3</w:t>
            </w:r>
          </w:p>
        </w:tc>
        <w:tc>
          <w:tcPr>
            <w:tcW w:w="585" w:type="pct"/>
            <w:tcBorders>
              <w:top w:val="single" w:sz="4" w:space="0" w:color="auto"/>
            </w:tcBorders>
            <w:vAlign w:val="bottom"/>
          </w:tcPr>
          <w:p w14:paraId="2C085365"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6F40354B" w14:textId="77777777" w:rsidTr="00444693">
        <w:trPr>
          <w:cantSplit/>
          <w:trHeight w:val="13"/>
        </w:trPr>
        <w:tc>
          <w:tcPr>
            <w:tcW w:w="583" w:type="pct"/>
            <w:vMerge/>
          </w:tcPr>
          <w:p w14:paraId="3B65250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24B3C84"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B5D50CC"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15F16878" w14:textId="77777777" w:rsidR="006D7C8D" w:rsidRDefault="006D7C8D" w:rsidP="00D53099">
            <w:pPr>
              <w:pStyle w:val="TableText"/>
              <w:widowControl w:val="0"/>
              <w:suppressAutoHyphens w:val="0"/>
              <w:spacing w:before="0" w:after="0" w:line="240" w:lineRule="auto"/>
              <w:jc w:val="right"/>
            </w:pPr>
            <w:r w:rsidRPr="0096551D">
              <w:t>22.2</w:t>
            </w:r>
            <w:r w:rsidRPr="0096551D">
              <w:rPr>
                <w:vertAlign w:val="superscript"/>
              </w:rPr>
              <w:t>b</w:t>
            </w:r>
          </w:p>
        </w:tc>
        <w:tc>
          <w:tcPr>
            <w:tcW w:w="662" w:type="pct"/>
            <w:vAlign w:val="center"/>
          </w:tcPr>
          <w:p w14:paraId="69418C9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12BABA19"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shd w:val="clear" w:color="auto" w:fill="FF0000"/>
            <w:vAlign w:val="center"/>
          </w:tcPr>
          <w:p w14:paraId="20820AA1"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1.8</w:t>
            </w:r>
          </w:p>
        </w:tc>
        <w:tc>
          <w:tcPr>
            <w:tcW w:w="585" w:type="pct"/>
            <w:vAlign w:val="bottom"/>
          </w:tcPr>
          <w:p w14:paraId="37DE8926"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0AEBD0A5" w14:textId="77777777" w:rsidTr="00444693">
        <w:trPr>
          <w:cantSplit/>
          <w:trHeight w:val="13"/>
        </w:trPr>
        <w:tc>
          <w:tcPr>
            <w:tcW w:w="583" w:type="pct"/>
            <w:vMerge/>
          </w:tcPr>
          <w:p w14:paraId="0D496AD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493B568"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41A33CAF"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2E5BE09D" w14:textId="77777777" w:rsidR="006D7C8D" w:rsidRDefault="006D7C8D" w:rsidP="00D53099">
            <w:pPr>
              <w:pStyle w:val="TableText"/>
              <w:widowControl w:val="0"/>
              <w:suppressAutoHyphens w:val="0"/>
              <w:spacing w:before="0" w:after="0" w:line="240" w:lineRule="auto"/>
              <w:jc w:val="right"/>
            </w:pPr>
            <w:r w:rsidRPr="0096551D">
              <w:t>22.2</w:t>
            </w:r>
            <w:r w:rsidRPr="0096551D">
              <w:rPr>
                <w:vertAlign w:val="superscript"/>
              </w:rPr>
              <w:t>b</w:t>
            </w:r>
          </w:p>
        </w:tc>
        <w:tc>
          <w:tcPr>
            <w:tcW w:w="662" w:type="pct"/>
            <w:vAlign w:val="center"/>
          </w:tcPr>
          <w:p w14:paraId="15C4B51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3664D75A" w14:textId="77777777" w:rsidR="006D7C8D" w:rsidRPr="003B78B6" w:rsidRDefault="006D7C8D" w:rsidP="00D53099">
            <w:pPr>
              <w:pStyle w:val="TableText"/>
              <w:widowControl w:val="0"/>
              <w:suppressAutoHyphens w:val="0"/>
              <w:spacing w:before="0" w:after="0" w:line="240" w:lineRule="auto"/>
              <w:jc w:val="right"/>
            </w:pPr>
            <w:r>
              <w:rPr>
                <w:color w:val="1A1B1A"/>
                <w:szCs w:val="17"/>
              </w:rPr>
              <w:t>8.9</w:t>
            </w:r>
          </w:p>
        </w:tc>
        <w:tc>
          <w:tcPr>
            <w:tcW w:w="367" w:type="pct"/>
            <w:shd w:val="clear" w:color="auto" w:fill="FF0000"/>
            <w:vAlign w:val="center"/>
          </w:tcPr>
          <w:p w14:paraId="55A66BE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vAlign w:val="bottom"/>
          </w:tcPr>
          <w:p w14:paraId="6C86D023"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5A62883F" w14:textId="77777777" w:rsidTr="00444693">
        <w:trPr>
          <w:cantSplit/>
          <w:trHeight w:val="13"/>
        </w:trPr>
        <w:tc>
          <w:tcPr>
            <w:tcW w:w="583" w:type="pct"/>
            <w:vMerge/>
          </w:tcPr>
          <w:p w14:paraId="13AFFC3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16BC59C"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E88E6A2"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504C372" w14:textId="77777777" w:rsidR="006D7C8D" w:rsidRDefault="006D7C8D" w:rsidP="00D53099">
            <w:pPr>
              <w:pStyle w:val="TableText"/>
              <w:widowControl w:val="0"/>
              <w:suppressAutoHyphens w:val="0"/>
              <w:spacing w:before="0" w:after="0" w:line="240" w:lineRule="auto"/>
              <w:jc w:val="right"/>
            </w:pPr>
            <w:r w:rsidRPr="0096551D">
              <w:t>22.2</w:t>
            </w:r>
            <w:r w:rsidRPr="0096551D">
              <w:rPr>
                <w:vertAlign w:val="superscript"/>
              </w:rPr>
              <w:t>b</w:t>
            </w:r>
          </w:p>
        </w:tc>
        <w:tc>
          <w:tcPr>
            <w:tcW w:w="662" w:type="pct"/>
            <w:vAlign w:val="center"/>
          </w:tcPr>
          <w:p w14:paraId="02CACA2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38B9F690" w14:textId="77777777" w:rsidR="006D7C8D" w:rsidRPr="003B78B6" w:rsidRDefault="006D7C8D" w:rsidP="00D53099">
            <w:pPr>
              <w:pStyle w:val="TableText"/>
              <w:widowControl w:val="0"/>
              <w:suppressAutoHyphens w:val="0"/>
              <w:spacing w:before="0" w:after="0" w:line="240" w:lineRule="auto"/>
              <w:jc w:val="right"/>
            </w:pPr>
            <w:r>
              <w:rPr>
                <w:color w:val="1A1B1A"/>
                <w:szCs w:val="17"/>
              </w:rPr>
              <w:t>7.1</w:t>
            </w:r>
          </w:p>
        </w:tc>
        <w:tc>
          <w:tcPr>
            <w:tcW w:w="367" w:type="pct"/>
            <w:vAlign w:val="center"/>
          </w:tcPr>
          <w:p w14:paraId="5134B53A" w14:textId="77777777" w:rsidR="006D7C8D" w:rsidRPr="00721FF0" w:rsidRDefault="006D7C8D" w:rsidP="00D53099">
            <w:pPr>
              <w:pStyle w:val="TableText"/>
              <w:widowControl w:val="0"/>
              <w:suppressAutoHyphens w:val="0"/>
              <w:spacing w:before="0" w:after="0" w:line="240" w:lineRule="auto"/>
              <w:jc w:val="right"/>
            </w:pPr>
            <w:r>
              <w:rPr>
                <w:color w:val="1A1B1A"/>
                <w:szCs w:val="17"/>
              </w:rPr>
              <w:t>0.93</w:t>
            </w:r>
          </w:p>
        </w:tc>
        <w:tc>
          <w:tcPr>
            <w:tcW w:w="585" w:type="pct"/>
            <w:vAlign w:val="bottom"/>
          </w:tcPr>
          <w:p w14:paraId="6E19446A"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527AE24A" w14:textId="77777777" w:rsidTr="00444693">
        <w:trPr>
          <w:cantSplit/>
          <w:trHeight w:val="13"/>
        </w:trPr>
        <w:tc>
          <w:tcPr>
            <w:tcW w:w="583" w:type="pct"/>
            <w:vMerge/>
          </w:tcPr>
          <w:p w14:paraId="1111CEE7"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33B2A9D"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FDEB9CD"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5E8AD58C" w14:textId="77777777" w:rsidR="006D7C8D" w:rsidRDefault="006D7C8D" w:rsidP="00D53099">
            <w:pPr>
              <w:pStyle w:val="TableText"/>
              <w:widowControl w:val="0"/>
              <w:suppressAutoHyphens w:val="0"/>
              <w:spacing w:before="0" w:after="0" w:line="240" w:lineRule="auto"/>
              <w:jc w:val="right"/>
            </w:pPr>
            <w:r w:rsidRPr="0096551D">
              <w:t>22.2</w:t>
            </w:r>
            <w:r w:rsidRPr="0096551D">
              <w:rPr>
                <w:vertAlign w:val="superscript"/>
              </w:rPr>
              <w:t>b</w:t>
            </w:r>
          </w:p>
        </w:tc>
        <w:tc>
          <w:tcPr>
            <w:tcW w:w="662" w:type="pct"/>
            <w:vAlign w:val="center"/>
          </w:tcPr>
          <w:p w14:paraId="0F2F412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22E3B1EA" w14:textId="77777777" w:rsidR="006D7C8D" w:rsidRPr="003B78B6" w:rsidRDefault="006D7C8D" w:rsidP="00D53099">
            <w:pPr>
              <w:pStyle w:val="TableText"/>
              <w:widowControl w:val="0"/>
              <w:suppressAutoHyphens w:val="0"/>
              <w:spacing w:before="0" w:after="0" w:line="240" w:lineRule="auto"/>
              <w:jc w:val="right"/>
            </w:pPr>
            <w:r>
              <w:rPr>
                <w:color w:val="1A1B1A"/>
                <w:szCs w:val="17"/>
              </w:rPr>
              <w:t>5.3</w:t>
            </w:r>
          </w:p>
        </w:tc>
        <w:tc>
          <w:tcPr>
            <w:tcW w:w="367" w:type="pct"/>
            <w:vAlign w:val="center"/>
          </w:tcPr>
          <w:p w14:paraId="142D26B1" w14:textId="77777777" w:rsidR="006D7C8D" w:rsidRPr="00721FF0" w:rsidRDefault="006D7C8D" w:rsidP="00D53099">
            <w:pPr>
              <w:pStyle w:val="TableText"/>
              <w:widowControl w:val="0"/>
              <w:suppressAutoHyphens w:val="0"/>
              <w:spacing w:before="0" w:after="0" w:line="240" w:lineRule="auto"/>
              <w:jc w:val="right"/>
            </w:pPr>
            <w:r>
              <w:rPr>
                <w:color w:val="1A1B1A"/>
                <w:szCs w:val="17"/>
              </w:rPr>
              <w:t>0.70</w:t>
            </w:r>
          </w:p>
        </w:tc>
        <w:tc>
          <w:tcPr>
            <w:tcW w:w="585" w:type="pct"/>
            <w:vAlign w:val="bottom"/>
          </w:tcPr>
          <w:p w14:paraId="23320F1F"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06E746D8" w14:textId="77777777" w:rsidTr="00444693">
        <w:trPr>
          <w:cantSplit/>
          <w:trHeight w:val="13"/>
        </w:trPr>
        <w:tc>
          <w:tcPr>
            <w:tcW w:w="583" w:type="pct"/>
            <w:vMerge/>
          </w:tcPr>
          <w:p w14:paraId="4F481C68"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C768E5C"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B402B54"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37CAE911" w14:textId="77777777" w:rsidR="006D7C8D" w:rsidRDefault="006D7C8D" w:rsidP="00D53099">
            <w:pPr>
              <w:pStyle w:val="TableText"/>
              <w:widowControl w:val="0"/>
              <w:suppressAutoHyphens w:val="0"/>
              <w:spacing w:before="0" w:after="0" w:line="240" w:lineRule="auto"/>
              <w:jc w:val="right"/>
            </w:pPr>
            <w:r w:rsidRPr="0096551D">
              <w:t>22.2</w:t>
            </w:r>
            <w:r w:rsidRPr="0096551D">
              <w:rPr>
                <w:vertAlign w:val="superscript"/>
              </w:rPr>
              <w:t>b</w:t>
            </w:r>
          </w:p>
        </w:tc>
        <w:tc>
          <w:tcPr>
            <w:tcW w:w="662" w:type="pct"/>
            <w:vAlign w:val="center"/>
          </w:tcPr>
          <w:p w14:paraId="7E5C09D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120</w:t>
            </w:r>
          </w:p>
        </w:tc>
        <w:tc>
          <w:tcPr>
            <w:tcW w:w="883" w:type="pct"/>
            <w:vAlign w:val="center"/>
          </w:tcPr>
          <w:p w14:paraId="2BF16C32" w14:textId="77777777" w:rsidR="006D7C8D" w:rsidRPr="003B78B6" w:rsidRDefault="006D7C8D" w:rsidP="00D53099">
            <w:pPr>
              <w:pStyle w:val="TableText"/>
              <w:widowControl w:val="0"/>
              <w:suppressAutoHyphens w:val="0"/>
              <w:spacing w:before="0" w:after="0" w:line="240" w:lineRule="auto"/>
              <w:jc w:val="right"/>
            </w:pPr>
            <w:r>
              <w:rPr>
                <w:color w:val="1A1B1A"/>
                <w:szCs w:val="17"/>
              </w:rPr>
              <w:t>2.7</w:t>
            </w:r>
          </w:p>
        </w:tc>
        <w:tc>
          <w:tcPr>
            <w:tcW w:w="367" w:type="pct"/>
            <w:vAlign w:val="center"/>
          </w:tcPr>
          <w:p w14:paraId="67D088E9" w14:textId="77777777" w:rsidR="006D7C8D" w:rsidRPr="00721FF0" w:rsidRDefault="006D7C8D" w:rsidP="00D53099">
            <w:pPr>
              <w:pStyle w:val="TableText"/>
              <w:widowControl w:val="0"/>
              <w:suppressAutoHyphens w:val="0"/>
              <w:spacing w:before="0" w:after="0" w:line="240" w:lineRule="auto"/>
              <w:jc w:val="right"/>
            </w:pPr>
            <w:r>
              <w:rPr>
                <w:color w:val="1A1B1A"/>
                <w:szCs w:val="17"/>
              </w:rPr>
              <w:t>0.35</w:t>
            </w:r>
          </w:p>
        </w:tc>
        <w:tc>
          <w:tcPr>
            <w:tcW w:w="585" w:type="pct"/>
            <w:vAlign w:val="bottom"/>
          </w:tcPr>
          <w:p w14:paraId="46214F2D"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0C0AF7B3" w14:textId="77777777" w:rsidTr="00444693">
        <w:trPr>
          <w:cantSplit/>
          <w:trHeight w:val="13"/>
        </w:trPr>
        <w:tc>
          <w:tcPr>
            <w:tcW w:w="583" w:type="pct"/>
            <w:vMerge/>
          </w:tcPr>
          <w:p w14:paraId="7195899C"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10CD07E8"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24B507DB" w14:textId="77777777" w:rsidR="006D7C8D" w:rsidRDefault="006D7C8D" w:rsidP="00444693">
            <w:pPr>
              <w:pStyle w:val="TableText"/>
              <w:widowControl w:val="0"/>
              <w:suppressAutoHyphens w:val="0"/>
              <w:spacing w:before="0" w:after="0" w:line="240" w:lineRule="auto"/>
              <w:rPr>
                <w:szCs w:val="17"/>
              </w:rPr>
            </w:pPr>
            <w:r w:rsidRPr="00C20C79">
              <w:rPr>
                <w:szCs w:val="17"/>
              </w:rPr>
              <w:t>Ground directed</w:t>
            </w:r>
          </w:p>
        </w:tc>
        <w:tc>
          <w:tcPr>
            <w:tcW w:w="514" w:type="pct"/>
            <w:tcBorders>
              <w:top w:val="single" w:sz="4" w:space="0" w:color="auto"/>
            </w:tcBorders>
            <w:shd w:val="clear" w:color="auto" w:fill="D5D7D5" w:themeFill="text1" w:themeFillTint="33"/>
          </w:tcPr>
          <w:p w14:paraId="4FFB155B" w14:textId="77777777" w:rsidR="006D7C8D" w:rsidRDefault="006D7C8D" w:rsidP="00D53099">
            <w:pPr>
              <w:pStyle w:val="TableText"/>
              <w:widowControl w:val="0"/>
              <w:suppressAutoHyphens w:val="0"/>
              <w:spacing w:before="0" w:after="0" w:line="240" w:lineRule="auto"/>
              <w:jc w:val="right"/>
            </w:pPr>
            <w:r>
              <w:t>11.7</w:t>
            </w:r>
            <w:r w:rsidRPr="00E5519A">
              <w:rPr>
                <w:vertAlign w:val="superscript"/>
              </w:rPr>
              <w:t>c</w:t>
            </w:r>
          </w:p>
        </w:tc>
        <w:tc>
          <w:tcPr>
            <w:tcW w:w="662" w:type="pct"/>
            <w:tcBorders>
              <w:top w:val="single" w:sz="4" w:space="0" w:color="auto"/>
            </w:tcBorders>
            <w:vAlign w:val="center"/>
          </w:tcPr>
          <w:p w14:paraId="6E6F11C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3609272E" w14:textId="77777777" w:rsidR="006D7C8D" w:rsidRPr="003B78B6" w:rsidRDefault="006D7C8D" w:rsidP="00D53099">
            <w:pPr>
              <w:pStyle w:val="TableText"/>
              <w:widowControl w:val="0"/>
              <w:suppressAutoHyphens w:val="0"/>
              <w:spacing w:before="0" w:after="0" w:line="240" w:lineRule="auto"/>
              <w:jc w:val="right"/>
            </w:pPr>
            <w:r>
              <w:rPr>
                <w:color w:val="1A1B1A"/>
                <w:szCs w:val="17"/>
              </w:rPr>
              <w:t>9.4</w:t>
            </w:r>
          </w:p>
        </w:tc>
        <w:tc>
          <w:tcPr>
            <w:tcW w:w="367" w:type="pct"/>
            <w:tcBorders>
              <w:top w:val="single" w:sz="4" w:space="0" w:color="auto"/>
            </w:tcBorders>
            <w:shd w:val="clear" w:color="auto" w:fill="FF0000"/>
            <w:vAlign w:val="center"/>
          </w:tcPr>
          <w:p w14:paraId="1830D22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tcBorders>
              <w:top w:val="single" w:sz="4" w:space="0" w:color="auto"/>
            </w:tcBorders>
            <w:vAlign w:val="bottom"/>
          </w:tcPr>
          <w:p w14:paraId="23FBC03F"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7F37484F" w14:textId="77777777" w:rsidTr="00444693">
        <w:trPr>
          <w:cantSplit/>
          <w:trHeight w:val="13"/>
        </w:trPr>
        <w:tc>
          <w:tcPr>
            <w:tcW w:w="583" w:type="pct"/>
            <w:vMerge/>
          </w:tcPr>
          <w:p w14:paraId="1BCD3418"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A543AB0"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C5C2DBA"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75336D2" w14:textId="77777777" w:rsidR="006D7C8D" w:rsidRDefault="006D7C8D" w:rsidP="00D53099">
            <w:pPr>
              <w:pStyle w:val="TableText"/>
              <w:widowControl w:val="0"/>
              <w:suppressAutoHyphens w:val="0"/>
              <w:spacing w:before="0" w:after="0" w:line="240" w:lineRule="auto"/>
              <w:jc w:val="right"/>
            </w:pPr>
            <w:r w:rsidRPr="00C36D02">
              <w:t>11.7</w:t>
            </w:r>
            <w:r w:rsidRPr="00C36D02">
              <w:rPr>
                <w:vertAlign w:val="superscript"/>
              </w:rPr>
              <w:t>c</w:t>
            </w:r>
          </w:p>
        </w:tc>
        <w:tc>
          <w:tcPr>
            <w:tcW w:w="662" w:type="pct"/>
            <w:vAlign w:val="center"/>
          </w:tcPr>
          <w:p w14:paraId="4E6B190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7DAC6D1F" w14:textId="77777777" w:rsidR="006D7C8D" w:rsidRPr="003B78B6" w:rsidRDefault="006D7C8D" w:rsidP="00D53099">
            <w:pPr>
              <w:pStyle w:val="TableText"/>
              <w:widowControl w:val="0"/>
              <w:suppressAutoHyphens w:val="0"/>
              <w:spacing w:before="0" w:after="0" w:line="240" w:lineRule="auto"/>
              <w:jc w:val="right"/>
            </w:pPr>
            <w:r>
              <w:rPr>
                <w:color w:val="1A1B1A"/>
                <w:szCs w:val="17"/>
              </w:rPr>
              <w:t>7.0</w:t>
            </w:r>
          </w:p>
        </w:tc>
        <w:tc>
          <w:tcPr>
            <w:tcW w:w="367" w:type="pct"/>
            <w:vAlign w:val="center"/>
          </w:tcPr>
          <w:p w14:paraId="5AE32BF5" w14:textId="77777777" w:rsidR="006D7C8D" w:rsidRPr="00721FF0" w:rsidRDefault="006D7C8D" w:rsidP="00D53099">
            <w:pPr>
              <w:pStyle w:val="TableText"/>
              <w:widowControl w:val="0"/>
              <w:suppressAutoHyphens w:val="0"/>
              <w:spacing w:before="0" w:after="0" w:line="240" w:lineRule="auto"/>
              <w:jc w:val="right"/>
            </w:pPr>
            <w:r>
              <w:rPr>
                <w:color w:val="1A1B1A"/>
                <w:szCs w:val="17"/>
              </w:rPr>
              <w:t>0.92</w:t>
            </w:r>
          </w:p>
        </w:tc>
        <w:tc>
          <w:tcPr>
            <w:tcW w:w="585" w:type="pct"/>
            <w:vAlign w:val="bottom"/>
          </w:tcPr>
          <w:p w14:paraId="581A2CD8"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5614B71B" w14:textId="77777777" w:rsidTr="00444693">
        <w:trPr>
          <w:cantSplit/>
          <w:trHeight w:val="13"/>
        </w:trPr>
        <w:tc>
          <w:tcPr>
            <w:tcW w:w="583" w:type="pct"/>
            <w:vMerge/>
          </w:tcPr>
          <w:p w14:paraId="06DE09D8"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F2C62C9"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4D67F27"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23D8D59C" w14:textId="77777777" w:rsidR="006D7C8D" w:rsidRDefault="006D7C8D" w:rsidP="00D53099">
            <w:pPr>
              <w:pStyle w:val="TableText"/>
              <w:widowControl w:val="0"/>
              <w:suppressAutoHyphens w:val="0"/>
              <w:spacing w:before="0" w:after="0" w:line="240" w:lineRule="auto"/>
              <w:jc w:val="right"/>
            </w:pPr>
            <w:r w:rsidRPr="00C36D02">
              <w:t>11.7</w:t>
            </w:r>
            <w:r w:rsidRPr="00C36D02">
              <w:rPr>
                <w:vertAlign w:val="superscript"/>
              </w:rPr>
              <w:t>c</w:t>
            </w:r>
          </w:p>
        </w:tc>
        <w:tc>
          <w:tcPr>
            <w:tcW w:w="662" w:type="pct"/>
            <w:vAlign w:val="center"/>
          </w:tcPr>
          <w:p w14:paraId="50877E5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79079491" w14:textId="77777777" w:rsidR="006D7C8D" w:rsidRPr="003B78B6" w:rsidRDefault="006D7C8D" w:rsidP="00D53099">
            <w:pPr>
              <w:pStyle w:val="TableText"/>
              <w:widowControl w:val="0"/>
              <w:suppressAutoHyphens w:val="0"/>
              <w:spacing w:before="0" w:after="0" w:line="240" w:lineRule="auto"/>
              <w:jc w:val="right"/>
            </w:pPr>
            <w:r>
              <w:rPr>
                <w:color w:val="1A1B1A"/>
                <w:szCs w:val="17"/>
              </w:rPr>
              <w:t>4.7</w:t>
            </w:r>
          </w:p>
        </w:tc>
        <w:tc>
          <w:tcPr>
            <w:tcW w:w="367" w:type="pct"/>
            <w:vAlign w:val="center"/>
          </w:tcPr>
          <w:p w14:paraId="32DB7643" w14:textId="77777777" w:rsidR="006D7C8D" w:rsidRPr="00721FF0" w:rsidRDefault="006D7C8D" w:rsidP="00D53099">
            <w:pPr>
              <w:pStyle w:val="TableText"/>
              <w:widowControl w:val="0"/>
              <w:suppressAutoHyphens w:val="0"/>
              <w:spacing w:before="0" w:after="0" w:line="240" w:lineRule="auto"/>
              <w:jc w:val="right"/>
            </w:pPr>
            <w:r>
              <w:rPr>
                <w:color w:val="1A1B1A"/>
                <w:szCs w:val="17"/>
              </w:rPr>
              <w:t>0.62</w:t>
            </w:r>
          </w:p>
        </w:tc>
        <w:tc>
          <w:tcPr>
            <w:tcW w:w="585" w:type="pct"/>
            <w:vAlign w:val="bottom"/>
          </w:tcPr>
          <w:p w14:paraId="2854BE49"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1FDC3420" w14:textId="77777777" w:rsidTr="00444693">
        <w:trPr>
          <w:cantSplit/>
          <w:trHeight w:val="13"/>
        </w:trPr>
        <w:tc>
          <w:tcPr>
            <w:tcW w:w="583" w:type="pct"/>
            <w:vMerge/>
          </w:tcPr>
          <w:p w14:paraId="73C176A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FF2ABF4"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BBB9910"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6EBEA74" w14:textId="77777777" w:rsidR="006D7C8D" w:rsidRDefault="006D7C8D" w:rsidP="00D53099">
            <w:pPr>
              <w:pStyle w:val="TableText"/>
              <w:widowControl w:val="0"/>
              <w:suppressAutoHyphens w:val="0"/>
              <w:spacing w:before="0" w:after="0" w:line="240" w:lineRule="auto"/>
              <w:jc w:val="right"/>
            </w:pPr>
            <w:r w:rsidRPr="00C36D02">
              <w:t>11.7</w:t>
            </w:r>
            <w:r w:rsidRPr="00C36D02">
              <w:rPr>
                <w:vertAlign w:val="superscript"/>
              </w:rPr>
              <w:t>c</w:t>
            </w:r>
          </w:p>
        </w:tc>
        <w:tc>
          <w:tcPr>
            <w:tcW w:w="662" w:type="pct"/>
            <w:vAlign w:val="center"/>
          </w:tcPr>
          <w:p w14:paraId="038E56D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06A6ECEC" w14:textId="77777777" w:rsidR="006D7C8D" w:rsidRPr="003B78B6" w:rsidRDefault="006D7C8D" w:rsidP="00D53099">
            <w:pPr>
              <w:pStyle w:val="TableText"/>
              <w:widowControl w:val="0"/>
              <w:suppressAutoHyphens w:val="0"/>
              <w:spacing w:before="0" w:after="0" w:line="240" w:lineRule="auto"/>
              <w:jc w:val="right"/>
            </w:pPr>
            <w:r>
              <w:rPr>
                <w:color w:val="1A1B1A"/>
                <w:szCs w:val="17"/>
              </w:rPr>
              <w:t>3.7</w:t>
            </w:r>
          </w:p>
        </w:tc>
        <w:tc>
          <w:tcPr>
            <w:tcW w:w="367" w:type="pct"/>
            <w:vAlign w:val="center"/>
          </w:tcPr>
          <w:p w14:paraId="4CDBD9A6" w14:textId="77777777" w:rsidR="006D7C8D" w:rsidRPr="00721FF0" w:rsidRDefault="006D7C8D" w:rsidP="00D53099">
            <w:pPr>
              <w:pStyle w:val="TableText"/>
              <w:widowControl w:val="0"/>
              <w:suppressAutoHyphens w:val="0"/>
              <w:spacing w:before="0" w:after="0" w:line="240" w:lineRule="auto"/>
              <w:jc w:val="right"/>
            </w:pPr>
            <w:r>
              <w:rPr>
                <w:color w:val="1A1B1A"/>
                <w:szCs w:val="17"/>
              </w:rPr>
              <w:t>0.49</w:t>
            </w:r>
          </w:p>
        </w:tc>
        <w:tc>
          <w:tcPr>
            <w:tcW w:w="585" w:type="pct"/>
            <w:vAlign w:val="bottom"/>
          </w:tcPr>
          <w:p w14:paraId="29398CD3"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19DF58D3" w14:textId="77777777" w:rsidTr="00444693">
        <w:trPr>
          <w:cantSplit/>
          <w:trHeight w:val="13"/>
        </w:trPr>
        <w:tc>
          <w:tcPr>
            <w:tcW w:w="583" w:type="pct"/>
            <w:vMerge/>
          </w:tcPr>
          <w:p w14:paraId="5DC86F5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D633909"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128FFA78"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38888C29" w14:textId="77777777" w:rsidR="006D7C8D" w:rsidRDefault="006D7C8D" w:rsidP="00D53099">
            <w:pPr>
              <w:pStyle w:val="TableText"/>
              <w:widowControl w:val="0"/>
              <w:suppressAutoHyphens w:val="0"/>
              <w:spacing w:before="0" w:after="0" w:line="240" w:lineRule="auto"/>
              <w:jc w:val="right"/>
            </w:pPr>
            <w:r w:rsidRPr="00C36D02">
              <w:t>11.7</w:t>
            </w:r>
            <w:r w:rsidRPr="00C36D02">
              <w:rPr>
                <w:vertAlign w:val="superscript"/>
              </w:rPr>
              <w:t>c</w:t>
            </w:r>
          </w:p>
        </w:tc>
        <w:tc>
          <w:tcPr>
            <w:tcW w:w="662" w:type="pct"/>
            <w:vAlign w:val="center"/>
          </w:tcPr>
          <w:p w14:paraId="6975CE1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676F65D3" w14:textId="77777777" w:rsidR="006D7C8D" w:rsidRPr="003B78B6" w:rsidRDefault="006D7C8D" w:rsidP="00D53099">
            <w:pPr>
              <w:pStyle w:val="TableText"/>
              <w:widowControl w:val="0"/>
              <w:suppressAutoHyphens w:val="0"/>
              <w:spacing w:before="0" w:after="0" w:line="240" w:lineRule="auto"/>
              <w:jc w:val="right"/>
            </w:pPr>
            <w:r>
              <w:rPr>
                <w:color w:val="1A1B1A"/>
                <w:szCs w:val="17"/>
              </w:rPr>
              <w:t>2.8</w:t>
            </w:r>
          </w:p>
        </w:tc>
        <w:tc>
          <w:tcPr>
            <w:tcW w:w="367" w:type="pct"/>
            <w:vAlign w:val="center"/>
          </w:tcPr>
          <w:p w14:paraId="37A22EF6" w14:textId="77777777" w:rsidR="006D7C8D" w:rsidRPr="00721FF0" w:rsidRDefault="006D7C8D" w:rsidP="00D53099">
            <w:pPr>
              <w:pStyle w:val="TableText"/>
              <w:widowControl w:val="0"/>
              <w:suppressAutoHyphens w:val="0"/>
              <w:spacing w:before="0" w:after="0" w:line="240" w:lineRule="auto"/>
              <w:jc w:val="right"/>
            </w:pPr>
            <w:r>
              <w:rPr>
                <w:color w:val="1A1B1A"/>
                <w:szCs w:val="17"/>
              </w:rPr>
              <w:t>0.37</w:t>
            </w:r>
          </w:p>
        </w:tc>
        <w:tc>
          <w:tcPr>
            <w:tcW w:w="585" w:type="pct"/>
            <w:vAlign w:val="bottom"/>
          </w:tcPr>
          <w:p w14:paraId="63F06F01"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4830A009" w14:textId="77777777" w:rsidTr="00444693">
        <w:trPr>
          <w:cantSplit/>
          <w:trHeight w:val="13"/>
        </w:trPr>
        <w:tc>
          <w:tcPr>
            <w:tcW w:w="583" w:type="pct"/>
            <w:vMerge/>
          </w:tcPr>
          <w:p w14:paraId="285F59D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D074A80"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4BC1FAD3"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BC040E6" w14:textId="77777777" w:rsidR="006D7C8D" w:rsidRDefault="006D7C8D" w:rsidP="00D53099">
            <w:pPr>
              <w:pStyle w:val="TableText"/>
              <w:widowControl w:val="0"/>
              <w:suppressAutoHyphens w:val="0"/>
              <w:spacing w:before="0" w:after="0" w:line="240" w:lineRule="auto"/>
              <w:jc w:val="right"/>
            </w:pPr>
            <w:r w:rsidRPr="00C36D02">
              <w:t>11.7</w:t>
            </w:r>
            <w:r w:rsidRPr="00C36D02">
              <w:rPr>
                <w:vertAlign w:val="superscript"/>
              </w:rPr>
              <w:t>c</w:t>
            </w:r>
          </w:p>
        </w:tc>
        <w:tc>
          <w:tcPr>
            <w:tcW w:w="662" w:type="pct"/>
            <w:vAlign w:val="center"/>
          </w:tcPr>
          <w:p w14:paraId="4986A60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120</w:t>
            </w:r>
          </w:p>
        </w:tc>
        <w:tc>
          <w:tcPr>
            <w:tcW w:w="883" w:type="pct"/>
            <w:vAlign w:val="center"/>
          </w:tcPr>
          <w:p w14:paraId="4D9B1DF3" w14:textId="77777777" w:rsidR="006D7C8D" w:rsidRPr="003B78B6" w:rsidRDefault="006D7C8D" w:rsidP="00D53099">
            <w:pPr>
              <w:pStyle w:val="TableText"/>
              <w:widowControl w:val="0"/>
              <w:suppressAutoHyphens w:val="0"/>
              <w:spacing w:before="0" w:after="0" w:line="240" w:lineRule="auto"/>
              <w:jc w:val="right"/>
            </w:pPr>
            <w:r>
              <w:rPr>
                <w:color w:val="1A1B1A"/>
                <w:szCs w:val="17"/>
              </w:rPr>
              <w:t>1.4</w:t>
            </w:r>
          </w:p>
        </w:tc>
        <w:tc>
          <w:tcPr>
            <w:tcW w:w="367" w:type="pct"/>
            <w:vAlign w:val="center"/>
          </w:tcPr>
          <w:p w14:paraId="52D8C5D9" w14:textId="77777777" w:rsidR="006D7C8D" w:rsidRPr="00721FF0" w:rsidRDefault="006D7C8D" w:rsidP="00D53099">
            <w:pPr>
              <w:pStyle w:val="TableText"/>
              <w:widowControl w:val="0"/>
              <w:suppressAutoHyphens w:val="0"/>
              <w:spacing w:before="0" w:after="0" w:line="240" w:lineRule="auto"/>
              <w:jc w:val="right"/>
            </w:pPr>
            <w:r>
              <w:rPr>
                <w:color w:val="1A1B1A"/>
                <w:szCs w:val="17"/>
              </w:rPr>
              <w:t>0.18</w:t>
            </w:r>
          </w:p>
        </w:tc>
        <w:tc>
          <w:tcPr>
            <w:tcW w:w="585" w:type="pct"/>
            <w:vAlign w:val="bottom"/>
          </w:tcPr>
          <w:p w14:paraId="612AF61D"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1CCC6FB6" w14:textId="77777777" w:rsidTr="00444693">
        <w:trPr>
          <w:cantSplit/>
          <w:trHeight w:val="13"/>
        </w:trPr>
        <w:tc>
          <w:tcPr>
            <w:tcW w:w="583" w:type="pct"/>
            <w:vMerge/>
          </w:tcPr>
          <w:p w14:paraId="0C784985"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7DA93B65" w14:textId="77777777" w:rsidR="006D7C8D" w:rsidRDefault="006D7C8D" w:rsidP="00444693">
            <w:pPr>
              <w:pStyle w:val="TableText"/>
              <w:widowControl w:val="0"/>
              <w:suppressAutoHyphens w:val="0"/>
              <w:spacing w:before="0" w:after="0" w:line="240" w:lineRule="auto"/>
              <w:rPr>
                <w:szCs w:val="17"/>
              </w:rPr>
            </w:pPr>
            <w:r w:rsidRPr="00336DF4">
              <w:rPr>
                <w:szCs w:val="17"/>
              </w:rPr>
              <w:t>Small insectivore</w:t>
            </w:r>
          </w:p>
        </w:tc>
        <w:tc>
          <w:tcPr>
            <w:tcW w:w="634" w:type="pct"/>
            <w:vMerge w:val="restart"/>
            <w:tcBorders>
              <w:top w:val="single" w:sz="4" w:space="0" w:color="auto"/>
            </w:tcBorders>
          </w:tcPr>
          <w:p w14:paraId="605887DA" w14:textId="77777777" w:rsidR="006D7C8D" w:rsidRDefault="006D7C8D" w:rsidP="00444693">
            <w:pPr>
              <w:pStyle w:val="TableText"/>
              <w:widowControl w:val="0"/>
              <w:suppressAutoHyphens w:val="0"/>
              <w:spacing w:before="0" w:after="0" w:line="240" w:lineRule="auto"/>
              <w:rPr>
                <w:szCs w:val="17"/>
              </w:rPr>
            </w:pPr>
            <w:r w:rsidRPr="00C20C79">
              <w:rPr>
                <w:szCs w:val="17"/>
              </w:rPr>
              <w:t>Ground directed</w:t>
            </w:r>
          </w:p>
        </w:tc>
        <w:tc>
          <w:tcPr>
            <w:tcW w:w="514" w:type="pct"/>
            <w:tcBorders>
              <w:top w:val="single" w:sz="4" w:space="0" w:color="auto"/>
            </w:tcBorders>
          </w:tcPr>
          <w:p w14:paraId="3F60A145" w14:textId="77777777" w:rsidR="006D7C8D" w:rsidRDefault="006D7C8D" w:rsidP="00D53099">
            <w:pPr>
              <w:pStyle w:val="TableText"/>
              <w:widowControl w:val="0"/>
              <w:suppressAutoHyphens w:val="0"/>
              <w:spacing w:before="0" w:after="0" w:line="240" w:lineRule="auto"/>
              <w:jc w:val="right"/>
            </w:pPr>
            <w:r>
              <w:t>5.4</w:t>
            </w:r>
          </w:p>
        </w:tc>
        <w:tc>
          <w:tcPr>
            <w:tcW w:w="662" w:type="pct"/>
            <w:tcBorders>
              <w:top w:val="single" w:sz="4" w:space="0" w:color="auto"/>
            </w:tcBorders>
            <w:vAlign w:val="center"/>
          </w:tcPr>
          <w:p w14:paraId="79179D3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19F66BCC" w14:textId="77777777" w:rsidR="006D7C8D" w:rsidRPr="003B78B6" w:rsidRDefault="006D7C8D" w:rsidP="00D53099">
            <w:pPr>
              <w:pStyle w:val="TableText"/>
              <w:widowControl w:val="0"/>
              <w:suppressAutoHyphens w:val="0"/>
              <w:spacing w:before="0" w:after="0" w:line="240" w:lineRule="auto"/>
              <w:jc w:val="right"/>
            </w:pPr>
            <w:r>
              <w:rPr>
                <w:color w:val="1A1B1A"/>
                <w:szCs w:val="17"/>
              </w:rPr>
              <w:t>4.3</w:t>
            </w:r>
          </w:p>
        </w:tc>
        <w:tc>
          <w:tcPr>
            <w:tcW w:w="367" w:type="pct"/>
            <w:tcBorders>
              <w:top w:val="single" w:sz="4" w:space="0" w:color="auto"/>
            </w:tcBorders>
            <w:vAlign w:val="center"/>
          </w:tcPr>
          <w:p w14:paraId="1D92227D" w14:textId="77777777" w:rsidR="006D7C8D" w:rsidRPr="00721FF0" w:rsidRDefault="006D7C8D" w:rsidP="00D53099">
            <w:pPr>
              <w:pStyle w:val="TableText"/>
              <w:widowControl w:val="0"/>
              <w:suppressAutoHyphens w:val="0"/>
              <w:spacing w:before="0" w:after="0" w:line="240" w:lineRule="auto"/>
              <w:jc w:val="right"/>
            </w:pPr>
            <w:r>
              <w:rPr>
                <w:color w:val="1A1B1A"/>
                <w:szCs w:val="17"/>
              </w:rPr>
              <w:t>0.57</w:t>
            </w:r>
          </w:p>
        </w:tc>
        <w:tc>
          <w:tcPr>
            <w:tcW w:w="585" w:type="pct"/>
            <w:tcBorders>
              <w:top w:val="single" w:sz="4" w:space="0" w:color="auto"/>
            </w:tcBorders>
            <w:vAlign w:val="bottom"/>
          </w:tcPr>
          <w:p w14:paraId="0A41E3CA"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765E6409" w14:textId="77777777" w:rsidTr="00444693">
        <w:trPr>
          <w:cantSplit/>
          <w:trHeight w:val="13"/>
        </w:trPr>
        <w:tc>
          <w:tcPr>
            <w:tcW w:w="583" w:type="pct"/>
            <w:vMerge/>
          </w:tcPr>
          <w:p w14:paraId="69E65CDA"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584F8D4"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194AAA7F"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607B7691" w14:textId="77777777" w:rsidR="006D7C8D" w:rsidRDefault="006D7C8D" w:rsidP="00D53099">
            <w:pPr>
              <w:pStyle w:val="TableText"/>
              <w:widowControl w:val="0"/>
              <w:suppressAutoHyphens w:val="0"/>
              <w:spacing w:before="0" w:after="0" w:line="240" w:lineRule="auto"/>
              <w:jc w:val="right"/>
            </w:pPr>
            <w:r w:rsidRPr="00365228">
              <w:t>5.4</w:t>
            </w:r>
          </w:p>
        </w:tc>
        <w:tc>
          <w:tcPr>
            <w:tcW w:w="662" w:type="pct"/>
            <w:vAlign w:val="center"/>
          </w:tcPr>
          <w:p w14:paraId="7B808DD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0DCF346D" w14:textId="77777777" w:rsidR="006D7C8D" w:rsidRPr="003B78B6" w:rsidRDefault="006D7C8D" w:rsidP="00D53099">
            <w:pPr>
              <w:pStyle w:val="TableText"/>
              <w:widowControl w:val="0"/>
              <w:suppressAutoHyphens w:val="0"/>
              <w:spacing w:before="0" w:after="0" w:line="240" w:lineRule="auto"/>
              <w:jc w:val="right"/>
            </w:pPr>
            <w:r>
              <w:rPr>
                <w:color w:val="1A1B1A"/>
                <w:szCs w:val="17"/>
              </w:rPr>
              <w:t>3.2</w:t>
            </w:r>
          </w:p>
        </w:tc>
        <w:tc>
          <w:tcPr>
            <w:tcW w:w="367" w:type="pct"/>
            <w:vAlign w:val="center"/>
          </w:tcPr>
          <w:p w14:paraId="611AE4AE" w14:textId="77777777" w:rsidR="006D7C8D" w:rsidRPr="00721FF0" w:rsidRDefault="006D7C8D" w:rsidP="00D53099">
            <w:pPr>
              <w:pStyle w:val="TableText"/>
              <w:widowControl w:val="0"/>
              <w:suppressAutoHyphens w:val="0"/>
              <w:spacing w:before="0" w:after="0" w:line="240" w:lineRule="auto"/>
              <w:jc w:val="right"/>
            </w:pPr>
            <w:r>
              <w:rPr>
                <w:color w:val="1A1B1A"/>
                <w:szCs w:val="17"/>
              </w:rPr>
              <w:t>0.43</w:t>
            </w:r>
          </w:p>
        </w:tc>
        <w:tc>
          <w:tcPr>
            <w:tcW w:w="585" w:type="pct"/>
            <w:vAlign w:val="bottom"/>
          </w:tcPr>
          <w:p w14:paraId="5FC3D20F"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216CBC91" w14:textId="77777777" w:rsidTr="00444693">
        <w:trPr>
          <w:cantSplit/>
          <w:trHeight w:val="13"/>
        </w:trPr>
        <w:tc>
          <w:tcPr>
            <w:tcW w:w="583" w:type="pct"/>
            <w:vMerge/>
          </w:tcPr>
          <w:p w14:paraId="1E309E44"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A3446E2"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52901E13"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7DDE8DCC" w14:textId="77777777" w:rsidR="006D7C8D" w:rsidRDefault="006D7C8D" w:rsidP="00D53099">
            <w:pPr>
              <w:pStyle w:val="TableText"/>
              <w:widowControl w:val="0"/>
              <w:suppressAutoHyphens w:val="0"/>
              <w:spacing w:before="0" w:after="0" w:line="240" w:lineRule="auto"/>
              <w:jc w:val="right"/>
            </w:pPr>
            <w:r w:rsidRPr="00365228">
              <w:t>5.4</w:t>
            </w:r>
          </w:p>
        </w:tc>
        <w:tc>
          <w:tcPr>
            <w:tcW w:w="662" w:type="pct"/>
            <w:vAlign w:val="center"/>
          </w:tcPr>
          <w:p w14:paraId="5DF2D59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47F85C04" w14:textId="77777777" w:rsidR="006D7C8D" w:rsidRPr="003B78B6" w:rsidRDefault="006D7C8D" w:rsidP="00D53099">
            <w:pPr>
              <w:pStyle w:val="TableText"/>
              <w:widowControl w:val="0"/>
              <w:suppressAutoHyphens w:val="0"/>
              <w:spacing w:before="0" w:after="0" w:line="240" w:lineRule="auto"/>
              <w:jc w:val="right"/>
            </w:pPr>
            <w:r>
              <w:rPr>
                <w:color w:val="1A1B1A"/>
                <w:szCs w:val="17"/>
              </w:rPr>
              <w:t>2.2</w:t>
            </w:r>
          </w:p>
        </w:tc>
        <w:tc>
          <w:tcPr>
            <w:tcW w:w="367" w:type="pct"/>
            <w:vAlign w:val="center"/>
          </w:tcPr>
          <w:p w14:paraId="1DEEE9B6" w14:textId="77777777" w:rsidR="006D7C8D" w:rsidRPr="00721FF0" w:rsidRDefault="006D7C8D" w:rsidP="00D53099">
            <w:pPr>
              <w:pStyle w:val="TableText"/>
              <w:widowControl w:val="0"/>
              <w:suppressAutoHyphens w:val="0"/>
              <w:spacing w:before="0" w:after="0" w:line="240" w:lineRule="auto"/>
              <w:jc w:val="right"/>
            </w:pPr>
            <w:r>
              <w:rPr>
                <w:color w:val="1A1B1A"/>
                <w:szCs w:val="17"/>
              </w:rPr>
              <w:t>0.28</w:t>
            </w:r>
          </w:p>
        </w:tc>
        <w:tc>
          <w:tcPr>
            <w:tcW w:w="585" w:type="pct"/>
            <w:vAlign w:val="bottom"/>
          </w:tcPr>
          <w:p w14:paraId="71889FF0"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0C9FB513" w14:textId="77777777" w:rsidTr="00444693">
        <w:trPr>
          <w:cantSplit/>
          <w:trHeight w:val="13"/>
        </w:trPr>
        <w:tc>
          <w:tcPr>
            <w:tcW w:w="583" w:type="pct"/>
            <w:vMerge/>
          </w:tcPr>
          <w:p w14:paraId="638ABC3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C64B838"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1EFC1570"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47CF1C0A" w14:textId="77777777" w:rsidR="006D7C8D" w:rsidRDefault="006D7C8D" w:rsidP="00D53099">
            <w:pPr>
              <w:pStyle w:val="TableText"/>
              <w:widowControl w:val="0"/>
              <w:suppressAutoHyphens w:val="0"/>
              <w:spacing w:before="0" w:after="0" w:line="240" w:lineRule="auto"/>
              <w:jc w:val="right"/>
            </w:pPr>
            <w:r w:rsidRPr="00365228">
              <w:t>5.4</w:t>
            </w:r>
          </w:p>
        </w:tc>
        <w:tc>
          <w:tcPr>
            <w:tcW w:w="662" w:type="pct"/>
            <w:vAlign w:val="center"/>
          </w:tcPr>
          <w:p w14:paraId="6F7387D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3E30407E" w14:textId="77777777" w:rsidR="006D7C8D" w:rsidRPr="003B78B6" w:rsidRDefault="006D7C8D" w:rsidP="00D53099">
            <w:pPr>
              <w:pStyle w:val="TableText"/>
              <w:widowControl w:val="0"/>
              <w:suppressAutoHyphens w:val="0"/>
              <w:spacing w:before="0" w:after="0" w:line="240" w:lineRule="auto"/>
              <w:jc w:val="right"/>
            </w:pPr>
            <w:r>
              <w:rPr>
                <w:color w:val="1A1B1A"/>
                <w:szCs w:val="17"/>
              </w:rPr>
              <w:t>1.7</w:t>
            </w:r>
          </w:p>
        </w:tc>
        <w:tc>
          <w:tcPr>
            <w:tcW w:w="367" w:type="pct"/>
            <w:vAlign w:val="center"/>
          </w:tcPr>
          <w:p w14:paraId="5C26EA87" w14:textId="77777777" w:rsidR="006D7C8D" w:rsidRPr="00721FF0" w:rsidRDefault="006D7C8D" w:rsidP="00D53099">
            <w:pPr>
              <w:pStyle w:val="TableText"/>
              <w:widowControl w:val="0"/>
              <w:suppressAutoHyphens w:val="0"/>
              <w:spacing w:before="0" w:after="0" w:line="240" w:lineRule="auto"/>
              <w:jc w:val="right"/>
            </w:pPr>
            <w:r>
              <w:rPr>
                <w:color w:val="1A1B1A"/>
                <w:szCs w:val="17"/>
              </w:rPr>
              <w:t>0.23</w:t>
            </w:r>
          </w:p>
        </w:tc>
        <w:tc>
          <w:tcPr>
            <w:tcW w:w="585" w:type="pct"/>
            <w:vAlign w:val="bottom"/>
          </w:tcPr>
          <w:p w14:paraId="5C002531"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11E49BB5" w14:textId="77777777" w:rsidTr="00444693">
        <w:trPr>
          <w:cantSplit/>
          <w:trHeight w:val="13"/>
        </w:trPr>
        <w:tc>
          <w:tcPr>
            <w:tcW w:w="583" w:type="pct"/>
            <w:vMerge/>
          </w:tcPr>
          <w:p w14:paraId="65F25F6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E4414BF"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34DC9AAF"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0E27075D" w14:textId="77777777" w:rsidR="006D7C8D" w:rsidRDefault="006D7C8D" w:rsidP="00D53099">
            <w:pPr>
              <w:pStyle w:val="TableText"/>
              <w:widowControl w:val="0"/>
              <w:suppressAutoHyphens w:val="0"/>
              <w:spacing w:before="0" w:after="0" w:line="240" w:lineRule="auto"/>
              <w:jc w:val="right"/>
            </w:pPr>
            <w:r w:rsidRPr="00365228">
              <w:t>5.4</w:t>
            </w:r>
          </w:p>
        </w:tc>
        <w:tc>
          <w:tcPr>
            <w:tcW w:w="662" w:type="pct"/>
            <w:vAlign w:val="center"/>
          </w:tcPr>
          <w:p w14:paraId="0A5241D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10B3D043"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vAlign w:val="center"/>
          </w:tcPr>
          <w:p w14:paraId="5D494BF1" w14:textId="77777777" w:rsidR="006D7C8D" w:rsidRPr="00721FF0" w:rsidRDefault="006D7C8D" w:rsidP="00D53099">
            <w:pPr>
              <w:pStyle w:val="TableText"/>
              <w:widowControl w:val="0"/>
              <w:suppressAutoHyphens w:val="0"/>
              <w:spacing w:before="0" w:after="0" w:line="240" w:lineRule="auto"/>
              <w:jc w:val="right"/>
            </w:pPr>
            <w:r>
              <w:rPr>
                <w:color w:val="1A1B1A"/>
                <w:szCs w:val="17"/>
              </w:rPr>
              <w:t>0.17</w:t>
            </w:r>
          </w:p>
        </w:tc>
        <w:tc>
          <w:tcPr>
            <w:tcW w:w="585" w:type="pct"/>
            <w:vAlign w:val="bottom"/>
          </w:tcPr>
          <w:p w14:paraId="5FF33FD4"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26AE3493" w14:textId="77777777" w:rsidTr="00444693">
        <w:trPr>
          <w:cantSplit/>
          <w:trHeight w:val="13"/>
        </w:trPr>
        <w:tc>
          <w:tcPr>
            <w:tcW w:w="583" w:type="pct"/>
            <w:vMerge/>
          </w:tcPr>
          <w:p w14:paraId="0A36339E"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C66E51A"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726FF2D4"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4BC3ADCB" w14:textId="77777777" w:rsidR="006D7C8D" w:rsidRDefault="006D7C8D" w:rsidP="00D53099">
            <w:pPr>
              <w:pStyle w:val="TableText"/>
              <w:widowControl w:val="0"/>
              <w:suppressAutoHyphens w:val="0"/>
              <w:spacing w:before="0" w:after="0" w:line="240" w:lineRule="auto"/>
              <w:jc w:val="right"/>
            </w:pPr>
            <w:r w:rsidRPr="00365228">
              <w:t>5.4</w:t>
            </w:r>
          </w:p>
        </w:tc>
        <w:tc>
          <w:tcPr>
            <w:tcW w:w="662" w:type="pct"/>
            <w:vAlign w:val="center"/>
          </w:tcPr>
          <w:p w14:paraId="2CEF2B7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120</w:t>
            </w:r>
          </w:p>
        </w:tc>
        <w:tc>
          <w:tcPr>
            <w:tcW w:w="883" w:type="pct"/>
            <w:vAlign w:val="center"/>
          </w:tcPr>
          <w:p w14:paraId="6E639BEB" w14:textId="77777777" w:rsidR="006D7C8D" w:rsidRPr="003B78B6" w:rsidRDefault="006D7C8D" w:rsidP="00D53099">
            <w:pPr>
              <w:pStyle w:val="TableText"/>
              <w:widowControl w:val="0"/>
              <w:suppressAutoHyphens w:val="0"/>
              <w:spacing w:before="0" w:after="0" w:line="240" w:lineRule="auto"/>
              <w:jc w:val="right"/>
            </w:pPr>
            <w:r>
              <w:rPr>
                <w:color w:val="1A1B1A"/>
                <w:szCs w:val="17"/>
              </w:rPr>
              <w:t>0.65</w:t>
            </w:r>
          </w:p>
        </w:tc>
        <w:tc>
          <w:tcPr>
            <w:tcW w:w="367" w:type="pct"/>
            <w:vAlign w:val="center"/>
          </w:tcPr>
          <w:p w14:paraId="7E6173D6" w14:textId="77777777" w:rsidR="006D7C8D" w:rsidRPr="00721FF0" w:rsidRDefault="006D7C8D" w:rsidP="00D53099">
            <w:pPr>
              <w:pStyle w:val="TableText"/>
              <w:widowControl w:val="0"/>
              <w:suppressAutoHyphens w:val="0"/>
              <w:spacing w:before="0" w:after="0" w:line="240" w:lineRule="auto"/>
              <w:jc w:val="right"/>
            </w:pPr>
            <w:r>
              <w:rPr>
                <w:color w:val="1A1B1A"/>
                <w:szCs w:val="17"/>
              </w:rPr>
              <w:t>0.09</w:t>
            </w:r>
          </w:p>
        </w:tc>
        <w:tc>
          <w:tcPr>
            <w:tcW w:w="585" w:type="pct"/>
            <w:vAlign w:val="bottom"/>
          </w:tcPr>
          <w:p w14:paraId="7BA5E77A"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42B571C3" w14:textId="77777777" w:rsidTr="00444693">
        <w:trPr>
          <w:cantSplit/>
          <w:trHeight w:val="13"/>
        </w:trPr>
        <w:tc>
          <w:tcPr>
            <w:tcW w:w="583" w:type="pct"/>
            <w:vMerge w:val="restart"/>
            <w:tcBorders>
              <w:top w:val="single" w:sz="4" w:space="0" w:color="auto"/>
            </w:tcBorders>
          </w:tcPr>
          <w:p w14:paraId="0423AB9F" w14:textId="77777777" w:rsidR="006D7C8D" w:rsidRDefault="006D7C8D" w:rsidP="00444693">
            <w:pPr>
              <w:pStyle w:val="TableText"/>
              <w:widowControl w:val="0"/>
              <w:suppressAutoHyphens w:val="0"/>
              <w:spacing w:before="0" w:after="0" w:line="240" w:lineRule="auto"/>
              <w:rPr>
                <w:szCs w:val="17"/>
              </w:rPr>
            </w:pPr>
            <w:r>
              <w:rPr>
                <w:szCs w:val="17"/>
              </w:rPr>
              <w:t>Potatoes</w:t>
            </w:r>
          </w:p>
        </w:tc>
        <w:tc>
          <w:tcPr>
            <w:tcW w:w="772" w:type="pct"/>
            <w:vMerge w:val="restart"/>
            <w:tcBorders>
              <w:top w:val="single" w:sz="4" w:space="0" w:color="auto"/>
            </w:tcBorders>
          </w:tcPr>
          <w:p w14:paraId="677B996C" w14:textId="77777777" w:rsidR="006D7C8D" w:rsidRDefault="006D7C8D" w:rsidP="00444693">
            <w:pPr>
              <w:pStyle w:val="TableText"/>
              <w:widowControl w:val="0"/>
              <w:suppressAutoHyphens w:val="0"/>
              <w:spacing w:before="0" w:after="0" w:line="240" w:lineRule="auto"/>
              <w:rPr>
                <w:szCs w:val="17"/>
              </w:rPr>
            </w:pPr>
            <w:r w:rsidRPr="00B6513E">
              <w:rPr>
                <w:szCs w:val="17"/>
              </w:rPr>
              <w:t>Small herbivore</w:t>
            </w:r>
          </w:p>
        </w:tc>
        <w:tc>
          <w:tcPr>
            <w:tcW w:w="634" w:type="pct"/>
            <w:vMerge w:val="restart"/>
            <w:tcBorders>
              <w:top w:val="single" w:sz="4" w:space="0" w:color="auto"/>
            </w:tcBorders>
          </w:tcPr>
          <w:p w14:paraId="0BB9B9F3" w14:textId="77777777" w:rsidR="006D7C8D" w:rsidRDefault="006D7C8D" w:rsidP="00444693">
            <w:pPr>
              <w:pStyle w:val="TableText"/>
              <w:widowControl w:val="0"/>
              <w:suppressAutoHyphens w:val="0"/>
              <w:spacing w:before="0" w:after="0" w:line="240" w:lineRule="auto"/>
              <w:rPr>
                <w:szCs w:val="17"/>
              </w:rPr>
            </w:pPr>
            <w:r>
              <w:rPr>
                <w:szCs w:val="17"/>
              </w:rPr>
              <w:t>BBCH ≥40</w:t>
            </w:r>
          </w:p>
        </w:tc>
        <w:tc>
          <w:tcPr>
            <w:tcW w:w="514" w:type="pct"/>
            <w:tcBorders>
              <w:top w:val="single" w:sz="4" w:space="0" w:color="auto"/>
            </w:tcBorders>
            <w:shd w:val="clear" w:color="auto" w:fill="D5D7D5" w:themeFill="text1" w:themeFillTint="33"/>
          </w:tcPr>
          <w:p w14:paraId="6F1F6076" w14:textId="77777777" w:rsidR="006D7C8D" w:rsidRDefault="006D7C8D" w:rsidP="00D53099">
            <w:pPr>
              <w:pStyle w:val="TableText"/>
              <w:widowControl w:val="0"/>
              <w:suppressAutoHyphens w:val="0"/>
              <w:spacing w:before="0" w:after="0" w:line="240" w:lineRule="auto"/>
              <w:jc w:val="right"/>
            </w:pPr>
            <w:r>
              <w:t>16.8</w:t>
            </w:r>
            <w:r w:rsidRPr="00077A92">
              <w:rPr>
                <w:vertAlign w:val="superscript"/>
              </w:rPr>
              <w:t>a</w:t>
            </w:r>
            <w:r>
              <w:rPr>
                <w:vertAlign w:val="superscript"/>
              </w:rPr>
              <w:t>,c</w:t>
            </w:r>
          </w:p>
        </w:tc>
        <w:tc>
          <w:tcPr>
            <w:tcW w:w="662" w:type="pct"/>
            <w:tcBorders>
              <w:top w:val="single" w:sz="4" w:space="0" w:color="auto"/>
            </w:tcBorders>
            <w:vAlign w:val="center"/>
          </w:tcPr>
          <w:p w14:paraId="21C4901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0CD9B57B"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tcBorders>
              <w:top w:val="single" w:sz="4" w:space="0" w:color="auto"/>
            </w:tcBorders>
            <w:shd w:val="clear" w:color="auto" w:fill="FF0000"/>
            <w:vAlign w:val="center"/>
          </w:tcPr>
          <w:p w14:paraId="1713D659"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1.8</w:t>
            </w:r>
          </w:p>
        </w:tc>
        <w:tc>
          <w:tcPr>
            <w:tcW w:w="585" w:type="pct"/>
            <w:tcBorders>
              <w:top w:val="single" w:sz="4" w:space="0" w:color="auto"/>
            </w:tcBorders>
            <w:vAlign w:val="bottom"/>
          </w:tcPr>
          <w:p w14:paraId="6F12E3AE" w14:textId="77777777" w:rsidR="006D7C8D" w:rsidRPr="00721FF0" w:rsidRDefault="006D7C8D" w:rsidP="00D53099">
            <w:pPr>
              <w:pStyle w:val="TableText"/>
              <w:widowControl w:val="0"/>
              <w:suppressAutoHyphens w:val="0"/>
              <w:spacing w:before="0" w:after="0" w:line="240" w:lineRule="auto"/>
              <w:jc w:val="right"/>
            </w:pPr>
            <w:r>
              <w:rPr>
                <w:color w:val="000000"/>
                <w:szCs w:val="17"/>
              </w:rPr>
              <w:t>452</w:t>
            </w:r>
          </w:p>
        </w:tc>
      </w:tr>
      <w:tr w:rsidR="006D7C8D" w:rsidRPr="00721FF0" w14:paraId="5ECF9145" w14:textId="77777777" w:rsidTr="00444693">
        <w:trPr>
          <w:cantSplit/>
          <w:trHeight w:val="13"/>
        </w:trPr>
        <w:tc>
          <w:tcPr>
            <w:tcW w:w="583" w:type="pct"/>
            <w:vMerge/>
          </w:tcPr>
          <w:p w14:paraId="45DA20E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C2C25D0"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24B380BE"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155ECD3F" w14:textId="77777777" w:rsidR="006D7C8D" w:rsidRDefault="006D7C8D" w:rsidP="00D53099">
            <w:pPr>
              <w:pStyle w:val="TableText"/>
              <w:widowControl w:val="0"/>
              <w:suppressAutoHyphens w:val="0"/>
              <w:spacing w:before="0" w:after="0" w:line="240" w:lineRule="auto"/>
              <w:jc w:val="right"/>
            </w:pPr>
            <w:r w:rsidRPr="008B2F23">
              <w:t>16.8</w:t>
            </w:r>
            <w:r w:rsidRPr="008B2F23">
              <w:rPr>
                <w:vertAlign w:val="superscript"/>
              </w:rPr>
              <w:t>a,c</w:t>
            </w:r>
          </w:p>
        </w:tc>
        <w:tc>
          <w:tcPr>
            <w:tcW w:w="662" w:type="pct"/>
            <w:vAlign w:val="center"/>
          </w:tcPr>
          <w:p w14:paraId="70F4A3A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74373F97" w14:textId="77777777" w:rsidR="006D7C8D" w:rsidRPr="003B78B6" w:rsidRDefault="006D7C8D" w:rsidP="00D53099">
            <w:pPr>
              <w:pStyle w:val="TableText"/>
              <w:widowControl w:val="0"/>
              <w:suppressAutoHyphens w:val="0"/>
              <w:spacing w:before="0" w:after="0" w:line="240" w:lineRule="auto"/>
              <w:jc w:val="right"/>
            </w:pPr>
            <w:r>
              <w:rPr>
                <w:color w:val="1A1B1A"/>
                <w:szCs w:val="17"/>
              </w:rPr>
              <w:t>5.4</w:t>
            </w:r>
          </w:p>
        </w:tc>
        <w:tc>
          <w:tcPr>
            <w:tcW w:w="367" w:type="pct"/>
            <w:vAlign w:val="center"/>
          </w:tcPr>
          <w:p w14:paraId="068F82DD" w14:textId="77777777" w:rsidR="006D7C8D" w:rsidRPr="00721FF0" w:rsidRDefault="006D7C8D" w:rsidP="00D53099">
            <w:pPr>
              <w:pStyle w:val="TableText"/>
              <w:widowControl w:val="0"/>
              <w:suppressAutoHyphens w:val="0"/>
              <w:spacing w:before="0" w:after="0" w:line="240" w:lineRule="auto"/>
              <w:jc w:val="right"/>
            </w:pPr>
            <w:r>
              <w:rPr>
                <w:color w:val="1A1B1A"/>
                <w:szCs w:val="17"/>
              </w:rPr>
              <w:t>0.71</w:t>
            </w:r>
          </w:p>
        </w:tc>
        <w:tc>
          <w:tcPr>
            <w:tcW w:w="585" w:type="pct"/>
            <w:vAlign w:val="bottom"/>
          </w:tcPr>
          <w:p w14:paraId="4A9C0744" w14:textId="77777777" w:rsidR="006D7C8D" w:rsidRPr="00721FF0" w:rsidRDefault="006D7C8D" w:rsidP="00D53099">
            <w:pPr>
              <w:pStyle w:val="TableText"/>
              <w:widowControl w:val="0"/>
              <w:suppressAutoHyphens w:val="0"/>
              <w:spacing w:before="0" w:after="0" w:line="240" w:lineRule="auto"/>
              <w:jc w:val="right"/>
            </w:pPr>
            <w:r>
              <w:rPr>
                <w:color w:val="000000"/>
                <w:szCs w:val="17"/>
              </w:rPr>
              <w:t>452</w:t>
            </w:r>
          </w:p>
        </w:tc>
      </w:tr>
      <w:tr w:rsidR="006D7C8D" w:rsidRPr="00721FF0" w14:paraId="468D5A73" w14:textId="77777777" w:rsidTr="00444693">
        <w:trPr>
          <w:cantSplit/>
          <w:trHeight w:val="13"/>
        </w:trPr>
        <w:tc>
          <w:tcPr>
            <w:tcW w:w="583" w:type="pct"/>
            <w:vMerge/>
          </w:tcPr>
          <w:p w14:paraId="5C04EE8A"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440023E" w14:textId="77777777" w:rsidR="006D7C8D" w:rsidRDefault="006D7C8D" w:rsidP="00444693">
            <w:pPr>
              <w:pStyle w:val="TableText"/>
              <w:widowControl w:val="0"/>
              <w:suppressAutoHyphens w:val="0"/>
              <w:spacing w:before="0" w:after="0" w:line="240" w:lineRule="auto"/>
              <w:rPr>
                <w:szCs w:val="17"/>
              </w:rPr>
            </w:pPr>
            <w:r>
              <w:rPr>
                <w:szCs w:val="17"/>
              </w:rPr>
              <w:t>Large herbivore</w:t>
            </w:r>
          </w:p>
        </w:tc>
        <w:tc>
          <w:tcPr>
            <w:tcW w:w="634" w:type="pct"/>
            <w:vMerge w:val="restart"/>
            <w:tcBorders>
              <w:top w:val="single" w:sz="4" w:space="0" w:color="auto"/>
            </w:tcBorders>
          </w:tcPr>
          <w:p w14:paraId="66A2E3C1" w14:textId="77777777" w:rsidR="006D7C8D" w:rsidRDefault="006D7C8D" w:rsidP="00444693">
            <w:pPr>
              <w:pStyle w:val="TableText"/>
              <w:widowControl w:val="0"/>
              <w:suppressAutoHyphens w:val="0"/>
              <w:spacing w:before="0" w:after="0" w:line="240" w:lineRule="auto"/>
              <w:rPr>
                <w:szCs w:val="17"/>
              </w:rPr>
            </w:pPr>
            <w:r>
              <w:rPr>
                <w:szCs w:val="17"/>
              </w:rPr>
              <w:t>BBCH ≥40</w:t>
            </w:r>
          </w:p>
        </w:tc>
        <w:tc>
          <w:tcPr>
            <w:tcW w:w="514" w:type="pct"/>
            <w:tcBorders>
              <w:top w:val="single" w:sz="4" w:space="0" w:color="auto"/>
            </w:tcBorders>
            <w:shd w:val="clear" w:color="auto" w:fill="D5D7D5" w:themeFill="text1" w:themeFillTint="33"/>
          </w:tcPr>
          <w:p w14:paraId="12085E26" w14:textId="77777777" w:rsidR="006D7C8D" w:rsidRDefault="006D7C8D" w:rsidP="00D53099">
            <w:pPr>
              <w:pStyle w:val="TableText"/>
              <w:widowControl w:val="0"/>
              <w:suppressAutoHyphens w:val="0"/>
              <w:spacing w:before="0" w:after="0" w:line="240" w:lineRule="auto"/>
              <w:jc w:val="right"/>
            </w:pPr>
            <w:r>
              <w:t>3.3</w:t>
            </w:r>
            <w:r w:rsidRPr="00077A92">
              <w:rPr>
                <w:vertAlign w:val="superscript"/>
              </w:rPr>
              <w:t>b</w:t>
            </w:r>
            <w:r>
              <w:rPr>
                <w:vertAlign w:val="superscript"/>
              </w:rPr>
              <w:t>,c</w:t>
            </w:r>
          </w:p>
        </w:tc>
        <w:tc>
          <w:tcPr>
            <w:tcW w:w="662" w:type="pct"/>
            <w:tcBorders>
              <w:top w:val="single" w:sz="4" w:space="0" w:color="auto"/>
            </w:tcBorders>
            <w:vAlign w:val="center"/>
          </w:tcPr>
          <w:p w14:paraId="6610950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2531CA05" w14:textId="77777777" w:rsidR="006D7C8D" w:rsidRPr="003B78B6" w:rsidRDefault="006D7C8D" w:rsidP="00D53099">
            <w:pPr>
              <w:pStyle w:val="TableText"/>
              <w:widowControl w:val="0"/>
              <w:suppressAutoHyphens w:val="0"/>
              <w:spacing w:before="0" w:after="0" w:line="240" w:lineRule="auto"/>
              <w:jc w:val="right"/>
            </w:pPr>
            <w:r>
              <w:rPr>
                <w:color w:val="1A1B1A"/>
                <w:szCs w:val="17"/>
              </w:rPr>
              <w:t>2.6</w:t>
            </w:r>
          </w:p>
        </w:tc>
        <w:tc>
          <w:tcPr>
            <w:tcW w:w="367" w:type="pct"/>
            <w:tcBorders>
              <w:top w:val="single" w:sz="4" w:space="0" w:color="auto"/>
            </w:tcBorders>
            <w:vAlign w:val="center"/>
          </w:tcPr>
          <w:p w14:paraId="021FD632" w14:textId="77777777" w:rsidR="006D7C8D" w:rsidRPr="00721FF0" w:rsidRDefault="006D7C8D" w:rsidP="00D53099">
            <w:pPr>
              <w:pStyle w:val="TableText"/>
              <w:widowControl w:val="0"/>
              <w:suppressAutoHyphens w:val="0"/>
              <w:spacing w:before="0" w:after="0" w:line="240" w:lineRule="auto"/>
              <w:jc w:val="right"/>
            </w:pPr>
            <w:r>
              <w:rPr>
                <w:color w:val="1A1B1A"/>
                <w:szCs w:val="17"/>
              </w:rPr>
              <w:t>0.35</w:t>
            </w:r>
          </w:p>
        </w:tc>
        <w:tc>
          <w:tcPr>
            <w:tcW w:w="585" w:type="pct"/>
            <w:tcBorders>
              <w:top w:val="single" w:sz="4" w:space="0" w:color="auto"/>
            </w:tcBorders>
            <w:vAlign w:val="bottom"/>
          </w:tcPr>
          <w:p w14:paraId="1A68EE5E" w14:textId="77777777" w:rsidR="006D7C8D" w:rsidRPr="00721FF0" w:rsidRDefault="006D7C8D" w:rsidP="00D53099">
            <w:pPr>
              <w:pStyle w:val="TableText"/>
              <w:widowControl w:val="0"/>
              <w:suppressAutoHyphens w:val="0"/>
              <w:spacing w:before="0" w:after="0" w:line="240" w:lineRule="auto"/>
              <w:jc w:val="right"/>
            </w:pPr>
            <w:r>
              <w:rPr>
                <w:color w:val="000000"/>
                <w:szCs w:val="17"/>
              </w:rPr>
              <w:t>2303</w:t>
            </w:r>
          </w:p>
        </w:tc>
      </w:tr>
      <w:tr w:rsidR="006D7C8D" w:rsidRPr="00721FF0" w14:paraId="4C11BFB6" w14:textId="77777777" w:rsidTr="00444693">
        <w:trPr>
          <w:cantSplit/>
          <w:trHeight w:val="13"/>
        </w:trPr>
        <w:tc>
          <w:tcPr>
            <w:tcW w:w="583" w:type="pct"/>
            <w:vMerge/>
          </w:tcPr>
          <w:p w14:paraId="37D3D78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4FF2EA7"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CAD9EBF"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0BAFFCAD" w14:textId="77777777" w:rsidR="006D7C8D" w:rsidRDefault="006D7C8D" w:rsidP="00D53099">
            <w:pPr>
              <w:pStyle w:val="TableText"/>
              <w:widowControl w:val="0"/>
              <w:suppressAutoHyphens w:val="0"/>
              <w:spacing w:before="0" w:after="0" w:line="240" w:lineRule="auto"/>
              <w:jc w:val="right"/>
            </w:pPr>
            <w:r w:rsidRPr="006F43B5">
              <w:t>3.3</w:t>
            </w:r>
            <w:r w:rsidRPr="006F43B5">
              <w:rPr>
                <w:vertAlign w:val="superscript"/>
              </w:rPr>
              <w:t>b,c</w:t>
            </w:r>
          </w:p>
        </w:tc>
        <w:tc>
          <w:tcPr>
            <w:tcW w:w="662" w:type="pct"/>
            <w:vAlign w:val="center"/>
          </w:tcPr>
          <w:p w14:paraId="797D32E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53173271" w14:textId="77777777" w:rsidR="006D7C8D" w:rsidRPr="003B78B6" w:rsidRDefault="006D7C8D" w:rsidP="00D53099">
            <w:pPr>
              <w:pStyle w:val="TableText"/>
              <w:widowControl w:val="0"/>
              <w:suppressAutoHyphens w:val="0"/>
              <w:spacing w:before="0" w:after="0" w:line="240" w:lineRule="auto"/>
              <w:jc w:val="right"/>
            </w:pPr>
            <w:r>
              <w:rPr>
                <w:color w:val="1A1B1A"/>
                <w:szCs w:val="17"/>
              </w:rPr>
              <w:t>1.1</w:t>
            </w:r>
          </w:p>
        </w:tc>
        <w:tc>
          <w:tcPr>
            <w:tcW w:w="367" w:type="pct"/>
            <w:vAlign w:val="center"/>
          </w:tcPr>
          <w:p w14:paraId="3BF70792" w14:textId="77777777" w:rsidR="006D7C8D" w:rsidRPr="00721FF0" w:rsidRDefault="006D7C8D" w:rsidP="00D53099">
            <w:pPr>
              <w:pStyle w:val="TableText"/>
              <w:widowControl w:val="0"/>
              <w:suppressAutoHyphens w:val="0"/>
              <w:spacing w:before="0" w:after="0" w:line="240" w:lineRule="auto"/>
              <w:jc w:val="right"/>
            </w:pPr>
            <w:r>
              <w:rPr>
                <w:color w:val="1A1B1A"/>
                <w:szCs w:val="17"/>
              </w:rPr>
              <w:t>0.14</w:t>
            </w:r>
          </w:p>
        </w:tc>
        <w:tc>
          <w:tcPr>
            <w:tcW w:w="585" w:type="pct"/>
            <w:vAlign w:val="bottom"/>
          </w:tcPr>
          <w:p w14:paraId="0EEA42CF" w14:textId="77777777" w:rsidR="006D7C8D" w:rsidRPr="00721FF0" w:rsidRDefault="006D7C8D" w:rsidP="00D53099">
            <w:pPr>
              <w:pStyle w:val="TableText"/>
              <w:widowControl w:val="0"/>
              <w:suppressAutoHyphens w:val="0"/>
              <w:spacing w:before="0" w:after="0" w:line="240" w:lineRule="auto"/>
              <w:jc w:val="right"/>
            </w:pPr>
            <w:r>
              <w:rPr>
                <w:color w:val="000000"/>
                <w:szCs w:val="17"/>
              </w:rPr>
              <w:t>2303</w:t>
            </w:r>
          </w:p>
        </w:tc>
      </w:tr>
      <w:tr w:rsidR="006D7C8D" w:rsidRPr="00721FF0" w14:paraId="686D45DE" w14:textId="77777777" w:rsidTr="00444693">
        <w:trPr>
          <w:cantSplit/>
          <w:trHeight w:val="13"/>
        </w:trPr>
        <w:tc>
          <w:tcPr>
            <w:tcW w:w="583" w:type="pct"/>
            <w:vMerge/>
          </w:tcPr>
          <w:p w14:paraId="5FF49204"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49288AE"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44926443" w14:textId="77777777" w:rsidR="006D7C8D" w:rsidRDefault="006D7C8D" w:rsidP="00444693">
            <w:pPr>
              <w:pStyle w:val="TableText"/>
              <w:widowControl w:val="0"/>
              <w:suppressAutoHyphens w:val="0"/>
              <w:spacing w:before="0" w:after="0" w:line="240" w:lineRule="auto"/>
              <w:rPr>
                <w:szCs w:val="17"/>
              </w:rPr>
            </w:pPr>
            <w:r>
              <w:rPr>
                <w:szCs w:val="17"/>
              </w:rPr>
              <w:t>BBCH ≥40</w:t>
            </w:r>
          </w:p>
        </w:tc>
        <w:tc>
          <w:tcPr>
            <w:tcW w:w="514" w:type="pct"/>
            <w:tcBorders>
              <w:top w:val="single" w:sz="4" w:space="0" w:color="auto"/>
            </w:tcBorders>
          </w:tcPr>
          <w:p w14:paraId="3F1D2B24" w14:textId="77777777" w:rsidR="006D7C8D" w:rsidRDefault="006D7C8D" w:rsidP="00D53099">
            <w:pPr>
              <w:pStyle w:val="TableText"/>
              <w:widowControl w:val="0"/>
              <w:suppressAutoHyphens w:val="0"/>
              <w:spacing w:before="0" w:after="0" w:line="240" w:lineRule="auto"/>
              <w:jc w:val="right"/>
            </w:pPr>
            <w:r>
              <w:t>5.2</w:t>
            </w:r>
          </w:p>
        </w:tc>
        <w:tc>
          <w:tcPr>
            <w:tcW w:w="662" w:type="pct"/>
            <w:tcBorders>
              <w:top w:val="single" w:sz="4" w:space="0" w:color="auto"/>
            </w:tcBorders>
            <w:vAlign w:val="center"/>
          </w:tcPr>
          <w:p w14:paraId="5D0CE4E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52B5A604" w14:textId="77777777" w:rsidR="006D7C8D" w:rsidRPr="003B78B6" w:rsidRDefault="006D7C8D" w:rsidP="00D53099">
            <w:pPr>
              <w:pStyle w:val="TableText"/>
              <w:widowControl w:val="0"/>
              <w:suppressAutoHyphens w:val="0"/>
              <w:spacing w:before="0" w:after="0" w:line="240" w:lineRule="auto"/>
              <w:jc w:val="right"/>
            </w:pPr>
            <w:r>
              <w:rPr>
                <w:color w:val="1A1B1A"/>
                <w:szCs w:val="17"/>
              </w:rPr>
              <w:t>4.2</w:t>
            </w:r>
          </w:p>
        </w:tc>
        <w:tc>
          <w:tcPr>
            <w:tcW w:w="367" w:type="pct"/>
            <w:tcBorders>
              <w:top w:val="single" w:sz="4" w:space="0" w:color="auto"/>
            </w:tcBorders>
            <w:vAlign w:val="center"/>
          </w:tcPr>
          <w:p w14:paraId="1DAEC138" w14:textId="77777777" w:rsidR="006D7C8D" w:rsidRPr="00721FF0" w:rsidRDefault="006D7C8D" w:rsidP="00D53099">
            <w:pPr>
              <w:pStyle w:val="TableText"/>
              <w:widowControl w:val="0"/>
              <w:suppressAutoHyphens w:val="0"/>
              <w:spacing w:before="0" w:after="0" w:line="240" w:lineRule="auto"/>
              <w:jc w:val="right"/>
            </w:pPr>
            <w:r>
              <w:rPr>
                <w:color w:val="1A1B1A"/>
                <w:szCs w:val="17"/>
              </w:rPr>
              <w:t>0.55</w:t>
            </w:r>
          </w:p>
        </w:tc>
        <w:tc>
          <w:tcPr>
            <w:tcW w:w="585" w:type="pct"/>
            <w:tcBorders>
              <w:top w:val="single" w:sz="4" w:space="0" w:color="auto"/>
            </w:tcBorders>
            <w:vAlign w:val="bottom"/>
          </w:tcPr>
          <w:p w14:paraId="54374C0C" w14:textId="77777777" w:rsidR="006D7C8D" w:rsidRPr="00721FF0" w:rsidRDefault="006D7C8D" w:rsidP="00D53099">
            <w:pPr>
              <w:pStyle w:val="TableText"/>
              <w:widowControl w:val="0"/>
              <w:suppressAutoHyphens w:val="0"/>
              <w:spacing w:before="0" w:after="0" w:line="240" w:lineRule="auto"/>
              <w:jc w:val="right"/>
            </w:pPr>
            <w:r>
              <w:rPr>
                <w:color w:val="000000"/>
                <w:szCs w:val="17"/>
              </w:rPr>
              <w:t>1462</w:t>
            </w:r>
          </w:p>
        </w:tc>
      </w:tr>
      <w:tr w:rsidR="006D7C8D" w:rsidRPr="00721FF0" w14:paraId="09AF55C9" w14:textId="77777777" w:rsidTr="00444693">
        <w:trPr>
          <w:cantSplit/>
          <w:trHeight w:val="13"/>
        </w:trPr>
        <w:tc>
          <w:tcPr>
            <w:tcW w:w="583" w:type="pct"/>
            <w:vMerge/>
          </w:tcPr>
          <w:p w14:paraId="431E49D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C04728E"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1ABB888" w14:textId="77777777" w:rsidR="006D7C8D" w:rsidRDefault="006D7C8D" w:rsidP="00444693">
            <w:pPr>
              <w:pStyle w:val="TableText"/>
              <w:widowControl w:val="0"/>
              <w:suppressAutoHyphens w:val="0"/>
              <w:spacing w:before="0" w:after="0" w:line="240" w:lineRule="auto"/>
              <w:rPr>
                <w:szCs w:val="17"/>
              </w:rPr>
            </w:pPr>
          </w:p>
        </w:tc>
        <w:tc>
          <w:tcPr>
            <w:tcW w:w="514" w:type="pct"/>
          </w:tcPr>
          <w:p w14:paraId="43D3187E" w14:textId="77777777" w:rsidR="006D7C8D" w:rsidRDefault="006D7C8D" w:rsidP="00D53099">
            <w:pPr>
              <w:pStyle w:val="TableText"/>
              <w:widowControl w:val="0"/>
              <w:suppressAutoHyphens w:val="0"/>
              <w:spacing w:before="0" w:after="0" w:line="240" w:lineRule="auto"/>
              <w:jc w:val="right"/>
            </w:pPr>
            <w:r w:rsidRPr="00134339">
              <w:t>5.2</w:t>
            </w:r>
          </w:p>
        </w:tc>
        <w:tc>
          <w:tcPr>
            <w:tcW w:w="662" w:type="pct"/>
            <w:vAlign w:val="center"/>
          </w:tcPr>
          <w:p w14:paraId="145F608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2A0620B0" w14:textId="77777777" w:rsidR="006D7C8D" w:rsidRPr="003B78B6" w:rsidRDefault="006D7C8D" w:rsidP="00D53099">
            <w:pPr>
              <w:pStyle w:val="TableText"/>
              <w:widowControl w:val="0"/>
              <w:suppressAutoHyphens w:val="0"/>
              <w:spacing w:before="0" w:after="0" w:line="240" w:lineRule="auto"/>
              <w:jc w:val="right"/>
            </w:pPr>
            <w:r>
              <w:rPr>
                <w:color w:val="1A1B1A"/>
                <w:szCs w:val="17"/>
              </w:rPr>
              <w:t>1.7</w:t>
            </w:r>
          </w:p>
        </w:tc>
        <w:tc>
          <w:tcPr>
            <w:tcW w:w="367" w:type="pct"/>
            <w:vAlign w:val="center"/>
          </w:tcPr>
          <w:p w14:paraId="4820C206" w14:textId="77777777" w:rsidR="006D7C8D" w:rsidRPr="00721FF0" w:rsidRDefault="006D7C8D" w:rsidP="00D53099">
            <w:pPr>
              <w:pStyle w:val="TableText"/>
              <w:widowControl w:val="0"/>
              <w:suppressAutoHyphens w:val="0"/>
              <w:spacing w:before="0" w:after="0" w:line="240" w:lineRule="auto"/>
              <w:jc w:val="right"/>
            </w:pPr>
            <w:r>
              <w:rPr>
                <w:color w:val="1A1B1A"/>
                <w:szCs w:val="17"/>
              </w:rPr>
              <w:t>0.22</w:t>
            </w:r>
          </w:p>
        </w:tc>
        <w:tc>
          <w:tcPr>
            <w:tcW w:w="585" w:type="pct"/>
            <w:vAlign w:val="bottom"/>
          </w:tcPr>
          <w:p w14:paraId="2BC041F6" w14:textId="77777777" w:rsidR="006D7C8D" w:rsidRPr="00721FF0" w:rsidRDefault="006D7C8D" w:rsidP="00D53099">
            <w:pPr>
              <w:pStyle w:val="TableText"/>
              <w:widowControl w:val="0"/>
              <w:suppressAutoHyphens w:val="0"/>
              <w:spacing w:before="0" w:after="0" w:line="240" w:lineRule="auto"/>
              <w:jc w:val="right"/>
            </w:pPr>
            <w:r>
              <w:rPr>
                <w:color w:val="000000"/>
                <w:szCs w:val="17"/>
              </w:rPr>
              <w:t>1462</w:t>
            </w:r>
          </w:p>
        </w:tc>
      </w:tr>
      <w:tr w:rsidR="006D7C8D" w:rsidRPr="00721FF0" w14:paraId="06C8B08B" w14:textId="77777777" w:rsidTr="00444693">
        <w:trPr>
          <w:cantSplit/>
          <w:trHeight w:val="13"/>
        </w:trPr>
        <w:tc>
          <w:tcPr>
            <w:tcW w:w="583" w:type="pct"/>
            <w:vMerge/>
          </w:tcPr>
          <w:p w14:paraId="267AA436"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9FA7B31" w14:textId="77777777" w:rsidR="006D7C8D" w:rsidRDefault="006D7C8D" w:rsidP="00444693">
            <w:pPr>
              <w:pStyle w:val="TableText"/>
              <w:widowControl w:val="0"/>
              <w:suppressAutoHyphens w:val="0"/>
              <w:spacing w:before="0" w:after="0" w:line="240" w:lineRule="auto"/>
              <w:rPr>
                <w:szCs w:val="17"/>
              </w:rPr>
            </w:pPr>
            <w:r w:rsidRPr="00336DF4">
              <w:rPr>
                <w:szCs w:val="17"/>
              </w:rPr>
              <w:t>Small insectivore</w:t>
            </w:r>
          </w:p>
        </w:tc>
        <w:tc>
          <w:tcPr>
            <w:tcW w:w="634" w:type="pct"/>
            <w:vMerge w:val="restart"/>
            <w:tcBorders>
              <w:top w:val="single" w:sz="4" w:space="0" w:color="auto"/>
            </w:tcBorders>
          </w:tcPr>
          <w:p w14:paraId="2954DCE5" w14:textId="77777777" w:rsidR="006D7C8D" w:rsidRDefault="006D7C8D" w:rsidP="00444693">
            <w:pPr>
              <w:pStyle w:val="TableText"/>
              <w:widowControl w:val="0"/>
              <w:suppressAutoHyphens w:val="0"/>
              <w:spacing w:before="0" w:after="0" w:line="240" w:lineRule="auto"/>
              <w:rPr>
                <w:szCs w:val="17"/>
              </w:rPr>
            </w:pPr>
            <w:r>
              <w:rPr>
                <w:szCs w:val="17"/>
              </w:rPr>
              <w:t>BBCH ≥20</w:t>
            </w:r>
          </w:p>
        </w:tc>
        <w:tc>
          <w:tcPr>
            <w:tcW w:w="514" w:type="pct"/>
            <w:tcBorders>
              <w:top w:val="single" w:sz="4" w:space="0" w:color="auto"/>
            </w:tcBorders>
          </w:tcPr>
          <w:p w14:paraId="37AB0BB8" w14:textId="77777777" w:rsidR="006D7C8D" w:rsidRDefault="006D7C8D" w:rsidP="00D53099">
            <w:pPr>
              <w:pStyle w:val="TableText"/>
              <w:widowControl w:val="0"/>
              <w:suppressAutoHyphens w:val="0"/>
              <w:spacing w:before="0" w:after="0" w:line="240" w:lineRule="auto"/>
              <w:jc w:val="right"/>
            </w:pPr>
            <w:r>
              <w:t>5.4</w:t>
            </w:r>
          </w:p>
        </w:tc>
        <w:tc>
          <w:tcPr>
            <w:tcW w:w="662" w:type="pct"/>
            <w:tcBorders>
              <w:top w:val="single" w:sz="4" w:space="0" w:color="auto"/>
            </w:tcBorders>
            <w:vAlign w:val="center"/>
          </w:tcPr>
          <w:p w14:paraId="37ED531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269A14AB" w14:textId="77777777" w:rsidR="006D7C8D" w:rsidRPr="003B78B6" w:rsidRDefault="006D7C8D" w:rsidP="00D53099">
            <w:pPr>
              <w:pStyle w:val="TableText"/>
              <w:widowControl w:val="0"/>
              <w:suppressAutoHyphens w:val="0"/>
              <w:spacing w:before="0" w:after="0" w:line="240" w:lineRule="auto"/>
              <w:jc w:val="right"/>
            </w:pPr>
            <w:r>
              <w:rPr>
                <w:color w:val="1A1B1A"/>
                <w:szCs w:val="17"/>
              </w:rPr>
              <w:t>4.3</w:t>
            </w:r>
          </w:p>
        </w:tc>
        <w:tc>
          <w:tcPr>
            <w:tcW w:w="367" w:type="pct"/>
            <w:tcBorders>
              <w:top w:val="single" w:sz="4" w:space="0" w:color="auto"/>
            </w:tcBorders>
            <w:vAlign w:val="center"/>
          </w:tcPr>
          <w:p w14:paraId="0017A025" w14:textId="77777777" w:rsidR="006D7C8D" w:rsidRPr="00721FF0" w:rsidRDefault="006D7C8D" w:rsidP="00D53099">
            <w:pPr>
              <w:pStyle w:val="TableText"/>
              <w:widowControl w:val="0"/>
              <w:suppressAutoHyphens w:val="0"/>
              <w:spacing w:before="0" w:after="0" w:line="240" w:lineRule="auto"/>
              <w:jc w:val="right"/>
            </w:pPr>
            <w:r>
              <w:rPr>
                <w:color w:val="1A1B1A"/>
                <w:szCs w:val="17"/>
              </w:rPr>
              <w:t>0.57</w:t>
            </w:r>
          </w:p>
        </w:tc>
        <w:tc>
          <w:tcPr>
            <w:tcW w:w="585" w:type="pct"/>
            <w:tcBorders>
              <w:top w:val="single" w:sz="4" w:space="0" w:color="auto"/>
            </w:tcBorders>
            <w:vAlign w:val="bottom"/>
          </w:tcPr>
          <w:p w14:paraId="25674B83"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54C85CA7" w14:textId="77777777" w:rsidTr="00444693">
        <w:trPr>
          <w:cantSplit/>
          <w:trHeight w:val="13"/>
        </w:trPr>
        <w:tc>
          <w:tcPr>
            <w:tcW w:w="583" w:type="pct"/>
            <w:vMerge/>
          </w:tcPr>
          <w:p w14:paraId="5C297E57"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EE0B223" w14:textId="77777777" w:rsidR="006D7C8D" w:rsidRPr="00336DF4" w:rsidRDefault="006D7C8D" w:rsidP="00444693">
            <w:pPr>
              <w:pStyle w:val="TableText"/>
              <w:widowControl w:val="0"/>
              <w:suppressAutoHyphens w:val="0"/>
              <w:spacing w:before="0" w:after="0" w:line="240" w:lineRule="auto"/>
              <w:rPr>
                <w:szCs w:val="17"/>
              </w:rPr>
            </w:pPr>
          </w:p>
        </w:tc>
        <w:tc>
          <w:tcPr>
            <w:tcW w:w="634" w:type="pct"/>
            <w:vMerge/>
          </w:tcPr>
          <w:p w14:paraId="4D1EBD15" w14:textId="77777777" w:rsidR="006D7C8D" w:rsidRDefault="006D7C8D" w:rsidP="00444693">
            <w:pPr>
              <w:pStyle w:val="TableText"/>
              <w:widowControl w:val="0"/>
              <w:suppressAutoHyphens w:val="0"/>
              <w:spacing w:before="0" w:after="0" w:line="240" w:lineRule="auto"/>
              <w:rPr>
                <w:szCs w:val="17"/>
              </w:rPr>
            </w:pPr>
          </w:p>
        </w:tc>
        <w:tc>
          <w:tcPr>
            <w:tcW w:w="514" w:type="pct"/>
          </w:tcPr>
          <w:p w14:paraId="2F48BCB3" w14:textId="77777777" w:rsidR="006D7C8D" w:rsidRDefault="006D7C8D" w:rsidP="00D53099">
            <w:pPr>
              <w:pStyle w:val="TableText"/>
              <w:widowControl w:val="0"/>
              <w:suppressAutoHyphens w:val="0"/>
              <w:spacing w:before="0" w:after="0" w:line="240" w:lineRule="auto"/>
              <w:jc w:val="right"/>
            </w:pPr>
            <w:r w:rsidRPr="00AE04E9">
              <w:t>5.4</w:t>
            </w:r>
          </w:p>
        </w:tc>
        <w:tc>
          <w:tcPr>
            <w:tcW w:w="662" w:type="pct"/>
            <w:vAlign w:val="center"/>
          </w:tcPr>
          <w:p w14:paraId="147BF25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720D1992" w14:textId="77777777" w:rsidR="006D7C8D" w:rsidRPr="003B78B6" w:rsidRDefault="006D7C8D" w:rsidP="00D53099">
            <w:pPr>
              <w:pStyle w:val="TableText"/>
              <w:widowControl w:val="0"/>
              <w:suppressAutoHyphens w:val="0"/>
              <w:spacing w:before="0" w:after="0" w:line="240" w:lineRule="auto"/>
              <w:jc w:val="right"/>
            </w:pPr>
            <w:r>
              <w:rPr>
                <w:color w:val="1A1B1A"/>
                <w:szCs w:val="17"/>
              </w:rPr>
              <w:t>1.7</w:t>
            </w:r>
          </w:p>
        </w:tc>
        <w:tc>
          <w:tcPr>
            <w:tcW w:w="367" w:type="pct"/>
            <w:vAlign w:val="center"/>
          </w:tcPr>
          <w:p w14:paraId="7B9ADCB0" w14:textId="77777777" w:rsidR="006D7C8D" w:rsidRPr="00721FF0" w:rsidRDefault="006D7C8D" w:rsidP="00D53099">
            <w:pPr>
              <w:pStyle w:val="TableText"/>
              <w:widowControl w:val="0"/>
              <w:suppressAutoHyphens w:val="0"/>
              <w:spacing w:before="0" w:after="0" w:line="240" w:lineRule="auto"/>
              <w:jc w:val="right"/>
            </w:pPr>
            <w:r>
              <w:rPr>
                <w:color w:val="1A1B1A"/>
                <w:szCs w:val="17"/>
              </w:rPr>
              <w:t>0.23</w:t>
            </w:r>
          </w:p>
        </w:tc>
        <w:tc>
          <w:tcPr>
            <w:tcW w:w="585" w:type="pct"/>
            <w:vAlign w:val="bottom"/>
          </w:tcPr>
          <w:p w14:paraId="7F114671" w14:textId="77777777" w:rsidR="006D7C8D" w:rsidRPr="00721FF0" w:rsidRDefault="006D7C8D" w:rsidP="00D53099">
            <w:pPr>
              <w:pStyle w:val="TableText"/>
              <w:widowControl w:val="0"/>
              <w:suppressAutoHyphens w:val="0"/>
              <w:spacing w:before="0" w:after="0" w:line="240" w:lineRule="auto"/>
              <w:jc w:val="right"/>
            </w:pPr>
            <w:r>
              <w:rPr>
                <w:color w:val="000000"/>
                <w:szCs w:val="17"/>
              </w:rPr>
              <w:t>1407</w:t>
            </w:r>
          </w:p>
        </w:tc>
      </w:tr>
      <w:tr w:rsidR="006D7C8D" w:rsidRPr="00721FF0" w14:paraId="705ED747" w14:textId="77777777" w:rsidTr="00444693">
        <w:trPr>
          <w:cantSplit/>
          <w:trHeight w:val="13"/>
        </w:trPr>
        <w:tc>
          <w:tcPr>
            <w:tcW w:w="583" w:type="pct"/>
            <w:vMerge w:val="restart"/>
            <w:tcBorders>
              <w:top w:val="single" w:sz="4" w:space="0" w:color="auto"/>
            </w:tcBorders>
          </w:tcPr>
          <w:p w14:paraId="25975966" w14:textId="77777777" w:rsidR="006D7C8D" w:rsidRDefault="006D7C8D" w:rsidP="00444693">
            <w:pPr>
              <w:pStyle w:val="TableText"/>
              <w:widowControl w:val="0"/>
              <w:suppressAutoHyphens w:val="0"/>
              <w:spacing w:before="0" w:after="0" w:line="240" w:lineRule="auto"/>
              <w:rPr>
                <w:szCs w:val="17"/>
              </w:rPr>
            </w:pPr>
            <w:r>
              <w:rPr>
                <w:szCs w:val="17"/>
              </w:rPr>
              <w:t>Vineyards</w:t>
            </w:r>
          </w:p>
        </w:tc>
        <w:tc>
          <w:tcPr>
            <w:tcW w:w="772" w:type="pct"/>
            <w:vMerge w:val="restart"/>
            <w:tcBorders>
              <w:top w:val="single" w:sz="4" w:space="0" w:color="auto"/>
            </w:tcBorders>
          </w:tcPr>
          <w:p w14:paraId="3A4D52A8" w14:textId="77777777" w:rsidR="006D7C8D" w:rsidRDefault="006D7C8D" w:rsidP="00444693">
            <w:pPr>
              <w:pStyle w:val="TableText"/>
              <w:widowControl w:val="0"/>
              <w:suppressAutoHyphens w:val="0"/>
              <w:spacing w:before="0" w:after="0" w:line="240" w:lineRule="auto"/>
              <w:rPr>
                <w:szCs w:val="17"/>
              </w:rPr>
            </w:pPr>
            <w:r w:rsidRPr="00B6513E">
              <w:rPr>
                <w:szCs w:val="17"/>
              </w:rPr>
              <w:t>Small herbivore</w:t>
            </w:r>
          </w:p>
        </w:tc>
        <w:tc>
          <w:tcPr>
            <w:tcW w:w="634" w:type="pct"/>
            <w:vMerge w:val="restart"/>
            <w:tcBorders>
              <w:top w:val="single" w:sz="4" w:space="0" w:color="auto"/>
            </w:tcBorders>
          </w:tcPr>
          <w:p w14:paraId="4368BE23" w14:textId="77777777" w:rsidR="006D7C8D" w:rsidRDefault="006D7C8D" w:rsidP="00444693">
            <w:pPr>
              <w:pStyle w:val="TableText"/>
              <w:widowControl w:val="0"/>
              <w:suppressAutoHyphens w:val="0"/>
              <w:spacing w:before="0" w:after="0" w:line="240" w:lineRule="auto"/>
              <w:rPr>
                <w:szCs w:val="17"/>
              </w:rPr>
            </w:pPr>
            <w:r w:rsidRPr="00065967">
              <w:rPr>
                <w:szCs w:val="17"/>
              </w:rPr>
              <w:t>Ground directed</w:t>
            </w:r>
          </w:p>
        </w:tc>
        <w:tc>
          <w:tcPr>
            <w:tcW w:w="514" w:type="pct"/>
            <w:tcBorders>
              <w:top w:val="single" w:sz="4" w:space="0" w:color="auto"/>
            </w:tcBorders>
            <w:shd w:val="clear" w:color="auto" w:fill="D5D7D5" w:themeFill="text1" w:themeFillTint="33"/>
          </w:tcPr>
          <w:p w14:paraId="24532D04" w14:textId="77777777" w:rsidR="006D7C8D" w:rsidRDefault="006D7C8D" w:rsidP="00D53099">
            <w:pPr>
              <w:pStyle w:val="TableText"/>
              <w:widowControl w:val="0"/>
              <w:suppressAutoHyphens w:val="0"/>
              <w:spacing w:before="0" w:after="0" w:line="240" w:lineRule="auto"/>
              <w:jc w:val="right"/>
            </w:pPr>
            <w:r w:rsidRPr="000B2FAB">
              <w:rPr>
                <w:szCs w:val="17"/>
              </w:rPr>
              <w:t>112</w:t>
            </w:r>
            <w:r w:rsidRPr="000B2FAB">
              <w:rPr>
                <w:szCs w:val="17"/>
                <w:vertAlign w:val="superscript"/>
              </w:rPr>
              <w:t>a</w:t>
            </w:r>
          </w:p>
        </w:tc>
        <w:tc>
          <w:tcPr>
            <w:tcW w:w="662" w:type="pct"/>
            <w:tcBorders>
              <w:top w:val="single" w:sz="4" w:space="0" w:color="auto"/>
            </w:tcBorders>
            <w:vAlign w:val="center"/>
          </w:tcPr>
          <w:p w14:paraId="25F2C64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6DAE3543" w14:textId="77777777" w:rsidR="006D7C8D" w:rsidRPr="003B78B6" w:rsidRDefault="006D7C8D" w:rsidP="00D53099">
            <w:pPr>
              <w:pStyle w:val="TableText"/>
              <w:widowControl w:val="0"/>
              <w:suppressAutoHyphens w:val="0"/>
              <w:spacing w:before="0" w:after="0" w:line="240" w:lineRule="auto"/>
              <w:jc w:val="right"/>
            </w:pPr>
            <w:r>
              <w:rPr>
                <w:color w:val="1A1B1A"/>
                <w:szCs w:val="17"/>
              </w:rPr>
              <w:t>90</w:t>
            </w:r>
          </w:p>
        </w:tc>
        <w:tc>
          <w:tcPr>
            <w:tcW w:w="367" w:type="pct"/>
            <w:tcBorders>
              <w:top w:val="single" w:sz="4" w:space="0" w:color="auto"/>
            </w:tcBorders>
            <w:shd w:val="clear" w:color="auto" w:fill="FF0000"/>
            <w:vAlign w:val="center"/>
          </w:tcPr>
          <w:p w14:paraId="4F3E3B8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tcBorders>
              <w:top w:val="single" w:sz="4" w:space="0" w:color="auto"/>
            </w:tcBorders>
            <w:vAlign w:val="bottom"/>
          </w:tcPr>
          <w:p w14:paraId="217DC0EC"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0FBDC163" w14:textId="77777777" w:rsidTr="00444693">
        <w:trPr>
          <w:cantSplit/>
          <w:trHeight w:val="13"/>
        </w:trPr>
        <w:tc>
          <w:tcPr>
            <w:tcW w:w="583" w:type="pct"/>
            <w:vMerge/>
          </w:tcPr>
          <w:p w14:paraId="0175ABD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A4D2F7E"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1E23C1F4"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5CD47010" w14:textId="77777777" w:rsidR="006D7C8D" w:rsidRPr="000B2FAB" w:rsidRDefault="006D7C8D" w:rsidP="00D53099">
            <w:pPr>
              <w:pStyle w:val="TableText"/>
              <w:widowControl w:val="0"/>
              <w:suppressAutoHyphens w:val="0"/>
              <w:spacing w:before="0" w:after="0" w:line="240" w:lineRule="auto"/>
              <w:jc w:val="right"/>
              <w:rPr>
                <w:szCs w:val="17"/>
              </w:rPr>
            </w:pPr>
            <w:r w:rsidRPr="005D4CE7">
              <w:rPr>
                <w:szCs w:val="17"/>
              </w:rPr>
              <w:t>112</w:t>
            </w:r>
            <w:r w:rsidRPr="005D4CE7">
              <w:rPr>
                <w:szCs w:val="17"/>
                <w:vertAlign w:val="superscript"/>
              </w:rPr>
              <w:t>a</w:t>
            </w:r>
          </w:p>
        </w:tc>
        <w:tc>
          <w:tcPr>
            <w:tcW w:w="662" w:type="pct"/>
            <w:vAlign w:val="center"/>
          </w:tcPr>
          <w:p w14:paraId="5CDC03C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7F897893" w14:textId="77777777" w:rsidR="006D7C8D" w:rsidRPr="003B78B6" w:rsidRDefault="006D7C8D" w:rsidP="00D53099">
            <w:pPr>
              <w:pStyle w:val="TableText"/>
              <w:widowControl w:val="0"/>
              <w:suppressAutoHyphens w:val="0"/>
              <w:spacing w:before="0" w:after="0" w:line="240" w:lineRule="auto"/>
              <w:jc w:val="right"/>
            </w:pPr>
            <w:r>
              <w:rPr>
                <w:color w:val="1A1B1A"/>
                <w:szCs w:val="17"/>
              </w:rPr>
              <w:t>67</w:t>
            </w:r>
          </w:p>
        </w:tc>
        <w:tc>
          <w:tcPr>
            <w:tcW w:w="367" w:type="pct"/>
            <w:shd w:val="clear" w:color="auto" w:fill="FF0000"/>
            <w:vAlign w:val="center"/>
          </w:tcPr>
          <w:p w14:paraId="57E3A1B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8.8</w:t>
            </w:r>
          </w:p>
        </w:tc>
        <w:tc>
          <w:tcPr>
            <w:tcW w:w="585" w:type="pct"/>
            <w:vAlign w:val="bottom"/>
          </w:tcPr>
          <w:p w14:paraId="52BF4B6F"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31DB368D" w14:textId="77777777" w:rsidTr="00444693">
        <w:trPr>
          <w:cantSplit/>
          <w:trHeight w:val="13"/>
        </w:trPr>
        <w:tc>
          <w:tcPr>
            <w:tcW w:w="583" w:type="pct"/>
            <w:vMerge/>
          </w:tcPr>
          <w:p w14:paraId="7DB0A13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C24D7C6"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2C76B440"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0EDD5B0" w14:textId="77777777" w:rsidR="006D7C8D" w:rsidRPr="000B2FAB" w:rsidRDefault="006D7C8D" w:rsidP="00D53099">
            <w:pPr>
              <w:pStyle w:val="TableText"/>
              <w:widowControl w:val="0"/>
              <w:suppressAutoHyphens w:val="0"/>
              <w:spacing w:before="0" w:after="0" w:line="240" w:lineRule="auto"/>
              <w:jc w:val="right"/>
              <w:rPr>
                <w:szCs w:val="17"/>
              </w:rPr>
            </w:pPr>
            <w:r w:rsidRPr="005D4CE7">
              <w:rPr>
                <w:szCs w:val="17"/>
              </w:rPr>
              <w:t>112</w:t>
            </w:r>
            <w:r w:rsidRPr="005D4CE7">
              <w:rPr>
                <w:szCs w:val="17"/>
                <w:vertAlign w:val="superscript"/>
              </w:rPr>
              <w:t>a</w:t>
            </w:r>
          </w:p>
        </w:tc>
        <w:tc>
          <w:tcPr>
            <w:tcW w:w="662" w:type="pct"/>
            <w:vAlign w:val="center"/>
          </w:tcPr>
          <w:p w14:paraId="1F2BA3F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683F260E" w14:textId="77777777" w:rsidR="006D7C8D" w:rsidRPr="003B78B6" w:rsidRDefault="006D7C8D" w:rsidP="00D53099">
            <w:pPr>
              <w:pStyle w:val="TableText"/>
              <w:widowControl w:val="0"/>
              <w:suppressAutoHyphens w:val="0"/>
              <w:spacing w:before="0" w:after="0" w:line="240" w:lineRule="auto"/>
              <w:jc w:val="right"/>
            </w:pPr>
            <w:r>
              <w:rPr>
                <w:color w:val="1A1B1A"/>
                <w:szCs w:val="17"/>
              </w:rPr>
              <w:t>36</w:t>
            </w:r>
          </w:p>
        </w:tc>
        <w:tc>
          <w:tcPr>
            <w:tcW w:w="367" w:type="pct"/>
            <w:shd w:val="clear" w:color="auto" w:fill="FF0000"/>
            <w:vAlign w:val="center"/>
          </w:tcPr>
          <w:p w14:paraId="59A3DEAC"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4.7</w:t>
            </w:r>
          </w:p>
        </w:tc>
        <w:tc>
          <w:tcPr>
            <w:tcW w:w="585" w:type="pct"/>
            <w:vAlign w:val="bottom"/>
          </w:tcPr>
          <w:p w14:paraId="7EA2426C"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29D2F35D" w14:textId="77777777" w:rsidTr="00444693">
        <w:trPr>
          <w:cantSplit/>
          <w:trHeight w:val="13"/>
        </w:trPr>
        <w:tc>
          <w:tcPr>
            <w:tcW w:w="583" w:type="pct"/>
            <w:vMerge/>
          </w:tcPr>
          <w:p w14:paraId="41C888E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537E86B" w14:textId="77777777" w:rsidR="006D7C8D" w:rsidRPr="00B6513E" w:rsidRDefault="006D7C8D" w:rsidP="00444693">
            <w:pPr>
              <w:pStyle w:val="TableText"/>
              <w:widowControl w:val="0"/>
              <w:suppressAutoHyphens w:val="0"/>
              <w:spacing w:before="0" w:after="0" w:line="240" w:lineRule="auto"/>
              <w:rPr>
                <w:szCs w:val="17"/>
              </w:rPr>
            </w:pPr>
          </w:p>
        </w:tc>
        <w:tc>
          <w:tcPr>
            <w:tcW w:w="634" w:type="pct"/>
            <w:vMerge/>
          </w:tcPr>
          <w:p w14:paraId="0CDC320E"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6790D1D" w14:textId="77777777" w:rsidR="006D7C8D" w:rsidRPr="000B2FAB" w:rsidRDefault="006D7C8D" w:rsidP="00D53099">
            <w:pPr>
              <w:pStyle w:val="TableText"/>
              <w:widowControl w:val="0"/>
              <w:suppressAutoHyphens w:val="0"/>
              <w:spacing w:before="0" w:after="0" w:line="240" w:lineRule="auto"/>
              <w:jc w:val="right"/>
              <w:rPr>
                <w:szCs w:val="17"/>
              </w:rPr>
            </w:pPr>
            <w:r w:rsidRPr="005D4CE7">
              <w:rPr>
                <w:szCs w:val="17"/>
              </w:rPr>
              <w:t>112</w:t>
            </w:r>
            <w:r w:rsidRPr="005D4CE7">
              <w:rPr>
                <w:szCs w:val="17"/>
                <w:vertAlign w:val="superscript"/>
              </w:rPr>
              <w:t>a</w:t>
            </w:r>
          </w:p>
        </w:tc>
        <w:tc>
          <w:tcPr>
            <w:tcW w:w="662" w:type="pct"/>
            <w:vAlign w:val="center"/>
          </w:tcPr>
          <w:p w14:paraId="1CF8FD0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1710F51B" w14:textId="77777777" w:rsidR="006D7C8D" w:rsidRPr="003B78B6" w:rsidRDefault="006D7C8D" w:rsidP="00D53099">
            <w:pPr>
              <w:pStyle w:val="TableText"/>
              <w:widowControl w:val="0"/>
              <w:suppressAutoHyphens w:val="0"/>
              <w:spacing w:before="0" w:after="0" w:line="240" w:lineRule="auto"/>
              <w:jc w:val="right"/>
            </w:pPr>
            <w:r>
              <w:rPr>
                <w:color w:val="1A1B1A"/>
                <w:szCs w:val="17"/>
              </w:rPr>
              <w:t>27</w:t>
            </w:r>
          </w:p>
        </w:tc>
        <w:tc>
          <w:tcPr>
            <w:tcW w:w="367" w:type="pct"/>
            <w:shd w:val="clear" w:color="auto" w:fill="FF0000"/>
            <w:vAlign w:val="center"/>
          </w:tcPr>
          <w:p w14:paraId="0097B95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3.5</w:t>
            </w:r>
          </w:p>
        </w:tc>
        <w:tc>
          <w:tcPr>
            <w:tcW w:w="585" w:type="pct"/>
            <w:vAlign w:val="bottom"/>
          </w:tcPr>
          <w:p w14:paraId="57AD2E38" w14:textId="77777777" w:rsidR="006D7C8D" w:rsidRPr="00721FF0" w:rsidRDefault="006D7C8D" w:rsidP="00D53099">
            <w:pPr>
              <w:pStyle w:val="TableText"/>
              <w:widowControl w:val="0"/>
              <w:suppressAutoHyphens w:val="0"/>
              <w:spacing w:before="0" w:after="0" w:line="240" w:lineRule="auto"/>
              <w:jc w:val="right"/>
            </w:pPr>
            <w:r>
              <w:rPr>
                <w:color w:val="000000"/>
                <w:szCs w:val="17"/>
              </w:rPr>
              <w:t>68</w:t>
            </w:r>
          </w:p>
        </w:tc>
      </w:tr>
      <w:tr w:rsidR="006D7C8D" w:rsidRPr="00721FF0" w14:paraId="7879C534" w14:textId="77777777" w:rsidTr="00444693">
        <w:trPr>
          <w:cantSplit/>
          <w:trHeight w:val="13"/>
        </w:trPr>
        <w:tc>
          <w:tcPr>
            <w:tcW w:w="583" w:type="pct"/>
            <w:vMerge/>
          </w:tcPr>
          <w:p w14:paraId="1CCEEDA3"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97F3831" w14:textId="77777777" w:rsidR="006D7C8D" w:rsidRDefault="006D7C8D" w:rsidP="00444693">
            <w:pPr>
              <w:pStyle w:val="TableText"/>
              <w:widowControl w:val="0"/>
              <w:suppressAutoHyphens w:val="0"/>
              <w:spacing w:before="0" w:after="0" w:line="240" w:lineRule="auto"/>
              <w:rPr>
                <w:szCs w:val="17"/>
              </w:rPr>
            </w:pPr>
            <w:r>
              <w:rPr>
                <w:szCs w:val="17"/>
              </w:rPr>
              <w:t>Large herbivore</w:t>
            </w:r>
          </w:p>
        </w:tc>
        <w:tc>
          <w:tcPr>
            <w:tcW w:w="634" w:type="pct"/>
            <w:vMerge w:val="restart"/>
            <w:tcBorders>
              <w:top w:val="single" w:sz="4" w:space="0" w:color="auto"/>
            </w:tcBorders>
          </w:tcPr>
          <w:p w14:paraId="309B8F8F" w14:textId="77777777" w:rsidR="006D7C8D" w:rsidRDefault="006D7C8D" w:rsidP="00444693">
            <w:pPr>
              <w:pStyle w:val="TableText"/>
              <w:widowControl w:val="0"/>
              <w:suppressAutoHyphens w:val="0"/>
              <w:spacing w:before="0" w:after="0" w:line="240" w:lineRule="auto"/>
              <w:rPr>
                <w:szCs w:val="17"/>
              </w:rPr>
            </w:pPr>
            <w:r w:rsidRPr="00065967">
              <w:rPr>
                <w:szCs w:val="17"/>
              </w:rPr>
              <w:t>Ground directed</w:t>
            </w:r>
          </w:p>
        </w:tc>
        <w:tc>
          <w:tcPr>
            <w:tcW w:w="514" w:type="pct"/>
            <w:tcBorders>
              <w:top w:val="single" w:sz="4" w:space="0" w:color="auto"/>
            </w:tcBorders>
            <w:shd w:val="clear" w:color="auto" w:fill="D5D7D5" w:themeFill="text1" w:themeFillTint="33"/>
          </w:tcPr>
          <w:p w14:paraId="5ADF4008" w14:textId="77777777" w:rsidR="006D7C8D" w:rsidRDefault="006D7C8D" w:rsidP="00D53099">
            <w:pPr>
              <w:pStyle w:val="TableText"/>
              <w:widowControl w:val="0"/>
              <w:suppressAutoHyphens w:val="0"/>
              <w:spacing w:before="0" w:after="0" w:line="240" w:lineRule="auto"/>
              <w:jc w:val="right"/>
            </w:pPr>
            <w:r>
              <w:t>22.2</w:t>
            </w:r>
            <w:r w:rsidRPr="00634F9D">
              <w:rPr>
                <w:vertAlign w:val="superscript"/>
              </w:rPr>
              <w:t>b</w:t>
            </w:r>
          </w:p>
        </w:tc>
        <w:tc>
          <w:tcPr>
            <w:tcW w:w="662" w:type="pct"/>
            <w:tcBorders>
              <w:top w:val="single" w:sz="4" w:space="0" w:color="auto"/>
            </w:tcBorders>
            <w:vAlign w:val="center"/>
          </w:tcPr>
          <w:p w14:paraId="41A8600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7377CBD2" w14:textId="77777777" w:rsidR="006D7C8D" w:rsidRPr="003B78B6" w:rsidRDefault="006D7C8D" w:rsidP="00D53099">
            <w:pPr>
              <w:pStyle w:val="TableText"/>
              <w:widowControl w:val="0"/>
              <w:suppressAutoHyphens w:val="0"/>
              <w:spacing w:before="0" w:after="0" w:line="240" w:lineRule="auto"/>
              <w:jc w:val="right"/>
            </w:pPr>
            <w:r>
              <w:rPr>
                <w:color w:val="1A1B1A"/>
                <w:szCs w:val="17"/>
              </w:rPr>
              <w:t>18</w:t>
            </w:r>
          </w:p>
        </w:tc>
        <w:tc>
          <w:tcPr>
            <w:tcW w:w="367" w:type="pct"/>
            <w:tcBorders>
              <w:top w:val="single" w:sz="4" w:space="0" w:color="auto"/>
            </w:tcBorders>
            <w:shd w:val="clear" w:color="auto" w:fill="FF0000"/>
            <w:vAlign w:val="center"/>
          </w:tcPr>
          <w:p w14:paraId="55D31FB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2.3</w:t>
            </w:r>
          </w:p>
        </w:tc>
        <w:tc>
          <w:tcPr>
            <w:tcW w:w="585" w:type="pct"/>
            <w:tcBorders>
              <w:top w:val="single" w:sz="4" w:space="0" w:color="auto"/>
            </w:tcBorders>
            <w:vAlign w:val="bottom"/>
          </w:tcPr>
          <w:p w14:paraId="1F757798"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771F2CDF" w14:textId="77777777" w:rsidTr="00444693">
        <w:trPr>
          <w:cantSplit/>
          <w:trHeight w:val="13"/>
        </w:trPr>
        <w:tc>
          <w:tcPr>
            <w:tcW w:w="583" w:type="pct"/>
            <w:vMerge/>
          </w:tcPr>
          <w:p w14:paraId="728F449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D463F12"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AEE9200"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D63B23C" w14:textId="77777777" w:rsidR="006D7C8D" w:rsidRDefault="006D7C8D" w:rsidP="00D53099">
            <w:pPr>
              <w:pStyle w:val="TableText"/>
              <w:widowControl w:val="0"/>
              <w:suppressAutoHyphens w:val="0"/>
              <w:spacing w:before="0" w:after="0" w:line="240" w:lineRule="auto"/>
              <w:jc w:val="right"/>
            </w:pPr>
            <w:r w:rsidRPr="009C0197">
              <w:t>22.2</w:t>
            </w:r>
            <w:r w:rsidRPr="009C0197">
              <w:rPr>
                <w:vertAlign w:val="superscript"/>
              </w:rPr>
              <w:t>b</w:t>
            </w:r>
          </w:p>
        </w:tc>
        <w:tc>
          <w:tcPr>
            <w:tcW w:w="662" w:type="pct"/>
            <w:vAlign w:val="center"/>
          </w:tcPr>
          <w:p w14:paraId="74B9966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0ECB5811"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shd w:val="clear" w:color="auto" w:fill="FF0000"/>
            <w:vAlign w:val="center"/>
          </w:tcPr>
          <w:p w14:paraId="29FE40A5"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1.8</w:t>
            </w:r>
          </w:p>
        </w:tc>
        <w:tc>
          <w:tcPr>
            <w:tcW w:w="585" w:type="pct"/>
            <w:vAlign w:val="bottom"/>
          </w:tcPr>
          <w:p w14:paraId="1A02C3D3"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5324B904" w14:textId="77777777" w:rsidTr="00444693">
        <w:trPr>
          <w:cantSplit/>
          <w:trHeight w:val="13"/>
        </w:trPr>
        <w:tc>
          <w:tcPr>
            <w:tcW w:w="583" w:type="pct"/>
            <w:vMerge/>
          </w:tcPr>
          <w:p w14:paraId="0209623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D08E35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19057B63"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025B5119" w14:textId="77777777" w:rsidR="006D7C8D" w:rsidRDefault="006D7C8D" w:rsidP="00D53099">
            <w:pPr>
              <w:pStyle w:val="TableText"/>
              <w:widowControl w:val="0"/>
              <w:suppressAutoHyphens w:val="0"/>
              <w:spacing w:before="0" w:after="0" w:line="240" w:lineRule="auto"/>
              <w:jc w:val="right"/>
            </w:pPr>
            <w:r w:rsidRPr="009C0197">
              <w:t>22.2</w:t>
            </w:r>
            <w:r w:rsidRPr="009C0197">
              <w:rPr>
                <w:vertAlign w:val="superscript"/>
              </w:rPr>
              <w:t>b</w:t>
            </w:r>
          </w:p>
        </w:tc>
        <w:tc>
          <w:tcPr>
            <w:tcW w:w="662" w:type="pct"/>
            <w:vAlign w:val="center"/>
          </w:tcPr>
          <w:p w14:paraId="0442CE2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11EC60A1" w14:textId="77777777" w:rsidR="006D7C8D" w:rsidRPr="003B78B6" w:rsidRDefault="006D7C8D" w:rsidP="00D53099">
            <w:pPr>
              <w:pStyle w:val="TableText"/>
              <w:widowControl w:val="0"/>
              <w:suppressAutoHyphens w:val="0"/>
              <w:spacing w:before="0" w:after="0" w:line="240" w:lineRule="auto"/>
              <w:jc w:val="right"/>
            </w:pPr>
            <w:r>
              <w:rPr>
                <w:color w:val="1A1B1A"/>
                <w:szCs w:val="17"/>
              </w:rPr>
              <w:t>7.1</w:t>
            </w:r>
          </w:p>
        </w:tc>
        <w:tc>
          <w:tcPr>
            <w:tcW w:w="367" w:type="pct"/>
            <w:vAlign w:val="center"/>
          </w:tcPr>
          <w:p w14:paraId="3443C783" w14:textId="77777777" w:rsidR="006D7C8D" w:rsidRPr="00721FF0" w:rsidRDefault="006D7C8D" w:rsidP="00D53099">
            <w:pPr>
              <w:pStyle w:val="TableText"/>
              <w:widowControl w:val="0"/>
              <w:suppressAutoHyphens w:val="0"/>
              <w:spacing w:before="0" w:after="0" w:line="240" w:lineRule="auto"/>
              <w:jc w:val="right"/>
            </w:pPr>
            <w:r>
              <w:rPr>
                <w:color w:val="1A1B1A"/>
                <w:szCs w:val="17"/>
              </w:rPr>
              <w:t>0.93</w:t>
            </w:r>
          </w:p>
        </w:tc>
        <w:tc>
          <w:tcPr>
            <w:tcW w:w="585" w:type="pct"/>
            <w:vAlign w:val="bottom"/>
          </w:tcPr>
          <w:p w14:paraId="2749BEAD"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35C5C55C" w14:textId="77777777" w:rsidTr="00444693">
        <w:trPr>
          <w:cantSplit/>
          <w:trHeight w:val="13"/>
        </w:trPr>
        <w:tc>
          <w:tcPr>
            <w:tcW w:w="583" w:type="pct"/>
            <w:vMerge/>
          </w:tcPr>
          <w:p w14:paraId="42DABF8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CF39EB9"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91D0DE1"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3AAA2F14" w14:textId="77777777" w:rsidR="006D7C8D" w:rsidRDefault="006D7C8D" w:rsidP="00D53099">
            <w:pPr>
              <w:pStyle w:val="TableText"/>
              <w:widowControl w:val="0"/>
              <w:suppressAutoHyphens w:val="0"/>
              <w:spacing w:before="0" w:after="0" w:line="240" w:lineRule="auto"/>
              <w:jc w:val="right"/>
            </w:pPr>
            <w:r w:rsidRPr="009C0197">
              <w:t>22.2</w:t>
            </w:r>
            <w:r w:rsidRPr="009C0197">
              <w:rPr>
                <w:vertAlign w:val="superscript"/>
              </w:rPr>
              <w:t>b</w:t>
            </w:r>
          </w:p>
        </w:tc>
        <w:tc>
          <w:tcPr>
            <w:tcW w:w="662" w:type="pct"/>
            <w:vAlign w:val="center"/>
          </w:tcPr>
          <w:p w14:paraId="2DDCF0E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10129135" w14:textId="77777777" w:rsidR="006D7C8D" w:rsidRPr="003B78B6" w:rsidRDefault="006D7C8D" w:rsidP="00D53099">
            <w:pPr>
              <w:pStyle w:val="TableText"/>
              <w:widowControl w:val="0"/>
              <w:suppressAutoHyphens w:val="0"/>
              <w:spacing w:before="0" w:after="0" w:line="240" w:lineRule="auto"/>
              <w:jc w:val="right"/>
            </w:pPr>
            <w:r>
              <w:rPr>
                <w:color w:val="1A1B1A"/>
                <w:szCs w:val="17"/>
              </w:rPr>
              <w:t>5.3</w:t>
            </w:r>
          </w:p>
        </w:tc>
        <w:tc>
          <w:tcPr>
            <w:tcW w:w="367" w:type="pct"/>
            <w:vAlign w:val="center"/>
          </w:tcPr>
          <w:p w14:paraId="33595614" w14:textId="77777777" w:rsidR="006D7C8D" w:rsidRPr="00721FF0" w:rsidRDefault="006D7C8D" w:rsidP="00D53099">
            <w:pPr>
              <w:pStyle w:val="TableText"/>
              <w:widowControl w:val="0"/>
              <w:suppressAutoHyphens w:val="0"/>
              <w:spacing w:before="0" w:after="0" w:line="240" w:lineRule="auto"/>
              <w:jc w:val="right"/>
            </w:pPr>
            <w:r>
              <w:rPr>
                <w:color w:val="1A1B1A"/>
                <w:szCs w:val="17"/>
              </w:rPr>
              <w:t>0.70</w:t>
            </w:r>
          </w:p>
        </w:tc>
        <w:tc>
          <w:tcPr>
            <w:tcW w:w="585" w:type="pct"/>
            <w:vAlign w:val="bottom"/>
          </w:tcPr>
          <w:p w14:paraId="0547FD1C" w14:textId="77777777" w:rsidR="006D7C8D" w:rsidRPr="00721FF0" w:rsidRDefault="006D7C8D" w:rsidP="00D53099">
            <w:pPr>
              <w:pStyle w:val="TableText"/>
              <w:widowControl w:val="0"/>
              <w:suppressAutoHyphens w:val="0"/>
              <w:spacing w:before="0" w:after="0" w:line="240" w:lineRule="auto"/>
              <w:jc w:val="right"/>
            </w:pPr>
            <w:r>
              <w:rPr>
                <w:color w:val="000000"/>
                <w:szCs w:val="17"/>
              </w:rPr>
              <w:t>342</w:t>
            </w:r>
          </w:p>
        </w:tc>
      </w:tr>
      <w:tr w:rsidR="006D7C8D" w:rsidRPr="00721FF0" w14:paraId="52A680EF" w14:textId="77777777" w:rsidTr="00444693">
        <w:trPr>
          <w:cantSplit/>
          <w:trHeight w:val="13"/>
        </w:trPr>
        <w:tc>
          <w:tcPr>
            <w:tcW w:w="583" w:type="pct"/>
            <w:vMerge/>
          </w:tcPr>
          <w:p w14:paraId="7F311802"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197310C5"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vMerge w:val="restart"/>
            <w:tcBorders>
              <w:top w:val="single" w:sz="4" w:space="0" w:color="auto"/>
            </w:tcBorders>
          </w:tcPr>
          <w:p w14:paraId="6E571BC6" w14:textId="77777777" w:rsidR="006D7C8D" w:rsidRDefault="006D7C8D" w:rsidP="00444693">
            <w:pPr>
              <w:pStyle w:val="TableText"/>
              <w:widowControl w:val="0"/>
              <w:suppressAutoHyphens w:val="0"/>
              <w:spacing w:before="0" w:after="0" w:line="240" w:lineRule="auto"/>
              <w:rPr>
                <w:szCs w:val="17"/>
              </w:rPr>
            </w:pPr>
            <w:r w:rsidRPr="00065967">
              <w:rPr>
                <w:szCs w:val="17"/>
              </w:rPr>
              <w:t>Ground directed</w:t>
            </w:r>
          </w:p>
        </w:tc>
        <w:tc>
          <w:tcPr>
            <w:tcW w:w="514" w:type="pct"/>
            <w:tcBorders>
              <w:top w:val="single" w:sz="4" w:space="0" w:color="auto"/>
            </w:tcBorders>
            <w:shd w:val="clear" w:color="auto" w:fill="D5D7D5" w:themeFill="text1" w:themeFillTint="33"/>
          </w:tcPr>
          <w:p w14:paraId="1ED15C57" w14:textId="77777777" w:rsidR="006D7C8D" w:rsidRDefault="006D7C8D" w:rsidP="00D53099">
            <w:pPr>
              <w:pStyle w:val="TableText"/>
              <w:widowControl w:val="0"/>
              <w:suppressAutoHyphens w:val="0"/>
              <w:spacing w:before="0" w:after="0" w:line="240" w:lineRule="auto"/>
              <w:jc w:val="right"/>
            </w:pPr>
            <w:r>
              <w:t>11.7</w:t>
            </w:r>
            <w:r w:rsidRPr="00E5519A">
              <w:rPr>
                <w:vertAlign w:val="superscript"/>
              </w:rPr>
              <w:t>c</w:t>
            </w:r>
          </w:p>
        </w:tc>
        <w:tc>
          <w:tcPr>
            <w:tcW w:w="662" w:type="pct"/>
            <w:tcBorders>
              <w:top w:val="single" w:sz="4" w:space="0" w:color="auto"/>
            </w:tcBorders>
            <w:vAlign w:val="center"/>
          </w:tcPr>
          <w:p w14:paraId="60D02E2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2D885382" w14:textId="77777777" w:rsidR="006D7C8D" w:rsidRPr="003B78B6" w:rsidRDefault="006D7C8D" w:rsidP="00D53099">
            <w:pPr>
              <w:pStyle w:val="TableText"/>
              <w:widowControl w:val="0"/>
              <w:suppressAutoHyphens w:val="0"/>
              <w:spacing w:before="0" w:after="0" w:line="240" w:lineRule="auto"/>
              <w:jc w:val="right"/>
            </w:pPr>
            <w:r>
              <w:rPr>
                <w:color w:val="1A1B1A"/>
                <w:szCs w:val="17"/>
              </w:rPr>
              <w:t>9.4</w:t>
            </w:r>
          </w:p>
        </w:tc>
        <w:tc>
          <w:tcPr>
            <w:tcW w:w="367" w:type="pct"/>
            <w:tcBorders>
              <w:top w:val="single" w:sz="4" w:space="0" w:color="auto"/>
            </w:tcBorders>
            <w:shd w:val="clear" w:color="auto" w:fill="FF0000"/>
            <w:vAlign w:val="center"/>
          </w:tcPr>
          <w:p w14:paraId="61F86FE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tcBorders>
              <w:top w:val="single" w:sz="4" w:space="0" w:color="auto"/>
            </w:tcBorders>
            <w:vAlign w:val="bottom"/>
          </w:tcPr>
          <w:p w14:paraId="12EABECD"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5774FF69" w14:textId="77777777" w:rsidTr="00444693">
        <w:trPr>
          <w:cantSplit/>
          <w:trHeight w:val="13"/>
        </w:trPr>
        <w:tc>
          <w:tcPr>
            <w:tcW w:w="583" w:type="pct"/>
            <w:vMerge/>
          </w:tcPr>
          <w:p w14:paraId="58AD2F15"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6F425CE"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F5AF5E6"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3F985CE2" w14:textId="77777777" w:rsidR="006D7C8D" w:rsidRDefault="006D7C8D" w:rsidP="00D53099">
            <w:pPr>
              <w:pStyle w:val="TableText"/>
              <w:widowControl w:val="0"/>
              <w:suppressAutoHyphens w:val="0"/>
              <w:spacing w:before="0" w:after="0" w:line="240" w:lineRule="auto"/>
              <w:jc w:val="right"/>
            </w:pPr>
            <w:r w:rsidRPr="0065520E">
              <w:t>11.7</w:t>
            </w:r>
            <w:r w:rsidRPr="0065520E">
              <w:rPr>
                <w:vertAlign w:val="superscript"/>
              </w:rPr>
              <w:t>c</w:t>
            </w:r>
          </w:p>
        </w:tc>
        <w:tc>
          <w:tcPr>
            <w:tcW w:w="662" w:type="pct"/>
            <w:vAlign w:val="center"/>
          </w:tcPr>
          <w:p w14:paraId="53302C4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7A1EB7DD" w14:textId="77777777" w:rsidR="006D7C8D" w:rsidRPr="003B78B6" w:rsidRDefault="006D7C8D" w:rsidP="00D53099">
            <w:pPr>
              <w:pStyle w:val="TableText"/>
              <w:widowControl w:val="0"/>
              <w:suppressAutoHyphens w:val="0"/>
              <w:spacing w:before="0" w:after="0" w:line="240" w:lineRule="auto"/>
              <w:jc w:val="right"/>
            </w:pPr>
            <w:r>
              <w:rPr>
                <w:color w:val="1A1B1A"/>
                <w:szCs w:val="17"/>
              </w:rPr>
              <w:t>7.0</w:t>
            </w:r>
          </w:p>
        </w:tc>
        <w:tc>
          <w:tcPr>
            <w:tcW w:w="367" w:type="pct"/>
            <w:vAlign w:val="center"/>
          </w:tcPr>
          <w:p w14:paraId="07809BF7" w14:textId="77777777" w:rsidR="006D7C8D" w:rsidRPr="00721FF0" w:rsidRDefault="006D7C8D" w:rsidP="00D53099">
            <w:pPr>
              <w:pStyle w:val="TableText"/>
              <w:widowControl w:val="0"/>
              <w:suppressAutoHyphens w:val="0"/>
              <w:spacing w:before="0" w:after="0" w:line="240" w:lineRule="auto"/>
              <w:jc w:val="right"/>
            </w:pPr>
            <w:r>
              <w:rPr>
                <w:color w:val="1A1B1A"/>
                <w:szCs w:val="17"/>
              </w:rPr>
              <w:t>0.92</w:t>
            </w:r>
          </w:p>
        </w:tc>
        <w:tc>
          <w:tcPr>
            <w:tcW w:w="585" w:type="pct"/>
            <w:vAlign w:val="bottom"/>
          </w:tcPr>
          <w:p w14:paraId="6BEBFDD0"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03FB71A4" w14:textId="77777777" w:rsidTr="00444693">
        <w:trPr>
          <w:cantSplit/>
          <w:trHeight w:val="13"/>
        </w:trPr>
        <w:tc>
          <w:tcPr>
            <w:tcW w:w="583" w:type="pct"/>
            <w:vMerge/>
          </w:tcPr>
          <w:p w14:paraId="3E7739E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EF46BAA"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1D34D6D" w14:textId="77777777" w:rsidR="006D7C8D" w:rsidRPr="00065967"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224DFB08" w14:textId="77777777" w:rsidR="006D7C8D" w:rsidRDefault="006D7C8D" w:rsidP="00D53099">
            <w:pPr>
              <w:pStyle w:val="TableText"/>
              <w:widowControl w:val="0"/>
              <w:suppressAutoHyphens w:val="0"/>
              <w:spacing w:before="0" w:after="0" w:line="240" w:lineRule="auto"/>
              <w:jc w:val="right"/>
            </w:pPr>
            <w:r w:rsidRPr="0065520E">
              <w:t>11.7</w:t>
            </w:r>
            <w:r w:rsidRPr="0065520E">
              <w:rPr>
                <w:vertAlign w:val="superscript"/>
              </w:rPr>
              <w:t>c</w:t>
            </w:r>
          </w:p>
        </w:tc>
        <w:tc>
          <w:tcPr>
            <w:tcW w:w="662" w:type="pct"/>
            <w:vAlign w:val="center"/>
          </w:tcPr>
          <w:p w14:paraId="24A430B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49EE6A12" w14:textId="77777777" w:rsidR="006D7C8D" w:rsidRPr="003B78B6" w:rsidRDefault="006D7C8D" w:rsidP="00D53099">
            <w:pPr>
              <w:pStyle w:val="TableText"/>
              <w:widowControl w:val="0"/>
              <w:suppressAutoHyphens w:val="0"/>
              <w:spacing w:before="0" w:after="0" w:line="240" w:lineRule="auto"/>
              <w:jc w:val="right"/>
            </w:pPr>
            <w:r>
              <w:rPr>
                <w:color w:val="1A1B1A"/>
                <w:szCs w:val="17"/>
              </w:rPr>
              <w:t>3.7</w:t>
            </w:r>
          </w:p>
        </w:tc>
        <w:tc>
          <w:tcPr>
            <w:tcW w:w="367" w:type="pct"/>
            <w:vAlign w:val="center"/>
          </w:tcPr>
          <w:p w14:paraId="5A682335" w14:textId="77777777" w:rsidR="006D7C8D" w:rsidRPr="00721FF0" w:rsidRDefault="006D7C8D" w:rsidP="00D53099">
            <w:pPr>
              <w:pStyle w:val="TableText"/>
              <w:widowControl w:val="0"/>
              <w:suppressAutoHyphens w:val="0"/>
              <w:spacing w:before="0" w:after="0" w:line="240" w:lineRule="auto"/>
              <w:jc w:val="right"/>
            </w:pPr>
            <w:r>
              <w:rPr>
                <w:color w:val="1A1B1A"/>
                <w:szCs w:val="17"/>
              </w:rPr>
              <w:t>0.49</w:t>
            </w:r>
          </w:p>
        </w:tc>
        <w:tc>
          <w:tcPr>
            <w:tcW w:w="585" w:type="pct"/>
            <w:vAlign w:val="bottom"/>
          </w:tcPr>
          <w:p w14:paraId="681B8CF5"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3FF9FF81" w14:textId="77777777" w:rsidTr="00444693">
        <w:trPr>
          <w:cantSplit/>
          <w:trHeight w:val="13"/>
        </w:trPr>
        <w:tc>
          <w:tcPr>
            <w:tcW w:w="583" w:type="pct"/>
            <w:vMerge/>
            <w:tcBorders>
              <w:bottom w:val="single" w:sz="4" w:space="0" w:color="auto"/>
            </w:tcBorders>
          </w:tcPr>
          <w:p w14:paraId="604363DD" w14:textId="77777777" w:rsidR="006D7C8D" w:rsidRDefault="006D7C8D" w:rsidP="00444693">
            <w:pPr>
              <w:pStyle w:val="TableText"/>
              <w:widowControl w:val="0"/>
              <w:suppressAutoHyphens w:val="0"/>
              <w:spacing w:before="0" w:after="0" w:line="240" w:lineRule="auto"/>
              <w:rPr>
                <w:szCs w:val="17"/>
              </w:rPr>
            </w:pPr>
          </w:p>
        </w:tc>
        <w:tc>
          <w:tcPr>
            <w:tcW w:w="772" w:type="pct"/>
            <w:vMerge/>
            <w:tcBorders>
              <w:bottom w:val="single" w:sz="4" w:space="0" w:color="auto"/>
            </w:tcBorders>
          </w:tcPr>
          <w:p w14:paraId="145AF379" w14:textId="77777777" w:rsidR="006D7C8D" w:rsidRDefault="006D7C8D" w:rsidP="00444693">
            <w:pPr>
              <w:pStyle w:val="TableText"/>
              <w:widowControl w:val="0"/>
              <w:suppressAutoHyphens w:val="0"/>
              <w:spacing w:before="0" w:after="0" w:line="240" w:lineRule="auto"/>
              <w:rPr>
                <w:szCs w:val="17"/>
              </w:rPr>
            </w:pPr>
          </w:p>
        </w:tc>
        <w:tc>
          <w:tcPr>
            <w:tcW w:w="634" w:type="pct"/>
            <w:vMerge/>
            <w:tcBorders>
              <w:bottom w:val="single" w:sz="4" w:space="0" w:color="auto"/>
            </w:tcBorders>
          </w:tcPr>
          <w:p w14:paraId="003B28CD" w14:textId="77777777" w:rsidR="006D7C8D" w:rsidRPr="00065967" w:rsidRDefault="006D7C8D" w:rsidP="00444693">
            <w:pPr>
              <w:pStyle w:val="TableText"/>
              <w:widowControl w:val="0"/>
              <w:suppressAutoHyphens w:val="0"/>
              <w:spacing w:before="0" w:after="0" w:line="240" w:lineRule="auto"/>
              <w:rPr>
                <w:szCs w:val="17"/>
              </w:rPr>
            </w:pPr>
          </w:p>
        </w:tc>
        <w:tc>
          <w:tcPr>
            <w:tcW w:w="514" w:type="pct"/>
            <w:tcBorders>
              <w:bottom w:val="single" w:sz="4" w:space="0" w:color="auto"/>
            </w:tcBorders>
            <w:shd w:val="clear" w:color="auto" w:fill="D5D7D5" w:themeFill="text1" w:themeFillTint="33"/>
          </w:tcPr>
          <w:p w14:paraId="7898EAA7" w14:textId="77777777" w:rsidR="006D7C8D" w:rsidRDefault="006D7C8D" w:rsidP="00D53099">
            <w:pPr>
              <w:pStyle w:val="TableText"/>
              <w:widowControl w:val="0"/>
              <w:suppressAutoHyphens w:val="0"/>
              <w:spacing w:before="0" w:after="0" w:line="240" w:lineRule="auto"/>
              <w:jc w:val="right"/>
            </w:pPr>
            <w:r w:rsidRPr="0065520E">
              <w:t>11.7</w:t>
            </w:r>
            <w:r w:rsidRPr="0065520E">
              <w:rPr>
                <w:vertAlign w:val="superscript"/>
              </w:rPr>
              <w:t>c</w:t>
            </w:r>
          </w:p>
        </w:tc>
        <w:tc>
          <w:tcPr>
            <w:tcW w:w="662" w:type="pct"/>
            <w:tcBorders>
              <w:bottom w:val="single" w:sz="4" w:space="0" w:color="auto"/>
            </w:tcBorders>
            <w:vAlign w:val="center"/>
          </w:tcPr>
          <w:p w14:paraId="1D6F12F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tcBorders>
              <w:bottom w:val="single" w:sz="4" w:space="0" w:color="auto"/>
            </w:tcBorders>
            <w:vAlign w:val="center"/>
          </w:tcPr>
          <w:p w14:paraId="4938419C" w14:textId="77777777" w:rsidR="006D7C8D" w:rsidRPr="003B78B6" w:rsidRDefault="006D7C8D" w:rsidP="00D53099">
            <w:pPr>
              <w:pStyle w:val="TableText"/>
              <w:widowControl w:val="0"/>
              <w:suppressAutoHyphens w:val="0"/>
              <w:spacing w:before="0" w:after="0" w:line="240" w:lineRule="auto"/>
              <w:jc w:val="right"/>
            </w:pPr>
            <w:r>
              <w:rPr>
                <w:color w:val="1A1B1A"/>
                <w:szCs w:val="17"/>
              </w:rPr>
              <w:t>2.8</w:t>
            </w:r>
          </w:p>
        </w:tc>
        <w:tc>
          <w:tcPr>
            <w:tcW w:w="367" w:type="pct"/>
            <w:tcBorders>
              <w:bottom w:val="single" w:sz="4" w:space="0" w:color="auto"/>
            </w:tcBorders>
            <w:vAlign w:val="center"/>
          </w:tcPr>
          <w:p w14:paraId="0E39E560" w14:textId="77777777" w:rsidR="006D7C8D" w:rsidRPr="00721FF0" w:rsidRDefault="006D7C8D" w:rsidP="00D53099">
            <w:pPr>
              <w:pStyle w:val="TableText"/>
              <w:widowControl w:val="0"/>
              <w:suppressAutoHyphens w:val="0"/>
              <w:spacing w:before="0" w:after="0" w:line="240" w:lineRule="auto"/>
              <w:jc w:val="right"/>
            </w:pPr>
            <w:r>
              <w:rPr>
                <w:color w:val="1A1B1A"/>
                <w:szCs w:val="17"/>
              </w:rPr>
              <w:t>0.37</w:t>
            </w:r>
          </w:p>
        </w:tc>
        <w:tc>
          <w:tcPr>
            <w:tcW w:w="585" w:type="pct"/>
            <w:tcBorders>
              <w:bottom w:val="single" w:sz="4" w:space="0" w:color="auto"/>
            </w:tcBorders>
            <w:vAlign w:val="bottom"/>
          </w:tcPr>
          <w:p w14:paraId="5E215656" w14:textId="77777777" w:rsidR="006D7C8D" w:rsidRPr="00721FF0" w:rsidRDefault="006D7C8D" w:rsidP="00D53099">
            <w:pPr>
              <w:pStyle w:val="TableText"/>
              <w:widowControl w:val="0"/>
              <w:suppressAutoHyphens w:val="0"/>
              <w:spacing w:before="0" w:after="0" w:line="240" w:lineRule="auto"/>
              <w:jc w:val="right"/>
            </w:pPr>
            <w:r>
              <w:rPr>
                <w:color w:val="000000"/>
                <w:szCs w:val="17"/>
              </w:rPr>
              <w:t>650</w:t>
            </w:r>
          </w:p>
        </w:tc>
      </w:tr>
      <w:tr w:rsidR="006D7C8D" w:rsidRPr="00721FF0" w14:paraId="475E98E9" w14:textId="77777777" w:rsidTr="00444693">
        <w:trPr>
          <w:cantSplit/>
          <w:trHeight w:val="13"/>
        </w:trPr>
        <w:tc>
          <w:tcPr>
            <w:tcW w:w="5000" w:type="pct"/>
            <w:gridSpan w:val="8"/>
            <w:tcBorders>
              <w:top w:val="single" w:sz="4" w:space="0" w:color="auto"/>
              <w:bottom w:val="single" w:sz="4" w:space="0" w:color="auto"/>
            </w:tcBorders>
          </w:tcPr>
          <w:p w14:paraId="74CBBEAB" w14:textId="77777777" w:rsidR="006D7C8D" w:rsidRPr="00721FF0" w:rsidRDefault="006D7C8D" w:rsidP="00D53099">
            <w:pPr>
              <w:pStyle w:val="TableText"/>
              <w:widowControl w:val="0"/>
              <w:suppressAutoHyphens w:val="0"/>
              <w:spacing w:before="0" w:after="0" w:line="240" w:lineRule="auto"/>
              <w:jc w:val="right"/>
            </w:pPr>
            <w:r w:rsidRPr="00A300B2">
              <w:t>Birds (RAL 6.2 mg ac/kg bw)</w:t>
            </w:r>
          </w:p>
        </w:tc>
      </w:tr>
      <w:tr w:rsidR="006D7C8D" w:rsidRPr="00721FF0" w14:paraId="62C4ADE2" w14:textId="77777777" w:rsidTr="00444693">
        <w:trPr>
          <w:cantSplit/>
          <w:trHeight w:val="13"/>
        </w:trPr>
        <w:tc>
          <w:tcPr>
            <w:tcW w:w="583" w:type="pct"/>
            <w:vMerge w:val="restart"/>
            <w:tcBorders>
              <w:top w:val="single" w:sz="4" w:space="0" w:color="auto"/>
            </w:tcBorders>
          </w:tcPr>
          <w:p w14:paraId="131D06FA" w14:textId="77777777" w:rsidR="006D7C8D" w:rsidRDefault="006D7C8D" w:rsidP="00444693">
            <w:pPr>
              <w:pStyle w:val="TableText"/>
              <w:widowControl w:val="0"/>
              <w:suppressAutoHyphens w:val="0"/>
              <w:spacing w:before="0" w:after="0" w:line="240" w:lineRule="auto"/>
              <w:rPr>
                <w:szCs w:val="17"/>
              </w:rPr>
            </w:pPr>
            <w:r>
              <w:rPr>
                <w:szCs w:val="17"/>
              </w:rPr>
              <w:t>Bare soil</w:t>
            </w:r>
          </w:p>
        </w:tc>
        <w:tc>
          <w:tcPr>
            <w:tcW w:w="772" w:type="pct"/>
            <w:vMerge w:val="restart"/>
            <w:tcBorders>
              <w:top w:val="single" w:sz="4" w:space="0" w:color="auto"/>
            </w:tcBorders>
          </w:tcPr>
          <w:p w14:paraId="5BA1609D" w14:textId="77777777" w:rsidR="006D7C8D" w:rsidRDefault="006D7C8D" w:rsidP="00444693">
            <w:pPr>
              <w:pStyle w:val="TableText"/>
              <w:widowControl w:val="0"/>
              <w:suppressAutoHyphens w:val="0"/>
              <w:spacing w:before="0" w:after="0" w:line="240" w:lineRule="auto"/>
              <w:rPr>
                <w:szCs w:val="17"/>
              </w:rPr>
            </w:pPr>
            <w:r>
              <w:rPr>
                <w:szCs w:val="17"/>
              </w:rPr>
              <w:t>Small granivore</w:t>
            </w:r>
          </w:p>
        </w:tc>
        <w:tc>
          <w:tcPr>
            <w:tcW w:w="634" w:type="pct"/>
            <w:tcBorders>
              <w:top w:val="single" w:sz="4" w:space="0" w:color="auto"/>
            </w:tcBorders>
          </w:tcPr>
          <w:p w14:paraId="59043EED" w14:textId="77777777" w:rsidR="006D7C8D" w:rsidRDefault="006D7C8D" w:rsidP="00444693">
            <w:pPr>
              <w:pStyle w:val="TableText"/>
              <w:widowControl w:val="0"/>
              <w:suppressAutoHyphens w:val="0"/>
              <w:spacing w:before="0" w:after="0" w:line="240" w:lineRule="auto"/>
              <w:rPr>
                <w:szCs w:val="17"/>
              </w:rPr>
            </w:pPr>
            <w:r>
              <w:rPr>
                <w:szCs w:val="17"/>
              </w:rPr>
              <w:t>BBCH &lt;10</w:t>
            </w:r>
          </w:p>
        </w:tc>
        <w:tc>
          <w:tcPr>
            <w:tcW w:w="514" w:type="pct"/>
            <w:tcBorders>
              <w:top w:val="single" w:sz="4" w:space="0" w:color="auto"/>
            </w:tcBorders>
          </w:tcPr>
          <w:p w14:paraId="12EEE66A" w14:textId="77777777" w:rsidR="006D7C8D" w:rsidRPr="00426E98" w:rsidRDefault="006D7C8D" w:rsidP="00D53099">
            <w:pPr>
              <w:pStyle w:val="TableText"/>
              <w:widowControl w:val="0"/>
              <w:suppressAutoHyphens w:val="0"/>
              <w:spacing w:before="0" w:after="0" w:line="240" w:lineRule="auto"/>
              <w:jc w:val="right"/>
              <w:rPr>
                <w:szCs w:val="17"/>
              </w:rPr>
            </w:pPr>
            <w:r>
              <w:t>24.7</w:t>
            </w:r>
          </w:p>
        </w:tc>
        <w:tc>
          <w:tcPr>
            <w:tcW w:w="662" w:type="pct"/>
            <w:tcBorders>
              <w:top w:val="single" w:sz="4" w:space="0" w:color="auto"/>
            </w:tcBorders>
            <w:vAlign w:val="center"/>
          </w:tcPr>
          <w:p w14:paraId="720A1B9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08D15AB5" w14:textId="77777777" w:rsidR="006D7C8D" w:rsidRPr="003B78B6" w:rsidRDefault="006D7C8D" w:rsidP="00D53099">
            <w:pPr>
              <w:pStyle w:val="TableText"/>
              <w:widowControl w:val="0"/>
              <w:suppressAutoHyphens w:val="0"/>
              <w:spacing w:before="0" w:after="0" w:line="240" w:lineRule="auto"/>
              <w:jc w:val="right"/>
            </w:pPr>
            <w:r>
              <w:rPr>
                <w:color w:val="1A1B1A"/>
                <w:szCs w:val="17"/>
              </w:rPr>
              <w:t>20</w:t>
            </w:r>
          </w:p>
        </w:tc>
        <w:tc>
          <w:tcPr>
            <w:tcW w:w="367" w:type="pct"/>
            <w:tcBorders>
              <w:top w:val="single" w:sz="4" w:space="0" w:color="auto"/>
            </w:tcBorders>
            <w:shd w:val="clear" w:color="auto" w:fill="FF0000"/>
            <w:vAlign w:val="center"/>
          </w:tcPr>
          <w:p w14:paraId="62918621"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3.2</w:t>
            </w:r>
          </w:p>
        </w:tc>
        <w:tc>
          <w:tcPr>
            <w:tcW w:w="585" w:type="pct"/>
            <w:tcBorders>
              <w:top w:val="single" w:sz="4" w:space="0" w:color="auto"/>
            </w:tcBorders>
            <w:vAlign w:val="bottom"/>
          </w:tcPr>
          <w:p w14:paraId="03D3788F"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60C1FF93" w14:textId="77777777" w:rsidTr="00444693">
        <w:trPr>
          <w:cantSplit/>
          <w:trHeight w:val="13"/>
        </w:trPr>
        <w:tc>
          <w:tcPr>
            <w:tcW w:w="583" w:type="pct"/>
            <w:vMerge/>
          </w:tcPr>
          <w:p w14:paraId="2E4FB03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226E94B" w14:textId="77777777" w:rsidR="006D7C8D" w:rsidRDefault="006D7C8D" w:rsidP="00444693">
            <w:pPr>
              <w:pStyle w:val="TableText"/>
              <w:widowControl w:val="0"/>
              <w:suppressAutoHyphens w:val="0"/>
              <w:spacing w:before="0" w:after="0" w:line="240" w:lineRule="auto"/>
              <w:rPr>
                <w:szCs w:val="17"/>
              </w:rPr>
            </w:pPr>
          </w:p>
        </w:tc>
        <w:tc>
          <w:tcPr>
            <w:tcW w:w="634" w:type="pct"/>
          </w:tcPr>
          <w:p w14:paraId="69D0C380" w14:textId="77777777" w:rsidR="006D7C8D" w:rsidRDefault="006D7C8D" w:rsidP="00444693">
            <w:pPr>
              <w:pStyle w:val="TableText"/>
              <w:widowControl w:val="0"/>
              <w:suppressAutoHyphens w:val="0"/>
              <w:spacing w:before="0" w:after="0" w:line="240" w:lineRule="auto"/>
              <w:rPr>
                <w:szCs w:val="17"/>
              </w:rPr>
            </w:pPr>
          </w:p>
        </w:tc>
        <w:tc>
          <w:tcPr>
            <w:tcW w:w="514" w:type="pct"/>
          </w:tcPr>
          <w:p w14:paraId="08E8FCDD" w14:textId="77777777" w:rsidR="006D7C8D" w:rsidRDefault="006D7C8D" w:rsidP="00D53099">
            <w:pPr>
              <w:pStyle w:val="TableText"/>
              <w:widowControl w:val="0"/>
              <w:suppressAutoHyphens w:val="0"/>
              <w:spacing w:before="0" w:after="0" w:line="240" w:lineRule="auto"/>
              <w:jc w:val="right"/>
            </w:pPr>
            <w:r w:rsidRPr="008F49B0">
              <w:t>24.7</w:t>
            </w:r>
          </w:p>
        </w:tc>
        <w:tc>
          <w:tcPr>
            <w:tcW w:w="662" w:type="pct"/>
            <w:vAlign w:val="center"/>
          </w:tcPr>
          <w:p w14:paraId="6D396B5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4ED71C1A" w14:textId="77777777" w:rsidR="006D7C8D" w:rsidRPr="003B78B6" w:rsidRDefault="006D7C8D" w:rsidP="00D53099">
            <w:pPr>
              <w:pStyle w:val="TableText"/>
              <w:widowControl w:val="0"/>
              <w:suppressAutoHyphens w:val="0"/>
              <w:spacing w:before="0" w:after="0" w:line="240" w:lineRule="auto"/>
              <w:jc w:val="right"/>
            </w:pPr>
            <w:r>
              <w:rPr>
                <w:color w:val="1A1B1A"/>
                <w:szCs w:val="17"/>
              </w:rPr>
              <w:t>15</w:t>
            </w:r>
          </w:p>
        </w:tc>
        <w:tc>
          <w:tcPr>
            <w:tcW w:w="367" w:type="pct"/>
            <w:shd w:val="clear" w:color="auto" w:fill="FF0000"/>
            <w:vAlign w:val="center"/>
          </w:tcPr>
          <w:p w14:paraId="2D5E004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2.4</w:t>
            </w:r>
          </w:p>
        </w:tc>
        <w:tc>
          <w:tcPr>
            <w:tcW w:w="585" w:type="pct"/>
            <w:vAlign w:val="bottom"/>
          </w:tcPr>
          <w:p w14:paraId="0A3CFCFC"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611F1211" w14:textId="77777777" w:rsidTr="00444693">
        <w:trPr>
          <w:cantSplit/>
          <w:trHeight w:val="13"/>
        </w:trPr>
        <w:tc>
          <w:tcPr>
            <w:tcW w:w="583" w:type="pct"/>
            <w:vMerge/>
          </w:tcPr>
          <w:p w14:paraId="0D7694CE"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937539E" w14:textId="77777777" w:rsidR="006D7C8D" w:rsidRDefault="006D7C8D" w:rsidP="00444693">
            <w:pPr>
              <w:pStyle w:val="TableText"/>
              <w:widowControl w:val="0"/>
              <w:suppressAutoHyphens w:val="0"/>
              <w:spacing w:before="0" w:after="0" w:line="240" w:lineRule="auto"/>
              <w:rPr>
                <w:szCs w:val="17"/>
              </w:rPr>
            </w:pPr>
          </w:p>
        </w:tc>
        <w:tc>
          <w:tcPr>
            <w:tcW w:w="634" w:type="pct"/>
          </w:tcPr>
          <w:p w14:paraId="7A8F9163" w14:textId="77777777" w:rsidR="006D7C8D" w:rsidRDefault="006D7C8D" w:rsidP="00444693">
            <w:pPr>
              <w:pStyle w:val="TableText"/>
              <w:widowControl w:val="0"/>
              <w:suppressAutoHyphens w:val="0"/>
              <w:spacing w:before="0" w:after="0" w:line="240" w:lineRule="auto"/>
              <w:rPr>
                <w:szCs w:val="17"/>
              </w:rPr>
            </w:pPr>
          </w:p>
        </w:tc>
        <w:tc>
          <w:tcPr>
            <w:tcW w:w="514" w:type="pct"/>
          </w:tcPr>
          <w:p w14:paraId="70C97D9F" w14:textId="77777777" w:rsidR="006D7C8D" w:rsidRDefault="006D7C8D" w:rsidP="00D53099">
            <w:pPr>
              <w:pStyle w:val="TableText"/>
              <w:widowControl w:val="0"/>
              <w:suppressAutoHyphens w:val="0"/>
              <w:spacing w:before="0" w:after="0" w:line="240" w:lineRule="auto"/>
              <w:jc w:val="right"/>
            </w:pPr>
            <w:r w:rsidRPr="008F49B0">
              <w:t>24.7</w:t>
            </w:r>
          </w:p>
        </w:tc>
        <w:tc>
          <w:tcPr>
            <w:tcW w:w="662" w:type="pct"/>
            <w:vAlign w:val="center"/>
          </w:tcPr>
          <w:p w14:paraId="7CE523E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7DA08CAB" w14:textId="77777777" w:rsidR="006D7C8D" w:rsidRPr="003B78B6" w:rsidRDefault="006D7C8D" w:rsidP="00D53099">
            <w:pPr>
              <w:pStyle w:val="TableText"/>
              <w:widowControl w:val="0"/>
              <w:suppressAutoHyphens w:val="0"/>
              <w:spacing w:before="0" w:after="0" w:line="240" w:lineRule="auto"/>
              <w:jc w:val="right"/>
            </w:pPr>
            <w:r>
              <w:rPr>
                <w:color w:val="1A1B1A"/>
                <w:szCs w:val="17"/>
              </w:rPr>
              <w:t>10</w:t>
            </w:r>
          </w:p>
        </w:tc>
        <w:tc>
          <w:tcPr>
            <w:tcW w:w="367" w:type="pct"/>
            <w:shd w:val="clear" w:color="auto" w:fill="FF0000"/>
            <w:vAlign w:val="center"/>
          </w:tcPr>
          <w:p w14:paraId="13417E46"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1.6</w:t>
            </w:r>
          </w:p>
        </w:tc>
        <w:tc>
          <w:tcPr>
            <w:tcW w:w="585" w:type="pct"/>
            <w:vAlign w:val="bottom"/>
          </w:tcPr>
          <w:p w14:paraId="52960A89"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77B7394A" w14:textId="77777777" w:rsidTr="00444693">
        <w:trPr>
          <w:cantSplit/>
          <w:trHeight w:val="13"/>
        </w:trPr>
        <w:tc>
          <w:tcPr>
            <w:tcW w:w="583" w:type="pct"/>
            <w:vMerge/>
          </w:tcPr>
          <w:p w14:paraId="0005106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D526341" w14:textId="77777777" w:rsidR="006D7C8D" w:rsidRDefault="006D7C8D" w:rsidP="00444693">
            <w:pPr>
              <w:pStyle w:val="TableText"/>
              <w:widowControl w:val="0"/>
              <w:suppressAutoHyphens w:val="0"/>
              <w:spacing w:before="0" w:after="0" w:line="240" w:lineRule="auto"/>
              <w:rPr>
                <w:szCs w:val="17"/>
              </w:rPr>
            </w:pPr>
          </w:p>
        </w:tc>
        <w:tc>
          <w:tcPr>
            <w:tcW w:w="634" w:type="pct"/>
          </w:tcPr>
          <w:p w14:paraId="3CB6A4C8" w14:textId="77777777" w:rsidR="006D7C8D" w:rsidRDefault="006D7C8D" w:rsidP="00444693">
            <w:pPr>
              <w:pStyle w:val="TableText"/>
              <w:widowControl w:val="0"/>
              <w:suppressAutoHyphens w:val="0"/>
              <w:spacing w:before="0" w:after="0" w:line="240" w:lineRule="auto"/>
              <w:rPr>
                <w:szCs w:val="17"/>
              </w:rPr>
            </w:pPr>
          </w:p>
        </w:tc>
        <w:tc>
          <w:tcPr>
            <w:tcW w:w="514" w:type="pct"/>
          </w:tcPr>
          <w:p w14:paraId="45DC7123" w14:textId="77777777" w:rsidR="006D7C8D" w:rsidRDefault="006D7C8D" w:rsidP="00D53099">
            <w:pPr>
              <w:pStyle w:val="TableText"/>
              <w:widowControl w:val="0"/>
              <w:suppressAutoHyphens w:val="0"/>
              <w:spacing w:before="0" w:after="0" w:line="240" w:lineRule="auto"/>
              <w:jc w:val="right"/>
            </w:pPr>
            <w:r w:rsidRPr="008F49B0">
              <w:t>24.7</w:t>
            </w:r>
          </w:p>
        </w:tc>
        <w:tc>
          <w:tcPr>
            <w:tcW w:w="662" w:type="pct"/>
            <w:vAlign w:val="center"/>
          </w:tcPr>
          <w:p w14:paraId="34ED157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065C8611" w14:textId="77777777" w:rsidR="006D7C8D" w:rsidRPr="003B78B6" w:rsidRDefault="006D7C8D" w:rsidP="00D53099">
            <w:pPr>
              <w:pStyle w:val="TableText"/>
              <w:widowControl w:val="0"/>
              <w:suppressAutoHyphens w:val="0"/>
              <w:spacing w:before="0" w:after="0" w:line="240" w:lineRule="auto"/>
              <w:jc w:val="right"/>
            </w:pPr>
            <w:r>
              <w:rPr>
                <w:color w:val="1A1B1A"/>
                <w:szCs w:val="17"/>
              </w:rPr>
              <w:t>7.9</w:t>
            </w:r>
          </w:p>
        </w:tc>
        <w:tc>
          <w:tcPr>
            <w:tcW w:w="367" w:type="pct"/>
            <w:shd w:val="clear" w:color="auto" w:fill="FF0000"/>
            <w:vAlign w:val="center"/>
          </w:tcPr>
          <w:p w14:paraId="268FF0E0"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1.3</w:t>
            </w:r>
          </w:p>
        </w:tc>
        <w:tc>
          <w:tcPr>
            <w:tcW w:w="585" w:type="pct"/>
            <w:vAlign w:val="bottom"/>
          </w:tcPr>
          <w:p w14:paraId="7B188BC7"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6E76370D" w14:textId="77777777" w:rsidTr="00444693">
        <w:trPr>
          <w:cantSplit/>
          <w:trHeight w:val="13"/>
        </w:trPr>
        <w:tc>
          <w:tcPr>
            <w:tcW w:w="583" w:type="pct"/>
            <w:vMerge/>
          </w:tcPr>
          <w:p w14:paraId="4B1DD095"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1D7B1FB" w14:textId="77777777" w:rsidR="006D7C8D" w:rsidRDefault="006D7C8D" w:rsidP="00444693">
            <w:pPr>
              <w:pStyle w:val="TableText"/>
              <w:widowControl w:val="0"/>
              <w:suppressAutoHyphens w:val="0"/>
              <w:spacing w:before="0" w:after="0" w:line="240" w:lineRule="auto"/>
              <w:rPr>
                <w:szCs w:val="17"/>
              </w:rPr>
            </w:pPr>
          </w:p>
        </w:tc>
        <w:tc>
          <w:tcPr>
            <w:tcW w:w="634" w:type="pct"/>
          </w:tcPr>
          <w:p w14:paraId="5AD3B975" w14:textId="77777777" w:rsidR="006D7C8D" w:rsidRDefault="006D7C8D" w:rsidP="00444693">
            <w:pPr>
              <w:pStyle w:val="TableText"/>
              <w:widowControl w:val="0"/>
              <w:suppressAutoHyphens w:val="0"/>
              <w:spacing w:before="0" w:after="0" w:line="240" w:lineRule="auto"/>
              <w:rPr>
                <w:szCs w:val="17"/>
              </w:rPr>
            </w:pPr>
          </w:p>
        </w:tc>
        <w:tc>
          <w:tcPr>
            <w:tcW w:w="514" w:type="pct"/>
          </w:tcPr>
          <w:p w14:paraId="077E9E17" w14:textId="77777777" w:rsidR="006D7C8D" w:rsidRDefault="006D7C8D" w:rsidP="00D53099">
            <w:pPr>
              <w:pStyle w:val="TableText"/>
              <w:widowControl w:val="0"/>
              <w:suppressAutoHyphens w:val="0"/>
              <w:spacing w:before="0" w:after="0" w:line="240" w:lineRule="auto"/>
              <w:jc w:val="right"/>
            </w:pPr>
            <w:r w:rsidRPr="008F49B0">
              <w:t>24.7</w:t>
            </w:r>
          </w:p>
        </w:tc>
        <w:tc>
          <w:tcPr>
            <w:tcW w:w="662" w:type="pct"/>
            <w:vAlign w:val="center"/>
          </w:tcPr>
          <w:p w14:paraId="1F83910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155E9321" w14:textId="77777777" w:rsidR="006D7C8D" w:rsidRPr="003B78B6" w:rsidRDefault="006D7C8D" w:rsidP="00D53099">
            <w:pPr>
              <w:pStyle w:val="TableText"/>
              <w:widowControl w:val="0"/>
              <w:suppressAutoHyphens w:val="0"/>
              <w:spacing w:before="0" w:after="0" w:line="240" w:lineRule="auto"/>
              <w:jc w:val="right"/>
            </w:pPr>
            <w:r>
              <w:rPr>
                <w:color w:val="1A1B1A"/>
                <w:szCs w:val="17"/>
              </w:rPr>
              <w:t>7.4</w:t>
            </w:r>
          </w:p>
        </w:tc>
        <w:tc>
          <w:tcPr>
            <w:tcW w:w="367" w:type="pct"/>
            <w:shd w:val="clear" w:color="auto" w:fill="FF0000"/>
            <w:vAlign w:val="center"/>
          </w:tcPr>
          <w:p w14:paraId="683F2291"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vAlign w:val="bottom"/>
          </w:tcPr>
          <w:p w14:paraId="591DFCC0"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30DD2712" w14:textId="77777777" w:rsidTr="00444693">
        <w:trPr>
          <w:cantSplit/>
          <w:trHeight w:val="13"/>
        </w:trPr>
        <w:tc>
          <w:tcPr>
            <w:tcW w:w="583" w:type="pct"/>
            <w:vMerge/>
          </w:tcPr>
          <w:p w14:paraId="482ADDBE"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F898AC8" w14:textId="77777777" w:rsidR="006D7C8D" w:rsidRDefault="006D7C8D" w:rsidP="00444693">
            <w:pPr>
              <w:pStyle w:val="TableText"/>
              <w:widowControl w:val="0"/>
              <w:suppressAutoHyphens w:val="0"/>
              <w:spacing w:before="0" w:after="0" w:line="240" w:lineRule="auto"/>
              <w:rPr>
                <w:szCs w:val="17"/>
              </w:rPr>
            </w:pPr>
          </w:p>
        </w:tc>
        <w:tc>
          <w:tcPr>
            <w:tcW w:w="634" w:type="pct"/>
          </w:tcPr>
          <w:p w14:paraId="4A9DDC71" w14:textId="77777777" w:rsidR="006D7C8D" w:rsidRDefault="006D7C8D" w:rsidP="00444693">
            <w:pPr>
              <w:pStyle w:val="TableText"/>
              <w:widowControl w:val="0"/>
              <w:suppressAutoHyphens w:val="0"/>
              <w:spacing w:before="0" w:after="0" w:line="240" w:lineRule="auto"/>
              <w:rPr>
                <w:szCs w:val="17"/>
              </w:rPr>
            </w:pPr>
          </w:p>
        </w:tc>
        <w:tc>
          <w:tcPr>
            <w:tcW w:w="514" w:type="pct"/>
          </w:tcPr>
          <w:p w14:paraId="251EC753" w14:textId="77777777" w:rsidR="006D7C8D" w:rsidRDefault="006D7C8D" w:rsidP="00D53099">
            <w:pPr>
              <w:pStyle w:val="TableText"/>
              <w:widowControl w:val="0"/>
              <w:suppressAutoHyphens w:val="0"/>
              <w:spacing w:before="0" w:after="0" w:line="240" w:lineRule="auto"/>
              <w:jc w:val="right"/>
            </w:pPr>
            <w:r w:rsidRPr="008F49B0">
              <w:t>24.7</w:t>
            </w:r>
          </w:p>
        </w:tc>
        <w:tc>
          <w:tcPr>
            <w:tcW w:w="662" w:type="pct"/>
            <w:vAlign w:val="center"/>
          </w:tcPr>
          <w:p w14:paraId="28D180B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0842A8FF" w14:textId="77777777" w:rsidR="006D7C8D" w:rsidRPr="003B78B6" w:rsidRDefault="006D7C8D" w:rsidP="00D53099">
            <w:pPr>
              <w:pStyle w:val="TableText"/>
              <w:widowControl w:val="0"/>
              <w:suppressAutoHyphens w:val="0"/>
              <w:spacing w:before="0" w:after="0" w:line="240" w:lineRule="auto"/>
              <w:jc w:val="right"/>
            </w:pPr>
            <w:r>
              <w:rPr>
                <w:color w:val="1A1B1A"/>
                <w:szCs w:val="17"/>
              </w:rPr>
              <w:t>5.9</w:t>
            </w:r>
          </w:p>
        </w:tc>
        <w:tc>
          <w:tcPr>
            <w:tcW w:w="367" w:type="pct"/>
            <w:vAlign w:val="center"/>
          </w:tcPr>
          <w:p w14:paraId="0059F5F0" w14:textId="77777777" w:rsidR="006D7C8D" w:rsidRPr="00721FF0" w:rsidRDefault="006D7C8D" w:rsidP="00D53099">
            <w:pPr>
              <w:pStyle w:val="TableText"/>
              <w:widowControl w:val="0"/>
              <w:suppressAutoHyphens w:val="0"/>
              <w:spacing w:before="0" w:after="0" w:line="240" w:lineRule="auto"/>
              <w:jc w:val="right"/>
            </w:pPr>
            <w:r>
              <w:rPr>
                <w:color w:val="1A1B1A"/>
                <w:szCs w:val="17"/>
              </w:rPr>
              <w:t>0.96</w:t>
            </w:r>
          </w:p>
        </w:tc>
        <w:tc>
          <w:tcPr>
            <w:tcW w:w="585" w:type="pct"/>
            <w:vAlign w:val="bottom"/>
          </w:tcPr>
          <w:p w14:paraId="163CAD9D"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03C4AC81" w14:textId="77777777" w:rsidTr="00444693">
        <w:trPr>
          <w:cantSplit/>
          <w:trHeight w:val="13"/>
        </w:trPr>
        <w:tc>
          <w:tcPr>
            <w:tcW w:w="583" w:type="pct"/>
            <w:vMerge/>
          </w:tcPr>
          <w:p w14:paraId="2F30A6E0" w14:textId="77777777" w:rsidR="006D7C8D" w:rsidRDefault="006D7C8D" w:rsidP="00444693">
            <w:pPr>
              <w:pStyle w:val="TableText"/>
              <w:widowControl w:val="0"/>
              <w:suppressAutoHyphens w:val="0"/>
              <w:spacing w:before="0" w:after="0" w:line="240" w:lineRule="auto"/>
              <w:rPr>
                <w:szCs w:val="17"/>
              </w:rPr>
            </w:pPr>
          </w:p>
        </w:tc>
        <w:tc>
          <w:tcPr>
            <w:tcW w:w="772" w:type="pct"/>
            <w:vMerge/>
            <w:tcBorders>
              <w:bottom w:val="single" w:sz="4" w:space="0" w:color="auto"/>
            </w:tcBorders>
          </w:tcPr>
          <w:p w14:paraId="787EBA69" w14:textId="77777777" w:rsidR="006D7C8D" w:rsidRDefault="006D7C8D" w:rsidP="00444693">
            <w:pPr>
              <w:pStyle w:val="TableText"/>
              <w:widowControl w:val="0"/>
              <w:suppressAutoHyphens w:val="0"/>
              <w:spacing w:before="0" w:after="0" w:line="240" w:lineRule="auto"/>
              <w:rPr>
                <w:szCs w:val="17"/>
              </w:rPr>
            </w:pPr>
          </w:p>
        </w:tc>
        <w:tc>
          <w:tcPr>
            <w:tcW w:w="634" w:type="pct"/>
            <w:tcBorders>
              <w:bottom w:val="single" w:sz="4" w:space="0" w:color="auto"/>
            </w:tcBorders>
          </w:tcPr>
          <w:p w14:paraId="30C24296" w14:textId="77777777" w:rsidR="006D7C8D" w:rsidRDefault="006D7C8D" w:rsidP="00444693">
            <w:pPr>
              <w:pStyle w:val="TableText"/>
              <w:widowControl w:val="0"/>
              <w:suppressAutoHyphens w:val="0"/>
              <w:spacing w:before="0" w:after="0" w:line="240" w:lineRule="auto"/>
              <w:rPr>
                <w:szCs w:val="17"/>
              </w:rPr>
            </w:pPr>
          </w:p>
        </w:tc>
        <w:tc>
          <w:tcPr>
            <w:tcW w:w="514" w:type="pct"/>
            <w:tcBorders>
              <w:bottom w:val="single" w:sz="4" w:space="0" w:color="auto"/>
            </w:tcBorders>
          </w:tcPr>
          <w:p w14:paraId="27813276" w14:textId="77777777" w:rsidR="006D7C8D" w:rsidRDefault="006D7C8D" w:rsidP="00D53099">
            <w:pPr>
              <w:pStyle w:val="TableText"/>
              <w:widowControl w:val="0"/>
              <w:suppressAutoHyphens w:val="0"/>
              <w:spacing w:before="0" w:after="0" w:line="240" w:lineRule="auto"/>
              <w:jc w:val="right"/>
            </w:pPr>
            <w:r w:rsidRPr="008F49B0">
              <w:t>24.7</w:t>
            </w:r>
          </w:p>
        </w:tc>
        <w:tc>
          <w:tcPr>
            <w:tcW w:w="662" w:type="pct"/>
            <w:tcBorders>
              <w:bottom w:val="single" w:sz="4" w:space="0" w:color="auto"/>
            </w:tcBorders>
            <w:vAlign w:val="center"/>
          </w:tcPr>
          <w:p w14:paraId="227994A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150</w:t>
            </w:r>
          </w:p>
        </w:tc>
        <w:tc>
          <w:tcPr>
            <w:tcW w:w="883" w:type="pct"/>
            <w:tcBorders>
              <w:bottom w:val="single" w:sz="4" w:space="0" w:color="auto"/>
            </w:tcBorders>
            <w:vAlign w:val="center"/>
          </w:tcPr>
          <w:p w14:paraId="2D48EF49" w14:textId="77777777" w:rsidR="006D7C8D" w:rsidRPr="003B78B6" w:rsidRDefault="006D7C8D" w:rsidP="00D53099">
            <w:pPr>
              <w:pStyle w:val="TableText"/>
              <w:widowControl w:val="0"/>
              <w:suppressAutoHyphens w:val="0"/>
              <w:spacing w:before="0" w:after="0" w:line="240" w:lineRule="auto"/>
              <w:jc w:val="right"/>
            </w:pPr>
            <w:r>
              <w:rPr>
                <w:color w:val="1A1B1A"/>
                <w:szCs w:val="17"/>
              </w:rPr>
              <w:t>3.7</w:t>
            </w:r>
          </w:p>
        </w:tc>
        <w:tc>
          <w:tcPr>
            <w:tcW w:w="367" w:type="pct"/>
            <w:tcBorders>
              <w:bottom w:val="single" w:sz="4" w:space="0" w:color="auto"/>
            </w:tcBorders>
            <w:vAlign w:val="center"/>
          </w:tcPr>
          <w:p w14:paraId="62109FD4" w14:textId="77777777" w:rsidR="006D7C8D" w:rsidRPr="00721FF0" w:rsidRDefault="006D7C8D" w:rsidP="00D53099">
            <w:pPr>
              <w:pStyle w:val="TableText"/>
              <w:widowControl w:val="0"/>
              <w:suppressAutoHyphens w:val="0"/>
              <w:spacing w:before="0" w:after="0" w:line="240" w:lineRule="auto"/>
              <w:jc w:val="right"/>
            </w:pPr>
            <w:r>
              <w:rPr>
                <w:color w:val="1A1B1A"/>
                <w:szCs w:val="17"/>
              </w:rPr>
              <w:t>0.60</w:t>
            </w:r>
          </w:p>
        </w:tc>
        <w:tc>
          <w:tcPr>
            <w:tcW w:w="585" w:type="pct"/>
            <w:tcBorders>
              <w:bottom w:val="single" w:sz="4" w:space="0" w:color="auto"/>
            </w:tcBorders>
            <w:vAlign w:val="bottom"/>
          </w:tcPr>
          <w:p w14:paraId="32D07FD4"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08C12E92" w14:textId="77777777" w:rsidTr="00444693">
        <w:trPr>
          <w:cantSplit/>
          <w:trHeight w:val="13"/>
        </w:trPr>
        <w:tc>
          <w:tcPr>
            <w:tcW w:w="583" w:type="pct"/>
            <w:vMerge/>
          </w:tcPr>
          <w:p w14:paraId="2B1A8517"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33708DFC"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tcBorders>
              <w:top w:val="single" w:sz="4" w:space="0" w:color="auto"/>
            </w:tcBorders>
          </w:tcPr>
          <w:p w14:paraId="0003D318" w14:textId="77777777" w:rsidR="006D7C8D" w:rsidRDefault="006D7C8D" w:rsidP="00444693">
            <w:pPr>
              <w:pStyle w:val="TableText"/>
              <w:widowControl w:val="0"/>
              <w:suppressAutoHyphens w:val="0"/>
              <w:spacing w:before="0" w:after="0" w:line="240" w:lineRule="auto"/>
              <w:rPr>
                <w:szCs w:val="17"/>
              </w:rPr>
            </w:pPr>
            <w:r w:rsidRPr="009F3875">
              <w:rPr>
                <w:szCs w:val="17"/>
              </w:rPr>
              <w:t>BBCH &lt;10</w:t>
            </w:r>
          </w:p>
        </w:tc>
        <w:tc>
          <w:tcPr>
            <w:tcW w:w="514" w:type="pct"/>
            <w:tcBorders>
              <w:top w:val="single" w:sz="4" w:space="0" w:color="auto"/>
            </w:tcBorders>
          </w:tcPr>
          <w:p w14:paraId="2DC5EB54" w14:textId="77777777" w:rsidR="006D7C8D" w:rsidRPr="00426E98" w:rsidRDefault="006D7C8D" w:rsidP="00D53099">
            <w:pPr>
              <w:pStyle w:val="TableText"/>
              <w:widowControl w:val="0"/>
              <w:suppressAutoHyphens w:val="0"/>
              <w:spacing w:before="0" w:after="0" w:line="240" w:lineRule="auto"/>
              <w:jc w:val="right"/>
              <w:rPr>
                <w:szCs w:val="17"/>
              </w:rPr>
            </w:pPr>
            <w:r>
              <w:t>17.4</w:t>
            </w:r>
          </w:p>
        </w:tc>
        <w:tc>
          <w:tcPr>
            <w:tcW w:w="662" w:type="pct"/>
            <w:tcBorders>
              <w:top w:val="single" w:sz="4" w:space="0" w:color="auto"/>
            </w:tcBorders>
            <w:vAlign w:val="center"/>
          </w:tcPr>
          <w:p w14:paraId="1CE1C46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1C390870" w14:textId="77777777" w:rsidR="006D7C8D" w:rsidRPr="003B78B6" w:rsidRDefault="006D7C8D" w:rsidP="00D53099">
            <w:pPr>
              <w:pStyle w:val="TableText"/>
              <w:widowControl w:val="0"/>
              <w:suppressAutoHyphens w:val="0"/>
              <w:spacing w:before="0" w:after="0" w:line="240" w:lineRule="auto"/>
              <w:jc w:val="right"/>
            </w:pPr>
            <w:r>
              <w:rPr>
                <w:color w:val="1A1B1A"/>
                <w:szCs w:val="17"/>
              </w:rPr>
              <w:t>14</w:t>
            </w:r>
          </w:p>
        </w:tc>
        <w:tc>
          <w:tcPr>
            <w:tcW w:w="367" w:type="pct"/>
            <w:tcBorders>
              <w:top w:val="single" w:sz="4" w:space="0" w:color="auto"/>
            </w:tcBorders>
            <w:shd w:val="clear" w:color="auto" w:fill="FF0000"/>
            <w:vAlign w:val="center"/>
          </w:tcPr>
          <w:p w14:paraId="53057E6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2.2</w:t>
            </w:r>
          </w:p>
        </w:tc>
        <w:tc>
          <w:tcPr>
            <w:tcW w:w="585" w:type="pct"/>
            <w:tcBorders>
              <w:top w:val="single" w:sz="4" w:space="0" w:color="auto"/>
            </w:tcBorders>
            <w:vAlign w:val="bottom"/>
          </w:tcPr>
          <w:p w14:paraId="14CFF39B"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1E15A7D3" w14:textId="77777777" w:rsidTr="00444693">
        <w:trPr>
          <w:cantSplit/>
          <w:trHeight w:val="13"/>
        </w:trPr>
        <w:tc>
          <w:tcPr>
            <w:tcW w:w="583" w:type="pct"/>
            <w:vMerge/>
          </w:tcPr>
          <w:p w14:paraId="76243F6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7A20EC3" w14:textId="77777777" w:rsidR="006D7C8D" w:rsidRDefault="006D7C8D" w:rsidP="00444693">
            <w:pPr>
              <w:pStyle w:val="TableText"/>
              <w:widowControl w:val="0"/>
              <w:suppressAutoHyphens w:val="0"/>
              <w:spacing w:before="0" w:after="0" w:line="240" w:lineRule="auto"/>
              <w:rPr>
                <w:szCs w:val="17"/>
              </w:rPr>
            </w:pPr>
          </w:p>
        </w:tc>
        <w:tc>
          <w:tcPr>
            <w:tcW w:w="634" w:type="pct"/>
          </w:tcPr>
          <w:p w14:paraId="4F1D4AD8"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31CD31E9" w14:textId="77777777" w:rsidR="006D7C8D" w:rsidRDefault="006D7C8D" w:rsidP="00D53099">
            <w:pPr>
              <w:pStyle w:val="TableText"/>
              <w:widowControl w:val="0"/>
              <w:suppressAutoHyphens w:val="0"/>
              <w:spacing w:before="0" w:after="0" w:line="240" w:lineRule="auto"/>
              <w:jc w:val="right"/>
            </w:pPr>
            <w:r w:rsidRPr="00DE7A91">
              <w:t>17.4</w:t>
            </w:r>
          </w:p>
        </w:tc>
        <w:tc>
          <w:tcPr>
            <w:tcW w:w="662" w:type="pct"/>
            <w:vAlign w:val="center"/>
          </w:tcPr>
          <w:p w14:paraId="280091A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38DFD376" w14:textId="77777777" w:rsidR="006D7C8D" w:rsidRPr="003B78B6" w:rsidRDefault="006D7C8D" w:rsidP="00D53099">
            <w:pPr>
              <w:pStyle w:val="TableText"/>
              <w:widowControl w:val="0"/>
              <w:suppressAutoHyphens w:val="0"/>
              <w:spacing w:before="0" w:after="0" w:line="240" w:lineRule="auto"/>
              <w:jc w:val="right"/>
            </w:pPr>
            <w:r>
              <w:rPr>
                <w:color w:val="1A1B1A"/>
                <w:szCs w:val="17"/>
              </w:rPr>
              <w:t>10</w:t>
            </w:r>
          </w:p>
        </w:tc>
        <w:tc>
          <w:tcPr>
            <w:tcW w:w="367" w:type="pct"/>
            <w:shd w:val="clear" w:color="auto" w:fill="FF0000"/>
            <w:vAlign w:val="center"/>
          </w:tcPr>
          <w:p w14:paraId="7DC02703"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1.7</w:t>
            </w:r>
          </w:p>
        </w:tc>
        <w:tc>
          <w:tcPr>
            <w:tcW w:w="585" w:type="pct"/>
            <w:vAlign w:val="bottom"/>
          </w:tcPr>
          <w:p w14:paraId="4FA5936D"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69FC97A8" w14:textId="77777777" w:rsidTr="00444693">
        <w:trPr>
          <w:cantSplit/>
          <w:trHeight w:val="13"/>
        </w:trPr>
        <w:tc>
          <w:tcPr>
            <w:tcW w:w="583" w:type="pct"/>
            <w:vMerge/>
          </w:tcPr>
          <w:p w14:paraId="3FD3FA5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2385172" w14:textId="77777777" w:rsidR="006D7C8D" w:rsidRDefault="006D7C8D" w:rsidP="00444693">
            <w:pPr>
              <w:pStyle w:val="TableText"/>
              <w:widowControl w:val="0"/>
              <w:suppressAutoHyphens w:val="0"/>
              <w:spacing w:before="0" w:after="0" w:line="240" w:lineRule="auto"/>
              <w:rPr>
                <w:szCs w:val="17"/>
              </w:rPr>
            </w:pPr>
          </w:p>
        </w:tc>
        <w:tc>
          <w:tcPr>
            <w:tcW w:w="634" w:type="pct"/>
          </w:tcPr>
          <w:p w14:paraId="05995AD5"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673E5DBE" w14:textId="77777777" w:rsidR="006D7C8D" w:rsidRDefault="006D7C8D" w:rsidP="00D53099">
            <w:pPr>
              <w:pStyle w:val="TableText"/>
              <w:widowControl w:val="0"/>
              <w:suppressAutoHyphens w:val="0"/>
              <w:spacing w:before="0" w:after="0" w:line="240" w:lineRule="auto"/>
              <w:jc w:val="right"/>
            </w:pPr>
            <w:r w:rsidRPr="00DE7A91">
              <w:t>17.4</w:t>
            </w:r>
          </w:p>
        </w:tc>
        <w:tc>
          <w:tcPr>
            <w:tcW w:w="662" w:type="pct"/>
            <w:vAlign w:val="center"/>
          </w:tcPr>
          <w:p w14:paraId="5E9F1CF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1927DD05" w14:textId="77777777" w:rsidR="006D7C8D" w:rsidRPr="003B78B6" w:rsidRDefault="006D7C8D" w:rsidP="00D53099">
            <w:pPr>
              <w:pStyle w:val="TableText"/>
              <w:widowControl w:val="0"/>
              <w:suppressAutoHyphens w:val="0"/>
              <w:spacing w:before="0" w:after="0" w:line="240" w:lineRule="auto"/>
              <w:jc w:val="right"/>
            </w:pPr>
            <w:r>
              <w:rPr>
                <w:color w:val="1A1B1A"/>
                <w:szCs w:val="17"/>
              </w:rPr>
              <w:t>7.0</w:t>
            </w:r>
          </w:p>
        </w:tc>
        <w:tc>
          <w:tcPr>
            <w:tcW w:w="367" w:type="pct"/>
            <w:shd w:val="clear" w:color="auto" w:fill="FF0000"/>
            <w:vAlign w:val="center"/>
          </w:tcPr>
          <w:p w14:paraId="2956CAC1"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vAlign w:val="bottom"/>
          </w:tcPr>
          <w:p w14:paraId="01AD21F6"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69A335FF" w14:textId="77777777" w:rsidTr="00444693">
        <w:trPr>
          <w:cantSplit/>
          <w:trHeight w:val="13"/>
        </w:trPr>
        <w:tc>
          <w:tcPr>
            <w:tcW w:w="583" w:type="pct"/>
            <w:vMerge/>
          </w:tcPr>
          <w:p w14:paraId="1A52F834"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C08AA25" w14:textId="77777777" w:rsidR="006D7C8D" w:rsidRDefault="006D7C8D" w:rsidP="00444693">
            <w:pPr>
              <w:pStyle w:val="TableText"/>
              <w:widowControl w:val="0"/>
              <w:suppressAutoHyphens w:val="0"/>
              <w:spacing w:before="0" w:after="0" w:line="240" w:lineRule="auto"/>
              <w:rPr>
                <w:szCs w:val="17"/>
              </w:rPr>
            </w:pPr>
          </w:p>
        </w:tc>
        <w:tc>
          <w:tcPr>
            <w:tcW w:w="634" w:type="pct"/>
          </w:tcPr>
          <w:p w14:paraId="737443AD"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4E5535F7" w14:textId="77777777" w:rsidR="006D7C8D" w:rsidRDefault="006D7C8D" w:rsidP="00D53099">
            <w:pPr>
              <w:pStyle w:val="TableText"/>
              <w:widowControl w:val="0"/>
              <w:suppressAutoHyphens w:val="0"/>
              <w:spacing w:before="0" w:after="0" w:line="240" w:lineRule="auto"/>
              <w:jc w:val="right"/>
            </w:pPr>
            <w:r w:rsidRPr="00DE7A91">
              <w:t>17.4</w:t>
            </w:r>
          </w:p>
        </w:tc>
        <w:tc>
          <w:tcPr>
            <w:tcW w:w="662" w:type="pct"/>
            <w:vAlign w:val="center"/>
          </w:tcPr>
          <w:p w14:paraId="360410C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5504B082" w14:textId="77777777" w:rsidR="006D7C8D" w:rsidRPr="003B78B6" w:rsidRDefault="006D7C8D" w:rsidP="00D53099">
            <w:pPr>
              <w:pStyle w:val="TableText"/>
              <w:widowControl w:val="0"/>
              <w:suppressAutoHyphens w:val="0"/>
              <w:spacing w:before="0" w:after="0" w:line="240" w:lineRule="auto"/>
              <w:jc w:val="right"/>
            </w:pPr>
            <w:r>
              <w:rPr>
                <w:color w:val="1A1B1A"/>
                <w:szCs w:val="17"/>
              </w:rPr>
              <w:t>5.6</w:t>
            </w:r>
          </w:p>
        </w:tc>
        <w:tc>
          <w:tcPr>
            <w:tcW w:w="367" w:type="pct"/>
            <w:vAlign w:val="center"/>
          </w:tcPr>
          <w:p w14:paraId="2FF43BA0" w14:textId="77777777" w:rsidR="006D7C8D" w:rsidRPr="00721FF0" w:rsidRDefault="006D7C8D" w:rsidP="00D53099">
            <w:pPr>
              <w:pStyle w:val="TableText"/>
              <w:widowControl w:val="0"/>
              <w:suppressAutoHyphens w:val="0"/>
              <w:spacing w:before="0" w:after="0" w:line="240" w:lineRule="auto"/>
              <w:jc w:val="right"/>
            </w:pPr>
            <w:r>
              <w:rPr>
                <w:color w:val="1A1B1A"/>
                <w:szCs w:val="17"/>
              </w:rPr>
              <w:t>0.90</w:t>
            </w:r>
          </w:p>
        </w:tc>
        <w:tc>
          <w:tcPr>
            <w:tcW w:w="585" w:type="pct"/>
            <w:vAlign w:val="bottom"/>
          </w:tcPr>
          <w:p w14:paraId="47A03F24"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4FA2E5B9" w14:textId="77777777" w:rsidTr="00444693">
        <w:trPr>
          <w:cantSplit/>
          <w:trHeight w:val="13"/>
        </w:trPr>
        <w:tc>
          <w:tcPr>
            <w:tcW w:w="583" w:type="pct"/>
            <w:vMerge/>
          </w:tcPr>
          <w:p w14:paraId="355B636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E008816" w14:textId="77777777" w:rsidR="006D7C8D" w:rsidRDefault="006D7C8D" w:rsidP="00444693">
            <w:pPr>
              <w:pStyle w:val="TableText"/>
              <w:widowControl w:val="0"/>
              <w:suppressAutoHyphens w:val="0"/>
              <w:spacing w:before="0" w:after="0" w:line="240" w:lineRule="auto"/>
              <w:rPr>
                <w:szCs w:val="17"/>
              </w:rPr>
            </w:pPr>
          </w:p>
        </w:tc>
        <w:tc>
          <w:tcPr>
            <w:tcW w:w="634" w:type="pct"/>
          </w:tcPr>
          <w:p w14:paraId="45717388"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2C6A0372" w14:textId="77777777" w:rsidR="006D7C8D" w:rsidRDefault="006D7C8D" w:rsidP="00D53099">
            <w:pPr>
              <w:pStyle w:val="TableText"/>
              <w:widowControl w:val="0"/>
              <w:suppressAutoHyphens w:val="0"/>
              <w:spacing w:before="0" w:after="0" w:line="240" w:lineRule="auto"/>
              <w:jc w:val="right"/>
            </w:pPr>
            <w:r w:rsidRPr="00DE7A91">
              <w:t>17.4</w:t>
            </w:r>
          </w:p>
        </w:tc>
        <w:tc>
          <w:tcPr>
            <w:tcW w:w="662" w:type="pct"/>
            <w:vAlign w:val="center"/>
          </w:tcPr>
          <w:p w14:paraId="7A12FA7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45207197" w14:textId="77777777" w:rsidR="006D7C8D" w:rsidRPr="003B78B6" w:rsidRDefault="006D7C8D" w:rsidP="00D53099">
            <w:pPr>
              <w:pStyle w:val="TableText"/>
              <w:widowControl w:val="0"/>
              <w:suppressAutoHyphens w:val="0"/>
              <w:spacing w:before="0" w:after="0" w:line="240" w:lineRule="auto"/>
              <w:jc w:val="right"/>
            </w:pPr>
            <w:r>
              <w:rPr>
                <w:color w:val="1A1B1A"/>
                <w:szCs w:val="17"/>
              </w:rPr>
              <w:t>5.2</w:t>
            </w:r>
          </w:p>
        </w:tc>
        <w:tc>
          <w:tcPr>
            <w:tcW w:w="367" w:type="pct"/>
            <w:vAlign w:val="center"/>
          </w:tcPr>
          <w:p w14:paraId="08B28227" w14:textId="77777777" w:rsidR="006D7C8D" w:rsidRPr="00721FF0" w:rsidRDefault="006D7C8D" w:rsidP="00D53099">
            <w:pPr>
              <w:pStyle w:val="TableText"/>
              <w:widowControl w:val="0"/>
              <w:suppressAutoHyphens w:val="0"/>
              <w:spacing w:before="0" w:after="0" w:line="240" w:lineRule="auto"/>
              <w:jc w:val="right"/>
            </w:pPr>
            <w:r>
              <w:rPr>
                <w:color w:val="1A1B1A"/>
                <w:szCs w:val="17"/>
              </w:rPr>
              <w:t>0.84</w:t>
            </w:r>
          </w:p>
        </w:tc>
        <w:tc>
          <w:tcPr>
            <w:tcW w:w="585" w:type="pct"/>
            <w:vAlign w:val="bottom"/>
          </w:tcPr>
          <w:p w14:paraId="4337D2E8"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46978499" w14:textId="77777777" w:rsidTr="00444693">
        <w:trPr>
          <w:cantSplit/>
          <w:trHeight w:val="13"/>
        </w:trPr>
        <w:tc>
          <w:tcPr>
            <w:tcW w:w="583" w:type="pct"/>
            <w:vMerge/>
          </w:tcPr>
          <w:p w14:paraId="3753C31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36F73B7" w14:textId="77777777" w:rsidR="006D7C8D" w:rsidRDefault="006D7C8D" w:rsidP="00444693">
            <w:pPr>
              <w:pStyle w:val="TableText"/>
              <w:widowControl w:val="0"/>
              <w:suppressAutoHyphens w:val="0"/>
              <w:spacing w:before="0" w:after="0" w:line="240" w:lineRule="auto"/>
              <w:rPr>
                <w:szCs w:val="17"/>
              </w:rPr>
            </w:pPr>
          </w:p>
        </w:tc>
        <w:tc>
          <w:tcPr>
            <w:tcW w:w="634" w:type="pct"/>
          </w:tcPr>
          <w:p w14:paraId="05B6F5B9"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56FD5D33" w14:textId="77777777" w:rsidR="006D7C8D" w:rsidRDefault="006D7C8D" w:rsidP="00D53099">
            <w:pPr>
              <w:pStyle w:val="TableText"/>
              <w:widowControl w:val="0"/>
              <w:suppressAutoHyphens w:val="0"/>
              <w:spacing w:before="0" w:after="0" w:line="240" w:lineRule="auto"/>
              <w:jc w:val="right"/>
            </w:pPr>
            <w:r w:rsidRPr="00DE7A91">
              <w:t>17.4</w:t>
            </w:r>
          </w:p>
        </w:tc>
        <w:tc>
          <w:tcPr>
            <w:tcW w:w="662" w:type="pct"/>
            <w:vAlign w:val="center"/>
          </w:tcPr>
          <w:p w14:paraId="50ED40B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38D7DE55" w14:textId="77777777" w:rsidR="006D7C8D" w:rsidRPr="003B78B6" w:rsidRDefault="006D7C8D" w:rsidP="00D53099">
            <w:pPr>
              <w:pStyle w:val="TableText"/>
              <w:widowControl w:val="0"/>
              <w:suppressAutoHyphens w:val="0"/>
              <w:spacing w:before="0" w:after="0" w:line="240" w:lineRule="auto"/>
              <w:jc w:val="right"/>
            </w:pPr>
            <w:r>
              <w:rPr>
                <w:color w:val="1A1B1A"/>
                <w:szCs w:val="17"/>
              </w:rPr>
              <w:t>4.2</w:t>
            </w:r>
          </w:p>
        </w:tc>
        <w:tc>
          <w:tcPr>
            <w:tcW w:w="367" w:type="pct"/>
            <w:vAlign w:val="center"/>
          </w:tcPr>
          <w:p w14:paraId="4C792B69" w14:textId="77777777" w:rsidR="006D7C8D" w:rsidRPr="00721FF0" w:rsidRDefault="006D7C8D" w:rsidP="00D53099">
            <w:pPr>
              <w:pStyle w:val="TableText"/>
              <w:widowControl w:val="0"/>
              <w:suppressAutoHyphens w:val="0"/>
              <w:spacing w:before="0" w:after="0" w:line="240" w:lineRule="auto"/>
              <w:jc w:val="right"/>
            </w:pPr>
            <w:r>
              <w:rPr>
                <w:color w:val="1A1B1A"/>
                <w:szCs w:val="17"/>
              </w:rPr>
              <w:t>0.67</w:t>
            </w:r>
          </w:p>
        </w:tc>
        <w:tc>
          <w:tcPr>
            <w:tcW w:w="585" w:type="pct"/>
            <w:vAlign w:val="bottom"/>
          </w:tcPr>
          <w:p w14:paraId="5F832E63"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34B8A1A8" w14:textId="77777777" w:rsidTr="00444693">
        <w:trPr>
          <w:cantSplit/>
          <w:trHeight w:val="13"/>
        </w:trPr>
        <w:tc>
          <w:tcPr>
            <w:tcW w:w="583" w:type="pct"/>
            <w:vMerge/>
          </w:tcPr>
          <w:p w14:paraId="3DC6CC5B" w14:textId="77777777" w:rsidR="006D7C8D" w:rsidRDefault="006D7C8D" w:rsidP="00444693">
            <w:pPr>
              <w:pStyle w:val="TableText"/>
              <w:widowControl w:val="0"/>
              <w:suppressAutoHyphens w:val="0"/>
              <w:spacing w:before="0" w:after="0" w:line="240" w:lineRule="auto"/>
              <w:rPr>
                <w:szCs w:val="17"/>
              </w:rPr>
            </w:pPr>
          </w:p>
        </w:tc>
        <w:tc>
          <w:tcPr>
            <w:tcW w:w="772" w:type="pct"/>
            <w:vMerge/>
            <w:tcBorders>
              <w:bottom w:val="single" w:sz="4" w:space="0" w:color="auto"/>
            </w:tcBorders>
          </w:tcPr>
          <w:p w14:paraId="0E9A92AF" w14:textId="77777777" w:rsidR="006D7C8D" w:rsidRDefault="006D7C8D" w:rsidP="00444693">
            <w:pPr>
              <w:pStyle w:val="TableText"/>
              <w:widowControl w:val="0"/>
              <w:suppressAutoHyphens w:val="0"/>
              <w:spacing w:before="0" w:after="0" w:line="240" w:lineRule="auto"/>
              <w:rPr>
                <w:szCs w:val="17"/>
              </w:rPr>
            </w:pPr>
          </w:p>
        </w:tc>
        <w:tc>
          <w:tcPr>
            <w:tcW w:w="634" w:type="pct"/>
            <w:tcBorders>
              <w:bottom w:val="single" w:sz="4" w:space="0" w:color="auto"/>
            </w:tcBorders>
          </w:tcPr>
          <w:p w14:paraId="5AF9EBF6" w14:textId="77777777" w:rsidR="006D7C8D" w:rsidRPr="009F3875" w:rsidRDefault="006D7C8D" w:rsidP="00444693">
            <w:pPr>
              <w:pStyle w:val="TableText"/>
              <w:widowControl w:val="0"/>
              <w:suppressAutoHyphens w:val="0"/>
              <w:spacing w:before="0" w:after="0" w:line="240" w:lineRule="auto"/>
              <w:rPr>
                <w:szCs w:val="17"/>
              </w:rPr>
            </w:pPr>
          </w:p>
        </w:tc>
        <w:tc>
          <w:tcPr>
            <w:tcW w:w="514" w:type="pct"/>
            <w:tcBorders>
              <w:bottom w:val="single" w:sz="4" w:space="0" w:color="auto"/>
            </w:tcBorders>
          </w:tcPr>
          <w:p w14:paraId="40DE1289" w14:textId="77777777" w:rsidR="006D7C8D" w:rsidRDefault="006D7C8D" w:rsidP="00D53099">
            <w:pPr>
              <w:pStyle w:val="TableText"/>
              <w:widowControl w:val="0"/>
              <w:suppressAutoHyphens w:val="0"/>
              <w:spacing w:before="0" w:after="0" w:line="240" w:lineRule="auto"/>
              <w:jc w:val="right"/>
            </w:pPr>
            <w:r w:rsidRPr="00DE7A91">
              <w:t>17.4</w:t>
            </w:r>
          </w:p>
        </w:tc>
        <w:tc>
          <w:tcPr>
            <w:tcW w:w="662" w:type="pct"/>
            <w:tcBorders>
              <w:bottom w:val="single" w:sz="4" w:space="0" w:color="auto"/>
            </w:tcBorders>
            <w:vAlign w:val="center"/>
          </w:tcPr>
          <w:p w14:paraId="2279E74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150</w:t>
            </w:r>
          </w:p>
        </w:tc>
        <w:tc>
          <w:tcPr>
            <w:tcW w:w="883" w:type="pct"/>
            <w:tcBorders>
              <w:bottom w:val="single" w:sz="4" w:space="0" w:color="auto"/>
            </w:tcBorders>
            <w:vAlign w:val="center"/>
          </w:tcPr>
          <w:p w14:paraId="39A9D8D8" w14:textId="77777777" w:rsidR="006D7C8D" w:rsidRPr="003B78B6" w:rsidRDefault="006D7C8D" w:rsidP="00D53099">
            <w:pPr>
              <w:pStyle w:val="TableText"/>
              <w:widowControl w:val="0"/>
              <w:suppressAutoHyphens w:val="0"/>
              <w:spacing w:before="0" w:after="0" w:line="240" w:lineRule="auto"/>
              <w:jc w:val="right"/>
            </w:pPr>
            <w:r>
              <w:rPr>
                <w:color w:val="1A1B1A"/>
                <w:szCs w:val="17"/>
              </w:rPr>
              <w:t>2.6</w:t>
            </w:r>
          </w:p>
        </w:tc>
        <w:tc>
          <w:tcPr>
            <w:tcW w:w="367" w:type="pct"/>
            <w:tcBorders>
              <w:bottom w:val="single" w:sz="4" w:space="0" w:color="auto"/>
            </w:tcBorders>
            <w:vAlign w:val="center"/>
          </w:tcPr>
          <w:p w14:paraId="43F0B8B3" w14:textId="77777777" w:rsidR="006D7C8D" w:rsidRPr="00721FF0" w:rsidRDefault="006D7C8D" w:rsidP="00D53099">
            <w:pPr>
              <w:pStyle w:val="TableText"/>
              <w:widowControl w:val="0"/>
              <w:suppressAutoHyphens w:val="0"/>
              <w:spacing w:before="0" w:after="0" w:line="240" w:lineRule="auto"/>
              <w:jc w:val="right"/>
            </w:pPr>
            <w:r>
              <w:rPr>
                <w:color w:val="1A1B1A"/>
                <w:szCs w:val="17"/>
              </w:rPr>
              <w:t>0.42</w:t>
            </w:r>
          </w:p>
        </w:tc>
        <w:tc>
          <w:tcPr>
            <w:tcW w:w="585" w:type="pct"/>
            <w:tcBorders>
              <w:bottom w:val="single" w:sz="4" w:space="0" w:color="auto"/>
            </w:tcBorders>
            <w:vAlign w:val="bottom"/>
          </w:tcPr>
          <w:p w14:paraId="04EA89E4" w14:textId="77777777" w:rsidR="006D7C8D" w:rsidRPr="00721FF0" w:rsidRDefault="006D7C8D" w:rsidP="00D53099">
            <w:pPr>
              <w:pStyle w:val="TableText"/>
              <w:widowControl w:val="0"/>
              <w:suppressAutoHyphens w:val="0"/>
              <w:spacing w:before="0" w:after="0" w:line="240" w:lineRule="auto"/>
              <w:jc w:val="right"/>
            </w:pPr>
            <w:r>
              <w:rPr>
                <w:color w:val="000000"/>
                <w:szCs w:val="17"/>
              </w:rPr>
              <w:t>356</w:t>
            </w:r>
          </w:p>
        </w:tc>
      </w:tr>
      <w:tr w:rsidR="006D7C8D" w:rsidRPr="00721FF0" w14:paraId="65FF551D" w14:textId="77777777" w:rsidTr="00444693">
        <w:trPr>
          <w:cantSplit/>
          <w:trHeight w:val="13"/>
        </w:trPr>
        <w:tc>
          <w:tcPr>
            <w:tcW w:w="583" w:type="pct"/>
            <w:vMerge/>
          </w:tcPr>
          <w:p w14:paraId="2A1E7BDB"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E824185" w14:textId="77777777" w:rsidR="006D7C8D" w:rsidRDefault="006D7C8D" w:rsidP="00444693">
            <w:pPr>
              <w:pStyle w:val="TableText"/>
              <w:widowControl w:val="0"/>
              <w:suppressAutoHyphens w:val="0"/>
              <w:spacing w:before="0" w:after="0" w:line="240" w:lineRule="auto"/>
              <w:rPr>
                <w:szCs w:val="17"/>
              </w:rPr>
            </w:pPr>
            <w:r>
              <w:rPr>
                <w:szCs w:val="17"/>
              </w:rPr>
              <w:t>Small insectivore</w:t>
            </w:r>
          </w:p>
        </w:tc>
        <w:tc>
          <w:tcPr>
            <w:tcW w:w="634" w:type="pct"/>
            <w:tcBorders>
              <w:top w:val="single" w:sz="4" w:space="0" w:color="auto"/>
            </w:tcBorders>
          </w:tcPr>
          <w:p w14:paraId="161877AA" w14:textId="77777777" w:rsidR="006D7C8D" w:rsidRDefault="006D7C8D" w:rsidP="00444693">
            <w:pPr>
              <w:pStyle w:val="TableText"/>
              <w:widowControl w:val="0"/>
              <w:suppressAutoHyphens w:val="0"/>
              <w:spacing w:before="0" w:after="0" w:line="240" w:lineRule="auto"/>
              <w:rPr>
                <w:szCs w:val="17"/>
              </w:rPr>
            </w:pPr>
            <w:r w:rsidRPr="009F3875">
              <w:rPr>
                <w:szCs w:val="17"/>
              </w:rPr>
              <w:t>BBCH &lt;10</w:t>
            </w:r>
          </w:p>
        </w:tc>
        <w:tc>
          <w:tcPr>
            <w:tcW w:w="514" w:type="pct"/>
            <w:tcBorders>
              <w:top w:val="single" w:sz="4" w:space="0" w:color="auto"/>
            </w:tcBorders>
          </w:tcPr>
          <w:p w14:paraId="43B38169" w14:textId="77777777" w:rsidR="006D7C8D" w:rsidRPr="00426E98" w:rsidRDefault="006D7C8D" w:rsidP="00D53099">
            <w:pPr>
              <w:pStyle w:val="TableText"/>
              <w:widowControl w:val="0"/>
              <w:suppressAutoHyphens w:val="0"/>
              <w:spacing w:before="0" w:after="0" w:line="240" w:lineRule="auto"/>
              <w:jc w:val="right"/>
              <w:rPr>
                <w:szCs w:val="17"/>
              </w:rPr>
            </w:pPr>
            <w:r>
              <w:t>10.9</w:t>
            </w:r>
          </w:p>
        </w:tc>
        <w:tc>
          <w:tcPr>
            <w:tcW w:w="662" w:type="pct"/>
            <w:tcBorders>
              <w:top w:val="single" w:sz="4" w:space="0" w:color="auto"/>
            </w:tcBorders>
            <w:vAlign w:val="center"/>
          </w:tcPr>
          <w:p w14:paraId="58786C0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1ED4AB40" w14:textId="77777777" w:rsidR="006D7C8D" w:rsidRPr="003B78B6" w:rsidRDefault="006D7C8D" w:rsidP="00D53099">
            <w:pPr>
              <w:pStyle w:val="TableText"/>
              <w:widowControl w:val="0"/>
              <w:suppressAutoHyphens w:val="0"/>
              <w:spacing w:before="0" w:after="0" w:line="240" w:lineRule="auto"/>
              <w:jc w:val="right"/>
            </w:pPr>
            <w:r>
              <w:rPr>
                <w:color w:val="1A1B1A"/>
                <w:szCs w:val="17"/>
              </w:rPr>
              <w:t>8.7</w:t>
            </w:r>
          </w:p>
        </w:tc>
        <w:tc>
          <w:tcPr>
            <w:tcW w:w="367" w:type="pct"/>
            <w:tcBorders>
              <w:top w:val="single" w:sz="4" w:space="0" w:color="auto"/>
            </w:tcBorders>
            <w:shd w:val="clear" w:color="auto" w:fill="FF0000"/>
            <w:vAlign w:val="center"/>
          </w:tcPr>
          <w:p w14:paraId="5FBA68E6"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1.4</w:t>
            </w:r>
          </w:p>
        </w:tc>
        <w:tc>
          <w:tcPr>
            <w:tcW w:w="585" w:type="pct"/>
            <w:tcBorders>
              <w:top w:val="single" w:sz="4" w:space="0" w:color="auto"/>
            </w:tcBorders>
            <w:vAlign w:val="bottom"/>
          </w:tcPr>
          <w:p w14:paraId="0D5737AB"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26780ABF" w14:textId="77777777" w:rsidTr="00444693">
        <w:trPr>
          <w:cantSplit/>
          <w:trHeight w:val="13"/>
        </w:trPr>
        <w:tc>
          <w:tcPr>
            <w:tcW w:w="583" w:type="pct"/>
            <w:vMerge/>
          </w:tcPr>
          <w:p w14:paraId="0F712A0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365347F" w14:textId="77777777" w:rsidR="006D7C8D" w:rsidRDefault="006D7C8D" w:rsidP="00444693">
            <w:pPr>
              <w:pStyle w:val="TableText"/>
              <w:widowControl w:val="0"/>
              <w:suppressAutoHyphens w:val="0"/>
              <w:spacing w:before="0" w:after="0" w:line="240" w:lineRule="auto"/>
              <w:rPr>
                <w:szCs w:val="17"/>
              </w:rPr>
            </w:pPr>
          </w:p>
        </w:tc>
        <w:tc>
          <w:tcPr>
            <w:tcW w:w="634" w:type="pct"/>
          </w:tcPr>
          <w:p w14:paraId="5C9B8E3A"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56AC39B6" w14:textId="77777777" w:rsidR="006D7C8D" w:rsidRDefault="006D7C8D" w:rsidP="00D53099">
            <w:pPr>
              <w:pStyle w:val="TableText"/>
              <w:widowControl w:val="0"/>
              <w:suppressAutoHyphens w:val="0"/>
              <w:spacing w:before="0" w:after="0" w:line="240" w:lineRule="auto"/>
              <w:jc w:val="right"/>
            </w:pPr>
            <w:r w:rsidRPr="002E3B1D">
              <w:t>10.9</w:t>
            </w:r>
          </w:p>
        </w:tc>
        <w:tc>
          <w:tcPr>
            <w:tcW w:w="662" w:type="pct"/>
            <w:vAlign w:val="center"/>
          </w:tcPr>
          <w:p w14:paraId="282ED18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272852A0" w14:textId="77777777" w:rsidR="006D7C8D" w:rsidRPr="003B78B6" w:rsidRDefault="006D7C8D" w:rsidP="00D53099">
            <w:pPr>
              <w:pStyle w:val="TableText"/>
              <w:widowControl w:val="0"/>
              <w:suppressAutoHyphens w:val="0"/>
              <w:spacing w:before="0" w:after="0" w:line="240" w:lineRule="auto"/>
              <w:jc w:val="right"/>
            </w:pPr>
            <w:r>
              <w:rPr>
                <w:color w:val="1A1B1A"/>
                <w:szCs w:val="17"/>
              </w:rPr>
              <w:t>6.5</w:t>
            </w:r>
          </w:p>
        </w:tc>
        <w:tc>
          <w:tcPr>
            <w:tcW w:w="367" w:type="pct"/>
            <w:shd w:val="clear" w:color="auto" w:fill="FF0000"/>
            <w:vAlign w:val="center"/>
          </w:tcPr>
          <w:p w14:paraId="50F69B4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1.1</w:t>
            </w:r>
          </w:p>
        </w:tc>
        <w:tc>
          <w:tcPr>
            <w:tcW w:w="585" w:type="pct"/>
            <w:vAlign w:val="bottom"/>
          </w:tcPr>
          <w:p w14:paraId="1FAF630F"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478F1DA1" w14:textId="77777777" w:rsidTr="00444693">
        <w:trPr>
          <w:cantSplit/>
          <w:trHeight w:val="13"/>
        </w:trPr>
        <w:tc>
          <w:tcPr>
            <w:tcW w:w="583" w:type="pct"/>
            <w:vMerge/>
          </w:tcPr>
          <w:p w14:paraId="6641021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6FB5D10" w14:textId="77777777" w:rsidR="006D7C8D" w:rsidRDefault="006D7C8D" w:rsidP="00444693">
            <w:pPr>
              <w:pStyle w:val="TableText"/>
              <w:widowControl w:val="0"/>
              <w:suppressAutoHyphens w:val="0"/>
              <w:spacing w:before="0" w:after="0" w:line="240" w:lineRule="auto"/>
              <w:rPr>
                <w:szCs w:val="17"/>
              </w:rPr>
            </w:pPr>
          </w:p>
        </w:tc>
        <w:tc>
          <w:tcPr>
            <w:tcW w:w="634" w:type="pct"/>
          </w:tcPr>
          <w:p w14:paraId="542E2E0A"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0AA91FCF" w14:textId="77777777" w:rsidR="006D7C8D" w:rsidRDefault="006D7C8D" w:rsidP="00D53099">
            <w:pPr>
              <w:pStyle w:val="TableText"/>
              <w:widowControl w:val="0"/>
              <w:suppressAutoHyphens w:val="0"/>
              <w:spacing w:before="0" w:after="0" w:line="240" w:lineRule="auto"/>
              <w:jc w:val="right"/>
            </w:pPr>
            <w:r w:rsidRPr="002E3B1D">
              <w:t>10.9</w:t>
            </w:r>
          </w:p>
        </w:tc>
        <w:tc>
          <w:tcPr>
            <w:tcW w:w="662" w:type="pct"/>
            <w:vAlign w:val="center"/>
          </w:tcPr>
          <w:p w14:paraId="15360A7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553B340B" w14:textId="77777777" w:rsidR="006D7C8D" w:rsidRPr="003B78B6" w:rsidRDefault="006D7C8D" w:rsidP="00D53099">
            <w:pPr>
              <w:pStyle w:val="TableText"/>
              <w:widowControl w:val="0"/>
              <w:suppressAutoHyphens w:val="0"/>
              <w:spacing w:before="0" w:after="0" w:line="240" w:lineRule="auto"/>
              <w:jc w:val="right"/>
            </w:pPr>
            <w:r>
              <w:rPr>
                <w:color w:val="1A1B1A"/>
                <w:szCs w:val="17"/>
              </w:rPr>
              <w:t>4.4</w:t>
            </w:r>
          </w:p>
        </w:tc>
        <w:tc>
          <w:tcPr>
            <w:tcW w:w="367" w:type="pct"/>
            <w:vAlign w:val="center"/>
          </w:tcPr>
          <w:p w14:paraId="5B485D2A" w14:textId="77777777" w:rsidR="006D7C8D" w:rsidRPr="00721FF0" w:rsidRDefault="006D7C8D" w:rsidP="00D53099">
            <w:pPr>
              <w:pStyle w:val="TableText"/>
              <w:widowControl w:val="0"/>
              <w:suppressAutoHyphens w:val="0"/>
              <w:spacing w:before="0" w:after="0" w:line="240" w:lineRule="auto"/>
              <w:jc w:val="right"/>
            </w:pPr>
            <w:r>
              <w:rPr>
                <w:color w:val="1A1B1A"/>
                <w:szCs w:val="17"/>
              </w:rPr>
              <w:t>0.70</w:t>
            </w:r>
          </w:p>
        </w:tc>
        <w:tc>
          <w:tcPr>
            <w:tcW w:w="585" w:type="pct"/>
            <w:vAlign w:val="bottom"/>
          </w:tcPr>
          <w:p w14:paraId="022B05EE"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73AD9D6F" w14:textId="77777777" w:rsidTr="00444693">
        <w:trPr>
          <w:cantSplit/>
          <w:trHeight w:val="13"/>
        </w:trPr>
        <w:tc>
          <w:tcPr>
            <w:tcW w:w="583" w:type="pct"/>
            <w:vMerge/>
          </w:tcPr>
          <w:p w14:paraId="58707CB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E6E2192" w14:textId="77777777" w:rsidR="006D7C8D" w:rsidRDefault="006D7C8D" w:rsidP="00444693">
            <w:pPr>
              <w:pStyle w:val="TableText"/>
              <w:widowControl w:val="0"/>
              <w:suppressAutoHyphens w:val="0"/>
              <w:spacing w:before="0" w:after="0" w:line="240" w:lineRule="auto"/>
              <w:rPr>
                <w:szCs w:val="17"/>
              </w:rPr>
            </w:pPr>
          </w:p>
        </w:tc>
        <w:tc>
          <w:tcPr>
            <w:tcW w:w="634" w:type="pct"/>
          </w:tcPr>
          <w:p w14:paraId="120ABFC0"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416AD6D5" w14:textId="77777777" w:rsidR="006D7C8D" w:rsidRDefault="006D7C8D" w:rsidP="00D53099">
            <w:pPr>
              <w:pStyle w:val="TableText"/>
              <w:widowControl w:val="0"/>
              <w:suppressAutoHyphens w:val="0"/>
              <w:spacing w:before="0" w:after="0" w:line="240" w:lineRule="auto"/>
              <w:jc w:val="right"/>
            </w:pPr>
            <w:r w:rsidRPr="002E3B1D">
              <w:t>10.9</w:t>
            </w:r>
          </w:p>
        </w:tc>
        <w:tc>
          <w:tcPr>
            <w:tcW w:w="662" w:type="pct"/>
            <w:vAlign w:val="center"/>
          </w:tcPr>
          <w:p w14:paraId="3AC0780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04CA804A" w14:textId="77777777" w:rsidR="006D7C8D" w:rsidRPr="003B78B6" w:rsidRDefault="006D7C8D" w:rsidP="00D53099">
            <w:pPr>
              <w:pStyle w:val="TableText"/>
              <w:widowControl w:val="0"/>
              <w:suppressAutoHyphens w:val="0"/>
              <w:spacing w:before="0" w:after="0" w:line="240" w:lineRule="auto"/>
              <w:jc w:val="right"/>
            </w:pPr>
            <w:r>
              <w:rPr>
                <w:color w:val="1A1B1A"/>
                <w:szCs w:val="17"/>
              </w:rPr>
              <w:t>3.5</w:t>
            </w:r>
          </w:p>
        </w:tc>
        <w:tc>
          <w:tcPr>
            <w:tcW w:w="367" w:type="pct"/>
            <w:vAlign w:val="center"/>
          </w:tcPr>
          <w:p w14:paraId="67A84A22" w14:textId="77777777" w:rsidR="006D7C8D" w:rsidRPr="00721FF0" w:rsidRDefault="006D7C8D" w:rsidP="00D53099">
            <w:pPr>
              <w:pStyle w:val="TableText"/>
              <w:widowControl w:val="0"/>
              <w:suppressAutoHyphens w:val="0"/>
              <w:spacing w:before="0" w:after="0" w:line="240" w:lineRule="auto"/>
              <w:jc w:val="right"/>
            </w:pPr>
            <w:r>
              <w:rPr>
                <w:color w:val="1A1B1A"/>
                <w:szCs w:val="17"/>
              </w:rPr>
              <w:t>0.56</w:t>
            </w:r>
          </w:p>
        </w:tc>
        <w:tc>
          <w:tcPr>
            <w:tcW w:w="585" w:type="pct"/>
            <w:vAlign w:val="bottom"/>
          </w:tcPr>
          <w:p w14:paraId="3E30DD7B"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0E08C745" w14:textId="77777777" w:rsidTr="00444693">
        <w:trPr>
          <w:cantSplit/>
          <w:trHeight w:val="13"/>
        </w:trPr>
        <w:tc>
          <w:tcPr>
            <w:tcW w:w="583" w:type="pct"/>
            <w:vMerge/>
          </w:tcPr>
          <w:p w14:paraId="667D9EC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C4181C6" w14:textId="77777777" w:rsidR="006D7C8D" w:rsidRDefault="006D7C8D" w:rsidP="00444693">
            <w:pPr>
              <w:pStyle w:val="TableText"/>
              <w:widowControl w:val="0"/>
              <w:suppressAutoHyphens w:val="0"/>
              <w:spacing w:before="0" w:after="0" w:line="240" w:lineRule="auto"/>
              <w:rPr>
                <w:szCs w:val="17"/>
              </w:rPr>
            </w:pPr>
          </w:p>
        </w:tc>
        <w:tc>
          <w:tcPr>
            <w:tcW w:w="634" w:type="pct"/>
          </w:tcPr>
          <w:p w14:paraId="781C7353"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768134A7" w14:textId="77777777" w:rsidR="006D7C8D" w:rsidRDefault="006D7C8D" w:rsidP="00D53099">
            <w:pPr>
              <w:pStyle w:val="TableText"/>
              <w:widowControl w:val="0"/>
              <w:suppressAutoHyphens w:val="0"/>
              <w:spacing w:before="0" w:after="0" w:line="240" w:lineRule="auto"/>
              <w:jc w:val="right"/>
            </w:pPr>
            <w:r w:rsidRPr="002E3B1D">
              <w:t>10.9</w:t>
            </w:r>
          </w:p>
        </w:tc>
        <w:tc>
          <w:tcPr>
            <w:tcW w:w="662" w:type="pct"/>
            <w:vAlign w:val="center"/>
          </w:tcPr>
          <w:p w14:paraId="55CDF47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59282E34" w14:textId="77777777" w:rsidR="006D7C8D" w:rsidRPr="003B78B6" w:rsidRDefault="006D7C8D" w:rsidP="00D53099">
            <w:pPr>
              <w:pStyle w:val="TableText"/>
              <w:widowControl w:val="0"/>
              <w:suppressAutoHyphens w:val="0"/>
              <w:spacing w:before="0" w:after="0" w:line="240" w:lineRule="auto"/>
              <w:jc w:val="right"/>
            </w:pPr>
            <w:r>
              <w:rPr>
                <w:color w:val="1A1B1A"/>
                <w:szCs w:val="17"/>
              </w:rPr>
              <w:t>3.3</w:t>
            </w:r>
          </w:p>
        </w:tc>
        <w:tc>
          <w:tcPr>
            <w:tcW w:w="367" w:type="pct"/>
            <w:vAlign w:val="center"/>
          </w:tcPr>
          <w:p w14:paraId="75816AD6" w14:textId="77777777" w:rsidR="006D7C8D" w:rsidRPr="00721FF0" w:rsidRDefault="006D7C8D" w:rsidP="00D53099">
            <w:pPr>
              <w:pStyle w:val="TableText"/>
              <w:widowControl w:val="0"/>
              <w:suppressAutoHyphens w:val="0"/>
              <w:spacing w:before="0" w:after="0" w:line="240" w:lineRule="auto"/>
              <w:jc w:val="right"/>
            </w:pPr>
            <w:r>
              <w:rPr>
                <w:color w:val="1A1B1A"/>
                <w:szCs w:val="17"/>
              </w:rPr>
              <w:t>0.53</w:t>
            </w:r>
          </w:p>
        </w:tc>
        <w:tc>
          <w:tcPr>
            <w:tcW w:w="585" w:type="pct"/>
            <w:vAlign w:val="bottom"/>
          </w:tcPr>
          <w:p w14:paraId="00EC8DCE"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298943AA" w14:textId="77777777" w:rsidTr="00444693">
        <w:trPr>
          <w:cantSplit/>
          <w:trHeight w:val="13"/>
        </w:trPr>
        <w:tc>
          <w:tcPr>
            <w:tcW w:w="583" w:type="pct"/>
            <w:vMerge/>
          </w:tcPr>
          <w:p w14:paraId="01D154B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6ABF417" w14:textId="77777777" w:rsidR="006D7C8D" w:rsidRDefault="006D7C8D" w:rsidP="00444693">
            <w:pPr>
              <w:pStyle w:val="TableText"/>
              <w:widowControl w:val="0"/>
              <w:suppressAutoHyphens w:val="0"/>
              <w:spacing w:before="0" w:after="0" w:line="240" w:lineRule="auto"/>
              <w:rPr>
                <w:szCs w:val="17"/>
              </w:rPr>
            </w:pPr>
          </w:p>
        </w:tc>
        <w:tc>
          <w:tcPr>
            <w:tcW w:w="634" w:type="pct"/>
          </w:tcPr>
          <w:p w14:paraId="1DC0055E" w14:textId="77777777" w:rsidR="006D7C8D" w:rsidRPr="009F3875" w:rsidRDefault="006D7C8D" w:rsidP="00444693">
            <w:pPr>
              <w:pStyle w:val="TableText"/>
              <w:widowControl w:val="0"/>
              <w:suppressAutoHyphens w:val="0"/>
              <w:spacing w:before="0" w:after="0" w:line="240" w:lineRule="auto"/>
              <w:rPr>
                <w:szCs w:val="17"/>
              </w:rPr>
            </w:pPr>
          </w:p>
        </w:tc>
        <w:tc>
          <w:tcPr>
            <w:tcW w:w="514" w:type="pct"/>
          </w:tcPr>
          <w:p w14:paraId="6A9AA244" w14:textId="77777777" w:rsidR="006D7C8D" w:rsidRDefault="006D7C8D" w:rsidP="00D53099">
            <w:pPr>
              <w:pStyle w:val="TableText"/>
              <w:widowControl w:val="0"/>
              <w:suppressAutoHyphens w:val="0"/>
              <w:spacing w:before="0" w:after="0" w:line="240" w:lineRule="auto"/>
              <w:jc w:val="right"/>
            </w:pPr>
            <w:r w:rsidRPr="002E3B1D">
              <w:t>10.9</w:t>
            </w:r>
          </w:p>
        </w:tc>
        <w:tc>
          <w:tcPr>
            <w:tcW w:w="662" w:type="pct"/>
            <w:vAlign w:val="center"/>
          </w:tcPr>
          <w:p w14:paraId="494FF09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1ACE4559" w14:textId="77777777" w:rsidR="006D7C8D" w:rsidRPr="003B78B6" w:rsidRDefault="006D7C8D" w:rsidP="00D53099">
            <w:pPr>
              <w:pStyle w:val="TableText"/>
              <w:widowControl w:val="0"/>
              <w:suppressAutoHyphens w:val="0"/>
              <w:spacing w:before="0" w:after="0" w:line="240" w:lineRule="auto"/>
              <w:jc w:val="right"/>
            </w:pPr>
            <w:r>
              <w:rPr>
                <w:color w:val="1A1B1A"/>
                <w:szCs w:val="17"/>
              </w:rPr>
              <w:t>2.6</w:t>
            </w:r>
          </w:p>
        </w:tc>
        <w:tc>
          <w:tcPr>
            <w:tcW w:w="367" w:type="pct"/>
            <w:vAlign w:val="center"/>
          </w:tcPr>
          <w:p w14:paraId="76473568" w14:textId="77777777" w:rsidR="006D7C8D" w:rsidRPr="00721FF0" w:rsidRDefault="006D7C8D" w:rsidP="00D53099">
            <w:pPr>
              <w:pStyle w:val="TableText"/>
              <w:widowControl w:val="0"/>
              <w:suppressAutoHyphens w:val="0"/>
              <w:spacing w:before="0" w:after="0" w:line="240" w:lineRule="auto"/>
              <w:jc w:val="right"/>
            </w:pPr>
            <w:r>
              <w:rPr>
                <w:color w:val="1A1B1A"/>
                <w:szCs w:val="17"/>
              </w:rPr>
              <w:t>0.42</w:t>
            </w:r>
          </w:p>
        </w:tc>
        <w:tc>
          <w:tcPr>
            <w:tcW w:w="585" w:type="pct"/>
            <w:vAlign w:val="bottom"/>
          </w:tcPr>
          <w:p w14:paraId="24D8BAF6"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6465BA22" w14:textId="77777777" w:rsidTr="00444693">
        <w:trPr>
          <w:cantSplit/>
          <w:trHeight w:val="13"/>
        </w:trPr>
        <w:tc>
          <w:tcPr>
            <w:tcW w:w="583" w:type="pct"/>
            <w:vMerge/>
            <w:tcBorders>
              <w:bottom w:val="single" w:sz="4" w:space="0" w:color="auto"/>
            </w:tcBorders>
          </w:tcPr>
          <w:p w14:paraId="11F59180" w14:textId="77777777" w:rsidR="006D7C8D" w:rsidRDefault="006D7C8D" w:rsidP="00444693">
            <w:pPr>
              <w:pStyle w:val="TableText"/>
              <w:widowControl w:val="0"/>
              <w:suppressAutoHyphens w:val="0"/>
              <w:spacing w:before="0" w:after="0" w:line="240" w:lineRule="auto"/>
              <w:rPr>
                <w:szCs w:val="17"/>
              </w:rPr>
            </w:pPr>
          </w:p>
        </w:tc>
        <w:tc>
          <w:tcPr>
            <w:tcW w:w="772" w:type="pct"/>
            <w:vMerge/>
            <w:tcBorders>
              <w:bottom w:val="single" w:sz="4" w:space="0" w:color="auto"/>
            </w:tcBorders>
          </w:tcPr>
          <w:p w14:paraId="14DB8C95" w14:textId="77777777" w:rsidR="006D7C8D" w:rsidRDefault="006D7C8D" w:rsidP="00444693">
            <w:pPr>
              <w:pStyle w:val="TableText"/>
              <w:widowControl w:val="0"/>
              <w:suppressAutoHyphens w:val="0"/>
              <w:spacing w:before="0" w:after="0" w:line="240" w:lineRule="auto"/>
              <w:rPr>
                <w:szCs w:val="17"/>
              </w:rPr>
            </w:pPr>
          </w:p>
        </w:tc>
        <w:tc>
          <w:tcPr>
            <w:tcW w:w="634" w:type="pct"/>
            <w:tcBorders>
              <w:bottom w:val="single" w:sz="4" w:space="0" w:color="auto"/>
            </w:tcBorders>
          </w:tcPr>
          <w:p w14:paraId="45ACE2A1" w14:textId="77777777" w:rsidR="006D7C8D" w:rsidRPr="009F3875" w:rsidRDefault="006D7C8D" w:rsidP="00444693">
            <w:pPr>
              <w:pStyle w:val="TableText"/>
              <w:widowControl w:val="0"/>
              <w:suppressAutoHyphens w:val="0"/>
              <w:spacing w:before="0" w:after="0" w:line="240" w:lineRule="auto"/>
              <w:rPr>
                <w:szCs w:val="17"/>
              </w:rPr>
            </w:pPr>
          </w:p>
        </w:tc>
        <w:tc>
          <w:tcPr>
            <w:tcW w:w="514" w:type="pct"/>
            <w:tcBorders>
              <w:bottom w:val="single" w:sz="4" w:space="0" w:color="auto"/>
            </w:tcBorders>
          </w:tcPr>
          <w:p w14:paraId="147F24AA" w14:textId="77777777" w:rsidR="006D7C8D" w:rsidRDefault="006D7C8D" w:rsidP="00D53099">
            <w:pPr>
              <w:pStyle w:val="TableText"/>
              <w:widowControl w:val="0"/>
              <w:suppressAutoHyphens w:val="0"/>
              <w:spacing w:before="0" w:after="0" w:line="240" w:lineRule="auto"/>
              <w:jc w:val="right"/>
            </w:pPr>
            <w:r w:rsidRPr="002E3B1D">
              <w:t>10.9</w:t>
            </w:r>
          </w:p>
        </w:tc>
        <w:tc>
          <w:tcPr>
            <w:tcW w:w="662" w:type="pct"/>
            <w:tcBorders>
              <w:bottom w:val="single" w:sz="4" w:space="0" w:color="auto"/>
            </w:tcBorders>
            <w:vAlign w:val="center"/>
          </w:tcPr>
          <w:p w14:paraId="6CAE4FF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150</w:t>
            </w:r>
          </w:p>
        </w:tc>
        <w:tc>
          <w:tcPr>
            <w:tcW w:w="883" w:type="pct"/>
            <w:tcBorders>
              <w:bottom w:val="single" w:sz="4" w:space="0" w:color="auto"/>
            </w:tcBorders>
            <w:vAlign w:val="center"/>
          </w:tcPr>
          <w:p w14:paraId="763FB2FD" w14:textId="77777777" w:rsidR="006D7C8D" w:rsidRPr="003B78B6" w:rsidRDefault="006D7C8D" w:rsidP="00D53099">
            <w:pPr>
              <w:pStyle w:val="TableText"/>
              <w:widowControl w:val="0"/>
              <w:suppressAutoHyphens w:val="0"/>
              <w:spacing w:before="0" w:after="0" w:line="240" w:lineRule="auto"/>
              <w:jc w:val="right"/>
            </w:pPr>
            <w:r>
              <w:rPr>
                <w:color w:val="1A1B1A"/>
                <w:szCs w:val="17"/>
              </w:rPr>
              <w:t>1.6</w:t>
            </w:r>
          </w:p>
        </w:tc>
        <w:tc>
          <w:tcPr>
            <w:tcW w:w="367" w:type="pct"/>
            <w:tcBorders>
              <w:bottom w:val="single" w:sz="4" w:space="0" w:color="auto"/>
            </w:tcBorders>
            <w:vAlign w:val="center"/>
          </w:tcPr>
          <w:p w14:paraId="04C28D86" w14:textId="77777777" w:rsidR="006D7C8D" w:rsidRPr="00721FF0" w:rsidRDefault="006D7C8D" w:rsidP="00D53099">
            <w:pPr>
              <w:pStyle w:val="TableText"/>
              <w:widowControl w:val="0"/>
              <w:suppressAutoHyphens w:val="0"/>
              <w:spacing w:before="0" w:after="0" w:line="240" w:lineRule="auto"/>
              <w:jc w:val="right"/>
            </w:pPr>
            <w:r>
              <w:rPr>
                <w:color w:val="1A1B1A"/>
                <w:szCs w:val="17"/>
              </w:rPr>
              <w:t>0.26</w:t>
            </w:r>
          </w:p>
        </w:tc>
        <w:tc>
          <w:tcPr>
            <w:tcW w:w="585" w:type="pct"/>
            <w:tcBorders>
              <w:bottom w:val="single" w:sz="4" w:space="0" w:color="auto"/>
            </w:tcBorders>
            <w:vAlign w:val="bottom"/>
          </w:tcPr>
          <w:p w14:paraId="36BBF9AA" w14:textId="77777777" w:rsidR="006D7C8D" w:rsidRPr="00721FF0" w:rsidRDefault="006D7C8D" w:rsidP="00D53099">
            <w:pPr>
              <w:pStyle w:val="TableText"/>
              <w:widowControl w:val="0"/>
              <w:suppressAutoHyphens w:val="0"/>
              <w:spacing w:before="0" w:after="0" w:line="240" w:lineRule="auto"/>
              <w:jc w:val="right"/>
            </w:pPr>
            <w:r>
              <w:rPr>
                <w:color w:val="000000"/>
                <w:szCs w:val="17"/>
              </w:rPr>
              <w:t>569</w:t>
            </w:r>
          </w:p>
        </w:tc>
      </w:tr>
      <w:tr w:rsidR="006D7C8D" w:rsidRPr="00721FF0" w14:paraId="3C89F7A1" w14:textId="77777777" w:rsidTr="00444693">
        <w:trPr>
          <w:cantSplit/>
          <w:trHeight w:val="13"/>
        </w:trPr>
        <w:tc>
          <w:tcPr>
            <w:tcW w:w="583" w:type="pct"/>
            <w:vMerge w:val="restart"/>
            <w:tcBorders>
              <w:top w:val="single" w:sz="4" w:space="0" w:color="auto"/>
            </w:tcBorders>
          </w:tcPr>
          <w:p w14:paraId="2DA2A037" w14:textId="77777777" w:rsidR="006D7C8D" w:rsidRDefault="006D7C8D" w:rsidP="00444693">
            <w:pPr>
              <w:pStyle w:val="TableText"/>
              <w:widowControl w:val="0"/>
              <w:suppressAutoHyphens w:val="0"/>
              <w:spacing w:before="0" w:after="0" w:line="240" w:lineRule="auto"/>
              <w:rPr>
                <w:szCs w:val="17"/>
              </w:rPr>
            </w:pPr>
            <w:r>
              <w:rPr>
                <w:szCs w:val="17"/>
              </w:rPr>
              <w:t>Cotton</w:t>
            </w:r>
          </w:p>
        </w:tc>
        <w:tc>
          <w:tcPr>
            <w:tcW w:w="772" w:type="pct"/>
            <w:vMerge w:val="restart"/>
            <w:tcBorders>
              <w:top w:val="single" w:sz="4" w:space="0" w:color="auto"/>
            </w:tcBorders>
          </w:tcPr>
          <w:p w14:paraId="52E92D1B" w14:textId="77777777" w:rsidR="006D7C8D" w:rsidRDefault="006D7C8D" w:rsidP="00444693">
            <w:pPr>
              <w:pStyle w:val="TableText"/>
              <w:widowControl w:val="0"/>
              <w:suppressAutoHyphens w:val="0"/>
              <w:spacing w:before="0" w:after="0" w:line="240" w:lineRule="auto"/>
              <w:rPr>
                <w:szCs w:val="17"/>
              </w:rPr>
            </w:pPr>
            <w:r>
              <w:rPr>
                <w:szCs w:val="17"/>
              </w:rPr>
              <w:t>Medium insectivore</w:t>
            </w:r>
          </w:p>
        </w:tc>
        <w:tc>
          <w:tcPr>
            <w:tcW w:w="634" w:type="pct"/>
            <w:tcBorders>
              <w:top w:val="single" w:sz="4" w:space="0" w:color="auto"/>
            </w:tcBorders>
          </w:tcPr>
          <w:p w14:paraId="56743774" w14:textId="77777777" w:rsidR="006D7C8D" w:rsidRDefault="006D7C8D" w:rsidP="00444693">
            <w:pPr>
              <w:pStyle w:val="TableText"/>
              <w:widowControl w:val="0"/>
              <w:suppressAutoHyphens w:val="0"/>
              <w:spacing w:before="0" w:after="0" w:line="240" w:lineRule="auto"/>
              <w:rPr>
                <w:szCs w:val="17"/>
              </w:rPr>
            </w:pPr>
            <w:r w:rsidRPr="00D9603A">
              <w:rPr>
                <w:szCs w:val="17"/>
              </w:rPr>
              <w:t>BBCH ≥</w:t>
            </w:r>
            <w:r>
              <w:rPr>
                <w:szCs w:val="17"/>
              </w:rPr>
              <w:t>2</w:t>
            </w:r>
            <w:r w:rsidRPr="00D9603A">
              <w:rPr>
                <w:szCs w:val="17"/>
              </w:rPr>
              <w:t>0</w:t>
            </w:r>
          </w:p>
        </w:tc>
        <w:tc>
          <w:tcPr>
            <w:tcW w:w="514" w:type="pct"/>
            <w:tcBorders>
              <w:top w:val="single" w:sz="4" w:space="0" w:color="auto"/>
            </w:tcBorders>
          </w:tcPr>
          <w:p w14:paraId="43804464" w14:textId="77777777" w:rsidR="006D7C8D" w:rsidRPr="00426E98" w:rsidRDefault="006D7C8D" w:rsidP="00D53099">
            <w:pPr>
              <w:pStyle w:val="TableText"/>
              <w:widowControl w:val="0"/>
              <w:suppressAutoHyphens w:val="0"/>
              <w:spacing w:before="0" w:after="0" w:line="240" w:lineRule="auto"/>
              <w:jc w:val="right"/>
              <w:rPr>
                <w:szCs w:val="17"/>
              </w:rPr>
            </w:pPr>
            <w:r>
              <w:rPr>
                <w:szCs w:val="17"/>
              </w:rPr>
              <w:t>3.0</w:t>
            </w:r>
          </w:p>
        </w:tc>
        <w:tc>
          <w:tcPr>
            <w:tcW w:w="662" w:type="pct"/>
            <w:tcBorders>
              <w:top w:val="single" w:sz="4" w:space="0" w:color="auto"/>
            </w:tcBorders>
            <w:vAlign w:val="center"/>
          </w:tcPr>
          <w:p w14:paraId="2ACC95B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tcBorders>
              <w:top w:val="single" w:sz="4" w:space="0" w:color="auto"/>
            </w:tcBorders>
            <w:vAlign w:val="center"/>
          </w:tcPr>
          <w:p w14:paraId="05981161" w14:textId="77777777" w:rsidR="006D7C8D" w:rsidRPr="003B78B6" w:rsidRDefault="006D7C8D" w:rsidP="00D53099">
            <w:pPr>
              <w:pStyle w:val="TableText"/>
              <w:widowControl w:val="0"/>
              <w:suppressAutoHyphens w:val="0"/>
              <w:spacing w:before="0" w:after="0" w:line="240" w:lineRule="auto"/>
              <w:jc w:val="right"/>
            </w:pPr>
            <w:r>
              <w:rPr>
                <w:color w:val="1A1B1A"/>
                <w:szCs w:val="17"/>
              </w:rPr>
              <w:t>1.2</w:t>
            </w:r>
          </w:p>
        </w:tc>
        <w:tc>
          <w:tcPr>
            <w:tcW w:w="367" w:type="pct"/>
            <w:tcBorders>
              <w:top w:val="single" w:sz="4" w:space="0" w:color="auto"/>
            </w:tcBorders>
            <w:vAlign w:val="center"/>
          </w:tcPr>
          <w:p w14:paraId="35DF7ACC" w14:textId="77777777" w:rsidR="006D7C8D" w:rsidRPr="00721FF0" w:rsidRDefault="006D7C8D" w:rsidP="00D53099">
            <w:pPr>
              <w:pStyle w:val="TableText"/>
              <w:widowControl w:val="0"/>
              <w:suppressAutoHyphens w:val="0"/>
              <w:spacing w:before="0" w:after="0" w:line="240" w:lineRule="auto"/>
              <w:jc w:val="right"/>
            </w:pPr>
            <w:r>
              <w:rPr>
                <w:color w:val="1A1B1A"/>
                <w:szCs w:val="17"/>
              </w:rPr>
              <w:t>0.19</w:t>
            </w:r>
          </w:p>
        </w:tc>
        <w:tc>
          <w:tcPr>
            <w:tcW w:w="585" w:type="pct"/>
            <w:tcBorders>
              <w:top w:val="single" w:sz="4" w:space="0" w:color="auto"/>
            </w:tcBorders>
            <w:vAlign w:val="bottom"/>
          </w:tcPr>
          <w:p w14:paraId="5976C5AA" w14:textId="77777777" w:rsidR="006D7C8D" w:rsidRPr="00721FF0" w:rsidRDefault="006D7C8D" w:rsidP="00D53099">
            <w:pPr>
              <w:pStyle w:val="TableText"/>
              <w:widowControl w:val="0"/>
              <w:suppressAutoHyphens w:val="0"/>
              <w:spacing w:before="0" w:after="0" w:line="240" w:lineRule="auto"/>
              <w:jc w:val="right"/>
            </w:pPr>
            <w:r>
              <w:rPr>
                <w:color w:val="000000"/>
                <w:szCs w:val="17"/>
              </w:rPr>
              <w:t>2067</w:t>
            </w:r>
          </w:p>
        </w:tc>
      </w:tr>
      <w:tr w:rsidR="006D7C8D" w:rsidRPr="00721FF0" w14:paraId="079B6BE2" w14:textId="77777777" w:rsidTr="00444693">
        <w:trPr>
          <w:cantSplit/>
          <w:trHeight w:val="13"/>
        </w:trPr>
        <w:tc>
          <w:tcPr>
            <w:tcW w:w="583" w:type="pct"/>
            <w:vMerge/>
          </w:tcPr>
          <w:p w14:paraId="13EDB268"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0E20E3C" w14:textId="77777777" w:rsidR="006D7C8D" w:rsidRDefault="006D7C8D" w:rsidP="00444693">
            <w:pPr>
              <w:pStyle w:val="TableText"/>
              <w:widowControl w:val="0"/>
              <w:suppressAutoHyphens w:val="0"/>
              <w:spacing w:before="0" w:after="0" w:line="240" w:lineRule="auto"/>
              <w:rPr>
                <w:szCs w:val="17"/>
              </w:rPr>
            </w:pPr>
          </w:p>
        </w:tc>
        <w:tc>
          <w:tcPr>
            <w:tcW w:w="634" w:type="pct"/>
          </w:tcPr>
          <w:p w14:paraId="1B48CE18" w14:textId="77777777" w:rsidR="006D7C8D" w:rsidRPr="00D9603A" w:rsidRDefault="006D7C8D" w:rsidP="00444693">
            <w:pPr>
              <w:pStyle w:val="TableText"/>
              <w:widowControl w:val="0"/>
              <w:suppressAutoHyphens w:val="0"/>
              <w:spacing w:before="0" w:after="0" w:line="240" w:lineRule="auto"/>
              <w:rPr>
                <w:szCs w:val="17"/>
              </w:rPr>
            </w:pPr>
          </w:p>
        </w:tc>
        <w:tc>
          <w:tcPr>
            <w:tcW w:w="514" w:type="pct"/>
          </w:tcPr>
          <w:p w14:paraId="53172E55" w14:textId="77777777" w:rsidR="006D7C8D" w:rsidRDefault="006D7C8D" w:rsidP="00D53099">
            <w:pPr>
              <w:pStyle w:val="TableText"/>
              <w:widowControl w:val="0"/>
              <w:suppressAutoHyphens w:val="0"/>
              <w:spacing w:before="0" w:after="0" w:line="240" w:lineRule="auto"/>
              <w:jc w:val="right"/>
              <w:rPr>
                <w:szCs w:val="17"/>
              </w:rPr>
            </w:pPr>
            <w:r w:rsidRPr="00350548">
              <w:rPr>
                <w:szCs w:val="17"/>
              </w:rPr>
              <w:t>3.0</w:t>
            </w:r>
          </w:p>
        </w:tc>
        <w:tc>
          <w:tcPr>
            <w:tcW w:w="662" w:type="pct"/>
            <w:vAlign w:val="center"/>
          </w:tcPr>
          <w:p w14:paraId="3B5954E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6D1A526B" w14:textId="77777777" w:rsidR="006D7C8D" w:rsidRPr="003B78B6" w:rsidRDefault="006D7C8D" w:rsidP="00D53099">
            <w:pPr>
              <w:pStyle w:val="TableText"/>
              <w:widowControl w:val="0"/>
              <w:suppressAutoHyphens w:val="0"/>
              <w:spacing w:before="0" w:after="0" w:line="240" w:lineRule="auto"/>
              <w:jc w:val="right"/>
            </w:pPr>
            <w:r>
              <w:rPr>
                <w:color w:val="1A1B1A"/>
                <w:szCs w:val="17"/>
              </w:rPr>
              <w:t>0.90</w:t>
            </w:r>
          </w:p>
        </w:tc>
        <w:tc>
          <w:tcPr>
            <w:tcW w:w="367" w:type="pct"/>
            <w:vAlign w:val="center"/>
          </w:tcPr>
          <w:p w14:paraId="25D8B76D" w14:textId="77777777" w:rsidR="006D7C8D" w:rsidRPr="00721FF0" w:rsidRDefault="006D7C8D" w:rsidP="00D53099">
            <w:pPr>
              <w:pStyle w:val="TableText"/>
              <w:widowControl w:val="0"/>
              <w:suppressAutoHyphens w:val="0"/>
              <w:spacing w:before="0" w:after="0" w:line="240" w:lineRule="auto"/>
              <w:jc w:val="right"/>
            </w:pPr>
            <w:r>
              <w:rPr>
                <w:color w:val="1A1B1A"/>
                <w:szCs w:val="17"/>
              </w:rPr>
              <w:t>0.15</w:t>
            </w:r>
          </w:p>
        </w:tc>
        <w:tc>
          <w:tcPr>
            <w:tcW w:w="585" w:type="pct"/>
            <w:vAlign w:val="bottom"/>
          </w:tcPr>
          <w:p w14:paraId="0601A173" w14:textId="77777777" w:rsidR="006D7C8D" w:rsidRPr="00721FF0" w:rsidRDefault="006D7C8D" w:rsidP="00D53099">
            <w:pPr>
              <w:pStyle w:val="TableText"/>
              <w:widowControl w:val="0"/>
              <w:suppressAutoHyphens w:val="0"/>
              <w:spacing w:before="0" w:after="0" w:line="240" w:lineRule="auto"/>
              <w:jc w:val="right"/>
            </w:pPr>
            <w:r>
              <w:rPr>
                <w:color w:val="000000"/>
                <w:szCs w:val="17"/>
              </w:rPr>
              <w:t>2067</w:t>
            </w:r>
          </w:p>
        </w:tc>
      </w:tr>
      <w:tr w:rsidR="006D7C8D" w:rsidRPr="00721FF0" w14:paraId="1987AD5A" w14:textId="77777777" w:rsidTr="00444693">
        <w:trPr>
          <w:cantSplit/>
          <w:trHeight w:val="13"/>
        </w:trPr>
        <w:tc>
          <w:tcPr>
            <w:tcW w:w="583" w:type="pct"/>
            <w:vMerge/>
          </w:tcPr>
          <w:p w14:paraId="70866BEE"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FE77774"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tcBorders>
              <w:top w:val="single" w:sz="4" w:space="0" w:color="auto"/>
            </w:tcBorders>
          </w:tcPr>
          <w:p w14:paraId="1DDE8FDC" w14:textId="77777777" w:rsidR="006D7C8D" w:rsidRDefault="006D7C8D" w:rsidP="00444693">
            <w:pPr>
              <w:pStyle w:val="TableText"/>
              <w:widowControl w:val="0"/>
              <w:suppressAutoHyphens w:val="0"/>
              <w:spacing w:before="0" w:after="0" w:line="240" w:lineRule="auto"/>
              <w:rPr>
                <w:szCs w:val="17"/>
              </w:rPr>
            </w:pPr>
            <w:r w:rsidRPr="00D9603A">
              <w:rPr>
                <w:szCs w:val="17"/>
              </w:rPr>
              <w:t>BBCH ≥</w:t>
            </w:r>
            <w:r>
              <w:rPr>
                <w:szCs w:val="17"/>
              </w:rPr>
              <w:t>5</w:t>
            </w:r>
            <w:r w:rsidRPr="00D9603A">
              <w:rPr>
                <w:szCs w:val="17"/>
              </w:rPr>
              <w:t>0</w:t>
            </w:r>
          </w:p>
        </w:tc>
        <w:tc>
          <w:tcPr>
            <w:tcW w:w="514" w:type="pct"/>
            <w:tcBorders>
              <w:top w:val="single" w:sz="4" w:space="0" w:color="auto"/>
            </w:tcBorders>
          </w:tcPr>
          <w:p w14:paraId="7E41A1FE" w14:textId="77777777" w:rsidR="006D7C8D" w:rsidRPr="00426E98" w:rsidRDefault="006D7C8D" w:rsidP="00D53099">
            <w:pPr>
              <w:pStyle w:val="TableText"/>
              <w:widowControl w:val="0"/>
              <w:suppressAutoHyphens w:val="0"/>
              <w:spacing w:before="0" w:after="0" w:line="240" w:lineRule="auto"/>
              <w:jc w:val="right"/>
              <w:rPr>
                <w:szCs w:val="17"/>
              </w:rPr>
            </w:pPr>
            <w:r>
              <w:rPr>
                <w:szCs w:val="17"/>
              </w:rPr>
              <w:t>4.4</w:t>
            </w:r>
          </w:p>
        </w:tc>
        <w:tc>
          <w:tcPr>
            <w:tcW w:w="662" w:type="pct"/>
            <w:tcBorders>
              <w:top w:val="single" w:sz="4" w:space="0" w:color="auto"/>
            </w:tcBorders>
            <w:vAlign w:val="center"/>
          </w:tcPr>
          <w:p w14:paraId="36F07A8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tcBorders>
              <w:top w:val="single" w:sz="4" w:space="0" w:color="auto"/>
            </w:tcBorders>
            <w:vAlign w:val="center"/>
          </w:tcPr>
          <w:p w14:paraId="429913DD" w14:textId="77777777" w:rsidR="006D7C8D" w:rsidRPr="003B78B6" w:rsidRDefault="006D7C8D" w:rsidP="00D53099">
            <w:pPr>
              <w:pStyle w:val="TableText"/>
              <w:widowControl w:val="0"/>
              <w:suppressAutoHyphens w:val="0"/>
              <w:spacing w:before="0" w:after="0" w:line="240" w:lineRule="auto"/>
              <w:jc w:val="right"/>
            </w:pPr>
            <w:r>
              <w:rPr>
                <w:color w:val="1A1B1A"/>
                <w:szCs w:val="17"/>
              </w:rPr>
              <w:t>1.8</w:t>
            </w:r>
          </w:p>
        </w:tc>
        <w:tc>
          <w:tcPr>
            <w:tcW w:w="367" w:type="pct"/>
            <w:tcBorders>
              <w:top w:val="single" w:sz="4" w:space="0" w:color="auto"/>
            </w:tcBorders>
            <w:vAlign w:val="center"/>
          </w:tcPr>
          <w:p w14:paraId="059BCD12" w14:textId="77777777" w:rsidR="006D7C8D" w:rsidRPr="00721FF0" w:rsidRDefault="006D7C8D" w:rsidP="00D53099">
            <w:pPr>
              <w:pStyle w:val="TableText"/>
              <w:widowControl w:val="0"/>
              <w:suppressAutoHyphens w:val="0"/>
              <w:spacing w:before="0" w:after="0" w:line="240" w:lineRule="auto"/>
              <w:jc w:val="right"/>
            </w:pPr>
            <w:r>
              <w:rPr>
                <w:color w:val="1A1B1A"/>
                <w:szCs w:val="17"/>
              </w:rPr>
              <w:t>0.28</w:t>
            </w:r>
          </w:p>
        </w:tc>
        <w:tc>
          <w:tcPr>
            <w:tcW w:w="585" w:type="pct"/>
            <w:tcBorders>
              <w:top w:val="single" w:sz="4" w:space="0" w:color="auto"/>
            </w:tcBorders>
            <w:vAlign w:val="bottom"/>
          </w:tcPr>
          <w:p w14:paraId="4516DF77" w14:textId="77777777" w:rsidR="006D7C8D" w:rsidRPr="00721FF0" w:rsidRDefault="006D7C8D" w:rsidP="00D53099">
            <w:pPr>
              <w:pStyle w:val="TableText"/>
              <w:widowControl w:val="0"/>
              <w:suppressAutoHyphens w:val="0"/>
              <w:spacing w:before="0" w:after="0" w:line="240" w:lineRule="auto"/>
              <w:jc w:val="right"/>
            </w:pPr>
            <w:r>
              <w:rPr>
                <w:color w:val="000000"/>
                <w:szCs w:val="17"/>
              </w:rPr>
              <w:t>1409</w:t>
            </w:r>
          </w:p>
        </w:tc>
      </w:tr>
      <w:tr w:rsidR="006D7C8D" w:rsidRPr="00721FF0" w14:paraId="76D9592A" w14:textId="77777777" w:rsidTr="00444693">
        <w:trPr>
          <w:cantSplit/>
          <w:trHeight w:val="13"/>
        </w:trPr>
        <w:tc>
          <w:tcPr>
            <w:tcW w:w="583" w:type="pct"/>
            <w:vMerge/>
          </w:tcPr>
          <w:p w14:paraId="0512165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1F097E6" w14:textId="77777777" w:rsidR="006D7C8D" w:rsidRDefault="006D7C8D" w:rsidP="00444693">
            <w:pPr>
              <w:pStyle w:val="TableText"/>
              <w:widowControl w:val="0"/>
              <w:suppressAutoHyphens w:val="0"/>
              <w:spacing w:before="0" w:after="0" w:line="240" w:lineRule="auto"/>
              <w:rPr>
                <w:szCs w:val="17"/>
              </w:rPr>
            </w:pPr>
          </w:p>
        </w:tc>
        <w:tc>
          <w:tcPr>
            <w:tcW w:w="634" w:type="pct"/>
          </w:tcPr>
          <w:p w14:paraId="2600092E" w14:textId="77777777" w:rsidR="006D7C8D" w:rsidRPr="00D9603A" w:rsidRDefault="006D7C8D" w:rsidP="00444693">
            <w:pPr>
              <w:pStyle w:val="TableText"/>
              <w:widowControl w:val="0"/>
              <w:suppressAutoHyphens w:val="0"/>
              <w:spacing w:before="0" w:after="0" w:line="240" w:lineRule="auto"/>
              <w:rPr>
                <w:szCs w:val="17"/>
              </w:rPr>
            </w:pPr>
          </w:p>
        </w:tc>
        <w:tc>
          <w:tcPr>
            <w:tcW w:w="514" w:type="pct"/>
          </w:tcPr>
          <w:p w14:paraId="6A6CED25" w14:textId="77777777" w:rsidR="006D7C8D" w:rsidRDefault="006D7C8D" w:rsidP="00D53099">
            <w:pPr>
              <w:pStyle w:val="TableText"/>
              <w:widowControl w:val="0"/>
              <w:suppressAutoHyphens w:val="0"/>
              <w:spacing w:before="0" w:after="0" w:line="240" w:lineRule="auto"/>
              <w:jc w:val="right"/>
              <w:rPr>
                <w:szCs w:val="17"/>
              </w:rPr>
            </w:pPr>
            <w:r w:rsidRPr="001909DA">
              <w:rPr>
                <w:szCs w:val="17"/>
              </w:rPr>
              <w:t>4.4</w:t>
            </w:r>
          </w:p>
        </w:tc>
        <w:tc>
          <w:tcPr>
            <w:tcW w:w="662" w:type="pct"/>
            <w:vAlign w:val="center"/>
          </w:tcPr>
          <w:p w14:paraId="6FD2908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7C00C245"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vAlign w:val="center"/>
          </w:tcPr>
          <w:p w14:paraId="4429C8E0" w14:textId="77777777" w:rsidR="006D7C8D" w:rsidRPr="00721FF0" w:rsidRDefault="006D7C8D" w:rsidP="00D53099">
            <w:pPr>
              <w:pStyle w:val="TableText"/>
              <w:widowControl w:val="0"/>
              <w:suppressAutoHyphens w:val="0"/>
              <w:spacing w:before="0" w:after="0" w:line="240" w:lineRule="auto"/>
              <w:jc w:val="right"/>
            </w:pPr>
            <w:r>
              <w:rPr>
                <w:color w:val="1A1B1A"/>
                <w:szCs w:val="17"/>
              </w:rPr>
              <w:t>0.21</w:t>
            </w:r>
          </w:p>
        </w:tc>
        <w:tc>
          <w:tcPr>
            <w:tcW w:w="585" w:type="pct"/>
            <w:vAlign w:val="bottom"/>
          </w:tcPr>
          <w:p w14:paraId="120C244D" w14:textId="77777777" w:rsidR="006D7C8D" w:rsidRPr="00721FF0" w:rsidRDefault="006D7C8D" w:rsidP="00D53099">
            <w:pPr>
              <w:pStyle w:val="TableText"/>
              <w:widowControl w:val="0"/>
              <w:suppressAutoHyphens w:val="0"/>
              <w:spacing w:before="0" w:after="0" w:line="240" w:lineRule="auto"/>
              <w:jc w:val="right"/>
            </w:pPr>
            <w:r>
              <w:rPr>
                <w:color w:val="000000"/>
                <w:szCs w:val="17"/>
              </w:rPr>
              <w:t>1409</w:t>
            </w:r>
          </w:p>
        </w:tc>
      </w:tr>
      <w:tr w:rsidR="006D7C8D" w:rsidRPr="00721FF0" w14:paraId="284753B8" w14:textId="77777777" w:rsidTr="00444693">
        <w:trPr>
          <w:cantSplit/>
          <w:trHeight w:val="13"/>
        </w:trPr>
        <w:tc>
          <w:tcPr>
            <w:tcW w:w="583" w:type="pct"/>
            <w:vMerge w:val="restart"/>
            <w:tcBorders>
              <w:top w:val="single" w:sz="4" w:space="0" w:color="auto"/>
            </w:tcBorders>
          </w:tcPr>
          <w:p w14:paraId="0B3E8D22" w14:textId="77777777" w:rsidR="006D7C8D" w:rsidRDefault="006D7C8D" w:rsidP="00444693">
            <w:pPr>
              <w:pStyle w:val="TableText"/>
              <w:widowControl w:val="0"/>
              <w:suppressAutoHyphens w:val="0"/>
              <w:spacing w:before="0" w:after="0" w:line="240" w:lineRule="auto"/>
              <w:rPr>
                <w:szCs w:val="17"/>
              </w:rPr>
            </w:pPr>
            <w:r>
              <w:rPr>
                <w:szCs w:val="17"/>
              </w:rPr>
              <w:t>Grassland</w:t>
            </w:r>
          </w:p>
        </w:tc>
        <w:tc>
          <w:tcPr>
            <w:tcW w:w="772" w:type="pct"/>
            <w:vMerge w:val="restart"/>
            <w:tcBorders>
              <w:top w:val="single" w:sz="4" w:space="0" w:color="auto"/>
            </w:tcBorders>
          </w:tcPr>
          <w:p w14:paraId="79B901FA" w14:textId="77777777" w:rsidR="006D7C8D" w:rsidRDefault="006D7C8D" w:rsidP="00444693">
            <w:pPr>
              <w:pStyle w:val="TableText"/>
              <w:widowControl w:val="0"/>
              <w:suppressAutoHyphens w:val="0"/>
              <w:spacing w:before="0" w:after="0" w:line="240" w:lineRule="auto"/>
              <w:rPr>
                <w:szCs w:val="17"/>
              </w:rPr>
            </w:pPr>
            <w:r>
              <w:rPr>
                <w:szCs w:val="17"/>
              </w:rPr>
              <w:t>Small granivore</w:t>
            </w:r>
          </w:p>
        </w:tc>
        <w:tc>
          <w:tcPr>
            <w:tcW w:w="634" w:type="pct"/>
            <w:vMerge w:val="restart"/>
            <w:tcBorders>
              <w:top w:val="single" w:sz="4" w:space="0" w:color="auto"/>
            </w:tcBorders>
          </w:tcPr>
          <w:p w14:paraId="498DCF9A" w14:textId="77777777" w:rsidR="006D7C8D" w:rsidRDefault="006D7C8D" w:rsidP="00444693">
            <w:pPr>
              <w:pStyle w:val="TableText"/>
              <w:widowControl w:val="0"/>
              <w:suppressAutoHyphens w:val="0"/>
              <w:spacing w:before="0" w:after="0" w:line="240" w:lineRule="auto"/>
              <w:rPr>
                <w:szCs w:val="17"/>
              </w:rPr>
            </w:pPr>
            <w:r>
              <w:rPr>
                <w:szCs w:val="17"/>
              </w:rPr>
              <w:t xml:space="preserve">Late season </w:t>
            </w:r>
          </w:p>
        </w:tc>
        <w:tc>
          <w:tcPr>
            <w:tcW w:w="514" w:type="pct"/>
            <w:tcBorders>
              <w:top w:val="single" w:sz="4" w:space="0" w:color="auto"/>
            </w:tcBorders>
          </w:tcPr>
          <w:p w14:paraId="6062237B" w14:textId="77777777" w:rsidR="006D7C8D" w:rsidRPr="00426E98" w:rsidRDefault="006D7C8D" w:rsidP="00D53099">
            <w:pPr>
              <w:pStyle w:val="TableText"/>
              <w:widowControl w:val="0"/>
              <w:suppressAutoHyphens w:val="0"/>
              <w:spacing w:before="0" w:after="0" w:line="240" w:lineRule="auto"/>
              <w:jc w:val="right"/>
              <w:rPr>
                <w:szCs w:val="17"/>
              </w:rPr>
            </w:pPr>
            <w:r>
              <w:t>24.7</w:t>
            </w:r>
          </w:p>
        </w:tc>
        <w:tc>
          <w:tcPr>
            <w:tcW w:w="662" w:type="pct"/>
            <w:tcBorders>
              <w:top w:val="single" w:sz="4" w:space="0" w:color="auto"/>
            </w:tcBorders>
            <w:vAlign w:val="center"/>
          </w:tcPr>
          <w:p w14:paraId="2FF80C09"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59F293C1" w14:textId="77777777" w:rsidR="006D7C8D" w:rsidRPr="003B78B6" w:rsidRDefault="006D7C8D" w:rsidP="00D53099">
            <w:pPr>
              <w:pStyle w:val="TableText"/>
              <w:widowControl w:val="0"/>
              <w:suppressAutoHyphens w:val="0"/>
              <w:spacing w:before="0" w:after="0" w:line="240" w:lineRule="auto"/>
              <w:jc w:val="right"/>
            </w:pPr>
            <w:r>
              <w:rPr>
                <w:color w:val="1A1B1A"/>
                <w:szCs w:val="17"/>
              </w:rPr>
              <w:t>20</w:t>
            </w:r>
          </w:p>
        </w:tc>
        <w:tc>
          <w:tcPr>
            <w:tcW w:w="367" w:type="pct"/>
            <w:tcBorders>
              <w:top w:val="single" w:sz="4" w:space="0" w:color="auto"/>
            </w:tcBorders>
            <w:shd w:val="clear" w:color="auto" w:fill="FF0000"/>
            <w:vAlign w:val="center"/>
          </w:tcPr>
          <w:p w14:paraId="4A1B2ED3"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3.2</w:t>
            </w:r>
          </w:p>
        </w:tc>
        <w:tc>
          <w:tcPr>
            <w:tcW w:w="585" w:type="pct"/>
            <w:tcBorders>
              <w:top w:val="single" w:sz="4" w:space="0" w:color="auto"/>
            </w:tcBorders>
            <w:vAlign w:val="bottom"/>
          </w:tcPr>
          <w:p w14:paraId="0FE03B15"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0AD64EA6" w14:textId="77777777" w:rsidTr="00444693">
        <w:trPr>
          <w:cantSplit/>
          <w:trHeight w:val="13"/>
        </w:trPr>
        <w:tc>
          <w:tcPr>
            <w:tcW w:w="583" w:type="pct"/>
            <w:vMerge/>
          </w:tcPr>
          <w:p w14:paraId="5363916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DCF362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15C4B8F" w14:textId="77777777" w:rsidR="006D7C8D" w:rsidRDefault="006D7C8D" w:rsidP="00444693">
            <w:pPr>
              <w:pStyle w:val="TableText"/>
              <w:widowControl w:val="0"/>
              <w:suppressAutoHyphens w:val="0"/>
              <w:spacing w:before="0" w:after="0" w:line="240" w:lineRule="auto"/>
              <w:rPr>
                <w:szCs w:val="17"/>
              </w:rPr>
            </w:pPr>
          </w:p>
        </w:tc>
        <w:tc>
          <w:tcPr>
            <w:tcW w:w="514" w:type="pct"/>
          </w:tcPr>
          <w:p w14:paraId="4CCB6FEF" w14:textId="77777777" w:rsidR="006D7C8D" w:rsidRDefault="006D7C8D" w:rsidP="00D53099">
            <w:pPr>
              <w:pStyle w:val="TableText"/>
              <w:widowControl w:val="0"/>
              <w:suppressAutoHyphens w:val="0"/>
              <w:spacing w:before="0" w:after="0" w:line="240" w:lineRule="auto"/>
              <w:jc w:val="right"/>
            </w:pPr>
            <w:r w:rsidRPr="004807A6">
              <w:t>24.7</w:t>
            </w:r>
          </w:p>
        </w:tc>
        <w:tc>
          <w:tcPr>
            <w:tcW w:w="662" w:type="pct"/>
            <w:vAlign w:val="center"/>
          </w:tcPr>
          <w:p w14:paraId="33920C8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04F6664B" w14:textId="77777777" w:rsidR="006D7C8D" w:rsidRPr="003B78B6" w:rsidRDefault="006D7C8D" w:rsidP="00D53099">
            <w:pPr>
              <w:pStyle w:val="TableText"/>
              <w:widowControl w:val="0"/>
              <w:suppressAutoHyphens w:val="0"/>
              <w:spacing w:before="0" w:after="0" w:line="240" w:lineRule="auto"/>
              <w:jc w:val="right"/>
            </w:pPr>
            <w:r>
              <w:rPr>
                <w:color w:val="1A1B1A"/>
                <w:szCs w:val="17"/>
              </w:rPr>
              <w:t>15</w:t>
            </w:r>
          </w:p>
        </w:tc>
        <w:tc>
          <w:tcPr>
            <w:tcW w:w="367" w:type="pct"/>
            <w:shd w:val="clear" w:color="auto" w:fill="FF0000"/>
            <w:vAlign w:val="center"/>
          </w:tcPr>
          <w:p w14:paraId="7BBEEBE9"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2.4</w:t>
            </w:r>
          </w:p>
        </w:tc>
        <w:tc>
          <w:tcPr>
            <w:tcW w:w="585" w:type="pct"/>
            <w:vAlign w:val="bottom"/>
          </w:tcPr>
          <w:p w14:paraId="666D5156"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085220EF" w14:textId="77777777" w:rsidTr="00444693">
        <w:trPr>
          <w:cantSplit/>
          <w:trHeight w:val="13"/>
        </w:trPr>
        <w:tc>
          <w:tcPr>
            <w:tcW w:w="583" w:type="pct"/>
            <w:vMerge/>
          </w:tcPr>
          <w:p w14:paraId="5A93FA3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9F1F30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20458F6" w14:textId="77777777" w:rsidR="006D7C8D" w:rsidRDefault="006D7C8D" w:rsidP="00444693">
            <w:pPr>
              <w:pStyle w:val="TableText"/>
              <w:widowControl w:val="0"/>
              <w:suppressAutoHyphens w:val="0"/>
              <w:spacing w:before="0" w:after="0" w:line="240" w:lineRule="auto"/>
              <w:rPr>
                <w:szCs w:val="17"/>
              </w:rPr>
            </w:pPr>
          </w:p>
        </w:tc>
        <w:tc>
          <w:tcPr>
            <w:tcW w:w="514" w:type="pct"/>
          </w:tcPr>
          <w:p w14:paraId="0BD5A8EA" w14:textId="77777777" w:rsidR="006D7C8D" w:rsidRDefault="006D7C8D" w:rsidP="00D53099">
            <w:pPr>
              <w:pStyle w:val="TableText"/>
              <w:widowControl w:val="0"/>
              <w:suppressAutoHyphens w:val="0"/>
              <w:spacing w:before="0" w:after="0" w:line="240" w:lineRule="auto"/>
              <w:jc w:val="right"/>
            </w:pPr>
            <w:r w:rsidRPr="004807A6">
              <w:t>24.7</w:t>
            </w:r>
          </w:p>
        </w:tc>
        <w:tc>
          <w:tcPr>
            <w:tcW w:w="662" w:type="pct"/>
            <w:vAlign w:val="center"/>
          </w:tcPr>
          <w:p w14:paraId="1EBDE0C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75657FAB" w14:textId="77777777" w:rsidR="006D7C8D" w:rsidRPr="003B78B6" w:rsidRDefault="006D7C8D" w:rsidP="00D53099">
            <w:pPr>
              <w:pStyle w:val="TableText"/>
              <w:widowControl w:val="0"/>
              <w:suppressAutoHyphens w:val="0"/>
              <w:spacing w:before="0" w:after="0" w:line="240" w:lineRule="auto"/>
              <w:jc w:val="right"/>
            </w:pPr>
            <w:r>
              <w:rPr>
                <w:color w:val="1A1B1A"/>
                <w:szCs w:val="17"/>
              </w:rPr>
              <w:t>7.9</w:t>
            </w:r>
          </w:p>
        </w:tc>
        <w:tc>
          <w:tcPr>
            <w:tcW w:w="367" w:type="pct"/>
            <w:shd w:val="clear" w:color="auto" w:fill="FF0000"/>
            <w:vAlign w:val="center"/>
          </w:tcPr>
          <w:p w14:paraId="51DFBE9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1.3</w:t>
            </w:r>
          </w:p>
        </w:tc>
        <w:tc>
          <w:tcPr>
            <w:tcW w:w="585" w:type="pct"/>
            <w:vAlign w:val="bottom"/>
          </w:tcPr>
          <w:p w14:paraId="0FA000FA"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73E73361" w14:textId="77777777" w:rsidTr="00444693">
        <w:trPr>
          <w:cantSplit/>
          <w:trHeight w:val="13"/>
        </w:trPr>
        <w:tc>
          <w:tcPr>
            <w:tcW w:w="583" w:type="pct"/>
            <w:vMerge/>
          </w:tcPr>
          <w:p w14:paraId="51C6277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9E42A37"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13445BE" w14:textId="77777777" w:rsidR="006D7C8D" w:rsidRDefault="006D7C8D" w:rsidP="00444693">
            <w:pPr>
              <w:pStyle w:val="TableText"/>
              <w:widowControl w:val="0"/>
              <w:suppressAutoHyphens w:val="0"/>
              <w:spacing w:before="0" w:after="0" w:line="240" w:lineRule="auto"/>
              <w:rPr>
                <w:szCs w:val="17"/>
              </w:rPr>
            </w:pPr>
          </w:p>
        </w:tc>
        <w:tc>
          <w:tcPr>
            <w:tcW w:w="514" w:type="pct"/>
          </w:tcPr>
          <w:p w14:paraId="4D64419F" w14:textId="77777777" w:rsidR="006D7C8D" w:rsidRDefault="006D7C8D" w:rsidP="00D53099">
            <w:pPr>
              <w:pStyle w:val="TableText"/>
              <w:widowControl w:val="0"/>
              <w:suppressAutoHyphens w:val="0"/>
              <w:spacing w:before="0" w:after="0" w:line="240" w:lineRule="auto"/>
              <w:jc w:val="right"/>
            </w:pPr>
            <w:r w:rsidRPr="004807A6">
              <w:t>24.7</w:t>
            </w:r>
          </w:p>
        </w:tc>
        <w:tc>
          <w:tcPr>
            <w:tcW w:w="662" w:type="pct"/>
            <w:vAlign w:val="center"/>
          </w:tcPr>
          <w:p w14:paraId="1A36421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2E9121D3" w14:textId="77777777" w:rsidR="006D7C8D" w:rsidRPr="003B78B6" w:rsidRDefault="006D7C8D" w:rsidP="00D53099">
            <w:pPr>
              <w:pStyle w:val="TableText"/>
              <w:widowControl w:val="0"/>
              <w:suppressAutoHyphens w:val="0"/>
              <w:spacing w:before="0" w:after="0" w:line="240" w:lineRule="auto"/>
              <w:jc w:val="right"/>
            </w:pPr>
            <w:r>
              <w:rPr>
                <w:color w:val="1A1B1A"/>
                <w:szCs w:val="17"/>
              </w:rPr>
              <w:t>5.9</w:t>
            </w:r>
          </w:p>
        </w:tc>
        <w:tc>
          <w:tcPr>
            <w:tcW w:w="367" w:type="pct"/>
            <w:vAlign w:val="center"/>
          </w:tcPr>
          <w:p w14:paraId="10CB7678" w14:textId="77777777" w:rsidR="006D7C8D" w:rsidRPr="00721FF0" w:rsidRDefault="006D7C8D" w:rsidP="00D53099">
            <w:pPr>
              <w:pStyle w:val="TableText"/>
              <w:widowControl w:val="0"/>
              <w:suppressAutoHyphens w:val="0"/>
              <w:spacing w:before="0" w:after="0" w:line="240" w:lineRule="auto"/>
              <w:jc w:val="right"/>
            </w:pPr>
            <w:r>
              <w:rPr>
                <w:color w:val="1A1B1A"/>
                <w:szCs w:val="17"/>
              </w:rPr>
              <w:t>0.96</w:t>
            </w:r>
          </w:p>
        </w:tc>
        <w:tc>
          <w:tcPr>
            <w:tcW w:w="585" w:type="pct"/>
            <w:vAlign w:val="bottom"/>
          </w:tcPr>
          <w:p w14:paraId="688C92C3"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372F569D" w14:textId="77777777" w:rsidTr="00444693">
        <w:trPr>
          <w:cantSplit/>
          <w:trHeight w:val="13"/>
        </w:trPr>
        <w:tc>
          <w:tcPr>
            <w:tcW w:w="583" w:type="pct"/>
            <w:vMerge/>
          </w:tcPr>
          <w:p w14:paraId="07AB09B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79FDC70"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AD8884E" w14:textId="77777777" w:rsidR="006D7C8D" w:rsidRDefault="006D7C8D" w:rsidP="00444693">
            <w:pPr>
              <w:pStyle w:val="TableText"/>
              <w:widowControl w:val="0"/>
              <w:suppressAutoHyphens w:val="0"/>
              <w:spacing w:before="0" w:after="0" w:line="240" w:lineRule="auto"/>
              <w:rPr>
                <w:szCs w:val="17"/>
              </w:rPr>
            </w:pPr>
          </w:p>
        </w:tc>
        <w:tc>
          <w:tcPr>
            <w:tcW w:w="514" w:type="pct"/>
          </w:tcPr>
          <w:p w14:paraId="3FF20D73" w14:textId="77777777" w:rsidR="006D7C8D" w:rsidRDefault="006D7C8D" w:rsidP="00D53099">
            <w:pPr>
              <w:pStyle w:val="TableText"/>
              <w:widowControl w:val="0"/>
              <w:suppressAutoHyphens w:val="0"/>
              <w:spacing w:before="0" w:after="0" w:line="240" w:lineRule="auto"/>
              <w:jc w:val="right"/>
            </w:pPr>
            <w:r w:rsidRPr="004807A6">
              <w:t>24.7</w:t>
            </w:r>
          </w:p>
        </w:tc>
        <w:tc>
          <w:tcPr>
            <w:tcW w:w="662" w:type="pct"/>
            <w:vAlign w:val="center"/>
          </w:tcPr>
          <w:p w14:paraId="43FACAF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07487B69" w14:textId="77777777" w:rsidR="006D7C8D" w:rsidRPr="003B78B6" w:rsidRDefault="006D7C8D" w:rsidP="00D53099">
            <w:pPr>
              <w:pStyle w:val="TableText"/>
              <w:widowControl w:val="0"/>
              <w:suppressAutoHyphens w:val="0"/>
              <w:spacing w:before="0" w:after="0" w:line="240" w:lineRule="auto"/>
              <w:jc w:val="right"/>
            </w:pPr>
            <w:r>
              <w:rPr>
                <w:color w:val="1A1B1A"/>
                <w:szCs w:val="17"/>
              </w:rPr>
              <w:t>4.9</w:t>
            </w:r>
          </w:p>
        </w:tc>
        <w:tc>
          <w:tcPr>
            <w:tcW w:w="367" w:type="pct"/>
            <w:vAlign w:val="center"/>
          </w:tcPr>
          <w:p w14:paraId="02B3284A" w14:textId="77777777" w:rsidR="006D7C8D" w:rsidRPr="00721FF0" w:rsidRDefault="006D7C8D" w:rsidP="00D53099">
            <w:pPr>
              <w:pStyle w:val="TableText"/>
              <w:widowControl w:val="0"/>
              <w:suppressAutoHyphens w:val="0"/>
              <w:spacing w:before="0" w:after="0" w:line="240" w:lineRule="auto"/>
              <w:jc w:val="right"/>
            </w:pPr>
            <w:r>
              <w:rPr>
                <w:color w:val="1A1B1A"/>
                <w:szCs w:val="17"/>
              </w:rPr>
              <w:t>0.80</w:t>
            </w:r>
          </w:p>
        </w:tc>
        <w:tc>
          <w:tcPr>
            <w:tcW w:w="585" w:type="pct"/>
            <w:vAlign w:val="bottom"/>
          </w:tcPr>
          <w:p w14:paraId="2E1D5AC0"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2455EB32" w14:textId="77777777" w:rsidTr="00444693">
        <w:trPr>
          <w:cantSplit/>
          <w:trHeight w:val="13"/>
        </w:trPr>
        <w:tc>
          <w:tcPr>
            <w:tcW w:w="583" w:type="pct"/>
            <w:vMerge/>
          </w:tcPr>
          <w:p w14:paraId="2E1A8DDE"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BC14667" w14:textId="77777777" w:rsidR="006D7C8D" w:rsidRDefault="006D7C8D" w:rsidP="00444693">
            <w:pPr>
              <w:pStyle w:val="TableText"/>
              <w:widowControl w:val="0"/>
              <w:suppressAutoHyphens w:val="0"/>
              <w:spacing w:before="0" w:after="0" w:line="240" w:lineRule="auto"/>
              <w:rPr>
                <w:szCs w:val="17"/>
              </w:rPr>
            </w:pPr>
            <w:r>
              <w:rPr>
                <w:szCs w:val="17"/>
              </w:rPr>
              <w:t>Large herbivore</w:t>
            </w:r>
          </w:p>
        </w:tc>
        <w:tc>
          <w:tcPr>
            <w:tcW w:w="634" w:type="pct"/>
            <w:vMerge w:val="restart"/>
            <w:tcBorders>
              <w:top w:val="single" w:sz="4" w:space="0" w:color="auto"/>
            </w:tcBorders>
          </w:tcPr>
          <w:p w14:paraId="50B6C591" w14:textId="77777777" w:rsidR="006D7C8D" w:rsidRDefault="006D7C8D" w:rsidP="00444693">
            <w:pPr>
              <w:pStyle w:val="TableText"/>
              <w:widowControl w:val="0"/>
              <w:suppressAutoHyphens w:val="0"/>
              <w:spacing w:before="0" w:after="0" w:line="240" w:lineRule="auto"/>
              <w:rPr>
                <w:szCs w:val="17"/>
              </w:rPr>
            </w:pPr>
            <w:r>
              <w:rPr>
                <w:szCs w:val="17"/>
              </w:rPr>
              <w:t>Growing shoots</w:t>
            </w:r>
          </w:p>
        </w:tc>
        <w:tc>
          <w:tcPr>
            <w:tcW w:w="514" w:type="pct"/>
            <w:tcBorders>
              <w:top w:val="single" w:sz="4" w:space="0" w:color="auto"/>
            </w:tcBorders>
          </w:tcPr>
          <w:p w14:paraId="0EC637F3" w14:textId="77777777" w:rsidR="006D7C8D" w:rsidRPr="00426E98" w:rsidRDefault="006D7C8D" w:rsidP="00D53099">
            <w:pPr>
              <w:pStyle w:val="TableText"/>
              <w:widowControl w:val="0"/>
              <w:suppressAutoHyphens w:val="0"/>
              <w:spacing w:before="0" w:after="0" w:line="240" w:lineRule="auto"/>
              <w:jc w:val="right"/>
              <w:rPr>
                <w:szCs w:val="17"/>
              </w:rPr>
            </w:pPr>
            <w:r>
              <w:t>30.5</w:t>
            </w:r>
          </w:p>
        </w:tc>
        <w:tc>
          <w:tcPr>
            <w:tcW w:w="662" w:type="pct"/>
            <w:tcBorders>
              <w:top w:val="single" w:sz="4" w:space="0" w:color="auto"/>
            </w:tcBorders>
            <w:vAlign w:val="center"/>
          </w:tcPr>
          <w:p w14:paraId="655D2AC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4240369E" w14:textId="77777777" w:rsidR="006D7C8D" w:rsidRPr="003B78B6" w:rsidRDefault="006D7C8D" w:rsidP="00D53099">
            <w:pPr>
              <w:pStyle w:val="TableText"/>
              <w:widowControl w:val="0"/>
              <w:suppressAutoHyphens w:val="0"/>
              <w:spacing w:before="0" w:after="0" w:line="240" w:lineRule="auto"/>
              <w:jc w:val="right"/>
            </w:pPr>
            <w:r>
              <w:rPr>
                <w:color w:val="1A1B1A"/>
                <w:szCs w:val="17"/>
              </w:rPr>
              <w:t>24</w:t>
            </w:r>
          </w:p>
        </w:tc>
        <w:tc>
          <w:tcPr>
            <w:tcW w:w="367" w:type="pct"/>
            <w:tcBorders>
              <w:top w:val="single" w:sz="4" w:space="0" w:color="auto"/>
            </w:tcBorders>
            <w:shd w:val="clear" w:color="auto" w:fill="FF0000"/>
            <w:vAlign w:val="center"/>
          </w:tcPr>
          <w:p w14:paraId="347C290F"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3.9</w:t>
            </w:r>
          </w:p>
        </w:tc>
        <w:tc>
          <w:tcPr>
            <w:tcW w:w="585" w:type="pct"/>
            <w:tcBorders>
              <w:top w:val="single" w:sz="4" w:space="0" w:color="auto"/>
            </w:tcBorders>
            <w:vAlign w:val="bottom"/>
          </w:tcPr>
          <w:p w14:paraId="1A40003D" w14:textId="77777777" w:rsidR="006D7C8D" w:rsidRPr="00721FF0" w:rsidRDefault="006D7C8D" w:rsidP="00D53099">
            <w:pPr>
              <w:pStyle w:val="TableText"/>
              <w:widowControl w:val="0"/>
              <w:suppressAutoHyphens w:val="0"/>
              <w:spacing w:before="0" w:after="0" w:line="240" w:lineRule="auto"/>
              <w:jc w:val="right"/>
            </w:pPr>
            <w:r>
              <w:rPr>
                <w:color w:val="000000"/>
                <w:szCs w:val="17"/>
              </w:rPr>
              <w:t>203</w:t>
            </w:r>
          </w:p>
        </w:tc>
      </w:tr>
      <w:tr w:rsidR="006D7C8D" w:rsidRPr="00721FF0" w14:paraId="3C69DF59" w14:textId="77777777" w:rsidTr="00444693">
        <w:trPr>
          <w:cantSplit/>
          <w:trHeight w:val="13"/>
        </w:trPr>
        <w:tc>
          <w:tcPr>
            <w:tcW w:w="583" w:type="pct"/>
            <w:vMerge/>
          </w:tcPr>
          <w:p w14:paraId="0F2C982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CD5285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8788EB4" w14:textId="77777777" w:rsidR="006D7C8D" w:rsidRDefault="006D7C8D" w:rsidP="00444693">
            <w:pPr>
              <w:pStyle w:val="TableText"/>
              <w:widowControl w:val="0"/>
              <w:suppressAutoHyphens w:val="0"/>
              <w:spacing w:before="0" w:after="0" w:line="240" w:lineRule="auto"/>
              <w:rPr>
                <w:szCs w:val="17"/>
              </w:rPr>
            </w:pPr>
          </w:p>
        </w:tc>
        <w:tc>
          <w:tcPr>
            <w:tcW w:w="514" w:type="pct"/>
          </w:tcPr>
          <w:p w14:paraId="24078315" w14:textId="77777777" w:rsidR="006D7C8D" w:rsidRDefault="006D7C8D" w:rsidP="00D53099">
            <w:pPr>
              <w:pStyle w:val="TableText"/>
              <w:widowControl w:val="0"/>
              <w:suppressAutoHyphens w:val="0"/>
              <w:spacing w:before="0" w:after="0" w:line="240" w:lineRule="auto"/>
              <w:jc w:val="right"/>
            </w:pPr>
            <w:r w:rsidRPr="00B52653">
              <w:t>30.5</w:t>
            </w:r>
          </w:p>
        </w:tc>
        <w:tc>
          <w:tcPr>
            <w:tcW w:w="662" w:type="pct"/>
            <w:vAlign w:val="center"/>
          </w:tcPr>
          <w:p w14:paraId="4F3C817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5F406F7A" w14:textId="77777777" w:rsidR="006D7C8D" w:rsidRPr="003B78B6" w:rsidRDefault="006D7C8D" w:rsidP="00D53099">
            <w:pPr>
              <w:pStyle w:val="TableText"/>
              <w:widowControl w:val="0"/>
              <w:suppressAutoHyphens w:val="0"/>
              <w:spacing w:before="0" w:after="0" w:line="240" w:lineRule="auto"/>
              <w:jc w:val="right"/>
            </w:pPr>
            <w:r>
              <w:rPr>
                <w:color w:val="1A1B1A"/>
                <w:szCs w:val="17"/>
              </w:rPr>
              <w:t>18</w:t>
            </w:r>
          </w:p>
        </w:tc>
        <w:tc>
          <w:tcPr>
            <w:tcW w:w="367" w:type="pct"/>
            <w:shd w:val="clear" w:color="auto" w:fill="FF0000"/>
            <w:vAlign w:val="center"/>
          </w:tcPr>
          <w:p w14:paraId="460177B5"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3.0</w:t>
            </w:r>
          </w:p>
        </w:tc>
        <w:tc>
          <w:tcPr>
            <w:tcW w:w="585" w:type="pct"/>
            <w:vAlign w:val="bottom"/>
          </w:tcPr>
          <w:p w14:paraId="415A332B" w14:textId="77777777" w:rsidR="006D7C8D" w:rsidRPr="00721FF0" w:rsidRDefault="006D7C8D" w:rsidP="00D53099">
            <w:pPr>
              <w:pStyle w:val="TableText"/>
              <w:widowControl w:val="0"/>
              <w:suppressAutoHyphens w:val="0"/>
              <w:spacing w:before="0" w:after="0" w:line="240" w:lineRule="auto"/>
              <w:jc w:val="right"/>
            </w:pPr>
            <w:r>
              <w:rPr>
                <w:color w:val="000000"/>
                <w:szCs w:val="17"/>
              </w:rPr>
              <w:t>203</w:t>
            </w:r>
          </w:p>
        </w:tc>
      </w:tr>
      <w:tr w:rsidR="006D7C8D" w:rsidRPr="00721FF0" w14:paraId="43FF8A10" w14:textId="77777777" w:rsidTr="00444693">
        <w:trPr>
          <w:cantSplit/>
          <w:trHeight w:val="13"/>
        </w:trPr>
        <w:tc>
          <w:tcPr>
            <w:tcW w:w="583" w:type="pct"/>
            <w:vMerge/>
          </w:tcPr>
          <w:p w14:paraId="44AA344C"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0A50EB7"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67326AC7" w14:textId="77777777" w:rsidR="006D7C8D" w:rsidRDefault="006D7C8D" w:rsidP="00444693">
            <w:pPr>
              <w:pStyle w:val="TableText"/>
              <w:widowControl w:val="0"/>
              <w:suppressAutoHyphens w:val="0"/>
              <w:spacing w:before="0" w:after="0" w:line="240" w:lineRule="auto"/>
              <w:rPr>
                <w:szCs w:val="17"/>
              </w:rPr>
            </w:pPr>
          </w:p>
        </w:tc>
        <w:tc>
          <w:tcPr>
            <w:tcW w:w="514" w:type="pct"/>
          </w:tcPr>
          <w:p w14:paraId="14374E81" w14:textId="77777777" w:rsidR="006D7C8D" w:rsidRDefault="006D7C8D" w:rsidP="00D53099">
            <w:pPr>
              <w:pStyle w:val="TableText"/>
              <w:widowControl w:val="0"/>
              <w:suppressAutoHyphens w:val="0"/>
              <w:spacing w:before="0" w:after="0" w:line="240" w:lineRule="auto"/>
              <w:jc w:val="right"/>
            </w:pPr>
            <w:r w:rsidRPr="00B52653">
              <w:t>30.5</w:t>
            </w:r>
          </w:p>
        </w:tc>
        <w:tc>
          <w:tcPr>
            <w:tcW w:w="662" w:type="pct"/>
            <w:vAlign w:val="center"/>
          </w:tcPr>
          <w:p w14:paraId="28CB6828"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1E679057" w14:textId="77777777" w:rsidR="006D7C8D" w:rsidRPr="003B78B6" w:rsidRDefault="006D7C8D" w:rsidP="00D53099">
            <w:pPr>
              <w:pStyle w:val="TableText"/>
              <w:widowControl w:val="0"/>
              <w:suppressAutoHyphens w:val="0"/>
              <w:spacing w:before="0" w:after="0" w:line="240" w:lineRule="auto"/>
              <w:jc w:val="right"/>
            </w:pPr>
            <w:r>
              <w:rPr>
                <w:color w:val="1A1B1A"/>
                <w:szCs w:val="17"/>
              </w:rPr>
              <w:t>10</w:t>
            </w:r>
          </w:p>
        </w:tc>
        <w:tc>
          <w:tcPr>
            <w:tcW w:w="367" w:type="pct"/>
            <w:shd w:val="clear" w:color="auto" w:fill="FF0000"/>
            <w:vAlign w:val="center"/>
          </w:tcPr>
          <w:p w14:paraId="061909D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1.6</w:t>
            </w:r>
          </w:p>
        </w:tc>
        <w:tc>
          <w:tcPr>
            <w:tcW w:w="585" w:type="pct"/>
            <w:vAlign w:val="bottom"/>
          </w:tcPr>
          <w:p w14:paraId="099C15DE" w14:textId="77777777" w:rsidR="006D7C8D" w:rsidRPr="00721FF0" w:rsidRDefault="006D7C8D" w:rsidP="00D53099">
            <w:pPr>
              <w:pStyle w:val="TableText"/>
              <w:widowControl w:val="0"/>
              <w:suppressAutoHyphens w:val="0"/>
              <w:spacing w:before="0" w:after="0" w:line="240" w:lineRule="auto"/>
              <w:jc w:val="right"/>
            </w:pPr>
            <w:r>
              <w:rPr>
                <w:color w:val="000000"/>
                <w:szCs w:val="17"/>
              </w:rPr>
              <w:t>203</w:t>
            </w:r>
          </w:p>
        </w:tc>
      </w:tr>
      <w:tr w:rsidR="006D7C8D" w:rsidRPr="00721FF0" w14:paraId="1A318CC3" w14:textId="77777777" w:rsidTr="00444693">
        <w:trPr>
          <w:cantSplit/>
          <w:trHeight w:val="13"/>
        </w:trPr>
        <w:tc>
          <w:tcPr>
            <w:tcW w:w="583" w:type="pct"/>
            <w:vMerge/>
          </w:tcPr>
          <w:p w14:paraId="3D606C4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72742FA"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8414077" w14:textId="77777777" w:rsidR="006D7C8D" w:rsidRDefault="006D7C8D" w:rsidP="00444693">
            <w:pPr>
              <w:pStyle w:val="TableText"/>
              <w:widowControl w:val="0"/>
              <w:suppressAutoHyphens w:val="0"/>
              <w:spacing w:before="0" w:after="0" w:line="240" w:lineRule="auto"/>
              <w:rPr>
                <w:szCs w:val="17"/>
              </w:rPr>
            </w:pPr>
          </w:p>
        </w:tc>
        <w:tc>
          <w:tcPr>
            <w:tcW w:w="514" w:type="pct"/>
          </w:tcPr>
          <w:p w14:paraId="7A5318A7" w14:textId="77777777" w:rsidR="006D7C8D" w:rsidRDefault="006D7C8D" w:rsidP="00D53099">
            <w:pPr>
              <w:pStyle w:val="TableText"/>
              <w:widowControl w:val="0"/>
              <w:suppressAutoHyphens w:val="0"/>
              <w:spacing w:before="0" w:after="0" w:line="240" w:lineRule="auto"/>
              <w:jc w:val="right"/>
            </w:pPr>
            <w:r w:rsidRPr="00B52653">
              <w:t>30.5</w:t>
            </w:r>
          </w:p>
        </w:tc>
        <w:tc>
          <w:tcPr>
            <w:tcW w:w="662" w:type="pct"/>
            <w:vAlign w:val="center"/>
          </w:tcPr>
          <w:p w14:paraId="60E5AF9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668DDD24" w14:textId="77777777" w:rsidR="006D7C8D" w:rsidRPr="003B78B6" w:rsidRDefault="006D7C8D" w:rsidP="00D53099">
            <w:pPr>
              <w:pStyle w:val="TableText"/>
              <w:widowControl w:val="0"/>
              <w:suppressAutoHyphens w:val="0"/>
              <w:spacing w:before="0" w:after="0" w:line="240" w:lineRule="auto"/>
              <w:jc w:val="right"/>
            </w:pPr>
            <w:r>
              <w:rPr>
                <w:color w:val="1A1B1A"/>
                <w:szCs w:val="17"/>
              </w:rPr>
              <w:t>7.3</w:t>
            </w:r>
          </w:p>
        </w:tc>
        <w:tc>
          <w:tcPr>
            <w:tcW w:w="367" w:type="pct"/>
            <w:shd w:val="clear" w:color="auto" w:fill="FF0000"/>
            <w:vAlign w:val="center"/>
          </w:tcPr>
          <w:p w14:paraId="6B698B23"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vAlign w:val="bottom"/>
          </w:tcPr>
          <w:p w14:paraId="4B0BAE7B" w14:textId="77777777" w:rsidR="006D7C8D" w:rsidRPr="00721FF0" w:rsidRDefault="006D7C8D" w:rsidP="00D53099">
            <w:pPr>
              <w:pStyle w:val="TableText"/>
              <w:widowControl w:val="0"/>
              <w:suppressAutoHyphens w:val="0"/>
              <w:spacing w:before="0" w:after="0" w:line="240" w:lineRule="auto"/>
              <w:jc w:val="right"/>
            </w:pPr>
            <w:r>
              <w:rPr>
                <w:color w:val="000000"/>
                <w:szCs w:val="17"/>
              </w:rPr>
              <w:t>203</w:t>
            </w:r>
          </w:p>
        </w:tc>
      </w:tr>
      <w:tr w:rsidR="006D7C8D" w:rsidRPr="00721FF0" w14:paraId="212D7ECB" w14:textId="77777777" w:rsidTr="00444693">
        <w:trPr>
          <w:cantSplit/>
          <w:trHeight w:val="13"/>
        </w:trPr>
        <w:tc>
          <w:tcPr>
            <w:tcW w:w="583" w:type="pct"/>
            <w:vMerge/>
          </w:tcPr>
          <w:p w14:paraId="79F1D3C7"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D56694F"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712EAD2" w14:textId="77777777" w:rsidR="006D7C8D" w:rsidRDefault="006D7C8D" w:rsidP="00444693">
            <w:pPr>
              <w:pStyle w:val="TableText"/>
              <w:widowControl w:val="0"/>
              <w:suppressAutoHyphens w:val="0"/>
              <w:spacing w:before="0" w:after="0" w:line="240" w:lineRule="auto"/>
              <w:rPr>
                <w:szCs w:val="17"/>
              </w:rPr>
            </w:pPr>
          </w:p>
        </w:tc>
        <w:tc>
          <w:tcPr>
            <w:tcW w:w="514" w:type="pct"/>
          </w:tcPr>
          <w:p w14:paraId="7BC73C13" w14:textId="77777777" w:rsidR="006D7C8D" w:rsidRDefault="006D7C8D" w:rsidP="00D53099">
            <w:pPr>
              <w:pStyle w:val="TableText"/>
              <w:widowControl w:val="0"/>
              <w:suppressAutoHyphens w:val="0"/>
              <w:spacing w:before="0" w:after="0" w:line="240" w:lineRule="auto"/>
              <w:jc w:val="right"/>
            </w:pPr>
            <w:r w:rsidRPr="00B52653">
              <w:t>30.5</w:t>
            </w:r>
          </w:p>
        </w:tc>
        <w:tc>
          <w:tcPr>
            <w:tcW w:w="662" w:type="pct"/>
            <w:vAlign w:val="center"/>
          </w:tcPr>
          <w:p w14:paraId="2558912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51C630F5" w14:textId="77777777" w:rsidR="006D7C8D" w:rsidRPr="003B78B6" w:rsidRDefault="006D7C8D" w:rsidP="00D53099">
            <w:pPr>
              <w:pStyle w:val="TableText"/>
              <w:widowControl w:val="0"/>
              <w:suppressAutoHyphens w:val="0"/>
              <w:spacing w:before="0" w:after="0" w:line="240" w:lineRule="auto"/>
              <w:jc w:val="right"/>
            </w:pPr>
            <w:r>
              <w:rPr>
                <w:color w:val="1A1B1A"/>
                <w:szCs w:val="17"/>
              </w:rPr>
              <w:t>6.1</w:t>
            </w:r>
          </w:p>
        </w:tc>
        <w:tc>
          <w:tcPr>
            <w:tcW w:w="367" w:type="pct"/>
            <w:vAlign w:val="center"/>
          </w:tcPr>
          <w:p w14:paraId="3B50F707" w14:textId="77777777" w:rsidR="006D7C8D" w:rsidRPr="00721FF0" w:rsidRDefault="006D7C8D" w:rsidP="00D53099">
            <w:pPr>
              <w:pStyle w:val="TableText"/>
              <w:widowControl w:val="0"/>
              <w:suppressAutoHyphens w:val="0"/>
              <w:spacing w:before="0" w:after="0" w:line="240" w:lineRule="auto"/>
              <w:jc w:val="right"/>
            </w:pPr>
            <w:r>
              <w:rPr>
                <w:color w:val="1A1B1A"/>
                <w:szCs w:val="17"/>
              </w:rPr>
              <w:t>0.98</w:t>
            </w:r>
          </w:p>
        </w:tc>
        <w:tc>
          <w:tcPr>
            <w:tcW w:w="585" w:type="pct"/>
            <w:vAlign w:val="bottom"/>
          </w:tcPr>
          <w:p w14:paraId="2C21A115" w14:textId="77777777" w:rsidR="006D7C8D" w:rsidRPr="00721FF0" w:rsidRDefault="006D7C8D" w:rsidP="00D53099">
            <w:pPr>
              <w:pStyle w:val="TableText"/>
              <w:widowControl w:val="0"/>
              <w:suppressAutoHyphens w:val="0"/>
              <w:spacing w:before="0" w:after="0" w:line="240" w:lineRule="auto"/>
              <w:jc w:val="right"/>
            </w:pPr>
            <w:r>
              <w:rPr>
                <w:color w:val="000000"/>
                <w:szCs w:val="17"/>
              </w:rPr>
              <w:t>203</w:t>
            </w:r>
          </w:p>
        </w:tc>
      </w:tr>
      <w:tr w:rsidR="006D7C8D" w:rsidRPr="00721FF0" w14:paraId="26011E02" w14:textId="77777777" w:rsidTr="00444693">
        <w:trPr>
          <w:cantSplit/>
          <w:trHeight w:val="13"/>
        </w:trPr>
        <w:tc>
          <w:tcPr>
            <w:tcW w:w="583" w:type="pct"/>
            <w:vMerge/>
          </w:tcPr>
          <w:p w14:paraId="6965F541"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077EB1B5" w14:textId="77777777" w:rsidR="006D7C8D" w:rsidRDefault="006D7C8D" w:rsidP="00444693">
            <w:pPr>
              <w:pStyle w:val="TableText"/>
              <w:widowControl w:val="0"/>
              <w:suppressAutoHyphens w:val="0"/>
              <w:spacing w:before="0" w:after="0" w:line="240" w:lineRule="auto"/>
              <w:rPr>
                <w:szCs w:val="17"/>
              </w:rPr>
            </w:pPr>
            <w:r>
              <w:rPr>
                <w:szCs w:val="17"/>
              </w:rPr>
              <w:t>Small insectivore</w:t>
            </w:r>
          </w:p>
        </w:tc>
        <w:tc>
          <w:tcPr>
            <w:tcW w:w="634" w:type="pct"/>
            <w:vMerge w:val="restart"/>
            <w:tcBorders>
              <w:top w:val="single" w:sz="4" w:space="0" w:color="auto"/>
            </w:tcBorders>
          </w:tcPr>
          <w:p w14:paraId="2274203B" w14:textId="77777777" w:rsidR="006D7C8D" w:rsidRDefault="006D7C8D" w:rsidP="00444693">
            <w:pPr>
              <w:pStyle w:val="TableText"/>
              <w:widowControl w:val="0"/>
              <w:suppressAutoHyphens w:val="0"/>
              <w:spacing w:before="0" w:after="0" w:line="240" w:lineRule="auto"/>
              <w:rPr>
                <w:szCs w:val="17"/>
              </w:rPr>
            </w:pPr>
            <w:r>
              <w:rPr>
                <w:szCs w:val="17"/>
              </w:rPr>
              <w:t>Growing shoots</w:t>
            </w:r>
          </w:p>
        </w:tc>
        <w:tc>
          <w:tcPr>
            <w:tcW w:w="514" w:type="pct"/>
            <w:tcBorders>
              <w:top w:val="single" w:sz="4" w:space="0" w:color="auto"/>
            </w:tcBorders>
          </w:tcPr>
          <w:p w14:paraId="5C05491B" w14:textId="77777777" w:rsidR="006D7C8D" w:rsidRPr="00426E98" w:rsidRDefault="006D7C8D" w:rsidP="00D53099">
            <w:pPr>
              <w:pStyle w:val="TableText"/>
              <w:widowControl w:val="0"/>
              <w:suppressAutoHyphens w:val="0"/>
              <w:spacing w:before="0" w:after="0" w:line="240" w:lineRule="auto"/>
              <w:jc w:val="right"/>
              <w:rPr>
                <w:szCs w:val="17"/>
              </w:rPr>
            </w:pPr>
            <w:r>
              <w:t>26.8</w:t>
            </w:r>
          </w:p>
        </w:tc>
        <w:tc>
          <w:tcPr>
            <w:tcW w:w="662" w:type="pct"/>
            <w:tcBorders>
              <w:top w:val="single" w:sz="4" w:space="0" w:color="auto"/>
            </w:tcBorders>
            <w:vAlign w:val="center"/>
          </w:tcPr>
          <w:p w14:paraId="51D26A33"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1040F4C1" w14:textId="77777777" w:rsidR="006D7C8D" w:rsidRPr="003B78B6" w:rsidRDefault="006D7C8D" w:rsidP="00D53099">
            <w:pPr>
              <w:pStyle w:val="TableText"/>
              <w:widowControl w:val="0"/>
              <w:suppressAutoHyphens w:val="0"/>
              <w:spacing w:before="0" w:after="0" w:line="240" w:lineRule="auto"/>
              <w:jc w:val="right"/>
            </w:pPr>
            <w:r>
              <w:rPr>
                <w:color w:val="1A1B1A"/>
                <w:szCs w:val="17"/>
              </w:rPr>
              <w:t>21</w:t>
            </w:r>
          </w:p>
        </w:tc>
        <w:tc>
          <w:tcPr>
            <w:tcW w:w="367" w:type="pct"/>
            <w:tcBorders>
              <w:top w:val="single" w:sz="4" w:space="0" w:color="auto"/>
            </w:tcBorders>
            <w:shd w:val="clear" w:color="auto" w:fill="FF0000"/>
            <w:vAlign w:val="center"/>
          </w:tcPr>
          <w:p w14:paraId="26FA5BDE"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3.5</w:t>
            </w:r>
          </w:p>
        </w:tc>
        <w:tc>
          <w:tcPr>
            <w:tcW w:w="585" w:type="pct"/>
            <w:tcBorders>
              <w:top w:val="single" w:sz="4" w:space="0" w:color="auto"/>
            </w:tcBorders>
            <w:vAlign w:val="bottom"/>
          </w:tcPr>
          <w:p w14:paraId="6DA31FA0"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229E70AD" w14:textId="77777777" w:rsidTr="00444693">
        <w:trPr>
          <w:cantSplit/>
          <w:trHeight w:val="13"/>
        </w:trPr>
        <w:tc>
          <w:tcPr>
            <w:tcW w:w="583" w:type="pct"/>
            <w:vMerge/>
          </w:tcPr>
          <w:p w14:paraId="13E9075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DCAB166"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14048361" w14:textId="77777777" w:rsidR="006D7C8D" w:rsidRDefault="006D7C8D" w:rsidP="00444693">
            <w:pPr>
              <w:pStyle w:val="TableText"/>
              <w:widowControl w:val="0"/>
              <w:suppressAutoHyphens w:val="0"/>
              <w:spacing w:before="0" w:after="0" w:line="240" w:lineRule="auto"/>
              <w:rPr>
                <w:szCs w:val="17"/>
              </w:rPr>
            </w:pPr>
          </w:p>
        </w:tc>
        <w:tc>
          <w:tcPr>
            <w:tcW w:w="514" w:type="pct"/>
          </w:tcPr>
          <w:p w14:paraId="0C30D451" w14:textId="77777777" w:rsidR="006D7C8D" w:rsidRDefault="006D7C8D" w:rsidP="00D53099">
            <w:pPr>
              <w:pStyle w:val="TableText"/>
              <w:widowControl w:val="0"/>
              <w:suppressAutoHyphens w:val="0"/>
              <w:spacing w:before="0" w:after="0" w:line="240" w:lineRule="auto"/>
              <w:jc w:val="right"/>
            </w:pPr>
            <w:r w:rsidRPr="00FA2D1C">
              <w:t>26.8</w:t>
            </w:r>
          </w:p>
        </w:tc>
        <w:tc>
          <w:tcPr>
            <w:tcW w:w="662" w:type="pct"/>
            <w:vAlign w:val="center"/>
          </w:tcPr>
          <w:p w14:paraId="484DE41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6F3531AE" w14:textId="77777777" w:rsidR="006D7C8D" w:rsidRPr="003B78B6" w:rsidRDefault="006D7C8D" w:rsidP="00D53099">
            <w:pPr>
              <w:pStyle w:val="TableText"/>
              <w:widowControl w:val="0"/>
              <w:suppressAutoHyphens w:val="0"/>
              <w:spacing w:before="0" w:after="0" w:line="240" w:lineRule="auto"/>
              <w:jc w:val="right"/>
            </w:pPr>
            <w:r>
              <w:rPr>
                <w:color w:val="1A1B1A"/>
                <w:szCs w:val="17"/>
              </w:rPr>
              <w:t>16</w:t>
            </w:r>
          </w:p>
        </w:tc>
        <w:tc>
          <w:tcPr>
            <w:tcW w:w="367" w:type="pct"/>
            <w:shd w:val="clear" w:color="auto" w:fill="FF0000"/>
            <w:vAlign w:val="center"/>
          </w:tcPr>
          <w:p w14:paraId="66BFD7C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2.6</w:t>
            </w:r>
          </w:p>
        </w:tc>
        <w:tc>
          <w:tcPr>
            <w:tcW w:w="585" w:type="pct"/>
            <w:vAlign w:val="bottom"/>
          </w:tcPr>
          <w:p w14:paraId="68C6830D"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5DAFE5FB" w14:textId="77777777" w:rsidTr="00444693">
        <w:trPr>
          <w:cantSplit/>
          <w:trHeight w:val="13"/>
        </w:trPr>
        <w:tc>
          <w:tcPr>
            <w:tcW w:w="583" w:type="pct"/>
            <w:vMerge/>
          </w:tcPr>
          <w:p w14:paraId="3355665A"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E446BCD"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1E880E5" w14:textId="77777777" w:rsidR="006D7C8D" w:rsidRDefault="006D7C8D" w:rsidP="00444693">
            <w:pPr>
              <w:pStyle w:val="TableText"/>
              <w:widowControl w:val="0"/>
              <w:suppressAutoHyphens w:val="0"/>
              <w:spacing w:before="0" w:after="0" w:line="240" w:lineRule="auto"/>
              <w:rPr>
                <w:szCs w:val="17"/>
              </w:rPr>
            </w:pPr>
          </w:p>
        </w:tc>
        <w:tc>
          <w:tcPr>
            <w:tcW w:w="514" w:type="pct"/>
          </w:tcPr>
          <w:p w14:paraId="5FA5C0E8" w14:textId="77777777" w:rsidR="006D7C8D" w:rsidRDefault="006D7C8D" w:rsidP="00D53099">
            <w:pPr>
              <w:pStyle w:val="TableText"/>
              <w:widowControl w:val="0"/>
              <w:suppressAutoHyphens w:val="0"/>
              <w:spacing w:before="0" w:after="0" w:line="240" w:lineRule="auto"/>
              <w:jc w:val="right"/>
            </w:pPr>
            <w:r w:rsidRPr="00FA2D1C">
              <w:t>26.8</w:t>
            </w:r>
          </w:p>
        </w:tc>
        <w:tc>
          <w:tcPr>
            <w:tcW w:w="662" w:type="pct"/>
            <w:vAlign w:val="center"/>
          </w:tcPr>
          <w:p w14:paraId="74E67DD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4975863A" w14:textId="77777777" w:rsidR="006D7C8D" w:rsidRPr="003B78B6" w:rsidRDefault="006D7C8D" w:rsidP="00D53099">
            <w:pPr>
              <w:pStyle w:val="TableText"/>
              <w:widowControl w:val="0"/>
              <w:suppressAutoHyphens w:val="0"/>
              <w:spacing w:before="0" w:after="0" w:line="240" w:lineRule="auto"/>
              <w:jc w:val="right"/>
            </w:pPr>
            <w:r>
              <w:rPr>
                <w:color w:val="1A1B1A"/>
                <w:szCs w:val="17"/>
              </w:rPr>
              <w:t>8.6</w:t>
            </w:r>
          </w:p>
        </w:tc>
        <w:tc>
          <w:tcPr>
            <w:tcW w:w="367" w:type="pct"/>
            <w:shd w:val="clear" w:color="auto" w:fill="FF0000"/>
            <w:vAlign w:val="center"/>
          </w:tcPr>
          <w:p w14:paraId="3CAB4E0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1.4</w:t>
            </w:r>
          </w:p>
        </w:tc>
        <w:tc>
          <w:tcPr>
            <w:tcW w:w="585" w:type="pct"/>
            <w:vAlign w:val="bottom"/>
          </w:tcPr>
          <w:p w14:paraId="12DDAFD9"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79F8DB91" w14:textId="77777777" w:rsidTr="00444693">
        <w:trPr>
          <w:cantSplit/>
          <w:trHeight w:val="13"/>
        </w:trPr>
        <w:tc>
          <w:tcPr>
            <w:tcW w:w="583" w:type="pct"/>
            <w:vMerge/>
          </w:tcPr>
          <w:p w14:paraId="4016B955"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2D0C1FA"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DAE7454" w14:textId="77777777" w:rsidR="006D7C8D" w:rsidRDefault="006D7C8D" w:rsidP="00444693">
            <w:pPr>
              <w:pStyle w:val="TableText"/>
              <w:widowControl w:val="0"/>
              <w:suppressAutoHyphens w:val="0"/>
              <w:spacing w:before="0" w:after="0" w:line="240" w:lineRule="auto"/>
              <w:rPr>
                <w:szCs w:val="17"/>
              </w:rPr>
            </w:pPr>
          </w:p>
        </w:tc>
        <w:tc>
          <w:tcPr>
            <w:tcW w:w="514" w:type="pct"/>
          </w:tcPr>
          <w:p w14:paraId="08B1928F" w14:textId="77777777" w:rsidR="006D7C8D" w:rsidRDefault="006D7C8D" w:rsidP="00D53099">
            <w:pPr>
              <w:pStyle w:val="TableText"/>
              <w:widowControl w:val="0"/>
              <w:suppressAutoHyphens w:val="0"/>
              <w:spacing w:before="0" w:after="0" w:line="240" w:lineRule="auto"/>
              <w:jc w:val="right"/>
            </w:pPr>
            <w:r w:rsidRPr="00FA2D1C">
              <w:t>26.8</w:t>
            </w:r>
          </w:p>
        </w:tc>
        <w:tc>
          <w:tcPr>
            <w:tcW w:w="662" w:type="pct"/>
            <w:vAlign w:val="center"/>
          </w:tcPr>
          <w:p w14:paraId="1F503BD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641449F2" w14:textId="77777777" w:rsidR="006D7C8D" w:rsidRPr="003B78B6" w:rsidRDefault="006D7C8D" w:rsidP="00D53099">
            <w:pPr>
              <w:pStyle w:val="TableText"/>
              <w:widowControl w:val="0"/>
              <w:suppressAutoHyphens w:val="0"/>
              <w:spacing w:before="0" w:after="0" w:line="240" w:lineRule="auto"/>
              <w:jc w:val="right"/>
            </w:pPr>
            <w:r>
              <w:rPr>
                <w:color w:val="1A1B1A"/>
                <w:szCs w:val="17"/>
              </w:rPr>
              <w:t>6.4</w:t>
            </w:r>
          </w:p>
        </w:tc>
        <w:tc>
          <w:tcPr>
            <w:tcW w:w="367" w:type="pct"/>
            <w:shd w:val="clear" w:color="auto" w:fill="FF0000"/>
            <w:vAlign w:val="center"/>
          </w:tcPr>
          <w:p w14:paraId="7965B48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1.0</w:t>
            </w:r>
          </w:p>
        </w:tc>
        <w:tc>
          <w:tcPr>
            <w:tcW w:w="585" w:type="pct"/>
            <w:vAlign w:val="bottom"/>
          </w:tcPr>
          <w:p w14:paraId="4DCAD922"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7242910A" w14:textId="77777777" w:rsidTr="00444693">
        <w:trPr>
          <w:cantSplit/>
          <w:trHeight w:val="13"/>
        </w:trPr>
        <w:tc>
          <w:tcPr>
            <w:tcW w:w="583" w:type="pct"/>
            <w:vMerge/>
          </w:tcPr>
          <w:p w14:paraId="5B0C514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0297A1C3"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E255E74" w14:textId="77777777" w:rsidR="006D7C8D" w:rsidRDefault="006D7C8D" w:rsidP="00444693">
            <w:pPr>
              <w:pStyle w:val="TableText"/>
              <w:widowControl w:val="0"/>
              <w:suppressAutoHyphens w:val="0"/>
              <w:spacing w:before="0" w:after="0" w:line="240" w:lineRule="auto"/>
              <w:rPr>
                <w:szCs w:val="17"/>
              </w:rPr>
            </w:pPr>
          </w:p>
        </w:tc>
        <w:tc>
          <w:tcPr>
            <w:tcW w:w="514" w:type="pct"/>
          </w:tcPr>
          <w:p w14:paraId="4AA54CDA" w14:textId="77777777" w:rsidR="006D7C8D" w:rsidRDefault="006D7C8D" w:rsidP="00D53099">
            <w:pPr>
              <w:pStyle w:val="TableText"/>
              <w:widowControl w:val="0"/>
              <w:suppressAutoHyphens w:val="0"/>
              <w:spacing w:before="0" w:after="0" w:line="240" w:lineRule="auto"/>
              <w:jc w:val="right"/>
            </w:pPr>
            <w:r w:rsidRPr="00FA2D1C">
              <w:t>26.8</w:t>
            </w:r>
          </w:p>
        </w:tc>
        <w:tc>
          <w:tcPr>
            <w:tcW w:w="662" w:type="pct"/>
            <w:vAlign w:val="center"/>
          </w:tcPr>
          <w:p w14:paraId="4282275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200</w:t>
            </w:r>
          </w:p>
        </w:tc>
        <w:tc>
          <w:tcPr>
            <w:tcW w:w="883" w:type="pct"/>
            <w:vAlign w:val="center"/>
          </w:tcPr>
          <w:p w14:paraId="162B9D15" w14:textId="77777777" w:rsidR="006D7C8D" w:rsidRPr="003B78B6" w:rsidRDefault="006D7C8D" w:rsidP="00D53099">
            <w:pPr>
              <w:pStyle w:val="TableText"/>
              <w:widowControl w:val="0"/>
              <w:suppressAutoHyphens w:val="0"/>
              <w:spacing w:before="0" w:after="0" w:line="240" w:lineRule="auto"/>
              <w:jc w:val="right"/>
            </w:pPr>
            <w:r>
              <w:rPr>
                <w:color w:val="1A1B1A"/>
                <w:szCs w:val="17"/>
              </w:rPr>
              <w:t>5.4</w:t>
            </w:r>
          </w:p>
        </w:tc>
        <w:tc>
          <w:tcPr>
            <w:tcW w:w="367" w:type="pct"/>
            <w:vAlign w:val="center"/>
          </w:tcPr>
          <w:p w14:paraId="2235E0C2" w14:textId="77777777" w:rsidR="006D7C8D" w:rsidRPr="00721FF0" w:rsidRDefault="006D7C8D" w:rsidP="00D53099">
            <w:pPr>
              <w:pStyle w:val="TableText"/>
              <w:widowControl w:val="0"/>
              <w:suppressAutoHyphens w:val="0"/>
              <w:spacing w:before="0" w:after="0" w:line="240" w:lineRule="auto"/>
              <w:jc w:val="right"/>
            </w:pPr>
            <w:r>
              <w:rPr>
                <w:color w:val="1A1B1A"/>
                <w:szCs w:val="17"/>
              </w:rPr>
              <w:t>0.86</w:t>
            </w:r>
          </w:p>
        </w:tc>
        <w:tc>
          <w:tcPr>
            <w:tcW w:w="585" w:type="pct"/>
            <w:vAlign w:val="bottom"/>
          </w:tcPr>
          <w:p w14:paraId="07FC39D0"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189D04C0" w14:textId="77777777" w:rsidTr="00444693">
        <w:trPr>
          <w:cantSplit/>
          <w:trHeight w:val="13"/>
        </w:trPr>
        <w:tc>
          <w:tcPr>
            <w:tcW w:w="583" w:type="pct"/>
            <w:vMerge w:val="restart"/>
            <w:tcBorders>
              <w:top w:val="single" w:sz="4" w:space="0" w:color="auto"/>
            </w:tcBorders>
          </w:tcPr>
          <w:p w14:paraId="7EC31A79" w14:textId="77777777" w:rsidR="006D7C8D" w:rsidRDefault="006D7C8D" w:rsidP="00444693">
            <w:pPr>
              <w:pStyle w:val="TableText"/>
              <w:widowControl w:val="0"/>
              <w:suppressAutoHyphens w:val="0"/>
              <w:spacing w:before="0" w:after="0" w:line="240" w:lineRule="auto"/>
              <w:rPr>
                <w:szCs w:val="17"/>
              </w:rPr>
            </w:pPr>
            <w:r>
              <w:rPr>
                <w:szCs w:val="17"/>
              </w:rPr>
              <w:t xml:space="preserve">Legume </w:t>
            </w:r>
            <w:r>
              <w:rPr>
                <w:szCs w:val="17"/>
              </w:rPr>
              <w:lastRenderedPageBreak/>
              <w:t>forage</w:t>
            </w:r>
          </w:p>
        </w:tc>
        <w:tc>
          <w:tcPr>
            <w:tcW w:w="772" w:type="pct"/>
            <w:vMerge w:val="restart"/>
            <w:tcBorders>
              <w:top w:val="single" w:sz="4" w:space="0" w:color="auto"/>
            </w:tcBorders>
          </w:tcPr>
          <w:p w14:paraId="1DDB9F40" w14:textId="77777777" w:rsidR="006D7C8D" w:rsidRDefault="006D7C8D" w:rsidP="00444693">
            <w:pPr>
              <w:pStyle w:val="TableText"/>
              <w:widowControl w:val="0"/>
              <w:suppressAutoHyphens w:val="0"/>
              <w:spacing w:before="0" w:after="0" w:line="240" w:lineRule="auto"/>
              <w:rPr>
                <w:szCs w:val="17"/>
              </w:rPr>
            </w:pPr>
            <w:r>
              <w:rPr>
                <w:szCs w:val="17"/>
              </w:rPr>
              <w:lastRenderedPageBreak/>
              <w:t>Small granivore</w:t>
            </w:r>
          </w:p>
        </w:tc>
        <w:tc>
          <w:tcPr>
            <w:tcW w:w="634" w:type="pct"/>
            <w:tcBorders>
              <w:top w:val="single" w:sz="4" w:space="0" w:color="auto"/>
            </w:tcBorders>
          </w:tcPr>
          <w:p w14:paraId="0D792781" w14:textId="77777777" w:rsidR="006D7C8D" w:rsidRDefault="006D7C8D" w:rsidP="00444693">
            <w:pPr>
              <w:pStyle w:val="TableText"/>
              <w:widowControl w:val="0"/>
              <w:suppressAutoHyphens w:val="0"/>
              <w:spacing w:before="0" w:after="0" w:line="240" w:lineRule="auto"/>
              <w:rPr>
                <w:szCs w:val="17"/>
              </w:rPr>
            </w:pPr>
            <w:r>
              <w:rPr>
                <w:szCs w:val="17"/>
              </w:rPr>
              <w:t>BBCH 10-49</w:t>
            </w:r>
          </w:p>
        </w:tc>
        <w:tc>
          <w:tcPr>
            <w:tcW w:w="514" w:type="pct"/>
            <w:tcBorders>
              <w:top w:val="single" w:sz="4" w:space="0" w:color="auto"/>
            </w:tcBorders>
          </w:tcPr>
          <w:p w14:paraId="7BED3DC0" w14:textId="77777777" w:rsidR="006D7C8D" w:rsidRPr="00426E98" w:rsidRDefault="006D7C8D" w:rsidP="00D53099">
            <w:pPr>
              <w:pStyle w:val="TableText"/>
              <w:widowControl w:val="0"/>
              <w:suppressAutoHyphens w:val="0"/>
              <w:spacing w:before="0" w:after="0" w:line="240" w:lineRule="auto"/>
              <w:jc w:val="right"/>
              <w:rPr>
                <w:szCs w:val="17"/>
              </w:rPr>
            </w:pPr>
            <w:r>
              <w:t>24.7</w:t>
            </w:r>
          </w:p>
        </w:tc>
        <w:tc>
          <w:tcPr>
            <w:tcW w:w="662" w:type="pct"/>
            <w:tcBorders>
              <w:top w:val="single" w:sz="4" w:space="0" w:color="auto"/>
            </w:tcBorders>
            <w:vAlign w:val="center"/>
          </w:tcPr>
          <w:p w14:paraId="5766F04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tcBorders>
              <w:top w:val="single" w:sz="4" w:space="0" w:color="auto"/>
            </w:tcBorders>
            <w:vAlign w:val="center"/>
          </w:tcPr>
          <w:p w14:paraId="231D9610" w14:textId="77777777" w:rsidR="006D7C8D" w:rsidRPr="003B78B6" w:rsidRDefault="006D7C8D" w:rsidP="00D53099">
            <w:pPr>
              <w:pStyle w:val="TableText"/>
              <w:widowControl w:val="0"/>
              <w:suppressAutoHyphens w:val="0"/>
              <w:spacing w:before="0" w:after="0" w:line="240" w:lineRule="auto"/>
              <w:jc w:val="right"/>
            </w:pPr>
            <w:r>
              <w:rPr>
                <w:color w:val="1A1B1A"/>
                <w:szCs w:val="17"/>
              </w:rPr>
              <w:t>15</w:t>
            </w:r>
          </w:p>
        </w:tc>
        <w:tc>
          <w:tcPr>
            <w:tcW w:w="367" w:type="pct"/>
            <w:tcBorders>
              <w:top w:val="single" w:sz="4" w:space="0" w:color="auto"/>
            </w:tcBorders>
            <w:shd w:val="clear" w:color="auto" w:fill="FF0000"/>
            <w:vAlign w:val="center"/>
          </w:tcPr>
          <w:p w14:paraId="4112A05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2.4</w:t>
            </w:r>
          </w:p>
        </w:tc>
        <w:tc>
          <w:tcPr>
            <w:tcW w:w="585" w:type="pct"/>
            <w:tcBorders>
              <w:top w:val="single" w:sz="4" w:space="0" w:color="auto"/>
            </w:tcBorders>
            <w:vAlign w:val="bottom"/>
          </w:tcPr>
          <w:p w14:paraId="029E93E9"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34EA9DD4" w14:textId="77777777" w:rsidTr="00444693">
        <w:trPr>
          <w:cantSplit/>
          <w:trHeight w:val="13"/>
        </w:trPr>
        <w:tc>
          <w:tcPr>
            <w:tcW w:w="583" w:type="pct"/>
            <w:vMerge/>
          </w:tcPr>
          <w:p w14:paraId="5ACBE895"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BA67AC3" w14:textId="77777777" w:rsidR="006D7C8D" w:rsidRDefault="006D7C8D" w:rsidP="00444693">
            <w:pPr>
              <w:pStyle w:val="TableText"/>
              <w:widowControl w:val="0"/>
              <w:suppressAutoHyphens w:val="0"/>
              <w:spacing w:before="0" w:after="0" w:line="240" w:lineRule="auto"/>
              <w:rPr>
                <w:szCs w:val="17"/>
              </w:rPr>
            </w:pPr>
          </w:p>
        </w:tc>
        <w:tc>
          <w:tcPr>
            <w:tcW w:w="634" w:type="pct"/>
          </w:tcPr>
          <w:p w14:paraId="1CC0747E" w14:textId="77777777" w:rsidR="006D7C8D" w:rsidRDefault="006D7C8D" w:rsidP="00444693">
            <w:pPr>
              <w:pStyle w:val="TableText"/>
              <w:widowControl w:val="0"/>
              <w:suppressAutoHyphens w:val="0"/>
              <w:spacing w:before="0" w:after="0" w:line="240" w:lineRule="auto"/>
              <w:rPr>
                <w:szCs w:val="17"/>
              </w:rPr>
            </w:pPr>
          </w:p>
        </w:tc>
        <w:tc>
          <w:tcPr>
            <w:tcW w:w="514" w:type="pct"/>
          </w:tcPr>
          <w:p w14:paraId="1E41BD99" w14:textId="77777777" w:rsidR="006D7C8D" w:rsidRDefault="006D7C8D" w:rsidP="00D53099">
            <w:pPr>
              <w:pStyle w:val="TableText"/>
              <w:widowControl w:val="0"/>
              <w:suppressAutoHyphens w:val="0"/>
              <w:spacing w:before="0" w:after="0" w:line="240" w:lineRule="auto"/>
              <w:jc w:val="right"/>
            </w:pPr>
            <w:r w:rsidRPr="00A1218C">
              <w:t>24.7</w:t>
            </w:r>
          </w:p>
        </w:tc>
        <w:tc>
          <w:tcPr>
            <w:tcW w:w="662" w:type="pct"/>
            <w:vAlign w:val="center"/>
          </w:tcPr>
          <w:p w14:paraId="5B13566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0FE73DC9" w14:textId="77777777" w:rsidR="006D7C8D" w:rsidRPr="003B78B6" w:rsidRDefault="006D7C8D" w:rsidP="00D53099">
            <w:pPr>
              <w:pStyle w:val="TableText"/>
              <w:widowControl w:val="0"/>
              <w:suppressAutoHyphens w:val="0"/>
              <w:spacing w:before="0" w:after="0" w:line="240" w:lineRule="auto"/>
              <w:jc w:val="right"/>
            </w:pPr>
            <w:r>
              <w:rPr>
                <w:color w:val="1A1B1A"/>
                <w:szCs w:val="17"/>
              </w:rPr>
              <w:t>10</w:t>
            </w:r>
          </w:p>
        </w:tc>
        <w:tc>
          <w:tcPr>
            <w:tcW w:w="367" w:type="pct"/>
            <w:shd w:val="clear" w:color="auto" w:fill="FF0000"/>
            <w:vAlign w:val="center"/>
          </w:tcPr>
          <w:p w14:paraId="353A059D"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1.6</w:t>
            </w:r>
          </w:p>
        </w:tc>
        <w:tc>
          <w:tcPr>
            <w:tcW w:w="585" w:type="pct"/>
            <w:vAlign w:val="bottom"/>
          </w:tcPr>
          <w:p w14:paraId="0DF6175A" w14:textId="77777777" w:rsidR="006D7C8D" w:rsidRPr="00721FF0" w:rsidRDefault="006D7C8D" w:rsidP="00D53099">
            <w:pPr>
              <w:pStyle w:val="TableText"/>
              <w:widowControl w:val="0"/>
              <w:suppressAutoHyphens w:val="0"/>
              <w:spacing w:before="0" w:after="0" w:line="240" w:lineRule="auto"/>
              <w:jc w:val="right"/>
            </w:pPr>
            <w:r>
              <w:rPr>
                <w:color w:val="000000"/>
                <w:szCs w:val="17"/>
              </w:rPr>
              <w:t>251</w:t>
            </w:r>
          </w:p>
        </w:tc>
      </w:tr>
      <w:tr w:rsidR="006D7C8D" w:rsidRPr="00721FF0" w14:paraId="18604E30" w14:textId="77777777" w:rsidTr="00444693">
        <w:trPr>
          <w:cantSplit/>
          <w:trHeight w:val="13"/>
        </w:trPr>
        <w:tc>
          <w:tcPr>
            <w:tcW w:w="583" w:type="pct"/>
            <w:vMerge/>
          </w:tcPr>
          <w:p w14:paraId="27B5A875"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7F0C4D31"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tcBorders>
              <w:top w:val="single" w:sz="4" w:space="0" w:color="auto"/>
            </w:tcBorders>
          </w:tcPr>
          <w:p w14:paraId="15FA55F4" w14:textId="77777777" w:rsidR="006D7C8D" w:rsidRDefault="006D7C8D" w:rsidP="00444693">
            <w:pPr>
              <w:pStyle w:val="TableText"/>
              <w:widowControl w:val="0"/>
              <w:suppressAutoHyphens w:val="0"/>
              <w:spacing w:before="0" w:after="0" w:line="240" w:lineRule="auto"/>
              <w:rPr>
                <w:szCs w:val="17"/>
              </w:rPr>
            </w:pPr>
            <w:r>
              <w:rPr>
                <w:szCs w:val="17"/>
              </w:rPr>
              <w:t>BBCH 10-49</w:t>
            </w:r>
          </w:p>
        </w:tc>
        <w:tc>
          <w:tcPr>
            <w:tcW w:w="514" w:type="pct"/>
            <w:tcBorders>
              <w:top w:val="single" w:sz="4" w:space="0" w:color="auto"/>
            </w:tcBorders>
          </w:tcPr>
          <w:p w14:paraId="3FC01C93" w14:textId="77777777" w:rsidR="006D7C8D" w:rsidRPr="00426E98" w:rsidRDefault="006D7C8D" w:rsidP="00D53099">
            <w:pPr>
              <w:pStyle w:val="TableText"/>
              <w:widowControl w:val="0"/>
              <w:suppressAutoHyphens w:val="0"/>
              <w:spacing w:before="0" w:after="0" w:line="240" w:lineRule="auto"/>
              <w:jc w:val="right"/>
              <w:rPr>
                <w:szCs w:val="17"/>
              </w:rPr>
            </w:pPr>
            <w:r>
              <w:t>24.0</w:t>
            </w:r>
          </w:p>
        </w:tc>
        <w:tc>
          <w:tcPr>
            <w:tcW w:w="662" w:type="pct"/>
            <w:tcBorders>
              <w:top w:val="single" w:sz="4" w:space="0" w:color="auto"/>
            </w:tcBorders>
            <w:vAlign w:val="center"/>
          </w:tcPr>
          <w:p w14:paraId="4815105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tcBorders>
              <w:top w:val="single" w:sz="4" w:space="0" w:color="auto"/>
            </w:tcBorders>
            <w:vAlign w:val="center"/>
          </w:tcPr>
          <w:p w14:paraId="6B1FAFE4" w14:textId="77777777" w:rsidR="006D7C8D" w:rsidRPr="003B78B6" w:rsidRDefault="006D7C8D" w:rsidP="00D53099">
            <w:pPr>
              <w:pStyle w:val="TableText"/>
              <w:widowControl w:val="0"/>
              <w:suppressAutoHyphens w:val="0"/>
              <w:spacing w:before="0" w:after="0" w:line="240" w:lineRule="auto"/>
              <w:jc w:val="right"/>
            </w:pPr>
            <w:r>
              <w:rPr>
                <w:color w:val="1A1B1A"/>
                <w:szCs w:val="17"/>
              </w:rPr>
              <w:t>14</w:t>
            </w:r>
          </w:p>
        </w:tc>
        <w:tc>
          <w:tcPr>
            <w:tcW w:w="367" w:type="pct"/>
            <w:tcBorders>
              <w:top w:val="single" w:sz="4" w:space="0" w:color="auto"/>
            </w:tcBorders>
            <w:shd w:val="clear" w:color="auto" w:fill="FF0000"/>
            <w:vAlign w:val="center"/>
          </w:tcPr>
          <w:p w14:paraId="39ABAE1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2.3</w:t>
            </w:r>
          </w:p>
        </w:tc>
        <w:tc>
          <w:tcPr>
            <w:tcW w:w="585" w:type="pct"/>
            <w:tcBorders>
              <w:top w:val="single" w:sz="4" w:space="0" w:color="auto"/>
            </w:tcBorders>
            <w:vAlign w:val="bottom"/>
          </w:tcPr>
          <w:p w14:paraId="0A41C647" w14:textId="77777777" w:rsidR="006D7C8D" w:rsidRPr="00721FF0" w:rsidRDefault="006D7C8D" w:rsidP="00D53099">
            <w:pPr>
              <w:pStyle w:val="TableText"/>
              <w:widowControl w:val="0"/>
              <w:suppressAutoHyphens w:val="0"/>
              <w:spacing w:before="0" w:after="0" w:line="240" w:lineRule="auto"/>
              <w:jc w:val="right"/>
            </w:pPr>
            <w:r>
              <w:rPr>
                <w:color w:val="000000"/>
                <w:szCs w:val="17"/>
              </w:rPr>
              <w:t>258</w:t>
            </w:r>
          </w:p>
        </w:tc>
      </w:tr>
      <w:tr w:rsidR="006D7C8D" w:rsidRPr="00721FF0" w14:paraId="34270BD0" w14:textId="77777777" w:rsidTr="00444693">
        <w:trPr>
          <w:cantSplit/>
          <w:trHeight w:val="13"/>
        </w:trPr>
        <w:tc>
          <w:tcPr>
            <w:tcW w:w="583" w:type="pct"/>
            <w:vMerge/>
          </w:tcPr>
          <w:p w14:paraId="41A44A5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6C51A0A" w14:textId="77777777" w:rsidR="006D7C8D" w:rsidRDefault="006D7C8D" w:rsidP="00444693">
            <w:pPr>
              <w:pStyle w:val="TableText"/>
              <w:widowControl w:val="0"/>
              <w:suppressAutoHyphens w:val="0"/>
              <w:spacing w:before="0" w:after="0" w:line="240" w:lineRule="auto"/>
              <w:rPr>
                <w:szCs w:val="17"/>
              </w:rPr>
            </w:pPr>
          </w:p>
        </w:tc>
        <w:tc>
          <w:tcPr>
            <w:tcW w:w="634" w:type="pct"/>
          </w:tcPr>
          <w:p w14:paraId="6284C613" w14:textId="77777777" w:rsidR="006D7C8D" w:rsidRDefault="006D7C8D" w:rsidP="00444693">
            <w:pPr>
              <w:pStyle w:val="TableText"/>
              <w:widowControl w:val="0"/>
              <w:suppressAutoHyphens w:val="0"/>
              <w:spacing w:before="0" w:after="0" w:line="240" w:lineRule="auto"/>
              <w:rPr>
                <w:szCs w:val="17"/>
              </w:rPr>
            </w:pPr>
          </w:p>
        </w:tc>
        <w:tc>
          <w:tcPr>
            <w:tcW w:w="514" w:type="pct"/>
          </w:tcPr>
          <w:p w14:paraId="1AAFBBF1" w14:textId="77777777" w:rsidR="006D7C8D" w:rsidRDefault="006D7C8D" w:rsidP="00D53099">
            <w:pPr>
              <w:pStyle w:val="TableText"/>
              <w:widowControl w:val="0"/>
              <w:suppressAutoHyphens w:val="0"/>
              <w:spacing w:before="0" w:after="0" w:line="240" w:lineRule="auto"/>
              <w:jc w:val="right"/>
            </w:pPr>
            <w:r w:rsidRPr="00F2359C">
              <w:t>24.0</w:t>
            </w:r>
          </w:p>
        </w:tc>
        <w:tc>
          <w:tcPr>
            <w:tcW w:w="662" w:type="pct"/>
            <w:vAlign w:val="center"/>
          </w:tcPr>
          <w:p w14:paraId="62C9DBC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75002E5C" w14:textId="77777777" w:rsidR="006D7C8D" w:rsidRPr="003B78B6" w:rsidRDefault="006D7C8D" w:rsidP="00D53099">
            <w:pPr>
              <w:pStyle w:val="TableText"/>
              <w:widowControl w:val="0"/>
              <w:suppressAutoHyphens w:val="0"/>
              <w:spacing w:before="0" w:after="0" w:line="240" w:lineRule="auto"/>
              <w:jc w:val="right"/>
            </w:pPr>
            <w:r>
              <w:rPr>
                <w:color w:val="1A1B1A"/>
                <w:szCs w:val="17"/>
              </w:rPr>
              <w:t>10</w:t>
            </w:r>
          </w:p>
        </w:tc>
        <w:tc>
          <w:tcPr>
            <w:tcW w:w="367" w:type="pct"/>
            <w:shd w:val="clear" w:color="auto" w:fill="FF0000"/>
            <w:vAlign w:val="center"/>
          </w:tcPr>
          <w:p w14:paraId="22FF88E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1.5</w:t>
            </w:r>
          </w:p>
        </w:tc>
        <w:tc>
          <w:tcPr>
            <w:tcW w:w="585" w:type="pct"/>
            <w:vAlign w:val="bottom"/>
          </w:tcPr>
          <w:p w14:paraId="40345ED6" w14:textId="77777777" w:rsidR="006D7C8D" w:rsidRPr="00721FF0" w:rsidRDefault="006D7C8D" w:rsidP="00D53099">
            <w:pPr>
              <w:pStyle w:val="TableText"/>
              <w:widowControl w:val="0"/>
              <w:suppressAutoHyphens w:val="0"/>
              <w:spacing w:before="0" w:after="0" w:line="240" w:lineRule="auto"/>
              <w:jc w:val="right"/>
            </w:pPr>
            <w:r>
              <w:rPr>
                <w:color w:val="000000"/>
                <w:szCs w:val="17"/>
              </w:rPr>
              <w:t>258</w:t>
            </w:r>
          </w:p>
        </w:tc>
      </w:tr>
      <w:tr w:rsidR="006D7C8D" w:rsidRPr="00721FF0" w14:paraId="751324BA" w14:textId="77777777" w:rsidTr="00444693">
        <w:trPr>
          <w:cantSplit/>
          <w:trHeight w:val="13"/>
        </w:trPr>
        <w:tc>
          <w:tcPr>
            <w:tcW w:w="583" w:type="pct"/>
            <w:vMerge/>
          </w:tcPr>
          <w:p w14:paraId="58FCFCC2"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7C798247" w14:textId="77777777" w:rsidR="006D7C8D" w:rsidRDefault="006D7C8D" w:rsidP="00444693">
            <w:pPr>
              <w:pStyle w:val="TableText"/>
              <w:widowControl w:val="0"/>
              <w:suppressAutoHyphens w:val="0"/>
              <w:spacing w:before="0" w:after="0" w:line="240" w:lineRule="auto"/>
              <w:rPr>
                <w:szCs w:val="17"/>
              </w:rPr>
            </w:pPr>
            <w:r>
              <w:rPr>
                <w:szCs w:val="17"/>
              </w:rPr>
              <w:t>Small insectivore</w:t>
            </w:r>
          </w:p>
        </w:tc>
        <w:tc>
          <w:tcPr>
            <w:tcW w:w="634" w:type="pct"/>
            <w:tcBorders>
              <w:top w:val="single" w:sz="4" w:space="0" w:color="auto"/>
            </w:tcBorders>
          </w:tcPr>
          <w:p w14:paraId="5C87DBE5" w14:textId="77777777" w:rsidR="006D7C8D" w:rsidRDefault="006D7C8D" w:rsidP="00444693">
            <w:pPr>
              <w:pStyle w:val="TableText"/>
              <w:widowControl w:val="0"/>
              <w:suppressAutoHyphens w:val="0"/>
              <w:spacing w:before="0" w:after="0" w:line="240" w:lineRule="auto"/>
              <w:rPr>
                <w:szCs w:val="17"/>
              </w:rPr>
            </w:pPr>
            <w:r>
              <w:rPr>
                <w:szCs w:val="17"/>
              </w:rPr>
              <w:t>BBCH 10-19</w:t>
            </w:r>
          </w:p>
        </w:tc>
        <w:tc>
          <w:tcPr>
            <w:tcW w:w="514" w:type="pct"/>
            <w:tcBorders>
              <w:top w:val="single" w:sz="4" w:space="0" w:color="auto"/>
            </w:tcBorders>
          </w:tcPr>
          <w:p w14:paraId="630BD501" w14:textId="77777777" w:rsidR="006D7C8D" w:rsidRPr="00426E98" w:rsidRDefault="006D7C8D" w:rsidP="00D53099">
            <w:pPr>
              <w:pStyle w:val="TableText"/>
              <w:widowControl w:val="0"/>
              <w:suppressAutoHyphens w:val="0"/>
              <w:spacing w:before="0" w:after="0" w:line="240" w:lineRule="auto"/>
              <w:jc w:val="right"/>
              <w:rPr>
                <w:szCs w:val="17"/>
              </w:rPr>
            </w:pPr>
            <w:r>
              <w:t>26.8</w:t>
            </w:r>
          </w:p>
        </w:tc>
        <w:tc>
          <w:tcPr>
            <w:tcW w:w="662" w:type="pct"/>
            <w:tcBorders>
              <w:top w:val="single" w:sz="4" w:space="0" w:color="auto"/>
            </w:tcBorders>
            <w:vAlign w:val="center"/>
          </w:tcPr>
          <w:p w14:paraId="57F7680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tcBorders>
              <w:top w:val="single" w:sz="4" w:space="0" w:color="auto"/>
            </w:tcBorders>
            <w:vAlign w:val="center"/>
          </w:tcPr>
          <w:p w14:paraId="495E6DCB" w14:textId="77777777" w:rsidR="006D7C8D" w:rsidRPr="003B78B6" w:rsidRDefault="006D7C8D" w:rsidP="00D53099">
            <w:pPr>
              <w:pStyle w:val="TableText"/>
              <w:widowControl w:val="0"/>
              <w:suppressAutoHyphens w:val="0"/>
              <w:spacing w:before="0" w:after="0" w:line="240" w:lineRule="auto"/>
              <w:jc w:val="right"/>
            </w:pPr>
            <w:r>
              <w:rPr>
                <w:color w:val="1A1B1A"/>
                <w:szCs w:val="17"/>
              </w:rPr>
              <w:t>16</w:t>
            </w:r>
          </w:p>
        </w:tc>
        <w:tc>
          <w:tcPr>
            <w:tcW w:w="367" w:type="pct"/>
            <w:tcBorders>
              <w:top w:val="single" w:sz="4" w:space="0" w:color="auto"/>
            </w:tcBorders>
            <w:shd w:val="clear" w:color="auto" w:fill="FF0000"/>
            <w:vAlign w:val="center"/>
          </w:tcPr>
          <w:p w14:paraId="46A6E6C1"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2.6</w:t>
            </w:r>
          </w:p>
        </w:tc>
        <w:tc>
          <w:tcPr>
            <w:tcW w:w="585" w:type="pct"/>
            <w:tcBorders>
              <w:top w:val="single" w:sz="4" w:space="0" w:color="auto"/>
            </w:tcBorders>
            <w:vAlign w:val="bottom"/>
          </w:tcPr>
          <w:p w14:paraId="0BEF4412"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4B625099" w14:textId="77777777" w:rsidTr="00444693">
        <w:trPr>
          <w:cantSplit/>
          <w:trHeight w:val="13"/>
        </w:trPr>
        <w:tc>
          <w:tcPr>
            <w:tcW w:w="583" w:type="pct"/>
            <w:vMerge/>
          </w:tcPr>
          <w:p w14:paraId="7A74EAA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25A1474" w14:textId="77777777" w:rsidR="006D7C8D" w:rsidRDefault="006D7C8D" w:rsidP="00444693">
            <w:pPr>
              <w:pStyle w:val="TableText"/>
              <w:widowControl w:val="0"/>
              <w:suppressAutoHyphens w:val="0"/>
              <w:spacing w:before="0" w:after="0" w:line="240" w:lineRule="auto"/>
              <w:rPr>
                <w:szCs w:val="17"/>
              </w:rPr>
            </w:pPr>
          </w:p>
        </w:tc>
        <w:tc>
          <w:tcPr>
            <w:tcW w:w="634" w:type="pct"/>
          </w:tcPr>
          <w:p w14:paraId="04CF8AA0" w14:textId="77777777" w:rsidR="006D7C8D" w:rsidRDefault="006D7C8D" w:rsidP="00444693">
            <w:pPr>
              <w:pStyle w:val="TableText"/>
              <w:widowControl w:val="0"/>
              <w:suppressAutoHyphens w:val="0"/>
              <w:spacing w:before="0" w:after="0" w:line="240" w:lineRule="auto"/>
              <w:rPr>
                <w:szCs w:val="17"/>
              </w:rPr>
            </w:pPr>
          </w:p>
        </w:tc>
        <w:tc>
          <w:tcPr>
            <w:tcW w:w="514" w:type="pct"/>
          </w:tcPr>
          <w:p w14:paraId="2905BF91" w14:textId="77777777" w:rsidR="006D7C8D" w:rsidRDefault="006D7C8D" w:rsidP="00D53099">
            <w:pPr>
              <w:pStyle w:val="TableText"/>
              <w:widowControl w:val="0"/>
              <w:suppressAutoHyphens w:val="0"/>
              <w:spacing w:before="0" w:after="0" w:line="240" w:lineRule="auto"/>
              <w:jc w:val="right"/>
            </w:pPr>
            <w:r w:rsidRPr="00833C17">
              <w:t>26.8</w:t>
            </w:r>
          </w:p>
        </w:tc>
        <w:tc>
          <w:tcPr>
            <w:tcW w:w="662" w:type="pct"/>
            <w:vAlign w:val="center"/>
          </w:tcPr>
          <w:p w14:paraId="5C92F44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0CB2BA30" w14:textId="77777777" w:rsidR="006D7C8D" w:rsidRPr="003B78B6" w:rsidRDefault="006D7C8D" w:rsidP="00D53099">
            <w:pPr>
              <w:pStyle w:val="TableText"/>
              <w:widowControl w:val="0"/>
              <w:suppressAutoHyphens w:val="0"/>
              <w:spacing w:before="0" w:after="0" w:line="240" w:lineRule="auto"/>
              <w:jc w:val="right"/>
            </w:pPr>
            <w:r>
              <w:rPr>
                <w:color w:val="1A1B1A"/>
                <w:szCs w:val="17"/>
              </w:rPr>
              <w:t>11</w:t>
            </w:r>
          </w:p>
        </w:tc>
        <w:tc>
          <w:tcPr>
            <w:tcW w:w="367" w:type="pct"/>
            <w:shd w:val="clear" w:color="auto" w:fill="FF0000"/>
            <w:vAlign w:val="center"/>
          </w:tcPr>
          <w:p w14:paraId="3F9D8E37"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1.7</w:t>
            </w:r>
          </w:p>
        </w:tc>
        <w:tc>
          <w:tcPr>
            <w:tcW w:w="585" w:type="pct"/>
            <w:vAlign w:val="bottom"/>
          </w:tcPr>
          <w:p w14:paraId="1A65B876"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45814AD7" w14:textId="77777777" w:rsidTr="00444693">
        <w:trPr>
          <w:cantSplit/>
          <w:trHeight w:val="13"/>
        </w:trPr>
        <w:tc>
          <w:tcPr>
            <w:tcW w:w="583" w:type="pct"/>
            <w:vMerge w:val="restart"/>
            <w:tcBorders>
              <w:top w:val="single" w:sz="4" w:space="0" w:color="auto"/>
            </w:tcBorders>
          </w:tcPr>
          <w:p w14:paraId="15BACD3C" w14:textId="77777777" w:rsidR="006D7C8D" w:rsidRDefault="006D7C8D" w:rsidP="00444693">
            <w:pPr>
              <w:pStyle w:val="TableText"/>
              <w:widowControl w:val="0"/>
              <w:suppressAutoHyphens w:val="0"/>
              <w:spacing w:before="0" w:after="0" w:line="240" w:lineRule="auto"/>
              <w:rPr>
                <w:szCs w:val="17"/>
              </w:rPr>
            </w:pPr>
            <w:r>
              <w:rPr>
                <w:szCs w:val="17"/>
              </w:rPr>
              <w:t>Maize</w:t>
            </w:r>
          </w:p>
        </w:tc>
        <w:tc>
          <w:tcPr>
            <w:tcW w:w="772" w:type="pct"/>
            <w:vMerge w:val="restart"/>
            <w:tcBorders>
              <w:top w:val="single" w:sz="4" w:space="0" w:color="auto"/>
            </w:tcBorders>
          </w:tcPr>
          <w:p w14:paraId="3A602D7F" w14:textId="77777777" w:rsidR="006D7C8D" w:rsidRDefault="006D7C8D" w:rsidP="00444693">
            <w:pPr>
              <w:pStyle w:val="TableText"/>
              <w:widowControl w:val="0"/>
              <w:suppressAutoHyphens w:val="0"/>
              <w:spacing w:before="0" w:after="0" w:line="240" w:lineRule="auto"/>
              <w:rPr>
                <w:szCs w:val="17"/>
              </w:rPr>
            </w:pPr>
            <w:r>
              <w:rPr>
                <w:szCs w:val="17"/>
              </w:rPr>
              <w:t>Medium herbivore/ granivore</w:t>
            </w:r>
          </w:p>
        </w:tc>
        <w:tc>
          <w:tcPr>
            <w:tcW w:w="634" w:type="pct"/>
            <w:tcBorders>
              <w:top w:val="single" w:sz="4" w:space="0" w:color="auto"/>
            </w:tcBorders>
          </w:tcPr>
          <w:p w14:paraId="16BE2B8B" w14:textId="77777777" w:rsidR="006D7C8D" w:rsidRDefault="006D7C8D" w:rsidP="00444693">
            <w:pPr>
              <w:pStyle w:val="TableText"/>
              <w:widowControl w:val="0"/>
              <w:suppressAutoHyphens w:val="0"/>
              <w:spacing w:before="0" w:after="0" w:line="240" w:lineRule="auto"/>
              <w:rPr>
                <w:szCs w:val="17"/>
              </w:rPr>
            </w:pPr>
            <w:r>
              <w:rPr>
                <w:szCs w:val="17"/>
              </w:rPr>
              <w:t>BBCH 10-29</w:t>
            </w:r>
          </w:p>
        </w:tc>
        <w:tc>
          <w:tcPr>
            <w:tcW w:w="514" w:type="pct"/>
            <w:tcBorders>
              <w:top w:val="single" w:sz="4" w:space="0" w:color="auto"/>
            </w:tcBorders>
            <w:shd w:val="clear" w:color="auto" w:fill="D5D7D5" w:themeFill="text1" w:themeFillTint="33"/>
          </w:tcPr>
          <w:p w14:paraId="18993523" w14:textId="77777777" w:rsidR="006D7C8D" w:rsidRPr="00426E98" w:rsidRDefault="006D7C8D" w:rsidP="00D53099">
            <w:pPr>
              <w:pStyle w:val="TableText"/>
              <w:widowControl w:val="0"/>
              <w:suppressAutoHyphens w:val="0"/>
              <w:spacing w:before="0" w:after="0" w:line="240" w:lineRule="auto"/>
              <w:jc w:val="right"/>
              <w:rPr>
                <w:szCs w:val="17"/>
              </w:rPr>
            </w:pPr>
            <w:r>
              <w:t>41.7</w:t>
            </w:r>
            <w:r w:rsidRPr="00EE4D0B">
              <w:rPr>
                <w:vertAlign w:val="superscript"/>
              </w:rPr>
              <w:t>c</w:t>
            </w:r>
          </w:p>
        </w:tc>
        <w:tc>
          <w:tcPr>
            <w:tcW w:w="662" w:type="pct"/>
            <w:tcBorders>
              <w:top w:val="single" w:sz="4" w:space="0" w:color="auto"/>
            </w:tcBorders>
            <w:vAlign w:val="center"/>
          </w:tcPr>
          <w:p w14:paraId="489837B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129D28B7" w14:textId="77777777" w:rsidR="006D7C8D" w:rsidRPr="003B78B6" w:rsidRDefault="006D7C8D" w:rsidP="00D53099">
            <w:pPr>
              <w:pStyle w:val="TableText"/>
              <w:widowControl w:val="0"/>
              <w:suppressAutoHyphens w:val="0"/>
              <w:spacing w:before="0" w:after="0" w:line="240" w:lineRule="auto"/>
              <w:jc w:val="right"/>
            </w:pPr>
            <w:r>
              <w:rPr>
                <w:color w:val="1A1B1A"/>
                <w:szCs w:val="17"/>
              </w:rPr>
              <w:t>21</w:t>
            </w:r>
          </w:p>
        </w:tc>
        <w:tc>
          <w:tcPr>
            <w:tcW w:w="367" w:type="pct"/>
            <w:tcBorders>
              <w:top w:val="single" w:sz="4" w:space="0" w:color="auto"/>
            </w:tcBorders>
            <w:shd w:val="clear" w:color="auto" w:fill="FF0000"/>
            <w:vAlign w:val="center"/>
          </w:tcPr>
          <w:p w14:paraId="322FBCCA"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3.4</w:t>
            </w:r>
          </w:p>
        </w:tc>
        <w:tc>
          <w:tcPr>
            <w:tcW w:w="585" w:type="pct"/>
            <w:tcBorders>
              <w:top w:val="single" w:sz="4" w:space="0" w:color="auto"/>
            </w:tcBorders>
            <w:vAlign w:val="bottom"/>
          </w:tcPr>
          <w:p w14:paraId="6C6A4FB9" w14:textId="77777777" w:rsidR="006D7C8D" w:rsidRPr="00721FF0" w:rsidRDefault="006D7C8D" w:rsidP="00D53099">
            <w:pPr>
              <w:pStyle w:val="TableText"/>
              <w:widowControl w:val="0"/>
              <w:suppressAutoHyphens w:val="0"/>
              <w:spacing w:before="0" w:after="0" w:line="240" w:lineRule="auto"/>
              <w:jc w:val="right"/>
            </w:pPr>
            <w:r>
              <w:rPr>
                <w:color w:val="000000"/>
                <w:szCs w:val="17"/>
              </w:rPr>
              <w:t>149</w:t>
            </w:r>
          </w:p>
        </w:tc>
      </w:tr>
      <w:tr w:rsidR="006D7C8D" w:rsidRPr="00721FF0" w14:paraId="183B753E" w14:textId="77777777" w:rsidTr="00444693">
        <w:trPr>
          <w:cantSplit/>
          <w:trHeight w:val="13"/>
        </w:trPr>
        <w:tc>
          <w:tcPr>
            <w:tcW w:w="583" w:type="pct"/>
            <w:vMerge/>
          </w:tcPr>
          <w:p w14:paraId="0C2103D5"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699CC12B" w14:textId="77777777" w:rsidR="006D7C8D" w:rsidRDefault="006D7C8D" w:rsidP="00444693">
            <w:pPr>
              <w:pStyle w:val="TableText"/>
              <w:widowControl w:val="0"/>
              <w:suppressAutoHyphens w:val="0"/>
              <w:spacing w:before="0" w:after="0" w:line="240" w:lineRule="auto"/>
              <w:rPr>
                <w:szCs w:val="17"/>
              </w:rPr>
            </w:pPr>
          </w:p>
        </w:tc>
        <w:tc>
          <w:tcPr>
            <w:tcW w:w="634" w:type="pct"/>
          </w:tcPr>
          <w:p w14:paraId="3DAB70B4" w14:textId="77777777" w:rsidR="006D7C8D"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50F7A4F" w14:textId="77777777" w:rsidR="006D7C8D" w:rsidRDefault="006D7C8D" w:rsidP="00D53099">
            <w:pPr>
              <w:pStyle w:val="TableText"/>
              <w:widowControl w:val="0"/>
              <w:suppressAutoHyphens w:val="0"/>
              <w:spacing w:before="0" w:after="0" w:line="240" w:lineRule="auto"/>
              <w:jc w:val="right"/>
            </w:pPr>
            <w:r w:rsidRPr="00DD132F">
              <w:t>41.7</w:t>
            </w:r>
            <w:r w:rsidRPr="00DD132F">
              <w:rPr>
                <w:vertAlign w:val="superscript"/>
              </w:rPr>
              <w:t>c</w:t>
            </w:r>
          </w:p>
        </w:tc>
        <w:tc>
          <w:tcPr>
            <w:tcW w:w="662" w:type="pct"/>
            <w:vAlign w:val="center"/>
          </w:tcPr>
          <w:p w14:paraId="6DD42F7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002EEC4A"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shd w:val="clear" w:color="auto" w:fill="FF0000"/>
            <w:vAlign w:val="center"/>
          </w:tcPr>
          <w:p w14:paraId="232B7B92"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2.0</w:t>
            </w:r>
          </w:p>
        </w:tc>
        <w:tc>
          <w:tcPr>
            <w:tcW w:w="585" w:type="pct"/>
            <w:vAlign w:val="bottom"/>
          </w:tcPr>
          <w:p w14:paraId="56305BB8" w14:textId="77777777" w:rsidR="006D7C8D" w:rsidRPr="00721FF0" w:rsidRDefault="006D7C8D" w:rsidP="00D53099">
            <w:pPr>
              <w:pStyle w:val="TableText"/>
              <w:widowControl w:val="0"/>
              <w:suppressAutoHyphens w:val="0"/>
              <w:spacing w:before="0" w:after="0" w:line="240" w:lineRule="auto"/>
              <w:jc w:val="right"/>
            </w:pPr>
            <w:r>
              <w:rPr>
                <w:color w:val="000000"/>
                <w:szCs w:val="17"/>
              </w:rPr>
              <w:t>149</w:t>
            </w:r>
          </w:p>
        </w:tc>
      </w:tr>
      <w:tr w:rsidR="006D7C8D" w:rsidRPr="00721FF0" w14:paraId="6454760D" w14:textId="77777777" w:rsidTr="00444693">
        <w:trPr>
          <w:cantSplit/>
          <w:trHeight w:val="13"/>
        </w:trPr>
        <w:tc>
          <w:tcPr>
            <w:tcW w:w="583" w:type="pct"/>
            <w:vMerge/>
          </w:tcPr>
          <w:p w14:paraId="3C0D855E"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DC249AD" w14:textId="77777777" w:rsidR="006D7C8D" w:rsidRDefault="006D7C8D" w:rsidP="00444693">
            <w:pPr>
              <w:pStyle w:val="TableText"/>
              <w:widowControl w:val="0"/>
              <w:suppressAutoHyphens w:val="0"/>
              <w:spacing w:before="0" w:after="0" w:line="240" w:lineRule="auto"/>
              <w:rPr>
                <w:szCs w:val="17"/>
              </w:rPr>
            </w:pPr>
            <w:r>
              <w:rPr>
                <w:szCs w:val="17"/>
              </w:rPr>
              <w:t>Medium granivore</w:t>
            </w:r>
          </w:p>
        </w:tc>
        <w:tc>
          <w:tcPr>
            <w:tcW w:w="634" w:type="pct"/>
            <w:tcBorders>
              <w:top w:val="single" w:sz="4" w:space="0" w:color="auto"/>
            </w:tcBorders>
          </w:tcPr>
          <w:p w14:paraId="51916C94" w14:textId="77777777" w:rsidR="006D7C8D" w:rsidRDefault="006D7C8D" w:rsidP="00444693">
            <w:pPr>
              <w:pStyle w:val="TableText"/>
              <w:widowControl w:val="0"/>
              <w:suppressAutoHyphens w:val="0"/>
              <w:spacing w:before="0" w:after="0" w:line="240" w:lineRule="auto"/>
              <w:rPr>
                <w:szCs w:val="17"/>
              </w:rPr>
            </w:pPr>
            <w:r>
              <w:rPr>
                <w:szCs w:val="17"/>
              </w:rPr>
              <w:t>BBCH 10-29</w:t>
            </w:r>
          </w:p>
        </w:tc>
        <w:tc>
          <w:tcPr>
            <w:tcW w:w="514" w:type="pct"/>
            <w:tcBorders>
              <w:top w:val="single" w:sz="4" w:space="0" w:color="auto"/>
            </w:tcBorders>
          </w:tcPr>
          <w:p w14:paraId="52FF57FC" w14:textId="77777777" w:rsidR="006D7C8D" w:rsidRPr="00426E98" w:rsidRDefault="006D7C8D" w:rsidP="00D53099">
            <w:pPr>
              <w:pStyle w:val="TableText"/>
              <w:widowControl w:val="0"/>
              <w:suppressAutoHyphens w:val="0"/>
              <w:spacing w:before="0" w:after="0" w:line="240" w:lineRule="auto"/>
              <w:jc w:val="right"/>
              <w:rPr>
                <w:szCs w:val="17"/>
              </w:rPr>
            </w:pPr>
            <w:r>
              <w:t>6.6</w:t>
            </w:r>
          </w:p>
        </w:tc>
        <w:tc>
          <w:tcPr>
            <w:tcW w:w="662" w:type="pct"/>
            <w:tcBorders>
              <w:top w:val="single" w:sz="4" w:space="0" w:color="auto"/>
            </w:tcBorders>
            <w:vAlign w:val="center"/>
          </w:tcPr>
          <w:p w14:paraId="28DF3FC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179F92D6" w14:textId="77777777" w:rsidR="006D7C8D" w:rsidRPr="003B78B6" w:rsidRDefault="006D7C8D" w:rsidP="00D53099">
            <w:pPr>
              <w:pStyle w:val="TableText"/>
              <w:widowControl w:val="0"/>
              <w:suppressAutoHyphens w:val="0"/>
              <w:spacing w:before="0" w:after="0" w:line="240" w:lineRule="auto"/>
              <w:jc w:val="right"/>
            </w:pPr>
            <w:r>
              <w:rPr>
                <w:color w:val="1A1B1A"/>
                <w:szCs w:val="17"/>
              </w:rPr>
              <w:t>3.3</w:t>
            </w:r>
          </w:p>
        </w:tc>
        <w:tc>
          <w:tcPr>
            <w:tcW w:w="367" w:type="pct"/>
            <w:tcBorders>
              <w:top w:val="single" w:sz="4" w:space="0" w:color="auto"/>
            </w:tcBorders>
            <w:vAlign w:val="center"/>
          </w:tcPr>
          <w:p w14:paraId="5FD0DCC7" w14:textId="77777777" w:rsidR="006D7C8D" w:rsidRPr="00721FF0" w:rsidRDefault="006D7C8D" w:rsidP="00D53099">
            <w:pPr>
              <w:pStyle w:val="TableText"/>
              <w:widowControl w:val="0"/>
              <w:suppressAutoHyphens w:val="0"/>
              <w:spacing w:before="0" w:after="0" w:line="240" w:lineRule="auto"/>
              <w:jc w:val="right"/>
            </w:pPr>
            <w:r>
              <w:rPr>
                <w:color w:val="1A1B1A"/>
                <w:szCs w:val="17"/>
              </w:rPr>
              <w:t>0.53</w:t>
            </w:r>
          </w:p>
        </w:tc>
        <w:tc>
          <w:tcPr>
            <w:tcW w:w="585" w:type="pct"/>
            <w:tcBorders>
              <w:top w:val="single" w:sz="4" w:space="0" w:color="auto"/>
            </w:tcBorders>
            <w:vAlign w:val="bottom"/>
          </w:tcPr>
          <w:p w14:paraId="6AB2B19B" w14:textId="77777777" w:rsidR="006D7C8D" w:rsidRPr="00721FF0" w:rsidRDefault="006D7C8D" w:rsidP="00D53099">
            <w:pPr>
              <w:pStyle w:val="TableText"/>
              <w:widowControl w:val="0"/>
              <w:suppressAutoHyphens w:val="0"/>
              <w:spacing w:before="0" w:after="0" w:line="240" w:lineRule="auto"/>
              <w:jc w:val="right"/>
            </w:pPr>
            <w:r>
              <w:rPr>
                <w:color w:val="000000"/>
                <w:szCs w:val="17"/>
              </w:rPr>
              <w:t>939</w:t>
            </w:r>
          </w:p>
        </w:tc>
      </w:tr>
      <w:tr w:rsidR="006D7C8D" w:rsidRPr="00721FF0" w14:paraId="5BFA7D12" w14:textId="77777777" w:rsidTr="00444693">
        <w:trPr>
          <w:cantSplit/>
          <w:trHeight w:val="13"/>
        </w:trPr>
        <w:tc>
          <w:tcPr>
            <w:tcW w:w="583" w:type="pct"/>
            <w:vMerge/>
          </w:tcPr>
          <w:p w14:paraId="1741BC66"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FE54934" w14:textId="77777777" w:rsidR="006D7C8D" w:rsidRDefault="006D7C8D" w:rsidP="00444693">
            <w:pPr>
              <w:pStyle w:val="TableText"/>
              <w:widowControl w:val="0"/>
              <w:suppressAutoHyphens w:val="0"/>
              <w:spacing w:before="0" w:after="0" w:line="240" w:lineRule="auto"/>
              <w:rPr>
                <w:szCs w:val="17"/>
              </w:rPr>
            </w:pPr>
          </w:p>
        </w:tc>
        <w:tc>
          <w:tcPr>
            <w:tcW w:w="634" w:type="pct"/>
          </w:tcPr>
          <w:p w14:paraId="2A3639EA" w14:textId="77777777" w:rsidR="006D7C8D" w:rsidRDefault="006D7C8D" w:rsidP="00444693">
            <w:pPr>
              <w:pStyle w:val="TableText"/>
              <w:widowControl w:val="0"/>
              <w:suppressAutoHyphens w:val="0"/>
              <w:spacing w:before="0" w:after="0" w:line="240" w:lineRule="auto"/>
              <w:rPr>
                <w:szCs w:val="17"/>
              </w:rPr>
            </w:pPr>
          </w:p>
        </w:tc>
        <w:tc>
          <w:tcPr>
            <w:tcW w:w="514" w:type="pct"/>
          </w:tcPr>
          <w:p w14:paraId="7D58A0AB" w14:textId="77777777" w:rsidR="006D7C8D" w:rsidRDefault="006D7C8D" w:rsidP="00D53099">
            <w:pPr>
              <w:pStyle w:val="TableText"/>
              <w:widowControl w:val="0"/>
              <w:suppressAutoHyphens w:val="0"/>
              <w:spacing w:before="0" w:after="0" w:line="240" w:lineRule="auto"/>
              <w:jc w:val="right"/>
            </w:pPr>
            <w:r w:rsidRPr="00911662">
              <w:t>6.6</w:t>
            </w:r>
          </w:p>
        </w:tc>
        <w:tc>
          <w:tcPr>
            <w:tcW w:w="662" w:type="pct"/>
            <w:vAlign w:val="center"/>
          </w:tcPr>
          <w:p w14:paraId="4C18B81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6B5AD01F" w14:textId="77777777" w:rsidR="006D7C8D" w:rsidRPr="003B78B6" w:rsidRDefault="006D7C8D" w:rsidP="00D53099">
            <w:pPr>
              <w:pStyle w:val="TableText"/>
              <w:widowControl w:val="0"/>
              <w:suppressAutoHyphens w:val="0"/>
              <w:spacing w:before="0" w:after="0" w:line="240" w:lineRule="auto"/>
              <w:jc w:val="right"/>
            </w:pPr>
            <w:r>
              <w:rPr>
                <w:color w:val="1A1B1A"/>
                <w:szCs w:val="17"/>
              </w:rPr>
              <w:t>2.0</w:t>
            </w:r>
          </w:p>
        </w:tc>
        <w:tc>
          <w:tcPr>
            <w:tcW w:w="367" w:type="pct"/>
            <w:vAlign w:val="center"/>
          </w:tcPr>
          <w:p w14:paraId="15EF34F1" w14:textId="77777777" w:rsidR="006D7C8D" w:rsidRPr="00721FF0" w:rsidRDefault="006D7C8D" w:rsidP="00D53099">
            <w:pPr>
              <w:pStyle w:val="TableText"/>
              <w:widowControl w:val="0"/>
              <w:suppressAutoHyphens w:val="0"/>
              <w:spacing w:before="0" w:after="0" w:line="240" w:lineRule="auto"/>
              <w:jc w:val="right"/>
            </w:pPr>
            <w:r>
              <w:rPr>
                <w:color w:val="1A1B1A"/>
                <w:szCs w:val="17"/>
              </w:rPr>
              <w:t>0.32</w:t>
            </w:r>
          </w:p>
        </w:tc>
        <w:tc>
          <w:tcPr>
            <w:tcW w:w="585" w:type="pct"/>
            <w:vAlign w:val="bottom"/>
          </w:tcPr>
          <w:p w14:paraId="14CEC8D0" w14:textId="77777777" w:rsidR="006D7C8D" w:rsidRPr="00721FF0" w:rsidRDefault="006D7C8D" w:rsidP="00D53099">
            <w:pPr>
              <w:pStyle w:val="TableText"/>
              <w:widowControl w:val="0"/>
              <w:suppressAutoHyphens w:val="0"/>
              <w:spacing w:before="0" w:after="0" w:line="240" w:lineRule="auto"/>
              <w:jc w:val="right"/>
            </w:pPr>
            <w:r>
              <w:rPr>
                <w:color w:val="000000"/>
                <w:szCs w:val="17"/>
              </w:rPr>
              <w:t>939</w:t>
            </w:r>
          </w:p>
        </w:tc>
      </w:tr>
      <w:tr w:rsidR="006D7C8D" w:rsidRPr="00721FF0" w14:paraId="055CF955" w14:textId="77777777" w:rsidTr="00444693">
        <w:trPr>
          <w:cantSplit/>
          <w:trHeight w:val="13"/>
        </w:trPr>
        <w:tc>
          <w:tcPr>
            <w:tcW w:w="583" w:type="pct"/>
            <w:vMerge/>
          </w:tcPr>
          <w:p w14:paraId="339D0D82"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2B1BF245"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tcBorders>
              <w:top w:val="single" w:sz="4" w:space="0" w:color="auto"/>
            </w:tcBorders>
          </w:tcPr>
          <w:p w14:paraId="6A2A03D3" w14:textId="77777777" w:rsidR="006D7C8D" w:rsidRDefault="006D7C8D" w:rsidP="00444693">
            <w:pPr>
              <w:pStyle w:val="TableText"/>
              <w:widowControl w:val="0"/>
              <w:suppressAutoHyphens w:val="0"/>
              <w:spacing w:before="0" w:after="0" w:line="240" w:lineRule="auto"/>
              <w:rPr>
                <w:szCs w:val="17"/>
              </w:rPr>
            </w:pPr>
            <w:r>
              <w:rPr>
                <w:szCs w:val="17"/>
              </w:rPr>
              <w:t>BBCH 10-29</w:t>
            </w:r>
          </w:p>
        </w:tc>
        <w:tc>
          <w:tcPr>
            <w:tcW w:w="514" w:type="pct"/>
            <w:tcBorders>
              <w:top w:val="single" w:sz="4" w:space="0" w:color="auto"/>
            </w:tcBorders>
          </w:tcPr>
          <w:p w14:paraId="68E1AFC9" w14:textId="77777777" w:rsidR="006D7C8D" w:rsidRPr="00426E98" w:rsidRDefault="006D7C8D" w:rsidP="00D53099">
            <w:pPr>
              <w:pStyle w:val="TableText"/>
              <w:widowControl w:val="0"/>
              <w:suppressAutoHyphens w:val="0"/>
              <w:spacing w:before="0" w:after="0" w:line="240" w:lineRule="auto"/>
              <w:jc w:val="right"/>
              <w:rPr>
                <w:szCs w:val="17"/>
              </w:rPr>
            </w:pPr>
            <w:r>
              <w:t>24.0</w:t>
            </w:r>
          </w:p>
        </w:tc>
        <w:tc>
          <w:tcPr>
            <w:tcW w:w="662" w:type="pct"/>
            <w:tcBorders>
              <w:top w:val="single" w:sz="4" w:space="0" w:color="auto"/>
            </w:tcBorders>
            <w:vAlign w:val="center"/>
          </w:tcPr>
          <w:p w14:paraId="35218EB5"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636C83AD" w14:textId="77777777" w:rsidR="006D7C8D" w:rsidRPr="003B78B6" w:rsidRDefault="006D7C8D" w:rsidP="00D53099">
            <w:pPr>
              <w:pStyle w:val="TableText"/>
              <w:widowControl w:val="0"/>
              <w:suppressAutoHyphens w:val="0"/>
              <w:spacing w:before="0" w:after="0" w:line="240" w:lineRule="auto"/>
              <w:jc w:val="right"/>
            </w:pPr>
            <w:r>
              <w:rPr>
                <w:color w:val="1A1B1A"/>
                <w:szCs w:val="17"/>
              </w:rPr>
              <w:t>12</w:t>
            </w:r>
          </w:p>
        </w:tc>
        <w:tc>
          <w:tcPr>
            <w:tcW w:w="367" w:type="pct"/>
            <w:tcBorders>
              <w:top w:val="single" w:sz="4" w:space="0" w:color="auto"/>
            </w:tcBorders>
            <w:shd w:val="clear" w:color="auto" w:fill="FF0000"/>
            <w:vAlign w:val="center"/>
          </w:tcPr>
          <w:p w14:paraId="5504807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1.9</w:t>
            </w:r>
          </w:p>
        </w:tc>
        <w:tc>
          <w:tcPr>
            <w:tcW w:w="585" w:type="pct"/>
            <w:tcBorders>
              <w:top w:val="single" w:sz="4" w:space="0" w:color="auto"/>
            </w:tcBorders>
            <w:vAlign w:val="bottom"/>
          </w:tcPr>
          <w:p w14:paraId="28C0BE9B" w14:textId="77777777" w:rsidR="006D7C8D" w:rsidRPr="00721FF0" w:rsidRDefault="006D7C8D" w:rsidP="00D53099">
            <w:pPr>
              <w:pStyle w:val="TableText"/>
              <w:widowControl w:val="0"/>
              <w:suppressAutoHyphens w:val="0"/>
              <w:spacing w:before="0" w:after="0" w:line="240" w:lineRule="auto"/>
              <w:jc w:val="right"/>
            </w:pPr>
            <w:r>
              <w:rPr>
                <w:color w:val="000000"/>
                <w:szCs w:val="17"/>
              </w:rPr>
              <w:t>258</w:t>
            </w:r>
          </w:p>
        </w:tc>
      </w:tr>
      <w:tr w:rsidR="006D7C8D" w:rsidRPr="00721FF0" w14:paraId="6C2CD100" w14:textId="77777777" w:rsidTr="00444693">
        <w:trPr>
          <w:cantSplit/>
          <w:trHeight w:val="13"/>
        </w:trPr>
        <w:tc>
          <w:tcPr>
            <w:tcW w:w="583" w:type="pct"/>
            <w:vMerge/>
          </w:tcPr>
          <w:p w14:paraId="5AD5EE1F"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C1CF699" w14:textId="77777777" w:rsidR="006D7C8D" w:rsidRDefault="006D7C8D" w:rsidP="00444693">
            <w:pPr>
              <w:pStyle w:val="TableText"/>
              <w:widowControl w:val="0"/>
              <w:suppressAutoHyphens w:val="0"/>
              <w:spacing w:before="0" w:after="0" w:line="240" w:lineRule="auto"/>
              <w:rPr>
                <w:szCs w:val="17"/>
              </w:rPr>
            </w:pPr>
          </w:p>
        </w:tc>
        <w:tc>
          <w:tcPr>
            <w:tcW w:w="634" w:type="pct"/>
          </w:tcPr>
          <w:p w14:paraId="5E2D3587" w14:textId="77777777" w:rsidR="006D7C8D" w:rsidRDefault="006D7C8D" w:rsidP="00444693">
            <w:pPr>
              <w:pStyle w:val="TableText"/>
              <w:widowControl w:val="0"/>
              <w:suppressAutoHyphens w:val="0"/>
              <w:spacing w:before="0" w:after="0" w:line="240" w:lineRule="auto"/>
              <w:rPr>
                <w:szCs w:val="17"/>
              </w:rPr>
            </w:pPr>
          </w:p>
        </w:tc>
        <w:tc>
          <w:tcPr>
            <w:tcW w:w="514" w:type="pct"/>
          </w:tcPr>
          <w:p w14:paraId="076B761B" w14:textId="77777777" w:rsidR="006D7C8D" w:rsidRDefault="006D7C8D" w:rsidP="00D53099">
            <w:pPr>
              <w:pStyle w:val="TableText"/>
              <w:widowControl w:val="0"/>
              <w:suppressAutoHyphens w:val="0"/>
              <w:spacing w:before="0" w:after="0" w:line="240" w:lineRule="auto"/>
              <w:jc w:val="right"/>
            </w:pPr>
            <w:r w:rsidRPr="00B21065">
              <w:t>24.0</w:t>
            </w:r>
          </w:p>
        </w:tc>
        <w:tc>
          <w:tcPr>
            <w:tcW w:w="662" w:type="pct"/>
            <w:vAlign w:val="center"/>
          </w:tcPr>
          <w:p w14:paraId="409E992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1F66B24E" w14:textId="77777777" w:rsidR="006D7C8D" w:rsidRPr="003B78B6" w:rsidRDefault="006D7C8D" w:rsidP="00D53099">
            <w:pPr>
              <w:pStyle w:val="TableText"/>
              <w:widowControl w:val="0"/>
              <w:suppressAutoHyphens w:val="0"/>
              <w:spacing w:before="0" w:after="0" w:line="240" w:lineRule="auto"/>
              <w:jc w:val="right"/>
            </w:pPr>
            <w:r>
              <w:rPr>
                <w:color w:val="1A1B1A"/>
                <w:szCs w:val="17"/>
              </w:rPr>
              <w:t>7.2</w:t>
            </w:r>
          </w:p>
        </w:tc>
        <w:tc>
          <w:tcPr>
            <w:tcW w:w="367" w:type="pct"/>
            <w:shd w:val="clear" w:color="auto" w:fill="FF0000"/>
            <w:vAlign w:val="center"/>
          </w:tcPr>
          <w:p w14:paraId="41D3303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1.2</w:t>
            </w:r>
          </w:p>
        </w:tc>
        <w:tc>
          <w:tcPr>
            <w:tcW w:w="585" w:type="pct"/>
            <w:vAlign w:val="bottom"/>
          </w:tcPr>
          <w:p w14:paraId="5DED1ADF" w14:textId="77777777" w:rsidR="006D7C8D" w:rsidRPr="00721FF0" w:rsidRDefault="006D7C8D" w:rsidP="00D53099">
            <w:pPr>
              <w:pStyle w:val="TableText"/>
              <w:widowControl w:val="0"/>
              <w:suppressAutoHyphens w:val="0"/>
              <w:spacing w:before="0" w:after="0" w:line="240" w:lineRule="auto"/>
              <w:jc w:val="right"/>
            </w:pPr>
            <w:r>
              <w:rPr>
                <w:color w:val="000000"/>
                <w:szCs w:val="17"/>
              </w:rPr>
              <w:t>258</w:t>
            </w:r>
          </w:p>
        </w:tc>
      </w:tr>
      <w:tr w:rsidR="006D7C8D" w:rsidRPr="00721FF0" w14:paraId="43187C0A" w14:textId="77777777" w:rsidTr="00444693">
        <w:trPr>
          <w:cantSplit/>
          <w:trHeight w:val="13"/>
        </w:trPr>
        <w:tc>
          <w:tcPr>
            <w:tcW w:w="583" w:type="pct"/>
            <w:vMerge/>
          </w:tcPr>
          <w:p w14:paraId="0E5ACDBC"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C936BF4" w14:textId="77777777" w:rsidR="006D7C8D" w:rsidRDefault="006D7C8D" w:rsidP="00444693">
            <w:pPr>
              <w:pStyle w:val="TableText"/>
              <w:widowControl w:val="0"/>
              <w:suppressAutoHyphens w:val="0"/>
              <w:spacing w:before="0" w:after="0" w:line="240" w:lineRule="auto"/>
              <w:rPr>
                <w:szCs w:val="17"/>
              </w:rPr>
            </w:pPr>
            <w:r>
              <w:rPr>
                <w:szCs w:val="17"/>
              </w:rPr>
              <w:t>Small insectivore</w:t>
            </w:r>
          </w:p>
        </w:tc>
        <w:tc>
          <w:tcPr>
            <w:tcW w:w="634" w:type="pct"/>
            <w:tcBorders>
              <w:top w:val="single" w:sz="4" w:space="0" w:color="auto"/>
            </w:tcBorders>
          </w:tcPr>
          <w:p w14:paraId="4EA1547E" w14:textId="77777777" w:rsidR="006D7C8D" w:rsidRDefault="006D7C8D" w:rsidP="00444693">
            <w:pPr>
              <w:pStyle w:val="TableText"/>
              <w:widowControl w:val="0"/>
              <w:suppressAutoHyphens w:val="0"/>
              <w:spacing w:before="0" w:after="0" w:line="240" w:lineRule="auto"/>
              <w:rPr>
                <w:szCs w:val="17"/>
              </w:rPr>
            </w:pPr>
            <w:r>
              <w:rPr>
                <w:szCs w:val="17"/>
              </w:rPr>
              <w:t>BBCH 10-19</w:t>
            </w:r>
          </w:p>
        </w:tc>
        <w:tc>
          <w:tcPr>
            <w:tcW w:w="514" w:type="pct"/>
            <w:tcBorders>
              <w:top w:val="single" w:sz="4" w:space="0" w:color="auto"/>
            </w:tcBorders>
          </w:tcPr>
          <w:p w14:paraId="1E335259" w14:textId="77777777" w:rsidR="006D7C8D" w:rsidRPr="00426E98" w:rsidRDefault="006D7C8D" w:rsidP="00D53099">
            <w:pPr>
              <w:pStyle w:val="TableText"/>
              <w:widowControl w:val="0"/>
              <w:suppressAutoHyphens w:val="0"/>
              <w:spacing w:before="0" w:after="0" w:line="240" w:lineRule="auto"/>
              <w:jc w:val="right"/>
              <w:rPr>
                <w:szCs w:val="17"/>
              </w:rPr>
            </w:pPr>
            <w:r>
              <w:t>26.8</w:t>
            </w:r>
          </w:p>
        </w:tc>
        <w:tc>
          <w:tcPr>
            <w:tcW w:w="662" w:type="pct"/>
            <w:tcBorders>
              <w:top w:val="single" w:sz="4" w:space="0" w:color="auto"/>
            </w:tcBorders>
            <w:vAlign w:val="center"/>
          </w:tcPr>
          <w:p w14:paraId="31EADB6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19EED0D0" w14:textId="77777777" w:rsidR="006D7C8D" w:rsidRPr="003B78B6" w:rsidRDefault="006D7C8D" w:rsidP="00D53099">
            <w:pPr>
              <w:pStyle w:val="TableText"/>
              <w:widowControl w:val="0"/>
              <w:suppressAutoHyphens w:val="0"/>
              <w:spacing w:before="0" w:after="0" w:line="240" w:lineRule="auto"/>
              <w:jc w:val="right"/>
            </w:pPr>
            <w:r>
              <w:rPr>
                <w:color w:val="1A1B1A"/>
                <w:szCs w:val="17"/>
              </w:rPr>
              <w:t>13</w:t>
            </w:r>
          </w:p>
        </w:tc>
        <w:tc>
          <w:tcPr>
            <w:tcW w:w="367" w:type="pct"/>
            <w:tcBorders>
              <w:top w:val="single" w:sz="4" w:space="0" w:color="auto"/>
            </w:tcBorders>
            <w:shd w:val="clear" w:color="auto" w:fill="FF0000"/>
            <w:vAlign w:val="center"/>
          </w:tcPr>
          <w:p w14:paraId="79CD745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2.2</w:t>
            </w:r>
          </w:p>
        </w:tc>
        <w:tc>
          <w:tcPr>
            <w:tcW w:w="585" w:type="pct"/>
            <w:tcBorders>
              <w:top w:val="single" w:sz="4" w:space="0" w:color="auto"/>
            </w:tcBorders>
            <w:vAlign w:val="bottom"/>
          </w:tcPr>
          <w:p w14:paraId="59F5BB1F"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07056190" w14:textId="77777777" w:rsidTr="00444693">
        <w:trPr>
          <w:cantSplit/>
          <w:trHeight w:val="13"/>
        </w:trPr>
        <w:tc>
          <w:tcPr>
            <w:tcW w:w="583" w:type="pct"/>
            <w:vMerge/>
          </w:tcPr>
          <w:p w14:paraId="1D5B5511"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53DB20F3" w14:textId="77777777" w:rsidR="006D7C8D" w:rsidRDefault="006D7C8D" w:rsidP="00444693">
            <w:pPr>
              <w:pStyle w:val="TableText"/>
              <w:widowControl w:val="0"/>
              <w:suppressAutoHyphens w:val="0"/>
              <w:spacing w:before="0" w:after="0" w:line="240" w:lineRule="auto"/>
              <w:rPr>
                <w:szCs w:val="17"/>
              </w:rPr>
            </w:pPr>
          </w:p>
        </w:tc>
        <w:tc>
          <w:tcPr>
            <w:tcW w:w="634" w:type="pct"/>
          </w:tcPr>
          <w:p w14:paraId="188BF7D3" w14:textId="77777777" w:rsidR="006D7C8D" w:rsidRDefault="006D7C8D" w:rsidP="00444693">
            <w:pPr>
              <w:pStyle w:val="TableText"/>
              <w:widowControl w:val="0"/>
              <w:suppressAutoHyphens w:val="0"/>
              <w:spacing w:before="0" w:after="0" w:line="240" w:lineRule="auto"/>
              <w:rPr>
                <w:szCs w:val="17"/>
              </w:rPr>
            </w:pPr>
          </w:p>
        </w:tc>
        <w:tc>
          <w:tcPr>
            <w:tcW w:w="514" w:type="pct"/>
          </w:tcPr>
          <w:p w14:paraId="4CAF228F" w14:textId="77777777" w:rsidR="006D7C8D" w:rsidRDefault="006D7C8D" w:rsidP="00D53099">
            <w:pPr>
              <w:pStyle w:val="TableText"/>
              <w:widowControl w:val="0"/>
              <w:suppressAutoHyphens w:val="0"/>
              <w:spacing w:before="0" w:after="0" w:line="240" w:lineRule="auto"/>
              <w:jc w:val="right"/>
            </w:pPr>
            <w:r w:rsidRPr="00E17CA5">
              <w:t>26.8</w:t>
            </w:r>
          </w:p>
        </w:tc>
        <w:tc>
          <w:tcPr>
            <w:tcW w:w="662" w:type="pct"/>
            <w:vAlign w:val="center"/>
          </w:tcPr>
          <w:p w14:paraId="75CD97AC"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6B408583" w14:textId="77777777" w:rsidR="006D7C8D" w:rsidRPr="003B78B6" w:rsidRDefault="006D7C8D" w:rsidP="00D53099">
            <w:pPr>
              <w:pStyle w:val="TableText"/>
              <w:widowControl w:val="0"/>
              <w:suppressAutoHyphens w:val="0"/>
              <w:spacing w:before="0" w:after="0" w:line="240" w:lineRule="auto"/>
              <w:jc w:val="right"/>
            </w:pPr>
            <w:r>
              <w:rPr>
                <w:color w:val="1A1B1A"/>
                <w:szCs w:val="17"/>
              </w:rPr>
              <w:t>8.0</w:t>
            </w:r>
          </w:p>
        </w:tc>
        <w:tc>
          <w:tcPr>
            <w:tcW w:w="367" w:type="pct"/>
            <w:shd w:val="clear" w:color="auto" w:fill="FF0000"/>
            <w:vAlign w:val="center"/>
          </w:tcPr>
          <w:p w14:paraId="254EDF50"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1.3</w:t>
            </w:r>
          </w:p>
        </w:tc>
        <w:tc>
          <w:tcPr>
            <w:tcW w:w="585" w:type="pct"/>
            <w:vAlign w:val="bottom"/>
          </w:tcPr>
          <w:p w14:paraId="5DD9C91E" w14:textId="77777777" w:rsidR="006D7C8D" w:rsidRPr="00721FF0" w:rsidRDefault="006D7C8D" w:rsidP="00D53099">
            <w:pPr>
              <w:pStyle w:val="TableText"/>
              <w:widowControl w:val="0"/>
              <w:suppressAutoHyphens w:val="0"/>
              <w:spacing w:before="0" w:after="0" w:line="240" w:lineRule="auto"/>
              <w:jc w:val="right"/>
            </w:pPr>
            <w:r>
              <w:rPr>
                <w:color w:val="000000"/>
                <w:szCs w:val="17"/>
              </w:rPr>
              <w:t>231</w:t>
            </w:r>
          </w:p>
        </w:tc>
      </w:tr>
      <w:tr w:rsidR="006D7C8D" w:rsidRPr="00721FF0" w14:paraId="43DC90BA" w14:textId="77777777" w:rsidTr="00444693">
        <w:trPr>
          <w:cantSplit/>
          <w:trHeight w:val="13"/>
        </w:trPr>
        <w:tc>
          <w:tcPr>
            <w:tcW w:w="583" w:type="pct"/>
            <w:vMerge/>
          </w:tcPr>
          <w:p w14:paraId="747C86BC"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6849C7B1" w14:textId="77777777" w:rsidR="006D7C8D" w:rsidRDefault="006D7C8D" w:rsidP="00444693">
            <w:pPr>
              <w:pStyle w:val="TableText"/>
              <w:widowControl w:val="0"/>
              <w:suppressAutoHyphens w:val="0"/>
              <w:spacing w:before="0" w:after="0" w:line="240" w:lineRule="auto"/>
              <w:rPr>
                <w:szCs w:val="17"/>
              </w:rPr>
            </w:pPr>
            <w:r>
              <w:rPr>
                <w:szCs w:val="17"/>
              </w:rPr>
              <w:t>Small insectivore/worm feeding</w:t>
            </w:r>
          </w:p>
        </w:tc>
        <w:tc>
          <w:tcPr>
            <w:tcW w:w="634" w:type="pct"/>
            <w:tcBorders>
              <w:top w:val="single" w:sz="4" w:space="0" w:color="auto"/>
            </w:tcBorders>
          </w:tcPr>
          <w:p w14:paraId="717EB2A1" w14:textId="77777777" w:rsidR="006D7C8D" w:rsidRDefault="006D7C8D" w:rsidP="00444693">
            <w:pPr>
              <w:pStyle w:val="TableText"/>
              <w:widowControl w:val="0"/>
              <w:suppressAutoHyphens w:val="0"/>
              <w:spacing w:before="0" w:after="0" w:line="240" w:lineRule="auto"/>
              <w:rPr>
                <w:szCs w:val="17"/>
              </w:rPr>
            </w:pPr>
            <w:r>
              <w:rPr>
                <w:szCs w:val="17"/>
              </w:rPr>
              <w:t>BBCH 10-19</w:t>
            </w:r>
          </w:p>
        </w:tc>
        <w:tc>
          <w:tcPr>
            <w:tcW w:w="514" w:type="pct"/>
            <w:tcBorders>
              <w:top w:val="single" w:sz="4" w:space="0" w:color="auto"/>
            </w:tcBorders>
          </w:tcPr>
          <w:p w14:paraId="2497C8D2" w14:textId="77777777" w:rsidR="006D7C8D" w:rsidRPr="00426E98" w:rsidRDefault="006D7C8D" w:rsidP="00D53099">
            <w:pPr>
              <w:pStyle w:val="TableText"/>
              <w:widowControl w:val="0"/>
              <w:suppressAutoHyphens w:val="0"/>
              <w:spacing w:before="0" w:after="0" w:line="240" w:lineRule="auto"/>
              <w:jc w:val="right"/>
              <w:rPr>
                <w:szCs w:val="17"/>
              </w:rPr>
            </w:pPr>
            <w:r>
              <w:t>10.5</w:t>
            </w:r>
          </w:p>
        </w:tc>
        <w:tc>
          <w:tcPr>
            <w:tcW w:w="662" w:type="pct"/>
            <w:tcBorders>
              <w:top w:val="single" w:sz="4" w:space="0" w:color="auto"/>
            </w:tcBorders>
            <w:vAlign w:val="center"/>
          </w:tcPr>
          <w:p w14:paraId="6DFFDD5A"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500</w:t>
            </w:r>
          </w:p>
        </w:tc>
        <w:tc>
          <w:tcPr>
            <w:tcW w:w="883" w:type="pct"/>
            <w:tcBorders>
              <w:top w:val="single" w:sz="4" w:space="0" w:color="auto"/>
            </w:tcBorders>
            <w:vAlign w:val="center"/>
          </w:tcPr>
          <w:p w14:paraId="0BDBC753" w14:textId="77777777" w:rsidR="006D7C8D" w:rsidRPr="003B78B6" w:rsidRDefault="006D7C8D" w:rsidP="00D53099">
            <w:pPr>
              <w:pStyle w:val="TableText"/>
              <w:widowControl w:val="0"/>
              <w:suppressAutoHyphens w:val="0"/>
              <w:spacing w:before="0" w:after="0" w:line="240" w:lineRule="auto"/>
              <w:jc w:val="right"/>
            </w:pPr>
            <w:r>
              <w:rPr>
                <w:color w:val="1A1B1A"/>
                <w:szCs w:val="17"/>
              </w:rPr>
              <w:t>5.3</w:t>
            </w:r>
          </w:p>
        </w:tc>
        <w:tc>
          <w:tcPr>
            <w:tcW w:w="367" w:type="pct"/>
            <w:tcBorders>
              <w:top w:val="single" w:sz="4" w:space="0" w:color="auto"/>
            </w:tcBorders>
            <w:vAlign w:val="center"/>
          </w:tcPr>
          <w:p w14:paraId="097A77EC" w14:textId="77777777" w:rsidR="006D7C8D" w:rsidRPr="00721FF0" w:rsidRDefault="006D7C8D" w:rsidP="00D53099">
            <w:pPr>
              <w:pStyle w:val="TableText"/>
              <w:widowControl w:val="0"/>
              <w:suppressAutoHyphens w:val="0"/>
              <w:spacing w:before="0" w:after="0" w:line="240" w:lineRule="auto"/>
              <w:jc w:val="right"/>
            </w:pPr>
            <w:r>
              <w:rPr>
                <w:color w:val="1A1B1A"/>
                <w:szCs w:val="17"/>
              </w:rPr>
              <w:t>0.85</w:t>
            </w:r>
          </w:p>
        </w:tc>
        <w:tc>
          <w:tcPr>
            <w:tcW w:w="585" w:type="pct"/>
            <w:tcBorders>
              <w:top w:val="single" w:sz="4" w:space="0" w:color="auto"/>
            </w:tcBorders>
            <w:vAlign w:val="bottom"/>
          </w:tcPr>
          <w:p w14:paraId="3A575820" w14:textId="77777777" w:rsidR="006D7C8D" w:rsidRPr="00721FF0" w:rsidRDefault="006D7C8D" w:rsidP="00D53099">
            <w:pPr>
              <w:pStyle w:val="TableText"/>
              <w:widowControl w:val="0"/>
              <w:suppressAutoHyphens w:val="0"/>
              <w:spacing w:before="0" w:after="0" w:line="240" w:lineRule="auto"/>
              <w:jc w:val="right"/>
            </w:pPr>
            <w:r>
              <w:rPr>
                <w:color w:val="000000"/>
                <w:szCs w:val="17"/>
              </w:rPr>
              <w:t>590</w:t>
            </w:r>
          </w:p>
        </w:tc>
      </w:tr>
      <w:tr w:rsidR="006D7C8D" w:rsidRPr="00721FF0" w14:paraId="591E2764" w14:textId="77777777" w:rsidTr="00444693">
        <w:trPr>
          <w:cantSplit/>
          <w:trHeight w:val="13"/>
        </w:trPr>
        <w:tc>
          <w:tcPr>
            <w:tcW w:w="583" w:type="pct"/>
            <w:vMerge/>
          </w:tcPr>
          <w:p w14:paraId="7FA905E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253B8E6" w14:textId="77777777" w:rsidR="006D7C8D" w:rsidRDefault="006D7C8D" w:rsidP="00444693">
            <w:pPr>
              <w:pStyle w:val="TableText"/>
              <w:widowControl w:val="0"/>
              <w:suppressAutoHyphens w:val="0"/>
              <w:spacing w:before="0" w:after="0" w:line="240" w:lineRule="auto"/>
              <w:rPr>
                <w:szCs w:val="17"/>
              </w:rPr>
            </w:pPr>
          </w:p>
        </w:tc>
        <w:tc>
          <w:tcPr>
            <w:tcW w:w="634" w:type="pct"/>
          </w:tcPr>
          <w:p w14:paraId="30E90488" w14:textId="77777777" w:rsidR="006D7C8D" w:rsidRDefault="006D7C8D" w:rsidP="00444693">
            <w:pPr>
              <w:pStyle w:val="TableText"/>
              <w:widowControl w:val="0"/>
              <w:suppressAutoHyphens w:val="0"/>
              <w:spacing w:before="0" w:after="0" w:line="240" w:lineRule="auto"/>
              <w:rPr>
                <w:szCs w:val="17"/>
              </w:rPr>
            </w:pPr>
          </w:p>
        </w:tc>
        <w:tc>
          <w:tcPr>
            <w:tcW w:w="514" w:type="pct"/>
          </w:tcPr>
          <w:p w14:paraId="765F98FD" w14:textId="77777777" w:rsidR="006D7C8D" w:rsidRDefault="006D7C8D" w:rsidP="00D53099">
            <w:pPr>
              <w:pStyle w:val="TableText"/>
              <w:widowControl w:val="0"/>
              <w:suppressAutoHyphens w:val="0"/>
              <w:spacing w:before="0" w:after="0" w:line="240" w:lineRule="auto"/>
              <w:jc w:val="right"/>
            </w:pPr>
            <w:r w:rsidRPr="00EB0342">
              <w:t>10.5</w:t>
            </w:r>
          </w:p>
        </w:tc>
        <w:tc>
          <w:tcPr>
            <w:tcW w:w="662" w:type="pct"/>
            <w:vAlign w:val="center"/>
          </w:tcPr>
          <w:p w14:paraId="4C7D1BF8"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300</w:t>
            </w:r>
          </w:p>
        </w:tc>
        <w:tc>
          <w:tcPr>
            <w:tcW w:w="883" w:type="pct"/>
            <w:vAlign w:val="center"/>
          </w:tcPr>
          <w:p w14:paraId="76A6CEE2" w14:textId="77777777" w:rsidR="006D7C8D" w:rsidRPr="003B78B6" w:rsidRDefault="006D7C8D" w:rsidP="00D53099">
            <w:pPr>
              <w:pStyle w:val="TableText"/>
              <w:widowControl w:val="0"/>
              <w:suppressAutoHyphens w:val="0"/>
              <w:spacing w:before="0" w:after="0" w:line="240" w:lineRule="auto"/>
              <w:jc w:val="right"/>
            </w:pPr>
            <w:r>
              <w:rPr>
                <w:color w:val="1A1B1A"/>
                <w:szCs w:val="17"/>
              </w:rPr>
              <w:t>3.2</w:t>
            </w:r>
          </w:p>
        </w:tc>
        <w:tc>
          <w:tcPr>
            <w:tcW w:w="367" w:type="pct"/>
            <w:vAlign w:val="center"/>
          </w:tcPr>
          <w:p w14:paraId="785BB37A" w14:textId="77777777" w:rsidR="006D7C8D" w:rsidRPr="00721FF0" w:rsidRDefault="006D7C8D" w:rsidP="00D53099">
            <w:pPr>
              <w:pStyle w:val="TableText"/>
              <w:widowControl w:val="0"/>
              <w:suppressAutoHyphens w:val="0"/>
              <w:spacing w:before="0" w:after="0" w:line="240" w:lineRule="auto"/>
              <w:jc w:val="right"/>
            </w:pPr>
            <w:r>
              <w:rPr>
                <w:color w:val="1A1B1A"/>
                <w:szCs w:val="17"/>
              </w:rPr>
              <w:t>0.51</w:t>
            </w:r>
          </w:p>
        </w:tc>
        <w:tc>
          <w:tcPr>
            <w:tcW w:w="585" w:type="pct"/>
            <w:vAlign w:val="bottom"/>
          </w:tcPr>
          <w:p w14:paraId="7101476D" w14:textId="77777777" w:rsidR="006D7C8D" w:rsidRPr="00721FF0" w:rsidRDefault="006D7C8D" w:rsidP="00D53099">
            <w:pPr>
              <w:pStyle w:val="TableText"/>
              <w:widowControl w:val="0"/>
              <w:suppressAutoHyphens w:val="0"/>
              <w:spacing w:before="0" w:after="0" w:line="240" w:lineRule="auto"/>
              <w:jc w:val="right"/>
            </w:pPr>
            <w:r>
              <w:rPr>
                <w:color w:val="000000"/>
                <w:szCs w:val="17"/>
              </w:rPr>
              <w:t>590</w:t>
            </w:r>
          </w:p>
        </w:tc>
      </w:tr>
      <w:tr w:rsidR="006D7C8D" w:rsidRPr="00721FF0" w14:paraId="6758039F" w14:textId="77777777" w:rsidTr="00444693">
        <w:trPr>
          <w:cantSplit/>
          <w:trHeight w:val="13"/>
        </w:trPr>
        <w:tc>
          <w:tcPr>
            <w:tcW w:w="583" w:type="pct"/>
            <w:vMerge w:val="restart"/>
            <w:tcBorders>
              <w:top w:val="single" w:sz="4" w:space="0" w:color="auto"/>
            </w:tcBorders>
          </w:tcPr>
          <w:p w14:paraId="74DA1ED6" w14:textId="77777777" w:rsidR="006D7C8D" w:rsidRDefault="006D7C8D" w:rsidP="00444693">
            <w:pPr>
              <w:pStyle w:val="TableText"/>
              <w:widowControl w:val="0"/>
              <w:suppressAutoHyphens w:val="0"/>
              <w:spacing w:before="0" w:after="0" w:line="240" w:lineRule="auto"/>
              <w:rPr>
                <w:szCs w:val="17"/>
              </w:rPr>
            </w:pPr>
            <w:r>
              <w:rPr>
                <w:szCs w:val="17"/>
              </w:rPr>
              <w:t>Orchards</w:t>
            </w:r>
            <w:r>
              <w:rPr>
                <w:rStyle w:val="FootnoteReference"/>
                <w:szCs w:val="17"/>
              </w:rPr>
              <w:footnoteReference w:id="30"/>
            </w:r>
          </w:p>
        </w:tc>
        <w:tc>
          <w:tcPr>
            <w:tcW w:w="772" w:type="pct"/>
            <w:vMerge w:val="restart"/>
            <w:tcBorders>
              <w:top w:val="single" w:sz="4" w:space="0" w:color="auto"/>
            </w:tcBorders>
          </w:tcPr>
          <w:p w14:paraId="6EDDED14" w14:textId="77777777" w:rsidR="006D7C8D" w:rsidRDefault="006D7C8D" w:rsidP="00444693">
            <w:pPr>
              <w:pStyle w:val="TableText"/>
              <w:widowControl w:val="0"/>
              <w:suppressAutoHyphens w:val="0"/>
              <w:spacing w:before="0" w:after="0" w:line="240" w:lineRule="auto"/>
              <w:rPr>
                <w:szCs w:val="17"/>
              </w:rPr>
            </w:pPr>
            <w:r>
              <w:rPr>
                <w:szCs w:val="17"/>
              </w:rPr>
              <w:t>Small granivore</w:t>
            </w:r>
          </w:p>
        </w:tc>
        <w:tc>
          <w:tcPr>
            <w:tcW w:w="634" w:type="pct"/>
            <w:vMerge w:val="restart"/>
            <w:tcBorders>
              <w:top w:val="single" w:sz="4" w:space="0" w:color="auto"/>
            </w:tcBorders>
          </w:tcPr>
          <w:p w14:paraId="52DD037D" w14:textId="77777777" w:rsidR="006D7C8D" w:rsidRDefault="006D7C8D" w:rsidP="00444693">
            <w:pPr>
              <w:pStyle w:val="TableText"/>
              <w:widowControl w:val="0"/>
              <w:suppressAutoHyphens w:val="0"/>
              <w:spacing w:before="0" w:after="0" w:line="240" w:lineRule="auto"/>
              <w:rPr>
                <w:szCs w:val="17"/>
              </w:rPr>
            </w:pPr>
            <w:r w:rsidRPr="00C20C79">
              <w:rPr>
                <w:szCs w:val="17"/>
              </w:rPr>
              <w:t>Ground directed</w:t>
            </w:r>
          </w:p>
        </w:tc>
        <w:tc>
          <w:tcPr>
            <w:tcW w:w="514" w:type="pct"/>
            <w:tcBorders>
              <w:top w:val="single" w:sz="4" w:space="0" w:color="auto"/>
            </w:tcBorders>
            <w:shd w:val="clear" w:color="auto" w:fill="D5D7D5" w:themeFill="text1" w:themeFillTint="33"/>
          </w:tcPr>
          <w:p w14:paraId="03DBA98E" w14:textId="77777777" w:rsidR="006D7C8D" w:rsidRPr="00426E98" w:rsidRDefault="006D7C8D" w:rsidP="00D53099">
            <w:pPr>
              <w:pStyle w:val="TableText"/>
              <w:widowControl w:val="0"/>
              <w:suppressAutoHyphens w:val="0"/>
              <w:spacing w:before="0" w:after="0" w:line="240" w:lineRule="auto"/>
              <w:jc w:val="right"/>
              <w:rPr>
                <w:szCs w:val="17"/>
              </w:rPr>
            </w:pPr>
            <w:r>
              <w:t>15.1</w:t>
            </w:r>
            <w:r w:rsidRPr="00EE4D0B">
              <w:rPr>
                <w:vertAlign w:val="superscript"/>
              </w:rPr>
              <w:t>c</w:t>
            </w:r>
          </w:p>
        </w:tc>
        <w:tc>
          <w:tcPr>
            <w:tcW w:w="662" w:type="pct"/>
            <w:tcBorders>
              <w:top w:val="single" w:sz="4" w:space="0" w:color="auto"/>
            </w:tcBorders>
            <w:vAlign w:val="center"/>
          </w:tcPr>
          <w:p w14:paraId="1D04699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4D53270F" w14:textId="77777777" w:rsidR="006D7C8D" w:rsidRPr="003B78B6" w:rsidRDefault="006D7C8D" w:rsidP="00D53099">
            <w:pPr>
              <w:pStyle w:val="TableText"/>
              <w:widowControl w:val="0"/>
              <w:suppressAutoHyphens w:val="0"/>
              <w:spacing w:before="0" w:after="0" w:line="240" w:lineRule="auto"/>
              <w:jc w:val="right"/>
            </w:pPr>
            <w:r>
              <w:rPr>
                <w:color w:val="1A1B1A"/>
                <w:szCs w:val="17"/>
              </w:rPr>
              <w:t>12</w:t>
            </w:r>
          </w:p>
        </w:tc>
        <w:tc>
          <w:tcPr>
            <w:tcW w:w="367" w:type="pct"/>
            <w:tcBorders>
              <w:top w:val="single" w:sz="4" w:space="0" w:color="auto"/>
            </w:tcBorders>
            <w:shd w:val="clear" w:color="auto" w:fill="FF0000"/>
            <w:vAlign w:val="center"/>
          </w:tcPr>
          <w:p w14:paraId="0A0E518E"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1.9</w:t>
            </w:r>
          </w:p>
        </w:tc>
        <w:tc>
          <w:tcPr>
            <w:tcW w:w="585" w:type="pct"/>
            <w:tcBorders>
              <w:top w:val="single" w:sz="4" w:space="0" w:color="auto"/>
            </w:tcBorders>
            <w:vAlign w:val="bottom"/>
          </w:tcPr>
          <w:p w14:paraId="625B65AA" w14:textId="77777777" w:rsidR="006D7C8D" w:rsidRPr="00721FF0" w:rsidRDefault="006D7C8D" w:rsidP="00D53099">
            <w:pPr>
              <w:pStyle w:val="TableText"/>
              <w:widowControl w:val="0"/>
              <w:suppressAutoHyphens w:val="0"/>
              <w:spacing w:before="0" w:after="0" w:line="240" w:lineRule="auto"/>
              <w:jc w:val="right"/>
            </w:pPr>
            <w:r>
              <w:rPr>
                <w:color w:val="000000"/>
                <w:szCs w:val="17"/>
              </w:rPr>
              <w:t>411</w:t>
            </w:r>
          </w:p>
        </w:tc>
      </w:tr>
      <w:tr w:rsidR="006D7C8D" w:rsidRPr="00721FF0" w14:paraId="4AFD095A" w14:textId="77777777" w:rsidTr="00444693">
        <w:trPr>
          <w:cantSplit/>
          <w:trHeight w:val="13"/>
        </w:trPr>
        <w:tc>
          <w:tcPr>
            <w:tcW w:w="583" w:type="pct"/>
            <w:vMerge/>
          </w:tcPr>
          <w:p w14:paraId="368FD4F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6E8BD6D"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69B7C7F3"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4A7EAED0" w14:textId="77777777" w:rsidR="006D7C8D" w:rsidRDefault="006D7C8D" w:rsidP="00D53099">
            <w:pPr>
              <w:pStyle w:val="TableText"/>
              <w:widowControl w:val="0"/>
              <w:suppressAutoHyphens w:val="0"/>
              <w:spacing w:before="0" w:after="0" w:line="240" w:lineRule="auto"/>
              <w:jc w:val="right"/>
            </w:pPr>
            <w:r w:rsidRPr="004E10F0">
              <w:t>15.1</w:t>
            </w:r>
            <w:r w:rsidRPr="004E10F0">
              <w:rPr>
                <w:vertAlign w:val="superscript"/>
              </w:rPr>
              <w:t>c</w:t>
            </w:r>
          </w:p>
        </w:tc>
        <w:tc>
          <w:tcPr>
            <w:tcW w:w="662" w:type="pct"/>
            <w:vAlign w:val="center"/>
          </w:tcPr>
          <w:p w14:paraId="79052CD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5697092E" w14:textId="77777777" w:rsidR="006D7C8D" w:rsidRPr="003B78B6" w:rsidRDefault="006D7C8D" w:rsidP="00D53099">
            <w:pPr>
              <w:pStyle w:val="TableText"/>
              <w:widowControl w:val="0"/>
              <w:suppressAutoHyphens w:val="0"/>
              <w:spacing w:before="0" w:after="0" w:line="240" w:lineRule="auto"/>
              <w:jc w:val="right"/>
            </w:pPr>
            <w:r>
              <w:rPr>
                <w:color w:val="1A1B1A"/>
                <w:szCs w:val="17"/>
              </w:rPr>
              <w:t>9.1</w:t>
            </w:r>
          </w:p>
        </w:tc>
        <w:tc>
          <w:tcPr>
            <w:tcW w:w="367" w:type="pct"/>
            <w:shd w:val="clear" w:color="auto" w:fill="FF0000"/>
            <w:vAlign w:val="center"/>
          </w:tcPr>
          <w:p w14:paraId="7B47FCF4"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1.5</w:t>
            </w:r>
          </w:p>
        </w:tc>
        <w:tc>
          <w:tcPr>
            <w:tcW w:w="585" w:type="pct"/>
            <w:vAlign w:val="bottom"/>
          </w:tcPr>
          <w:p w14:paraId="13C01547" w14:textId="77777777" w:rsidR="006D7C8D" w:rsidRPr="00721FF0" w:rsidRDefault="006D7C8D" w:rsidP="00D53099">
            <w:pPr>
              <w:pStyle w:val="TableText"/>
              <w:widowControl w:val="0"/>
              <w:suppressAutoHyphens w:val="0"/>
              <w:spacing w:before="0" w:after="0" w:line="240" w:lineRule="auto"/>
              <w:jc w:val="right"/>
            </w:pPr>
            <w:r>
              <w:rPr>
                <w:color w:val="000000"/>
                <w:szCs w:val="17"/>
              </w:rPr>
              <w:t>411</w:t>
            </w:r>
          </w:p>
        </w:tc>
      </w:tr>
      <w:tr w:rsidR="006D7C8D" w:rsidRPr="00721FF0" w14:paraId="2A85A2C3" w14:textId="77777777" w:rsidTr="00444693">
        <w:trPr>
          <w:cantSplit/>
          <w:trHeight w:val="13"/>
        </w:trPr>
        <w:tc>
          <w:tcPr>
            <w:tcW w:w="583" w:type="pct"/>
            <w:vMerge/>
          </w:tcPr>
          <w:p w14:paraId="685CA34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4EFBB1F"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3BEA6B2E"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2B1E922A" w14:textId="77777777" w:rsidR="006D7C8D" w:rsidRDefault="006D7C8D" w:rsidP="00D53099">
            <w:pPr>
              <w:pStyle w:val="TableText"/>
              <w:widowControl w:val="0"/>
              <w:suppressAutoHyphens w:val="0"/>
              <w:spacing w:before="0" w:after="0" w:line="240" w:lineRule="auto"/>
              <w:jc w:val="right"/>
            </w:pPr>
            <w:r w:rsidRPr="004E10F0">
              <w:t>15.1</w:t>
            </w:r>
            <w:r w:rsidRPr="004E10F0">
              <w:rPr>
                <w:vertAlign w:val="superscript"/>
              </w:rPr>
              <w:t>c</w:t>
            </w:r>
          </w:p>
        </w:tc>
        <w:tc>
          <w:tcPr>
            <w:tcW w:w="662" w:type="pct"/>
            <w:vAlign w:val="center"/>
          </w:tcPr>
          <w:p w14:paraId="4EDA0F8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1E937A34" w14:textId="77777777" w:rsidR="006D7C8D" w:rsidRPr="003B78B6" w:rsidRDefault="006D7C8D" w:rsidP="00D53099">
            <w:pPr>
              <w:pStyle w:val="TableText"/>
              <w:widowControl w:val="0"/>
              <w:suppressAutoHyphens w:val="0"/>
              <w:spacing w:before="0" w:after="0" w:line="240" w:lineRule="auto"/>
              <w:jc w:val="right"/>
            </w:pPr>
            <w:r>
              <w:rPr>
                <w:color w:val="1A1B1A"/>
                <w:szCs w:val="17"/>
              </w:rPr>
              <w:t>6.0</w:t>
            </w:r>
          </w:p>
        </w:tc>
        <w:tc>
          <w:tcPr>
            <w:tcW w:w="367" w:type="pct"/>
            <w:vAlign w:val="center"/>
          </w:tcPr>
          <w:p w14:paraId="1AC3D889" w14:textId="77777777" w:rsidR="006D7C8D" w:rsidRPr="00721FF0" w:rsidRDefault="006D7C8D" w:rsidP="00D53099">
            <w:pPr>
              <w:pStyle w:val="TableText"/>
              <w:widowControl w:val="0"/>
              <w:suppressAutoHyphens w:val="0"/>
              <w:spacing w:before="0" w:after="0" w:line="240" w:lineRule="auto"/>
              <w:jc w:val="right"/>
            </w:pPr>
            <w:r>
              <w:rPr>
                <w:color w:val="1A1B1A"/>
                <w:szCs w:val="17"/>
              </w:rPr>
              <w:t>0.97</w:t>
            </w:r>
          </w:p>
        </w:tc>
        <w:tc>
          <w:tcPr>
            <w:tcW w:w="585" w:type="pct"/>
            <w:vAlign w:val="bottom"/>
          </w:tcPr>
          <w:p w14:paraId="6656C9B9" w14:textId="77777777" w:rsidR="006D7C8D" w:rsidRPr="00721FF0" w:rsidRDefault="006D7C8D" w:rsidP="00D53099">
            <w:pPr>
              <w:pStyle w:val="TableText"/>
              <w:widowControl w:val="0"/>
              <w:suppressAutoHyphens w:val="0"/>
              <w:spacing w:before="0" w:after="0" w:line="240" w:lineRule="auto"/>
              <w:jc w:val="right"/>
            </w:pPr>
            <w:r>
              <w:rPr>
                <w:color w:val="000000"/>
                <w:szCs w:val="17"/>
              </w:rPr>
              <w:t>411</w:t>
            </w:r>
          </w:p>
        </w:tc>
      </w:tr>
      <w:tr w:rsidR="006D7C8D" w:rsidRPr="00721FF0" w14:paraId="0C383ACD" w14:textId="77777777" w:rsidTr="00444693">
        <w:trPr>
          <w:cantSplit/>
          <w:trHeight w:val="13"/>
        </w:trPr>
        <w:tc>
          <w:tcPr>
            <w:tcW w:w="583" w:type="pct"/>
            <w:vMerge/>
          </w:tcPr>
          <w:p w14:paraId="63C1E389"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2042F0AA"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431760D5"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2EA9242" w14:textId="77777777" w:rsidR="006D7C8D" w:rsidRDefault="006D7C8D" w:rsidP="00D53099">
            <w:pPr>
              <w:pStyle w:val="TableText"/>
              <w:widowControl w:val="0"/>
              <w:suppressAutoHyphens w:val="0"/>
              <w:spacing w:before="0" w:after="0" w:line="240" w:lineRule="auto"/>
              <w:jc w:val="right"/>
            </w:pPr>
            <w:r w:rsidRPr="004E10F0">
              <w:t>15.1</w:t>
            </w:r>
            <w:r w:rsidRPr="004E10F0">
              <w:rPr>
                <w:vertAlign w:val="superscript"/>
              </w:rPr>
              <w:t>c</w:t>
            </w:r>
          </w:p>
        </w:tc>
        <w:tc>
          <w:tcPr>
            <w:tcW w:w="662" w:type="pct"/>
            <w:vAlign w:val="center"/>
          </w:tcPr>
          <w:p w14:paraId="2BF9E7B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2D3BF795" w14:textId="77777777" w:rsidR="006D7C8D" w:rsidRPr="003B78B6" w:rsidRDefault="006D7C8D" w:rsidP="00D53099">
            <w:pPr>
              <w:pStyle w:val="TableText"/>
              <w:widowControl w:val="0"/>
              <w:suppressAutoHyphens w:val="0"/>
              <w:spacing w:before="0" w:after="0" w:line="240" w:lineRule="auto"/>
              <w:jc w:val="right"/>
            </w:pPr>
            <w:r>
              <w:rPr>
                <w:color w:val="1A1B1A"/>
                <w:szCs w:val="17"/>
              </w:rPr>
              <w:t>4.8</w:t>
            </w:r>
          </w:p>
        </w:tc>
        <w:tc>
          <w:tcPr>
            <w:tcW w:w="367" w:type="pct"/>
            <w:vAlign w:val="center"/>
          </w:tcPr>
          <w:p w14:paraId="7095D243" w14:textId="77777777" w:rsidR="006D7C8D" w:rsidRPr="00721FF0" w:rsidRDefault="006D7C8D" w:rsidP="00D53099">
            <w:pPr>
              <w:pStyle w:val="TableText"/>
              <w:widowControl w:val="0"/>
              <w:suppressAutoHyphens w:val="0"/>
              <w:spacing w:before="0" w:after="0" w:line="240" w:lineRule="auto"/>
              <w:jc w:val="right"/>
            </w:pPr>
            <w:r>
              <w:rPr>
                <w:color w:val="1A1B1A"/>
                <w:szCs w:val="17"/>
              </w:rPr>
              <w:t>0.8</w:t>
            </w:r>
          </w:p>
        </w:tc>
        <w:tc>
          <w:tcPr>
            <w:tcW w:w="585" w:type="pct"/>
            <w:vAlign w:val="bottom"/>
          </w:tcPr>
          <w:p w14:paraId="3EB04AF4" w14:textId="77777777" w:rsidR="006D7C8D" w:rsidRPr="00721FF0" w:rsidRDefault="006D7C8D" w:rsidP="00D53099">
            <w:pPr>
              <w:pStyle w:val="TableText"/>
              <w:widowControl w:val="0"/>
              <w:suppressAutoHyphens w:val="0"/>
              <w:spacing w:before="0" w:after="0" w:line="240" w:lineRule="auto"/>
              <w:jc w:val="right"/>
            </w:pPr>
            <w:r>
              <w:rPr>
                <w:color w:val="000000"/>
                <w:szCs w:val="17"/>
              </w:rPr>
              <w:t>411</w:t>
            </w:r>
          </w:p>
        </w:tc>
      </w:tr>
      <w:tr w:rsidR="006D7C8D" w:rsidRPr="00721FF0" w14:paraId="01CC3EFD" w14:textId="77777777" w:rsidTr="00444693">
        <w:trPr>
          <w:cantSplit/>
          <w:trHeight w:val="13"/>
        </w:trPr>
        <w:tc>
          <w:tcPr>
            <w:tcW w:w="583" w:type="pct"/>
            <w:vMerge/>
          </w:tcPr>
          <w:p w14:paraId="64347AE0"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4C5ACA40"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520DE226"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79A9B108" w14:textId="77777777" w:rsidR="006D7C8D" w:rsidRDefault="006D7C8D" w:rsidP="00D53099">
            <w:pPr>
              <w:pStyle w:val="TableText"/>
              <w:widowControl w:val="0"/>
              <w:suppressAutoHyphens w:val="0"/>
              <w:spacing w:before="0" w:after="0" w:line="240" w:lineRule="auto"/>
              <w:jc w:val="right"/>
            </w:pPr>
            <w:r w:rsidRPr="004E10F0">
              <w:t>15.1</w:t>
            </w:r>
            <w:r w:rsidRPr="004E10F0">
              <w:rPr>
                <w:vertAlign w:val="superscript"/>
              </w:rPr>
              <w:t>c</w:t>
            </w:r>
          </w:p>
        </w:tc>
        <w:tc>
          <w:tcPr>
            <w:tcW w:w="662" w:type="pct"/>
            <w:vAlign w:val="center"/>
          </w:tcPr>
          <w:p w14:paraId="7DF968F4"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643C4BF4" w14:textId="77777777" w:rsidR="006D7C8D" w:rsidRPr="003B78B6" w:rsidRDefault="006D7C8D" w:rsidP="00D53099">
            <w:pPr>
              <w:pStyle w:val="TableText"/>
              <w:widowControl w:val="0"/>
              <w:suppressAutoHyphens w:val="0"/>
              <w:spacing w:before="0" w:after="0" w:line="240" w:lineRule="auto"/>
              <w:jc w:val="right"/>
            </w:pPr>
            <w:r>
              <w:rPr>
                <w:color w:val="1A1B1A"/>
                <w:szCs w:val="17"/>
              </w:rPr>
              <w:t>3.6</w:t>
            </w:r>
          </w:p>
        </w:tc>
        <w:tc>
          <w:tcPr>
            <w:tcW w:w="367" w:type="pct"/>
            <w:vAlign w:val="center"/>
          </w:tcPr>
          <w:p w14:paraId="783ABE75" w14:textId="77777777" w:rsidR="006D7C8D" w:rsidRPr="00721FF0" w:rsidRDefault="006D7C8D" w:rsidP="00D53099">
            <w:pPr>
              <w:pStyle w:val="TableText"/>
              <w:widowControl w:val="0"/>
              <w:suppressAutoHyphens w:val="0"/>
              <w:spacing w:before="0" w:after="0" w:line="240" w:lineRule="auto"/>
              <w:jc w:val="right"/>
            </w:pPr>
            <w:r>
              <w:rPr>
                <w:color w:val="1A1B1A"/>
                <w:szCs w:val="17"/>
              </w:rPr>
              <w:t>0.58</w:t>
            </w:r>
          </w:p>
        </w:tc>
        <w:tc>
          <w:tcPr>
            <w:tcW w:w="585" w:type="pct"/>
            <w:vAlign w:val="bottom"/>
          </w:tcPr>
          <w:p w14:paraId="00A98126" w14:textId="77777777" w:rsidR="006D7C8D" w:rsidRPr="00721FF0" w:rsidRDefault="006D7C8D" w:rsidP="00D53099">
            <w:pPr>
              <w:pStyle w:val="TableText"/>
              <w:widowControl w:val="0"/>
              <w:suppressAutoHyphens w:val="0"/>
              <w:spacing w:before="0" w:after="0" w:line="240" w:lineRule="auto"/>
              <w:jc w:val="right"/>
            </w:pPr>
            <w:r>
              <w:rPr>
                <w:color w:val="000000"/>
                <w:szCs w:val="17"/>
              </w:rPr>
              <w:t>411</w:t>
            </w:r>
          </w:p>
        </w:tc>
      </w:tr>
      <w:tr w:rsidR="006D7C8D" w:rsidRPr="00721FF0" w14:paraId="5EBC11F5" w14:textId="77777777" w:rsidTr="00444693">
        <w:trPr>
          <w:cantSplit/>
          <w:trHeight w:val="13"/>
        </w:trPr>
        <w:tc>
          <w:tcPr>
            <w:tcW w:w="583" w:type="pct"/>
            <w:vMerge/>
          </w:tcPr>
          <w:p w14:paraId="13991B86"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3C197B6"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64E6233A" w14:textId="77777777" w:rsidR="006D7C8D" w:rsidRPr="00C20C79" w:rsidRDefault="006D7C8D" w:rsidP="00444693">
            <w:pPr>
              <w:pStyle w:val="TableText"/>
              <w:widowControl w:val="0"/>
              <w:suppressAutoHyphens w:val="0"/>
              <w:spacing w:before="0" w:after="0" w:line="240" w:lineRule="auto"/>
              <w:rPr>
                <w:szCs w:val="17"/>
              </w:rPr>
            </w:pPr>
          </w:p>
        </w:tc>
        <w:tc>
          <w:tcPr>
            <w:tcW w:w="514" w:type="pct"/>
            <w:shd w:val="clear" w:color="auto" w:fill="D5D7D5" w:themeFill="text1" w:themeFillTint="33"/>
          </w:tcPr>
          <w:p w14:paraId="6BE26546" w14:textId="77777777" w:rsidR="006D7C8D" w:rsidRDefault="006D7C8D" w:rsidP="00D53099">
            <w:pPr>
              <w:pStyle w:val="TableText"/>
              <w:widowControl w:val="0"/>
              <w:suppressAutoHyphens w:val="0"/>
              <w:spacing w:before="0" w:after="0" w:line="240" w:lineRule="auto"/>
              <w:jc w:val="right"/>
            </w:pPr>
            <w:r w:rsidRPr="004E10F0">
              <w:t>15.1</w:t>
            </w:r>
            <w:r w:rsidRPr="004E10F0">
              <w:rPr>
                <w:vertAlign w:val="superscript"/>
              </w:rPr>
              <w:t>c</w:t>
            </w:r>
          </w:p>
        </w:tc>
        <w:tc>
          <w:tcPr>
            <w:tcW w:w="662" w:type="pct"/>
            <w:vAlign w:val="center"/>
          </w:tcPr>
          <w:p w14:paraId="67541C46"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120</w:t>
            </w:r>
          </w:p>
        </w:tc>
        <w:tc>
          <w:tcPr>
            <w:tcW w:w="883" w:type="pct"/>
            <w:vAlign w:val="center"/>
          </w:tcPr>
          <w:p w14:paraId="20CD8E5C" w14:textId="77777777" w:rsidR="006D7C8D" w:rsidRPr="003B78B6" w:rsidRDefault="006D7C8D" w:rsidP="00D53099">
            <w:pPr>
              <w:pStyle w:val="TableText"/>
              <w:widowControl w:val="0"/>
              <w:suppressAutoHyphens w:val="0"/>
              <w:spacing w:before="0" w:after="0" w:line="240" w:lineRule="auto"/>
              <w:jc w:val="right"/>
            </w:pPr>
            <w:r>
              <w:rPr>
                <w:color w:val="1A1B1A"/>
                <w:szCs w:val="17"/>
              </w:rPr>
              <w:t>1.8</w:t>
            </w:r>
          </w:p>
        </w:tc>
        <w:tc>
          <w:tcPr>
            <w:tcW w:w="367" w:type="pct"/>
            <w:vAlign w:val="center"/>
          </w:tcPr>
          <w:p w14:paraId="08DB2C9A" w14:textId="77777777" w:rsidR="006D7C8D" w:rsidRPr="00721FF0" w:rsidRDefault="006D7C8D" w:rsidP="00D53099">
            <w:pPr>
              <w:pStyle w:val="TableText"/>
              <w:widowControl w:val="0"/>
              <w:suppressAutoHyphens w:val="0"/>
              <w:spacing w:before="0" w:after="0" w:line="240" w:lineRule="auto"/>
              <w:jc w:val="right"/>
            </w:pPr>
            <w:r>
              <w:rPr>
                <w:color w:val="1A1B1A"/>
                <w:szCs w:val="17"/>
              </w:rPr>
              <w:t>0.29</w:t>
            </w:r>
          </w:p>
        </w:tc>
        <w:tc>
          <w:tcPr>
            <w:tcW w:w="585" w:type="pct"/>
            <w:vAlign w:val="bottom"/>
          </w:tcPr>
          <w:p w14:paraId="5B4AC6DE" w14:textId="77777777" w:rsidR="006D7C8D" w:rsidRPr="00721FF0" w:rsidRDefault="006D7C8D" w:rsidP="00D53099">
            <w:pPr>
              <w:pStyle w:val="TableText"/>
              <w:widowControl w:val="0"/>
              <w:suppressAutoHyphens w:val="0"/>
              <w:spacing w:before="0" w:after="0" w:line="240" w:lineRule="auto"/>
              <w:jc w:val="right"/>
            </w:pPr>
            <w:r>
              <w:rPr>
                <w:color w:val="000000"/>
                <w:szCs w:val="17"/>
              </w:rPr>
              <w:t>411</w:t>
            </w:r>
          </w:p>
        </w:tc>
      </w:tr>
      <w:tr w:rsidR="006D7C8D" w:rsidRPr="00721FF0" w14:paraId="03535499" w14:textId="77777777" w:rsidTr="00444693">
        <w:trPr>
          <w:cantSplit/>
          <w:trHeight w:val="13"/>
        </w:trPr>
        <w:tc>
          <w:tcPr>
            <w:tcW w:w="583" w:type="pct"/>
            <w:vMerge/>
          </w:tcPr>
          <w:p w14:paraId="7009BFA3"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109D609" w14:textId="77777777" w:rsidR="006D7C8D" w:rsidRDefault="006D7C8D" w:rsidP="00444693">
            <w:pPr>
              <w:pStyle w:val="TableText"/>
              <w:widowControl w:val="0"/>
              <w:suppressAutoHyphens w:val="0"/>
              <w:spacing w:before="0" w:after="0" w:line="240" w:lineRule="auto"/>
              <w:rPr>
                <w:szCs w:val="17"/>
              </w:rPr>
            </w:pPr>
            <w:r>
              <w:rPr>
                <w:szCs w:val="17"/>
              </w:rPr>
              <w:t>Small insectivore/worm feeding</w:t>
            </w:r>
          </w:p>
        </w:tc>
        <w:tc>
          <w:tcPr>
            <w:tcW w:w="634" w:type="pct"/>
            <w:vMerge w:val="restart"/>
            <w:tcBorders>
              <w:top w:val="single" w:sz="4" w:space="0" w:color="auto"/>
            </w:tcBorders>
          </w:tcPr>
          <w:p w14:paraId="316500FF" w14:textId="77777777" w:rsidR="006D7C8D" w:rsidRDefault="006D7C8D" w:rsidP="00444693">
            <w:pPr>
              <w:pStyle w:val="TableText"/>
              <w:widowControl w:val="0"/>
              <w:suppressAutoHyphens w:val="0"/>
              <w:spacing w:before="0" w:after="0" w:line="240" w:lineRule="auto"/>
              <w:rPr>
                <w:szCs w:val="17"/>
              </w:rPr>
            </w:pPr>
            <w:r w:rsidRPr="00C20C79">
              <w:rPr>
                <w:szCs w:val="17"/>
              </w:rPr>
              <w:t>Ground directed</w:t>
            </w:r>
          </w:p>
        </w:tc>
        <w:tc>
          <w:tcPr>
            <w:tcW w:w="514" w:type="pct"/>
            <w:tcBorders>
              <w:top w:val="single" w:sz="4" w:space="0" w:color="auto"/>
            </w:tcBorders>
          </w:tcPr>
          <w:p w14:paraId="0AE3F56E" w14:textId="77777777" w:rsidR="006D7C8D" w:rsidRPr="00426E98" w:rsidRDefault="006D7C8D" w:rsidP="00D53099">
            <w:pPr>
              <w:pStyle w:val="TableText"/>
              <w:widowControl w:val="0"/>
              <w:suppressAutoHyphens w:val="0"/>
              <w:spacing w:before="0" w:after="0" w:line="240" w:lineRule="auto"/>
              <w:jc w:val="right"/>
              <w:rPr>
                <w:szCs w:val="17"/>
              </w:rPr>
            </w:pPr>
            <w:r>
              <w:t>7.4</w:t>
            </w:r>
          </w:p>
        </w:tc>
        <w:tc>
          <w:tcPr>
            <w:tcW w:w="662" w:type="pct"/>
            <w:tcBorders>
              <w:top w:val="single" w:sz="4" w:space="0" w:color="auto"/>
            </w:tcBorders>
            <w:vAlign w:val="center"/>
          </w:tcPr>
          <w:p w14:paraId="664B38AD"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6ECA3C22" w14:textId="77777777" w:rsidR="006D7C8D" w:rsidRPr="003B78B6" w:rsidRDefault="006D7C8D" w:rsidP="00D53099">
            <w:pPr>
              <w:pStyle w:val="TableText"/>
              <w:widowControl w:val="0"/>
              <w:suppressAutoHyphens w:val="0"/>
              <w:spacing w:before="0" w:after="0" w:line="240" w:lineRule="auto"/>
              <w:jc w:val="right"/>
            </w:pPr>
            <w:r>
              <w:rPr>
                <w:color w:val="1A1B1A"/>
                <w:szCs w:val="17"/>
              </w:rPr>
              <w:t>5.9</w:t>
            </w:r>
          </w:p>
        </w:tc>
        <w:tc>
          <w:tcPr>
            <w:tcW w:w="367" w:type="pct"/>
            <w:tcBorders>
              <w:top w:val="single" w:sz="4" w:space="0" w:color="auto"/>
            </w:tcBorders>
            <w:vAlign w:val="center"/>
          </w:tcPr>
          <w:p w14:paraId="5F71C4C8" w14:textId="77777777" w:rsidR="006D7C8D" w:rsidRPr="00721FF0" w:rsidRDefault="006D7C8D" w:rsidP="00D53099">
            <w:pPr>
              <w:pStyle w:val="TableText"/>
              <w:widowControl w:val="0"/>
              <w:suppressAutoHyphens w:val="0"/>
              <w:spacing w:before="0" w:after="0" w:line="240" w:lineRule="auto"/>
              <w:jc w:val="right"/>
            </w:pPr>
            <w:r>
              <w:rPr>
                <w:color w:val="1A1B1A"/>
                <w:szCs w:val="17"/>
              </w:rPr>
              <w:t>0.95</w:t>
            </w:r>
          </w:p>
        </w:tc>
        <w:tc>
          <w:tcPr>
            <w:tcW w:w="585" w:type="pct"/>
            <w:tcBorders>
              <w:top w:val="single" w:sz="4" w:space="0" w:color="auto"/>
            </w:tcBorders>
            <w:vAlign w:val="bottom"/>
          </w:tcPr>
          <w:p w14:paraId="2A97242B" w14:textId="77777777" w:rsidR="006D7C8D" w:rsidRPr="00721FF0" w:rsidRDefault="006D7C8D" w:rsidP="00D53099">
            <w:pPr>
              <w:pStyle w:val="TableText"/>
              <w:widowControl w:val="0"/>
              <w:suppressAutoHyphens w:val="0"/>
              <w:spacing w:before="0" w:after="0" w:line="240" w:lineRule="auto"/>
              <w:jc w:val="right"/>
            </w:pPr>
            <w:r>
              <w:rPr>
                <w:color w:val="000000"/>
                <w:szCs w:val="17"/>
              </w:rPr>
              <w:t>838</w:t>
            </w:r>
          </w:p>
        </w:tc>
      </w:tr>
      <w:tr w:rsidR="006D7C8D" w:rsidRPr="00721FF0" w14:paraId="11779FC8" w14:textId="77777777" w:rsidTr="00444693">
        <w:trPr>
          <w:cantSplit/>
          <w:trHeight w:val="13"/>
        </w:trPr>
        <w:tc>
          <w:tcPr>
            <w:tcW w:w="583" w:type="pct"/>
            <w:vMerge/>
          </w:tcPr>
          <w:p w14:paraId="2EE1364B"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10ECA462"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616AF281"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5EE633D3" w14:textId="77777777" w:rsidR="006D7C8D" w:rsidRDefault="006D7C8D" w:rsidP="00D53099">
            <w:pPr>
              <w:pStyle w:val="TableText"/>
              <w:widowControl w:val="0"/>
              <w:suppressAutoHyphens w:val="0"/>
              <w:spacing w:before="0" w:after="0" w:line="240" w:lineRule="auto"/>
              <w:jc w:val="right"/>
            </w:pPr>
            <w:r w:rsidRPr="0080317B">
              <w:t>7.4</w:t>
            </w:r>
          </w:p>
        </w:tc>
        <w:tc>
          <w:tcPr>
            <w:tcW w:w="662" w:type="pct"/>
            <w:vAlign w:val="center"/>
          </w:tcPr>
          <w:p w14:paraId="405F143F"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600</w:t>
            </w:r>
          </w:p>
        </w:tc>
        <w:tc>
          <w:tcPr>
            <w:tcW w:w="883" w:type="pct"/>
            <w:vAlign w:val="center"/>
          </w:tcPr>
          <w:p w14:paraId="1A9892A0" w14:textId="77777777" w:rsidR="006D7C8D" w:rsidRPr="003B78B6" w:rsidRDefault="006D7C8D" w:rsidP="00D53099">
            <w:pPr>
              <w:pStyle w:val="TableText"/>
              <w:widowControl w:val="0"/>
              <w:suppressAutoHyphens w:val="0"/>
              <w:spacing w:before="0" w:after="0" w:line="240" w:lineRule="auto"/>
              <w:jc w:val="right"/>
            </w:pPr>
            <w:r>
              <w:rPr>
                <w:color w:val="1A1B1A"/>
                <w:szCs w:val="17"/>
              </w:rPr>
              <w:t>4.4</w:t>
            </w:r>
          </w:p>
        </w:tc>
        <w:tc>
          <w:tcPr>
            <w:tcW w:w="367" w:type="pct"/>
            <w:vAlign w:val="center"/>
          </w:tcPr>
          <w:p w14:paraId="6A3DC084" w14:textId="77777777" w:rsidR="006D7C8D" w:rsidRPr="00721FF0" w:rsidRDefault="006D7C8D" w:rsidP="00D53099">
            <w:pPr>
              <w:pStyle w:val="TableText"/>
              <w:widowControl w:val="0"/>
              <w:suppressAutoHyphens w:val="0"/>
              <w:spacing w:before="0" w:after="0" w:line="240" w:lineRule="auto"/>
              <w:jc w:val="right"/>
            </w:pPr>
            <w:r>
              <w:rPr>
                <w:color w:val="1A1B1A"/>
                <w:szCs w:val="17"/>
              </w:rPr>
              <w:t>0.72</w:t>
            </w:r>
          </w:p>
        </w:tc>
        <w:tc>
          <w:tcPr>
            <w:tcW w:w="585" w:type="pct"/>
            <w:vAlign w:val="bottom"/>
          </w:tcPr>
          <w:p w14:paraId="5E0F713A" w14:textId="77777777" w:rsidR="006D7C8D" w:rsidRPr="00721FF0" w:rsidRDefault="006D7C8D" w:rsidP="00D53099">
            <w:pPr>
              <w:pStyle w:val="TableText"/>
              <w:widowControl w:val="0"/>
              <w:suppressAutoHyphens w:val="0"/>
              <w:spacing w:before="0" w:after="0" w:line="240" w:lineRule="auto"/>
              <w:jc w:val="right"/>
            </w:pPr>
            <w:r>
              <w:rPr>
                <w:color w:val="000000"/>
                <w:szCs w:val="17"/>
              </w:rPr>
              <w:t>838</w:t>
            </w:r>
          </w:p>
        </w:tc>
      </w:tr>
      <w:tr w:rsidR="006D7C8D" w:rsidRPr="00721FF0" w14:paraId="4A76F6B4" w14:textId="77777777" w:rsidTr="00444693">
        <w:trPr>
          <w:cantSplit/>
          <w:trHeight w:val="13"/>
        </w:trPr>
        <w:tc>
          <w:tcPr>
            <w:tcW w:w="583" w:type="pct"/>
            <w:vMerge/>
          </w:tcPr>
          <w:p w14:paraId="353969BD"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69A4655"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17892072"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02AE68BE" w14:textId="77777777" w:rsidR="006D7C8D" w:rsidRDefault="006D7C8D" w:rsidP="00D53099">
            <w:pPr>
              <w:pStyle w:val="TableText"/>
              <w:widowControl w:val="0"/>
              <w:suppressAutoHyphens w:val="0"/>
              <w:spacing w:before="0" w:after="0" w:line="240" w:lineRule="auto"/>
              <w:jc w:val="right"/>
            </w:pPr>
            <w:r w:rsidRPr="0080317B">
              <w:t>7.4</w:t>
            </w:r>
          </w:p>
        </w:tc>
        <w:tc>
          <w:tcPr>
            <w:tcW w:w="662" w:type="pct"/>
            <w:vAlign w:val="center"/>
          </w:tcPr>
          <w:p w14:paraId="77F504C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400</w:t>
            </w:r>
          </w:p>
        </w:tc>
        <w:tc>
          <w:tcPr>
            <w:tcW w:w="883" w:type="pct"/>
            <w:vAlign w:val="center"/>
          </w:tcPr>
          <w:p w14:paraId="0DC4681D" w14:textId="77777777" w:rsidR="006D7C8D" w:rsidRPr="003B78B6" w:rsidRDefault="006D7C8D" w:rsidP="00D53099">
            <w:pPr>
              <w:pStyle w:val="TableText"/>
              <w:widowControl w:val="0"/>
              <w:suppressAutoHyphens w:val="0"/>
              <w:spacing w:before="0" w:after="0" w:line="240" w:lineRule="auto"/>
              <w:jc w:val="right"/>
            </w:pPr>
            <w:r>
              <w:rPr>
                <w:color w:val="1A1B1A"/>
                <w:szCs w:val="17"/>
              </w:rPr>
              <w:t>3.0</w:t>
            </w:r>
          </w:p>
        </w:tc>
        <w:tc>
          <w:tcPr>
            <w:tcW w:w="367" w:type="pct"/>
            <w:vAlign w:val="center"/>
          </w:tcPr>
          <w:p w14:paraId="42DADEA7" w14:textId="77777777" w:rsidR="006D7C8D" w:rsidRPr="00721FF0" w:rsidRDefault="006D7C8D" w:rsidP="00D53099">
            <w:pPr>
              <w:pStyle w:val="TableText"/>
              <w:widowControl w:val="0"/>
              <w:suppressAutoHyphens w:val="0"/>
              <w:spacing w:before="0" w:after="0" w:line="240" w:lineRule="auto"/>
              <w:jc w:val="right"/>
            </w:pPr>
            <w:r>
              <w:rPr>
                <w:color w:val="1A1B1A"/>
                <w:szCs w:val="17"/>
              </w:rPr>
              <w:t>0.48</w:t>
            </w:r>
          </w:p>
        </w:tc>
        <w:tc>
          <w:tcPr>
            <w:tcW w:w="585" w:type="pct"/>
            <w:vAlign w:val="bottom"/>
          </w:tcPr>
          <w:p w14:paraId="619C7665" w14:textId="77777777" w:rsidR="006D7C8D" w:rsidRPr="00721FF0" w:rsidRDefault="006D7C8D" w:rsidP="00D53099">
            <w:pPr>
              <w:pStyle w:val="TableText"/>
              <w:widowControl w:val="0"/>
              <w:suppressAutoHyphens w:val="0"/>
              <w:spacing w:before="0" w:after="0" w:line="240" w:lineRule="auto"/>
              <w:jc w:val="right"/>
            </w:pPr>
            <w:r>
              <w:rPr>
                <w:color w:val="000000"/>
                <w:szCs w:val="17"/>
              </w:rPr>
              <w:t>838</w:t>
            </w:r>
          </w:p>
        </w:tc>
      </w:tr>
      <w:tr w:rsidR="006D7C8D" w:rsidRPr="00721FF0" w14:paraId="3BC1C6FD" w14:textId="77777777" w:rsidTr="00444693">
        <w:trPr>
          <w:cantSplit/>
          <w:trHeight w:val="13"/>
        </w:trPr>
        <w:tc>
          <w:tcPr>
            <w:tcW w:w="583" w:type="pct"/>
            <w:vMerge/>
          </w:tcPr>
          <w:p w14:paraId="50E33473"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760108C"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7B678C7E"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4E85C279" w14:textId="77777777" w:rsidR="006D7C8D" w:rsidRDefault="006D7C8D" w:rsidP="00D53099">
            <w:pPr>
              <w:pStyle w:val="TableText"/>
              <w:widowControl w:val="0"/>
              <w:suppressAutoHyphens w:val="0"/>
              <w:spacing w:before="0" w:after="0" w:line="240" w:lineRule="auto"/>
              <w:jc w:val="right"/>
            </w:pPr>
            <w:r w:rsidRPr="0080317B">
              <w:t>7.4</w:t>
            </w:r>
          </w:p>
        </w:tc>
        <w:tc>
          <w:tcPr>
            <w:tcW w:w="662" w:type="pct"/>
            <w:vAlign w:val="center"/>
          </w:tcPr>
          <w:p w14:paraId="7C8269CE"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3221F979" w14:textId="77777777" w:rsidR="006D7C8D" w:rsidRPr="003B78B6" w:rsidRDefault="006D7C8D" w:rsidP="00D53099">
            <w:pPr>
              <w:pStyle w:val="TableText"/>
              <w:widowControl w:val="0"/>
              <w:suppressAutoHyphens w:val="0"/>
              <w:spacing w:before="0" w:after="0" w:line="240" w:lineRule="auto"/>
              <w:jc w:val="right"/>
            </w:pPr>
            <w:r>
              <w:rPr>
                <w:color w:val="1A1B1A"/>
                <w:szCs w:val="17"/>
              </w:rPr>
              <w:t>2.4</w:t>
            </w:r>
          </w:p>
        </w:tc>
        <w:tc>
          <w:tcPr>
            <w:tcW w:w="367" w:type="pct"/>
            <w:vAlign w:val="center"/>
          </w:tcPr>
          <w:p w14:paraId="5C6C77B0" w14:textId="77777777" w:rsidR="006D7C8D" w:rsidRPr="00721FF0" w:rsidRDefault="006D7C8D" w:rsidP="00D53099">
            <w:pPr>
              <w:pStyle w:val="TableText"/>
              <w:widowControl w:val="0"/>
              <w:suppressAutoHyphens w:val="0"/>
              <w:spacing w:before="0" w:after="0" w:line="240" w:lineRule="auto"/>
              <w:jc w:val="right"/>
            </w:pPr>
            <w:r>
              <w:rPr>
                <w:color w:val="1A1B1A"/>
                <w:szCs w:val="17"/>
              </w:rPr>
              <w:t>0.38</w:t>
            </w:r>
          </w:p>
        </w:tc>
        <w:tc>
          <w:tcPr>
            <w:tcW w:w="585" w:type="pct"/>
            <w:vAlign w:val="bottom"/>
          </w:tcPr>
          <w:p w14:paraId="483887E2" w14:textId="77777777" w:rsidR="006D7C8D" w:rsidRPr="00721FF0" w:rsidRDefault="006D7C8D" w:rsidP="00D53099">
            <w:pPr>
              <w:pStyle w:val="TableText"/>
              <w:widowControl w:val="0"/>
              <w:suppressAutoHyphens w:val="0"/>
              <w:spacing w:before="0" w:after="0" w:line="240" w:lineRule="auto"/>
              <w:jc w:val="right"/>
            </w:pPr>
            <w:r>
              <w:rPr>
                <w:color w:val="000000"/>
                <w:szCs w:val="17"/>
              </w:rPr>
              <w:t>838</w:t>
            </w:r>
          </w:p>
        </w:tc>
      </w:tr>
      <w:tr w:rsidR="006D7C8D" w:rsidRPr="00721FF0" w14:paraId="24382811" w14:textId="77777777" w:rsidTr="00444693">
        <w:trPr>
          <w:cantSplit/>
          <w:trHeight w:val="13"/>
        </w:trPr>
        <w:tc>
          <w:tcPr>
            <w:tcW w:w="583" w:type="pct"/>
            <w:vMerge/>
          </w:tcPr>
          <w:p w14:paraId="13FBA23E"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378BDF31"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0BFE3D43"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3380DA61" w14:textId="77777777" w:rsidR="006D7C8D" w:rsidRDefault="006D7C8D" w:rsidP="00D53099">
            <w:pPr>
              <w:pStyle w:val="TableText"/>
              <w:widowControl w:val="0"/>
              <w:suppressAutoHyphens w:val="0"/>
              <w:spacing w:before="0" w:after="0" w:line="240" w:lineRule="auto"/>
              <w:jc w:val="right"/>
            </w:pPr>
            <w:r w:rsidRPr="0080317B">
              <w:t>7.4</w:t>
            </w:r>
          </w:p>
        </w:tc>
        <w:tc>
          <w:tcPr>
            <w:tcW w:w="662" w:type="pct"/>
            <w:vAlign w:val="center"/>
          </w:tcPr>
          <w:p w14:paraId="7146871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240</w:t>
            </w:r>
          </w:p>
        </w:tc>
        <w:tc>
          <w:tcPr>
            <w:tcW w:w="883" w:type="pct"/>
            <w:vAlign w:val="center"/>
          </w:tcPr>
          <w:p w14:paraId="39B86A1F" w14:textId="77777777" w:rsidR="006D7C8D" w:rsidRPr="003B78B6" w:rsidRDefault="006D7C8D" w:rsidP="00D53099">
            <w:pPr>
              <w:pStyle w:val="TableText"/>
              <w:widowControl w:val="0"/>
              <w:suppressAutoHyphens w:val="0"/>
              <w:spacing w:before="0" w:after="0" w:line="240" w:lineRule="auto"/>
              <w:jc w:val="right"/>
            </w:pPr>
            <w:r>
              <w:rPr>
                <w:color w:val="1A1B1A"/>
                <w:szCs w:val="17"/>
              </w:rPr>
              <w:t>1.8</w:t>
            </w:r>
          </w:p>
        </w:tc>
        <w:tc>
          <w:tcPr>
            <w:tcW w:w="367" w:type="pct"/>
            <w:vAlign w:val="center"/>
          </w:tcPr>
          <w:p w14:paraId="72CC0418" w14:textId="77777777" w:rsidR="006D7C8D" w:rsidRPr="00721FF0" w:rsidRDefault="006D7C8D" w:rsidP="00D53099">
            <w:pPr>
              <w:pStyle w:val="TableText"/>
              <w:widowControl w:val="0"/>
              <w:suppressAutoHyphens w:val="0"/>
              <w:spacing w:before="0" w:after="0" w:line="240" w:lineRule="auto"/>
              <w:jc w:val="right"/>
            </w:pPr>
            <w:r>
              <w:rPr>
                <w:color w:val="1A1B1A"/>
                <w:szCs w:val="17"/>
              </w:rPr>
              <w:t>0.29</w:t>
            </w:r>
          </w:p>
        </w:tc>
        <w:tc>
          <w:tcPr>
            <w:tcW w:w="585" w:type="pct"/>
            <w:vAlign w:val="bottom"/>
          </w:tcPr>
          <w:p w14:paraId="17C60EF2" w14:textId="77777777" w:rsidR="006D7C8D" w:rsidRPr="00721FF0" w:rsidRDefault="006D7C8D" w:rsidP="00D53099">
            <w:pPr>
              <w:pStyle w:val="TableText"/>
              <w:widowControl w:val="0"/>
              <w:suppressAutoHyphens w:val="0"/>
              <w:spacing w:before="0" w:after="0" w:line="240" w:lineRule="auto"/>
              <w:jc w:val="right"/>
            </w:pPr>
            <w:r>
              <w:rPr>
                <w:color w:val="000000"/>
                <w:szCs w:val="17"/>
              </w:rPr>
              <w:t>838</w:t>
            </w:r>
          </w:p>
        </w:tc>
      </w:tr>
      <w:tr w:rsidR="006D7C8D" w:rsidRPr="00721FF0" w14:paraId="656497C0" w14:textId="77777777" w:rsidTr="00444693">
        <w:trPr>
          <w:cantSplit/>
          <w:trHeight w:val="13"/>
        </w:trPr>
        <w:tc>
          <w:tcPr>
            <w:tcW w:w="583" w:type="pct"/>
            <w:vMerge/>
          </w:tcPr>
          <w:p w14:paraId="1965D8F6"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3412576" w14:textId="77777777" w:rsidR="006D7C8D" w:rsidRDefault="006D7C8D" w:rsidP="00444693">
            <w:pPr>
              <w:pStyle w:val="TableText"/>
              <w:widowControl w:val="0"/>
              <w:suppressAutoHyphens w:val="0"/>
              <w:spacing w:before="0" w:after="0" w:line="240" w:lineRule="auto"/>
              <w:rPr>
                <w:szCs w:val="17"/>
              </w:rPr>
            </w:pPr>
          </w:p>
        </w:tc>
        <w:tc>
          <w:tcPr>
            <w:tcW w:w="634" w:type="pct"/>
            <w:vMerge/>
          </w:tcPr>
          <w:p w14:paraId="254726BD" w14:textId="77777777" w:rsidR="006D7C8D" w:rsidRPr="00C20C79" w:rsidRDefault="006D7C8D" w:rsidP="00444693">
            <w:pPr>
              <w:pStyle w:val="TableText"/>
              <w:widowControl w:val="0"/>
              <w:suppressAutoHyphens w:val="0"/>
              <w:spacing w:before="0" w:after="0" w:line="240" w:lineRule="auto"/>
              <w:rPr>
                <w:szCs w:val="17"/>
              </w:rPr>
            </w:pPr>
          </w:p>
        </w:tc>
        <w:tc>
          <w:tcPr>
            <w:tcW w:w="514" w:type="pct"/>
          </w:tcPr>
          <w:p w14:paraId="35A5F8B4" w14:textId="77777777" w:rsidR="006D7C8D" w:rsidRDefault="006D7C8D" w:rsidP="00D53099">
            <w:pPr>
              <w:pStyle w:val="TableText"/>
              <w:widowControl w:val="0"/>
              <w:suppressAutoHyphens w:val="0"/>
              <w:spacing w:before="0" w:after="0" w:line="240" w:lineRule="auto"/>
              <w:jc w:val="right"/>
            </w:pPr>
            <w:r w:rsidRPr="0080317B">
              <w:t>7.4</w:t>
            </w:r>
          </w:p>
        </w:tc>
        <w:tc>
          <w:tcPr>
            <w:tcW w:w="662" w:type="pct"/>
            <w:vAlign w:val="center"/>
          </w:tcPr>
          <w:p w14:paraId="3B42D547"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120</w:t>
            </w:r>
          </w:p>
        </w:tc>
        <w:tc>
          <w:tcPr>
            <w:tcW w:w="883" w:type="pct"/>
            <w:vAlign w:val="center"/>
          </w:tcPr>
          <w:p w14:paraId="0DFCCE00" w14:textId="77777777" w:rsidR="006D7C8D" w:rsidRPr="003B78B6" w:rsidRDefault="006D7C8D" w:rsidP="00D53099">
            <w:pPr>
              <w:pStyle w:val="TableText"/>
              <w:widowControl w:val="0"/>
              <w:suppressAutoHyphens w:val="0"/>
              <w:spacing w:before="0" w:after="0" w:line="240" w:lineRule="auto"/>
              <w:jc w:val="right"/>
            </w:pPr>
            <w:r>
              <w:rPr>
                <w:color w:val="1A1B1A"/>
                <w:szCs w:val="17"/>
              </w:rPr>
              <w:t>0.89</w:t>
            </w:r>
          </w:p>
        </w:tc>
        <w:tc>
          <w:tcPr>
            <w:tcW w:w="367" w:type="pct"/>
            <w:vAlign w:val="center"/>
          </w:tcPr>
          <w:p w14:paraId="36779B3C" w14:textId="77777777" w:rsidR="006D7C8D" w:rsidRPr="00721FF0" w:rsidRDefault="006D7C8D" w:rsidP="00D53099">
            <w:pPr>
              <w:pStyle w:val="TableText"/>
              <w:widowControl w:val="0"/>
              <w:suppressAutoHyphens w:val="0"/>
              <w:spacing w:before="0" w:after="0" w:line="240" w:lineRule="auto"/>
              <w:jc w:val="right"/>
            </w:pPr>
            <w:r>
              <w:rPr>
                <w:color w:val="1A1B1A"/>
                <w:szCs w:val="17"/>
              </w:rPr>
              <w:t>0.14</w:t>
            </w:r>
          </w:p>
        </w:tc>
        <w:tc>
          <w:tcPr>
            <w:tcW w:w="585" w:type="pct"/>
            <w:vAlign w:val="bottom"/>
          </w:tcPr>
          <w:p w14:paraId="258B2058" w14:textId="77777777" w:rsidR="006D7C8D" w:rsidRPr="00721FF0" w:rsidRDefault="006D7C8D" w:rsidP="00D53099">
            <w:pPr>
              <w:pStyle w:val="TableText"/>
              <w:widowControl w:val="0"/>
              <w:suppressAutoHyphens w:val="0"/>
              <w:spacing w:before="0" w:after="0" w:line="240" w:lineRule="auto"/>
              <w:jc w:val="right"/>
            </w:pPr>
            <w:r>
              <w:rPr>
                <w:color w:val="000000"/>
                <w:szCs w:val="17"/>
              </w:rPr>
              <w:t>838</w:t>
            </w:r>
          </w:p>
        </w:tc>
      </w:tr>
      <w:tr w:rsidR="006D7C8D" w:rsidRPr="00721FF0" w14:paraId="7151A82C" w14:textId="77777777" w:rsidTr="00444693">
        <w:trPr>
          <w:cantSplit/>
          <w:trHeight w:val="13"/>
        </w:trPr>
        <w:tc>
          <w:tcPr>
            <w:tcW w:w="583" w:type="pct"/>
            <w:vMerge w:val="restart"/>
            <w:tcBorders>
              <w:top w:val="single" w:sz="4" w:space="0" w:color="auto"/>
            </w:tcBorders>
          </w:tcPr>
          <w:p w14:paraId="5F1E7B09" w14:textId="77777777" w:rsidR="006D7C8D" w:rsidRDefault="006D7C8D" w:rsidP="00444693">
            <w:pPr>
              <w:pStyle w:val="TableText"/>
              <w:widowControl w:val="0"/>
              <w:suppressAutoHyphens w:val="0"/>
              <w:spacing w:before="0" w:after="0" w:line="240" w:lineRule="auto"/>
              <w:rPr>
                <w:szCs w:val="17"/>
              </w:rPr>
            </w:pPr>
            <w:r>
              <w:rPr>
                <w:szCs w:val="17"/>
              </w:rPr>
              <w:t>Potatoes</w:t>
            </w:r>
          </w:p>
        </w:tc>
        <w:tc>
          <w:tcPr>
            <w:tcW w:w="772" w:type="pct"/>
            <w:vMerge w:val="restart"/>
            <w:tcBorders>
              <w:top w:val="single" w:sz="4" w:space="0" w:color="auto"/>
            </w:tcBorders>
          </w:tcPr>
          <w:p w14:paraId="2F6303C1" w14:textId="77777777" w:rsidR="006D7C8D" w:rsidRDefault="006D7C8D" w:rsidP="00444693">
            <w:pPr>
              <w:pStyle w:val="TableText"/>
              <w:widowControl w:val="0"/>
              <w:suppressAutoHyphens w:val="0"/>
              <w:spacing w:before="0" w:after="0" w:line="240" w:lineRule="auto"/>
              <w:rPr>
                <w:szCs w:val="17"/>
              </w:rPr>
            </w:pPr>
            <w:r>
              <w:rPr>
                <w:szCs w:val="17"/>
              </w:rPr>
              <w:t>Small omnivore</w:t>
            </w:r>
          </w:p>
        </w:tc>
        <w:tc>
          <w:tcPr>
            <w:tcW w:w="634" w:type="pct"/>
            <w:tcBorders>
              <w:top w:val="single" w:sz="4" w:space="0" w:color="auto"/>
            </w:tcBorders>
          </w:tcPr>
          <w:p w14:paraId="0493C3C8" w14:textId="77777777" w:rsidR="006D7C8D" w:rsidRDefault="006D7C8D" w:rsidP="00444693">
            <w:pPr>
              <w:pStyle w:val="TableText"/>
              <w:widowControl w:val="0"/>
              <w:suppressAutoHyphens w:val="0"/>
              <w:spacing w:before="0" w:after="0" w:line="240" w:lineRule="auto"/>
              <w:rPr>
                <w:szCs w:val="17"/>
              </w:rPr>
            </w:pPr>
            <w:r>
              <w:rPr>
                <w:szCs w:val="17"/>
              </w:rPr>
              <w:t>BBCH ≥40</w:t>
            </w:r>
          </w:p>
        </w:tc>
        <w:tc>
          <w:tcPr>
            <w:tcW w:w="514" w:type="pct"/>
            <w:tcBorders>
              <w:top w:val="single" w:sz="4" w:space="0" w:color="auto"/>
            </w:tcBorders>
          </w:tcPr>
          <w:p w14:paraId="33CA79C4" w14:textId="77777777" w:rsidR="006D7C8D" w:rsidRPr="00426E98" w:rsidRDefault="006D7C8D" w:rsidP="00D53099">
            <w:pPr>
              <w:pStyle w:val="TableText"/>
              <w:widowControl w:val="0"/>
              <w:suppressAutoHyphens w:val="0"/>
              <w:spacing w:before="0" w:after="0" w:line="240" w:lineRule="auto"/>
              <w:jc w:val="right"/>
              <w:rPr>
                <w:szCs w:val="17"/>
              </w:rPr>
            </w:pPr>
            <w:r>
              <w:t>7.2</w:t>
            </w:r>
          </w:p>
        </w:tc>
        <w:tc>
          <w:tcPr>
            <w:tcW w:w="662" w:type="pct"/>
            <w:tcBorders>
              <w:top w:val="single" w:sz="4" w:space="0" w:color="auto"/>
            </w:tcBorders>
            <w:vAlign w:val="center"/>
          </w:tcPr>
          <w:p w14:paraId="79AE3130"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2AA1E83D" w14:textId="77777777" w:rsidR="006D7C8D" w:rsidRPr="003B78B6" w:rsidRDefault="006D7C8D" w:rsidP="00D53099">
            <w:pPr>
              <w:pStyle w:val="TableText"/>
              <w:widowControl w:val="0"/>
              <w:suppressAutoHyphens w:val="0"/>
              <w:spacing w:before="0" w:after="0" w:line="240" w:lineRule="auto"/>
              <w:jc w:val="right"/>
            </w:pPr>
            <w:r>
              <w:rPr>
                <w:color w:val="1A1B1A"/>
                <w:szCs w:val="17"/>
              </w:rPr>
              <w:t>5.8</w:t>
            </w:r>
          </w:p>
        </w:tc>
        <w:tc>
          <w:tcPr>
            <w:tcW w:w="367" w:type="pct"/>
            <w:tcBorders>
              <w:top w:val="single" w:sz="4" w:space="0" w:color="auto"/>
            </w:tcBorders>
            <w:vAlign w:val="center"/>
          </w:tcPr>
          <w:p w14:paraId="205731EC" w14:textId="77777777" w:rsidR="006D7C8D" w:rsidRPr="00721FF0" w:rsidRDefault="006D7C8D" w:rsidP="00D53099">
            <w:pPr>
              <w:pStyle w:val="TableText"/>
              <w:widowControl w:val="0"/>
              <w:suppressAutoHyphens w:val="0"/>
              <w:spacing w:before="0" w:after="0" w:line="240" w:lineRule="auto"/>
              <w:jc w:val="right"/>
            </w:pPr>
            <w:r>
              <w:rPr>
                <w:color w:val="1A1B1A"/>
                <w:szCs w:val="17"/>
              </w:rPr>
              <w:t>0.93</w:t>
            </w:r>
          </w:p>
        </w:tc>
        <w:tc>
          <w:tcPr>
            <w:tcW w:w="585" w:type="pct"/>
            <w:tcBorders>
              <w:top w:val="single" w:sz="4" w:space="0" w:color="auto"/>
            </w:tcBorders>
            <w:vAlign w:val="bottom"/>
          </w:tcPr>
          <w:p w14:paraId="4C22E255" w14:textId="77777777" w:rsidR="006D7C8D" w:rsidRPr="00721FF0" w:rsidRDefault="006D7C8D" w:rsidP="00D53099">
            <w:pPr>
              <w:pStyle w:val="TableText"/>
              <w:widowControl w:val="0"/>
              <w:suppressAutoHyphens w:val="0"/>
              <w:spacing w:before="0" w:after="0" w:line="240" w:lineRule="auto"/>
              <w:jc w:val="right"/>
            </w:pPr>
            <w:r>
              <w:rPr>
                <w:color w:val="000000"/>
                <w:szCs w:val="17"/>
              </w:rPr>
              <w:t>861</w:t>
            </w:r>
          </w:p>
        </w:tc>
      </w:tr>
      <w:tr w:rsidR="006D7C8D" w:rsidRPr="00721FF0" w14:paraId="36C25623" w14:textId="77777777" w:rsidTr="00444693">
        <w:trPr>
          <w:cantSplit/>
          <w:trHeight w:val="13"/>
        </w:trPr>
        <w:tc>
          <w:tcPr>
            <w:tcW w:w="583" w:type="pct"/>
            <w:vMerge/>
          </w:tcPr>
          <w:p w14:paraId="64ADA342" w14:textId="77777777" w:rsidR="006D7C8D" w:rsidRDefault="006D7C8D" w:rsidP="00444693">
            <w:pPr>
              <w:pStyle w:val="TableText"/>
              <w:widowControl w:val="0"/>
              <w:suppressAutoHyphens w:val="0"/>
              <w:spacing w:before="0" w:after="0" w:line="240" w:lineRule="auto"/>
              <w:rPr>
                <w:szCs w:val="17"/>
              </w:rPr>
            </w:pPr>
          </w:p>
        </w:tc>
        <w:tc>
          <w:tcPr>
            <w:tcW w:w="772" w:type="pct"/>
            <w:vMerge/>
          </w:tcPr>
          <w:p w14:paraId="745CFDCE" w14:textId="77777777" w:rsidR="006D7C8D" w:rsidRDefault="006D7C8D" w:rsidP="00444693">
            <w:pPr>
              <w:pStyle w:val="TableText"/>
              <w:widowControl w:val="0"/>
              <w:suppressAutoHyphens w:val="0"/>
              <w:spacing w:before="0" w:after="0" w:line="240" w:lineRule="auto"/>
              <w:rPr>
                <w:szCs w:val="17"/>
              </w:rPr>
            </w:pPr>
          </w:p>
        </w:tc>
        <w:tc>
          <w:tcPr>
            <w:tcW w:w="634" w:type="pct"/>
          </w:tcPr>
          <w:p w14:paraId="2E81B814" w14:textId="77777777" w:rsidR="006D7C8D" w:rsidRDefault="006D7C8D" w:rsidP="00444693">
            <w:pPr>
              <w:pStyle w:val="TableText"/>
              <w:widowControl w:val="0"/>
              <w:suppressAutoHyphens w:val="0"/>
              <w:spacing w:before="0" w:after="0" w:line="240" w:lineRule="auto"/>
              <w:rPr>
                <w:szCs w:val="17"/>
              </w:rPr>
            </w:pPr>
          </w:p>
        </w:tc>
        <w:tc>
          <w:tcPr>
            <w:tcW w:w="514" w:type="pct"/>
          </w:tcPr>
          <w:p w14:paraId="417FB500" w14:textId="77777777" w:rsidR="006D7C8D" w:rsidRDefault="006D7C8D" w:rsidP="00D53099">
            <w:pPr>
              <w:pStyle w:val="TableText"/>
              <w:widowControl w:val="0"/>
              <w:suppressAutoHyphens w:val="0"/>
              <w:spacing w:before="0" w:after="0" w:line="240" w:lineRule="auto"/>
              <w:jc w:val="right"/>
            </w:pPr>
            <w:r w:rsidRPr="00E37BC6">
              <w:t>7.2</w:t>
            </w:r>
          </w:p>
        </w:tc>
        <w:tc>
          <w:tcPr>
            <w:tcW w:w="662" w:type="pct"/>
            <w:vAlign w:val="center"/>
          </w:tcPr>
          <w:p w14:paraId="5B4FA3C1"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vAlign w:val="center"/>
          </w:tcPr>
          <w:p w14:paraId="194A0C64" w14:textId="77777777" w:rsidR="006D7C8D" w:rsidRPr="003B78B6" w:rsidRDefault="006D7C8D" w:rsidP="00D53099">
            <w:pPr>
              <w:pStyle w:val="TableText"/>
              <w:widowControl w:val="0"/>
              <w:suppressAutoHyphens w:val="0"/>
              <w:spacing w:before="0" w:after="0" w:line="240" w:lineRule="auto"/>
              <w:jc w:val="right"/>
            </w:pPr>
            <w:r>
              <w:rPr>
                <w:color w:val="1A1B1A"/>
                <w:szCs w:val="17"/>
              </w:rPr>
              <w:t>2.3</w:t>
            </w:r>
          </w:p>
        </w:tc>
        <w:tc>
          <w:tcPr>
            <w:tcW w:w="367" w:type="pct"/>
            <w:vAlign w:val="center"/>
          </w:tcPr>
          <w:p w14:paraId="48CA13AC" w14:textId="77777777" w:rsidR="006D7C8D" w:rsidRPr="00721FF0" w:rsidRDefault="006D7C8D" w:rsidP="00D53099">
            <w:pPr>
              <w:pStyle w:val="TableText"/>
              <w:widowControl w:val="0"/>
              <w:suppressAutoHyphens w:val="0"/>
              <w:spacing w:before="0" w:after="0" w:line="240" w:lineRule="auto"/>
              <w:jc w:val="right"/>
            </w:pPr>
            <w:r>
              <w:rPr>
                <w:color w:val="1A1B1A"/>
                <w:szCs w:val="17"/>
              </w:rPr>
              <w:t>0.37</w:t>
            </w:r>
          </w:p>
        </w:tc>
        <w:tc>
          <w:tcPr>
            <w:tcW w:w="585" w:type="pct"/>
            <w:vAlign w:val="bottom"/>
          </w:tcPr>
          <w:p w14:paraId="0B6181EF" w14:textId="77777777" w:rsidR="006D7C8D" w:rsidRPr="00721FF0" w:rsidRDefault="006D7C8D" w:rsidP="00D53099">
            <w:pPr>
              <w:pStyle w:val="TableText"/>
              <w:widowControl w:val="0"/>
              <w:suppressAutoHyphens w:val="0"/>
              <w:spacing w:before="0" w:after="0" w:line="240" w:lineRule="auto"/>
              <w:jc w:val="right"/>
            </w:pPr>
            <w:r>
              <w:rPr>
                <w:color w:val="000000"/>
                <w:szCs w:val="17"/>
              </w:rPr>
              <w:t>861</w:t>
            </w:r>
          </w:p>
        </w:tc>
      </w:tr>
      <w:tr w:rsidR="006D7C8D" w:rsidRPr="00721FF0" w14:paraId="42EE8C70" w14:textId="77777777" w:rsidTr="00444693">
        <w:trPr>
          <w:cantSplit/>
          <w:trHeight w:val="13"/>
        </w:trPr>
        <w:tc>
          <w:tcPr>
            <w:tcW w:w="583" w:type="pct"/>
            <w:vMerge/>
          </w:tcPr>
          <w:p w14:paraId="586F4BEA" w14:textId="77777777" w:rsidR="006D7C8D" w:rsidRDefault="006D7C8D" w:rsidP="00444693">
            <w:pPr>
              <w:pStyle w:val="TableText"/>
              <w:widowControl w:val="0"/>
              <w:suppressAutoHyphens w:val="0"/>
              <w:spacing w:before="0" w:after="0" w:line="240" w:lineRule="auto"/>
              <w:rPr>
                <w:szCs w:val="17"/>
              </w:rPr>
            </w:pPr>
          </w:p>
        </w:tc>
        <w:tc>
          <w:tcPr>
            <w:tcW w:w="772" w:type="pct"/>
            <w:vMerge w:val="restart"/>
            <w:tcBorders>
              <w:top w:val="single" w:sz="4" w:space="0" w:color="auto"/>
            </w:tcBorders>
          </w:tcPr>
          <w:p w14:paraId="40C0299F" w14:textId="77777777" w:rsidR="006D7C8D" w:rsidRDefault="006D7C8D" w:rsidP="00444693">
            <w:pPr>
              <w:pStyle w:val="TableText"/>
              <w:widowControl w:val="0"/>
              <w:suppressAutoHyphens w:val="0"/>
              <w:spacing w:before="0" w:after="0" w:line="240" w:lineRule="auto"/>
              <w:rPr>
                <w:szCs w:val="17"/>
              </w:rPr>
            </w:pPr>
            <w:r>
              <w:rPr>
                <w:szCs w:val="17"/>
              </w:rPr>
              <w:t>Small insectivore</w:t>
            </w:r>
          </w:p>
        </w:tc>
        <w:tc>
          <w:tcPr>
            <w:tcW w:w="634" w:type="pct"/>
            <w:tcBorders>
              <w:top w:val="single" w:sz="4" w:space="0" w:color="auto"/>
            </w:tcBorders>
          </w:tcPr>
          <w:p w14:paraId="27099BE5" w14:textId="77777777" w:rsidR="006D7C8D" w:rsidRDefault="006D7C8D" w:rsidP="00444693">
            <w:pPr>
              <w:pStyle w:val="TableText"/>
              <w:widowControl w:val="0"/>
              <w:suppressAutoHyphens w:val="0"/>
              <w:spacing w:before="0" w:after="0" w:line="240" w:lineRule="auto"/>
              <w:rPr>
                <w:szCs w:val="17"/>
              </w:rPr>
            </w:pPr>
            <w:r>
              <w:rPr>
                <w:szCs w:val="17"/>
              </w:rPr>
              <w:t>BBCH ≥20</w:t>
            </w:r>
          </w:p>
        </w:tc>
        <w:tc>
          <w:tcPr>
            <w:tcW w:w="514" w:type="pct"/>
            <w:tcBorders>
              <w:top w:val="single" w:sz="4" w:space="0" w:color="auto"/>
            </w:tcBorders>
          </w:tcPr>
          <w:p w14:paraId="36AE5F95" w14:textId="77777777" w:rsidR="006D7C8D" w:rsidRPr="00426E98" w:rsidRDefault="006D7C8D" w:rsidP="00D53099">
            <w:pPr>
              <w:pStyle w:val="TableText"/>
              <w:widowControl w:val="0"/>
              <w:suppressAutoHyphens w:val="0"/>
              <w:spacing w:before="0" w:after="0" w:line="240" w:lineRule="auto"/>
              <w:jc w:val="right"/>
              <w:rPr>
                <w:szCs w:val="17"/>
              </w:rPr>
            </w:pPr>
            <w:r>
              <w:t>25.2</w:t>
            </w:r>
          </w:p>
        </w:tc>
        <w:tc>
          <w:tcPr>
            <w:tcW w:w="662" w:type="pct"/>
            <w:tcBorders>
              <w:top w:val="single" w:sz="4" w:space="0" w:color="auto"/>
            </w:tcBorders>
            <w:vAlign w:val="center"/>
          </w:tcPr>
          <w:p w14:paraId="5A95A43B"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800</w:t>
            </w:r>
          </w:p>
        </w:tc>
        <w:tc>
          <w:tcPr>
            <w:tcW w:w="883" w:type="pct"/>
            <w:tcBorders>
              <w:top w:val="single" w:sz="4" w:space="0" w:color="auto"/>
            </w:tcBorders>
            <w:vAlign w:val="center"/>
          </w:tcPr>
          <w:p w14:paraId="39CA41C0" w14:textId="77777777" w:rsidR="006D7C8D" w:rsidRPr="003B78B6" w:rsidRDefault="006D7C8D" w:rsidP="00D53099">
            <w:pPr>
              <w:pStyle w:val="TableText"/>
              <w:widowControl w:val="0"/>
              <w:suppressAutoHyphens w:val="0"/>
              <w:spacing w:before="0" w:after="0" w:line="240" w:lineRule="auto"/>
              <w:jc w:val="right"/>
            </w:pPr>
            <w:r>
              <w:rPr>
                <w:color w:val="1A1B1A"/>
                <w:szCs w:val="17"/>
              </w:rPr>
              <w:t>20</w:t>
            </w:r>
          </w:p>
        </w:tc>
        <w:tc>
          <w:tcPr>
            <w:tcW w:w="367" w:type="pct"/>
            <w:tcBorders>
              <w:top w:val="single" w:sz="4" w:space="0" w:color="auto"/>
            </w:tcBorders>
            <w:shd w:val="clear" w:color="auto" w:fill="FF0000"/>
            <w:vAlign w:val="center"/>
          </w:tcPr>
          <w:p w14:paraId="1F49462F"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3.3</w:t>
            </w:r>
          </w:p>
        </w:tc>
        <w:tc>
          <w:tcPr>
            <w:tcW w:w="585" w:type="pct"/>
            <w:tcBorders>
              <w:top w:val="single" w:sz="4" w:space="0" w:color="auto"/>
            </w:tcBorders>
            <w:vAlign w:val="bottom"/>
          </w:tcPr>
          <w:p w14:paraId="59162DF9" w14:textId="77777777" w:rsidR="006D7C8D" w:rsidRPr="00721FF0" w:rsidRDefault="006D7C8D" w:rsidP="00D53099">
            <w:pPr>
              <w:pStyle w:val="TableText"/>
              <w:widowControl w:val="0"/>
              <w:suppressAutoHyphens w:val="0"/>
              <w:spacing w:before="0" w:after="0" w:line="240" w:lineRule="auto"/>
              <w:jc w:val="right"/>
            </w:pPr>
            <w:r>
              <w:rPr>
                <w:color w:val="000000"/>
                <w:szCs w:val="17"/>
              </w:rPr>
              <w:t>246</w:t>
            </w:r>
          </w:p>
        </w:tc>
      </w:tr>
      <w:tr w:rsidR="006D7C8D" w:rsidRPr="00721FF0" w14:paraId="2B59889A" w14:textId="77777777" w:rsidTr="00444693">
        <w:trPr>
          <w:cantSplit/>
          <w:trHeight w:val="13"/>
        </w:trPr>
        <w:tc>
          <w:tcPr>
            <w:tcW w:w="583" w:type="pct"/>
            <w:vMerge/>
            <w:tcBorders>
              <w:bottom w:val="single" w:sz="4" w:space="0" w:color="auto"/>
            </w:tcBorders>
          </w:tcPr>
          <w:p w14:paraId="548E7C81" w14:textId="77777777" w:rsidR="006D7C8D" w:rsidRDefault="006D7C8D" w:rsidP="00444693">
            <w:pPr>
              <w:pStyle w:val="TableText"/>
              <w:widowControl w:val="0"/>
              <w:suppressAutoHyphens w:val="0"/>
              <w:spacing w:before="0" w:after="0" w:line="240" w:lineRule="auto"/>
              <w:rPr>
                <w:szCs w:val="17"/>
              </w:rPr>
            </w:pPr>
          </w:p>
        </w:tc>
        <w:tc>
          <w:tcPr>
            <w:tcW w:w="772" w:type="pct"/>
            <w:vMerge/>
            <w:tcBorders>
              <w:bottom w:val="single" w:sz="4" w:space="0" w:color="auto"/>
            </w:tcBorders>
          </w:tcPr>
          <w:p w14:paraId="794B3634" w14:textId="77777777" w:rsidR="006D7C8D" w:rsidRDefault="006D7C8D" w:rsidP="00444693">
            <w:pPr>
              <w:pStyle w:val="TableText"/>
              <w:widowControl w:val="0"/>
              <w:suppressAutoHyphens w:val="0"/>
              <w:spacing w:before="0" w:after="0" w:line="240" w:lineRule="auto"/>
              <w:rPr>
                <w:szCs w:val="17"/>
              </w:rPr>
            </w:pPr>
          </w:p>
        </w:tc>
        <w:tc>
          <w:tcPr>
            <w:tcW w:w="634" w:type="pct"/>
            <w:tcBorders>
              <w:bottom w:val="single" w:sz="4" w:space="0" w:color="auto"/>
            </w:tcBorders>
          </w:tcPr>
          <w:p w14:paraId="556B64D2" w14:textId="77777777" w:rsidR="006D7C8D" w:rsidRDefault="006D7C8D" w:rsidP="00444693">
            <w:pPr>
              <w:pStyle w:val="TableText"/>
              <w:widowControl w:val="0"/>
              <w:suppressAutoHyphens w:val="0"/>
              <w:spacing w:before="0" w:after="0" w:line="240" w:lineRule="auto"/>
              <w:rPr>
                <w:szCs w:val="17"/>
              </w:rPr>
            </w:pPr>
          </w:p>
        </w:tc>
        <w:tc>
          <w:tcPr>
            <w:tcW w:w="514" w:type="pct"/>
            <w:tcBorders>
              <w:bottom w:val="single" w:sz="4" w:space="0" w:color="auto"/>
            </w:tcBorders>
          </w:tcPr>
          <w:p w14:paraId="1407B6EA" w14:textId="77777777" w:rsidR="006D7C8D" w:rsidRDefault="006D7C8D" w:rsidP="00D53099">
            <w:pPr>
              <w:pStyle w:val="TableText"/>
              <w:widowControl w:val="0"/>
              <w:suppressAutoHyphens w:val="0"/>
              <w:spacing w:before="0" w:after="0" w:line="240" w:lineRule="auto"/>
              <w:jc w:val="right"/>
            </w:pPr>
            <w:r w:rsidRPr="00E73707">
              <w:t>25.2</w:t>
            </w:r>
          </w:p>
        </w:tc>
        <w:tc>
          <w:tcPr>
            <w:tcW w:w="662" w:type="pct"/>
            <w:tcBorders>
              <w:bottom w:val="single" w:sz="4" w:space="0" w:color="auto"/>
            </w:tcBorders>
            <w:vAlign w:val="center"/>
          </w:tcPr>
          <w:p w14:paraId="0700F4B2" w14:textId="77777777" w:rsidR="006D7C8D" w:rsidRDefault="006D7C8D" w:rsidP="00D53099">
            <w:pPr>
              <w:pStyle w:val="TableText"/>
              <w:widowControl w:val="0"/>
              <w:suppressAutoHyphens w:val="0"/>
              <w:spacing w:before="0" w:after="0" w:line="240" w:lineRule="auto"/>
              <w:jc w:val="right"/>
              <w:rPr>
                <w:szCs w:val="17"/>
              </w:rPr>
            </w:pPr>
            <w:r>
              <w:rPr>
                <w:color w:val="1A1B1A"/>
                <w:szCs w:val="17"/>
              </w:rPr>
              <w:t>320</w:t>
            </w:r>
          </w:p>
        </w:tc>
        <w:tc>
          <w:tcPr>
            <w:tcW w:w="883" w:type="pct"/>
            <w:tcBorders>
              <w:bottom w:val="single" w:sz="4" w:space="0" w:color="auto"/>
            </w:tcBorders>
            <w:vAlign w:val="center"/>
          </w:tcPr>
          <w:p w14:paraId="4AB8014B" w14:textId="77777777" w:rsidR="006D7C8D" w:rsidRPr="003B78B6" w:rsidRDefault="006D7C8D" w:rsidP="00D53099">
            <w:pPr>
              <w:pStyle w:val="TableText"/>
              <w:widowControl w:val="0"/>
              <w:suppressAutoHyphens w:val="0"/>
              <w:spacing w:before="0" w:after="0" w:line="240" w:lineRule="auto"/>
              <w:jc w:val="right"/>
            </w:pPr>
            <w:r>
              <w:rPr>
                <w:color w:val="1A1B1A"/>
                <w:szCs w:val="17"/>
              </w:rPr>
              <w:t>8.1</w:t>
            </w:r>
          </w:p>
        </w:tc>
        <w:tc>
          <w:tcPr>
            <w:tcW w:w="367" w:type="pct"/>
            <w:tcBorders>
              <w:bottom w:val="single" w:sz="4" w:space="0" w:color="auto"/>
            </w:tcBorders>
            <w:shd w:val="clear" w:color="auto" w:fill="FF0000"/>
            <w:vAlign w:val="center"/>
          </w:tcPr>
          <w:p w14:paraId="10166FAB" w14:textId="77777777" w:rsidR="006D7C8D" w:rsidRPr="00721FF0" w:rsidRDefault="006D7C8D" w:rsidP="00D53099">
            <w:pPr>
              <w:pStyle w:val="TableText"/>
              <w:widowControl w:val="0"/>
              <w:suppressAutoHyphens w:val="0"/>
              <w:spacing w:before="0" w:after="0" w:line="240" w:lineRule="auto"/>
              <w:jc w:val="right"/>
            </w:pPr>
            <w:r>
              <w:rPr>
                <w:b/>
                <w:bCs/>
                <w:color w:val="1A1B1A"/>
                <w:szCs w:val="17"/>
              </w:rPr>
              <w:t>1.3</w:t>
            </w:r>
          </w:p>
        </w:tc>
        <w:tc>
          <w:tcPr>
            <w:tcW w:w="585" w:type="pct"/>
            <w:tcBorders>
              <w:bottom w:val="single" w:sz="4" w:space="0" w:color="auto"/>
            </w:tcBorders>
            <w:vAlign w:val="bottom"/>
          </w:tcPr>
          <w:p w14:paraId="47C6A94B" w14:textId="77777777" w:rsidR="006D7C8D" w:rsidRPr="00721FF0" w:rsidRDefault="006D7C8D" w:rsidP="00D53099">
            <w:pPr>
              <w:pStyle w:val="TableText"/>
              <w:widowControl w:val="0"/>
              <w:suppressAutoHyphens w:val="0"/>
              <w:spacing w:before="0" w:after="0" w:line="240" w:lineRule="auto"/>
              <w:jc w:val="right"/>
            </w:pPr>
            <w:r>
              <w:rPr>
                <w:color w:val="000000"/>
                <w:szCs w:val="17"/>
              </w:rPr>
              <w:t>246</w:t>
            </w:r>
          </w:p>
        </w:tc>
      </w:tr>
    </w:tbl>
    <w:p w14:paraId="27C2639E" w14:textId="77777777" w:rsidR="006D7C8D" w:rsidRPr="00D53099" w:rsidRDefault="006D7C8D" w:rsidP="00D53099">
      <w:pPr>
        <w:pStyle w:val="SourceTableNote"/>
      </w:pPr>
      <w:r w:rsidRPr="00D53099">
        <w:rPr>
          <w:vertAlign w:val="superscript"/>
        </w:rPr>
        <w:t>a</w:t>
      </w:r>
      <w:r w:rsidRPr="00D53099">
        <w:t xml:space="preserve"> Refined shortcut value used for risk assessment; small herbivores, bodyweight adjusted to 50 g</w:t>
      </w:r>
    </w:p>
    <w:p w14:paraId="67747C83" w14:textId="77777777" w:rsidR="006D7C8D" w:rsidRPr="00D53099" w:rsidRDefault="006D7C8D" w:rsidP="00D53099">
      <w:pPr>
        <w:pStyle w:val="SourceTableNote"/>
      </w:pPr>
      <w:r w:rsidRPr="00D53099">
        <w:rPr>
          <w:vertAlign w:val="superscript"/>
        </w:rPr>
        <w:t>b</w:t>
      </w:r>
      <w:r w:rsidRPr="00D53099">
        <w:t xml:space="preserve"> Refined shortcut value used for risk assessment; large herbivores, bodyweight adjusted to 1500 g and DEE based on non-eutherian mammals</w:t>
      </w:r>
    </w:p>
    <w:p w14:paraId="7AD99ECE" w14:textId="77777777" w:rsidR="006D7C8D" w:rsidRPr="00D53099" w:rsidRDefault="006D7C8D" w:rsidP="00D53099">
      <w:pPr>
        <w:pStyle w:val="SourceTableNote"/>
      </w:pPr>
      <w:r w:rsidRPr="00D53099">
        <w:rPr>
          <w:vertAlign w:val="superscript"/>
        </w:rPr>
        <w:t>c</w:t>
      </w:r>
      <w:r w:rsidRPr="00D53099">
        <w:t xml:space="preserve"> Refined shortcut value used for risk assessment; adjusted for interception values in EFSA (2020)</w:t>
      </w:r>
    </w:p>
    <w:p w14:paraId="09AE3049" w14:textId="21644FBA" w:rsidR="006D7C8D" w:rsidRPr="00D53099" w:rsidRDefault="006D7C8D" w:rsidP="00D53099">
      <w:pPr>
        <w:pStyle w:val="SourceTableNote"/>
      </w:pPr>
      <w:r w:rsidRPr="00D53099">
        <w:lastRenderedPageBreak/>
        <w:t>Crop groups and situations as indicated in</w:t>
      </w:r>
      <w:r w:rsidR="00CD4B55">
        <w:t xml:space="preserve"> </w:t>
      </w:r>
      <w:r w:rsidR="00CD4B55">
        <w:fldChar w:fldCharType="begin"/>
      </w:r>
      <w:r w:rsidR="00CD4B55">
        <w:instrText xml:space="preserve"> REF _Ref167304193 \h </w:instrText>
      </w:r>
      <w:r w:rsidR="00CD4B55">
        <w:fldChar w:fldCharType="separate"/>
      </w:r>
      <w:r w:rsidR="00CD4B55" w:rsidRPr="007E28B2">
        <w:t xml:space="preserve">Table </w:t>
      </w:r>
      <w:r w:rsidR="00CD4B55">
        <w:rPr>
          <w:noProof/>
        </w:rPr>
        <w:t>41</w:t>
      </w:r>
      <w:r w:rsidR="00CD4B55">
        <w:fldChar w:fldCharType="end"/>
      </w:r>
    </w:p>
    <w:p w14:paraId="7A7F2646" w14:textId="77777777" w:rsidR="006D7C8D" w:rsidRPr="00D53099" w:rsidRDefault="006D7C8D" w:rsidP="00D53099">
      <w:pPr>
        <w:pStyle w:val="SourceTableNote"/>
      </w:pPr>
      <w:r w:rsidRPr="00D53099">
        <w:t>Generic focal species and shortcut values for indicated crop groups from EFSA (2009), unless indicated otherwise</w:t>
      </w:r>
    </w:p>
    <w:p w14:paraId="7AEC4FC0" w14:textId="77777777" w:rsidR="006D7C8D" w:rsidRPr="00D53099" w:rsidRDefault="006D7C8D" w:rsidP="00D53099">
      <w:pPr>
        <w:pStyle w:val="SourceTableNote"/>
      </w:pPr>
      <w:r w:rsidRPr="00D53099">
        <w:t>AR (g ac/ha) = application rate</w:t>
      </w:r>
    </w:p>
    <w:p w14:paraId="56BC708F" w14:textId="77777777" w:rsidR="006D7C8D" w:rsidRPr="00D53099" w:rsidRDefault="006D7C8D" w:rsidP="00D53099">
      <w:pPr>
        <w:pStyle w:val="SourceTableNote"/>
      </w:pPr>
      <w:r w:rsidRPr="00D53099">
        <w:t>DDD (mg ac/kg bw or mg ac/kg bw/d) = daily dietary dose = AR ∕ 1000 × shortcut value</w:t>
      </w:r>
    </w:p>
    <w:p w14:paraId="163708E0" w14:textId="7EEA458A" w:rsidR="006D7C8D" w:rsidRPr="00D53099" w:rsidRDefault="006D7C8D" w:rsidP="00D53099">
      <w:pPr>
        <w:pStyle w:val="SourceTableNote"/>
      </w:pPr>
      <w:r w:rsidRPr="00D53099">
        <w:t xml:space="preserve">RAL = regulatory acceptable level (from </w:t>
      </w:r>
      <w:r w:rsidRPr="00D53099">
        <w:fldChar w:fldCharType="begin"/>
      </w:r>
      <w:r w:rsidRPr="00D53099">
        <w:instrText xml:space="preserve"> REF _Ref167303882 \h </w:instrText>
      </w:r>
      <w:r w:rsidR="00D53099">
        <w:instrText xml:space="preserve"> \* MERGEFORMAT </w:instrText>
      </w:r>
      <w:r w:rsidRPr="00D53099">
        <w:fldChar w:fldCharType="separate"/>
      </w:r>
      <w:r w:rsidR="008A397D" w:rsidRPr="00D53099">
        <w:t>Table 40</w:t>
      </w:r>
      <w:r w:rsidRPr="00D53099">
        <w:fldChar w:fldCharType="end"/>
      </w:r>
      <w:r w:rsidRPr="00D53099">
        <w:t>)</w:t>
      </w:r>
    </w:p>
    <w:p w14:paraId="699D6FDC" w14:textId="01AE5B70" w:rsidR="006D7C8D" w:rsidRPr="006D7C8D" w:rsidRDefault="006D7C8D" w:rsidP="00D53099">
      <w:pPr>
        <w:pStyle w:val="SourceTableNote"/>
      </w:pPr>
      <w:r w:rsidRPr="00D53099">
        <w:t>RQ = risk quotient = DDD ∕ RAL, RQ ≤1 indicates an acceptable risk</w:t>
      </w:r>
    </w:p>
    <w:p w14:paraId="0E1E3DAF" w14:textId="1C92AF5B" w:rsidR="00C2168A" w:rsidRPr="00D53099" w:rsidRDefault="009D61A7" w:rsidP="00D53099">
      <w:pPr>
        <w:pStyle w:val="Caption"/>
      </w:pPr>
      <w:bookmarkStart w:id="560" w:name="_Ref167304470"/>
      <w:bookmarkStart w:id="561" w:name="_Toc230692309"/>
      <w:bookmarkStart w:id="562" w:name="_Toc233036530"/>
      <w:bookmarkStart w:id="563" w:name="_Hlk163650556"/>
      <w:r w:rsidRPr="00D53099">
        <w:t xml:space="preserve">Table </w:t>
      </w:r>
      <w:fldSimple w:instr=" SEQ Table \* ARABIC ">
        <w:r w:rsidR="00D53099">
          <w:rPr>
            <w:noProof/>
          </w:rPr>
          <w:t>43</w:t>
        </w:r>
      </w:fldSimple>
      <w:bookmarkEnd w:id="560"/>
      <w:r w:rsidR="00C2168A" w:rsidRPr="00D53099">
        <w:t>:</w:t>
      </w:r>
      <w:r w:rsidRPr="00D53099">
        <w:t xml:space="preserve"> </w:t>
      </w:r>
      <w:r w:rsidR="00C2168A" w:rsidRPr="00D53099">
        <w:t>Summary of risk assessment outcomes for risks of combination products containing 115 g/L diquat and 135 g/L paraquat to terrestrial vertebrates</w:t>
      </w:r>
      <w:bookmarkEnd w:id="561"/>
      <w:bookmarkEnd w:id="5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90"/>
        <w:gridCol w:w="1469"/>
        <w:gridCol w:w="1469"/>
        <w:gridCol w:w="1469"/>
        <w:gridCol w:w="1469"/>
        <w:gridCol w:w="1462"/>
      </w:tblGrid>
      <w:tr w:rsidR="006D7C8D" w:rsidRPr="00EF5C2F" w14:paraId="33D9DBDB" w14:textId="77777777" w:rsidTr="00444693">
        <w:trPr>
          <w:cantSplit/>
          <w:tblHeader/>
        </w:trPr>
        <w:tc>
          <w:tcPr>
            <w:tcW w:w="1189" w:type="pct"/>
            <w:tcBorders>
              <w:bottom w:val="single" w:sz="4" w:space="0" w:color="auto"/>
            </w:tcBorders>
            <w:shd w:val="clear" w:color="auto" w:fill="5C2946"/>
          </w:tcPr>
          <w:p w14:paraId="1BC290C0" w14:textId="77777777" w:rsidR="006D7C8D" w:rsidRPr="00D53099" w:rsidRDefault="006D7C8D" w:rsidP="00D53099">
            <w:pPr>
              <w:pStyle w:val="TableHead"/>
            </w:pPr>
            <w:r w:rsidRPr="00D53099">
              <w:t>Crop/situation</w:t>
            </w:r>
          </w:p>
        </w:tc>
        <w:tc>
          <w:tcPr>
            <w:tcW w:w="763" w:type="pct"/>
            <w:tcBorders>
              <w:bottom w:val="single" w:sz="4" w:space="0" w:color="auto"/>
            </w:tcBorders>
            <w:shd w:val="clear" w:color="auto" w:fill="5C2946"/>
          </w:tcPr>
          <w:p w14:paraId="1237DF7C" w14:textId="77777777" w:rsidR="006D7C8D" w:rsidRDefault="006D7C8D" w:rsidP="001C5089">
            <w:pPr>
              <w:pStyle w:val="TableHeadRight"/>
            </w:pPr>
            <w:r>
              <w:t>Product rate range</w:t>
            </w:r>
          </w:p>
          <w:p w14:paraId="04854156" w14:textId="77777777" w:rsidR="006D7C8D" w:rsidRPr="00EF5C2F" w:rsidRDefault="006D7C8D" w:rsidP="001C5089">
            <w:pPr>
              <w:pStyle w:val="TableHeadRight"/>
            </w:pPr>
            <w:r>
              <w:t>(L/ha)</w:t>
            </w:r>
          </w:p>
        </w:tc>
        <w:tc>
          <w:tcPr>
            <w:tcW w:w="763" w:type="pct"/>
            <w:tcBorders>
              <w:bottom w:val="single" w:sz="4" w:space="0" w:color="auto"/>
            </w:tcBorders>
            <w:shd w:val="clear" w:color="auto" w:fill="5C2946"/>
          </w:tcPr>
          <w:p w14:paraId="072836F2" w14:textId="77777777" w:rsidR="006D7C8D" w:rsidRPr="00EF5C2F" w:rsidRDefault="006D7C8D" w:rsidP="001C5089">
            <w:pPr>
              <w:pStyle w:val="TableHead"/>
              <w:jc w:val="right"/>
            </w:pPr>
            <w:r>
              <w:t>Wild mammal assessment</w:t>
            </w:r>
          </w:p>
        </w:tc>
        <w:tc>
          <w:tcPr>
            <w:tcW w:w="763" w:type="pct"/>
            <w:tcBorders>
              <w:bottom w:val="single" w:sz="4" w:space="0" w:color="auto"/>
            </w:tcBorders>
            <w:shd w:val="clear" w:color="auto" w:fill="5C2946"/>
          </w:tcPr>
          <w:p w14:paraId="2CD085F5" w14:textId="77777777" w:rsidR="006D7C8D" w:rsidRDefault="006D7C8D" w:rsidP="001C5089">
            <w:pPr>
              <w:pStyle w:val="TableHeadRight"/>
            </w:pPr>
            <w:r>
              <w:t>Max rate supported</w:t>
            </w:r>
          </w:p>
          <w:p w14:paraId="56AFC9A4" w14:textId="77777777" w:rsidR="006D7C8D" w:rsidRDefault="006D7C8D" w:rsidP="001C5089">
            <w:pPr>
              <w:pStyle w:val="TableHeadRight"/>
            </w:pPr>
            <w:r>
              <w:t>(g acs/ha)</w:t>
            </w:r>
          </w:p>
        </w:tc>
        <w:tc>
          <w:tcPr>
            <w:tcW w:w="763" w:type="pct"/>
            <w:tcBorders>
              <w:bottom w:val="single" w:sz="4" w:space="0" w:color="auto"/>
            </w:tcBorders>
            <w:shd w:val="clear" w:color="auto" w:fill="5C2946"/>
          </w:tcPr>
          <w:p w14:paraId="30D776EA" w14:textId="77777777" w:rsidR="006D7C8D" w:rsidRPr="00EF5C2F" w:rsidRDefault="006D7C8D" w:rsidP="001C5089">
            <w:pPr>
              <w:pStyle w:val="TableHead"/>
              <w:jc w:val="right"/>
            </w:pPr>
            <w:r>
              <w:t>Bird assessment</w:t>
            </w:r>
          </w:p>
        </w:tc>
        <w:tc>
          <w:tcPr>
            <w:tcW w:w="759" w:type="pct"/>
            <w:tcBorders>
              <w:bottom w:val="single" w:sz="4" w:space="0" w:color="auto"/>
            </w:tcBorders>
            <w:shd w:val="clear" w:color="auto" w:fill="5C2946"/>
          </w:tcPr>
          <w:p w14:paraId="54F9BCC8" w14:textId="77777777" w:rsidR="006D7C8D" w:rsidRDefault="006D7C8D" w:rsidP="001C5089">
            <w:pPr>
              <w:pStyle w:val="TableHeadRight"/>
            </w:pPr>
            <w:r>
              <w:t>Max rate supported</w:t>
            </w:r>
          </w:p>
          <w:p w14:paraId="0BCC3354" w14:textId="77777777" w:rsidR="006D7C8D" w:rsidRPr="00EF5C2F" w:rsidRDefault="006D7C8D" w:rsidP="001C5089">
            <w:pPr>
              <w:pStyle w:val="TableHeadRight"/>
            </w:pPr>
            <w:r>
              <w:t>(g acs/ha)</w:t>
            </w:r>
          </w:p>
        </w:tc>
      </w:tr>
      <w:tr w:rsidR="006D7C8D" w:rsidRPr="00DE51F5" w14:paraId="0949ACDB" w14:textId="77777777" w:rsidTr="001C5089">
        <w:trPr>
          <w:cantSplit/>
          <w:trHeight w:val="227"/>
        </w:trPr>
        <w:tc>
          <w:tcPr>
            <w:tcW w:w="1189" w:type="pct"/>
            <w:tcBorders>
              <w:top w:val="single" w:sz="4" w:space="0" w:color="auto"/>
              <w:left w:val="nil"/>
              <w:bottom w:val="single" w:sz="4" w:space="0" w:color="auto"/>
              <w:right w:val="nil"/>
            </w:tcBorders>
          </w:tcPr>
          <w:p w14:paraId="47D43F31" w14:textId="77777777" w:rsidR="006D7C8D" w:rsidRPr="00EF5C2F" w:rsidRDefault="006D7C8D" w:rsidP="00834E0F">
            <w:pPr>
              <w:pStyle w:val="TableText"/>
              <w:spacing w:before="0"/>
            </w:pPr>
            <w:r w:rsidRPr="00542AB7">
              <w:t>As an aid to cultivation in fallow (full disturbance)</w:t>
            </w:r>
          </w:p>
        </w:tc>
        <w:tc>
          <w:tcPr>
            <w:tcW w:w="763" w:type="pct"/>
            <w:tcBorders>
              <w:top w:val="single" w:sz="4" w:space="0" w:color="auto"/>
              <w:left w:val="nil"/>
              <w:bottom w:val="single" w:sz="4" w:space="0" w:color="auto"/>
              <w:right w:val="nil"/>
            </w:tcBorders>
          </w:tcPr>
          <w:p w14:paraId="34892473" w14:textId="77777777" w:rsidR="006D7C8D" w:rsidRPr="00DE51F5" w:rsidRDefault="006D7C8D" w:rsidP="00834E0F">
            <w:pPr>
              <w:pStyle w:val="TableText"/>
              <w:spacing w:before="0"/>
              <w:jc w:val="right"/>
            </w:pPr>
            <w:r>
              <w:t>0.6 to 3.2</w:t>
            </w:r>
          </w:p>
        </w:tc>
        <w:tc>
          <w:tcPr>
            <w:tcW w:w="763" w:type="pct"/>
            <w:tcBorders>
              <w:top w:val="single" w:sz="4" w:space="0" w:color="auto"/>
              <w:left w:val="nil"/>
              <w:bottom w:val="single" w:sz="4" w:space="0" w:color="auto"/>
              <w:right w:val="nil"/>
            </w:tcBorders>
            <w:shd w:val="clear" w:color="auto" w:fill="92D050"/>
          </w:tcPr>
          <w:p w14:paraId="0C482DF7" w14:textId="77777777" w:rsidR="006D7C8D" w:rsidRPr="00DE51F5"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600CDD96" w14:textId="3DB50EF8" w:rsidR="006D7C8D" w:rsidRPr="00DE51F5" w:rsidRDefault="006D7C8D" w:rsidP="00834E0F">
            <w:pPr>
              <w:pStyle w:val="TableText"/>
              <w:spacing w:before="0"/>
              <w:jc w:val="right"/>
            </w:pPr>
            <w:r>
              <w:t>800</w:t>
            </w:r>
            <w:r w:rsidR="001C5089">
              <w:br/>
            </w:r>
            <w:r>
              <w:t>(WOE)</w:t>
            </w:r>
          </w:p>
        </w:tc>
        <w:tc>
          <w:tcPr>
            <w:tcW w:w="763" w:type="pct"/>
            <w:tcBorders>
              <w:top w:val="single" w:sz="4" w:space="0" w:color="auto"/>
              <w:left w:val="nil"/>
              <w:bottom w:val="single" w:sz="4" w:space="0" w:color="auto"/>
              <w:right w:val="nil"/>
            </w:tcBorders>
            <w:shd w:val="clear" w:color="auto" w:fill="FF0000"/>
          </w:tcPr>
          <w:p w14:paraId="689DA772" w14:textId="77777777" w:rsidR="006D7C8D" w:rsidRPr="00DE51F5"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032DA619" w14:textId="77777777" w:rsidR="006D7C8D" w:rsidRPr="00DE51F5" w:rsidRDefault="006D7C8D" w:rsidP="00834E0F">
            <w:pPr>
              <w:pStyle w:val="TableText"/>
              <w:spacing w:before="0"/>
              <w:jc w:val="right"/>
            </w:pPr>
            <w:r>
              <w:t>251</w:t>
            </w:r>
          </w:p>
        </w:tc>
      </w:tr>
      <w:tr w:rsidR="006D7C8D" w:rsidRPr="00DE51F5" w14:paraId="0A85EFD7" w14:textId="77777777" w:rsidTr="001C5089">
        <w:trPr>
          <w:cantSplit/>
          <w:trHeight w:val="227"/>
        </w:trPr>
        <w:tc>
          <w:tcPr>
            <w:tcW w:w="1189" w:type="pct"/>
            <w:tcBorders>
              <w:top w:val="single" w:sz="4" w:space="0" w:color="auto"/>
              <w:left w:val="nil"/>
              <w:bottom w:val="single" w:sz="4" w:space="0" w:color="auto"/>
              <w:right w:val="nil"/>
            </w:tcBorders>
          </w:tcPr>
          <w:p w14:paraId="6A7901A2" w14:textId="77777777" w:rsidR="006D7C8D" w:rsidRDefault="006D7C8D" w:rsidP="00834E0F">
            <w:pPr>
              <w:pStyle w:val="TableText"/>
              <w:spacing w:before="0"/>
            </w:pPr>
            <w:r w:rsidRPr="00542AB7">
              <w:t>As an aid to cultivation in fallow (minimum disturbance)</w:t>
            </w:r>
          </w:p>
        </w:tc>
        <w:tc>
          <w:tcPr>
            <w:tcW w:w="763" w:type="pct"/>
            <w:tcBorders>
              <w:top w:val="single" w:sz="4" w:space="0" w:color="auto"/>
              <w:left w:val="nil"/>
              <w:bottom w:val="single" w:sz="4" w:space="0" w:color="auto"/>
              <w:right w:val="nil"/>
            </w:tcBorders>
          </w:tcPr>
          <w:p w14:paraId="3F409DE7" w14:textId="77777777" w:rsidR="006D7C8D" w:rsidRPr="00DE51F5" w:rsidRDefault="006D7C8D" w:rsidP="00834E0F">
            <w:pPr>
              <w:pStyle w:val="TableText"/>
              <w:spacing w:before="0"/>
              <w:jc w:val="right"/>
            </w:pPr>
            <w:r>
              <w:t>0.6 to 3.2</w:t>
            </w:r>
          </w:p>
        </w:tc>
        <w:tc>
          <w:tcPr>
            <w:tcW w:w="763" w:type="pct"/>
            <w:tcBorders>
              <w:top w:val="single" w:sz="4" w:space="0" w:color="auto"/>
              <w:left w:val="nil"/>
              <w:bottom w:val="single" w:sz="4" w:space="0" w:color="auto"/>
              <w:right w:val="nil"/>
            </w:tcBorders>
            <w:shd w:val="clear" w:color="auto" w:fill="92D050"/>
          </w:tcPr>
          <w:p w14:paraId="2CF66D5A" w14:textId="77777777" w:rsidR="006D7C8D" w:rsidRPr="00DE51F5"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69EFBD83" w14:textId="76E4932B" w:rsidR="006D7C8D" w:rsidRPr="00DE51F5" w:rsidRDefault="006D7C8D" w:rsidP="00834E0F">
            <w:pPr>
              <w:pStyle w:val="TableText"/>
              <w:spacing w:before="0"/>
              <w:jc w:val="right"/>
            </w:pPr>
            <w:r>
              <w:t>800</w:t>
            </w:r>
            <w:r w:rsidR="001C5089">
              <w:br/>
            </w:r>
            <w:r>
              <w:t>(WOE)</w:t>
            </w:r>
          </w:p>
        </w:tc>
        <w:tc>
          <w:tcPr>
            <w:tcW w:w="763" w:type="pct"/>
            <w:tcBorders>
              <w:top w:val="single" w:sz="4" w:space="0" w:color="auto"/>
              <w:left w:val="nil"/>
              <w:bottom w:val="single" w:sz="4" w:space="0" w:color="auto"/>
              <w:right w:val="nil"/>
            </w:tcBorders>
            <w:shd w:val="clear" w:color="auto" w:fill="FF0000"/>
          </w:tcPr>
          <w:p w14:paraId="2D462AE0" w14:textId="77777777" w:rsidR="006D7C8D" w:rsidRPr="00DE51F5"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77E79682" w14:textId="77777777" w:rsidR="006D7C8D" w:rsidRPr="00DE51F5" w:rsidRDefault="006D7C8D" w:rsidP="00834E0F">
            <w:pPr>
              <w:pStyle w:val="TableText"/>
              <w:spacing w:before="0"/>
              <w:jc w:val="right"/>
            </w:pPr>
            <w:r>
              <w:t>251</w:t>
            </w:r>
          </w:p>
        </w:tc>
      </w:tr>
      <w:tr w:rsidR="006D7C8D" w:rsidRPr="00DE51F5" w14:paraId="3C9C3968" w14:textId="77777777" w:rsidTr="001C5089">
        <w:trPr>
          <w:cantSplit/>
          <w:trHeight w:val="227"/>
        </w:trPr>
        <w:tc>
          <w:tcPr>
            <w:tcW w:w="1189" w:type="pct"/>
            <w:tcBorders>
              <w:top w:val="single" w:sz="4" w:space="0" w:color="auto"/>
              <w:left w:val="nil"/>
              <w:bottom w:val="single" w:sz="4" w:space="0" w:color="auto"/>
              <w:right w:val="nil"/>
            </w:tcBorders>
          </w:tcPr>
          <w:p w14:paraId="4F4ED343" w14:textId="77777777" w:rsidR="006D7C8D" w:rsidRDefault="006D7C8D" w:rsidP="00834E0F">
            <w:pPr>
              <w:pStyle w:val="TableText"/>
              <w:spacing w:before="0"/>
            </w:pPr>
            <w:r w:rsidRPr="00542AB7">
              <w:t>As an aid in post-harvest weed control in fallow (minimum disturbance)</w:t>
            </w:r>
          </w:p>
        </w:tc>
        <w:tc>
          <w:tcPr>
            <w:tcW w:w="763" w:type="pct"/>
            <w:tcBorders>
              <w:top w:val="single" w:sz="4" w:space="0" w:color="auto"/>
              <w:left w:val="nil"/>
              <w:bottom w:val="single" w:sz="4" w:space="0" w:color="auto"/>
              <w:right w:val="nil"/>
            </w:tcBorders>
          </w:tcPr>
          <w:p w14:paraId="1E0B881C" w14:textId="77777777" w:rsidR="006D7C8D" w:rsidRPr="00DE51F5" w:rsidRDefault="006D7C8D" w:rsidP="00834E0F">
            <w:pPr>
              <w:pStyle w:val="TableText"/>
              <w:spacing w:before="0"/>
              <w:jc w:val="right"/>
            </w:pPr>
            <w:r>
              <w:t>1.6 to 2.4</w:t>
            </w:r>
          </w:p>
        </w:tc>
        <w:tc>
          <w:tcPr>
            <w:tcW w:w="763" w:type="pct"/>
            <w:tcBorders>
              <w:top w:val="single" w:sz="4" w:space="0" w:color="auto"/>
              <w:left w:val="nil"/>
              <w:bottom w:val="single" w:sz="4" w:space="0" w:color="auto"/>
              <w:right w:val="nil"/>
            </w:tcBorders>
            <w:shd w:val="clear" w:color="auto" w:fill="92D050"/>
          </w:tcPr>
          <w:p w14:paraId="3B715AB0" w14:textId="77777777" w:rsidR="006D7C8D" w:rsidRPr="00DE51F5"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48D40B2F" w14:textId="1ADE69F4" w:rsidR="006D7C8D" w:rsidRPr="00DE51F5" w:rsidRDefault="006D7C8D" w:rsidP="00834E0F">
            <w:pPr>
              <w:pStyle w:val="TableText"/>
              <w:spacing w:before="0"/>
              <w:jc w:val="right"/>
            </w:pPr>
            <w:r>
              <w:t>800</w:t>
            </w:r>
            <w:r w:rsidR="001C5089">
              <w:br/>
            </w:r>
            <w:r>
              <w:t>(WOE)</w:t>
            </w:r>
          </w:p>
        </w:tc>
        <w:tc>
          <w:tcPr>
            <w:tcW w:w="763" w:type="pct"/>
            <w:tcBorders>
              <w:top w:val="single" w:sz="4" w:space="0" w:color="auto"/>
              <w:left w:val="nil"/>
              <w:bottom w:val="single" w:sz="4" w:space="0" w:color="auto"/>
              <w:right w:val="nil"/>
            </w:tcBorders>
            <w:shd w:val="clear" w:color="auto" w:fill="FF0000"/>
          </w:tcPr>
          <w:p w14:paraId="09BDF321" w14:textId="77777777" w:rsidR="006D7C8D" w:rsidRPr="00DE51F5"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5724DF6D" w14:textId="77777777" w:rsidR="006D7C8D" w:rsidRPr="00DE51F5" w:rsidRDefault="006D7C8D" w:rsidP="00834E0F">
            <w:pPr>
              <w:pStyle w:val="TableText"/>
              <w:spacing w:before="0"/>
              <w:jc w:val="right"/>
            </w:pPr>
            <w:r>
              <w:t>251</w:t>
            </w:r>
          </w:p>
        </w:tc>
      </w:tr>
      <w:tr w:rsidR="006D7C8D" w:rsidRPr="00DE51F5" w14:paraId="4984780F" w14:textId="77777777" w:rsidTr="001C5089">
        <w:trPr>
          <w:cantSplit/>
          <w:trHeight w:val="227"/>
        </w:trPr>
        <w:tc>
          <w:tcPr>
            <w:tcW w:w="1189" w:type="pct"/>
            <w:tcBorders>
              <w:top w:val="single" w:sz="4" w:space="0" w:color="auto"/>
              <w:left w:val="nil"/>
              <w:bottom w:val="single" w:sz="4" w:space="0" w:color="auto"/>
              <w:right w:val="nil"/>
            </w:tcBorders>
          </w:tcPr>
          <w:p w14:paraId="50531855" w14:textId="77777777" w:rsidR="006D7C8D" w:rsidRDefault="006D7C8D" w:rsidP="00834E0F">
            <w:pPr>
              <w:pStyle w:val="TableText"/>
              <w:spacing w:before="0"/>
            </w:pPr>
            <w:r w:rsidRPr="00542AB7">
              <w:t>As an aid in establishing sugarcane or controlling weeds in a fallow prior to sugarcane</w:t>
            </w:r>
          </w:p>
        </w:tc>
        <w:tc>
          <w:tcPr>
            <w:tcW w:w="763" w:type="pct"/>
            <w:tcBorders>
              <w:top w:val="single" w:sz="4" w:space="0" w:color="auto"/>
              <w:left w:val="nil"/>
              <w:bottom w:val="single" w:sz="4" w:space="0" w:color="auto"/>
              <w:right w:val="nil"/>
            </w:tcBorders>
          </w:tcPr>
          <w:p w14:paraId="1ED94EA5" w14:textId="77777777" w:rsidR="006D7C8D" w:rsidRPr="00DE51F5" w:rsidRDefault="006D7C8D" w:rsidP="00834E0F">
            <w:pPr>
              <w:pStyle w:val="TableText"/>
              <w:spacing w:before="0"/>
              <w:jc w:val="right"/>
            </w:pPr>
            <w:r>
              <w:t>1.2 to 3.2</w:t>
            </w:r>
          </w:p>
        </w:tc>
        <w:tc>
          <w:tcPr>
            <w:tcW w:w="763" w:type="pct"/>
            <w:tcBorders>
              <w:top w:val="single" w:sz="4" w:space="0" w:color="auto"/>
              <w:left w:val="nil"/>
              <w:bottom w:val="single" w:sz="4" w:space="0" w:color="auto"/>
              <w:right w:val="nil"/>
            </w:tcBorders>
            <w:shd w:val="clear" w:color="auto" w:fill="92D050"/>
          </w:tcPr>
          <w:p w14:paraId="11AADAA6" w14:textId="77777777" w:rsidR="006D7C8D" w:rsidRPr="00DE51F5"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344734FE" w14:textId="71D7F72D" w:rsidR="006D7C8D" w:rsidRPr="00DE51F5" w:rsidRDefault="006D7C8D" w:rsidP="00834E0F">
            <w:pPr>
              <w:pStyle w:val="TableText"/>
              <w:spacing w:before="0"/>
              <w:jc w:val="right"/>
            </w:pPr>
            <w:r>
              <w:t>800</w:t>
            </w:r>
            <w:r w:rsidR="001C5089">
              <w:br/>
            </w:r>
            <w:r>
              <w:t>(WOE)</w:t>
            </w:r>
          </w:p>
        </w:tc>
        <w:tc>
          <w:tcPr>
            <w:tcW w:w="763" w:type="pct"/>
            <w:tcBorders>
              <w:top w:val="single" w:sz="4" w:space="0" w:color="auto"/>
              <w:left w:val="nil"/>
              <w:bottom w:val="single" w:sz="4" w:space="0" w:color="auto"/>
              <w:right w:val="nil"/>
            </w:tcBorders>
            <w:shd w:val="clear" w:color="auto" w:fill="FF0000"/>
          </w:tcPr>
          <w:p w14:paraId="2AC8C38D" w14:textId="77777777" w:rsidR="006D7C8D" w:rsidRPr="00DE51F5"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7302B270" w14:textId="77777777" w:rsidR="006D7C8D" w:rsidRPr="00DE51F5" w:rsidRDefault="006D7C8D" w:rsidP="00834E0F">
            <w:pPr>
              <w:pStyle w:val="TableText"/>
              <w:spacing w:before="0"/>
              <w:jc w:val="right"/>
            </w:pPr>
            <w:r>
              <w:t>251</w:t>
            </w:r>
          </w:p>
        </w:tc>
      </w:tr>
      <w:tr w:rsidR="006D7C8D" w:rsidRPr="00CD311A" w14:paraId="1A61DBAE" w14:textId="77777777" w:rsidTr="001C5089">
        <w:trPr>
          <w:cantSplit/>
          <w:trHeight w:val="227"/>
        </w:trPr>
        <w:tc>
          <w:tcPr>
            <w:tcW w:w="1189" w:type="pct"/>
            <w:tcBorders>
              <w:top w:val="single" w:sz="4" w:space="0" w:color="auto"/>
              <w:left w:val="nil"/>
              <w:bottom w:val="single" w:sz="4" w:space="0" w:color="auto"/>
              <w:right w:val="nil"/>
            </w:tcBorders>
          </w:tcPr>
          <w:p w14:paraId="79FEBD93" w14:textId="77777777" w:rsidR="006D7C8D" w:rsidRPr="00CD311A" w:rsidRDefault="006D7C8D" w:rsidP="00834E0F">
            <w:pPr>
              <w:pStyle w:val="TableText"/>
              <w:spacing w:before="0"/>
            </w:pPr>
            <w:r w:rsidRPr="00542AB7">
              <w:t>Sugarcane plant and ratoon</w:t>
            </w:r>
          </w:p>
        </w:tc>
        <w:tc>
          <w:tcPr>
            <w:tcW w:w="763" w:type="pct"/>
            <w:tcBorders>
              <w:top w:val="single" w:sz="4" w:space="0" w:color="auto"/>
              <w:left w:val="nil"/>
              <w:bottom w:val="single" w:sz="4" w:space="0" w:color="auto"/>
              <w:right w:val="nil"/>
            </w:tcBorders>
          </w:tcPr>
          <w:p w14:paraId="3CBBA059" w14:textId="77777777" w:rsidR="006D7C8D" w:rsidRPr="00CD311A" w:rsidRDefault="006D7C8D" w:rsidP="00834E0F">
            <w:pPr>
              <w:pStyle w:val="TableText"/>
              <w:spacing w:before="0"/>
              <w:jc w:val="right"/>
            </w:pPr>
            <w:r>
              <w:t>1.2 to 2.0</w:t>
            </w:r>
          </w:p>
        </w:tc>
        <w:tc>
          <w:tcPr>
            <w:tcW w:w="763" w:type="pct"/>
            <w:tcBorders>
              <w:top w:val="single" w:sz="4" w:space="0" w:color="auto"/>
              <w:left w:val="nil"/>
              <w:bottom w:val="single" w:sz="4" w:space="0" w:color="auto"/>
              <w:right w:val="nil"/>
            </w:tcBorders>
            <w:shd w:val="clear" w:color="auto" w:fill="92D050"/>
          </w:tcPr>
          <w:p w14:paraId="05033833"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0C6E9E69" w14:textId="7AF558D5" w:rsidR="006D7C8D" w:rsidRPr="00CD311A" w:rsidRDefault="006D7C8D" w:rsidP="00834E0F">
            <w:pPr>
              <w:pStyle w:val="TableText"/>
              <w:spacing w:before="0"/>
              <w:jc w:val="right"/>
            </w:pPr>
            <w:r>
              <w:t>500</w:t>
            </w:r>
            <w:r w:rsidR="001C5089">
              <w:br/>
            </w:r>
            <w:r>
              <w:t>(WOE)</w:t>
            </w:r>
          </w:p>
        </w:tc>
        <w:tc>
          <w:tcPr>
            <w:tcW w:w="763" w:type="pct"/>
            <w:tcBorders>
              <w:top w:val="single" w:sz="4" w:space="0" w:color="auto"/>
              <w:left w:val="nil"/>
              <w:bottom w:val="single" w:sz="4" w:space="0" w:color="auto"/>
              <w:right w:val="nil"/>
            </w:tcBorders>
            <w:shd w:val="clear" w:color="auto" w:fill="FF0000"/>
          </w:tcPr>
          <w:p w14:paraId="0ABFEB94"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7FBD408A" w14:textId="77777777" w:rsidR="006D7C8D" w:rsidRPr="00CD311A" w:rsidRDefault="006D7C8D" w:rsidP="00834E0F">
            <w:pPr>
              <w:pStyle w:val="TableText"/>
              <w:spacing w:before="0"/>
              <w:jc w:val="right"/>
            </w:pPr>
            <w:r>
              <w:t>149</w:t>
            </w:r>
          </w:p>
        </w:tc>
      </w:tr>
      <w:tr w:rsidR="006D7C8D" w14:paraId="216F92EB" w14:textId="77777777" w:rsidTr="001C5089">
        <w:trPr>
          <w:cantSplit/>
          <w:trHeight w:val="227"/>
        </w:trPr>
        <w:tc>
          <w:tcPr>
            <w:tcW w:w="1189" w:type="pct"/>
            <w:tcBorders>
              <w:top w:val="single" w:sz="4" w:space="0" w:color="auto"/>
              <w:left w:val="nil"/>
              <w:bottom w:val="single" w:sz="4" w:space="0" w:color="auto"/>
              <w:right w:val="nil"/>
            </w:tcBorders>
          </w:tcPr>
          <w:p w14:paraId="37356B44" w14:textId="77777777" w:rsidR="006D7C8D" w:rsidRPr="00CD311A" w:rsidRDefault="006D7C8D" w:rsidP="00834E0F">
            <w:pPr>
              <w:pStyle w:val="TableText"/>
              <w:spacing w:before="0"/>
            </w:pPr>
            <w:r w:rsidRPr="00542AB7">
              <w:t>Desiccant to aid harvest in cotton</w:t>
            </w:r>
          </w:p>
        </w:tc>
        <w:tc>
          <w:tcPr>
            <w:tcW w:w="763" w:type="pct"/>
            <w:tcBorders>
              <w:top w:val="single" w:sz="4" w:space="0" w:color="auto"/>
              <w:left w:val="nil"/>
              <w:bottom w:val="single" w:sz="4" w:space="0" w:color="auto"/>
              <w:right w:val="nil"/>
            </w:tcBorders>
          </w:tcPr>
          <w:p w14:paraId="1760ED5E" w14:textId="77777777" w:rsidR="006D7C8D" w:rsidRDefault="006D7C8D" w:rsidP="00834E0F">
            <w:pPr>
              <w:pStyle w:val="TableText"/>
              <w:spacing w:before="0"/>
              <w:jc w:val="right"/>
            </w:pPr>
            <w:r>
              <w:t>1.2 to 1.6</w:t>
            </w:r>
          </w:p>
        </w:tc>
        <w:tc>
          <w:tcPr>
            <w:tcW w:w="763" w:type="pct"/>
            <w:tcBorders>
              <w:top w:val="single" w:sz="4" w:space="0" w:color="auto"/>
              <w:left w:val="nil"/>
              <w:bottom w:val="single" w:sz="4" w:space="0" w:color="auto"/>
              <w:right w:val="nil"/>
            </w:tcBorders>
            <w:shd w:val="clear" w:color="auto" w:fill="FF0000"/>
          </w:tcPr>
          <w:p w14:paraId="7C7EE492" w14:textId="77777777" w:rsidR="006D7C8D" w:rsidRDefault="006D7C8D" w:rsidP="00834E0F">
            <w:pPr>
              <w:pStyle w:val="TableText"/>
              <w:spacing w:before="0"/>
              <w:jc w:val="right"/>
            </w:pPr>
            <w:r>
              <w:t>No</w:t>
            </w:r>
          </w:p>
        </w:tc>
        <w:tc>
          <w:tcPr>
            <w:tcW w:w="763" w:type="pct"/>
            <w:tcBorders>
              <w:top w:val="single" w:sz="4" w:space="0" w:color="auto"/>
              <w:left w:val="nil"/>
              <w:bottom w:val="single" w:sz="4" w:space="0" w:color="auto"/>
              <w:right w:val="nil"/>
            </w:tcBorders>
          </w:tcPr>
          <w:p w14:paraId="2B13A270" w14:textId="77777777" w:rsidR="006D7C8D" w:rsidRDefault="006D7C8D" w:rsidP="00834E0F">
            <w:pPr>
              <w:pStyle w:val="TableText"/>
              <w:spacing w:before="0"/>
              <w:jc w:val="right"/>
            </w:pPr>
            <w:r>
              <w:t>271</w:t>
            </w:r>
          </w:p>
        </w:tc>
        <w:tc>
          <w:tcPr>
            <w:tcW w:w="763" w:type="pct"/>
            <w:tcBorders>
              <w:top w:val="single" w:sz="4" w:space="0" w:color="auto"/>
              <w:left w:val="nil"/>
              <w:bottom w:val="single" w:sz="4" w:space="0" w:color="auto"/>
              <w:right w:val="nil"/>
            </w:tcBorders>
            <w:shd w:val="clear" w:color="auto" w:fill="92D050"/>
          </w:tcPr>
          <w:p w14:paraId="2B4B5DA8" w14:textId="77777777" w:rsidR="006D7C8D" w:rsidRDefault="006D7C8D" w:rsidP="00834E0F">
            <w:pPr>
              <w:pStyle w:val="TableText"/>
              <w:spacing w:before="0"/>
              <w:jc w:val="right"/>
            </w:pPr>
            <w:r>
              <w:t>Yes</w:t>
            </w:r>
          </w:p>
        </w:tc>
        <w:tc>
          <w:tcPr>
            <w:tcW w:w="759" w:type="pct"/>
            <w:tcBorders>
              <w:top w:val="single" w:sz="4" w:space="0" w:color="auto"/>
              <w:left w:val="nil"/>
              <w:bottom w:val="single" w:sz="4" w:space="0" w:color="auto"/>
              <w:right w:val="nil"/>
            </w:tcBorders>
          </w:tcPr>
          <w:p w14:paraId="0554CE00" w14:textId="77777777" w:rsidR="006D7C8D" w:rsidRDefault="006D7C8D" w:rsidP="00834E0F">
            <w:pPr>
              <w:pStyle w:val="TableText"/>
              <w:spacing w:before="0"/>
              <w:jc w:val="right"/>
            </w:pPr>
            <w:r>
              <w:t>1409</w:t>
            </w:r>
          </w:p>
        </w:tc>
      </w:tr>
      <w:tr w:rsidR="006D7C8D" w:rsidRPr="00CD311A" w14:paraId="3C3A36BA" w14:textId="77777777" w:rsidTr="001C5089">
        <w:trPr>
          <w:cantSplit/>
          <w:trHeight w:val="227"/>
        </w:trPr>
        <w:tc>
          <w:tcPr>
            <w:tcW w:w="1189" w:type="pct"/>
            <w:tcBorders>
              <w:top w:val="single" w:sz="4" w:space="0" w:color="auto"/>
              <w:left w:val="nil"/>
              <w:bottom w:val="single" w:sz="4" w:space="0" w:color="auto"/>
              <w:right w:val="nil"/>
            </w:tcBorders>
          </w:tcPr>
          <w:p w14:paraId="50640EB2" w14:textId="77777777" w:rsidR="006D7C8D" w:rsidRPr="00CD311A" w:rsidRDefault="006D7C8D" w:rsidP="00834E0F">
            <w:pPr>
              <w:pStyle w:val="TableText"/>
              <w:spacing w:before="0"/>
            </w:pPr>
            <w:r w:rsidRPr="00542AB7">
              <w:t>Lucerne (established at least 1 year old)</w:t>
            </w:r>
          </w:p>
        </w:tc>
        <w:tc>
          <w:tcPr>
            <w:tcW w:w="763" w:type="pct"/>
            <w:tcBorders>
              <w:top w:val="single" w:sz="4" w:space="0" w:color="auto"/>
              <w:left w:val="nil"/>
              <w:bottom w:val="single" w:sz="4" w:space="0" w:color="auto"/>
              <w:right w:val="nil"/>
            </w:tcBorders>
          </w:tcPr>
          <w:p w14:paraId="2994ADE3" w14:textId="77777777" w:rsidR="006D7C8D" w:rsidRPr="00CD311A" w:rsidRDefault="006D7C8D" w:rsidP="00834E0F">
            <w:pPr>
              <w:pStyle w:val="TableText"/>
              <w:spacing w:before="0"/>
              <w:jc w:val="right"/>
            </w:pPr>
            <w:r>
              <w:t>1.6 to 2.4</w:t>
            </w:r>
          </w:p>
        </w:tc>
        <w:tc>
          <w:tcPr>
            <w:tcW w:w="763" w:type="pct"/>
            <w:tcBorders>
              <w:top w:val="single" w:sz="4" w:space="0" w:color="auto"/>
              <w:left w:val="nil"/>
              <w:bottom w:val="single" w:sz="4" w:space="0" w:color="auto"/>
              <w:right w:val="nil"/>
            </w:tcBorders>
            <w:shd w:val="clear" w:color="auto" w:fill="92D050"/>
          </w:tcPr>
          <w:p w14:paraId="47DFB488"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6C1DA1CA" w14:textId="77777777" w:rsidR="006D7C8D" w:rsidRPr="00CD311A" w:rsidRDefault="006D7C8D" w:rsidP="00834E0F">
            <w:pPr>
              <w:pStyle w:val="TableText"/>
              <w:spacing w:before="0"/>
              <w:jc w:val="right"/>
            </w:pPr>
            <w:r>
              <w:t>679</w:t>
            </w:r>
          </w:p>
        </w:tc>
        <w:tc>
          <w:tcPr>
            <w:tcW w:w="763" w:type="pct"/>
            <w:tcBorders>
              <w:top w:val="single" w:sz="4" w:space="0" w:color="auto"/>
              <w:left w:val="nil"/>
              <w:bottom w:val="single" w:sz="4" w:space="0" w:color="auto"/>
              <w:right w:val="nil"/>
            </w:tcBorders>
            <w:shd w:val="clear" w:color="auto" w:fill="FF0000"/>
          </w:tcPr>
          <w:p w14:paraId="47D4C129"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4803289F" w14:textId="77777777" w:rsidR="006D7C8D" w:rsidRPr="00CD311A" w:rsidRDefault="006D7C8D" w:rsidP="00834E0F">
            <w:pPr>
              <w:pStyle w:val="TableText"/>
              <w:spacing w:before="0"/>
              <w:jc w:val="right"/>
            </w:pPr>
            <w:r>
              <w:t>231</w:t>
            </w:r>
          </w:p>
        </w:tc>
      </w:tr>
      <w:tr w:rsidR="006D7C8D" w:rsidRPr="00CD311A" w14:paraId="0B5CEC01" w14:textId="77777777" w:rsidTr="001C5089">
        <w:trPr>
          <w:cantSplit/>
          <w:trHeight w:val="227"/>
        </w:trPr>
        <w:tc>
          <w:tcPr>
            <w:tcW w:w="1189" w:type="pct"/>
            <w:tcBorders>
              <w:top w:val="single" w:sz="4" w:space="0" w:color="auto"/>
              <w:left w:val="nil"/>
              <w:bottom w:val="nil"/>
              <w:right w:val="nil"/>
            </w:tcBorders>
          </w:tcPr>
          <w:p w14:paraId="205244AE" w14:textId="77777777" w:rsidR="006D7C8D" w:rsidRPr="00CD311A" w:rsidRDefault="006D7C8D" w:rsidP="00834E0F">
            <w:pPr>
              <w:pStyle w:val="TableText"/>
              <w:spacing w:before="0"/>
            </w:pPr>
            <w:r w:rsidRPr="00542AB7">
              <w:t>Public Service Areas, Rights-of-Way</w:t>
            </w:r>
          </w:p>
        </w:tc>
        <w:tc>
          <w:tcPr>
            <w:tcW w:w="763" w:type="pct"/>
            <w:tcBorders>
              <w:top w:val="single" w:sz="4" w:space="0" w:color="auto"/>
              <w:left w:val="nil"/>
              <w:bottom w:val="nil"/>
              <w:right w:val="nil"/>
            </w:tcBorders>
          </w:tcPr>
          <w:p w14:paraId="0F218927"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92D050"/>
          </w:tcPr>
          <w:p w14:paraId="14974AA7"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nil"/>
              <w:right w:val="nil"/>
            </w:tcBorders>
          </w:tcPr>
          <w:p w14:paraId="2546982C" w14:textId="7A49B8F0" w:rsidR="006D7C8D" w:rsidRPr="00CD311A" w:rsidRDefault="006D7C8D" w:rsidP="00834E0F">
            <w:pPr>
              <w:pStyle w:val="TableText"/>
              <w:spacing w:before="0"/>
              <w:jc w:val="right"/>
            </w:pPr>
            <w:r>
              <w:t>800</w:t>
            </w:r>
            <w:r w:rsidR="001C5089">
              <w:br/>
            </w:r>
            <w:r>
              <w:t>(WOE)</w:t>
            </w:r>
          </w:p>
        </w:tc>
        <w:tc>
          <w:tcPr>
            <w:tcW w:w="763" w:type="pct"/>
            <w:tcBorders>
              <w:top w:val="single" w:sz="4" w:space="0" w:color="auto"/>
              <w:left w:val="nil"/>
              <w:bottom w:val="nil"/>
              <w:right w:val="nil"/>
            </w:tcBorders>
            <w:shd w:val="clear" w:color="auto" w:fill="92D050"/>
          </w:tcPr>
          <w:p w14:paraId="2048A69B" w14:textId="77777777" w:rsidR="006D7C8D" w:rsidRPr="00CD311A" w:rsidRDefault="006D7C8D" w:rsidP="00834E0F">
            <w:pPr>
              <w:pStyle w:val="TableText"/>
              <w:spacing w:before="0"/>
              <w:jc w:val="right"/>
            </w:pPr>
            <w:r>
              <w:t>Yes</w:t>
            </w:r>
          </w:p>
        </w:tc>
        <w:tc>
          <w:tcPr>
            <w:tcW w:w="759" w:type="pct"/>
            <w:tcBorders>
              <w:top w:val="single" w:sz="4" w:space="0" w:color="auto"/>
              <w:left w:val="nil"/>
              <w:bottom w:val="nil"/>
              <w:right w:val="nil"/>
            </w:tcBorders>
          </w:tcPr>
          <w:p w14:paraId="21DBE13F" w14:textId="3C129AFE" w:rsidR="006D7C8D" w:rsidRPr="00CD311A" w:rsidRDefault="006D7C8D" w:rsidP="00834E0F">
            <w:pPr>
              <w:pStyle w:val="TableText"/>
              <w:spacing w:before="0"/>
              <w:jc w:val="right"/>
            </w:pPr>
            <w:r>
              <w:t>800</w:t>
            </w:r>
            <w:r w:rsidR="001C5089">
              <w:br/>
            </w:r>
            <w:r>
              <w:t>(WOE)</w:t>
            </w:r>
          </w:p>
        </w:tc>
      </w:tr>
      <w:tr w:rsidR="006D7C8D" w:rsidRPr="00CD311A" w14:paraId="3EBE8868" w14:textId="77777777" w:rsidTr="001C5089">
        <w:trPr>
          <w:cantSplit/>
          <w:trHeight w:val="227"/>
        </w:trPr>
        <w:tc>
          <w:tcPr>
            <w:tcW w:w="1189" w:type="pct"/>
            <w:tcBorders>
              <w:top w:val="nil"/>
              <w:left w:val="nil"/>
              <w:bottom w:val="single" w:sz="4" w:space="0" w:color="auto"/>
              <w:right w:val="nil"/>
            </w:tcBorders>
          </w:tcPr>
          <w:p w14:paraId="06D6AC19" w14:textId="77777777" w:rsidR="006D7C8D" w:rsidRPr="00542AB7" w:rsidRDefault="006D7C8D" w:rsidP="00834E0F">
            <w:pPr>
              <w:pStyle w:val="TableText"/>
              <w:spacing w:before="0"/>
            </w:pPr>
            <w:r>
              <w:t>(spot spray)</w:t>
            </w:r>
          </w:p>
        </w:tc>
        <w:tc>
          <w:tcPr>
            <w:tcW w:w="763" w:type="pct"/>
            <w:tcBorders>
              <w:top w:val="nil"/>
              <w:left w:val="nil"/>
              <w:bottom w:val="single" w:sz="4" w:space="0" w:color="auto"/>
              <w:right w:val="nil"/>
            </w:tcBorders>
          </w:tcPr>
          <w:p w14:paraId="7494E45D" w14:textId="77777777" w:rsidR="006D7C8D" w:rsidRPr="00CD311A"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92D050"/>
          </w:tcPr>
          <w:p w14:paraId="0F09C736" w14:textId="77777777" w:rsidR="006D7C8D" w:rsidRPr="00CD311A" w:rsidRDefault="006D7C8D" w:rsidP="00834E0F">
            <w:pPr>
              <w:pStyle w:val="TableText"/>
              <w:spacing w:before="0"/>
              <w:jc w:val="right"/>
            </w:pPr>
            <w:r>
              <w:t>Yes</w:t>
            </w:r>
          </w:p>
        </w:tc>
        <w:tc>
          <w:tcPr>
            <w:tcW w:w="763" w:type="pct"/>
            <w:tcBorders>
              <w:top w:val="nil"/>
              <w:left w:val="nil"/>
              <w:bottom w:val="single" w:sz="4" w:space="0" w:color="auto"/>
              <w:right w:val="nil"/>
            </w:tcBorders>
          </w:tcPr>
          <w:p w14:paraId="0ACDC090" w14:textId="79689FB9" w:rsidR="006D7C8D" w:rsidRPr="00CD311A" w:rsidRDefault="006D7C8D" w:rsidP="00834E0F">
            <w:pPr>
              <w:pStyle w:val="TableText"/>
              <w:spacing w:before="0"/>
              <w:jc w:val="right"/>
            </w:pPr>
            <w:r>
              <w:t>320</w:t>
            </w:r>
            <w:r w:rsidR="001C5089">
              <w:br/>
            </w:r>
            <w:r>
              <w:t>(WOE)</w:t>
            </w:r>
          </w:p>
        </w:tc>
        <w:tc>
          <w:tcPr>
            <w:tcW w:w="763" w:type="pct"/>
            <w:tcBorders>
              <w:top w:val="nil"/>
              <w:left w:val="nil"/>
              <w:bottom w:val="single" w:sz="4" w:space="0" w:color="auto"/>
              <w:right w:val="nil"/>
            </w:tcBorders>
            <w:shd w:val="clear" w:color="auto" w:fill="92D050"/>
          </w:tcPr>
          <w:p w14:paraId="1261040C" w14:textId="77777777" w:rsidR="006D7C8D" w:rsidRPr="00CD311A" w:rsidRDefault="006D7C8D" w:rsidP="00834E0F">
            <w:pPr>
              <w:pStyle w:val="TableText"/>
              <w:spacing w:before="0"/>
              <w:jc w:val="right"/>
            </w:pPr>
            <w:r>
              <w:t>Yes</w:t>
            </w:r>
          </w:p>
        </w:tc>
        <w:tc>
          <w:tcPr>
            <w:tcW w:w="759" w:type="pct"/>
            <w:tcBorders>
              <w:top w:val="nil"/>
              <w:left w:val="nil"/>
              <w:bottom w:val="single" w:sz="4" w:space="0" w:color="auto"/>
              <w:right w:val="nil"/>
            </w:tcBorders>
          </w:tcPr>
          <w:p w14:paraId="1EB91DF2" w14:textId="7C568A81" w:rsidR="006D7C8D" w:rsidRPr="00CD311A" w:rsidRDefault="006D7C8D" w:rsidP="00834E0F">
            <w:pPr>
              <w:pStyle w:val="TableText"/>
              <w:spacing w:before="0"/>
              <w:jc w:val="right"/>
            </w:pPr>
            <w:r>
              <w:t>320</w:t>
            </w:r>
            <w:r w:rsidR="001C5089">
              <w:br/>
            </w:r>
            <w:r>
              <w:t>(WOE)</w:t>
            </w:r>
          </w:p>
        </w:tc>
      </w:tr>
      <w:tr w:rsidR="006D7C8D" w:rsidRPr="00CD311A" w14:paraId="0DC5EFB0" w14:textId="77777777" w:rsidTr="001C5089">
        <w:trPr>
          <w:cantSplit/>
          <w:trHeight w:val="227"/>
        </w:trPr>
        <w:tc>
          <w:tcPr>
            <w:tcW w:w="1189" w:type="pct"/>
            <w:tcBorders>
              <w:top w:val="single" w:sz="4" w:space="0" w:color="auto"/>
              <w:left w:val="nil"/>
              <w:bottom w:val="nil"/>
              <w:right w:val="nil"/>
            </w:tcBorders>
          </w:tcPr>
          <w:p w14:paraId="2E83E02A" w14:textId="77777777" w:rsidR="006D7C8D" w:rsidRPr="00CD311A" w:rsidRDefault="006D7C8D" w:rsidP="00834E0F">
            <w:pPr>
              <w:pStyle w:val="TableText"/>
              <w:spacing w:before="0"/>
            </w:pPr>
            <w:r w:rsidRPr="00542AB7">
              <w:t>Market Gardens and Nurseries</w:t>
            </w:r>
          </w:p>
        </w:tc>
        <w:tc>
          <w:tcPr>
            <w:tcW w:w="763" w:type="pct"/>
            <w:tcBorders>
              <w:top w:val="single" w:sz="4" w:space="0" w:color="auto"/>
              <w:left w:val="nil"/>
              <w:bottom w:val="nil"/>
              <w:right w:val="nil"/>
            </w:tcBorders>
          </w:tcPr>
          <w:p w14:paraId="143B71B2"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92D050"/>
          </w:tcPr>
          <w:p w14:paraId="47856340"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nil"/>
              <w:right w:val="nil"/>
            </w:tcBorders>
          </w:tcPr>
          <w:p w14:paraId="44B83892" w14:textId="36E28E83" w:rsidR="006D7C8D" w:rsidRPr="00CD311A" w:rsidRDefault="006D7C8D" w:rsidP="00834E0F">
            <w:pPr>
              <w:pStyle w:val="TableText"/>
              <w:spacing w:before="0"/>
              <w:jc w:val="right"/>
            </w:pPr>
            <w:r>
              <w:t>800</w:t>
            </w:r>
            <w:r w:rsidR="001C5089">
              <w:br/>
            </w:r>
            <w:r>
              <w:t>(WOE)</w:t>
            </w:r>
          </w:p>
        </w:tc>
        <w:tc>
          <w:tcPr>
            <w:tcW w:w="763" w:type="pct"/>
            <w:tcBorders>
              <w:top w:val="single" w:sz="4" w:space="0" w:color="auto"/>
              <w:left w:val="nil"/>
              <w:bottom w:val="nil"/>
              <w:right w:val="nil"/>
            </w:tcBorders>
            <w:shd w:val="clear" w:color="auto" w:fill="FF0000"/>
          </w:tcPr>
          <w:p w14:paraId="6A5F2289" w14:textId="77777777" w:rsidR="006D7C8D" w:rsidRPr="00CD311A" w:rsidRDefault="006D7C8D" w:rsidP="00834E0F">
            <w:pPr>
              <w:pStyle w:val="TableText"/>
              <w:spacing w:before="0"/>
              <w:jc w:val="right"/>
            </w:pPr>
            <w:r>
              <w:t>No</w:t>
            </w:r>
          </w:p>
        </w:tc>
        <w:tc>
          <w:tcPr>
            <w:tcW w:w="759" w:type="pct"/>
            <w:tcBorders>
              <w:top w:val="single" w:sz="4" w:space="0" w:color="auto"/>
              <w:left w:val="nil"/>
              <w:bottom w:val="nil"/>
              <w:right w:val="nil"/>
            </w:tcBorders>
          </w:tcPr>
          <w:p w14:paraId="5EBCD861" w14:textId="77777777" w:rsidR="006D7C8D" w:rsidRPr="00CD311A" w:rsidRDefault="006D7C8D" w:rsidP="00834E0F">
            <w:pPr>
              <w:pStyle w:val="TableText"/>
              <w:spacing w:before="0"/>
              <w:jc w:val="right"/>
            </w:pPr>
            <w:r>
              <w:t>251</w:t>
            </w:r>
          </w:p>
        </w:tc>
      </w:tr>
      <w:tr w:rsidR="006D7C8D" w:rsidRPr="00CD311A" w14:paraId="4A114668" w14:textId="77777777" w:rsidTr="001C5089">
        <w:trPr>
          <w:cantSplit/>
          <w:trHeight w:val="227"/>
        </w:trPr>
        <w:tc>
          <w:tcPr>
            <w:tcW w:w="1189" w:type="pct"/>
            <w:tcBorders>
              <w:top w:val="nil"/>
              <w:left w:val="nil"/>
              <w:bottom w:val="single" w:sz="4" w:space="0" w:color="auto"/>
              <w:right w:val="nil"/>
            </w:tcBorders>
          </w:tcPr>
          <w:p w14:paraId="7D88DC5F" w14:textId="77777777" w:rsidR="006D7C8D" w:rsidRPr="00542AB7" w:rsidRDefault="006D7C8D" w:rsidP="00834E0F">
            <w:pPr>
              <w:pStyle w:val="TableText"/>
              <w:spacing w:before="0"/>
            </w:pPr>
            <w:r>
              <w:t>(spot spray)</w:t>
            </w:r>
          </w:p>
        </w:tc>
        <w:tc>
          <w:tcPr>
            <w:tcW w:w="763" w:type="pct"/>
            <w:tcBorders>
              <w:top w:val="nil"/>
              <w:left w:val="nil"/>
              <w:bottom w:val="single" w:sz="4" w:space="0" w:color="auto"/>
              <w:right w:val="nil"/>
            </w:tcBorders>
          </w:tcPr>
          <w:p w14:paraId="067B1383" w14:textId="77777777" w:rsidR="006D7C8D" w:rsidRPr="00CD311A"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92D050"/>
          </w:tcPr>
          <w:p w14:paraId="3AA84AC1" w14:textId="77777777" w:rsidR="006D7C8D" w:rsidRPr="00CD311A" w:rsidRDefault="006D7C8D" w:rsidP="00834E0F">
            <w:pPr>
              <w:pStyle w:val="TableText"/>
              <w:spacing w:before="0"/>
              <w:jc w:val="right"/>
            </w:pPr>
            <w:r>
              <w:t>Yes</w:t>
            </w:r>
          </w:p>
        </w:tc>
        <w:tc>
          <w:tcPr>
            <w:tcW w:w="763" w:type="pct"/>
            <w:tcBorders>
              <w:top w:val="nil"/>
              <w:left w:val="nil"/>
              <w:bottom w:val="single" w:sz="4" w:space="0" w:color="auto"/>
              <w:right w:val="nil"/>
            </w:tcBorders>
          </w:tcPr>
          <w:p w14:paraId="2BDC55CB" w14:textId="1342AD63" w:rsidR="006D7C8D" w:rsidRPr="00CD311A" w:rsidRDefault="006D7C8D" w:rsidP="00834E0F">
            <w:pPr>
              <w:pStyle w:val="TableText"/>
              <w:spacing w:before="0"/>
              <w:jc w:val="right"/>
            </w:pPr>
            <w:r>
              <w:t>320</w:t>
            </w:r>
            <w:r w:rsidR="001C5089">
              <w:br/>
            </w:r>
            <w:r>
              <w:t>(WOE)</w:t>
            </w:r>
          </w:p>
        </w:tc>
        <w:tc>
          <w:tcPr>
            <w:tcW w:w="763" w:type="pct"/>
            <w:tcBorders>
              <w:top w:val="nil"/>
              <w:left w:val="nil"/>
              <w:bottom w:val="single" w:sz="4" w:space="0" w:color="auto"/>
              <w:right w:val="nil"/>
            </w:tcBorders>
            <w:shd w:val="clear" w:color="auto" w:fill="FF0000"/>
          </w:tcPr>
          <w:p w14:paraId="3ED417AD" w14:textId="77777777" w:rsidR="006D7C8D" w:rsidRPr="00CD311A" w:rsidRDefault="006D7C8D" w:rsidP="00834E0F">
            <w:pPr>
              <w:pStyle w:val="TableText"/>
              <w:spacing w:before="0"/>
              <w:jc w:val="right"/>
            </w:pPr>
            <w:r>
              <w:t>No</w:t>
            </w:r>
          </w:p>
        </w:tc>
        <w:tc>
          <w:tcPr>
            <w:tcW w:w="759" w:type="pct"/>
            <w:tcBorders>
              <w:top w:val="nil"/>
              <w:left w:val="nil"/>
              <w:bottom w:val="single" w:sz="4" w:space="0" w:color="auto"/>
              <w:right w:val="nil"/>
            </w:tcBorders>
          </w:tcPr>
          <w:p w14:paraId="699D13E6" w14:textId="77777777" w:rsidR="006D7C8D" w:rsidRPr="00CD311A" w:rsidRDefault="006D7C8D" w:rsidP="00834E0F">
            <w:pPr>
              <w:pStyle w:val="TableText"/>
              <w:spacing w:before="0"/>
              <w:jc w:val="right"/>
            </w:pPr>
            <w:r>
              <w:t>251</w:t>
            </w:r>
          </w:p>
        </w:tc>
      </w:tr>
      <w:tr w:rsidR="006D7C8D" w:rsidRPr="000A0283" w14:paraId="71B4494F" w14:textId="77777777" w:rsidTr="001C5089">
        <w:trPr>
          <w:cantSplit/>
          <w:trHeight w:val="227"/>
        </w:trPr>
        <w:tc>
          <w:tcPr>
            <w:tcW w:w="1189" w:type="pct"/>
            <w:tcBorders>
              <w:top w:val="single" w:sz="4" w:space="0" w:color="auto"/>
              <w:left w:val="nil"/>
              <w:bottom w:val="nil"/>
              <w:right w:val="nil"/>
            </w:tcBorders>
          </w:tcPr>
          <w:p w14:paraId="13C6D42F" w14:textId="77777777" w:rsidR="006D7C8D" w:rsidRDefault="006D7C8D" w:rsidP="00834E0F">
            <w:pPr>
              <w:pStyle w:val="TableText"/>
              <w:spacing w:before="0"/>
            </w:pPr>
            <w:r w:rsidRPr="00542AB7">
              <w:lastRenderedPageBreak/>
              <w:t>Orchards (including Bananas), Vineyards and Forests–ring weeding around trees with brown bark and strip spraying in Orchards and Vineyards</w:t>
            </w:r>
          </w:p>
        </w:tc>
        <w:tc>
          <w:tcPr>
            <w:tcW w:w="763" w:type="pct"/>
            <w:tcBorders>
              <w:top w:val="single" w:sz="4" w:space="0" w:color="auto"/>
              <w:left w:val="nil"/>
              <w:bottom w:val="nil"/>
              <w:right w:val="nil"/>
            </w:tcBorders>
          </w:tcPr>
          <w:p w14:paraId="4DC6BEBA" w14:textId="77777777" w:rsidR="006D7C8D" w:rsidRPr="00FF66B6" w:rsidRDefault="006D7C8D" w:rsidP="00834E0F">
            <w:pPr>
              <w:pStyle w:val="TableText"/>
              <w:spacing w:before="0"/>
              <w:jc w:val="right"/>
              <w:rPr>
                <w:highlight w:val="magenta"/>
              </w:rPr>
            </w:pPr>
            <w:r>
              <w:t>2.4 to 3.2</w:t>
            </w:r>
          </w:p>
        </w:tc>
        <w:tc>
          <w:tcPr>
            <w:tcW w:w="763" w:type="pct"/>
            <w:tcBorders>
              <w:top w:val="single" w:sz="4" w:space="0" w:color="auto"/>
              <w:left w:val="nil"/>
              <w:bottom w:val="nil"/>
              <w:right w:val="nil"/>
            </w:tcBorders>
            <w:shd w:val="clear" w:color="auto" w:fill="FF0000"/>
          </w:tcPr>
          <w:p w14:paraId="5C8FD37D" w14:textId="77777777" w:rsidR="006D7C8D" w:rsidRPr="000A0283" w:rsidRDefault="006D7C8D" w:rsidP="00834E0F">
            <w:pPr>
              <w:pStyle w:val="TableText"/>
              <w:spacing w:before="0"/>
              <w:jc w:val="right"/>
            </w:pPr>
            <w:r>
              <w:t>No</w:t>
            </w:r>
          </w:p>
        </w:tc>
        <w:tc>
          <w:tcPr>
            <w:tcW w:w="763" w:type="pct"/>
            <w:tcBorders>
              <w:top w:val="single" w:sz="4" w:space="0" w:color="auto"/>
              <w:left w:val="nil"/>
              <w:bottom w:val="nil"/>
              <w:right w:val="nil"/>
            </w:tcBorders>
          </w:tcPr>
          <w:p w14:paraId="14B14E29" w14:textId="77777777" w:rsidR="006D7C8D" w:rsidRPr="000A0283" w:rsidRDefault="006D7C8D" w:rsidP="00834E0F">
            <w:pPr>
              <w:pStyle w:val="TableText"/>
              <w:spacing w:before="0"/>
              <w:jc w:val="right"/>
            </w:pPr>
            <w:r>
              <w:t>68</w:t>
            </w:r>
          </w:p>
        </w:tc>
        <w:tc>
          <w:tcPr>
            <w:tcW w:w="763" w:type="pct"/>
            <w:tcBorders>
              <w:top w:val="single" w:sz="4" w:space="0" w:color="auto"/>
              <w:left w:val="nil"/>
              <w:bottom w:val="nil"/>
              <w:right w:val="nil"/>
            </w:tcBorders>
            <w:shd w:val="clear" w:color="auto" w:fill="FF0000"/>
          </w:tcPr>
          <w:p w14:paraId="71103603" w14:textId="77777777" w:rsidR="006D7C8D" w:rsidRPr="000A0283" w:rsidRDefault="006D7C8D" w:rsidP="00834E0F">
            <w:pPr>
              <w:pStyle w:val="TableText"/>
              <w:spacing w:before="0"/>
              <w:jc w:val="right"/>
            </w:pPr>
            <w:r>
              <w:t>No</w:t>
            </w:r>
          </w:p>
        </w:tc>
        <w:tc>
          <w:tcPr>
            <w:tcW w:w="759" w:type="pct"/>
            <w:tcBorders>
              <w:top w:val="single" w:sz="4" w:space="0" w:color="auto"/>
              <w:left w:val="nil"/>
              <w:bottom w:val="nil"/>
              <w:right w:val="nil"/>
            </w:tcBorders>
          </w:tcPr>
          <w:p w14:paraId="15F4F6FF" w14:textId="77777777" w:rsidR="006D7C8D" w:rsidRPr="000A0283" w:rsidRDefault="006D7C8D" w:rsidP="00834E0F">
            <w:pPr>
              <w:pStyle w:val="TableText"/>
              <w:spacing w:before="0"/>
              <w:jc w:val="right"/>
            </w:pPr>
            <w:r>
              <w:t>411</w:t>
            </w:r>
          </w:p>
        </w:tc>
      </w:tr>
      <w:tr w:rsidR="006D7C8D" w:rsidRPr="000A0283" w14:paraId="4BDAFFD9" w14:textId="77777777" w:rsidTr="001C5089">
        <w:trPr>
          <w:cantSplit/>
          <w:trHeight w:val="227"/>
        </w:trPr>
        <w:tc>
          <w:tcPr>
            <w:tcW w:w="1189" w:type="pct"/>
            <w:tcBorders>
              <w:top w:val="nil"/>
              <w:left w:val="nil"/>
              <w:bottom w:val="single" w:sz="4" w:space="0" w:color="auto"/>
              <w:right w:val="nil"/>
            </w:tcBorders>
          </w:tcPr>
          <w:p w14:paraId="2C6D5024" w14:textId="77777777" w:rsidR="006D7C8D" w:rsidRPr="00542AB7" w:rsidRDefault="006D7C8D" w:rsidP="00834E0F">
            <w:pPr>
              <w:pStyle w:val="TableText"/>
              <w:spacing w:before="0"/>
            </w:pPr>
            <w:r>
              <w:t>(spot spray)</w:t>
            </w:r>
          </w:p>
        </w:tc>
        <w:tc>
          <w:tcPr>
            <w:tcW w:w="763" w:type="pct"/>
            <w:tcBorders>
              <w:top w:val="nil"/>
              <w:left w:val="nil"/>
              <w:bottom w:val="single" w:sz="4" w:space="0" w:color="auto"/>
              <w:right w:val="nil"/>
            </w:tcBorders>
          </w:tcPr>
          <w:p w14:paraId="78A8330A" w14:textId="77777777" w:rsidR="006D7C8D" w:rsidRPr="00FF66B6" w:rsidRDefault="006D7C8D" w:rsidP="00834E0F">
            <w:pPr>
              <w:pStyle w:val="TableText"/>
              <w:spacing w:before="0"/>
              <w:jc w:val="right"/>
              <w:rPr>
                <w:highlight w:val="magenta"/>
              </w:rPr>
            </w:pPr>
            <w:r>
              <w:t>2.4 to 3.2</w:t>
            </w:r>
          </w:p>
        </w:tc>
        <w:tc>
          <w:tcPr>
            <w:tcW w:w="763" w:type="pct"/>
            <w:tcBorders>
              <w:top w:val="nil"/>
              <w:left w:val="nil"/>
              <w:bottom w:val="single" w:sz="4" w:space="0" w:color="auto"/>
              <w:right w:val="nil"/>
            </w:tcBorders>
            <w:shd w:val="clear" w:color="auto" w:fill="FF0000"/>
          </w:tcPr>
          <w:p w14:paraId="67BB0F26" w14:textId="77777777" w:rsidR="006D7C8D" w:rsidRPr="000A0283" w:rsidRDefault="006D7C8D" w:rsidP="00834E0F">
            <w:pPr>
              <w:pStyle w:val="TableText"/>
              <w:spacing w:before="0"/>
              <w:jc w:val="right"/>
            </w:pPr>
            <w:r>
              <w:t>No</w:t>
            </w:r>
          </w:p>
        </w:tc>
        <w:tc>
          <w:tcPr>
            <w:tcW w:w="763" w:type="pct"/>
            <w:tcBorders>
              <w:top w:val="nil"/>
              <w:left w:val="nil"/>
              <w:bottom w:val="single" w:sz="4" w:space="0" w:color="auto"/>
              <w:right w:val="nil"/>
            </w:tcBorders>
          </w:tcPr>
          <w:p w14:paraId="0E412336" w14:textId="77777777" w:rsidR="006D7C8D" w:rsidRPr="000A0283" w:rsidRDefault="006D7C8D" w:rsidP="00834E0F">
            <w:pPr>
              <w:pStyle w:val="TableText"/>
              <w:spacing w:before="0"/>
              <w:jc w:val="right"/>
            </w:pPr>
            <w:r>
              <w:t>68</w:t>
            </w:r>
          </w:p>
        </w:tc>
        <w:tc>
          <w:tcPr>
            <w:tcW w:w="763" w:type="pct"/>
            <w:tcBorders>
              <w:top w:val="nil"/>
              <w:left w:val="nil"/>
              <w:bottom w:val="single" w:sz="4" w:space="0" w:color="auto"/>
              <w:right w:val="nil"/>
            </w:tcBorders>
            <w:shd w:val="clear" w:color="auto" w:fill="92D050"/>
          </w:tcPr>
          <w:p w14:paraId="73F09280" w14:textId="77777777" w:rsidR="006D7C8D" w:rsidRPr="000A0283" w:rsidRDefault="006D7C8D" w:rsidP="00834E0F">
            <w:pPr>
              <w:pStyle w:val="TableText"/>
              <w:spacing w:before="0"/>
              <w:jc w:val="right"/>
            </w:pPr>
            <w:r>
              <w:t>Yes</w:t>
            </w:r>
          </w:p>
        </w:tc>
        <w:tc>
          <w:tcPr>
            <w:tcW w:w="759" w:type="pct"/>
            <w:tcBorders>
              <w:top w:val="nil"/>
              <w:left w:val="nil"/>
              <w:bottom w:val="single" w:sz="4" w:space="0" w:color="auto"/>
              <w:right w:val="nil"/>
            </w:tcBorders>
          </w:tcPr>
          <w:p w14:paraId="6F312811" w14:textId="77777777" w:rsidR="006D7C8D" w:rsidRPr="000A0283" w:rsidRDefault="006D7C8D" w:rsidP="00834E0F">
            <w:pPr>
              <w:pStyle w:val="TableText"/>
              <w:spacing w:before="0"/>
              <w:jc w:val="right"/>
            </w:pPr>
            <w:r>
              <w:t>411</w:t>
            </w:r>
          </w:p>
        </w:tc>
      </w:tr>
      <w:tr w:rsidR="006D7C8D" w:rsidRPr="000A0283" w14:paraId="0C035389" w14:textId="77777777" w:rsidTr="001C5089">
        <w:trPr>
          <w:cantSplit/>
          <w:trHeight w:val="227"/>
        </w:trPr>
        <w:tc>
          <w:tcPr>
            <w:tcW w:w="1189" w:type="pct"/>
            <w:tcBorders>
              <w:top w:val="single" w:sz="4" w:space="0" w:color="auto"/>
              <w:left w:val="nil"/>
              <w:bottom w:val="nil"/>
              <w:right w:val="nil"/>
            </w:tcBorders>
          </w:tcPr>
          <w:p w14:paraId="2B96026C" w14:textId="77777777" w:rsidR="006D7C8D" w:rsidRDefault="006D7C8D" w:rsidP="00834E0F">
            <w:pPr>
              <w:pStyle w:val="TableText"/>
              <w:spacing w:before="0"/>
            </w:pPr>
            <w:r>
              <w:t>Hazelnut plantations</w:t>
            </w:r>
          </w:p>
        </w:tc>
        <w:tc>
          <w:tcPr>
            <w:tcW w:w="763" w:type="pct"/>
            <w:tcBorders>
              <w:top w:val="single" w:sz="4" w:space="0" w:color="auto"/>
              <w:left w:val="nil"/>
              <w:bottom w:val="nil"/>
              <w:right w:val="nil"/>
            </w:tcBorders>
          </w:tcPr>
          <w:p w14:paraId="34E7B3DD" w14:textId="77777777" w:rsidR="006D7C8D" w:rsidRPr="000A0283"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FF0000"/>
          </w:tcPr>
          <w:p w14:paraId="37EBFBD4" w14:textId="77777777" w:rsidR="006D7C8D" w:rsidRPr="000A0283" w:rsidRDefault="006D7C8D" w:rsidP="00834E0F">
            <w:pPr>
              <w:pStyle w:val="TableText"/>
              <w:spacing w:before="0"/>
              <w:jc w:val="right"/>
            </w:pPr>
            <w:r>
              <w:t>No</w:t>
            </w:r>
          </w:p>
        </w:tc>
        <w:tc>
          <w:tcPr>
            <w:tcW w:w="763" w:type="pct"/>
            <w:tcBorders>
              <w:top w:val="single" w:sz="4" w:space="0" w:color="auto"/>
              <w:left w:val="nil"/>
              <w:bottom w:val="nil"/>
              <w:right w:val="nil"/>
            </w:tcBorders>
          </w:tcPr>
          <w:p w14:paraId="7328C5FC" w14:textId="77777777" w:rsidR="006D7C8D" w:rsidRPr="000A0283" w:rsidRDefault="006D7C8D" w:rsidP="00834E0F">
            <w:pPr>
              <w:pStyle w:val="TableText"/>
              <w:spacing w:before="0"/>
              <w:jc w:val="right"/>
            </w:pPr>
            <w:r>
              <w:t>68</w:t>
            </w:r>
          </w:p>
        </w:tc>
        <w:tc>
          <w:tcPr>
            <w:tcW w:w="763" w:type="pct"/>
            <w:tcBorders>
              <w:top w:val="single" w:sz="4" w:space="0" w:color="auto"/>
              <w:left w:val="nil"/>
              <w:bottom w:val="nil"/>
              <w:right w:val="nil"/>
            </w:tcBorders>
            <w:shd w:val="clear" w:color="auto" w:fill="FF0000"/>
          </w:tcPr>
          <w:p w14:paraId="7E4049CE" w14:textId="77777777" w:rsidR="006D7C8D" w:rsidRPr="000A0283" w:rsidRDefault="006D7C8D" w:rsidP="00834E0F">
            <w:pPr>
              <w:pStyle w:val="TableText"/>
              <w:spacing w:before="0"/>
              <w:jc w:val="right"/>
            </w:pPr>
            <w:r>
              <w:t>No</w:t>
            </w:r>
          </w:p>
        </w:tc>
        <w:tc>
          <w:tcPr>
            <w:tcW w:w="759" w:type="pct"/>
            <w:tcBorders>
              <w:top w:val="single" w:sz="4" w:space="0" w:color="auto"/>
              <w:left w:val="nil"/>
              <w:bottom w:val="nil"/>
              <w:right w:val="nil"/>
            </w:tcBorders>
          </w:tcPr>
          <w:p w14:paraId="035C6E62" w14:textId="77777777" w:rsidR="006D7C8D" w:rsidRPr="000A0283" w:rsidRDefault="006D7C8D" w:rsidP="00834E0F">
            <w:pPr>
              <w:pStyle w:val="TableText"/>
              <w:spacing w:before="0"/>
              <w:jc w:val="right"/>
            </w:pPr>
            <w:r>
              <w:t>411</w:t>
            </w:r>
          </w:p>
        </w:tc>
      </w:tr>
      <w:tr w:rsidR="006D7C8D" w:rsidRPr="000A0283" w14:paraId="70CC831A" w14:textId="77777777" w:rsidTr="001C5089">
        <w:trPr>
          <w:cantSplit/>
          <w:trHeight w:val="227"/>
        </w:trPr>
        <w:tc>
          <w:tcPr>
            <w:tcW w:w="1189" w:type="pct"/>
            <w:tcBorders>
              <w:top w:val="nil"/>
              <w:left w:val="nil"/>
              <w:bottom w:val="single" w:sz="4" w:space="0" w:color="auto"/>
              <w:right w:val="nil"/>
            </w:tcBorders>
          </w:tcPr>
          <w:p w14:paraId="76A86F81" w14:textId="77777777" w:rsidR="006D7C8D" w:rsidRDefault="006D7C8D" w:rsidP="00834E0F">
            <w:pPr>
              <w:pStyle w:val="TableText"/>
              <w:spacing w:before="0"/>
            </w:pPr>
            <w:r>
              <w:t>(spot spray)</w:t>
            </w:r>
          </w:p>
        </w:tc>
        <w:tc>
          <w:tcPr>
            <w:tcW w:w="763" w:type="pct"/>
            <w:tcBorders>
              <w:top w:val="nil"/>
              <w:left w:val="nil"/>
              <w:bottom w:val="single" w:sz="4" w:space="0" w:color="auto"/>
              <w:right w:val="nil"/>
            </w:tcBorders>
          </w:tcPr>
          <w:p w14:paraId="36CAA5AB" w14:textId="77777777" w:rsidR="006D7C8D" w:rsidRPr="000A0283"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FF0000"/>
          </w:tcPr>
          <w:p w14:paraId="17426A10" w14:textId="77777777" w:rsidR="006D7C8D" w:rsidRPr="000A0283" w:rsidRDefault="006D7C8D" w:rsidP="00834E0F">
            <w:pPr>
              <w:pStyle w:val="TableText"/>
              <w:spacing w:before="0"/>
              <w:jc w:val="right"/>
            </w:pPr>
            <w:r>
              <w:t>No</w:t>
            </w:r>
          </w:p>
        </w:tc>
        <w:tc>
          <w:tcPr>
            <w:tcW w:w="763" w:type="pct"/>
            <w:tcBorders>
              <w:top w:val="nil"/>
              <w:left w:val="nil"/>
              <w:bottom w:val="single" w:sz="4" w:space="0" w:color="auto"/>
              <w:right w:val="nil"/>
            </w:tcBorders>
          </w:tcPr>
          <w:p w14:paraId="69EBB297" w14:textId="77777777" w:rsidR="006D7C8D" w:rsidRPr="000A0283" w:rsidRDefault="006D7C8D" w:rsidP="00834E0F">
            <w:pPr>
              <w:pStyle w:val="TableText"/>
              <w:spacing w:before="0"/>
              <w:jc w:val="right"/>
            </w:pPr>
            <w:r>
              <w:t>68</w:t>
            </w:r>
          </w:p>
        </w:tc>
        <w:tc>
          <w:tcPr>
            <w:tcW w:w="763" w:type="pct"/>
            <w:tcBorders>
              <w:top w:val="nil"/>
              <w:left w:val="nil"/>
              <w:bottom w:val="single" w:sz="4" w:space="0" w:color="auto"/>
              <w:right w:val="nil"/>
            </w:tcBorders>
            <w:shd w:val="clear" w:color="auto" w:fill="92D050"/>
          </w:tcPr>
          <w:p w14:paraId="122F2F56" w14:textId="77777777" w:rsidR="006D7C8D" w:rsidRPr="000A0283" w:rsidRDefault="006D7C8D" w:rsidP="00834E0F">
            <w:pPr>
              <w:pStyle w:val="TableText"/>
              <w:spacing w:before="0"/>
              <w:jc w:val="right"/>
            </w:pPr>
            <w:r>
              <w:t>Yes</w:t>
            </w:r>
          </w:p>
        </w:tc>
        <w:tc>
          <w:tcPr>
            <w:tcW w:w="759" w:type="pct"/>
            <w:tcBorders>
              <w:top w:val="nil"/>
              <w:left w:val="nil"/>
              <w:bottom w:val="single" w:sz="4" w:space="0" w:color="auto"/>
              <w:right w:val="nil"/>
            </w:tcBorders>
          </w:tcPr>
          <w:p w14:paraId="3737BFF9" w14:textId="77777777" w:rsidR="006D7C8D" w:rsidRPr="000A0283" w:rsidRDefault="006D7C8D" w:rsidP="00834E0F">
            <w:pPr>
              <w:pStyle w:val="TableText"/>
              <w:spacing w:before="0"/>
              <w:jc w:val="right"/>
            </w:pPr>
            <w:r>
              <w:t>411</w:t>
            </w:r>
          </w:p>
        </w:tc>
      </w:tr>
      <w:tr w:rsidR="006D7C8D" w:rsidRPr="000A0283" w14:paraId="436BB848" w14:textId="77777777" w:rsidTr="001C5089">
        <w:trPr>
          <w:cantSplit/>
          <w:trHeight w:val="227"/>
        </w:trPr>
        <w:tc>
          <w:tcPr>
            <w:tcW w:w="1189" w:type="pct"/>
            <w:tcBorders>
              <w:top w:val="single" w:sz="4" w:space="0" w:color="auto"/>
              <w:left w:val="nil"/>
              <w:bottom w:val="nil"/>
              <w:right w:val="nil"/>
            </w:tcBorders>
          </w:tcPr>
          <w:p w14:paraId="70CE7FDE" w14:textId="77777777" w:rsidR="006D7C8D" w:rsidRDefault="006D7C8D" w:rsidP="00834E0F">
            <w:pPr>
              <w:pStyle w:val="TableText"/>
              <w:spacing w:before="0"/>
            </w:pPr>
            <w:r>
              <w:t>Pistachio nuts</w:t>
            </w:r>
          </w:p>
        </w:tc>
        <w:tc>
          <w:tcPr>
            <w:tcW w:w="763" w:type="pct"/>
            <w:tcBorders>
              <w:top w:val="single" w:sz="4" w:space="0" w:color="auto"/>
              <w:left w:val="nil"/>
              <w:bottom w:val="nil"/>
              <w:right w:val="nil"/>
            </w:tcBorders>
          </w:tcPr>
          <w:p w14:paraId="3D0C5891" w14:textId="77777777" w:rsidR="006D7C8D" w:rsidRPr="000A0283"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FF0000"/>
          </w:tcPr>
          <w:p w14:paraId="1DAE8254" w14:textId="77777777" w:rsidR="006D7C8D" w:rsidRPr="000A0283" w:rsidRDefault="006D7C8D" w:rsidP="00834E0F">
            <w:pPr>
              <w:pStyle w:val="TableText"/>
              <w:spacing w:before="0"/>
              <w:jc w:val="right"/>
            </w:pPr>
            <w:r>
              <w:t>No</w:t>
            </w:r>
          </w:p>
        </w:tc>
        <w:tc>
          <w:tcPr>
            <w:tcW w:w="763" w:type="pct"/>
            <w:tcBorders>
              <w:top w:val="single" w:sz="4" w:space="0" w:color="auto"/>
              <w:left w:val="nil"/>
              <w:bottom w:val="nil"/>
              <w:right w:val="nil"/>
            </w:tcBorders>
          </w:tcPr>
          <w:p w14:paraId="4ACA8737" w14:textId="77777777" w:rsidR="006D7C8D" w:rsidRPr="000A0283" w:rsidRDefault="006D7C8D" w:rsidP="00834E0F">
            <w:pPr>
              <w:pStyle w:val="TableText"/>
              <w:spacing w:before="0"/>
              <w:jc w:val="right"/>
            </w:pPr>
            <w:r>
              <w:t>68</w:t>
            </w:r>
          </w:p>
        </w:tc>
        <w:tc>
          <w:tcPr>
            <w:tcW w:w="763" w:type="pct"/>
            <w:tcBorders>
              <w:top w:val="single" w:sz="4" w:space="0" w:color="auto"/>
              <w:left w:val="nil"/>
              <w:bottom w:val="nil"/>
              <w:right w:val="nil"/>
            </w:tcBorders>
            <w:shd w:val="clear" w:color="auto" w:fill="FF0000"/>
          </w:tcPr>
          <w:p w14:paraId="56B21362" w14:textId="77777777" w:rsidR="006D7C8D" w:rsidRPr="000A0283" w:rsidRDefault="006D7C8D" w:rsidP="00834E0F">
            <w:pPr>
              <w:pStyle w:val="TableText"/>
              <w:spacing w:before="0"/>
              <w:jc w:val="right"/>
            </w:pPr>
            <w:r>
              <w:t>No</w:t>
            </w:r>
          </w:p>
        </w:tc>
        <w:tc>
          <w:tcPr>
            <w:tcW w:w="759" w:type="pct"/>
            <w:tcBorders>
              <w:top w:val="single" w:sz="4" w:space="0" w:color="auto"/>
              <w:left w:val="nil"/>
              <w:bottom w:val="nil"/>
              <w:right w:val="nil"/>
            </w:tcBorders>
          </w:tcPr>
          <w:p w14:paraId="089E7E9B" w14:textId="77777777" w:rsidR="006D7C8D" w:rsidRPr="000A0283" w:rsidRDefault="006D7C8D" w:rsidP="00834E0F">
            <w:pPr>
              <w:pStyle w:val="TableText"/>
              <w:spacing w:before="0"/>
              <w:jc w:val="right"/>
            </w:pPr>
            <w:r>
              <w:t>411</w:t>
            </w:r>
          </w:p>
        </w:tc>
      </w:tr>
      <w:tr w:rsidR="006D7C8D" w:rsidRPr="000A0283" w14:paraId="4B6D7B48" w14:textId="77777777" w:rsidTr="001C5089">
        <w:trPr>
          <w:cantSplit/>
          <w:trHeight w:val="227"/>
        </w:trPr>
        <w:tc>
          <w:tcPr>
            <w:tcW w:w="1189" w:type="pct"/>
            <w:tcBorders>
              <w:top w:val="nil"/>
              <w:left w:val="nil"/>
              <w:bottom w:val="single" w:sz="4" w:space="0" w:color="auto"/>
              <w:right w:val="nil"/>
            </w:tcBorders>
          </w:tcPr>
          <w:p w14:paraId="16896FEF" w14:textId="77777777" w:rsidR="006D7C8D" w:rsidRDefault="006D7C8D" w:rsidP="00834E0F">
            <w:pPr>
              <w:pStyle w:val="TableText"/>
              <w:spacing w:before="0"/>
            </w:pPr>
            <w:r>
              <w:t>(spot spray)</w:t>
            </w:r>
          </w:p>
        </w:tc>
        <w:tc>
          <w:tcPr>
            <w:tcW w:w="763" w:type="pct"/>
            <w:tcBorders>
              <w:top w:val="nil"/>
              <w:left w:val="nil"/>
              <w:bottom w:val="single" w:sz="4" w:space="0" w:color="auto"/>
              <w:right w:val="nil"/>
            </w:tcBorders>
          </w:tcPr>
          <w:p w14:paraId="3197EC22" w14:textId="77777777" w:rsidR="006D7C8D" w:rsidRPr="000A0283"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FF0000"/>
          </w:tcPr>
          <w:p w14:paraId="2C4A92B2" w14:textId="77777777" w:rsidR="006D7C8D" w:rsidRPr="000A0283" w:rsidRDefault="006D7C8D" w:rsidP="00834E0F">
            <w:pPr>
              <w:pStyle w:val="TableText"/>
              <w:spacing w:before="0"/>
              <w:jc w:val="right"/>
            </w:pPr>
            <w:r>
              <w:t>No</w:t>
            </w:r>
          </w:p>
        </w:tc>
        <w:tc>
          <w:tcPr>
            <w:tcW w:w="763" w:type="pct"/>
            <w:tcBorders>
              <w:top w:val="nil"/>
              <w:left w:val="nil"/>
              <w:bottom w:val="single" w:sz="4" w:space="0" w:color="auto"/>
              <w:right w:val="nil"/>
            </w:tcBorders>
          </w:tcPr>
          <w:p w14:paraId="43EA6EEF" w14:textId="77777777" w:rsidR="006D7C8D" w:rsidRPr="000A0283" w:rsidRDefault="006D7C8D" w:rsidP="00834E0F">
            <w:pPr>
              <w:pStyle w:val="TableText"/>
              <w:spacing w:before="0"/>
              <w:jc w:val="right"/>
            </w:pPr>
            <w:r>
              <w:t>68</w:t>
            </w:r>
          </w:p>
        </w:tc>
        <w:tc>
          <w:tcPr>
            <w:tcW w:w="763" w:type="pct"/>
            <w:tcBorders>
              <w:top w:val="nil"/>
              <w:left w:val="nil"/>
              <w:bottom w:val="single" w:sz="4" w:space="0" w:color="auto"/>
              <w:right w:val="nil"/>
            </w:tcBorders>
            <w:shd w:val="clear" w:color="auto" w:fill="92D050"/>
          </w:tcPr>
          <w:p w14:paraId="13AEB07A" w14:textId="77777777" w:rsidR="006D7C8D" w:rsidRPr="000A0283" w:rsidRDefault="006D7C8D" w:rsidP="00834E0F">
            <w:pPr>
              <w:pStyle w:val="TableText"/>
              <w:spacing w:before="0"/>
              <w:jc w:val="right"/>
            </w:pPr>
            <w:r>
              <w:t>Yes</w:t>
            </w:r>
          </w:p>
        </w:tc>
        <w:tc>
          <w:tcPr>
            <w:tcW w:w="759" w:type="pct"/>
            <w:tcBorders>
              <w:top w:val="nil"/>
              <w:left w:val="nil"/>
              <w:bottom w:val="single" w:sz="4" w:space="0" w:color="auto"/>
              <w:right w:val="nil"/>
            </w:tcBorders>
          </w:tcPr>
          <w:p w14:paraId="2FB4F025" w14:textId="77777777" w:rsidR="006D7C8D" w:rsidRPr="000A0283" w:rsidRDefault="006D7C8D" w:rsidP="00834E0F">
            <w:pPr>
              <w:pStyle w:val="TableText"/>
              <w:spacing w:before="0"/>
              <w:jc w:val="right"/>
            </w:pPr>
            <w:r>
              <w:t>411</w:t>
            </w:r>
          </w:p>
        </w:tc>
      </w:tr>
      <w:tr w:rsidR="006D7C8D" w:rsidRPr="000A0283" w14:paraId="48BF3FFF" w14:textId="77777777" w:rsidTr="001C5089">
        <w:trPr>
          <w:cantSplit/>
          <w:trHeight w:val="227"/>
        </w:trPr>
        <w:tc>
          <w:tcPr>
            <w:tcW w:w="1189" w:type="pct"/>
            <w:tcBorders>
              <w:top w:val="single" w:sz="4" w:space="0" w:color="auto"/>
              <w:left w:val="nil"/>
              <w:bottom w:val="nil"/>
              <w:right w:val="nil"/>
            </w:tcBorders>
          </w:tcPr>
          <w:p w14:paraId="421F49B4" w14:textId="77777777" w:rsidR="006D7C8D" w:rsidRDefault="006D7C8D" w:rsidP="00834E0F">
            <w:pPr>
              <w:pStyle w:val="TableText"/>
              <w:spacing w:before="0"/>
            </w:pPr>
            <w:r>
              <w:t>Walnuts</w:t>
            </w:r>
          </w:p>
        </w:tc>
        <w:tc>
          <w:tcPr>
            <w:tcW w:w="763" w:type="pct"/>
            <w:tcBorders>
              <w:top w:val="single" w:sz="4" w:space="0" w:color="auto"/>
              <w:left w:val="nil"/>
              <w:bottom w:val="nil"/>
              <w:right w:val="nil"/>
            </w:tcBorders>
          </w:tcPr>
          <w:p w14:paraId="455B6258" w14:textId="77777777" w:rsidR="006D7C8D" w:rsidRPr="000A0283"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FF0000"/>
          </w:tcPr>
          <w:p w14:paraId="5DD8AFA5" w14:textId="77777777" w:rsidR="006D7C8D" w:rsidRDefault="006D7C8D" w:rsidP="00834E0F">
            <w:pPr>
              <w:pStyle w:val="TableText"/>
              <w:spacing w:before="0"/>
              <w:jc w:val="right"/>
            </w:pPr>
            <w:r>
              <w:t>No</w:t>
            </w:r>
          </w:p>
        </w:tc>
        <w:tc>
          <w:tcPr>
            <w:tcW w:w="763" w:type="pct"/>
            <w:tcBorders>
              <w:top w:val="single" w:sz="4" w:space="0" w:color="auto"/>
              <w:left w:val="nil"/>
              <w:bottom w:val="nil"/>
              <w:right w:val="nil"/>
            </w:tcBorders>
          </w:tcPr>
          <w:p w14:paraId="5CD73970" w14:textId="77777777" w:rsidR="006D7C8D" w:rsidRPr="000A0283" w:rsidRDefault="006D7C8D" w:rsidP="00834E0F">
            <w:pPr>
              <w:pStyle w:val="TableText"/>
              <w:spacing w:before="0"/>
              <w:jc w:val="right"/>
            </w:pPr>
            <w:r>
              <w:t>68</w:t>
            </w:r>
          </w:p>
        </w:tc>
        <w:tc>
          <w:tcPr>
            <w:tcW w:w="763" w:type="pct"/>
            <w:tcBorders>
              <w:top w:val="single" w:sz="4" w:space="0" w:color="auto"/>
              <w:left w:val="nil"/>
              <w:bottom w:val="nil"/>
              <w:right w:val="nil"/>
            </w:tcBorders>
            <w:shd w:val="clear" w:color="auto" w:fill="FF0000"/>
          </w:tcPr>
          <w:p w14:paraId="47C35820" w14:textId="77777777" w:rsidR="006D7C8D" w:rsidRPr="000A0283" w:rsidRDefault="006D7C8D" w:rsidP="00834E0F">
            <w:pPr>
              <w:pStyle w:val="TableText"/>
              <w:spacing w:before="0"/>
              <w:jc w:val="right"/>
            </w:pPr>
            <w:r>
              <w:t>No</w:t>
            </w:r>
          </w:p>
        </w:tc>
        <w:tc>
          <w:tcPr>
            <w:tcW w:w="759" w:type="pct"/>
            <w:tcBorders>
              <w:top w:val="single" w:sz="4" w:space="0" w:color="auto"/>
              <w:left w:val="nil"/>
              <w:bottom w:val="nil"/>
              <w:right w:val="nil"/>
            </w:tcBorders>
          </w:tcPr>
          <w:p w14:paraId="2C18A6AF" w14:textId="77777777" w:rsidR="006D7C8D" w:rsidRPr="000A0283" w:rsidRDefault="006D7C8D" w:rsidP="00834E0F">
            <w:pPr>
              <w:pStyle w:val="TableText"/>
              <w:spacing w:before="0"/>
              <w:jc w:val="right"/>
            </w:pPr>
            <w:r>
              <w:t>411</w:t>
            </w:r>
          </w:p>
        </w:tc>
      </w:tr>
      <w:tr w:rsidR="006D7C8D" w:rsidRPr="000A0283" w14:paraId="510474C4" w14:textId="77777777" w:rsidTr="001C5089">
        <w:trPr>
          <w:cantSplit/>
          <w:trHeight w:val="227"/>
        </w:trPr>
        <w:tc>
          <w:tcPr>
            <w:tcW w:w="1189" w:type="pct"/>
            <w:tcBorders>
              <w:top w:val="nil"/>
              <w:left w:val="nil"/>
              <w:bottom w:val="single" w:sz="4" w:space="0" w:color="auto"/>
              <w:right w:val="nil"/>
            </w:tcBorders>
          </w:tcPr>
          <w:p w14:paraId="6C06EADB" w14:textId="77777777" w:rsidR="006D7C8D" w:rsidRDefault="006D7C8D" w:rsidP="00834E0F">
            <w:pPr>
              <w:pStyle w:val="TableText"/>
              <w:spacing w:before="0"/>
            </w:pPr>
            <w:r>
              <w:t>(spot spray)</w:t>
            </w:r>
          </w:p>
        </w:tc>
        <w:tc>
          <w:tcPr>
            <w:tcW w:w="763" w:type="pct"/>
            <w:tcBorders>
              <w:top w:val="nil"/>
              <w:left w:val="nil"/>
              <w:bottom w:val="single" w:sz="4" w:space="0" w:color="auto"/>
              <w:right w:val="nil"/>
            </w:tcBorders>
          </w:tcPr>
          <w:p w14:paraId="606CCFDD" w14:textId="77777777" w:rsidR="006D7C8D" w:rsidRPr="000A0283"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FF0000"/>
          </w:tcPr>
          <w:p w14:paraId="496F3850" w14:textId="77777777" w:rsidR="006D7C8D" w:rsidRDefault="006D7C8D" w:rsidP="00834E0F">
            <w:pPr>
              <w:pStyle w:val="TableText"/>
              <w:spacing w:before="0"/>
              <w:jc w:val="right"/>
            </w:pPr>
            <w:r>
              <w:t>No</w:t>
            </w:r>
          </w:p>
        </w:tc>
        <w:tc>
          <w:tcPr>
            <w:tcW w:w="763" w:type="pct"/>
            <w:tcBorders>
              <w:top w:val="nil"/>
              <w:left w:val="nil"/>
              <w:bottom w:val="single" w:sz="4" w:space="0" w:color="auto"/>
              <w:right w:val="nil"/>
            </w:tcBorders>
          </w:tcPr>
          <w:p w14:paraId="4AD02589" w14:textId="77777777" w:rsidR="006D7C8D" w:rsidRPr="000A0283" w:rsidRDefault="006D7C8D" w:rsidP="00834E0F">
            <w:pPr>
              <w:pStyle w:val="TableText"/>
              <w:spacing w:before="0"/>
              <w:jc w:val="right"/>
            </w:pPr>
            <w:r>
              <w:t>68</w:t>
            </w:r>
          </w:p>
        </w:tc>
        <w:tc>
          <w:tcPr>
            <w:tcW w:w="763" w:type="pct"/>
            <w:tcBorders>
              <w:top w:val="nil"/>
              <w:left w:val="nil"/>
              <w:bottom w:val="single" w:sz="4" w:space="0" w:color="auto"/>
              <w:right w:val="nil"/>
            </w:tcBorders>
            <w:shd w:val="clear" w:color="auto" w:fill="92D050"/>
          </w:tcPr>
          <w:p w14:paraId="2E3CD5C2" w14:textId="77777777" w:rsidR="006D7C8D" w:rsidRPr="000A0283" w:rsidRDefault="006D7C8D" w:rsidP="00834E0F">
            <w:pPr>
              <w:pStyle w:val="TableText"/>
              <w:spacing w:before="0"/>
              <w:jc w:val="right"/>
            </w:pPr>
            <w:r>
              <w:t>Yes</w:t>
            </w:r>
          </w:p>
        </w:tc>
        <w:tc>
          <w:tcPr>
            <w:tcW w:w="759" w:type="pct"/>
            <w:tcBorders>
              <w:top w:val="nil"/>
              <w:left w:val="nil"/>
              <w:bottom w:val="single" w:sz="4" w:space="0" w:color="auto"/>
              <w:right w:val="nil"/>
            </w:tcBorders>
          </w:tcPr>
          <w:p w14:paraId="6EE136E9" w14:textId="77777777" w:rsidR="006D7C8D" w:rsidRPr="000A0283" w:rsidRDefault="006D7C8D" w:rsidP="00834E0F">
            <w:pPr>
              <w:pStyle w:val="TableText"/>
              <w:spacing w:before="0"/>
              <w:jc w:val="right"/>
            </w:pPr>
            <w:r>
              <w:t>411</w:t>
            </w:r>
          </w:p>
        </w:tc>
      </w:tr>
      <w:tr w:rsidR="006D7C8D" w:rsidRPr="00CD311A" w14:paraId="599C0800" w14:textId="77777777" w:rsidTr="001C5089">
        <w:trPr>
          <w:cantSplit/>
          <w:trHeight w:val="227"/>
        </w:trPr>
        <w:tc>
          <w:tcPr>
            <w:tcW w:w="1189" w:type="pct"/>
            <w:tcBorders>
              <w:top w:val="single" w:sz="4" w:space="0" w:color="auto"/>
              <w:left w:val="nil"/>
              <w:bottom w:val="nil"/>
              <w:right w:val="nil"/>
            </w:tcBorders>
          </w:tcPr>
          <w:p w14:paraId="3300613D" w14:textId="77777777" w:rsidR="006D7C8D" w:rsidRDefault="006D7C8D" w:rsidP="00834E0F">
            <w:pPr>
              <w:pStyle w:val="TableText"/>
              <w:spacing w:before="0"/>
            </w:pPr>
            <w:r>
              <w:t>Pre-crop emergence weed control</w:t>
            </w:r>
          </w:p>
        </w:tc>
        <w:tc>
          <w:tcPr>
            <w:tcW w:w="763" w:type="pct"/>
            <w:tcBorders>
              <w:top w:val="single" w:sz="4" w:space="0" w:color="auto"/>
              <w:left w:val="nil"/>
              <w:bottom w:val="nil"/>
              <w:right w:val="nil"/>
            </w:tcBorders>
          </w:tcPr>
          <w:p w14:paraId="309F396D"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92D050"/>
          </w:tcPr>
          <w:p w14:paraId="676AE363"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nil"/>
              <w:right w:val="nil"/>
            </w:tcBorders>
          </w:tcPr>
          <w:p w14:paraId="0B1ECE58" w14:textId="3A8BF020" w:rsidR="006D7C8D" w:rsidRPr="00CD311A" w:rsidRDefault="006D7C8D" w:rsidP="00834E0F">
            <w:pPr>
              <w:pStyle w:val="TableText"/>
              <w:spacing w:before="0"/>
              <w:jc w:val="right"/>
            </w:pPr>
            <w:r>
              <w:t>800</w:t>
            </w:r>
            <w:r w:rsidR="001C5089">
              <w:br/>
            </w:r>
            <w:r>
              <w:t>(WOE)</w:t>
            </w:r>
          </w:p>
        </w:tc>
        <w:tc>
          <w:tcPr>
            <w:tcW w:w="763" w:type="pct"/>
            <w:tcBorders>
              <w:top w:val="single" w:sz="4" w:space="0" w:color="auto"/>
              <w:left w:val="nil"/>
              <w:bottom w:val="nil"/>
              <w:right w:val="nil"/>
            </w:tcBorders>
            <w:shd w:val="clear" w:color="auto" w:fill="FF0000"/>
          </w:tcPr>
          <w:p w14:paraId="37DECEF3" w14:textId="77777777" w:rsidR="006D7C8D" w:rsidRPr="00CD311A" w:rsidRDefault="006D7C8D" w:rsidP="00834E0F">
            <w:pPr>
              <w:pStyle w:val="TableText"/>
              <w:spacing w:before="0"/>
              <w:jc w:val="right"/>
            </w:pPr>
            <w:r>
              <w:t>No</w:t>
            </w:r>
          </w:p>
        </w:tc>
        <w:tc>
          <w:tcPr>
            <w:tcW w:w="759" w:type="pct"/>
            <w:tcBorders>
              <w:top w:val="single" w:sz="4" w:space="0" w:color="auto"/>
              <w:left w:val="nil"/>
              <w:bottom w:val="nil"/>
              <w:right w:val="nil"/>
            </w:tcBorders>
          </w:tcPr>
          <w:p w14:paraId="79B616F7" w14:textId="77777777" w:rsidR="006D7C8D" w:rsidRPr="00CD311A" w:rsidRDefault="006D7C8D" w:rsidP="00834E0F">
            <w:pPr>
              <w:pStyle w:val="TableText"/>
              <w:spacing w:before="0"/>
              <w:jc w:val="right"/>
            </w:pPr>
            <w:r>
              <w:t>251</w:t>
            </w:r>
          </w:p>
        </w:tc>
      </w:tr>
      <w:tr w:rsidR="006D7C8D" w:rsidRPr="00CD311A" w14:paraId="3D45595C" w14:textId="77777777" w:rsidTr="001C5089">
        <w:trPr>
          <w:cantSplit/>
          <w:trHeight w:val="227"/>
        </w:trPr>
        <w:tc>
          <w:tcPr>
            <w:tcW w:w="1189" w:type="pct"/>
            <w:tcBorders>
              <w:top w:val="nil"/>
              <w:left w:val="nil"/>
              <w:bottom w:val="single" w:sz="4" w:space="0" w:color="auto"/>
              <w:right w:val="nil"/>
            </w:tcBorders>
          </w:tcPr>
          <w:p w14:paraId="51EBD505" w14:textId="77777777" w:rsidR="006D7C8D" w:rsidRDefault="006D7C8D" w:rsidP="00834E0F">
            <w:pPr>
              <w:pStyle w:val="TableText"/>
              <w:spacing w:before="0"/>
            </w:pPr>
            <w:r>
              <w:t>(spot spray)</w:t>
            </w:r>
          </w:p>
        </w:tc>
        <w:tc>
          <w:tcPr>
            <w:tcW w:w="763" w:type="pct"/>
            <w:tcBorders>
              <w:top w:val="nil"/>
              <w:left w:val="nil"/>
              <w:bottom w:val="single" w:sz="4" w:space="0" w:color="auto"/>
              <w:right w:val="nil"/>
            </w:tcBorders>
          </w:tcPr>
          <w:p w14:paraId="5F5805AB" w14:textId="77777777" w:rsidR="006D7C8D" w:rsidRPr="00CD311A"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92D050"/>
          </w:tcPr>
          <w:p w14:paraId="4EDE5DB1" w14:textId="77777777" w:rsidR="006D7C8D" w:rsidRPr="00CD311A" w:rsidRDefault="006D7C8D" w:rsidP="00834E0F">
            <w:pPr>
              <w:pStyle w:val="TableText"/>
              <w:spacing w:before="0"/>
              <w:jc w:val="right"/>
            </w:pPr>
            <w:r>
              <w:t>Yes</w:t>
            </w:r>
          </w:p>
        </w:tc>
        <w:tc>
          <w:tcPr>
            <w:tcW w:w="763" w:type="pct"/>
            <w:tcBorders>
              <w:top w:val="nil"/>
              <w:left w:val="nil"/>
              <w:bottom w:val="single" w:sz="4" w:space="0" w:color="auto"/>
              <w:right w:val="nil"/>
            </w:tcBorders>
          </w:tcPr>
          <w:p w14:paraId="4C026EB0" w14:textId="65BC176B" w:rsidR="006D7C8D" w:rsidRPr="00CD311A" w:rsidRDefault="006D7C8D" w:rsidP="00834E0F">
            <w:pPr>
              <w:pStyle w:val="TableText"/>
              <w:spacing w:before="0"/>
              <w:jc w:val="right"/>
            </w:pPr>
            <w:r>
              <w:t>320</w:t>
            </w:r>
            <w:r w:rsidR="001C5089">
              <w:br/>
            </w:r>
            <w:r>
              <w:t>(WOE)</w:t>
            </w:r>
          </w:p>
        </w:tc>
        <w:tc>
          <w:tcPr>
            <w:tcW w:w="763" w:type="pct"/>
            <w:tcBorders>
              <w:top w:val="nil"/>
              <w:left w:val="nil"/>
              <w:bottom w:val="single" w:sz="4" w:space="0" w:color="auto"/>
              <w:right w:val="nil"/>
            </w:tcBorders>
            <w:shd w:val="clear" w:color="auto" w:fill="FF0000"/>
          </w:tcPr>
          <w:p w14:paraId="145D3519" w14:textId="77777777" w:rsidR="006D7C8D" w:rsidRPr="00CD311A" w:rsidRDefault="006D7C8D" w:rsidP="00834E0F">
            <w:pPr>
              <w:pStyle w:val="TableText"/>
              <w:spacing w:before="0"/>
              <w:jc w:val="right"/>
            </w:pPr>
            <w:r>
              <w:t>No</w:t>
            </w:r>
          </w:p>
        </w:tc>
        <w:tc>
          <w:tcPr>
            <w:tcW w:w="759" w:type="pct"/>
            <w:tcBorders>
              <w:top w:val="nil"/>
              <w:left w:val="nil"/>
              <w:bottom w:val="single" w:sz="4" w:space="0" w:color="auto"/>
              <w:right w:val="nil"/>
            </w:tcBorders>
          </w:tcPr>
          <w:p w14:paraId="56CACDC8" w14:textId="77777777" w:rsidR="006D7C8D" w:rsidRPr="00CD311A" w:rsidRDefault="006D7C8D" w:rsidP="00834E0F">
            <w:pPr>
              <w:pStyle w:val="TableText"/>
              <w:spacing w:before="0"/>
              <w:jc w:val="right"/>
            </w:pPr>
            <w:r>
              <w:t>251</w:t>
            </w:r>
          </w:p>
        </w:tc>
      </w:tr>
      <w:tr w:rsidR="006D7C8D" w:rsidRPr="002E0E89" w14:paraId="17BF869A" w14:textId="77777777" w:rsidTr="001C5089">
        <w:trPr>
          <w:cantSplit/>
          <w:trHeight w:val="227"/>
        </w:trPr>
        <w:tc>
          <w:tcPr>
            <w:tcW w:w="1189" w:type="pct"/>
            <w:tcBorders>
              <w:top w:val="single" w:sz="4" w:space="0" w:color="auto"/>
              <w:left w:val="nil"/>
              <w:bottom w:val="nil"/>
              <w:right w:val="nil"/>
            </w:tcBorders>
          </w:tcPr>
          <w:p w14:paraId="2881E0E3" w14:textId="77777777" w:rsidR="006D7C8D" w:rsidRPr="002E0E89" w:rsidRDefault="006D7C8D" w:rsidP="00834E0F">
            <w:pPr>
              <w:pStyle w:val="TableText"/>
              <w:spacing w:before="0"/>
            </w:pPr>
            <w:r w:rsidRPr="002E0E89">
              <w:t>Long-term weed control</w:t>
            </w:r>
          </w:p>
        </w:tc>
        <w:tc>
          <w:tcPr>
            <w:tcW w:w="763" w:type="pct"/>
            <w:tcBorders>
              <w:top w:val="single" w:sz="4" w:space="0" w:color="auto"/>
              <w:left w:val="nil"/>
              <w:bottom w:val="nil"/>
              <w:right w:val="nil"/>
            </w:tcBorders>
          </w:tcPr>
          <w:p w14:paraId="199D1C5D"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FF0000"/>
          </w:tcPr>
          <w:p w14:paraId="3B55E298" w14:textId="77777777" w:rsidR="006D7C8D" w:rsidRPr="002E0E89" w:rsidRDefault="006D7C8D" w:rsidP="00834E0F">
            <w:pPr>
              <w:pStyle w:val="TableText"/>
              <w:spacing w:before="0"/>
              <w:jc w:val="right"/>
            </w:pPr>
            <w:r w:rsidRPr="002E0E89">
              <w:t>No</w:t>
            </w:r>
          </w:p>
        </w:tc>
        <w:tc>
          <w:tcPr>
            <w:tcW w:w="763" w:type="pct"/>
            <w:tcBorders>
              <w:top w:val="single" w:sz="4" w:space="0" w:color="auto"/>
              <w:left w:val="nil"/>
              <w:bottom w:val="nil"/>
              <w:right w:val="nil"/>
            </w:tcBorders>
          </w:tcPr>
          <w:p w14:paraId="68E2ADA5" w14:textId="77777777" w:rsidR="006D7C8D" w:rsidRPr="002E0E89" w:rsidRDefault="006D7C8D" w:rsidP="00834E0F">
            <w:pPr>
              <w:pStyle w:val="TableText"/>
              <w:spacing w:before="0"/>
              <w:jc w:val="right"/>
            </w:pPr>
            <w:r>
              <w:t>-</w:t>
            </w:r>
            <w:r>
              <w:rPr>
                <w:rStyle w:val="FootnoteReference"/>
                <w:szCs w:val="17"/>
              </w:rPr>
              <w:footnoteReference w:id="31"/>
            </w:r>
          </w:p>
        </w:tc>
        <w:tc>
          <w:tcPr>
            <w:tcW w:w="763" w:type="pct"/>
            <w:tcBorders>
              <w:top w:val="single" w:sz="4" w:space="0" w:color="auto"/>
              <w:left w:val="nil"/>
              <w:bottom w:val="nil"/>
              <w:right w:val="nil"/>
            </w:tcBorders>
            <w:shd w:val="clear" w:color="auto" w:fill="FF0000"/>
          </w:tcPr>
          <w:p w14:paraId="5B2C7745" w14:textId="77777777" w:rsidR="006D7C8D" w:rsidRPr="002E0E89" w:rsidRDefault="006D7C8D" w:rsidP="00834E0F">
            <w:pPr>
              <w:pStyle w:val="TableText"/>
              <w:spacing w:before="0"/>
              <w:jc w:val="right"/>
            </w:pPr>
            <w:r>
              <w:t>No</w:t>
            </w:r>
          </w:p>
        </w:tc>
        <w:tc>
          <w:tcPr>
            <w:tcW w:w="759" w:type="pct"/>
            <w:tcBorders>
              <w:top w:val="single" w:sz="4" w:space="0" w:color="auto"/>
              <w:left w:val="nil"/>
              <w:bottom w:val="nil"/>
              <w:right w:val="nil"/>
            </w:tcBorders>
          </w:tcPr>
          <w:p w14:paraId="53E87439" w14:textId="77777777" w:rsidR="006D7C8D" w:rsidRPr="002E0E89" w:rsidRDefault="006D7C8D" w:rsidP="00834E0F">
            <w:pPr>
              <w:pStyle w:val="TableText"/>
              <w:spacing w:before="0"/>
              <w:jc w:val="right"/>
            </w:pPr>
            <w:r>
              <w:t>-</w:t>
            </w:r>
          </w:p>
        </w:tc>
      </w:tr>
      <w:tr w:rsidR="006D7C8D" w:rsidRPr="002E0E89" w14:paraId="7A3204E3" w14:textId="77777777" w:rsidTr="001C5089">
        <w:trPr>
          <w:cantSplit/>
          <w:trHeight w:val="227"/>
        </w:trPr>
        <w:tc>
          <w:tcPr>
            <w:tcW w:w="1189" w:type="pct"/>
            <w:tcBorders>
              <w:top w:val="nil"/>
              <w:left w:val="nil"/>
              <w:bottom w:val="single" w:sz="4" w:space="0" w:color="auto"/>
              <w:right w:val="nil"/>
            </w:tcBorders>
          </w:tcPr>
          <w:p w14:paraId="299B77E5" w14:textId="77777777" w:rsidR="006D7C8D" w:rsidRPr="006172AF" w:rsidRDefault="006D7C8D" w:rsidP="00834E0F">
            <w:pPr>
              <w:pStyle w:val="TableText"/>
              <w:spacing w:before="0"/>
              <w:rPr>
                <w:highlight w:val="magenta"/>
              </w:rPr>
            </w:pPr>
            <w:r>
              <w:t>(spot spray)</w:t>
            </w:r>
          </w:p>
        </w:tc>
        <w:tc>
          <w:tcPr>
            <w:tcW w:w="763" w:type="pct"/>
            <w:tcBorders>
              <w:top w:val="nil"/>
              <w:left w:val="nil"/>
              <w:bottom w:val="single" w:sz="4" w:space="0" w:color="auto"/>
              <w:right w:val="nil"/>
            </w:tcBorders>
          </w:tcPr>
          <w:p w14:paraId="4C535DA3" w14:textId="77777777" w:rsidR="006D7C8D" w:rsidRPr="00CD311A"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FF0000"/>
          </w:tcPr>
          <w:p w14:paraId="353C2110" w14:textId="77777777" w:rsidR="006D7C8D" w:rsidRPr="002E0E89" w:rsidRDefault="006D7C8D" w:rsidP="00834E0F">
            <w:pPr>
              <w:pStyle w:val="TableText"/>
              <w:spacing w:before="0"/>
              <w:jc w:val="right"/>
            </w:pPr>
            <w:r>
              <w:t>No</w:t>
            </w:r>
          </w:p>
        </w:tc>
        <w:tc>
          <w:tcPr>
            <w:tcW w:w="763" w:type="pct"/>
            <w:tcBorders>
              <w:top w:val="nil"/>
              <w:left w:val="nil"/>
              <w:bottom w:val="single" w:sz="4" w:space="0" w:color="auto"/>
              <w:right w:val="nil"/>
            </w:tcBorders>
          </w:tcPr>
          <w:p w14:paraId="5ECD3D66" w14:textId="77777777" w:rsidR="006D7C8D" w:rsidRPr="002E0E89" w:rsidRDefault="006D7C8D" w:rsidP="00834E0F">
            <w:pPr>
              <w:pStyle w:val="TableText"/>
              <w:spacing w:before="0"/>
              <w:jc w:val="right"/>
            </w:pPr>
            <w:r>
              <w:t>-</w:t>
            </w:r>
          </w:p>
        </w:tc>
        <w:tc>
          <w:tcPr>
            <w:tcW w:w="763" w:type="pct"/>
            <w:tcBorders>
              <w:top w:val="nil"/>
              <w:left w:val="nil"/>
              <w:bottom w:val="single" w:sz="4" w:space="0" w:color="auto"/>
              <w:right w:val="nil"/>
            </w:tcBorders>
            <w:shd w:val="clear" w:color="auto" w:fill="FF0000"/>
          </w:tcPr>
          <w:p w14:paraId="02B9630D" w14:textId="77777777" w:rsidR="006D7C8D" w:rsidRPr="002E0E89" w:rsidRDefault="006D7C8D" w:rsidP="00834E0F">
            <w:pPr>
              <w:pStyle w:val="TableText"/>
              <w:spacing w:before="0"/>
              <w:jc w:val="right"/>
            </w:pPr>
            <w:r>
              <w:t>No</w:t>
            </w:r>
          </w:p>
        </w:tc>
        <w:tc>
          <w:tcPr>
            <w:tcW w:w="759" w:type="pct"/>
            <w:tcBorders>
              <w:top w:val="nil"/>
              <w:left w:val="nil"/>
              <w:bottom w:val="single" w:sz="4" w:space="0" w:color="auto"/>
              <w:right w:val="nil"/>
            </w:tcBorders>
          </w:tcPr>
          <w:p w14:paraId="1D1999E7" w14:textId="77777777" w:rsidR="006D7C8D" w:rsidRPr="002E0E89" w:rsidRDefault="006D7C8D" w:rsidP="00834E0F">
            <w:pPr>
              <w:pStyle w:val="TableText"/>
              <w:spacing w:before="0"/>
              <w:jc w:val="right"/>
            </w:pPr>
            <w:r>
              <w:t>-</w:t>
            </w:r>
          </w:p>
        </w:tc>
      </w:tr>
      <w:tr w:rsidR="006D7C8D" w:rsidRPr="00CD311A" w14:paraId="2C1945DA" w14:textId="77777777" w:rsidTr="001C5089">
        <w:trPr>
          <w:cantSplit/>
          <w:trHeight w:val="227"/>
        </w:trPr>
        <w:tc>
          <w:tcPr>
            <w:tcW w:w="1189" w:type="pct"/>
            <w:tcBorders>
              <w:top w:val="single" w:sz="4" w:space="0" w:color="auto"/>
              <w:left w:val="nil"/>
              <w:bottom w:val="nil"/>
              <w:right w:val="nil"/>
            </w:tcBorders>
          </w:tcPr>
          <w:p w14:paraId="6BF284BA" w14:textId="77777777" w:rsidR="006D7C8D" w:rsidRDefault="006D7C8D" w:rsidP="00834E0F">
            <w:pPr>
              <w:pStyle w:val="TableText"/>
              <w:spacing w:before="0"/>
            </w:pPr>
            <w:r>
              <w:t>Potatoes weed control</w:t>
            </w:r>
          </w:p>
        </w:tc>
        <w:tc>
          <w:tcPr>
            <w:tcW w:w="763" w:type="pct"/>
            <w:tcBorders>
              <w:top w:val="single" w:sz="4" w:space="0" w:color="auto"/>
              <w:left w:val="nil"/>
              <w:bottom w:val="nil"/>
              <w:right w:val="nil"/>
            </w:tcBorders>
          </w:tcPr>
          <w:p w14:paraId="51DAD4F9"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nil"/>
              <w:right w:val="nil"/>
            </w:tcBorders>
            <w:shd w:val="clear" w:color="auto" w:fill="92D050"/>
          </w:tcPr>
          <w:p w14:paraId="5329229B"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nil"/>
              <w:right w:val="nil"/>
            </w:tcBorders>
          </w:tcPr>
          <w:p w14:paraId="5C237B9A" w14:textId="29E8C698" w:rsidR="006D7C8D" w:rsidRPr="00CD311A" w:rsidRDefault="006D7C8D" w:rsidP="00834E0F">
            <w:pPr>
              <w:pStyle w:val="TableText"/>
              <w:spacing w:before="0"/>
              <w:jc w:val="right"/>
            </w:pPr>
            <w:r>
              <w:t>800</w:t>
            </w:r>
            <w:r w:rsidR="001C5089">
              <w:br/>
            </w:r>
            <w:r>
              <w:t>(WOE)</w:t>
            </w:r>
          </w:p>
        </w:tc>
        <w:tc>
          <w:tcPr>
            <w:tcW w:w="763" w:type="pct"/>
            <w:tcBorders>
              <w:top w:val="single" w:sz="4" w:space="0" w:color="auto"/>
              <w:left w:val="nil"/>
              <w:bottom w:val="nil"/>
              <w:right w:val="nil"/>
            </w:tcBorders>
            <w:shd w:val="clear" w:color="auto" w:fill="FF0000"/>
          </w:tcPr>
          <w:p w14:paraId="5849A387" w14:textId="77777777" w:rsidR="006D7C8D" w:rsidRPr="00CD311A" w:rsidRDefault="006D7C8D" w:rsidP="00834E0F">
            <w:pPr>
              <w:pStyle w:val="TableText"/>
              <w:spacing w:before="0"/>
              <w:jc w:val="right"/>
            </w:pPr>
            <w:r>
              <w:t>No</w:t>
            </w:r>
          </w:p>
        </w:tc>
        <w:tc>
          <w:tcPr>
            <w:tcW w:w="759" w:type="pct"/>
            <w:tcBorders>
              <w:top w:val="single" w:sz="4" w:space="0" w:color="auto"/>
              <w:left w:val="nil"/>
              <w:bottom w:val="nil"/>
              <w:right w:val="nil"/>
            </w:tcBorders>
          </w:tcPr>
          <w:p w14:paraId="1C13510E" w14:textId="77777777" w:rsidR="006D7C8D" w:rsidRPr="00CD311A" w:rsidRDefault="006D7C8D" w:rsidP="00834E0F">
            <w:pPr>
              <w:pStyle w:val="TableText"/>
              <w:spacing w:before="0"/>
              <w:jc w:val="right"/>
            </w:pPr>
            <w:r>
              <w:t>251</w:t>
            </w:r>
          </w:p>
        </w:tc>
      </w:tr>
      <w:tr w:rsidR="006D7C8D" w:rsidRPr="00CD311A" w14:paraId="03349601" w14:textId="77777777" w:rsidTr="001C5089">
        <w:trPr>
          <w:cantSplit/>
          <w:trHeight w:val="227"/>
        </w:trPr>
        <w:tc>
          <w:tcPr>
            <w:tcW w:w="1189" w:type="pct"/>
            <w:tcBorders>
              <w:top w:val="nil"/>
              <w:left w:val="nil"/>
              <w:bottom w:val="single" w:sz="4" w:space="0" w:color="auto"/>
              <w:right w:val="nil"/>
            </w:tcBorders>
          </w:tcPr>
          <w:p w14:paraId="609985C6" w14:textId="77777777" w:rsidR="006D7C8D" w:rsidRDefault="006D7C8D" w:rsidP="00834E0F">
            <w:pPr>
              <w:pStyle w:val="TableText"/>
              <w:spacing w:before="0"/>
            </w:pPr>
            <w:r>
              <w:t>(spot spray)</w:t>
            </w:r>
          </w:p>
        </w:tc>
        <w:tc>
          <w:tcPr>
            <w:tcW w:w="763" w:type="pct"/>
            <w:tcBorders>
              <w:top w:val="nil"/>
              <w:left w:val="nil"/>
              <w:bottom w:val="single" w:sz="4" w:space="0" w:color="auto"/>
              <w:right w:val="nil"/>
            </w:tcBorders>
          </w:tcPr>
          <w:p w14:paraId="7CADE500" w14:textId="77777777" w:rsidR="006D7C8D" w:rsidRPr="00CD311A" w:rsidRDefault="006D7C8D" w:rsidP="00834E0F">
            <w:pPr>
              <w:pStyle w:val="TableText"/>
              <w:spacing w:before="0"/>
              <w:jc w:val="right"/>
            </w:pPr>
            <w:r>
              <w:t>2.4 to 3.2</w:t>
            </w:r>
          </w:p>
        </w:tc>
        <w:tc>
          <w:tcPr>
            <w:tcW w:w="763" w:type="pct"/>
            <w:tcBorders>
              <w:top w:val="nil"/>
              <w:left w:val="nil"/>
              <w:bottom w:val="single" w:sz="4" w:space="0" w:color="auto"/>
              <w:right w:val="nil"/>
            </w:tcBorders>
            <w:shd w:val="clear" w:color="auto" w:fill="92D050"/>
          </w:tcPr>
          <w:p w14:paraId="36373CAB" w14:textId="77777777" w:rsidR="006D7C8D" w:rsidRPr="00CD311A" w:rsidRDefault="006D7C8D" w:rsidP="00834E0F">
            <w:pPr>
              <w:pStyle w:val="TableText"/>
              <w:spacing w:before="0"/>
              <w:jc w:val="right"/>
            </w:pPr>
            <w:r>
              <w:t>Yes</w:t>
            </w:r>
          </w:p>
        </w:tc>
        <w:tc>
          <w:tcPr>
            <w:tcW w:w="763" w:type="pct"/>
            <w:tcBorders>
              <w:top w:val="nil"/>
              <w:left w:val="nil"/>
              <w:bottom w:val="single" w:sz="4" w:space="0" w:color="auto"/>
              <w:right w:val="nil"/>
            </w:tcBorders>
          </w:tcPr>
          <w:p w14:paraId="485EDBF9" w14:textId="3AD29B66" w:rsidR="006D7C8D" w:rsidRPr="00CD311A" w:rsidRDefault="006D7C8D" w:rsidP="00834E0F">
            <w:pPr>
              <w:pStyle w:val="TableText"/>
              <w:spacing w:before="0"/>
              <w:jc w:val="right"/>
            </w:pPr>
            <w:r>
              <w:t>320</w:t>
            </w:r>
            <w:r w:rsidR="001C5089">
              <w:br/>
            </w:r>
            <w:r>
              <w:t>(WOE)</w:t>
            </w:r>
          </w:p>
        </w:tc>
        <w:tc>
          <w:tcPr>
            <w:tcW w:w="763" w:type="pct"/>
            <w:tcBorders>
              <w:top w:val="nil"/>
              <w:left w:val="nil"/>
              <w:bottom w:val="single" w:sz="4" w:space="0" w:color="auto"/>
              <w:right w:val="nil"/>
            </w:tcBorders>
            <w:shd w:val="clear" w:color="auto" w:fill="FF0000"/>
          </w:tcPr>
          <w:p w14:paraId="7A29C0A3" w14:textId="77777777" w:rsidR="006D7C8D" w:rsidRPr="00CD311A" w:rsidRDefault="006D7C8D" w:rsidP="00834E0F">
            <w:pPr>
              <w:pStyle w:val="TableText"/>
              <w:spacing w:before="0"/>
              <w:jc w:val="right"/>
            </w:pPr>
            <w:r>
              <w:t>No</w:t>
            </w:r>
          </w:p>
        </w:tc>
        <w:tc>
          <w:tcPr>
            <w:tcW w:w="759" w:type="pct"/>
            <w:tcBorders>
              <w:top w:val="nil"/>
              <w:left w:val="nil"/>
              <w:bottom w:val="single" w:sz="4" w:space="0" w:color="auto"/>
              <w:right w:val="nil"/>
            </w:tcBorders>
          </w:tcPr>
          <w:p w14:paraId="2ED02BFF" w14:textId="77777777" w:rsidR="006D7C8D" w:rsidRPr="00CD311A" w:rsidRDefault="006D7C8D" w:rsidP="00834E0F">
            <w:pPr>
              <w:pStyle w:val="TableText"/>
              <w:spacing w:before="0"/>
              <w:jc w:val="right"/>
            </w:pPr>
            <w:r>
              <w:t>251</w:t>
            </w:r>
          </w:p>
        </w:tc>
      </w:tr>
      <w:tr w:rsidR="006D7C8D" w:rsidRPr="00CD311A" w14:paraId="6879D4D7" w14:textId="77777777" w:rsidTr="001C5089">
        <w:trPr>
          <w:cantSplit/>
          <w:trHeight w:val="227"/>
        </w:trPr>
        <w:tc>
          <w:tcPr>
            <w:tcW w:w="1189" w:type="pct"/>
            <w:tcBorders>
              <w:top w:val="single" w:sz="4" w:space="0" w:color="auto"/>
              <w:left w:val="nil"/>
              <w:bottom w:val="nil"/>
              <w:right w:val="nil"/>
            </w:tcBorders>
          </w:tcPr>
          <w:p w14:paraId="136B58F7" w14:textId="77777777" w:rsidR="006D7C8D" w:rsidRDefault="006D7C8D" w:rsidP="00834E0F">
            <w:pPr>
              <w:pStyle w:val="TableText"/>
              <w:spacing w:before="0"/>
            </w:pPr>
            <w:r>
              <w:t>Potatoes weed destruction prior to digging</w:t>
            </w:r>
          </w:p>
        </w:tc>
        <w:tc>
          <w:tcPr>
            <w:tcW w:w="763" w:type="pct"/>
            <w:tcBorders>
              <w:top w:val="single" w:sz="4" w:space="0" w:color="auto"/>
              <w:left w:val="nil"/>
              <w:bottom w:val="nil"/>
              <w:right w:val="nil"/>
            </w:tcBorders>
          </w:tcPr>
          <w:p w14:paraId="1840C2D8" w14:textId="77777777" w:rsidR="006D7C8D" w:rsidRPr="00CD311A" w:rsidRDefault="006D7C8D" w:rsidP="00834E0F">
            <w:pPr>
              <w:pStyle w:val="TableText"/>
              <w:spacing w:before="0"/>
              <w:jc w:val="right"/>
            </w:pPr>
            <w:r>
              <w:t>3.2</w:t>
            </w:r>
          </w:p>
        </w:tc>
        <w:tc>
          <w:tcPr>
            <w:tcW w:w="763" w:type="pct"/>
            <w:tcBorders>
              <w:top w:val="single" w:sz="4" w:space="0" w:color="auto"/>
              <w:left w:val="nil"/>
              <w:bottom w:val="nil"/>
              <w:right w:val="nil"/>
            </w:tcBorders>
            <w:shd w:val="clear" w:color="auto" w:fill="FF0000"/>
          </w:tcPr>
          <w:p w14:paraId="077F8B0D" w14:textId="77777777" w:rsidR="006D7C8D" w:rsidRPr="00CD311A" w:rsidRDefault="006D7C8D" w:rsidP="00834E0F">
            <w:pPr>
              <w:pStyle w:val="TableText"/>
              <w:spacing w:before="0"/>
              <w:jc w:val="right"/>
            </w:pPr>
            <w:r>
              <w:t>No</w:t>
            </w:r>
          </w:p>
        </w:tc>
        <w:tc>
          <w:tcPr>
            <w:tcW w:w="763" w:type="pct"/>
            <w:tcBorders>
              <w:top w:val="single" w:sz="4" w:space="0" w:color="auto"/>
              <w:left w:val="nil"/>
              <w:bottom w:val="nil"/>
              <w:right w:val="nil"/>
            </w:tcBorders>
          </w:tcPr>
          <w:p w14:paraId="43061623" w14:textId="77777777" w:rsidR="006D7C8D" w:rsidRPr="00CD311A" w:rsidRDefault="006D7C8D" w:rsidP="00834E0F">
            <w:pPr>
              <w:pStyle w:val="TableText"/>
              <w:spacing w:before="0"/>
              <w:jc w:val="right"/>
            </w:pPr>
            <w:r>
              <w:t>452</w:t>
            </w:r>
          </w:p>
        </w:tc>
        <w:tc>
          <w:tcPr>
            <w:tcW w:w="763" w:type="pct"/>
            <w:tcBorders>
              <w:top w:val="single" w:sz="4" w:space="0" w:color="auto"/>
              <w:left w:val="nil"/>
              <w:bottom w:val="nil"/>
              <w:right w:val="nil"/>
            </w:tcBorders>
            <w:shd w:val="clear" w:color="auto" w:fill="FF0000"/>
          </w:tcPr>
          <w:p w14:paraId="5B8C2131" w14:textId="77777777" w:rsidR="006D7C8D" w:rsidRPr="00CD311A" w:rsidRDefault="006D7C8D" w:rsidP="00834E0F">
            <w:pPr>
              <w:pStyle w:val="TableText"/>
              <w:spacing w:before="0"/>
              <w:jc w:val="right"/>
            </w:pPr>
            <w:r>
              <w:t>No</w:t>
            </w:r>
          </w:p>
        </w:tc>
        <w:tc>
          <w:tcPr>
            <w:tcW w:w="759" w:type="pct"/>
            <w:tcBorders>
              <w:top w:val="single" w:sz="4" w:space="0" w:color="auto"/>
              <w:left w:val="nil"/>
              <w:bottom w:val="nil"/>
              <w:right w:val="nil"/>
            </w:tcBorders>
          </w:tcPr>
          <w:p w14:paraId="29E244E5" w14:textId="77777777" w:rsidR="006D7C8D" w:rsidRPr="00CD311A" w:rsidRDefault="006D7C8D" w:rsidP="00834E0F">
            <w:pPr>
              <w:pStyle w:val="TableText"/>
              <w:spacing w:before="0"/>
              <w:jc w:val="right"/>
            </w:pPr>
            <w:r>
              <w:t>246</w:t>
            </w:r>
          </w:p>
        </w:tc>
      </w:tr>
      <w:tr w:rsidR="006D7C8D" w:rsidRPr="00CD311A" w14:paraId="736F1384" w14:textId="77777777" w:rsidTr="001C5089">
        <w:trPr>
          <w:cantSplit/>
          <w:trHeight w:val="227"/>
        </w:trPr>
        <w:tc>
          <w:tcPr>
            <w:tcW w:w="1189" w:type="pct"/>
            <w:tcBorders>
              <w:top w:val="nil"/>
              <w:left w:val="nil"/>
              <w:bottom w:val="single" w:sz="4" w:space="0" w:color="auto"/>
              <w:right w:val="nil"/>
            </w:tcBorders>
          </w:tcPr>
          <w:p w14:paraId="24E7192B" w14:textId="77777777" w:rsidR="006D7C8D" w:rsidRDefault="006D7C8D" w:rsidP="00834E0F">
            <w:pPr>
              <w:pStyle w:val="TableText"/>
              <w:spacing w:before="0"/>
            </w:pPr>
            <w:r>
              <w:t>(spot spray)</w:t>
            </w:r>
          </w:p>
        </w:tc>
        <w:tc>
          <w:tcPr>
            <w:tcW w:w="763" w:type="pct"/>
            <w:tcBorders>
              <w:top w:val="nil"/>
              <w:left w:val="nil"/>
              <w:bottom w:val="single" w:sz="4" w:space="0" w:color="auto"/>
              <w:right w:val="nil"/>
            </w:tcBorders>
          </w:tcPr>
          <w:p w14:paraId="50BD5106" w14:textId="77777777" w:rsidR="006D7C8D" w:rsidRPr="00CD311A" w:rsidRDefault="006D7C8D" w:rsidP="00834E0F">
            <w:pPr>
              <w:pStyle w:val="TableText"/>
              <w:spacing w:before="0"/>
              <w:jc w:val="right"/>
            </w:pPr>
            <w:r>
              <w:t>3.2</w:t>
            </w:r>
          </w:p>
        </w:tc>
        <w:tc>
          <w:tcPr>
            <w:tcW w:w="763" w:type="pct"/>
            <w:tcBorders>
              <w:top w:val="nil"/>
              <w:left w:val="nil"/>
              <w:bottom w:val="single" w:sz="4" w:space="0" w:color="auto"/>
              <w:right w:val="nil"/>
            </w:tcBorders>
            <w:shd w:val="clear" w:color="auto" w:fill="92D050"/>
          </w:tcPr>
          <w:p w14:paraId="09DA3B2F" w14:textId="77777777" w:rsidR="006D7C8D" w:rsidRPr="00CD311A" w:rsidRDefault="006D7C8D" w:rsidP="00834E0F">
            <w:pPr>
              <w:pStyle w:val="TableText"/>
              <w:spacing w:before="0"/>
              <w:jc w:val="right"/>
            </w:pPr>
            <w:r>
              <w:t>Yes</w:t>
            </w:r>
          </w:p>
        </w:tc>
        <w:tc>
          <w:tcPr>
            <w:tcW w:w="763" w:type="pct"/>
            <w:tcBorders>
              <w:top w:val="nil"/>
              <w:left w:val="nil"/>
              <w:bottom w:val="single" w:sz="4" w:space="0" w:color="auto"/>
              <w:right w:val="nil"/>
            </w:tcBorders>
          </w:tcPr>
          <w:p w14:paraId="141D320C" w14:textId="77777777" w:rsidR="006D7C8D" w:rsidRPr="00CD311A" w:rsidRDefault="006D7C8D" w:rsidP="00834E0F">
            <w:pPr>
              <w:pStyle w:val="TableText"/>
              <w:spacing w:before="0"/>
              <w:jc w:val="right"/>
            </w:pPr>
            <w:r>
              <w:t>452</w:t>
            </w:r>
          </w:p>
        </w:tc>
        <w:tc>
          <w:tcPr>
            <w:tcW w:w="763" w:type="pct"/>
            <w:tcBorders>
              <w:top w:val="nil"/>
              <w:left w:val="nil"/>
              <w:bottom w:val="single" w:sz="4" w:space="0" w:color="auto"/>
              <w:right w:val="nil"/>
            </w:tcBorders>
            <w:shd w:val="clear" w:color="auto" w:fill="FF0000"/>
          </w:tcPr>
          <w:p w14:paraId="3F15C423" w14:textId="77777777" w:rsidR="006D7C8D" w:rsidRPr="00CD311A" w:rsidRDefault="006D7C8D" w:rsidP="00834E0F">
            <w:pPr>
              <w:pStyle w:val="TableText"/>
              <w:spacing w:before="0"/>
              <w:jc w:val="right"/>
            </w:pPr>
            <w:r>
              <w:t>No</w:t>
            </w:r>
          </w:p>
        </w:tc>
        <w:tc>
          <w:tcPr>
            <w:tcW w:w="759" w:type="pct"/>
            <w:tcBorders>
              <w:top w:val="nil"/>
              <w:left w:val="nil"/>
              <w:bottom w:val="single" w:sz="4" w:space="0" w:color="auto"/>
              <w:right w:val="nil"/>
            </w:tcBorders>
          </w:tcPr>
          <w:p w14:paraId="41123B05" w14:textId="77777777" w:rsidR="006D7C8D" w:rsidRPr="00CD311A" w:rsidRDefault="006D7C8D" w:rsidP="00834E0F">
            <w:pPr>
              <w:pStyle w:val="TableText"/>
              <w:spacing w:before="0"/>
              <w:jc w:val="right"/>
            </w:pPr>
            <w:r>
              <w:t>246</w:t>
            </w:r>
          </w:p>
        </w:tc>
      </w:tr>
      <w:tr w:rsidR="006D7C8D" w:rsidRPr="00CD311A" w14:paraId="1DFEEFF2" w14:textId="77777777" w:rsidTr="001C5089">
        <w:trPr>
          <w:cantSplit/>
          <w:trHeight w:val="227"/>
        </w:trPr>
        <w:tc>
          <w:tcPr>
            <w:tcW w:w="1189" w:type="pct"/>
            <w:tcBorders>
              <w:top w:val="single" w:sz="4" w:space="0" w:color="auto"/>
              <w:left w:val="nil"/>
              <w:bottom w:val="single" w:sz="4" w:space="0" w:color="auto"/>
              <w:right w:val="nil"/>
            </w:tcBorders>
          </w:tcPr>
          <w:p w14:paraId="074CB3F4" w14:textId="77777777" w:rsidR="006D7C8D" w:rsidRDefault="006D7C8D" w:rsidP="00834E0F">
            <w:pPr>
              <w:pStyle w:val="TableText"/>
              <w:spacing w:before="0"/>
            </w:pPr>
            <w:r>
              <w:t>Avocados, custard apples, lychees, mangoes (spot spray)</w:t>
            </w:r>
          </w:p>
        </w:tc>
        <w:tc>
          <w:tcPr>
            <w:tcW w:w="763" w:type="pct"/>
            <w:tcBorders>
              <w:top w:val="single" w:sz="4" w:space="0" w:color="auto"/>
              <w:left w:val="nil"/>
              <w:bottom w:val="single" w:sz="4" w:space="0" w:color="auto"/>
              <w:right w:val="nil"/>
            </w:tcBorders>
          </w:tcPr>
          <w:p w14:paraId="24A05B01" w14:textId="77777777" w:rsidR="006D7C8D" w:rsidRPr="00CD311A" w:rsidRDefault="006D7C8D" w:rsidP="00834E0F">
            <w:pPr>
              <w:pStyle w:val="TableText"/>
              <w:spacing w:before="0"/>
              <w:jc w:val="right"/>
            </w:pPr>
            <w:r>
              <w:t>1.2 to 2.4</w:t>
            </w:r>
          </w:p>
        </w:tc>
        <w:tc>
          <w:tcPr>
            <w:tcW w:w="763" w:type="pct"/>
            <w:tcBorders>
              <w:top w:val="single" w:sz="4" w:space="0" w:color="auto"/>
              <w:left w:val="nil"/>
              <w:bottom w:val="single" w:sz="4" w:space="0" w:color="auto"/>
              <w:right w:val="nil"/>
            </w:tcBorders>
            <w:shd w:val="clear" w:color="auto" w:fill="FF0000"/>
          </w:tcPr>
          <w:p w14:paraId="36CFF427" w14:textId="77777777" w:rsidR="006D7C8D" w:rsidRPr="00CD311A" w:rsidRDefault="006D7C8D" w:rsidP="00834E0F">
            <w:pPr>
              <w:pStyle w:val="TableText"/>
              <w:spacing w:before="0"/>
              <w:jc w:val="right"/>
            </w:pPr>
            <w:r>
              <w:t>No</w:t>
            </w:r>
          </w:p>
        </w:tc>
        <w:tc>
          <w:tcPr>
            <w:tcW w:w="763" w:type="pct"/>
            <w:tcBorders>
              <w:top w:val="single" w:sz="4" w:space="0" w:color="auto"/>
              <w:left w:val="nil"/>
              <w:bottom w:val="single" w:sz="4" w:space="0" w:color="auto"/>
              <w:right w:val="nil"/>
            </w:tcBorders>
          </w:tcPr>
          <w:p w14:paraId="62D65E3F" w14:textId="77777777" w:rsidR="006D7C8D" w:rsidRPr="00CD311A" w:rsidRDefault="006D7C8D" w:rsidP="00834E0F">
            <w:pPr>
              <w:pStyle w:val="TableText"/>
              <w:spacing w:before="0"/>
              <w:jc w:val="right"/>
            </w:pPr>
            <w:r>
              <w:t>68</w:t>
            </w:r>
          </w:p>
        </w:tc>
        <w:tc>
          <w:tcPr>
            <w:tcW w:w="763" w:type="pct"/>
            <w:tcBorders>
              <w:top w:val="single" w:sz="4" w:space="0" w:color="auto"/>
              <w:left w:val="nil"/>
              <w:bottom w:val="single" w:sz="4" w:space="0" w:color="auto"/>
              <w:right w:val="nil"/>
            </w:tcBorders>
            <w:shd w:val="clear" w:color="auto" w:fill="92D050"/>
          </w:tcPr>
          <w:p w14:paraId="54EA8E2C" w14:textId="77777777" w:rsidR="006D7C8D" w:rsidRPr="00CD311A" w:rsidRDefault="006D7C8D" w:rsidP="00834E0F">
            <w:pPr>
              <w:pStyle w:val="TableText"/>
              <w:spacing w:before="0"/>
              <w:jc w:val="right"/>
            </w:pPr>
            <w:r>
              <w:t>Yes</w:t>
            </w:r>
          </w:p>
        </w:tc>
        <w:tc>
          <w:tcPr>
            <w:tcW w:w="759" w:type="pct"/>
            <w:tcBorders>
              <w:top w:val="single" w:sz="4" w:space="0" w:color="auto"/>
              <w:left w:val="nil"/>
              <w:bottom w:val="single" w:sz="4" w:space="0" w:color="auto"/>
              <w:right w:val="nil"/>
            </w:tcBorders>
          </w:tcPr>
          <w:p w14:paraId="455D0E6B" w14:textId="77777777" w:rsidR="006D7C8D" w:rsidRPr="00CD311A" w:rsidRDefault="006D7C8D" w:rsidP="00834E0F">
            <w:pPr>
              <w:pStyle w:val="TableText"/>
              <w:spacing w:before="0"/>
              <w:jc w:val="right"/>
            </w:pPr>
            <w:r>
              <w:t>411</w:t>
            </w:r>
          </w:p>
        </w:tc>
      </w:tr>
      <w:tr w:rsidR="006D7C8D" w:rsidRPr="00CD311A" w14:paraId="4C0FB88A" w14:textId="77777777" w:rsidTr="001C5089">
        <w:trPr>
          <w:cantSplit/>
          <w:trHeight w:val="227"/>
        </w:trPr>
        <w:tc>
          <w:tcPr>
            <w:tcW w:w="1189" w:type="pct"/>
            <w:tcBorders>
              <w:top w:val="single" w:sz="4" w:space="0" w:color="auto"/>
              <w:left w:val="nil"/>
              <w:bottom w:val="single" w:sz="4" w:space="0" w:color="auto"/>
              <w:right w:val="nil"/>
            </w:tcBorders>
          </w:tcPr>
          <w:p w14:paraId="5847DEEB" w14:textId="77777777" w:rsidR="006D7C8D" w:rsidRDefault="006D7C8D" w:rsidP="00834E0F">
            <w:pPr>
              <w:pStyle w:val="TableText"/>
              <w:spacing w:before="0"/>
            </w:pPr>
            <w:r>
              <w:lastRenderedPageBreak/>
              <w:t>Rice</w:t>
            </w:r>
          </w:p>
        </w:tc>
        <w:tc>
          <w:tcPr>
            <w:tcW w:w="763" w:type="pct"/>
            <w:tcBorders>
              <w:top w:val="single" w:sz="4" w:space="0" w:color="auto"/>
              <w:left w:val="nil"/>
              <w:bottom w:val="single" w:sz="4" w:space="0" w:color="auto"/>
              <w:right w:val="nil"/>
            </w:tcBorders>
          </w:tcPr>
          <w:p w14:paraId="583FCC90" w14:textId="77777777" w:rsidR="006D7C8D" w:rsidRPr="00CD311A" w:rsidRDefault="006D7C8D" w:rsidP="00834E0F">
            <w:pPr>
              <w:pStyle w:val="TableText"/>
              <w:spacing w:before="0"/>
              <w:jc w:val="right"/>
            </w:pPr>
            <w:r>
              <w:t>1.6 to 3.2</w:t>
            </w:r>
          </w:p>
        </w:tc>
        <w:tc>
          <w:tcPr>
            <w:tcW w:w="763" w:type="pct"/>
            <w:tcBorders>
              <w:top w:val="single" w:sz="4" w:space="0" w:color="auto"/>
              <w:left w:val="nil"/>
              <w:bottom w:val="single" w:sz="4" w:space="0" w:color="auto"/>
              <w:right w:val="nil"/>
            </w:tcBorders>
            <w:shd w:val="clear" w:color="auto" w:fill="92D050"/>
          </w:tcPr>
          <w:p w14:paraId="22979F6F" w14:textId="77777777" w:rsidR="006D7C8D" w:rsidRPr="00CD311A" w:rsidRDefault="006D7C8D" w:rsidP="00834E0F">
            <w:pPr>
              <w:pStyle w:val="TableText"/>
              <w:spacing w:before="0"/>
              <w:jc w:val="right"/>
            </w:pPr>
            <w:r>
              <w:t>Yes</w:t>
            </w:r>
          </w:p>
        </w:tc>
        <w:tc>
          <w:tcPr>
            <w:tcW w:w="763" w:type="pct"/>
            <w:tcBorders>
              <w:top w:val="single" w:sz="4" w:space="0" w:color="auto"/>
              <w:left w:val="nil"/>
              <w:bottom w:val="single" w:sz="4" w:space="0" w:color="auto"/>
              <w:right w:val="nil"/>
            </w:tcBorders>
          </w:tcPr>
          <w:p w14:paraId="0C054972" w14:textId="741B5A64" w:rsidR="006D7C8D" w:rsidRPr="00CD311A" w:rsidRDefault="006D7C8D" w:rsidP="00834E0F">
            <w:pPr>
              <w:pStyle w:val="TableText"/>
              <w:spacing w:before="0"/>
              <w:jc w:val="right"/>
            </w:pPr>
            <w:r>
              <w:t>800</w:t>
            </w:r>
            <w:r w:rsidR="001C5089">
              <w:br/>
            </w:r>
            <w:r>
              <w:t>(WOE)</w:t>
            </w:r>
          </w:p>
        </w:tc>
        <w:tc>
          <w:tcPr>
            <w:tcW w:w="763" w:type="pct"/>
            <w:tcBorders>
              <w:top w:val="single" w:sz="4" w:space="0" w:color="auto"/>
              <w:left w:val="nil"/>
              <w:bottom w:val="single" w:sz="4" w:space="0" w:color="auto"/>
              <w:right w:val="nil"/>
            </w:tcBorders>
            <w:shd w:val="clear" w:color="auto" w:fill="FF0000"/>
          </w:tcPr>
          <w:p w14:paraId="41DF5FF3"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3170B655" w14:textId="77777777" w:rsidR="006D7C8D" w:rsidRPr="00CD311A" w:rsidRDefault="006D7C8D" w:rsidP="00834E0F">
            <w:pPr>
              <w:pStyle w:val="TableText"/>
              <w:spacing w:before="0"/>
              <w:jc w:val="right"/>
            </w:pPr>
            <w:r>
              <w:t>251</w:t>
            </w:r>
          </w:p>
        </w:tc>
      </w:tr>
      <w:tr w:rsidR="006D7C8D" w:rsidRPr="00CD311A" w14:paraId="381E3B94" w14:textId="77777777" w:rsidTr="001C5089">
        <w:trPr>
          <w:cantSplit/>
          <w:trHeight w:val="227"/>
        </w:trPr>
        <w:tc>
          <w:tcPr>
            <w:tcW w:w="1189" w:type="pct"/>
            <w:tcBorders>
              <w:top w:val="single" w:sz="4" w:space="0" w:color="auto"/>
              <w:left w:val="nil"/>
              <w:bottom w:val="single" w:sz="4" w:space="0" w:color="auto"/>
              <w:right w:val="nil"/>
            </w:tcBorders>
          </w:tcPr>
          <w:p w14:paraId="122761EC" w14:textId="77777777" w:rsidR="006D7C8D" w:rsidRDefault="006D7C8D" w:rsidP="00834E0F">
            <w:pPr>
              <w:pStyle w:val="TableText"/>
              <w:spacing w:before="0"/>
            </w:pPr>
            <w:r w:rsidRPr="006172AF">
              <w:t>Pasture (Kikuyu/paspalum)</w:t>
            </w:r>
          </w:p>
        </w:tc>
        <w:tc>
          <w:tcPr>
            <w:tcW w:w="763" w:type="pct"/>
            <w:tcBorders>
              <w:top w:val="single" w:sz="4" w:space="0" w:color="auto"/>
              <w:left w:val="nil"/>
              <w:bottom w:val="single" w:sz="4" w:space="0" w:color="auto"/>
              <w:right w:val="nil"/>
            </w:tcBorders>
          </w:tcPr>
          <w:p w14:paraId="0BE461C5"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single" w:sz="4" w:space="0" w:color="auto"/>
              <w:right w:val="nil"/>
            </w:tcBorders>
            <w:shd w:val="clear" w:color="auto" w:fill="FF0000"/>
          </w:tcPr>
          <w:p w14:paraId="53877D89" w14:textId="77777777" w:rsidR="006D7C8D" w:rsidRPr="00CD311A" w:rsidRDefault="006D7C8D" w:rsidP="00834E0F">
            <w:pPr>
              <w:pStyle w:val="TableText"/>
              <w:spacing w:before="0"/>
              <w:jc w:val="right"/>
            </w:pPr>
            <w:r>
              <w:t>No</w:t>
            </w:r>
          </w:p>
        </w:tc>
        <w:tc>
          <w:tcPr>
            <w:tcW w:w="763" w:type="pct"/>
            <w:tcBorders>
              <w:top w:val="single" w:sz="4" w:space="0" w:color="auto"/>
              <w:left w:val="nil"/>
              <w:bottom w:val="single" w:sz="4" w:space="0" w:color="auto"/>
              <w:right w:val="nil"/>
            </w:tcBorders>
          </w:tcPr>
          <w:p w14:paraId="0FE7C8BD" w14:textId="77777777" w:rsidR="006D7C8D" w:rsidRPr="00CD311A" w:rsidRDefault="006D7C8D" w:rsidP="00834E0F">
            <w:pPr>
              <w:pStyle w:val="TableText"/>
              <w:spacing w:before="0"/>
              <w:jc w:val="right"/>
            </w:pPr>
            <w:r>
              <w:t>68</w:t>
            </w:r>
          </w:p>
        </w:tc>
        <w:tc>
          <w:tcPr>
            <w:tcW w:w="763" w:type="pct"/>
            <w:tcBorders>
              <w:top w:val="single" w:sz="4" w:space="0" w:color="auto"/>
              <w:left w:val="nil"/>
              <w:bottom w:val="single" w:sz="4" w:space="0" w:color="auto"/>
              <w:right w:val="nil"/>
            </w:tcBorders>
            <w:shd w:val="clear" w:color="auto" w:fill="FF0000"/>
          </w:tcPr>
          <w:p w14:paraId="4A0CB794"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64EB7617" w14:textId="77777777" w:rsidR="006D7C8D" w:rsidRPr="00CD311A" w:rsidRDefault="006D7C8D" w:rsidP="00834E0F">
            <w:pPr>
              <w:pStyle w:val="TableText"/>
              <w:spacing w:before="0"/>
              <w:jc w:val="right"/>
            </w:pPr>
            <w:r>
              <w:t>203</w:t>
            </w:r>
          </w:p>
        </w:tc>
      </w:tr>
      <w:tr w:rsidR="006D7C8D" w:rsidRPr="00CD311A" w14:paraId="6B449F09" w14:textId="77777777" w:rsidTr="001C5089">
        <w:trPr>
          <w:cantSplit/>
          <w:trHeight w:val="227"/>
        </w:trPr>
        <w:tc>
          <w:tcPr>
            <w:tcW w:w="1189" w:type="pct"/>
            <w:tcBorders>
              <w:top w:val="single" w:sz="4" w:space="0" w:color="auto"/>
              <w:left w:val="nil"/>
              <w:bottom w:val="single" w:sz="4" w:space="0" w:color="auto"/>
              <w:right w:val="nil"/>
            </w:tcBorders>
          </w:tcPr>
          <w:p w14:paraId="7AE073D4" w14:textId="77777777" w:rsidR="006D7C8D" w:rsidRDefault="006D7C8D" w:rsidP="00834E0F">
            <w:pPr>
              <w:pStyle w:val="TableText"/>
              <w:spacing w:before="0"/>
            </w:pPr>
            <w:r>
              <w:t>Pasture</w:t>
            </w:r>
          </w:p>
        </w:tc>
        <w:tc>
          <w:tcPr>
            <w:tcW w:w="763" w:type="pct"/>
            <w:tcBorders>
              <w:top w:val="single" w:sz="4" w:space="0" w:color="auto"/>
              <w:left w:val="nil"/>
              <w:bottom w:val="single" w:sz="4" w:space="0" w:color="auto"/>
              <w:right w:val="nil"/>
            </w:tcBorders>
          </w:tcPr>
          <w:p w14:paraId="0FC88EC5" w14:textId="77777777" w:rsidR="006D7C8D" w:rsidRPr="00CD311A" w:rsidRDefault="006D7C8D" w:rsidP="00834E0F">
            <w:pPr>
              <w:pStyle w:val="TableText"/>
              <w:spacing w:before="0"/>
              <w:jc w:val="right"/>
            </w:pPr>
            <w:r>
              <w:t>0.8 to 2.4</w:t>
            </w:r>
          </w:p>
        </w:tc>
        <w:tc>
          <w:tcPr>
            <w:tcW w:w="763" w:type="pct"/>
            <w:tcBorders>
              <w:top w:val="single" w:sz="4" w:space="0" w:color="auto"/>
              <w:left w:val="nil"/>
              <w:bottom w:val="single" w:sz="4" w:space="0" w:color="auto"/>
              <w:right w:val="nil"/>
            </w:tcBorders>
            <w:shd w:val="clear" w:color="auto" w:fill="FF0000"/>
          </w:tcPr>
          <w:p w14:paraId="1C19CDB2" w14:textId="77777777" w:rsidR="006D7C8D" w:rsidRPr="00CD311A" w:rsidRDefault="006D7C8D" w:rsidP="00834E0F">
            <w:pPr>
              <w:pStyle w:val="TableText"/>
              <w:spacing w:before="0"/>
              <w:jc w:val="right"/>
            </w:pPr>
            <w:r>
              <w:t>No</w:t>
            </w:r>
          </w:p>
        </w:tc>
        <w:tc>
          <w:tcPr>
            <w:tcW w:w="763" w:type="pct"/>
            <w:tcBorders>
              <w:top w:val="single" w:sz="4" w:space="0" w:color="auto"/>
              <w:left w:val="nil"/>
              <w:bottom w:val="single" w:sz="4" w:space="0" w:color="auto"/>
              <w:right w:val="nil"/>
            </w:tcBorders>
          </w:tcPr>
          <w:p w14:paraId="24F4ECFF" w14:textId="77777777" w:rsidR="006D7C8D" w:rsidRPr="00CD311A" w:rsidRDefault="006D7C8D" w:rsidP="00834E0F">
            <w:pPr>
              <w:pStyle w:val="TableText"/>
              <w:spacing w:before="0"/>
              <w:jc w:val="right"/>
            </w:pPr>
            <w:r>
              <w:t>68</w:t>
            </w:r>
          </w:p>
        </w:tc>
        <w:tc>
          <w:tcPr>
            <w:tcW w:w="763" w:type="pct"/>
            <w:tcBorders>
              <w:top w:val="single" w:sz="4" w:space="0" w:color="auto"/>
              <w:left w:val="nil"/>
              <w:bottom w:val="single" w:sz="4" w:space="0" w:color="auto"/>
              <w:right w:val="nil"/>
            </w:tcBorders>
            <w:shd w:val="clear" w:color="auto" w:fill="FF0000"/>
          </w:tcPr>
          <w:p w14:paraId="6334C97A"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7B223B29" w14:textId="77777777" w:rsidR="006D7C8D" w:rsidRPr="00CD311A" w:rsidRDefault="006D7C8D" w:rsidP="00834E0F">
            <w:pPr>
              <w:pStyle w:val="TableText"/>
              <w:spacing w:before="0"/>
              <w:jc w:val="right"/>
            </w:pPr>
            <w:r>
              <w:t>203</w:t>
            </w:r>
          </w:p>
        </w:tc>
      </w:tr>
      <w:tr w:rsidR="006D7C8D" w:rsidRPr="00CD311A" w14:paraId="70356C08" w14:textId="77777777" w:rsidTr="001C5089">
        <w:trPr>
          <w:cantSplit/>
          <w:trHeight w:val="227"/>
        </w:trPr>
        <w:tc>
          <w:tcPr>
            <w:tcW w:w="1189" w:type="pct"/>
            <w:tcBorders>
              <w:top w:val="single" w:sz="4" w:space="0" w:color="auto"/>
              <w:left w:val="nil"/>
              <w:bottom w:val="single" w:sz="4" w:space="0" w:color="auto"/>
              <w:right w:val="nil"/>
            </w:tcBorders>
          </w:tcPr>
          <w:p w14:paraId="429601F3" w14:textId="77777777" w:rsidR="006D7C8D" w:rsidRDefault="006D7C8D" w:rsidP="00834E0F">
            <w:pPr>
              <w:pStyle w:val="TableText"/>
              <w:spacing w:before="0"/>
            </w:pPr>
            <w:r>
              <w:t>Duboisia</w:t>
            </w:r>
          </w:p>
        </w:tc>
        <w:tc>
          <w:tcPr>
            <w:tcW w:w="763" w:type="pct"/>
            <w:tcBorders>
              <w:top w:val="single" w:sz="4" w:space="0" w:color="auto"/>
              <w:left w:val="nil"/>
              <w:bottom w:val="single" w:sz="4" w:space="0" w:color="auto"/>
              <w:right w:val="nil"/>
            </w:tcBorders>
          </w:tcPr>
          <w:p w14:paraId="0FD58D7D" w14:textId="77777777" w:rsidR="006D7C8D" w:rsidRPr="00CD311A" w:rsidRDefault="006D7C8D" w:rsidP="00834E0F">
            <w:pPr>
              <w:pStyle w:val="TableText"/>
              <w:spacing w:before="0"/>
              <w:jc w:val="right"/>
            </w:pPr>
            <w:r>
              <w:t>2.4 to 3.2</w:t>
            </w:r>
          </w:p>
        </w:tc>
        <w:tc>
          <w:tcPr>
            <w:tcW w:w="763" w:type="pct"/>
            <w:tcBorders>
              <w:top w:val="single" w:sz="4" w:space="0" w:color="auto"/>
              <w:left w:val="nil"/>
              <w:bottom w:val="single" w:sz="4" w:space="0" w:color="auto"/>
              <w:right w:val="nil"/>
            </w:tcBorders>
            <w:shd w:val="clear" w:color="auto" w:fill="FF0000"/>
          </w:tcPr>
          <w:p w14:paraId="0EA1AF75" w14:textId="77777777" w:rsidR="006D7C8D" w:rsidRPr="00CD311A" w:rsidRDefault="006D7C8D" w:rsidP="00834E0F">
            <w:pPr>
              <w:pStyle w:val="TableText"/>
              <w:spacing w:before="0"/>
              <w:jc w:val="right"/>
            </w:pPr>
            <w:r>
              <w:t>No</w:t>
            </w:r>
          </w:p>
        </w:tc>
        <w:tc>
          <w:tcPr>
            <w:tcW w:w="763" w:type="pct"/>
            <w:tcBorders>
              <w:top w:val="single" w:sz="4" w:space="0" w:color="auto"/>
              <w:left w:val="nil"/>
              <w:bottom w:val="single" w:sz="4" w:space="0" w:color="auto"/>
              <w:right w:val="nil"/>
            </w:tcBorders>
          </w:tcPr>
          <w:p w14:paraId="6BD4D413" w14:textId="77777777" w:rsidR="006D7C8D" w:rsidRPr="00CD311A" w:rsidRDefault="006D7C8D" w:rsidP="00834E0F">
            <w:pPr>
              <w:pStyle w:val="TableText"/>
              <w:spacing w:before="0"/>
              <w:jc w:val="right"/>
            </w:pPr>
            <w:r>
              <w:t>68</w:t>
            </w:r>
          </w:p>
        </w:tc>
        <w:tc>
          <w:tcPr>
            <w:tcW w:w="763" w:type="pct"/>
            <w:tcBorders>
              <w:top w:val="single" w:sz="4" w:space="0" w:color="auto"/>
              <w:left w:val="nil"/>
              <w:bottom w:val="single" w:sz="4" w:space="0" w:color="auto"/>
              <w:right w:val="nil"/>
            </w:tcBorders>
            <w:shd w:val="clear" w:color="auto" w:fill="FF0000"/>
          </w:tcPr>
          <w:p w14:paraId="5ED8BC0F"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3BB37FAA" w14:textId="77777777" w:rsidR="006D7C8D" w:rsidRPr="00CD311A" w:rsidRDefault="006D7C8D" w:rsidP="00834E0F">
            <w:pPr>
              <w:pStyle w:val="TableText"/>
              <w:spacing w:before="0"/>
              <w:jc w:val="right"/>
            </w:pPr>
            <w:r>
              <w:t>411</w:t>
            </w:r>
          </w:p>
        </w:tc>
      </w:tr>
      <w:tr w:rsidR="006D7C8D" w:rsidRPr="00CD311A" w14:paraId="4C35E372" w14:textId="77777777" w:rsidTr="001C5089">
        <w:trPr>
          <w:cantSplit/>
          <w:trHeight w:val="227"/>
        </w:trPr>
        <w:tc>
          <w:tcPr>
            <w:tcW w:w="1189" w:type="pct"/>
            <w:tcBorders>
              <w:top w:val="single" w:sz="4" w:space="0" w:color="auto"/>
              <w:left w:val="nil"/>
              <w:bottom w:val="single" w:sz="4" w:space="0" w:color="auto"/>
              <w:right w:val="nil"/>
            </w:tcBorders>
          </w:tcPr>
          <w:p w14:paraId="4C7E4F7D" w14:textId="77777777" w:rsidR="006D7C8D" w:rsidRDefault="006D7C8D" w:rsidP="00834E0F">
            <w:pPr>
              <w:pStyle w:val="TableText"/>
              <w:spacing w:before="0"/>
            </w:pPr>
            <w:r>
              <w:t>Tea trees</w:t>
            </w:r>
          </w:p>
        </w:tc>
        <w:tc>
          <w:tcPr>
            <w:tcW w:w="763" w:type="pct"/>
            <w:tcBorders>
              <w:top w:val="single" w:sz="4" w:space="0" w:color="auto"/>
              <w:left w:val="nil"/>
              <w:bottom w:val="single" w:sz="4" w:space="0" w:color="auto"/>
              <w:right w:val="nil"/>
            </w:tcBorders>
          </w:tcPr>
          <w:p w14:paraId="24BC4D7F" w14:textId="77777777" w:rsidR="006D7C8D" w:rsidRPr="00CD311A" w:rsidRDefault="006D7C8D" w:rsidP="00834E0F">
            <w:pPr>
              <w:pStyle w:val="TableText"/>
              <w:spacing w:before="0"/>
              <w:jc w:val="right"/>
            </w:pPr>
            <w:r>
              <w:t>1.6 to 3.2</w:t>
            </w:r>
          </w:p>
        </w:tc>
        <w:tc>
          <w:tcPr>
            <w:tcW w:w="763" w:type="pct"/>
            <w:tcBorders>
              <w:top w:val="single" w:sz="4" w:space="0" w:color="auto"/>
              <w:left w:val="nil"/>
              <w:bottom w:val="single" w:sz="4" w:space="0" w:color="auto"/>
              <w:right w:val="nil"/>
            </w:tcBorders>
            <w:shd w:val="clear" w:color="auto" w:fill="FF0000"/>
          </w:tcPr>
          <w:p w14:paraId="66F5C7DE" w14:textId="77777777" w:rsidR="006D7C8D" w:rsidRPr="00CD311A" w:rsidRDefault="006D7C8D" w:rsidP="00834E0F">
            <w:pPr>
              <w:pStyle w:val="TableText"/>
              <w:spacing w:before="0"/>
              <w:jc w:val="right"/>
            </w:pPr>
            <w:r>
              <w:t>No</w:t>
            </w:r>
          </w:p>
        </w:tc>
        <w:tc>
          <w:tcPr>
            <w:tcW w:w="763" w:type="pct"/>
            <w:tcBorders>
              <w:top w:val="single" w:sz="4" w:space="0" w:color="auto"/>
              <w:left w:val="nil"/>
              <w:bottom w:val="single" w:sz="4" w:space="0" w:color="auto"/>
              <w:right w:val="nil"/>
            </w:tcBorders>
          </w:tcPr>
          <w:p w14:paraId="7E017B77" w14:textId="77777777" w:rsidR="006D7C8D" w:rsidRPr="00CD311A" w:rsidRDefault="006D7C8D" w:rsidP="00834E0F">
            <w:pPr>
              <w:pStyle w:val="TableText"/>
              <w:spacing w:before="0"/>
              <w:jc w:val="right"/>
            </w:pPr>
            <w:r>
              <w:t>68</w:t>
            </w:r>
          </w:p>
        </w:tc>
        <w:tc>
          <w:tcPr>
            <w:tcW w:w="763" w:type="pct"/>
            <w:tcBorders>
              <w:top w:val="single" w:sz="4" w:space="0" w:color="auto"/>
              <w:left w:val="nil"/>
              <w:bottom w:val="single" w:sz="4" w:space="0" w:color="auto"/>
              <w:right w:val="nil"/>
            </w:tcBorders>
            <w:shd w:val="clear" w:color="auto" w:fill="FF0000"/>
          </w:tcPr>
          <w:p w14:paraId="19EA930C" w14:textId="77777777" w:rsidR="006D7C8D" w:rsidRPr="00CD311A" w:rsidRDefault="006D7C8D" w:rsidP="00834E0F">
            <w:pPr>
              <w:pStyle w:val="TableText"/>
              <w:spacing w:before="0"/>
              <w:jc w:val="right"/>
            </w:pPr>
            <w:r>
              <w:t>No</w:t>
            </w:r>
          </w:p>
        </w:tc>
        <w:tc>
          <w:tcPr>
            <w:tcW w:w="759" w:type="pct"/>
            <w:tcBorders>
              <w:top w:val="single" w:sz="4" w:space="0" w:color="auto"/>
              <w:left w:val="nil"/>
              <w:bottom w:val="single" w:sz="4" w:space="0" w:color="auto"/>
              <w:right w:val="nil"/>
            </w:tcBorders>
          </w:tcPr>
          <w:p w14:paraId="5717EEED" w14:textId="77777777" w:rsidR="006D7C8D" w:rsidRPr="00CD311A" w:rsidRDefault="006D7C8D" w:rsidP="00834E0F">
            <w:pPr>
              <w:pStyle w:val="TableText"/>
              <w:spacing w:before="0"/>
              <w:jc w:val="right"/>
            </w:pPr>
            <w:r>
              <w:t>411</w:t>
            </w:r>
          </w:p>
        </w:tc>
      </w:tr>
    </w:tbl>
    <w:p w14:paraId="74737DB0" w14:textId="77777777" w:rsidR="006D7C8D" w:rsidRDefault="006D7C8D" w:rsidP="001C5089">
      <w:pPr>
        <w:pStyle w:val="SourceTableNote"/>
      </w:pPr>
      <w:r>
        <w:t>WOE = weight-of-evidence, the risk assessment conclusion is based on a weight-of-evidence argument</w:t>
      </w:r>
    </w:p>
    <w:p w14:paraId="0450D328" w14:textId="4A543F1B" w:rsidR="00C2168A" w:rsidRPr="001C5089" w:rsidRDefault="009D61A7" w:rsidP="001C5089">
      <w:pPr>
        <w:pStyle w:val="Caption"/>
      </w:pPr>
      <w:bookmarkStart w:id="564" w:name="_Ref167304412"/>
      <w:bookmarkStart w:id="565" w:name="_Toc230692310"/>
      <w:bookmarkStart w:id="566" w:name="_Toc233036531"/>
      <w:bookmarkEnd w:id="563"/>
      <w:r w:rsidRPr="001C5089">
        <w:t xml:space="preserve">Table </w:t>
      </w:r>
      <w:fldSimple w:instr=" SEQ Table \* ARABIC ">
        <w:r w:rsidR="001C5089">
          <w:rPr>
            <w:noProof/>
          </w:rPr>
          <w:t>44</w:t>
        </w:r>
      </w:fldSimple>
      <w:bookmarkEnd w:id="564"/>
      <w:r w:rsidRPr="001C5089">
        <w:t xml:space="preserve">: </w:t>
      </w:r>
      <w:r w:rsidR="00C2168A" w:rsidRPr="001C5089">
        <w:t>Screening level assessment of risks of combination products containing 115 g/L diquat and 135 g/L paraquat to bees</w:t>
      </w:r>
      <w:bookmarkEnd w:id="565"/>
      <w:bookmarkEnd w:id="5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33"/>
        <w:gridCol w:w="2041"/>
        <w:gridCol w:w="1111"/>
        <w:gridCol w:w="2598"/>
        <w:gridCol w:w="1113"/>
        <w:gridCol w:w="732"/>
      </w:tblGrid>
      <w:tr w:rsidR="00C2168A" w:rsidRPr="00D63217" w14:paraId="546DDE84" w14:textId="77777777" w:rsidTr="0063692A">
        <w:trPr>
          <w:tblHeader/>
        </w:trPr>
        <w:tc>
          <w:tcPr>
            <w:tcW w:w="0" w:type="auto"/>
            <w:tcBorders>
              <w:bottom w:val="single" w:sz="4" w:space="0" w:color="auto"/>
            </w:tcBorders>
            <w:shd w:val="clear" w:color="auto" w:fill="5C2946"/>
          </w:tcPr>
          <w:p w14:paraId="2BC16659" w14:textId="77777777" w:rsidR="00C2168A" w:rsidRPr="001C5089" w:rsidRDefault="00C2168A" w:rsidP="001C5089">
            <w:pPr>
              <w:pStyle w:val="TableHead"/>
            </w:pPr>
            <w:r w:rsidRPr="001C5089">
              <w:t>Life stage</w:t>
            </w:r>
          </w:p>
        </w:tc>
        <w:tc>
          <w:tcPr>
            <w:tcW w:w="1060" w:type="pct"/>
            <w:tcBorders>
              <w:bottom w:val="single" w:sz="4" w:space="0" w:color="auto"/>
            </w:tcBorders>
            <w:shd w:val="clear" w:color="auto" w:fill="5C2946"/>
          </w:tcPr>
          <w:p w14:paraId="35801C61" w14:textId="77777777" w:rsidR="00C2168A" w:rsidRPr="001C5089" w:rsidRDefault="00C2168A" w:rsidP="001C5089">
            <w:pPr>
              <w:pStyle w:val="TableHead"/>
            </w:pPr>
            <w:r w:rsidRPr="001C5089">
              <w:t>Exposure</w:t>
            </w:r>
          </w:p>
        </w:tc>
        <w:tc>
          <w:tcPr>
            <w:tcW w:w="577" w:type="pct"/>
            <w:tcBorders>
              <w:bottom w:val="single" w:sz="4" w:space="0" w:color="auto"/>
            </w:tcBorders>
            <w:shd w:val="clear" w:color="auto" w:fill="5C2946"/>
          </w:tcPr>
          <w:p w14:paraId="0ECD89FC" w14:textId="77777777" w:rsidR="00C2168A" w:rsidRPr="001C5089" w:rsidRDefault="00C2168A" w:rsidP="001C5089">
            <w:pPr>
              <w:pStyle w:val="TableHeadRight"/>
            </w:pPr>
            <w:r w:rsidRPr="001C5089">
              <w:t>Rate</w:t>
            </w:r>
          </w:p>
          <w:p w14:paraId="7E334CBA" w14:textId="77777777" w:rsidR="00C2168A" w:rsidRPr="001C5089" w:rsidRDefault="00C2168A" w:rsidP="001C5089">
            <w:pPr>
              <w:pStyle w:val="TableHeadRight"/>
            </w:pPr>
            <w:r w:rsidRPr="001C5089">
              <w:t>(g/ha)</w:t>
            </w:r>
          </w:p>
        </w:tc>
        <w:tc>
          <w:tcPr>
            <w:tcW w:w="1349" w:type="pct"/>
            <w:tcBorders>
              <w:bottom w:val="single" w:sz="4" w:space="0" w:color="auto"/>
            </w:tcBorders>
            <w:shd w:val="clear" w:color="auto" w:fill="5C2946"/>
          </w:tcPr>
          <w:p w14:paraId="11138704" w14:textId="77777777" w:rsidR="00C2168A" w:rsidRPr="001C5089" w:rsidRDefault="00C2168A" w:rsidP="001C5089">
            <w:pPr>
              <w:pStyle w:val="TableHeadRight"/>
            </w:pPr>
            <w:r w:rsidRPr="001C5089">
              <w:t>Predicted total dose</w:t>
            </w:r>
          </w:p>
          <w:p w14:paraId="352F5947" w14:textId="77777777" w:rsidR="00C2168A" w:rsidRPr="001C5089" w:rsidRDefault="00C2168A" w:rsidP="001C5089">
            <w:pPr>
              <w:pStyle w:val="TableHeadRight"/>
            </w:pPr>
            <w:r w:rsidRPr="001C5089">
              <w:t>(µg/bee)</w:t>
            </w:r>
          </w:p>
        </w:tc>
        <w:tc>
          <w:tcPr>
            <w:tcW w:w="578" w:type="pct"/>
            <w:tcBorders>
              <w:bottom w:val="single" w:sz="4" w:space="0" w:color="auto"/>
            </w:tcBorders>
            <w:shd w:val="clear" w:color="auto" w:fill="5C2946"/>
          </w:tcPr>
          <w:p w14:paraId="7480D4CD" w14:textId="77777777" w:rsidR="00C2168A" w:rsidRPr="001C5089" w:rsidRDefault="00C2168A" w:rsidP="001C5089">
            <w:pPr>
              <w:pStyle w:val="TableHeadRight"/>
            </w:pPr>
            <w:r w:rsidRPr="001C5089">
              <w:t>RAL</w:t>
            </w:r>
          </w:p>
          <w:p w14:paraId="0D70BEC7" w14:textId="77777777" w:rsidR="00C2168A" w:rsidRPr="001C5089" w:rsidRDefault="00C2168A" w:rsidP="001C5089">
            <w:pPr>
              <w:pStyle w:val="TableHeadRight"/>
            </w:pPr>
            <w:r w:rsidRPr="001C5089">
              <w:t>(µg/bee)</w:t>
            </w:r>
          </w:p>
        </w:tc>
        <w:tc>
          <w:tcPr>
            <w:tcW w:w="380" w:type="pct"/>
            <w:tcBorders>
              <w:bottom w:val="single" w:sz="4" w:space="0" w:color="auto"/>
            </w:tcBorders>
            <w:shd w:val="clear" w:color="auto" w:fill="5C2946"/>
          </w:tcPr>
          <w:p w14:paraId="395386F9" w14:textId="77777777" w:rsidR="00C2168A" w:rsidRPr="001C5089" w:rsidRDefault="00C2168A" w:rsidP="001C5089">
            <w:pPr>
              <w:pStyle w:val="TableHeadRight"/>
            </w:pPr>
            <w:r w:rsidRPr="001C5089">
              <w:t>RQ</w:t>
            </w:r>
          </w:p>
        </w:tc>
      </w:tr>
      <w:tr w:rsidR="006D7C8D" w:rsidRPr="00D63217" w14:paraId="4C4DD8CA" w14:textId="77777777" w:rsidTr="006D7C8D">
        <w:tc>
          <w:tcPr>
            <w:tcW w:w="5000" w:type="pct"/>
            <w:gridSpan w:val="6"/>
            <w:tcBorders>
              <w:top w:val="single" w:sz="4" w:space="0" w:color="auto"/>
              <w:left w:val="nil"/>
              <w:bottom w:val="nil"/>
              <w:right w:val="nil"/>
            </w:tcBorders>
          </w:tcPr>
          <w:p w14:paraId="772B1EE9" w14:textId="3BA38E03" w:rsidR="006D7C8D" w:rsidRPr="00D63217" w:rsidRDefault="006D7C8D" w:rsidP="001C5089">
            <w:pPr>
              <w:pStyle w:val="TableSubHead0"/>
            </w:pPr>
            <w:r w:rsidRPr="00A513DE">
              <w:t>Screening level assessment (pollen &amp; nectar EEC (mg/kg) = rate × 98 / 1000)</w:t>
            </w:r>
          </w:p>
        </w:tc>
      </w:tr>
      <w:tr w:rsidR="00C2168A" w:rsidRPr="00D63217" w14:paraId="54C77042" w14:textId="77777777" w:rsidTr="0063692A">
        <w:tc>
          <w:tcPr>
            <w:tcW w:w="0" w:type="auto"/>
            <w:tcBorders>
              <w:top w:val="single" w:sz="4" w:space="0" w:color="auto"/>
              <w:left w:val="nil"/>
              <w:bottom w:val="nil"/>
              <w:right w:val="nil"/>
            </w:tcBorders>
          </w:tcPr>
          <w:p w14:paraId="15FE428D" w14:textId="77777777" w:rsidR="00C2168A" w:rsidRPr="00D63217" w:rsidRDefault="00C2168A" w:rsidP="001C5089">
            <w:pPr>
              <w:pStyle w:val="TableText"/>
            </w:pPr>
            <w:r w:rsidRPr="00D63217">
              <w:t>Adults</w:t>
            </w:r>
          </w:p>
        </w:tc>
        <w:tc>
          <w:tcPr>
            <w:tcW w:w="1060" w:type="pct"/>
            <w:tcBorders>
              <w:top w:val="single" w:sz="4" w:space="0" w:color="auto"/>
              <w:left w:val="nil"/>
              <w:bottom w:val="single" w:sz="4" w:space="0" w:color="auto"/>
              <w:right w:val="nil"/>
            </w:tcBorders>
          </w:tcPr>
          <w:p w14:paraId="564BD178" w14:textId="77777777" w:rsidR="00C2168A" w:rsidRPr="00D63217" w:rsidRDefault="00C2168A" w:rsidP="001C5089">
            <w:pPr>
              <w:pStyle w:val="TableText"/>
            </w:pPr>
            <w:r w:rsidRPr="00D63217">
              <w:t>Acute contact</w:t>
            </w:r>
          </w:p>
        </w:tc>
        <w:tc>
          <w:tcPr>
            <w:tcW w:w="577" w:type="pct"/>
            <w:tcBorders>
              <w:top w:val="single" w:sz="4" w:space="0" w:color="auto"/>
              <w:left w:val="nil"/>
              <w:bottom w:val="single" w:sz="4" w:space="0" w:color="auto"/>
              <w:right w:val="nil"/>
            </w:tcBorders>
          </w:tcPr>
          <w:p w14:paraId="35AFD5EA" w14:textId="639B8CDF" w:rsidR="00C2168A" w:rsidRPr="00D63217" w:rsidRDefault="006D7C8D" w:rsidP="001C5089">
            <w:pPr>
              <w:pStyle w:val="TableText"/>
              <w:jc w:val="right"/>
            </w:pPr>
            <w:r>
              <w:t>800</w:t>
            </w:r>
          </w:p>
        </w:tc>
        <w:tc>
          <w:tcPr>
            <w:tcW w:w="1349" w:type="pct"/>
            <w:tcBorders>
              <w:top w:val="single" w:sz="4" w:space="0" w:color="auto"/>
              <w:left w:val="nil"/>
              <w:bottom w:val="single" w:sz="4" w:space="0" w:color="auto"/>
              <w:right w:val="nil"/>
            </w:tcBorders>
          </w:tcPr>
          <w:p w14:paraId="35AE4C5F" w14:textId="61783155" w:rsidR="00C2168A" w:rsidRPr="00D63217" w:rsidRDefault="006D7C8D" w:rsidP="001C5089">
            <w:pPr>
              <w:pStyle w:val="TableText"/>
              <w:jc w:val="right"/>
            </w:pPr>
            <w:r>
              <w:t>1.9</w:t>
            </w:r>
          </w:p>
        </w:tc>
        <w:tc>
          <w:tcPr>
            <w:tcW w:w="578" w:type="pct"/>
            <w:tcBorders>
              <w:top w:val="single" w:sz="4" w:space="0" w:color="auto"/>
              <w:left w:val="nil"/>
              <w:bottom w:val="single" w:sz="4" w:space="0" w:color="auto"/>
              <w:right w:val="nil"/>
            </w:tcBorders>
          </w:tcPr>
          <w:p w14:paraId="7AB4B498" w14:textId="77777777" w:rsidR="00C2168A" w:rsidRPr="00D63217" w:rsidRDefault="00C2168A" w:rsidP="001C5089">
            <w:pPr>
              <w:pStyle w:val="TableText"/>
              <w:jc w:val="right"/>
            </w:pPr>
            <w:r w:rsidRPr="00D63217">
              <w:t>10</w:t>
            </w:r>
          </w:p>
        </w:tc>
        <w:tc>
          <w:tcPr>
            <w:tcW w:w="380" w:type="pct"/>
            <w:tcBorders>
              <w:top w:val="single" w:sz="4" w:space="0" w:color="auto"/>
              <w:left w:val="nil"/>
              <w:bottom w:val="single" w:sz="4" w:space="0" w:color="auto"/>
              <w:right w:val="nil"/>
            </w:tcBorders>
          </w:tcPr>
          <w:p w14:paraId="0181347E" w14:textId="5B09806A" w:rsidR="00C2168A" w:rsidRPr="00D63217" w:rsidRDefault="006D7C8D" w:rsidP="001C5089">
            <w:pPr>
              <w:pStyle w:val="TableText"/>
              <w:jc w:val="right"/>
            </w:pPr>
            <w:r>
              <w:t>0.19</w:t>
            </w:r>
          </w:p>
        </w:tc>
      </w:tr>
      <w:tr w:rsidR="00C2168A" w:rsidRPr="00D63217" w14:paraId="4700FBD1" w14:textId="77777777" w:rsidTr="0063692A">
        <w:tc>
          <w:tcPr>
            <w:tcW w:w="0" w:type="auto"/>
            <w:tcBorders>
              <w:top w:val="nil"/>
              <w:left w:val="nil"/>
              <w:bottom w:val="nil"/>
              <w:right w:val="nil"/>
            </w:tcBorders>
          </w:tcPr>
          <w:p w14:paraId="022A6D72" w14:textId="77777777" w:rsidR="00C2168A" w:rsidRPr="00D63217" w:rsidRDefault="00C2168A" w:rsidP="001C5089">
            <w:pPr>
              <w:pStyle w:val="TableText"/>
            </w:pPr>
          </w:p>
        </w:tc>
        <w:tc>
          <w:tcPr>
            <w:tcW w:w="1060" w:type="pct"/>
            <w:tcBorders>
              <w:top w:val="single" w:sz="4" w:space="0" w:color="auto"/>
              <w:left w:val="nil"/>
              <w:bottom w:val="nil"/>
              <w:right w:val="nil"/>
            </w:tcBorders>
          </w:tcPr>
          <w:p w14:paraId="30B568B6" w14:textId="77777777" w:rsidR="00C2168A" w:rsidRPr="00D63217" w:rsidRDefault="00C2168A" w:rsidP="001C5089">
            <w:pPr>
              <w:pStyle w:val="TableText"/>
            </w:pPr>
            <w:r w:rsidRPr="00D63217">
              <w:t>Acute oral</w:t>
            </w:r>
          </w:p>
        </w:tc>
        <w:tc>
          <w:tcPr>
            <w:tcW w:w="577" w:type="pct"/>
            <w:tcBorders>
              <w:top w:val="single" w:sz="4" w:space="0" w:color="auto"/>
              <w:left w:val="nil"/>
              <w:bottom w:val="nil"/>
              <w:right w:val="nil"/>
            </w:tcBorders>
          </w:tcPr>
          <w:p w14:paraId="3A7ECDBC" w14:textId="169049FD" w:rsidR="00C2168A" w:rsidRPr="00D63217" w:rsidRDefault="006D7C8D" w:rsidP="001C5089">
            <w:pPr>
              <w:pStyle w:val="TableText"/>
              <w:jc w:val="right"/>
            </w:pPr>
            <w:r>
              <w:t>800</w:t>
            </w:r>
          </w:p>
        </w:tc>
        <w:tc>
          <w:tcPr>
            <w:tcW w:w="1349" w:type="pct"/>
            <w:tcBorders>
              <w:top w:val="single" w:sz="4" w:space="0" w:color="auto"/>
              <w:left w:val="nil"/>
              <w:bottom w:val="nil"/>
              <w:right w:val="nil"/>
            </w:tcBorders>
          </w:tcPr>
          <w:p w14:paraId="2DA777F2" w14:textId="38731C78" w:rsidR="00C2168A" w:rsidRPr="00D63217" w:rsidRDefault="006D7C8D" w:rsidP="001C5089">
            <w:pPr>
              <w:pStyle w:val="TableText"/>
              <w:jc w:val="right"/>
            </w:pPr>
            <w:r>
              <w:t>23</w:t>
            </w:r>
          </w:p>
        </w:tc>
        <w:tc>
          <w:tcPr>
            <w:tcW w:w="578" w:type="pct"/>
            <w:tcBorders>
              <w:top w:val="single" w:sz="4" w:space="0" w:color="auto"/>
              <w:left w:val="nil"/>
              <w:bottom w:val="nil"/>
              <w:right w:val="nil"/>
            </w:tcBorders>
          </w:tcPr>
          <w:p w14:paraId="0CB13FCE" w14:textId="77777777" w:rsidR="00C2168A" w:rsidRPr="00D63217" w:rsidRDefault="00C2168A" w:rsidP="001C5089">
            <w:pPr>
              <w:pStyle w:val="TableText"/>
              <w:jc w:val="right"/>
            </w:pPr>
            <w:r w:rsidRPr="00D63217">
              <w:t>6.4</w:t>
            </w:r>
          </w:p>
        </w:tc>
        <w:tc>
          <w:tcPr>
            <w:tcW w:w="380" w:type="pct"/>
            <w:tcBorders>
              <w:top w:val="single" w:sz="4" w:space="0" w:color="auto"/>
              <w:left w:val="nil"/>
              <w:bottom w:val="nil"/>
              <w:right w:val="nil"/>
            </w:tcBorders>
          </w:tcPr>
          <w:p w14:paraId="06E980DB" w14:textId="3317EBDB" w:rsidR="00C2168A" w:rsidRPr="00D63217" w:rsidRDefault="006D7C8D" w:rsidP="001C5089">
            <w:pPr>
              <w:pStyle w:val="TableText"/>
              <w:jc w:val="right"/>
              <w:rPr>
                <w:b/>
                <w:bCs/>
              </w:rPr>
            </w:pPr>
            <w:r>
              <w:rPr>
                <w:b/>
                <w:bCs/>
              </w:rPr>
              <w:t>3.6</w:t>
            </w:r>
          </w:p>
        </w:tc>
      </w:tr>
      <w:tr w:rsidR="006D7C8D" w:rsidRPr="00D63217" w14:paraId="6EEF0BB1" w14:textId="77777777" w:rsidTr="006D7C8D">
        <w:tc>
          <w:tcPr>
            <w:tcW w:w="5000" w:type="pct"/>
            <w:gridSpan w:val="6"/>
            <w:tcBorders>
              <w:top w:val="single" w:sz="4" w:space="0" w:color="auto"/>
              <w:left w:val="nil"/>
              <w:bottom w:val="single" w:sz="4" w:space="0" w:color="auto"/>
              <w:right w:val="nil"/>
            </w:tcBorders>
          </w:tcPr>
          <w:p w14:paraId="1E8BA96A" w14:textId="453C9561" w:rsidR="006D7C8D" w:rsidRPr="00D63217" w:rsidRDefault="006D7C8D" w:rsidP="001C5089">
            <w:pPr>
              <w:pStyle w:val="TableSubHead0"/>
            </w:pPr>
            <w:r w:rsidRPr="00A300B2">
              <w:t>Refined assessment (pollen EEC (mg/kg) = rate × 52 / 1000 + nectar EEC (mg/kg) = rate × 11 / 1000)</w:t>
            </w:r>
          </w:p>
        </w:tc>
      </w:tr>
      <w:tr w:rsidR="006D7C8D" w:rsidRPr="00D63217" w14:paraId="30F862F4" w14:textId="77777777" w:rsidTr="006D7C8D">
        <w:tc>
          <w:tcPr>
            <w:tcW w:w="0" w:type="auto"/>
            <w:tcBorders>
              <w:top w:val="single" w:sz="4" w:space="0" w:color="auto"/>
              <w:left w:val="nil"/>
              <w:bottom w:val="single" w:sz="4" w:space="0" w:color="auto"/>
              <w:right w:val="nil"/>
            </w:tcBorders>
          </w:tcPr>
          <w:p w14:paraId="380C6CD6" w14:textId="16F9E6BA" w:rsidR="006D7C8D" w:rsidRPr="00D63217" w:rsidRDefault="006D7C8D" w:rsidP="001C5089">
            <w:pPr>
              <w:pStyle w:val="TableText"/>
            </w:pPr>
            <w:r>
              <w:t>Adults</w:t>
            </w:r>
          </w:p>
        </w:tc>
        <w:tc>
          <w:tcPr>
            <w:tcW w:w="1060" w:type="pct"/>
            <w:tcBorders>
              <w:top w:val="single" w:sz="4" w:space="0" w:color="auto"/>
              <w:left w:val="nil"/>
              <w:bottom w:val="single" w:sz="4" w:space="0" w:color="auto"/>
              <w:right w:val="nil"/>
            </w:tcBorders>
          </w:tcPr>
          <w:p w14:paraId="4FB829FA" w14:textId="0C1538BA" w:rsidR="006D7C8D" w:rsidRPr="00D63217" w:rsidRDefault="006D7C8D" w:rsidP="001C5089">
            <w:pPr>
              <w:pStyle w:val="TableText"/>
            </w:pPr>
            <w:r>
              <w:t>Acute oral</w:t>
            </w:r>
          </w:p>
        </w:tc>
        <w:tc>
          <w:tcPr>
            <w:tcW w:w="577" w:type="pct"/>
            <w:tcBorders>
              <w:top w:val="single" w:sz="4" w:space="0" w:color="auto"/>
              <w:left w:val="nil"/>
              <w:bottom w:val="single" w:sz="4" w:space="0" w:color="auto"/>
              <w:right w:val="nil"/>
            </w:tcBorders>
          </w:tcPr>
          <w:p w14:paraId="672F4CA9" w14:textId="252DF22B" w:rsidR="006D7C8D" w:rsidRPr="00D63217" w:rsidRDefault="006D7C8D" w:rsidP="001C5089">
            <w:pPr>
              <w:pStyle w:val="TableText"/>
              <w:jc w:val="right"/>
            </w:pPr>
            <w:r>
              <w:t>800</w:t>
            </w:r>
          </w:p>
        </w:tc>
        <w:tc>
          <w:tcPr>
            <w:tcW w:w="1349" w:type="pct"/>
            <w:tcBorders>
              <w:top w:val="single" w:sz="4" w:space="0" w:color="auto"/>
              <w:left w:val="nil"/>
              <w:bottom w:val="single" w:sz="4" w:space="0" w:color="auto"/>
              <w:right w:val="nil"/>
            </w:tcBorders>
          </w:tcPr>
          <w:p w14:paraId="1C9CDE5E" w14:textId="6EB010BE" w:rsidR="006D7C8D" w:rsidRPr="00D63217" w:rsidRDefault="006D7C8D" w:rsidP="001C5089">
            <w:pPr>
              <w:pStyle w:val="TableText"/>
              <w:jc w:val="right"/>
            </w:pPr>
            <w:r>
              <w:t>2.6</w:t>
            </w:r>
          </w:p>
        </w:tc>
        <w:tc>
          <w:tcPr>
            <w:tcW w:w="578" w:type="pct"/>
            <w:tcBorders>
              <w:top w:val="single" w:sz="4" w:space="0" w:color="auto"/>
              <w:left w:val="nil"/>
              <w:bottom w:val="single" w:sz="4" w:space="0" w:color="auto"/>
              <w:right w:val="nil"/>
            </w:tcBorders>
          </w:tcPr>
          <w:p w14:paraId="490B7000" w14:textId="737F40E8" w:rsidR="006D7C8D" w:rsidRPr="00D63217" w:rsidRDefault="006D7C8D" w:rsidP="001C5089">
            <w:pPr>
              <w:pStyle w:val="TableText"/>
              <w:jc w:val="right"/>
            </w:pPr>
            <w:r>
              <w:t>6.4</w:t>
            </w:r>
          </w:p>
        </w:tc>
        <w:tc>
          <w:tcPr>
            <w:tcW w:w="380" w:type="pct"/>
            <w:tcBorders>
              <w:top w:val="single" w:sz="4" w:space="0" w:color="auto"/>
              <w:left w:val="nil"/>
              <w:bottom w:val="single" w:sz="4" w:space="0" w:color="auto"/>
              <w:right w:val="nil"/>
            </w:tcBorders>
          </w:tcPr>
          <w:p w14:paraId="56D47E26" w14:textId="73E9F618" w:rsidR="006D7C8D" w:rsidRPr="00D63217" w:rsidRDefault="006D7C8D" w:rsidP="001C5089">
            <w:pPr>
              <w:pStyle w:val="TableText"/>
              <w:jc w:val="right"/>
            </w:pPr>
            <w:r>
              <w:t>0.40</w:t>
            </w:r>
          </w:p>
        </w:tc>
      </w:tr>
    </w:tbl>
    <w:p w14:paraId="69CE7518" w14:textId="7520DA50" w:rsidR="006D7C8D" w:rsidRPr="001C5089" w:rsidRDefault="006D7C8D" w:rsidP="001C5089">
      <w:pPr>
        <w:pStyle w:val="SourceTableNote"/>
      </w:pPr>
      <w:r w:rsidRPr="001C5089">
        <w:t xml:space="preserve">Screening level pollen </w:t>
      </w:r>
      <w:r w:rsidR="001C5089">
        <w:t>and</w:t>
      </w:r>
      <w:r w:rsidRPr="001C5089">
        <w:t xml:space="preserve"> nectar EEC based on default RUD 98 mg/kg</w:t>
      </w:r>
    </w:p>
    <w:p w14:paraId="306F0923" w14:textId="77777777" w:rsidR="006D7C8D" w:rsidRPr="001C5089" w:rsidRDefault="006D7C8D" w:rsidP="001C5089">
      <w:pPr>
        <w:pStyle w:val="SourceTableNote"/>
      </w:pPr>
      <w:r w:rsidRPr="001C5089">
        <w:t>Refined assessment based on 90</w:t>
      </w:r>
      <w:r w:rsidRPr="001C5089">
        <w:rPr>
          <w:vertAlign w:val="superscript"/>
        </w:rPr>
        <w:t>th</w:t>
      </w:r>
      <w:r w:rsidRPr="001C5089">
        <w:t xml:space="preserve"> percentile RUD values of 52 mg/kg for pollen and 11 mg/kg for nectar from EFSA (2013b)</w:t>
      </w:r>
    </w:p>
    <w:p w14:paraId="5331E821" w14:textId="77777777" w:rsidR="001C5089" w:rsidRDefault="00C2168A" w:rsidP="00CC7EBC">
      <w:pPr>
        <w:pStyle w:val="SourceTableNote"/>
      </w:pPr>
      <w:r w:rsidRPr="001C5089">
        <w:t>Predicted total dose calculated using USEPA BeeREX tool for adult worker bee foraging for nectar and larval drone within the hive</w:t>
      </w:r>
    </w:p>
    <w:p w14:paraId="67AC721C" w14:textId="6CFA2387" w:rsidR="008C6EF2" w:rsidRPr="00D63217" w:rsidRDefault="00C2168A" w:rsidP="00CC7EBC">
      <w:pPr>
        <w:pStyle w:val="SourceTableNote"/>
      </w:pPr>
      <w:r w:rsidRPr="001C5089">
        <w:t xml:space="preserve">RAL = regulatory acceptable level from </w:t>
      </w:r>
      <w:r w:rsidR="00777F6F" w:rsidRPr="001C5089">
        <w:fldChar w:fldCharType="begin"/>
      </w:r>
      <w:r w:rsidR="00777F6F" w:rsidRPr="001C5089">
        <w:instrText xml:space="preserve"> REF _Ref167303882 \h  \* MERGEFORMAT </w:instrText>
      </w:r>
      <w:r w:rsidR="00777F6F" w:rsidRPr="001C5089">
        <w:fldChar w:fldCharType="separate"/>
      </w:r>
      <w:r w:rsidR="008A397D" w:rsidRPr="001C5089">
        <w:t>Table 40</w:t>
      </w:r>
      <w:r w:rsidR="00777F6F" w:rsidRPr="001C5089">
        <w:fldChar w:fldCharType="end"/>
      </w:r>
      <w:r w:rsidR="0063692A" w:rsidRPr="001C5089">
        <w:br/>
      </w:r>
      <w:r w:rsidRPr="001C5089">
        <w:t>RQ = risk quotient = PEC / RAC, where acceptable RQ ≤1</w:t>
      </w:r>
    </w:p>
    <w:p w14:paraId="0B450501" w14:textId="7A92F847" w:rsidR="00C2168A" w:rsidRPr="001C5089" w:rsidRDefault="009D61A7" w:rsidP="001C5089">
      <w:pPr>
        <w:pStyle w:val="Caption"/>
      </w:pPr>
      <w:bookmarkStart w:id="567" w:name="_Ref167304354"/>
      <w:bookmarkStart w:id="568" w:name="_Toc230692311"/>
      <w:bookmarkStart w:id="569" w:name="_Toc233036532"/>
      <w:r w:rsidRPr="001C5089">
        <w:t xml:space="preserve">Table </w:t>
      </w:r>
      <w:fldSimple w:instr=" SEQ Table \* ARABIC ">
        <w:r w:rsidR="001C5089">
          <w:rPr>
            <w:noProof/>
          </w:rPr>
          <w:t>45</w:t>
        </w:r>
      </w:fldSimple>
      <w:bookmarkEnd w:id="567"/>
      <w:r w:rsidR="00C2168A" w:rsidRPr="001C5089">
        <w:t>:</w:t>
      </w:r>
      <w:r w:rsidRPr="001C5089">
        <w:t xml:space="preserve"> </w:t>
      </w:r>
      <w:r w:rsidR="00C2168A" w:rsidRPr="001C5089">
        <w:t>Assessment of risks</w:t>
      </w:r>
      <w:r w:rsidR="00777F6F" w:rsidRPr="001C5089">
        <w:t xml:space="preserve"> of combination products containing 115 g/L diquat and 135 g/L paraquat</w:t>
      </w:r>
      <w:r w:rsidR="00C2168A" w:rsidRPr="001C5089">
        <w:t xml:space="preserve"> to other non-target arthropods</w:t>
      </w:r>
      <w:bookmarkEnd w:id="568"/>
      <w:bookmarkEnd w:id="5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13"/>
        <w:gridCol w:w="1606"/>
        <w:gridCol w:w="1606"/>
        <w:gridCol w:w="1069"/>
        <w:gridCol w:w="1069"/>
        <w:gridCol w:w="1065"/>
      </w:tblGrid>
      <w:tr w:rsidR="00C2168A" w:rsidRPr="00D63217" w14:paraId="55B2FE65" w14:textId="77777777" w:rsidTr="00DA171F">
        <w:trPr>
          <w:tblHeader/>
        </w:trPr>
        <w:tc>
          <w:tcPr>
            <w:tcW w:w="1669" w:type="pct"/>
            <w:tcBorders>
              <w:bottom w:val="single" w:sz="4" w:space="0" w:color="auto"/>
            </w:tcBorders>
            <w:shd w:val="clear" w:color="auto" w:fill="5C2946"/>
          </w:tcPr>
          <w:p w14:paraId="71DDA405" w14:textId="77777777" w:rsidR="00C2168A" w:rsidRPr="001C5089" w:rsidRDefault="00C2168A" w:rsidP="001C5089">
            <w:pPr>
              <w:pStyle w:val="TableHead"/>
            </w:pPr>
            <w:r w:rsidRPr="001C5089">
              <w:t>Group</w:t>
            </w:r>
          </w:p>
        </w:tc>
        <w:tc>
          <w:tcPr>
            <w:tcW w:w="834" w:type="pct"/>
            <w:tcBorders>
              <w:bottom w:val="single" w:sz="4" w:space="0" w:color="auto"/>
            </w:tcBorders>
            <w:shd w:val="clear" w:color="auto" w:fill="5C2946"/>
          </w:tcPr>
          <w:p w14:paraId="5EEA378B" w14:textId="77777777" w:rsidR="00C2168A" w:rsidRPr="001C5089" w:rsidRDefault="00C2168A" w:rsidP="001C5089">
            <w:pPr>
              <w:pStyle w:val="TableHead"/>
            </w:pPr>
            <w:r w:rsidRPr="001C5089">
              <w:t>Exposure</w:t>
            </w:r>
          </w:p>
        </w:tc>
        <w:tc>
          <w:tcPr>
            <w:tcW w:w="834" w:type="pct"/>
            <w:tcBorders>
              <w:bottom w:val="single" w:sz="4" w:space="0" w:color="auto"/>
            </w:tcBorders>
            <w:shd w:val="clear" w:color="auto" w:fill="5C2946"/>
          </w:tcPr>
          <w:p w14:paraId="5A61C6B5" w14:textId="77777777" w:rsidR="00C2168A" w:rsidRPr="001C5089" w:rsidRDefault="00C2168A" w:rsidP="001C5089">
            <w:pPr>
              <w:pStyle w:val="TableHead"/>
            </w:pPr>
            <w:r w:rsidRPr="001C5089">
              <w:t>Scenario</w:t>
            </w:r>
          </w:p>
        </w:tc>
        <w:tc>
          <w:tcPr>
            <w:tcW w:w="555" w:type="pct"/>
            <w:tcBorders>
              <w:bottom w:val="single" w:sz="4" w:space="0" w:color="auto"/>
            </w:tcBorders>
            <w:shd w:val="clear" w:color="auto" w:fill="5C2946"/>
          </w:tcPr>
          <w:p w14:paraId="7410E737" w14:textId="77777777" w:rsidR="00C2168A" w:rsidRPr="001C5089" w:rsidRDefault="00C2168A" w:rsidP="001C5089">
            <w:pPr>
              <w:pStyle w:val="TableHeadRight"/>
            </w:pPr>
            <w:r w:rsidRPr="001C5089">
              <w:t>Rate</w:t>
            </w:r>
          </w:p>
          <w:p w14:paraId="47832489" w14:textId="77777777" w:rsidR="00C2168A" w:rsidRPr="001C5089" w:rsidRDefault="00C2168A" w:rsidP="001C5089">
            <w:pPr>
              <w:pStyle w:val="TableHeadRight"/>
            </w:pPr>
            <w:r w:rsidRPr="001C5089">
              <w:t>(g acs/ha)</w:t>
            </w:r>
          </w:p>
        </w:tc>
        <w:tc>
          <w:tcPr>
            <w:tcW w:w="555" w:type="pct"/>
            <w:tcBorders>
              <w:bottom w:val="single" w:sz="4" w:space="0" w:color="auto"/>
            </w:tcBorders>
            <w:shd w:val="clear" w:color="auto" w:fill="5C2946"/>
          </w:tcPr>
          <w:p w14:paraId="0D1D89D8" w14:textId="77777777" w:rsidR="00C2168A" w:rsidRPr="001C5089" w:rsidRDefault="00C2168A" w:rsidP="001C5089">
            <w:pPr>
              <w:pStyle w:val="TableHeadRight"/>
            </w:pPr>
            <w:r w:rsidRPr="001C5089">
              <w:t>RAL</w:t>
            </w:r>
          </w:p>
          <w:p w14:paraId="413DD06D" w14:textId="77777777" w:rsidR="00C2168A" w:rsidRPr="001C5089" w:rsidRDefault="00C2168A" w:rsidP="001C5089">
            <w:pPr>
              <w:pStyle w:val="TableHeadRight"/>
            </w:pPr>
            <w:r w:rsidRPr="001C5089">
              <w:t>(g acs/ha)</w:t>
            </w:r>
          </w:p>
        </w:tc>
        <w:tc>
          <w:tcPr>
            <w:tcW w:w="553" w:type="pct"/>
            <w:tcBorders>
              <w:bottom w:val="single" w:sz="4" w:space="0" w:color="auto"/>
            </w:tcBorders>
            <w:shd w:val="clear" w:color="auto" w:fill="5C2946"/>
          </w:tcPr>
          <w:p w14:paraId="7B71BED5" w14:textId="77777777" w:rsidR="00C2168A" w:rsidRPr="001C5089" w:rsidRDefault="00C2168A" w:rsidP="001C5089">
            <w:pPr>
              <w:pStyle w:val="TableHeadRight"/>
            </w:pPr>
            <w:r w:rsidRPr="001C5089">
              <w:t>RQ</w:t>
            </w:r>
          </w:p>
        </w:tc>
      </w:tr>
      <w:tr w:rsidR="00C2168A" w:rsidRPr="00D63217" w14:paraId="5B4FDBA8" w14:textId="77777777" w:rsidTr="0063692A">
        <w:tc>
          <w:tcPr>
            <w:tcW w:w="1669" w:type="pct"/>
            <w:tcBorders>
              <w:top w:val="single" w:sz="4" w:space="0" w:color="auto"/>
              <w:left w:val="nil"/>
              <w:bottom w:val="nil"/>
              <w:right w:val="nil"/>
            </w:tcBorders>
          </w:tcPr>
          <w:p w14:paraId="4ED63CD6" w14:textId="77777777" w:rsidR="00C2168A" w:rsidRPr="00D63217" w:rsidRDefault="00C2168A" w:rsidP="001C5089">
            <w:pPr>
              <w:pStyle w:val="TableText"/>
            </w:pPr>
            <w:r w:rsidRPr="00D63217">
              <w:t>Foliar arthropods</w:t>
            </w:r>
          </w:p>
        </w:tc>
        <w:tc>
          <w:tcPr>
            <w:tcW w:w="834" w:type="pct"/>
            <w:tcBorders>
              <w:top w:val="single" w:sz="4" w:space="0" w:color="auto"/>
              <w:left w:val="nil"/>
              <w:bottom w:val="nil"/>
              <w:right w:val="nil"/>
            </w:tcBorders>
          </w:tcPr>
          <w:p w14:paraId="0BE8B6E9" w14:textId="77777777" w:rsidR="00C2168A" w:rsidRPr="00D63217" w:rsidRDefault="00C2168A" w:rsidP="001C5089">
            <w:pPr>
              <w:pStyle w:val="TableText"/>
            </w:pPr>
            <w:r w:rsidRPr="00D63217">
              <w:t>Contact</w:t>
            </w:r>
          </w:p>
        </w:tc>
        <w:tc>
          <w:tcPr>
            <w:tcW w:w="834" w:type="pct"/>
            <w:tcBorders>
              <w:top w:val="single" w:sz="4" w:space="0" w:color="auto"/>
              <w:left w:val="nil"/>
              <w:bottom w:val="nil"/>
              <w:right w:val="nil"/>
            </w:tcBorders>
          </w:tcPr>
          <w:p w14:paraId="79BDC1F6" w14:textId="77777777" w:rsidR="00C2168A" w:rsidRPr="00D63217" w:rsidRDefault="00C2168A" w:rsidP="001C5089">
            <w:pPr>
              <w:pStyle w:val="TableText"/>
            </w:pPr>
            <w:r w:rsidRPr="00D63217">
              <w:t>Worst-case</w:t>
            </w:r>
          </w:p>
        </w:tc>
        <w:tc>
          <w:tcPr>
            <w:tcW w:w="555" w:type="pct"/>
            <w:tcBorders>
              <w:top w:val="single" w:sz="4" w:space="0" w:color="auto"/>
              <w:left w:val="nil"/>
              <w:bottom w:val="nil"/>
              <w:right w:val="nil"/>
            </w:tcBorders>
          </w:tcPr>
          <w:p w14:paraId="7FC6F8D8" w14:textId="37BFF63E" w:rsidR="00C2168A" w:rsidRPr="00D63217" w:rsidRDefault="006D7C8D" w:rsidP="001C5089">
            <w:pPr>
              <w:pStyle w:val="TableTextRight"/>
            </w:pPr>
            <w:r>
              <w:t>800</w:t>
            </w:r>
          </w:p>
        </w:tc>
        <w:tc>
          <w:tcPr>
            <w:tcW w:w="555" w:type="pct"/>
            <w:tcBorders>
              <w:top w:val="single" w:sz="4" w:space="0" w:color="auto"/>
              <w:left w:val="nil"/>
              <w:bottom w:val="nil"/>
              <w:right w:val="nil"/>
            </w:tcBorders>
          </w:tcPr>
          <w:p w14:paraId="0F4567B0" w14:textId="77777777" w:rsidR="00C2168A" w:rsidRPr="00D63217" w:rsidRDefault="00C2168A" w:rsidP="001C5089">
            <w:pPr>
              <w:pStyle w:val="TableTextRight"/>
            </w:pPr>
            <w:r w:rsidRPr="00D63217">
              <w:t>5.6</w:t>
            </w:r>
          </w:p>
        </w:tc>
        <w:tc>
          <w:tcPr>
            <w:tcW w:w="553" w:type="pct"/>
            <w:tcBorders>
              <w:top w:val="single" w:sz="4" w:space="0" w:color="auto"/>
              <w:left w:val="nil"/>
              <w:bottom w:val="nil"/>
              <w:right w:val="nil"/>
            </w:tcBorders>
          </w:tcPr>
          <w:p w14:paraId="74A79018" w14:textId="5A567F84" w:rsidR="00C2168A" w:rsidRPr="00D63217" w:rsidRDefault="006D7C8D" w:rsidP="001C5089">
            <w:pPr>
              <w:pStyle w:val="TableTextRight"/>
              <w:rPr>
                <w:b/>
                <w:bCs/>
              </w:rPr>
            </w:pPr>
            <w:r>
              <w:rPr>
                <w:b/>
                <w:bCs/>
              </w:rPr>
              <w:t>143</w:t>
            </w:r>
          </w:p>
        </w:tc>
      </w:tr>
      <w:tr w:rsidR="00C2168A" w:rsidRPr="00D63217" w14:paraId="52B4ED8E" w14:textId="77777777" w:rsidTr="0063692A">
        <w:tc>
          <w:tcPr>
            <w:tcW w:w="1669" w:type="pct"/>
            <w:tcBorders>
              <w:top w:val="nil"/>
              <w:left w:val="nil"/>
              <w:bottom w:val="single" w:sz="4" w:space="0" w:color="auto"/>
              <w:right w:val="nil"/>
            </w:tcBorders>
          </w:tcPr>
          <w:p w14:paraId="21AAAE73" w14:textId="77777777" w:rsidR="00C2168A" w:rsidRPr="00D63217" w:rsidRDefault="00C2168A" w:rsidP="001C5089">
            <w:pPr>
              <w:pStyle w:val="TableText"/>
            </w:pPr>
          </w:p>
        </w:tc>
        <w:tc>
          <w:tcPr>
            <w:tcW w:w="834" w:type="pct"/>
            <w:tcBorders>
              <w:top w:val="nil"/>
              <w:left w:val="nil"/>
              <w:bottom w:val="single" w:sz="4" w:space="0" w:color="auto"/>
              <w:right w:val="nil"/>
            </w:tcBorders>
          </w:tcPr>
          <w:p w14:paraId="2BF33344" w14:textId="77777777" w:rsidR="00C2168A" w:rsidRPr="00D63217" w:rsidRDefault="00C2168A" w:rsidP="001C5089">
            <w:pPr>
              <w:pStyle w:val="TableText"/>
            </w:pPr>
          </w:p>
        </w:tc>
        <w:tc>
          <w:tcPr>
            <w:tcW w:w="834" w:type="pct"/>
            <w:tcBorders>
              <w:top w:val="nil"/>
              <w:left w:val="nil"/>
              <w:bottom w:val="single" w:sz="4" w:space="0" w:color="auto"/>
              <w:right w:val="nil"/>
            </w:tcBorders>
          </w:tcPr>
          <w:p w14:paraId="2C02881A" w14:textId="77777777" w:rsidR="00C2168A" w:rsidRPr="00D63217" w:rsidRDefault="00C2168A" w:rsidP="001C5089">
            <w:pPr>
              <w:pStyle w:val="TableText"/>
            </w:pPr>
            <w:r w:rsidRPr="00D63217">
              <w:t>Best-case</w:t>
            </w:r>
          </w:p>
        </w:tc>
        <w:tc>
          <w:tcPr>
            <w:tcW w:w="555" w:type="pct"/>
            <w:tcBorders>
              <w:top w:val="nil"/>
              <w:left w:val="nil"/>
              <w:bottom w:val="single" w:sz="4" w:space="0" w:color="auto"/>
              <w:right w:val="nil"/>
            </w:tcBorders>
          </w:tcPr>
          <w:p w14:paraId="782C2376" w14:textId="77777777" w:rsidR="00C2168A" w:rsidRPr="00D63217" w:rsidRDefault="00C2168A" w:rsidP="001C5089">
            <w:pPr>
              <w:pStyle w:val="TableTextRight"/>
            </w:pPr>
            <w:r w:rsidRPr="00D63217">
              <w:t>150</w:t>
            </w:r>
          </w:p>
        </w:tc>
        <w:tc>
          <w:tcPr>
            <w:tcW w:w="555" w:type="pct"/>
            <w:tcBorders>
              <w:top w:val="nil"/>
              <w:left w:val="nil"/>
              <w:bottom w:val="single" w:sz="4" w:space="0" w:color="auto"/>
              <w:right w:val="nil"/>
            </w:tcBorders>
          </w:tcPr>
          <w:p w14:paraId="505953C9" w14:textId="77777777" w:rsidR="00C2168A" w:rsidRPr="00D63217" w:rsidRDefault="00C2168A" w:rsidP="001C5089">
            <w:pPr>
              <w:pStyle w:val="TableTextRight"/>
            </w:pPr>
            <w:r w:rsidRPr="00D63217">
              <w:t>5.6</w:t>
            </w:r>
          </w:p>
        </w:tc>
        <w:tc>
          <w:tcPr>
            <w:tcW w:w="553" w:type="pct"/>
            <w:tcBorders>
              <w:top w:val="nil"/>
              <w:left w:val="nil"/>
              <w:bottom w:val="single" w:sz="4" w:space="0" w:color="auto"/>
              <w:right w:val="nil"/>
            </w:tcBorders>
          </w:tcPr>
          <w:p w14:paraId="0DF031D8" w14:textId="77777777" w:rsidR="00C2168A" w:rsidRPr="00D63217" w:rsidRDefault="00C2168A" w:rsidP="001C5089">
            <w:pPr>
              <w:pStyle w:val="TableTextRight"/>
              <w:rPr>
                <w:b/>
                <w:bCs/>
              </w:rPr>
            </w:pPr>
            <w:r w:rsidRPr="00D63217">
              <w:rPr>
                <w:b/>
                <w:bCs/>
              </w:rPr>
              <w:t>27</w:t>
            </w:r>
          </w:p>
        </w:tc>
      </w:tr>
    </w:tbl>
    <w:p w14:paraId="65393C14" w14:textId="3DB8CE9D" w:rsidR="008A2149" w:rsidRPr="00087F7B" w:rsidRDefault="00C2168A" w:rsidP="00087F7B">
      <w:pPr>
        <w:pStyle w:val="SourceTableNote"/>
      </w:pPr>
      <w:r w:rsidRPr="00087F7B">
        <w:t xml:space="preserve">RAL = regulatory acceptable level from </w:t>
      </w:r>
      <w:r w:rsidR="00777F6F" w:rsidRPr="00087F7B">
        <w:fldChar w:fldCharType="begin"/>
      </w:r>
      <w:r w:rsidR="00777F6F" w:rsidRPr="00087F7B">
        <w:instrText xml:space="preserve"> REF _Ref167303882 \h  \* MERGEFORMAT </w:instrText>
      </w:r>
      <w:r w:rsidR="00777F6F" w:rsidRPr="00087F7B">
        <w:fldChar w:fldCharType="separate"/>
      </w:r>
      <w:r w:rsidR="008A397D" w:rsidRPr="00087F7B">
        <w:t>Table 40</w:t>
      </w:r>
      <w:r w:rsidR="00777F6F" w:rsidRPr="00087F7B">
        <w:fldChar w:fldCharType="end"/>
      </w:r>
      <w:r w:rsidR="0063692A" w:rsidRPr="00087F7B">
        <w:br/>
      </w:r>
      <w:r w:rsidRPr="00087F7B">
        <w:t>RQ = risk quotient = PEC / RAL, where acceptable RQ ≤1</w:t>
      </w:r>
    </w:p>
    <w:p w14:paraId="48C3A13D" w14:textId="77777777" w:rsidR="00240061" w:rsidRPr="00087F7B" w:rsidRDefault="00240061" w:rsidP="00087F7B">
      <w:pPr>
        <w:pStyle w:val="Heading2"/>
      </w:pPr>
      <w:bookmarkStart w:id="570" w:name="_Toc156980633"/>
      <w:bookmarkStart w:id="571" w:name="_Toc157602765"/>
      <w:bookmarkStart w:id="572" w:name="_Toc231480923"/>
      <w:bookmarkStart w:id="573" w:name="_Toc233036475"/>
      <w:r w:rsidRPr="00087F7B">
        <w:t>Recommendations</w:t>
      </w:r>
      <w:bookmarkEnd w:id="570"/>
      <w:bookmarkEnd w:id="571"/>
      <w:bookmarkEnd w:id="572"/>
      <w:bookmarkEnd w:id="573"/>
    </w:p>
    <w:p w14:paraId="4E6D0E1F" w14:textId="204DA3DD" w:rsidR="00240061" w:rsidRPr="00D63217" w:rsidRDefault="00240061" w:rsidP="00E84746">
      <w:pPr>
        <w:pStyle w:val="NormalText"/>
      </w:pPr>
      <w:r w:rsidRPr="00D63217">
        <w:t xml:space="preserve">Uses supported from the viewpoint of environmental safety are listed in </w:t>
      </w:r>
      <w:r w:rsidR="00777F6F" w:rsidRPr="00D63217">
        <w:fldChar w:fldCharType="begin"/>
      </w:r>
      <w:r w:rsidR="00777F6F" w:rsidRPr="00D63217">
        <w:instrText xml:space="preserve"> REF _Ref167304646 \h </w:instrText>
      </w:r>
      <w:r w:rsidR="00D63217">
        <w:instrText xml:space="preserve"> \* MERGEFORMAT </w:instrText>
      </w:r>
      <w:r w:rsidR="00777F6F" w:rsidRPr="00D63217">
        <w:fldChar w:fldCharType="separate"/>
      </w:r>
      <w:r w:rsidR="008A397D" w:rsidRPr="00D63217">
        <w:t xml:space="preserve">Table </w:t>
      </w:r>
      <w:r w:rsidR="008A397D">
        <w:rPr>
          <w:noProof/>
        </w:rPr>
        <w:t>46</w:t>
      </w:r>
      <w:r w:rsidR="00777F6F" w:rsidRPr="00D63217">
        <w:fldChar w:fldCharType="end"/>
      </w:r>
      <w:r w:rsidRPr="00D63217">
        <w:t xml:space="preserve"> with the required protection statements and restraints. Uses that are not supported from the viewpoint of environmental safety are listed in </w:t>
      </w:r>
      <w:r w:rsidR="00777F6F" w:rsidRPr="00D63217">
        <w:fldChar w:fldCharType="begin"/>
      </w:r>
      <w:r w:rsidR="00777F6F" w:rsidRPr="00D63217">
        <w:instrText xml:space="preserve"> REF _Ref167304657 \h </w:instrText>
      </w:r>
      <w:r w:rsidR="00D63217">
        <w:instrText xml:space="preserve"> \* MERGEFORMAT </w:instrText>
      </w:r>
      <w:r w:rsidR="00777F6F" w:rsidRPr="00D63217">
        <w:fldChar w:fldCharType="separate"/>
      </w:r>
      <w:r w:rsidR="008A397D" w:rsidRPr="00D63217">
        <w:t xml:space="preserve">Table </w:t>
      </w:r>
      <w:r w:rsidR="008A397D">
        <w:rPr>
          <w:noProof/>
        </w:rPr>
        <w:t>47</w:t>
      </w:r>
      <w:r w:rsidR="00777F6F" w:rsidRPr="00D63217">
        <w:fldChar w:fldCharType="end"/>
      </w:r>
      <w:r w:rsidRPr="00D63217">
        <w:t>.</w:t>
      </w:r>
    </w:p>
    <w:p w14:paraId="2EC59FF0" w14:textId="5FCC5A6F" w:rsidR="00240061" w:rsidRPr="00087F7B" w:rsidRDefault="00240061" w:rsidP="00087F7B">
      <w:pPr>
        <w:pStyle w:val="Caption"/>
      </w:pPr>
      <w:bookmarkStart w:id="574" w:name="_Ref167304646"/>
      <w:bookmarkStart w:id="575" w:name="_Toc156383611"/>
      <w:bookmarkStart w:id="576" w:name="_Toc230692312"/>
      <w:bookmarkStart w:id="577" w:name="_Toc233036533"/>
      <w:r w:rsidRPr="00087F7B">
        <w:t xml:space="preserve">Table </w:t>
      </w:r>
      <w:fldSimple w:instr=" SEQ Table \* ARABIC ">
        <w:r w:rsidR="008A397D" w:rsidRPr="00087F7B">
          <w:t>46</w:t>
        </w:r>
      </w:fldSimple>
      <w:bookmarkEnd w:id="574"/>
      <w:r w:rsidRPr="00087F7B">
        <w:t>: Supported uses from the viewpoint of environmental safety</w:t>
      </w:r>
      <w:bookmarkEnd w:id="575"/>
      <w:bookmarkEnd w:id="576"/>
      <w:bookmarkEnd w:id="5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8"/>
        <w:gridCol w:w="3403"/>
        <w:gridCol w:w="4387"/>
      </w:tblGrid>
      <w:tr w:rsidR="0041212E" w:rsidRPr="00D63217" w14:paraId="4DB190EB" w14:textId="77777777" w:rsidTr="009C201F">
        <w:trPr>
          <w:tblHeader/>
        </w:trPr>
        <w:tc>
          <w:tcPr>
            <w:tcW w:w="955" w:type="pct"/>
            <w:tcBorders>
              <w:bottom w:val="single" w:sz="4" w:space="0" w:color="auto"/>
            </w:tcBorders>
            <w:shd w:val="clear" w:color="auto" w:fill="5C2946"/>
          </w:tcPr>
          <w:p w14:paraId="1C2EF388" w14:textId="06508B2F" w:rsidR="0041212E" w:rsidRPr="00087F7B" w:rsidRDefault="0041212E" w:rsidP="00087F7B">
            <w:pPr>
              <w:pStyle w:val="TableHead"/>
            </w:pPr>
            <w:r w:rsidRPr="00087F7B">
              <w:t>Product type</w:t>
            </w:r>
          </w:p>
        </w:tc>
        <w:tc>
          <w:tcPr>
            <w:tcW w:w="1767" w:type="pct"/>
            <w:tcBorders>
              <w:bottom w:val="single" w:sz="4" w:space="0" w:color="auto"/>
            </w:tcBorders>
            <w:shd w:val="clear" w:color="auto" w:fill="5C2946"/>
          </w:tcPr>
          <w:p w14:paraId="6E958291" w14:textId="239EBFC0" w:rsidR="0041212E" w:rsidRPr="00087F7B" w:rsidRDefault="0041212E" w:rsidP="00087F7B">
            <w:pPr>
              <w:pStyle w:val="TableHead"/>
            </w:pPr>
            <w:bookmarkStart w:id="578" w:name="_Hlk153703729"/>
            <w:r w:rsidRPr="00087F7B">
              <w:t>Situation</w:t>
            </w:r>
          </w:p>
        </w:tc>
        <w:tc>
          <w:tcPr>
            <w:tcW w:w="2278" w:type="pct"/>
            <w:tcBorders>
              <w:bottom w:val="single" w:sz="4" w:space="0" w:color="auto"/>
            </w:tcBorders>
            <w:shd w:val="clear" w:color="auto" w:fill="5C2946"/>
          </w:tcPr>
          <w:p w14:paraId="78BEE058" w14:textId="77777777" w:rsidR="0041212E" w:rsidRPr="00087F7B" w:rsidRDefault="0041212E" w:rsidP="00087F7B">
            <w:pPr>
              <w:pStyle w:val="TableHead"/>
            </w:pPr>
            <w:r w:rsidRPr="00087F7B">
              <w:t>Protection statements and restraints</w:t>
            </w:r>
          </w:p>
        </w:tc>
      </w:tr>
      <w:tr w:rsidR="0041212E" w:rsidRPr="00D63217" w14:paraId="00617084" w14:textId="77777777" w:rsidTr="009C201F">
        <w:tc>
          <w:tcPr>
            <w:tcW w:w="955" w:type="pct"/>
            <w:tcBorders>
              <w:left w:val="nil"/>
              <w:bottom w:val="nil"/>
              <w:right w:val="nil"/>
            </w:tcBorders>
          </w:tcPr>
          <w:p w14:paraId="7806EC68" w14:textId="6F0D218D" w:rsidR="0041212E" w:rsidRPr="00D63217" w:rsidRDefault="0041212E" w:rsidP="00240061">
            <w:pPr>
              <w:pStyle w:val="TableText"/>
              <w:spacing w:before="0" w:after="0"/>
              <w:rPr>
                <w:szCs w:val="17"/>
              </w:rPr>
            </w:pPr>
            <w:r>
              <w:rPr>
                <w:szCs w:val="17"/>
              </w:rPr>
              <w:t>n/a</w:t>
            </w:r>
          </w:p>
        </w:tc>
        <w:tc>
          <w:tcPr>
            <w:tcW w:w="1767" w:type="pct"/>
            <w:tcBorders>
              <w:top w:val="single" w:sz="4" w:space="0" w:color="auto"/>
              <w:left w:val="nil"/>
              <w:bottom w:val="nil"/>
              <w:right w:val="nil"/>
            </w:tcBorders>
          </w:tcPr>
          <w:p w14:paraId="30117870" w14:textId="50416685" w:rsidR="0041212E" w:rsidRPr="00D63217" w:rsidRDefault="0041212E" w:rsidP="00240061">
            <w:pPr>
              <w:pStyle w:val="TableText"/>
              <w:spacing w:before="0" w:after="0"/>
              <w:rPr>
                <w:szCs w:val="17"/>
              </w:rPr>
            </w:pPr>
            <w:bookmarkStart w:id="579" w:name="_Hlk164416931"/>
            <w:r w:rsidRPr="00D63217">
              <w:rPr>
                <w:szCs w:val="17"/>
              </w:rPr>
              <w:t>All supported uses</w:t>
            </w:r>
          </w:p>
        </w:tc>
        <w:tc>
          <w:tcPr>
            <w:tcW w:w="2278" w:type="pct"/>
            <w:tcBorders>
              <w:top w:val="single" w:sz="4" w:space="0" w:color="auto"/>
              <w:left w:val="nil"/>
              <w:bottom w:val="nil"/>
              <w:right w:val="nil"/>
            </w:tcBorders>
          </w:tcPr>
          <w:p w14:paraId="06CCF862" w14:textId="0F3058F3" w:rsidR="0041212E" w:rsidRPr="00D63217" w:rsidDel="00EB776D" w:rsidRDefault="0041212E" w:rsidP="0063692A">
            <w:pPr>
              <w:pStyle w:val="TableText"/>
              <w:spacing w:before="0" w:after="0"/>
              <w:rPr>
                <w:szCs w:val="17"/>
              </w:rPr>
            </w:pPr>
            <w:r w:rsidRPr="00D63217">
              <w:rPr>
                <w:szCs w:val="17"/>
              </w:rPr>
              <w:t>DO NOT apply if heavy rains or storms are forecast within 3 days</w:t>
            </w:r>
            <w:r w:rsidRPr="00D63217">
              <w:rPr>
                <w:szCs w:val="17"/>
              </w:rPr>
              <w:br/>
              <w:t>DO NOT irrigate to the point of field runoff for at least 3 days after application.</w:t>
            </w:r>
          </w:p>
        </w:tc>
      </w:tr>
      <w:tr w:rsidR="0041212E" w:rsidRPr="00D63217" w14:paraId="10B024CA" w14:textId="77777777" w:rsidTr="009C201F">
        <w:tc>
          <w:tcPr>
            <w:tcW w:w="955" w:type="pct"/>
            <w:tcBorders>
              <w:top w:val="nil"/>
              <w:left w:val="nil"/>
              <w:bottom w:val="nil"/>
              <w:right w:val="nil"/>
            </w:tcBorders>
          </w:tcPr>
          <w:p w14:paraId="1ED713E2" w14:textId="77777777" w:rsidR="0041212E" w:rsidRPr="00D63217" w:rsidRDefault="0041212E" w:rsidP="00240061">
            <w:pPr>
              <w:pStyle w:val="TableText"/>
              <w:spacing w:before="0" w:after="0"/>
              <w:rPr>
                <w:szCs w:val="17"/>
              </w:rPr>
            </w:pPr>
          </w:p>
        </w:tc>
        <w:tc>
          <w:tcPr>
            <w:tcW w:w="1767" w:type="pct"/>
            <w:tcBorders>
              <w:top w:val="nil"/>
              <w:left w:val="nil"/>
              <w:bottom w:val="nil"/>
              <w:right w:val="nil"/>
            </w:tcBorders>
          </w:tcPr>
          <w:p w14:paraId="3526322C" w14:textId="3CA847CB" w:rsidR="0041212E" w:rsidRPr="00D63217" w:rsidRDefault="0041212E" w:rsidP="00240061">
            <w:pPr>
              <w:pStyle w:val="TableText"/>
              <w:spacing w:before="0" w:after="0"/>
              <w:rPr>
                <w:szCs w:val="17"/>
              </w:rPr>
            </w:pPr>
          </w:p>
        </w:tc>
        <w:tc>
          <w:tcPr>
            <w:tcW w:w="2278" w:type="pct"/>
            <w:tcBorders>
              <w:top w:val="nil"/>
              <w:left w:val="nil"/>
              <w:bottom w:val="nil"/>
              <w:right w:val="nil"/>
            </w:tcBorders>
          </w:tcPr>
          <w:p w14:paraId="155FA0FF" w14:textId="77777777" w:rsidR="0041212E" w:rsidRPr="00D63217" w:rsidRDefault="0041212E" w:rsidP="00240061">
            <w:pPr>
              <w:pStyle w:val="TableText"/>
              <w:spacing w:before="0" w:after="0"/>
              <w:rPr>
                <w:szCs w:val="17"/>
              </w:rPr>
            </w:pPr>
            <w:r w:rsidRPr="00D63217">
              <w:rPr>
                <w:szCs w:val="17"/>
              </w:rPr>
              <w:t>Toxic to birds and native mammals. However, the use of this product as directed is not expected to have adverse effects on birds</w:t>
            </w:r>
            <w:r w:rsidRPr="00D63217">
              <w:t xml:space="preserve"> </w:t>
            </w:r>
            <w:r w:rsidRPr="00D63217">
              <w:rPr>
                <w:szCs w:val="17"/>
              </w:rPr>
              <w:t>and native mammals.</w:t>
            </w:r>
          </w:p>
        </w:tc>
      </w:tr>
      <w:tr w:rsidR="0041212E" w:rsidRPr="00D63217" w14:paraId="798A9E59" w14:textId="77777777" w:rsidTr="009C201F">
        <w:tc>
          <w:tcPr>
            <w:tcW w:w="955" w:type="pct"/>
            <w:tcBorders>
              <w:top w:val="nil"/>
              <w:left w:val="nil"/>
              <w:bottom w:val="nil"/>
              <w:right w:val="nil"/>
            </w:tcBorders>
          </w:tcPr>
          <w:p w14:paraId="15F383D7" w14:textId="77777777" w:rsidR="0041212E" w:rsidRPr="00D63217" w:rsidRDefault="0041212E" w:rsidP="00240061">
            <w:pPr>
              <w:pStyle w:val="TableText"/>
              <w:spacing w:before="0" w:after="0"/>
              <w:rPr>
                <w:szCs w:val="17"/>
              </w:rPr>
            </w:pPr>
          </w:p>
        </w:tc>
        <w:tc>
          <w:tcPr>
            <w:tcW w:w="1767" w:type="pct"/>
            <w:tcBorders>
              <w:top w:val="nil"/>
              <w:left w:val="nil"/>
              <w:bottom w:val="nil"/>
              <w:right w:val="nil"/>
            </w:tcBorders>
          </w:tcPr>
          <w:p w14:paraId="50801E2B" w14:textId="3C229679" w:rsidR="0041212E" w:rsidRPr="00D63217" w:rsidRDefault="0041212E" w:rsidP="00240061">
            <w:pPr>
              <w:pStyle w:val="TableText"/>
              <w:spacing w:before="0" w:after="0"/>
              <w:rPr>
                <w:szCs w:val="17"/>
              </w:rPr>
            </w:pPr>
          </w:p>
        </w:tc>
        <w:tc>
          <w:tcPr>
            <w:tcW w:w="2278" w:type="pct"/>
            <w:tcBorders>
              <w:top w:val="nil"/>
              <w:left w:val="nil"/>
              <w:bottom w:val="nil"/>
              <w:right w:val="nil"/>
            </w:tcBorders>
          </w:tcPr>
          <w:p w14:paraId="5E1227B8" w14:textId="77777777" w:rsidR="0041212E" w:rsidRPr="00D63217" w:rsidRDefault="0041212E" w:rsidP="00240061">
            <w:pPr>
              <w:pStyle w:val="TableText"/>
              <w:spacing w:before="0" w:after="0"/>
              <w:rPr>
                <w:szCs w:val="17"/>
              </w:rPr>
            </w:pPr>
            <w:r w:rsidRPr="00D63217">
              <w:rPr>
                <w:szCs w:val="17"/>
              </w:rPr>
              <w:t>Very toxic to aquatic life. DO NOT contaminate wetlands or watercourses with this product or used containers.</w:t>
            </w:r>
          </w:p>
        </w:tc>
      </w:tr>
      <w:tr w:rsidR="0041212E" w:rsidRPr="00D63217" w14:paraId="5B2AABEF" w14:textId="77777777" w:rsidTr="009C201F">
        <w:tc>
          <w:tcPr>
            <w:tcW w:w="955" w:type="pct"/>
            <w:tcBorders>
              <w:top w:val="nil"/>
              <w:left w:val="nil"/>
              <w:bottom w:val="single" w:sz="4" w:space="0" w:color="auto"/>
              <w:right w:val="nil"/>
            </w:tcBorders>
          </w:tcPr>
          <w:p w14:paraId="66FA3764" w14:textId="77777777" w:rsidR="0041212E" w:rsidRPr="00D63217" w:rsidRDefault="0041212E" w:rsidP="00240061">
            <w:pPr>
              <w:pStyle w:val="TableText"/>
              <w:spacing w:before="0" w:after="0"/>
              <w:rPr>
                <w:szCs w:val="17"/>
              </w:rPr>
            </w:pPr>
          </w:p>
        </w:tc>
        <w:tc>
          <w:tcPr>
            <w:tcW w:w="1767" w:type="pct"/>
            <w:tcBorders>
              <w:top w:val="nil"/>
              <w:left w:val="nil"/>
              <w:bottom w:val="single" w:sz="4" w:space="0" w:color="auto"/>
              <w:right w:val="nil"/>
            </w:tcBorders>
          </w:tcPr>
          <w:p w14:paraId="55E9BABC" w14:textId="3A158774" w:rsidR="0041212E" w:rsidRPr="00D63217" w:rsidRDefault="0041212E" w:rsidP="00240061">
            <w:pPr>
              <w:pStyle w:val="TableText"/>
              <w:spacing w:before="0" w:after="0"/>
              <w:rPr>
                <w:szCs w:val="17"/>
              </w:rPr>
            </w:pPr>
          </w:p>
        </w:tc>
        <w:tc>
          <w:tcPr>
            <w:tcW w:w="2278" w:type="pct"/>
            <w:tcBorders>
              <w:top w:val="nil"/>
              <w:left w:val="nil"/>
              <w:bottom w:val="single" w:sz="4" w:space="0" w:color="auto"/>
              <w:right w:val="nil"/>
            </w:tcBorders>
          </w:tcPr>
          <w:p w14:paraId="02ADA8A0" w14:textId="77777777" w:rsidR="0041212E" w:rsidRPr="00D63217" w:rsidRDefault="0041212E" w:rsidP="00240061">
            <w:pPr>
              <w:pStyle w:val="TableText"/>
              <w:spacing w:before="0" w:after="0"/>
              <w:rPr>
                <w:szCs w:val="17"/>
              </w:rPr>
            </w:pPr>
            <w:r w:rsidRPr="00D63217">
              <w:rPr>
                <w:szCs w:val="17"/>
              </w:rPr>
              <w:t>Toxic to beneficial arthropods. Not compatible with integrated pest management (IPM) programs utilising beneficial arthropods. Minimise spray drift to reduce harmful effects on beneficial arthropods in non-crop areas.</w:t>
            </w:r>
          </w:p>
        </w:tc>
      </w:tr>
      <w:tr w:rsidR="0041212E" w:rsidRPr="00D63217" w14:paraId="20B7A1BE" w14:textId="77777777" w:rsidTr="009C201F">
        <w:tc>
          <w:tcPr>
            <w:tcW w:w="955" w:type="pct"/>
            <w:tcBorders>
              <w:left w:val="nil"/>
              <w:bottom w:val="nil"/>
              <w:right w:val="nil"/>
            </w:tcBorders>
          </w:tcPr>
          <w:p w14:paraId="39CC8DB1" w14:textId="42738B1D" w:rsidR="0041212E" w:rsidRDefault="0041212E" w:rsidP="00240061">
            <w:pPr>
              <w:pStyle w:val="TableText"/>
              <w:spacing w:before="0" w:after="0"/>
              <w:rPr>
                <w:szCs w:val="17"/>
              </w:rPr>
            </w:pPr>
            <w:r>
              <w:rPr>
                <w:szCs w:val="17"/>
              </w:rPr>
              <w:t>Paraquat only products</w:t>
            </w:r>
          </w:p>
        </w:tc>
        <w:tc>
          <w:tcPr>
            <w:tcW w:w="1767" w:type="pct"/>
            <w:tcBorders>
              <w:top w:val="single" w:sz="4" w:space="0" w:color="auto"/>
              <w:left w:val="nil"/>
              <w:bottom w:val="nil"/>
              <w:right w:val="nil"/>
            </w:tcBorders>
          </w:tcPr>
          <w:p w14:paraId="3B816483" w14:textId="00723AF4" w:rsidR="0041212E" w:rsidRPr="00D63217" w:rsidRDefault="0041212E" w:rsidP="00240061">
            <w:pPr>
              <w:pStyle w:val="TableText"/>
              <w:spacing w:before="0" w:after="0"/>
              <w:rPr>
                <w:szCs w:val="17"/>
              </w:rPr>
            </w:pPr>
            <w:r>
              <w:rPr>
                <w:szCs w:val="17"/>
              </w:rPr>
              <w:t xml:space="preserve">Aid to cultivation (crop, pasture or fallow establishment) </w:t>
            </w:r>
            <w:r w:rsidR="00A77CEE">
              <w:rPr>
                <w:szCs w:val="17"/>
              </w:rPr>
              <w:t>at rates up to 231 g ac/ha</w:t>
            </w:r>
          </w:p>
        </w:tc>
        <w:tc>
          <w:tcPr>
            <w:tcW w:w="2278" w:type="pct"/>
            <w:tcBorders>
              <w:top w:val="single" w:sz="4" w:space="0" w:color="auto"/>
              <w:left w:val="nil"/>
              <w:bottom w:val="nil"/>
              <w:right w:val="nil"/>
            </w:tcBorders>
          </w:tcPr>
          <w:p w14:paraId="6DF9BC3F" w14:textId="1D365297" w:rsidR="0041212E" w:rsidRPr="00D63217" w:rsidRDefault="0041212E" w:rsidP="00240061">
            <w:pPr>
              <w:pStyle w:val="TableText"/>
              <w:spacing w:before="0" w:after="0"/>
              <w:rPr>
                <w:szCs w:val="17"/>
              </w:rPr>
            </w:pPr>
            <w:r>
              <w:rPr>
                <w:szCs w:val="17"/>
              </w:rPr>
              <w:t>No additional protection statements or restraints required</w:t>
            </w:r>
          </w:p>
        </w:tc>
      </w:tr>
      <w:tr w:rsidR="0041212E" w:rsidRPr="00D63217" w14:paraId="79B9CA9F" w14:textId="77777777" w:rsidTr="009C201F">
        <w:tc>
          <w:tcPr>
            <w:tcW w:w="955" w:type="pct"/>
            <w:tcBorders>
              <w:top w:val="nil"/>
              <w:left w:val="nil"/>
              <w:bottom w:val="nil"/>
              <w:right w:val="nil"/>
            </w:tcBorders>
          </w:tcPr>
          <w:p w14:paraId="676841DD" w14:textId="77777777" w:rsidR="0041212E" w:rsidRDefault="0041212E" w:rsidP="00240061">
            <w:pPr>
              <w:pStyle w:val="TableText"/>
              <w:spacing w:before="0" w:after="0"/>
              <w:rPr>
                <w:szCs w:val="17"/>
              </w:rPr>
            </w:pPr>
          </w:p>
        </w:tc>
        <w:tc>
          <w:tcPr>
            <w:tcW w:w="1767" w:type="pct"/>
            <w:tcBorders>
              <w:top w:val="nil"/>
              <w:left w:val="nil"/>
              <w:bottom w:val="nil"/>
              <w:right w:val="nil"/>
            </w:tcBorders>
          </w:tcPr>
          <w:p w14:paraId="39E37263" w14:textId="77648C53" w:rsidR="0041212E" w:rsidRPr="00D63217" w:rsidRDefault="0041212E" w:rsidP="00240061">
            <w:pPr>
              <w:pStyle w:val="TableText"/>
              <w:spacing w:before="0" w:after="0"/>
              <w:rPr>
                <w:szCs w:val="17"/>
              </w:rPr>
            </w:pPr>
            <w:r>
              <w:rPr>
                <w:szCs w:val="17"/>
              </w:rPr>
              <w:t>Fallows at rates up to 770 g ac/ha for optical spot sprayers</w:t>
            </w:r>
          </w:p>
        </w:tc>
        <w:tc>
          <w:tcPr>
            <w:tcW w:w="2278" w:type="pct"/>
            <w:tcBorders>
              <w:top w:val="nil"/>
              <w:left w:val="nil"/>
              <w:bottom w:val="nil"/>
              <w:right w:val="nil"/>
            </w:tcBorders>
          </w:tcPr>
          <w:p w14:paraId="65A8044C" w14:textId="77777777" w:rsidR="0041212E" w:rsidRPr="00D63217" w:rsidRDefault="0041212E" w:rsidP="00240061">
            <w:pPr>
              <w:pStyle w:val="TableText"/>
              <w:spacing w:before="0" w:after="0"/>
              <w:rPr>
                <w:szCs w:val="17"/>
              </w:rPr>
            </w:pPr>
          </w:p>
        </w:tc>
      </w:tr>
      <w:tr w:rsidR="0041212E" w:rsidRPr="00D63217" w14:paraId="6DD796EF" w14:textId="77777777" w:rsidTr="009C201F">
        <w:tc>
          <w:tcPr>
            <w:tcW w:w="955" w:type="pct"/>
            <w:tcBorders>
              <w:top w:val="nil"/>
              <w:left w:val="nil"/>
              <w:bottom w:val="single" w:sz="4" w:space="0" w:color="auto"/>
              <w:right w:val="nil"/>
            </w:tcBorders>
          </w:tcPr>
          <w:p w14:paraId="777DA67F" w14:textId="77777777" w:rsidR="0041212E" w:rsidRDefault="0041212E" w:rsidP="00240061">
            <w:pPr>
              <w:pStyle w:val="TableText"/>
              <w:spacing w:before="0" w:after="0"/>
              <w:rPr>
                <w:szCs w:val="17"/>
              </w:rPr>
            </w:pPr>
          </w:p>
        </w:tc>
        <w:tc>
          <w:tcPr>
            <w:tcW w:w="1767" w:type="pct"/>
            <w:tcBorders>
              <w:top w:val="nil"/>
              <w:left w:val="nil"/>
              <w:bottom w:val="single" w:sz="4" w:space="0" w:color="auto"/>
              <w:right w:val="nil"/>
            </w:tcBorders>
          </w:tcPr>
          <w:p w14:paraId="32A9D5C8" w14:textId="77777777" w:rsidR="00A77CEE" w:rsidRDefault="0041212E" w:rsidP="00240061">
            <w:pPr>
              <w:pStyle w:val="TableText"/>
              <w:spacing w:before="0" w:after="0"/>
              <w:rPr>
                <w:szCs w:val="17"/>
              </w:rPr>
            </w:pPr>
            <w:r>
              <w:rPr>
                <w:szCs w:val="17"/>
              </w:rPr>
              <w:t>Firebreaks, non-agricultural situations (around sheds, roadways, paths),</w:t>
            </w:r>
          </w:p>
          <w:p w14:paraId="665CE45F" w14:textId="77777777" w:rsidR="00A77CEE" w:rsidRDefault="00A77CEE" w:rsidP="00240061">
            <w:pPr>
              <w:pStyle w:val="TableText"/>
              <w:spacing w:before="0" w:after="0"/>
              <w:rPr>
                <w:szCs w:val="17"/>
              </w:rPr>
            </w:pPr>
          </w:p>
          <w:p w14:paraId="0B834D53" w14:textId="0762D52D" w:rsidR="00A77CEE" w:rsidRDefault="00A77CEE" w:rsidP="00240061">
            <w:pPr>
              <w:pStyle w:val="TableText"/>
              <w:spacing w:before="0" w:after="0"/>
              <w:rPr>
                <w:szCs w:val="17"/>
              </w:rPr>
            </w:pPr>
            <w:r>
              <w:rPr>
                <w:szCs w:val="17"/>
              </w:rPr>
              <w:t>Peanuts at rates up to 231 g ac/ha</w:t>
            </w:r>
          </w:p>
          <w:p w14:paraId="412EA775" w14:textId="77777777" w:rsidR="00A77CEE" w:rsidRDefault="00A77CEE" w:rsidP="00240061">
            <w:pPr>
              <w:pStyle w:val="TableText"/>
              <w:spacing w:before="0" w:after="0"/>
              <w:rPr>
                <w:szCs w:val="17"/>
              </w:rPr>
            </w:pPr>
          </w:p>
          <w:p w14:paraId="5E42A352" w14:textId="63DFE5DD" w:rsidR="00A77CEE" w:rsidRDefault="00A77CEE" w:rsidP="00240061">
            <w:pPr>
              <w:pStyle w:val="TableText"/>
              <w:spacing w:before="0" w:after="0"/>
              <w:rPr>
                <w:szCs w:val="17"/>
              </w:rPr>
            </w:pPr>
            <w:r>
              <w:rPr>
                <w:szCs w:val="17"/>
              </w:rPr>
              <w:t>R</w:t>
            </w:r>
            <w:r w:rsidR="0041212E">
              <w:rPr>
                <w:szCs w:val="17"/>
              </w:rPr>
              <w:t>ice</w:t>
            </w:r>
            <w:r>
              <w:rPr>
                <w:szCs w:val="17"/>
              </w:rPr>
              <w:t xml:space="preserve"> at rates up to 200 g ac/ha</w:t>
            </w:r>
          </w:p>
          <w:p w14:paraId="220F88DB" w14:textId="03CCF35F" w:rsidR="0041212E" w:rsidRPr="00D63217" w:rsidRDefault="00A77CEE" w:rsidP="00240061">
            <w:pPr>
              <w:pStyle w:val="TableText"/>
              <w:spacing w:before="0" w:after="0"/>
              <w:rPr>
                <w:szCs w:val="17"/>
              </w:rPr>
            </w:pPr>
            <w:r>
              <w:rPr>
                <w:szCs w:val="17"/>
              </w:rPr>
              <w:t>Spray topping to reduce annual ryegrass seed set (select pulses) 200 g ac/ha</w:t>
            </w:r>
          </w:p>
        </w:tc>
        <w:tc>
          <w:tcPr>
            <w:tcW w:w="2278" w:type="pct"/>
            <w:tcBorders>
              <w:top w:val="nil"/>
              <w:left w:val="nil"/>
              <w:bottom w:val="single" w:sz="4" w:space="0" w:color="auto"/>
              <w:right w:val="nil"/>
            </w:tcBorders>
          </w:tcPr>
          <w:p w14:paraId="4902071C" w14:textId="77777777" w:rsidR="0041212E" w:rsidRPr="00D63217" w:rsidRDefault="0041212E" w:rsidP="00240061">
            <w:pPr>
              <w:pStyle w:val="TableText"/>
              <w:spacing w:before="0" w:after="0"/>
              <w:rPr>
                <w:szCs w:val="17"/>
              </w:rPr>
            </w:pPr>
          </w:p>
        </w:tc>
      </w:tr>
      <w:tr w:rsidR="0041212E" w:rsidRPr="00D63217" w14:paraId="22B12A12" w14:textId="77777777" w:rsidTr="009C201F">
        <w:tc>
          <w:tcPr>
            <w:tcW w:w="955" w:type="pct"/>
            <w:tcBorders>
              <w:top w:val="single" w:sz="4" w:space="0" w:color="auto"/>
              <w:left w:val="nil"/>
              <w:bottom w:val="nil"/>
              <w:right w:val="nil"/>
            </w:tcBorders>
          </w:tcPr>
          <w:p w14:paraId="2769CA9C" w14:textId="4A8C26F4" w:rsidR="0041212E" w:rsidRDefault="0041212E" w:rsidP="00240061">
            <w:pPr>
              <w:pStyle w:val="TableText"/>
              <w:spacing w:before="0" w:after="0"/>
              <w:rPr>
                <w:szCs w:val="17"/>
              </w:rPr>
            </w:pPr>
            <w:r>
              <w:rPr>
                <w:szCs w:val="17"/>
              </w:rPr>
              <w:t xml:space="preserve">Combination products containing </w:t>
            </w:r>
            <w:r>
              <w:rPr>
                <w:szCs w:val="17"/>
              </w:rPr>
              <w:lastRenderedPageBreak/>
              <w:t>115 g/L diquat and 135 g/L paraquat</w:t>
            </w:r>
            <w:r>
              <w:rPr>
                <w:rStyle w:val="FootnoteReference"/>
                <w:szCs w:val="17"/>
              </w:rPr>
              <w:footnoteReference w:id="32"/>
            </w:r>
          </w:p>
        </w:tc>
        <w:tc>
          <w:tcPr>
            <w:tcW w:w="1767" w:type="pct"/>
            <w:tcBorders>
              <w:top w:val="single" w:sz="4" w:space="0" w:color="auto"/>
              <w:left w:val="nil"/>
              <w:bottom w:val="nil"/>
              <w:right w:val="nil"/>
            </w:tcBorders>
          </w:tcPr>
          <w:p w14:paraId="4A673306" w14:textId="0BF105F1" w:rsidR="006C6506" w:rsidRDefault="0041212E" w:rsidP="006C6506">
            <w:pPr>
              <w:pStyle w:val="TableText"/>
              <w:spacing w:before="0" w:after="0"/>
              <w:rPr>
                <w:szCs w:val="17"/>
              </w:rPr>
            </w:pPr>
            <w:r>
              <w:rPr>
                <w:szCs w:val="17"/>
              </w:rPr>
              <w:lastRenderedPageBreak/>
              <w:t>Aid to cultivation (crop, pasture or fallow establishment)</w:t>
            </w:r>
            <w:r w:rsidR="006C6506">
              <w:rPr>
                <w:szCs w:val="17"/>
              </w:rPr>
              <w:t xml:space="preserve"> at rates up to 251 g acs/ha</w:t>
            </w:r>
          </w:p>
          <w:p w14:paraId="1585FB0A" w14:textId="77777777" w:rsidR="006C6506" w:rsidRDefault="006C6506" w:rsidP="00240061">
            <w:pPr>
              <w:pStyle w:val="TableText"/>
              <w:spacing w:before="0" w:after="0"/>
              <w:rPr>
                <w:szCs w:val="17"/>
              </w:rPr>
            </w:pPr>
          </w:p>
          <w:p w14:paraId="4DBF8D40" w14:textId="5DB3F8B4" w:rsidR="006C6506" w:rsidRDefault="00C47F56" w:rsidP="006C6506">
            <w:pPr>
              <w:pStyle w:val="TableText"/>
              <w:spacing w:before="0" w:after="0"/>
              <w:rPr>
                <w:szCs w:val="17"/>
              </w:rPr>
            </w:pPr>
            <w:r>
              <w:rPr>
                <w:szCs w:val="17"/>
              </w:rPr>
              <w:lastRenderedPageBreak/>
              <w:t>M</w:t>
            </w:r>
            <w:r w:rsidR="006C6506">
              <w:rPr>
                <w:szCs w:val="17"/>
              </w:rPr>
              <w:t>arket gardens, pre-emergence weed control (vegetable crops) at rates up to 251 g acs/ha</w:t>
            </w:r>
            <w:r w:rsidR="004F27AB">
              <w:rPr>
                <w:szCs w:val="17"/>
              </w:rPr>
              <w:t xml:space="preserve"> (Spot-spray only)</w:t>
            </w:r>
          </w:p>
          <w:p w14:paraId="2902CA9E" w14:textId="77777777" w:rsidR="006C6506" w:rsidRDefault="006C6506" w:rsidP="00240061">
            <w:pPr>
              <w:pStyle w:val="TableText"/>
              <w:spacing w:before="0" w:after="0"/>
              <w:rPr>
                <w:szCs w:val="17"/>
              </w:rPr>
            </w:pPr>
          </w:p>
          <w:p w14:paraId="5F7E88B2" w14:textId="6E407B80" w:rsidR="0041212E" w:rsidRDefault="00C47F56" w:rsidP="00240061">
            <w:pPr>
              <w:pStyle w:val="TableText"/>
              <w:spacing w:before="0" w:after="0"/>
              <w:rPr>
                <w:szCs w:val="17"/>
              </w:rPr>
            </w:pPr>
            <w:r>
              <w:rPr>
                <w:szCs w:val="17"/>
              </w:rPr>
              <w:t xml:space="preserve">Potatoes </w:t>
            </w:r>
            <w:r w:rsidR="0041212E">
              <w:rPr>
                <w:szCs w:val="17"/>
              </w:rPr>
              <w:t>(</w:t>
            </w:r>
            <w:r w:rsidR="004F27AB">
              <w:rPr>
                <w:szCs w:val="17"/>
              </w:rPr>
              <w:t xml:space="preserve">early emergence general </w:t>
            </w:r>
            <w:r w:rsidR="0041212E">
              <w:rPr>
                <w:szCs w:val="17"/>
              </w:rPr>
              <w:t>weed control) at rates up to 251</w:t>
            </w:r>
            <w:r w:rsidR="00BA6833">
              <w:rPr>
                <w:szCs w:val="17"/>
              </w:rPr>
              <w:t> </w:t>
            </w:r>
            <w:r w:rsidR="0041212E">
              <w:rPr>
                <w:szCs w:val="17"/>
              </w:rPr>
              <w:t>g</w:t>
            </w:r>
            <w:r w:rsidR="00BA6833">
              <w:rPr>
                <w:szCs w:val="17"/>
              </w:rPr>
              <w:t> </w:t>
            </w:r>
            <w:r w:rsidR="0041212E">
              <w:rPr>
                <w:szCs w:val="17"/>
              </w:rPr>
              <w:t>acs/ha</w:t>
            </w:r>
            <w:r w:rsidR="004F27AB">
              <w:rPr>
                <w:szCs w:val="17"/>
              </w:rPr>
              <w:t xml:space="preserve"> </w:t>
            </w:r>
            <w:r w:rsidR="00A812AC">
              <w:rPr>
                <w:szCs w:val="17"/>
              </w:rPr>
              <w:t>(Spot-spray only)</w:t>
            </w:r>
          </w:p>
          <w:p w14:paraId="20A8B1B5" w14:textId="083E3482" w:rsidR="0023706E" w:rsidRDefault="0023706E" w:rsidP="00240061">
            <w:pPr>
              <w:pStyle w:val="TableText"/>
              <w:spacing w:before="0" w:after="0"/>
              <w:rPr>
                <w:szCs w:val="17"/>
              </w:rPr>
            </w:pPr>
          </w:p>
        </w:tc>
        <w:tc>
          <w:tcPr>
            <w:tcW w:w="2278" w:type="pct"/>
            <w:tcBorders>
              <w:top w:val="single" w:sz="4" w:space="0" w:color="auto"/>
              <w:left w:val="nil"/>
              <w:bottom w:val="nil"/>
              <w:right w:val="nil"/>
            </w:tcBorders>
          </w:tcPr>
          <w:p w14:paraId="02B63237" w14:textId="48333ADF" w:rsidR="0041212E" w:rsidRPr="00D63217" w:rsidRDefault="0041212E" w:rsidP="00240061">
            <w:pPr>
              <w:pStyle w:val="TableText"/>
              <w:spacing w:before="0" w:after="0"/>
              <w:rPr>
                <w:szCs w:val="17"/>
              </w:rPr>
            </w:pPr>
            <w:r>
              <w:rPr>
                <w:szCs w:val="17"/>
              </w:rPr>
              <w:lastRenderedPageBreak/>
              <w:t>No additional protection statements or restraints required</w:t>
            </w:r>
          </w:p>
        </w:tc>
      </w:tr>
      <w:tr w:rsidR="0041212E" w:rsidRPr="00D63217" w14:paraId="3CC21A0D" w14:textId="77777777" w:rsidTr="009C201F">
        <w:tc>
          <w:tcPr>
            <w:tcW w:w="955" w:type="pct"/>
            <w:tcBorders>
              <w:top w:val="nil"/>
              <w:left w:val="nil"/>
              <w:bottom w:val="single" w:sz="4" w:space="0" w:color="auto"/>
              <w:right w:val="nil"/>
            </w:tcBorders>
          </w:tcPr>
          <w:p w14:paraId="27B179D3" w14:textId="77777777" w:rsidR="0041212E" w:rsidRDefault="0041212E" w:rsidP="00240061">
            <w:pPr>
              <w:pStyle w:val="TableText"/>
              <w:spacing w:before="0" w:after="0"/>
              <w:rPr>
                <w:szCs w:val="17"/>
              </w:rPr>
            </w:pPr>
          </w:p>
        </w:tc>
        <w:tc>
          <w:tcPr>
            <w:tcW w:w="1767" w:type="pct"/>
            <w:tcBorders>
              <w:top w:val="nil"/>
              <w:left w:val="nil"/>
              <w:bottom w:val="single" w:sz="4" w:space="0" w:color="auto"/>
              <w:right w:val="nil"/>
            </w:tcBorders>
          </w:tcPr>
          <w:p w14:paraId="5E9B4900" w14:textId="2972C23F" w:rsidR="0041212E" w:rsidRDefault="0041212E" w:rsidP="00240061">
            <w:pPr>
              <w:pStyle w:val="TableText"/>
              <w:spacing w:before="0" w:after="0"/>
              <w:rPr>
                <w:szCs w:val="17"/>
              </w:rPr>
            </w:pPr>
            <w:r>
              <w:rPr>
                <w:szCs w:val="17"/>
              </w:rPr>
              <w:t>Public service areas and rights of way</w:t>
            </w:r>
          </w:p>
        </w:tc>
        <w:tc>
          <w:tcPr>
            <w:tcW w:w="2278" w:type="pct"/>
            <w:tcBorders>
              <w:top w:val="nil"/>
              <w:left w:val="nil"/>
              <w:bottom w:val="single" w:sz="4" w:space="0" w:color="auto"/>
              <w:right w:val="nil"/>
            </w:tcBorders>
          </w:tcPr>
          <w:p w14:paraId="064C6B6E" w14:textId="19C17905" w:rsidR="0041212E" w:rsidRDefault="0041212E" w:rsidP="00240061">
            <w:pPr>
              <w:pStyle w:val="TableText"/>
              <w:spacing w:before="0" w:after="0"/>
              <w:rPr>
                <w:szCs w:val="17"/>
              </w:rPr>
            </w:pPr>
          </w:p>
        </w:tc>
      </w:tr>
      <w:tr w:rsidR="0041212E" w:rsidRPr="00D63217" w14:paraId="3B4373CB" w14:textId="77777777" w:rsidTr="009C201F">
        <w:tc>
          <w:tcPr>
            <w:tcW w:w="955" w:type="pct"/>
            <w:tcBorders>
              <w:top w:val="single" w:sz="4" w:space="0" w:color="auto"/>
              <w:left w:val="nil"/>
              <w:bottom w:val="nil"/>
              <w:right w:val="nil"/>
            </w:tcBorders>
          </w:tcPr>
          <w:p w14:paraId="0DD00232" w14:textId="11B16114" w:rsidR="0041212E" w:rsidRDefault="0041212E" w:rsidP="00240061">
            <w:pPr>
              <w:pStyle w:val="TableText"/>
              <w:spacing w:before="0" w:after="0"/>
              <w:rPr>
                <w:szCs w:val="17"/>
              </w:rPr>
            </w:pPr>
            <w:r>
              <w:rPr>
                <w:szCs w:val="17"/>
              </w:rPr>
              <w:t>Combination products containing paraquat and amitrole</w:t>
            </w:r>
            <w:r>
              <w:rPr>
                <w:rStyle w:val="FootnoteReference"/>
                <w:szCs w:val="17"/>
              </w:rPr>
              <w:footnoteReference w:id="33"/>
            </w:r>
          </w:p>
        </w:tc>
        <w:tc>
          <w:tcPr>
            <w:tcW w:w="1767" w:type="pct"/>
            <w:tcBorders>
              <w:top w:val="single" w:sz="4" w:space="0" w:color="auto"/>
              <w:left w:val="nil"/>
              <w:bottom w:val="nil"/>
              <w:right w:val="nil"/>
            </w:tcBorders>
          </w:tcPr>
          <w:p w14:paraId="7FF0E3FE" w14:textId="2C0D6DEB" w:rsidR="0041212E" w:rsidRDefault="00BA6833" w:rsidP="00240061">
            <w:pPr>
              <w:pStyle w:val="TableText"/>
              <w:spacing w:before="0" w:after="0"/>
              <w:rPr>
                <w:szCs w:val="17"/>
              </w:rPr>
            </w:pPr>
            <w:r>
              <w:rPr>
                <w:szCs w:val="17"/>
              </w:rPr>
              <w:t>Aid to cultivation (crop, pasture or fallow establishment), fallow establishment and maintenance (boom sprayers) at rates up to 231 g ac/ha</w:t>
            </w:r>
          </w:p>
        </w:tc>
        <w:tc>
          <w:tcPr>
            <w:tcW w:w="2278" w:type="pct"/>
            <w:tcBorders>
              <w:top w:val="single" w:sz="4" w:space="0" w:color="auto"/>
              <w:left w:val="nil"/>
              <w:bottom w:val="nil"/>
              <w:right w:val="nil"/>
            </w:tcBorders>
          </w:tcPr>
          <w:p w14:paraId="57679171" w14:textId="37238A66" w:rsidR="0041212E" w:rsidRDefault="00BA6833" w:rsidP="00240061">
            <w:pPr>
              <w:pStyle w:val="TableText"/>
              <w:spacing w:before="0" w:after="0"/>
              <w:rPr>
                <w:szCs w:val="17"/>
              </w:rPr>
            </w:pPr>
            <w:r>
              <w:rPr>
                <w:szCs w:val="17"/>
              </w:rPr>
              <w:t>No additional protection statements or restraints required</w:t>
            </w:r>
          </w:p>
        </w:tc>
      </w:tr>
      <w:tr w:rsidR="0041212E" w:rsidRPr="00D63217" w14:paraId="36C3D532" w14:textId="77777777" w:rsidTr="009C201F">
        <w:tc>
          <w:tcPr>
            <w:tcW w:w="955" w:type="pct"/>
            <w:tcBorders>
              <w:top w:val="nil"/>
              <w:left w:val="nil"/>
              <w:bottom w:val="nil"/>
              <w:right w:val="nil"/>
            </w:tcBorders>
          </w:tcPr>
          <w:p w14:paraId="1D600BEA" w14:textId="77777777" w:rsidR="0041212E" w:rsidRDefault="0041212E" w:rsidP="00240061">
            <w:pPr>
              <w:pStyle w:val="TableText"/>
              <w:spacing w:before="0" w:after="0"/>
              <w:rPr>
                <w:szCs w:val="17"/>
              </w:rPr>
            </w:pPr>
          </w:p>
        </w:tc>
        <w:tc>
          <w:tcPr>
            <w:tcW w:w="1767" w:type="pct"/>
            <w:tcBorders>
              <w:top w:val="nil"/>
              <w:left w:val="nil"/>
              <w:bottom w:val="nil"/>
              <w:right w:val="nil"/>
            </w:tcBorders>
          </w:tcPr>
          <w:p w14:paraId="08B5CFDA" w14:textId="59982E00" w:rsidR="0041212E" w:rsidRDefault="0041212E" w:rsidP="00240061">
            <w:pPr>
              <w:pStyle w:val="TableText"/>
              <w:spacing w:before="0" w:after="0"/>
              <w:rPr>
                <w:szCs w:val="17"/>
              </w:rPr>
            </w:pPr>
            <w:r>
              <w:rPr>
                <w:szCs w:val="17"/>
              </w:rPr>
              <w:t>Fallow establishment and maintenance at rates up to 770 g ac/ha for optical spot sprayers</w:t>
            </w:r>
          </w:p>
        </w:tc>
        <w:tc>
          <w:tcPr>
            <w:tcW w:w="2278" w:type="pct"/>
            <w:tcBorders>
              <w:top w:val="nil"/>
              <w:left w:val="nil"/>
              <w:bottom w:val="nil"/>
              <w:right w:val="nil"/>
            </w:tcBorders>
          </w:tcPr>
          <w:p w14:paraId="41F38861" w14:textId="77777777" w:rsidR="0041212E" w:rsidRDefault="0041212E" w:rsidP="00240061">
            <w:pPr>
              <w:pStyle w:val="TableText"/>
              <w:spacing w:before="0" w:after="0"/>
              <w:rPr>
                <w:szCs w:val="17"/>
              </w:rPr>
            </w:pPr>
          </w:p>
        </w:tc>
      </w:tr>
      <w:tr w:rsidR="0041212E" w:rsidRPr="00D63217" w14:paraId="102E89AC" w14:textId="77777777" w:rsidTr="009C201F">
        <w:tc>
          <w:tcPr>
            <w:tcW w:w="955" w:type="pct"/>
            <w:tcBorders>
              <w:top w:val="nil"/>
              <w:left w:val="nil"/>
              <w:right w:val="nil"/>
            </w:tcBorders>
          </w:tcPr>
          <w:p w14:paraId="01D59358" w14:textId="77777777" w:rsidR="0041212E" w:rsidRDefault="0041212E" w:rsidP="00240061">
            <w:pPr>
              <w:pStyle w:val="TableText"/>
              <w:spacing w:before="0" w:after="0"/>
              <w:rPr>
                <w:szCs w:val="17"/>
              </w:rPr>
            </w:pPr>
          </w:p>
        </w:tc>
        <w:tc>
          <w:tcPr>
            <w:tcW w:w="1767" w:type="pct"/>
            <w:tcBorders>
              <w:top w:val="nil"/>
              <w:left w:val="nil"/>
              <w:bottom w:val="single" w:sz="4" w:space="0" w:color="auto"/>
              <w:right w:val="nil"/>
            </w:tcBorders>
          </w:tcPr>
          <w:p w14:paraId="7982371C" w14:textId="295CE654" w:rsidR="0041212E" w:rsidRDefault="0041212E" w:rsidP="00240061">
            <w:pPr>
              <w:pStyle w:val="TableText"/>
              <w:spacing w:before="0" w:after="0"/>
              <w:rPr>
                <w:szCs w:val="17"/>
              </w:rPr>
            </w:pPr>
            <w:r>
              <w:rPr>
                <w:szCs w:val="17"/>
              </w:rPr>
              <w:t>Firebreaks, non-agricultural situations (around sheds, roadways, paths)</w:t>
            </w:r>
          </w:p>
        </w:tc>
        <w:tc>
          <w:tcPr>
            <w:tcW w:w="2278" w:type="pct"/>
            <w:tcBorders>
              <w:top w:val="nil"/>
              <w:left w:val="nil"/>
              <w:bottom w:val="single" w:sz="4" w:space="0" w:color="auto"/>
              <w:right w:val="nil"/>
            </w:tcBorders>
          </w:tcPr>
          <w:p w14:paraId="13892A75" w14:textId="77777777" w:rsidR="0041212E" w:rsidRDefault="0041212E" w:rsidP="00240061">
            <w:pPr>
              <w:pStyle w:val="TableText"/>
              <w:spacing w:before="0" w:after="0"/>
              <w:rPr>
                <w:szCs w:val="17"/>
              </w:rPr>
            </w:pPr>
          </w:p>
        </w:tc>
      </w:tr>
    </w:tbl>
    <w:p w14:paraId="0F12D74E" w14:textId="12D7477F" w:rsidR="00240061" w:rsidRPr="00087F7B" w:rsidRDefault="00240061" w:rsidP="00087F7B">
      <w:pPr>
        <w:pStyle w:val="Caption"/>
      </w:pPr>
      <w:bookmarkStart w:id="580" w:name="_Ref167304657"/>
      <w:bookmarkStart w:id="581" w:name="_Toc156383612"/>
      <w:bookmarkStart w:id="582" w:name="_Toc230692313"/>
      <w:bookmarkStart w:id="583" w:name="_Toc233036534"/>
      <w:bookmarkEnd w:id="578"/>
      <w:bookmarkEnd w:id="579"/>
      <w:r w:rsidRPr="00087F7B">
        <w:t xml:space="preserve">Table </w:t>
      </w:r>
      <w:fldSimple w:instr=" SEQ Table \* ARABIC ">
        <w:r w:rsidR="00087F7B">
          <w:rPr>
            <w:noProof/>
          </w:rPr>
          <w:t>47</w:t>
        </w:r>
      </w:fldSimple>
      <w:bookmarkEnd w:id="580"/>
      <w:r w:rsidRPr="00087F7B">
        <w:t>: Uses not supported from the viewpoint of environmental safety</w:t>
      </w:r>
      <w:bookmarkEnd w:id="581"/>
      <w:bookmarkEnd w:id="582"/>
      <w:bookmarkEnd w:id="5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8"/>
        <w:gridCol w:w="4899"/>
        <w:gridCol w:w="2891"/>
      </w:tblGrid>
      <w:tr w:rsidR="005D147C" w:rsidRPr="00D63217" w14:paraId="14E7FD43" w14:textId="77777777" w:rsidTr="002F6837">
        <w:trPr>
          <w:cantSplit/>
          <w:tblHeader/>
        </w:trPr>
        <w:tc>
          <w:tcPr>
            <w:tcW w:w="1838" w:type="dxa"/>
            <w:tcBorders>
              <w:bottom w:val="single" w:sz="4" w:space="0" w:color="auto"/>
            </w:tcBorders>
            <w:shd w:val="clear" w:color="auto" w:fill="5C2946"/>
          </w:tcPr>
          <w:p w14:paraId="75769861" w14:textId="5B590454" w:rsidR="005D147C" w:rsidRPr="00D63217" w:rsidRDefault="005D147C" w:rsidP="00DA171F">
            <w:pPr>
              <w:pStyle w:val="TableHead"/>
            </w:pPr>
            <w:r>
              <w:t>Product type</w:t>
            </w:r>
          </w:p>
        </w:tc>
        <w:tc>
          <w:tcPr>
            <w:tcW w:w="4899" w:type="dxa"/>
            <w:tcBorders>
              <w:bottom w:val="single" w:sz="4" w:space="0" w:color="auto"/>
            </w:tcBorders>
            <w:shd w:val="clear" w:color="auto" w:fill="5C2946"/>
          </w:tcPr>
          <w:p w14:paraId="60DA8FE5" w14:textId="55B40026" w:rsidR="005D147C" w:rsidRPr="00D63217" w:rsidRDefault="005D147C" w:rsidP="00DA171F">
            <w:pPr>
              <w:pStyle w:val="TableHead"/>
            </w:pPr>
            <w:r w:rsidRPr="00D63217">
              <w:t>Situation</w:t>
            </w:r>
          </w:p>
        </w:tc>
        <w:tc>
          <w:tcPr>
            <w:tcW w:w="2891" w:type="dxa"/>
            <w:tcBorders>
              <w:bottom w:val="single" w:sz="4" w:space="0" w:color="auto"/>
            </w:tcBorders>
            <w:shd w:val="clear" w:color="auto" w:fill="5C2946"/>
          </w:tcPr>
          <w:p w14:paraId="3BCF25C0" w14:textId="77777777" w:rsidR="005D147C" w:rsidRPr="00D63217" w:rsidRDefault="005D147C" w:rsidP="00DA171F">
            <w:pPr>
              <w:pStyle w:val="TableHead"/>
            </w:pPr>
            <w:r w:rsidRPr="00D63217">
              <w:t>Basis</w:t>
            </w:r>
          </w:p>
        </w:tc>
      </w:tr>
      <w:tr w:rsidR="005D147C" w:rsidRPr="00D63217" w14:paraId="38A56FF6" w14:textId="77777777" w:rsidTr="002F6837">
        <w:trPr>
          <w:cantSplit/>
        </w:trPr>
        <w:tc>
          <w:tcPr>
            <w:tcW w:w="1838" w:type="dxa"/>
            <w:tcBorders>
              <w:left w:val="nil"/>
              <w:bottom w:val="nil"/>
              <w:right w:val="nil"/>
            </w:tcBorders>
          </w:tcPr>
          <w:p w14:paraId="158391BA" w14:textId="77693D98" w:rsidR="005D147C" w:rsidRPr="00D63217" w:rsidRDefault="005D147C" w:rsidP="00240061">
            <w:pPr>
              <w:pStyle w:val="TableText"/>
              <w:spacing w:before="0" w:after="0"/>
            </w:pPr>
            <w:r>
              <w:rPr>
                <w:szCs w:val="17"/>
              </w:rPr>
              <w:t>Paraquat only products</w:t>
            </w:r>
          </w:p>
        </w:tc>
        <w:tc>
          <w:tcPr>
            <w:tcW w:w="4899" w:type="dxa"/>
            <w:tcBorders>
              <w:top w:val="nil"/>
              <w:left w:val="nil"/>
              <w:bottom w:val="nil"/>
              <w:right w:val="nil"/>
            </w:tcBorders>
          </w:tcPr>
          <w:p w14:paraId="737A58FF" w14:textId="5A5C6075" w:rsidR="005D147C" w:rsidRPr="00D63217" w:rsidRDefault="00564F11" w:rsidP="00240061">
            <w:pPr>
              <w:pStyle w:val="TableText"/>
              <w:spacing w:before="0" w:after="0"/>
            </w:pPr>
            <w:r>
              <w:t>Sugarcane (directed interrow spray) at rates &gt;103 g ac/ha; sugarcane (boomspray) at rates &gt;137 g ac/ha; peanuts at rates &gt;213 g ac/ha; Lucerne, potatoes at rates &gt;226 g ac/ha; a</w:t>
            </w:r>
            <w:r w:rsidR="004B0073">
              <w:t>id to cultivation (crop, pasture or fallow establishment), hops</w:t>
            </w:r>
            <w:r w:rsidR="00ED0DC5">
              <w:t>, market gardens, rice, row crops, vegetables</w:t>
            </w:r>
            <w:r w:rsidR="004B0073">
              <w:t xml:space="preserve"> at rates &gt;231 g ac/ha; </w:t>
            </w:r>
            <w:r w:rsidR="00ED0DC5">
              <w:t>fallows (for optical spot sprayers) at rates &gt;770 g ac/ha</w:t>
            </w:r>
          </w:p>
        </w:tc>
        <w:tc>
          <w:tcPr>
            <w:tcW w:w="2891" w:type="dxa"/>
            <w:tcBorders>
              <w:top w:val="nil"/>
              <w:left w:val="nil"/>
              <w:bottom w:val="nil"/>
              <w:right w:val="nil"/>
            </w:tcBorders>
          </w:tcPr>
          <w:p w14:paraId="37B512F7" w14:textId="16E470BF" w:rsidR="005D147C" w:rsidRPr="00D63217" w:rsidRDefault="004B0073" w:rsidP="00240061">
            <w:pPr>
              <w:pStyle w:val="TableText"/>
              <w:spacing w:before="0" w:after="0"/>
            </w:pPr>
            <w:r>
              <w:t>Unacceptable risk to birds</w:t>
            </w:r>
          </w:p>
        </w:tc>
      </w:tr>
      <w:tr w:rsidR="005D147C" w:rsidRPr="00D63217" w14:paraId="1CC16137" w14:textId="77777777" w:rsidTr="002F6837">
        <w:trPr>
          <w:cantSplit/>
        </w:trPr>
        <w:tc>
          <w:tcPr>
            <w:tcW w:w="1838" w:type="dxa"/>
            <w:tcBorders>
              <w:top w:val="nil"/>
              <w:left w:val="nil"/>
              <w:bottom w:val="nil"/>
              <w:right w:val="nil"/>
            </w:tcBorders>
          </w:tcPr>
          <w:p w14:paraId="03276D77" w14:textId="77777777" w:rsidR="005D147C" w:rsidRDefault="005D147C" w:rsidP="00240061">
            <w:pPr>
              <w:pStyle w:val="TableText"/>
              <w:spacing w:before="0" w:after="0"/>
              <w:rPr>
                <w:szCs w:val="17"/>
              </w:rPr>
            </w:pPr>
          </w:p>
        </w:tc>
        <w:tc>
          <w:tcPr>
            <w:tcW w:w="4899" w:type="dxa"/>
            <w:tcBorders>
              <w:top w:val="single" w:sz="4" w:space="0" w:color="auto"/>
              <w:left w:val="nil"/>
              <w:bottom w:val="single" w:sz="4" w:space="0" w:color="auto"/>
              <w:right w:val="nil"/>
            </w:tcBorders>
          </w:tcPr>
          <w:p w14:paraId="1A9F265B" w14:textId="5F0D347B" w:rsidR="005D147C" w:rsidRPr="00D63217" w:rsidRDefault="004B0073" w:rsidP="00240061">
            <w:pPr>
              <w:pStyle w:val="TableText"/>
              <w:spacing w:before="0" w:after="0"/>
            </w:pPr>
            <w:r>
              <w:t xml:space="preserve">Bananas, hay freezing (grass pasture </w:t>
            </w:r>
            <w:r w:rsidR="00564F11">
              <w:t>desiccation</w:t>
            </w:r>
            <w:r>
              <w:t xml:space="preserve">), orchards, </w:t>
            </w:r>
            <w:r w:rsidR="00ED0DC5">
              <w:t xml:space="preserve">pasture, perennial grass seed crops, prevention of annual rye grass toxicity, spray topping to reduce seed set (pastures), </w:t>
            </w:r>
            <w:r>
              <w:t>vineyards at rates &gt;54 g ac/ha</w:t>
            </w:r>
            <w:r w:rsidR="00ED0DC5">
              <w:t>; potatoes at rates &gt;363 g ac/ha</w:t>
            </w:r>
          </w:p>
        </w:tc>
        <w:tc>
          <w:tcPr>
            <w:tcW w:w="2891" w:type="dxa"/>
            <w:tcBorders>
              <w:top w:val="single" w:sz="4" w:space="0" w:color="auto"/>
              <w:left w:val="nil"/>
              <w:bottom w:val="single" w:sz="4" w:space="0" w:color="auto"/>
              <w:right w:val="nil"/>
            </w:tcBorders>
          </w:tcPr>
          <w:p w14:paraId="668F2668" w14:textId="669035B3" w:rsidR="005D147C" w:rsidRPr="00D63217" w:rsidRDefault="004B0073" w:rsidP="00240061">
            <w:pPr>
              <w:pStyle w:val="TableText"/>
              <w:spacing w:before="0" w:after="0"/>
            </w:pPr>
            <w:r>
              <w:t>Unacceptable risk to mammals</w:t>
            </w:r>
          </w:p>
        </w:tc>
      </w:tr>
      <w:tr w:rsidR="004B0073" w:rsidRPr="00D63217" w14:paraId="7A50181D" w14:textId="77777777" w:rsidTr="002F6837">
        <w:trPr>
          <w:cantSplit/>
        </w:trPr>
        <w:tc>
          <w:tcPr>
            <w:tcW w:w="1838" w:type="dxa"/>
            <w:tcBorders>
              <w:top w:val="nil"/>
              <w:left w:val="nil"/>
              <w:bottom w:val="single" w:sz="4" w:space="0" w:color="auto"/>
              <w:right w:val="nil"/>
            </w:tcBorders>
          </w:tcPr>
          <w:p w14:paraId="1883592E" w14:textId="77777777" w:rsidR="004B0073" w:rsidRDefault="004B0073" w:rsidP="00240061">
            <w:pPr>
              <w:pStyle w:val="TableText"/>
              <w:spacing w:before="0" w:after="0"/>
              <w:rPr>
                <w:szCs w:val="17"/>
              </w:rPr>
            </w:pPr>
          </w:p>
        </w:tc>
        <w:tc>
          <w:tcPr>
            <w:tcW w:w="4899" w:type="dxa"/>
            <w:tcBorders>
              <w:top w:val="single" w:sz="4" w:space="0" w:color="auto"/>
              <w:left w:val="nil"/>
              <w:bottom w:val="single" w:sz="4" w:space="0" w:color="auto"/>
              <w:right w:val="nil"/>
            </w:tcBorders>
          </w:tcPr>
          <w:p w14:paraId="0200F668" w14:textId="1E54E05A" w:rsidR="004B0073" w:rsidRDefault="0052473A" w:rsidP="00240061">
            <w:pPr>
              <w:pStyle w:val="TableText"/>
              <w:spacing w:before="0" w:after="0"/>
            </w:pPr>
            <w:r>
              <w:t>H</w:t>
            </w:r>
            <w:r w:rsidR="00564F11">
              <w:t>ay freezing (grass pasture desiccation), pasture, perennial grass seed crops at rates &gt;187 g ac/ha; b</w:t>
            </w:r>
            <w:r w:rsidR="004B0073">
              <w:t>ananas</w:t>
            </w:r>
            <w:r w:rsidR="00ED0DC5">
              <w:t>, orchards, vineyards</w:t>
            </w:r>
            <w:r w:rsidR="004B0073">
              <w:t xml:space="preserve"> at rates &gt;377 g ac/ha; </w:t>
            </w:r>
            <w:r>
              <w:t>fallow at rates &gt;675 g ac/ha</w:t>
            </w:r>
          </w:p>
        </w:tc>
        <w:tc>
          <w:tcPr>
            <w:tcW w:w="2891" w:type="dxa"/>
            <w:tcBorders>
              <w:top w:val="single" w:sz="4" w:space="0" w:color="auto"/>
              <w:left w:val="nil"/>
              <w:bottom w:val="single" w:sz="4" w:space="0" w:color="auto"/>
              <w:right w:val="nil"/>
            </w:tcBorders>
          </w:tcPr>
          <w:p w14:paraId="79F9AC33" w14:textId="37CBED8B" w:rsidR="004B0073" w:rsidRPr="00D63217" w:rsidRDefault="004B0073" w:rsidP="00240061">
            <w:pPr>
              <w:pStyle w:val="TableText"/>
              <w:spacing w:before="0" w:after="0"/>
            </w:pPr>
            <w:r>
              <w:t>Unacceptable risk to birds and mammals</w:t>
            </w:r>
          </w:p>
        </w:tc>
      </w:tr>
      <w:tr w:rsidR="005D147C" w:rsidRPr="00D63217" w14:paraId="171EE0AD" w14:textId="77777777" w:rsidTr="002F6837">
        <w:trPr>
          <w:cantSplit/>
        </w:trPr>
        <w:tc>
          <w:tcPr>
            <w:tcW w:w="1838" w:type="dxa"/>
            <w:tcBorders>
              <w:top w:val="single" w:sz="4" w:space="0" w:color="auto"/>
              <w:left w:val="nil"/>
              <w:bottom w:val="nil"/>
              <w:right w:val="nil"/>
            </w:tcBorders>
          </w:tcPr>
          <w:p w14:paraId="03D8F7D0" w14:textId="32D936C3" w:rsidR="005D147C" w:rsidRPr="00D63217" w:rsidRDefault="005D147C" w:rsidP="00240061">
            <w:pPr>
              <w:pStyle w:val="TableText"/>
              <w:spacing w:before="0" w:after="0"/>
            </w:pPr>
            <w:r>
              <w:rPr>
                <w:szCs w:val="17"/>
              </w:rPr>
              <w:lastRenderedPageBreak/>
              <w:t>Combination products containing 115 g/L diquat and 135 g/L paraquat</w:t>
            </w:r>
            <w:r>
              <w:rPr>
                <w:rStyle w:val="FootnoteReference"/>
                <w:szCs w:val="17"/>
              </w:rPr>
              <w:footnoteReference w:id="34"/>
            </w:r>
          </w:p>
        </w:tc>
        <w:tc>
          <w:tcPr>
            <w:tcW w:w="4899" w:type="dxa"/>
            <w:tcBorders>
              <w:top w:val="single" w:sz="4" w:space="0" w:color="auto"/>
              <w:left w:val="nil"/>
              <w:bottom w:val="single" w:sz="4" w:space="0" w:color="auto"/>
              <w:right w:val="nil"/>
            </w:tcBorders>
          </w:tcPr>
          <w:p w14:paraId="35A7AA86" w14:textId="2B786AF7" w:rsidR="005D147C" w:rsidRPr="00D63217" w:rsidRDefault="006731F4" w:rsidP="00240061">
            <w:pPr>
              <w:pStyle w:val="TableText"/>
              <w:spacing w:before="0" w:after="0"/>
            </w:pPr>
            <w:r>
              <w:t xml:space="preserve">Sugarcane (boomspray and directed interrow spray) at rates &gt;149 g acs/ha; Lucerne at rates &gt;231 g acs/ha; </w:t>
            </w:r>
            <w:r w:rsidR="00B86689">
              <w:t xml:space="preserve">potatoes (weed destruction prior to digging) at rates &gt;246 g acs/ha; </w:t>
            </w:r>
            <w:r>
              <w:t>a</w:t>
            </w:r>
            <w:r w:rsidR="00564F11">
              <w:t>id to cultivation (crop, pasture or fallow establishment; full and minimal disturbance)</w:t>
            </w:r>
            <w:r>
              <w:t>, aid in post-harvest weed control</w:t>
            </w:r>
            <w:r w:rsidR="00564F11">
              <w:t xml:space="preserve"> </w:t>
            </w:r>
            <w:r>
              <w:t>(winter cereals),</w:t>
            </w:r>
            <w:r w:rsidR="00B86689">
              <w:t xml:space="preserve"> market gardens, nurseries, pre-crop emergence weed control (vegetable crops),</w:t>
            </w:r>
            <w:r>
              <w:t xml:space="preserve"> </w:t>
            </w:r>
            <w:r w:rsidR="00B86689">
              <w:t xml:space="preserve">potatoes (weed control), rice (pre-emergent use only), </w:t>
            </w:r>
            <w:r>
              <w:t xml:space="preserve">sugarcane (establishment and fallows prior to planting) </w:t>
            </w:r>
            <w:r w:rsidR="00564F11">
              <w:t>at rates &gt;251 g acs/ha</w:t>
            </w:r>
          </w:p>
        </w:tc>
        <w:tc>
          <w:tcPr>
            <w:tcW w:w="2891" w:type="dxa"/>
            <w:tcBorders>
              <w:top w:val="single" w:sz="4" w:space="0" w:color="auto"/>
              <w:left w:val="nil"/>
              <w:bottom w:val="single" w:sz="4" w:space="0" w:color="auto"/>
              <w:right w:val="nil"/>
            </w:tcBorders>
          </w:tcPr>
          <w:p w14:paraId="7C45A6D9" w14:textId="082E977C" w:rsidR="005D147C" w:rsidRPr="00D63217" w:rsidRDefault="00564F11" w:rsidP="00240061">
            <w:pPr>
              <w:pStyle w:val="TableText"/>
              <w:spacing w:before="0" w:after="0"/>
            </w:pPr>
            <w:r>
              <w:t>Unacceptable risk to birds</w:t>
            </w:r>
          </w:p>
        </w:tc>
      </w:tr>
      <w:tr w:rsidR="005D147C" w:rsidRPr="00D63217" w14:paraId="2D915736" w14:textId="77777777" w:rsidTr="002F6837">
        <w:trPr>
          <w:cantSplit/>
        </w:trPr>
        <w:tc>
          <w:tcPr>
            <w:tcW w:w="1838" w:type="dxa"/>
            <w:tcBorders>
              <w:top w:val="nil"/>
              <w:left w:val="nil"/>
              <w:bottom w:val="nil"/>
              <w:right w:val="nil"/>
            </w:tcBorders>
          </w:tcPr>
          <w:p w14:paraId="25DB758C" w14:textId="77777777" w:rsidR="005D147C" w:rsidRDefault="005D147C" w:rsidP="00240061">
            <w:pPr>
              <w:pStyle w:val="TableText"/>
              <w:spacing w:before="0" w:after="0"/>
              <w:rPr>
                <w:szCs w:val="17"/>
              </w:rPr>
            </w:pPr>
          </w:p>
        </w:tc>
        <w:tc>
          <w:tcPr>
            <w:tcW w:w="4899" w:type="dxa"/>
            <w:tcBorders>
              <w:top w:val="single" w:sz="4" w:space="0" w:color="auto"/>
              <w:left w:val="nil"/>
              <w:bottom w:val="single" w:sz="4" w:space="0" w:color="auto"/>
              <w:right w:val="nil"/>
            </w:tcBorders>
          </w:tcPr>
          <w:p w14:paraId="6F393241" w14:textId="53E2A2C4" w:rsidR="005D147C" w:rsidRPr="00D63217" w:rsidRDefault="00B86689" w:rsidP="00240061">
            <w:pPr>
              <w:pStyle w:val="TableText"/>
              <w:spacing w:before="0" w:after="0"/>
            </w:pPr>
            <w:r>
              <w:t>Avocados, custard apples, duboisia, forests, grasses, hazelnut plantations, lychees, mangoes, orchards (including bananas), pasture, pistachio nuts, tea trees, vineyards, walnuts at rates &gt;68 g acs/ha; c</w:t>
            </w:r>
            <w:r w:rsidR="006731F4">
              <w:t>otton at rates &gt;271 g acs/ha</w:t>
            </w:r>
          </w:p>
        </w:tc>
        <w:tc>
          <w:tcPr>
            <w:tcW w:w="2891" w:type="dxa"/>
            <w:tcBorders>
              <w:top w:val="single" w:sz="4" w:space="0" w:color="auto"/>
              <w:left w:val="nil"/>
              <w:bottom w:val="single" w:sz="4" w:space="0" w:color="auto"/>
              <w:right w:val="nil"/>
            </w:tcBorders>
          </w:tcPr>
          <w:p w14:paraId="0049E2E0" w14:textId="72BD889D" w:rsidR="005D147C" w:rsidRPr="00D63217" w:rsidRDefault="006731F4" w:rsidP="00240061">
            <w:pPr>
              <w:pStyle w:val="TableText"/>
              <w:spacing w:before="0" w:after="0"/>
            </w:pPr>
            <w:r>
              <w:t>Unacceptable risk to mammals</w:t>
            </w:r>
          </w:p>
        </w:tc>
      </w:tr>
      <w:tr w:rsidR="005D147C" w:rsidRPr="00D63217" w14:paraId="2E95832C" w14:textId="77777777" w:rsidTr="002F6837">
        <w:trPr>
          <w:cantSplit/>
        </w:trPr>
        <w:tc>
          <w:tcPr>
            <w:tcW w:w="1838" w:type="dxa"/>
            <w:tcBorders>
              <w:top w:val="nil"/>
              <w:left w:val="nil"/>
              <w:bottom w:val="nil"/>
              <w:right w:val="nil"/>
            </w:tcBorders>
          </w:tcPr>
          <w:p w14:paraId="1A26100C" w14:textId="77777777" w:rsidR="005D147C" w:rsidRDefault="005D147C" w:rsidP="00240061">
            <w:pPr>
              <w:pStyle w:val="TableText"/>
              <w:spacing w:before="0" w:after="0"/>
              <w:rPr>
                <w:szCs w:val="17"/>
              </w:rPr>
            </w:pPr>
          </w:p>
        </w:tc>
        <w:tc>
          <w:tcPr>
            <w:tcW w:w="4899" w:type="dxa"/>
            <w:tcBorders>
              <w:top w:val="single" w:sz="4" w:space="0" w:color="auto"/>
              <w:left w:val="nil"/>
              <w:bottom w:val="nil"/>
              <w:right w:val="nil"/>
            </w:tcBorders>
          </w:tcPr>
          <w:p w14:paraId="41425B4D" w14:textId="4D8C5F34" w:rsidR="005D147C" w:rsidRPr="00D63217" w:rsidRDefault="00B86689" w:rsidP="00240061">
            <w:pPr>
              <w:pStyle w:val="TableText"/>
              <w:spacing w:before="0" w:after="0"/>
            </w:pPr>
            <w:r>
              <w:t>Pasture, grasses at rates &gt;203 g acs/ha; duboisia, forests, hazelnut plantations, orchards (including bananas), pistachio nuts, tea trees, vineyards, walnuts at rates &gt;411 g acs/ha; potatoes (weed destruction prior to digging) at rates &gt;452 g acs/ha</w:t>
            </w:r>
          </w:p>
        </w:tc>
        <w:tc>
          <w:tcPr>
            <w:tcW w:w="2891" w:type="dxa"/>
            <w:tcBorders>
              <w:top w:val="single" w:sz="4" w:space="0" w:color="auto"/>
              <w:left w:val="nil"/>
              <w:bottom w:val="nil"/>
              <w:right w:val="nil"/>
            </w:tcBorders>
          </w:tcPr>
          <w:p w14:paraId="29B562A1" w14:textId="4ED5C64F" w:rsidR="005D147C" w:rsidRPr="00D63217" w:rsidRDefault="00B86689" w:rsidP="00240061">
            <w:pPr>
              <w:pStyle w:val="TableText"/>
              <w:spacing w:before="0" w:after="0"/>
            </w:pPr>
            <w:r>
              <w:t>Unacceptable risk to birds and mammals</w:t>
            </w:r>
          </w:p>
        </w:tc>
      </w:tr>
      <w:tr w:rsidR="00B86689" w:rsidRPr="00D63217" w14:paraId="64D54003" w14:textId="77777777" w:rsidTr="002F6837">
        <w:trPr>
          <w:cantSplit/>
        </w:trPr>
        <w:tc>
          <w:tcPr>
            <w:tcW w:w="1838" w:type="dxa"/>
            <w:tcBorders>
              <w:top w:val="nil"/>
              <w:left w:val="nil"/>
              <w:bottom w:val="nil"/>
              <w:right w:val="nil"/>
            </w:tcBorders>
          </w:tcPr>
          <w:p w14:paraId="5D8A5BFB" w14:textId="77777777" w:rsidR="00B86689" w:rsidRDefault="00B86689" w:rsidP="00240061">
            <w:pPr>
              <w:pStyle w:val="TableText"/>
              <w:spacing w:before="0" w:after="0"/>
              <w:rPr>
                <w:szCs w:val="17"/>
              </w:rPr>
            </w:pPr>
          </w:p>
        </w:tc>
        <w:tc>
          <w:tcPr>
            <w:tcW w:w="4899" w:type="dxa"/>
            <w:tcBorders>
              <w:top w:val="nil"/>
              <w:left w:val="nil"/>
              <w:bottom w:val="nil"/>
              <w:right w:val="nil"/>
            </w:tcBorders>
          </w:tcPr>
          <w:p w14:paraId="1FF79370" w14:textId="1AE5D42A" w:rsidR="00B86689" w:rsidRDefault="00B86689" w:rsidP="00240061">
            <w:pPr>
              <w:pStyle w:val="TableText"/>
              <w:spacing w:before="0" w:after="0"/>
            </w:pPr>
            <w:r>
              <w:t>Long term weed control</w:t>
            </w:r>
            <w:r>
              <w:rPr>
                <w:rStyle w:val="FootnoteReference"/>
              </w:rPr>
              <w:footnoteReference w:id="35"/>
            </w:r>
          </w:p>
        </w:tc>
        <w:tc>
          <w:tcPr>
            <w:tcW w:w="2891" w:type="dxa"/>
            <w:tcBorders>
              <w:top w:val="nil"/>
              <w:left w:val="nil"/>
              <w:bottom w:val="nil"/>
              <w:right w:val="nil"/>
            </w:tcBorders>
          </w:tcPr>
          <w:p w14:paraId="77DFEEB3" w14:textId="77777777" w:rsidR="00B86689" w:rsidRDefault="00B86689" w:rsidP="00240061">
            <w:pPr>
              <w:pStyle w:val="TableText"/>
              <w:spacing w:before="0" w:after="0"/>
            </w:pPr>
          </w:p>
        </w:tc>
      </w:tr>
      <w:tr w:rsidR="000D1077" w:rsidRPr="00D63217" w14:paraId="3DC4E96D" w14:textId="77777777" w:rsidTr="002F6837">
        <w:trPr>
          <w:cantSplit/>
        </w:trPr>
        <w:tc>
          <w:tcPr>
            <w:tcW w:w="1838" w:type="dxa"/>
            <w:tcBorders>
              <w:top w:val="single" w:sz="4" w:space="0" w:color="auto"/>
              <w:left w:val="nil"/>
              <w:bottom w:val="nil"/>
              <w:right w:val="nil"/>
            </w:tcBorders>
          </w:tcPr>
          <w:p w14:paraId="5F0342B1" w14:textId="04F3B74A" w:rsidR="000D1077" w:rsidRPr="00D63217" w:rsidRDefault="000D1077" w:rsidP="000D1077">
            <w:pPr>
              <w:pStyle w:val="TableText"/>
              <w:spacing w:before="0" w:after="0"/>
            </w:pPr>
            <w:r>
              <w:rPr>
                <w:szCs w:val="17"/>
              </w:rPr>
              <w:t>Combination products containing paraquat and amitrole</w:t>
            </w:r>
            <w:r>
              <w:rPr>
                <w:rStyle w:val="FootnoteReference"/>
                <w:szCs w:val="17"/>
              </w:rPr>
              <w:footnoteReference w:id="36"/>
            </w:r>
          </w:p>
        </w:tc>
        <w:tc>
          <w:tcPr>
            <w:tcW w:w="4899" w:type="dxa"/>
            <w:tcBorders>
              <w:top w:val="single" w:sz="4" w:space="0" w:color="auto"/>
              <w:left w:val="nil"/>
              <w:bottom w:val="nil"/>
              <w:right w:val="nil"/>
            </w:tcBorders>
          </w:tcPr>
          <w:p w14:paraId="1B226648" w14:textId="22AC3815" w:rsidR="000D1077" w:rsidRPr="00D63217" w:rsidRDefault="00AB01C0" w:rsidP="000D1077">
            <w:pPr>
              <w:pStyle w:val="TableText"/>
              <w:spacing w:before="0" w:after="0"/>
            </w:pPr>
            <w:r>
              <w:t>Potatoes (pre-harvest weed control) at rates &gt;226 g ac/ha; aid to cultivation, fallow establishment and maintenance (boomspray) at rates &gt;231 g ac/ha; fallow establishment and maintenance (optical spot sprayers) at rates &gt;770 g ac/ha</w:t>
            </w:r>
          </w:p>
        </w:tc>
        <w:tc>
          <w:tcPr>
            <w:tcW w:w="2891" w:type="dxa"/>
            <w:tcBorders>
              <w:top w:val="single" w:sz="4" w:space="0" w:color="auto"/>
              <w:left w:val="nil"/>
              <w:bottom w:val="nil"/>
              <w:right w:val="nil"/>
            </w:tcBorders>
          </w:tcPr>
          <w:p w14:paraId="11BA93CD" w14:textId="29008608" w:rsidR="000D1077" w:rsidRPr="00D63217" w:rsidRDefault="000D1077" w:rsidP="000D1077">
            <w:pPr>
              <w:pStyle w:val="TableText"/>
              <w:spacing w:before="0" w:after="0"/>
            </w:pPr>
            <w:r>
              <w:t>Unacceptable risk to birds</w:t>
            </w:r>
          </w:p>
        </w:tc>
      </w:tr>
      <w:tr w:rsidR="000D1077" w:rsidRPr="00D63217" w14:paraId="0802F0B3" w14:textId="77777777" w:rsidTr="002F6837">
        <w:trPr>
          <w:cantSplit/>
        </w:trPr>
        <w:tc>
          <w:tcPr>
            <w:tcW w:w="1838" w:type="dxa"/>
            <w:tcBorders>
              <w:top w:val="nil"/>
              <w:left w:val="nil"/>
              <w:bottom w:val="nil"/>
              <w:right w:val="nil"/>
            </w:tcBorders>
          </w:tcPr>
          <w:p w14:paraId="512766B5" w14:textId="77777777" w:rsidR="000D1077" w:rsidRDefault="000D1077" w:rsidP="000D1077">
            <w:pPr>
              <w:pStyle w:val="TableText"/>
              <w:spacing w:before="0" w:after="0"/>
              <w:rPr>
                <w:szCs w:val="17"/>
              </w:rPr>
            </w:pPr>
          </w:p>
        </w:tc>
        <w:tc>
          <w:tcPr>
            <w:tcW w:w="4899" w:type="dxa"/>
            <w:tcBorders>
              <w:top w:val="nil"/>
              <w:left w:val="nil"/>
              <w:bottom w:val="nil"/>
              <w:right w:val="nil"/>
            </w:tcBorders>
          </w:tcPr>
          <w:p w14:paraId="6F9C1707" w14:textId="549C0191" w:rsidR="000D1077" w:rsidRPr="00D63217" w:rsidRDefault="00AB01C0" w:rsidP="000D1077">
            <w:pPr>
              <w:pStyle w:val="TableText"/>
              <w:spacing w:before="0" w:after="0"/>
            </w:pPr>
            <w:r>
              <w:t>Hay freezing, orchards, pastures, spray topping to reduce seed set, vineyards at rates &gt;54 g ac/ha</w:t>
            </w:r>
          </w:p>
        </w:tc>
        <w:tc>
          <w:tcPr>
            <w:tcW w:w="2891" w:type="dxa"/>
            <w:tcBorders>
              <w:top w:val="nil"/>
              <w:left w:val="nil"/>
              <w:bottom w:val="nil"/>
              <w:right w:val="nil"/>
            </w:tcBorders>
          </w:tcPr>
          <w:p w14:paraId="522C4940" w14:textId="1422B80D" w:rsidR="000D1077" w:rsidRPr="00D63217" w:rsidRDefault="000D1077" w:rsidP="000D1077">
            <w:pPr>
              <w:pStyle w:val="TableText"/>
              <w:spacing w:before="0" w:after="0"/>
            </w:pPr>
            <w:r>
              <w:t>Unacceptable risk to mammals</w:t>
            </w:r>
          </w:p>
        </w:tc>
      </w:tr>
      <w:tr w:rsidR="000D1077" w:rsidRPr="00D63217" w14:paraId="417E19B4" w14:textId="77777777" w:rsidTr="002F6837">
        <w:trPr>
          <w:cantSplit/>
        </w:trPr>
        <w:tc>
          <w:tcPr>
            <w:tcW w:w="1838" w:type="dxa"/>
            <w:tcBorders>
              <w:top w:val="nil"/>
              <w:left w:val="nil"/>
              <w:bottom w:val="single" w:sz="4" w:space="0" w:color="auto"/>
              <w:right w:val="nil"/>
            </w:tcBorders>
          </w:tcPr>
          <w:p w14:paraId="2340AECA" w14:textId="77777777" w:rsidR="000D1077" w:rsidRPr="00D63217" w:rsidRDefault="000D1077" w:rsidP="000D1077">
            <w:pPr>
              <w:pStyle w:val="TableText"/>
              <w:spacing w:before="0" w:after="0"/>
            </w:pPr>
          </w:p>
        </w:tc>
        <w:tc>
          <w:tcPr>
            <w:tcW w:w="4899" w:type="dxa"/>
            <w:tcBorders>
              <w:top w:val="nil"/>
              <w:left w:val="nil"/>
              <w:bottom w:val="single" w:sz="4" w:space="0" w:color="auto"/>
              <w:right w:val="nil"/>
            </w:tcBorders>
          </w:tcPr>
          <w:p w14:paraId="037E32E9" w14:textId="1463173F" w:rsidR="000D1077" w:rsidRPr="00D63217" w:rsidRDefault="00AB01C0" w:rsidP="000D1077">
            <w:pPr>
              <w:pStyle w:val="TableText"/>
              <w:spacing w:before="0" w:after="0"/>
            </w:pPr>
            <w:r>
              <w:t>Potatoes (pre-harvest weed control) at rates &gt;363 g ac/ha; orchards, vineyards at rates &gt;377 g ac/ha</w:t>
            </w:r>
          </w:p>
        </w:tc>
        <w:tc>
          <w:tcPr>
            <w:tcW w:w="2891" w:type="dxa"/>
            <w:tcBorders>
              <w:top w:val="nil"/>
              <w:left w:val="nil"/>
              <w:bottom w:val="single" w:sz="4" w:space="0" w:color="auto"/>
              <w:right w:val="nil"/>
            </w:tcBorders>
          </w:tcPr>
          <w:p w14:paraId="1B73B89D" w14:textId="12FB87B8" w:rsidR="000D1077" w:rsidRPr="00D63217" w:rsidRDefault="000D1077" w:rsidP="000D1077">
            <w:pPr>
              <w:pStyle w:val="TableText"/>
              <w:spacing w:before="0" w:after="0"/>
            </w:pPr>
            <w:r>
              <w:t>Unacceptable risk to birds and mammals</w:t>
            </w:r>
          </w:p>
        </w:tc>
      </w:tr>
    </w:tbl>
    <w:p w14:paraId="01BBDE14" w14:textId="77777777" w:rsidR="00087F7B" w:rsidRDefault="00087F7B" w:rsidP="00087F7B">
      <w:pPr>
        <w:pStyle w:val="NormalText"/>
        <w:sectPr w:rsidR="00087F7B" w:rsidSect="003023C5">
          <w:headerReference w:type="even" r:id="rId48"/>
          <w:headerReference w:type="default" r:id="rId49"/>
          <w:pgSz w:w="11906" w:h="16838" w:code="9"/>
          <w:pgMar w:top="2835" w:right="1134" w:bottom="1134" w:left="1134" w:header="1701" w:footer="680" w:gutter="0"/>
          <w:cols w:space="708"/>
          <w:docGrid w:linePitch="360"/>
        </w:sectPr>
      </w:pPr>
      <w:bookmarkStart w:id="584" w:name="_Toc144468331"/>
      <w:bookmarkStart w:id="585" w:name="_Toc156980637"/>
      <w:bookmarkStart w:id="586" w:name="_Toc157602769"/>
    </w:p>
    <w:p w14:paraId="30751122" w14:textId="32CCB4B3" w:rsidR="005D0E7A" w:rsidRPr="00087F7B" w:rsidRDefault="005D0E7A" w:rsidP="00087F7B">
      <w:pPr>
        <w:pStyle w:val="Heading1"/>
      </w:pPr>
      <w:bookmarkStart w:id="587" w:name="_Toc231480924"/>
      <w:bookmarkStart w:id="588" w:name="_Toc233036476"/>
      <w:r w:rsidRPr="00087F7B">
        <w:lastRenderedPageBreak/>
        <w:t>Spray drift</w:t>
      </w:r>
      <w:bookmarkEnd w:id="584"/>
      <w:bookmarkEnd w:id="585"/>
      <w:bookmarkEnd w:id="586"/>
      <w:bookmarkEnd w:id="587"/>
      <w:bookmarkEnd w:id="588"/>
    </w:p>
    <w:p w14:paraId="161F08F1" w14:textId="50FFF17B" w:rsidR="005D0E7A" w:rsidRPr="00D63217" w:rsidRDefault="005D0E7A" w:rsidP="005D0E7A">
      <w:pPr>
        <w:pStyle w:val="NormalText"/>
      </w:pPr>
      <w:r w:rsidRPr="00D63217">
        <w:t xml:space="preserve">The APVMA’s approach to spray drift management set out in the </w:t>
      </w:r>
      <w:hyperlink r:id="rId50" w:history="1">
        <w:r w:rsidRPr="00D63217">
          <w:rPr>
            <w:rStyle w:val="Hyperlink"/>
          </w:rPr>
          <w:t>APVMA Spray Drift Policy July 2019</w:t>
        </w:r>
      </w:hyperlink>
      <w:r w:rsidRPr="00D63217">
        <w:t xml:space="preserve"> specifies consideration of spray drift in bystander areas, livestock areas, natural aquatic areas, pollinator areas and vegetation areas. The regulatory acceptable levels (RALs) for each area</w:t>
      </w:r>
      <w:r w:rsidR="008A20FE" w:rsidRPr="00D63217">
        <w:t xml:space="preserve"> for paraquat </w:t>
      </w:r>
      <w:r w:rsidR="008C6EF2">
        <w:t xml:space="preserve">as </w:t>
      </w:r>
      <w:r w:rsidRPr="00D63217">
        <w:t>summarised in</w:t>
      </w:r>
      <w:r w:rsidR="0093687E">
        <w:t xml:space="preserve"> </w:t>
      </w:r>
      <w:r w:rsidR="0093687E">
        <w:fldChar w:fldCharType="begin"/>
      </w:r>
      <w:r w:rsidR="0093687E">
        <w:instrText xml:space="preserve"> REF _Ref228438112 \h </w:instrText>
      </w:r>
      <w:r w:rsidR="0093687E">
        <w:fldChar w:fldCharType="separate"/>
      </w:r>
      <w:r w:rsidR="008A397D" w:rsidRPr="00D63217">
        <w:t xml:space="preserve">Table </w:t>
      </w:r>
      <w:r w:rsidR="008A397D">
        <w:rPr>
          <w:noProof/>
        </w:rPr>
        <w:t>48</w:t>
      </w:r>
      <w:r w:rsidR="0093687E">
        <w:fldChar w:fldCharType="end"/>
      </w:r>
      <w:r w:rsidRPr="00D63217">
        <w:t xml:space="preserve"> </w:t>
      </w:r>
      <w:r w:rsidR="008C6EF2">
        <w:t xml:space="preserve">define </w:t>
      </w:r>
      <w:r w:rsidRPr="00D63217">
        <w:t>the maximum amount of spray drift exposure that is not expected to cause undue harm to sensitive areas.</w:t>
      </w:r>
    </w:p>
    <w:p w14:paraId="3FA6B2E2" w14:textId="7CBDF81F" w:rsidR="005D0E7A" w:rsidRPr="00087F7B" w:rsidRDefault="005D0E7A" w:rsidP="00087F7B">
      <w:pPr>
        <w:pStyle w:val="Caption"/>
      </w:pPr>
      <w:bookmarkStart w:id="589" w:name="_Ref228438112"/>
      <w:bookmarkStart w:id="590" w:name="_Toc230692314"/>
      <w:bookmarkStart w:id="591" w:name="_Toc233036535"/>
      <w:r w:rsidRPr="00087F7B">
        <w:t xml:space="preserve">Table </w:t>
      </w:r>
      <w:fldSimple w:instr=" SEQ Table \* ARABIC ">
        <w:r w:rsidR="00087F7B">
          <w:rPr>
            <w:noProof/>
          </w:rPr>
          <w:t>48</w:t>
        </w:r>
      </w:fldSimple>
      <w:bookmarkEnd w:id="589"/>
      <w:r w:rsidRPr="00087F7B">
        <w:t>: Regulatory acceptable levels of paraquat resulting from spray drift</w:t>
      </w:r>
      <w:bookmarkEnd w:id="590"/>
      <w:bookmarkEnd w:id="591"/>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5D0E7A" w:rsidRPr="00D63217" w14:paraId="1B4FA030" w14:textId="77777777" w:rsidTr="00BF4B43">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79295DD1" w14:textId="77777777" w:rsidR="005D0E7A" w:rsidRPr="00D63217" w:rsidRDefault="005D0E7A" w:rsidP="005D0E7A">
            <w:pPr>
              <w:pStyle w:val="TableHead"/>
            </w:pPr>
            <w:r w:rsidRPr="00D63217">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43011356" w14:textId="77777777" w:rsidR="005D0E7A" w:rsidRPr="00D63217" w:rsidRDefault="005D0E7A" w:rsidP="005D0E7A">
            <w:pPr>
              <w:pStyle w:val="TableHead"/>
            </w:pPr>
            <w:r w:rsidRPr="00D63217">
              <w:t>Regulatory acceptable level</w:t>
            </w:r>
          </w:p>
        </w:tc>
      </w:tr>
      <w:tr w:rsidR="005D0E7A" w:rsidRPr="00D63217" w14:paraId="24BA8D78" w14:textId="77777777" w:rsidTr="00BF4B43">
        <w:tc>
          <w:tcPr>
            <w:tcW w:w="2140" w:type="pct"/>
            <w:tcBorders>
              <w:top w:val="single" w:sz="4" w:space="0" w:color="auto"/>
              <w:bottom w:val="single" w:sz="4" w:space="0" w:color="auto"/>
            </w:tcBorders>
            <w:tcMar>
              <w:top w:w="0" w:type="dxa"/>
              <w:left w:w="108" w:type="dxa"/>
              <w:bottom w:w="0" w:type="dxa"/>
              <w:right w:w="108" w:type="dxa"/>
            </w:tcMar>
            <w:hideMark/>
          </w:tcPr>
          <w:p w14:paraId="58C11206" w14:textId="77777777" w:rsidR="005D0E7A" w:rsidRPr="00D63217" w:rsidRDefault="005D0E7A" w:rsidP="005D0E7A">
            <w:pPr>
              <w:pStyle w:val="TableText"/>
            </w:pPr>
            <w:r w:rsidRPr="00D63217">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01DD600D" w14:textId="7AE4E7CD" w:rsidR="005D0E7A" w:rsidRPr="00D63217" w:rsidRDefault="005D0E7A" w:rsidP="005D0E7A">
            <w:pPr>
              <w:pStyle w:val="TableText"/>
            </w:pPr>
            <w:r w:rsidRPr="00D63217">
              <w:t>0.</w:t>
            </w:r>
            <w:r w:rsidR="00D51EA7">
              <w:t>15</w:t>
            </w:r>
            <w:r w:rsidRPr="00D63217">
              <w:t xml:space="preserve"> µg ac/L</w:t>
            </w:r>
          </w:p>
        </w:tc>
      </w:tr>
      <w:tr w:rsidR="005D0E7A" w:rsidRPr="00D63217" w14:paraId="0A0F8E91" w14:textId="77777777" w:rsidTr="00BF4B43">
        <w:tc>
          <w:tcPr>
            <w:tcW w:w="2140" w:type="pct"/>
            <w:tcBorders>
              <w:top w:val="single" w:sz="4" w:space="0" w:color="auto"/>
              <w:bottom w:val="single" w:sz="4" w:space="0" w:color="auto"/>
            </w:tcBorders>
            <w:tcMar>
              <w:top w:w="0" w:type="dxa"/>
              <w:left w:w="108" w:type="dxa"/>
              <w:bottom w:w="0" w:type="dxa"/>
              <w:right w:w="108" w:type="dxa"/>
            </w:tcMar>
            <w:hideMark/>
          </w:tcPr>
          <w:p w14:paraId="23D1F7A9" w14:textId="77777777" w:rsidR="005D0E7A" w:rsidRPr="00D63217" w:rsidRDefault="005D0E7A" w:rsidP="005D0E7A">
            <w:pPr>
              <w:pStyle w:val="TableText"/>
            </w:pPr>
            <w:r w:rsidRPr="00D63217">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916C850" w14:textId="77777777" w:rsidR="005D0E7A" w:rsidRPr="00D63217" w:rsidRDefault="005D0E7A" w:rsidP="005D0E7A">
            <w:pPr>
              <w:pStyle w:val="TableText"/>
            </w:pPr>
            <w:r w:rsidRPr="00D63217">
              <w:t>2667 g ac/ha</w:t>
            </w:r>
          </w:p>
        </w:tc>
      </w:tr>
      <w:tr w:rsidR="005D0E7A" w:rsidRPr="00D63217" w14:paraId="4151A87E" w14:textId="77777777" w:rsidTr="00BF4B43">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11DCFA90" w14:textId="77777777" w:rsidR="005D0E7A" w:rsidRPr="00D63217" w:rsidRDefault="005D0E7A" w:rsidP="005D0E7A">
            <w:pPr>
              <w:pStyle w:val="TableText"/>
            </w:pPr>
            <w:r w:rsidRPr="00D63217">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65852E64" w14:textId="332B05D9" w:rsidR="005D0E7A" w:rsidRPr="00D63217" w:rsidRDefault="005D0E7A" w:rsidP="005D0E7A">
            <w:pPr>
              <w:pStyle w:val="TableText"/>
            </w:pPr>
            <w:r w:rsidRPr="00D63217">
              <w:t>1</w:t>
            </w:r>
            <w:r w:rsidR="00D51EA7">
              <w:t>1</w:t>
            </w:r>
            <w:r w:rsidRPr="00D63217">
              <w:t xml:space="preserve"> g ac/ha</w:t>
            </w:r>
          </w:p>
        </w:tc>
      </w:tr>
      <w:tr w:rsidR="005D0E7A" w:rsidRPr="00D63217" w14:paraId="3C65FD29" w14:textId="77777777" w:rsidTr="00BF4B43">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74B9AE68" w14:textId="77777777" w:rsidR="005D0E7A" w:rsidRPr="00D63217" w:rsidRDefault="005D0E7A" w:rsidP="005D0E7A">
            <w:pPr>
              <w:pStyle w:val="TableText"/>
            </w:pPr>
            <w:r w:rsidRPr="00D63217">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1264B44F" w14:textId="0AB46AB1" w:rsidR="005D0E7A" w:rsidRPr="00D63217" w:rsidRDefault="00347C98" w:rsidP="005D0E7A">
            <w:pPr>
              <w:pStyle w:val="TableText"/>
            </w:pPr>
            <w:r w:rsidRPr="00D63217">
              <w:t>5.21 g ac/ha</w:t>
            </w:r>
          </w:p>
        </w:tc>
      </w:tr>
      <w:tr w:rsidR="005D0E7A" w:rsidRPr="00D63217" w14:paraId="24F3B309" w14:textId="77777777" w:rsidTr="00BF4B43">
        <w:tc>
          <w:tcPr>
            <w:tcW w:w="2140" w:type="pct"/>
            <w:tcBorders>
              <w:top w:val="single" w:sz="4" w:space="0" w:color="auto"/>
            </w:tcBorders>
            <w:tcMar>
              <w:top w:w="0" w:type="dxa"/>
              <w:left w:w="108" w:type="dxa"/>
              <w:bottom w:w="0" w:type="dxa"/>
              <w:right w:w="108" w:type="dxa"/>
            </w:tcMar>
            <w:hideMark/>
          </w:tcPr>
          <w:p w14:paraId="2FADEC28" w14:textId="77777777" w:rsidR="005D0E7A" w:rsidRPr="00D63217" w:rsidRDefault="005D0E7A" w:rsidP="005D0E7A">
            <w:pPr>
              <w:pStyle w:val="TableText"/>
            </w:pPr>
            <w:r w:rsidRPr="00D63217">
              <w:t>Livestock areas</w:t>
            </w:r>
          </w:p>
        </w:tc>
        <w:tc>
          <w:tcPr>
            <w:tcW w:w="2860" w:type="pct"/>
            <w:tcBorders>
              <w:top w:val="single" w:sz="4" w:space="0" w:color="auto"/>
            </w:tcBorders>
            <w:tcMar>
              <w:top w:w="0" w:type="dxa"/>
              <w:left w:w="108" w:type="dxa"/>
              <w:bottom w:w="0" w:type="dxa"/>
              <w:right w:w="108" w:type="dxa"/>
            </w:tcMar>
            <w:hideMark/>
          </w:tcPr>
          <w:p w14:paraId="3E498157" w14:textId="08A23D29" w:rsidR="005D0E7A" w:rsidRPr="00D63217" w:rsidRDefault="00BF0F06" w:rsidP="005D0E7A">
            <w:pPr>
              <w:pStyle w:val="TableText"/>
            </w:pPr>
            <w:r w:rsidRPr="00D63217">
              <w:t>9.62</w:t>
            </w:r>
            <w:r w:rsidR="005D0E7A" w:rsidRPr="00D63217">
              <w:t xml:space="preserve"> mg/kg</w:t>
            </w:r>
          </w:p>
        </w:tc>
      </w:tr>
    </w:tbl>
    <w:p w14:paraId="34281E3C" w14:textId="466DBEC6" w:rsidR="005D0E7A" w:rsidRPr="00D63217" w:rsidRDefault="005D0E7A" w:rsidP="005D0E7A">
      <w:pPr>
        <w:pStyle w:val="NormalText"/>
      </w:pPr>
      <w:r w:rsidRPr="00D63217">
        <w:t>The APVMA has considered spray drift implications for uses of paraquat that are supported by worker health and safety, residues, trade and environmental risk assessments. These uses include:</w:t>
      </w:r>
    </w:p>
    <w:p w14:paraId="47BDDADC" w14:textId="4EAE1E0E" w:rsidR="004165EA" w:rsidRPr="00D63217" w:rsidRDefault="0063692A" w:rsidP="00087F7B">
      <w:pPr>
        <w:pStyle w:val="Bullet1"/>
      </w:pPr>
      <w:r w:rsidRPr="00D63217">
        <w:t>f</w:t>
      </w:r>
      <w:r w:rsidR="004165EA" w:rsidRPr="00D63217">
        <w:t>allows establishment and aid to cultivation</w:t>
      </w:r>
    </w:p>
    <w:p w14:paraId="5D3B0E1D" w14:textId="70A07F79" w:rsidR="004165EA" w:rsidRPr="00D63217" w:rsidRDefault="0063692A" w:rsidP="00087F7B">
      <w:pPr>
        <w:pStyle w:val="Bullet1"/>
      </w:pPr>
      <w:r w:rsidRPr="00D63217">
        <w:t>s</w:t>
      </w:r>
      <w:r w:rsidR="004165EA" w:rsidRPr="00D63217">
        <w:t>pray-topping to reduce seed set</w:t>
      </w:r>
    </w:p>
    <w:p w14:paraId="5F5FD42D" w14:textId="4FDAD35F" w:rsidR="004165EA" w:rsidRPr="00D63217" w:rsidRDefault="0063692A" w:rsidP="00087F7B">
      <w:pPr>
        <w:pStyle w:val="Bullet1"/>
      </w:pPr>
      <w:r w:rsidRPr="00D63217">
        <w:t>i</w:t>
      </w:r>
      <w:r w:rsidR="004165EA" w:rsidRPr="00D63217">
        <w:t>nter-row sprays in banana plantations</w:t>
      </w:r>
    </w:p>
    <w:p w14:paraId="3C68CE21" w14:textId="0E8CB891" w:rsidR="004165EA" w:rsidRPr="00D63217" w:rsidRDefault="0063692A" w:rsidP="00087F7B">
      <w:pPr>
        <w:pStyle w:val="Bullet1"/>
      </w:pPr>
      <w:r w:rsidRPr="00D63217">
        <w:t>g</w:t>
      </w:r>
      <w:r w:rsidR="004165EA" w:rsidRPr="00D63217">
        <w:t>eneral post-sowing, pre-crop-emergence weed control in rice</w:t>
      </w:r>
      <w:r w:rsidRPr="00D63217">
        <w:t>.</w:t>
      </w:r>
    </w:p>
    <w:p w14:paraId="01EF7FD3" w14:textId="2FD09152" w:rsidR="008A20FE" w:rsidRPr="00D63217" w:rsidRDefault="008A20FE" w:rsidP="008A20FE">
      <w:pPr>
        <w:pStyle w:val="NormalText"/>
      </w:pPr>
      <w:r w:rsidRPr="00D63217">
        <w:t xml:space="preserve">The APVMA has also considered the spray drift risk resulting from combined toxicity of paraquat and diquat present in chemical products co-formulated with both active constituents. The regulatory acceptable levels of the co-formulated products, accounting for the combined toxicity of both paraquat and diquat are listed in </w:t>
      </w:r>
      <w:r w:rsidR="009D6AB1">
        <w:fldChar w:fldCharType="begin"/>
      </w:r>
      <w:r w:rsidR="009D6AB1">
        <w:instrText xml:space="preserve"> REF _Ref163654667 \h </w:instrText>
      </w:r>
      <w:r w:rsidR="009D6AB1">
        <w:fldChar w:fldCharType="separate"/>
      </w:r>
      <w:r w:rsidR="008A397D" w:rsidRPr="00D63217">
        <w:t xml:space="preserve">Table </w:t>
      </w:r>
      <w:r w:rsidR="008A397D">
        <w:rPr>
          <w:noProof/>
        </w:rPr>
        <w:t>49</w:t>
      </w:r>
      <w:r w:rsidR="009D6AB1">
        <w:fldChar w:fldCharType="end"/>
      </w:r>
      <w:r w:rsidR="009D6AB1">
        <w:t>.</w:t>
      </w:r>
    </w:p>
    <w:p w14:paraId="27BE7ED3" w14:textId="4850A334" w:rsidR="008A20FE" w:rsidRPr="00087F7B" w:rsidRDefault="008A20FE" w:rsidP="00087F7B">
      <w:pPr>
        <w:pStyle w:val="Caption"/>
      </w:pPr>
      <w:bookmarkStart w:id="592" w:name="_Ref163654667"/>
      <w:bookmarkStart w:id="593" w:name="_Toc230692315"/>
      <w:bookmarkStart w:id="594" w:name="_Toc233036536"/>
      <w:r w:rsidRPr="00087F7B">
        <w:t xml:space="preserve">Table </w:t>
      </w:r>
      <w:fldSimple w:instr=" SEQ Table \* ARABIC ">
        <w:r w:rsidR="00087F7B">
          <w:rPr>
            <w:noProof/>
          </w:rPr>
          <w:t>49</w:t>
        </w:r>
      </w:fldSimple>
      <w:bookmarkEnd w:id="592"/>
      <w:r w:rsidRPr="00087F7B">
        <w:t>: Regulatory acceptable levels of paraquat and diquat resulting from spray drift of chemical products co-formulated with both active constituents</w:t>
      </w:r>
      <w:bookmarkEnd w:id="593"/>
      <w:bookmarkEnd w:id="594"/>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065499" w:rsidRPr="00D63217" w14:paraId="47154AE0" w14:textId="77777777" w:rsidTr="00C0225D">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52143786" w14:textId="77777777" w:rsidR="008A20FE" w:rsidRPr="00D63217" w:rsidRDefault="008A20FE" w:rsidP="00DA171F">
            <w:pPr>
              <w:pStyle w:val="TableHead"/>
            </w:pPr>
            <w:r w:rsidRPr="00D63217">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6CA2E578" w14:textId="77777777" w:rsidR="008A20FE" w:rsidRPr="00D63217" w:rsidRDefault="008A20FE" w:rsidP="00DA171F">
            <w:pPr>
              <w:pStyle w:val="TableHead"/>
            </w:pPr>
            <w:r w:rsidRPr="00D63217">
              <w:t>Regulatory acceptable level</w:t>
            </w:r>
          </w:p>
        </w:tc>
      </w:tr>
      <w:tr w:rsidR="00065499" w:rsidRPr="00D63217" w14:paraId="6C364472" w14:textId="77777777" w:rsidTr="00C0225D">
        <w:tc>
          <w:tcPr>
            <w:tcW w:w="2140" w:type="pct"/>
            <w:tcBorders>
              <w:top w:val="single" w:sz="4" w:space="0" w:color="auto"/>
              <w:bottom w:val="single" w:sz="4" w:space="0" w:color="auto"/>
            </w:tcBorders>
            <w:tcMar>
              <w:top w:w="0" w:type="dxa"/>
              <w:left w:w="108" w:type="dxa"/>
              <w:bottom w:w="0" w:type="dxa"/>
              <w:right w:w="108" w:type="dxa"/>
            </w:tcMar>
            <w:hideMark/>
          </w:tcPr>
          <w:p w14:paraId="7885C133" w14:textId="77777777" w:rsidR="008A20FE" w:rsidRPr="00D63217" w:rsidRDefault="008A20FE" w:rsidP="00C0225D">
            <w:pPr>
              <w:pStyle w:val="TableText"/>
            </w:pPr>
            <w:r w:rsidRPr="00D63217">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3E51C840" w14:textId="46EE90E9" w:rsidR="008A20FE" w:rsidRPr="00D63217" w:rsidRDefault="00D51EA7" w:rsidP="00C0225D">
            <w:pPr>
              <w:pStyle w:val="TableText"/>
            </w:pPr>
            <w:r>
              <w:t>1.0</w:t>
            </w:r>
            <w:r w:rsidR="008A20FE" w:rsidRPr="00D63217">
              <w:t xml:space="preserve"> µg ac/L</w:t>
            </w:r>
          </w:p>
        </w:tc>
      </w:tr>
      <w:tr w:rsidR="00065499" w:rsidRPr="00D63217" w14:paraId="3D47E23E" w14:textId="77777777" w:rsidTr="00C0225D">
        <w:tc>
          <w:tcPr>
            <w:tcW w:w="2140" w:type="pct"/>
            <w:tcBorders>
              <w:top w:val="single" w:sz="4" w:space="0" w:color="auto"/>
              <w:bottom w:val="single" w:sz="4" w:space="0" w:color="auto"/>
            </w:tcBorders>
            <w:tcMar>
              <w:top w:w="0" w:type="dxa"/>
              <w:left w:w="108" w:type="dxa"/>
              <w:bottom w:w="0" w:type="dxa"/>
              <w:right w:w="108" w:type="dxa"/>
            </w:tcMar>
            <w:hideMark/>
          </w:tcPr>
          <w:p w14:paraId="4B8573ED" w14:textId="77777777" w:rsidR="008A20FE" w:rsidRPr="00D63217" w:rsidRDefault="008A20FE" w:rsidP="00C0225D">
            <w:pPr>
              <w:pStyle w:val="TableText"/>
            </w:pPr>
            <w:r w:rsidRPr="00D63217">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9BD31AC" w14:textId="13B9E3FA" w:rsidR="008A20FE" w:rsidRPr="00D63217" w:rsidRDefault="00AA79B4" w:rsidP="00C0225D">
            <w:pPr>
              <w:pStyle w:val="TableText"/>
            </w:pPr>
            <w:r w:rsidRPr="00D63217">
              <w:t>4333</w:t>
            </w:r>
            <w:r w:rsidR="008A20FE" w:rsidRPr="00D63217">
              <w:t xml:space="preserve"> g ac/ha</w:t>
            </w:r>
          </w:p>
        </w:tc>
      </w:tr>
      <w:tr w:rsidR="00065499" w:rsidRPr="00D63217" w14:paraId="62D7E391" w14:textId="77777777" w:rsidTr="00C0225D">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696E0EB9" w14:textId="77777777" w:rsidR="008A20FE" w:rsidRPr="00D63217" w:rsidRDefault="008A20FE" w:rsidP="00C0225D">
            <w:pPr>
              <w:pStyle w:val="TableText"/>
            </w:pPr>
            <w:r w:rsidRPr="00D63217">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3E37B6C2" w14:textId="0E87B0FC" w:rsidR="008A20FE" w:rsidRPr="00D63217" w:rsidRDefault="008A20FE" w:rsidP="00C0225D">
            <w:pPr>
              <w:pStyle w:val="TableText"/>
            </w:pPr>
            <w:r w:rsidRPr="00D63217">
              <w:t>1</w:t>
            </w:r>
            <w:r w:rsidR="00D51EA7">
              <w:t>5</w:t>
            </w:r>
            <w:r w:rsidRPr="00D63217">
              <w:t xml:space="preserve"> g ac/ha</w:t>
            </w:r>
          </w:p>
        </w:tc>
      </w:tr>
      <w:tr w:rsidR="00065499" w:rsidRPr="00D63217" w14:paraId="482E7FD5" w14:textId="77777777" w:rsidTr="00C0225D">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779FD549" w14:textId="77777777" w:rsidR="008A20FE" w:rsidRPr="00D63217" w:rsidRDefault="008A20FE" w:rsidP="00C0225D">
            <w:pPr>
              <w:pStyle w:val="TableText"/>
            </w:pPr>
            <w:r w:rsidRPr="00D63217">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49C63DF1" w14:textId="6AD6C89A" w:rsidR="008A20FE" w:rsidRPr="00D63217" w:rsidRDefault="00334A1E" w:rsidP="00C0225D">
            <w:pPr>
              <w:pStyle w:val="TableText"/>
            </w:pPr>
            <w:r w:rsidRPr="00D63217">
              <w:t>4.49</w:t>
            </w:r>
            <w:r w:rsidR="00347C98" w:rsidRPr="00D63217">
              <w:t xml:space="preserve"> g ac/ha</w:t>
            </w:r>
          </w:p>
        </w:tc>
      </w:tr>
      <w:tr w:rsidR="00347C98" w:rsidRPr="00D63217" w14:paraId="2BDB0342" w14:textId="77777777" w:rsidTr="00C0225D">
        <w:tc>
          <w:tcPr>
            <w:tcW w:w="2140" w:type="pct"/>
            <w:tcBorders>
              <w:top w:val="single" w:sz="4" w:space="0" w:color="auto"/>
            </w:tcBorders>
            <w:tcMar>
              <w:top w:w="0" w:type="dxa"/>
              <w:left w:w="108" w:type="dxa"/>
              <w:bottom w:w="0" w:type="dxa"/>
              <w:right w:w="108" w:type="dxa"/>
            </w:tcMar>
            <w:hideMark/>
          </w:tcPr>
          <w:p w14:paraId="0A4CF8DE" w14:textId="77777777" w:rsidR="00347C98" w:rsidRPr="00D63217" w:rsidRDefault="00347C98" w:rsidP="00347C98">
            <w:pPr>
              <w:pStyle w:val="TableText"/>
            </w:pPr>
            <w:r w:rsidRPr="00D63217">
              <w:t>Livestock areas</w:t>
            </w:r>
          </w:p>
        </w:tc>
        <w:tc>
          <w:tcPr>
            <w:tcW w:w="2860" w:type="pct"/>
            <w:tcBorders>
              <w:top w:val="single" w:sz="4" w:space="0" w:color="auto"/>
            </w:tcBorders>
            <w:tcMar>
              <w:top w:w="0" w:type="dxa"/>
              <w:left w:w="108" w:type="dxa"/>
              <w:bottom w:w="0" w:type="dxa"/>
              <w:right w:w="108" w:type="dxa"/>
            </w:tcMar>
            <w:hideMark/>
          </w:tcPr>
          <w:p w14:paraId="45F41093" w14:textId="2B65D2E7" w:rsidR="00347C98" w:rsidRPr="00D63217" w:rsidRDefault="00334A1E" w:rsidP="00347C98">
            <w:pPr>
              <w:pStyle w:val="TableText"/>
            </w:pPr>
            <w:r w:rsidRPr="00D63217">
              <w:t>17.8</w:t>
            </w:r>
            <w:r w:rsidR="00347C98" w:rsidRPr="00D63217">
              <w:t xml:space="preserve"> mg/kg</w:t>
            </w:r>
          </w:p>
        </w:tc>
      </w:tr>
    </w:tbl>
    <w:p w14:paraId="03D32C47" w14:textId="5FC2AAE7" w:rsidR="008A20FE" w:rsidRPr="00D63217" w:rsidRDefault="008A20FE" w:rsidP="008A20FE">
      <w:pPr>
        <w:pStyle w:val="NormalText"/>
      </w:pPr>
      <w:r w:rsidRPr="00D63217">
        <w:lastRenderedPageBreak/>
        <w:t xml:space="preserve">Uses of products that contain both paraquat and diquat which are supported by </w:t>
      </w:r>
      <w:r w:rsidR="009116C1" w:rsidRPr="00D63217">
        <w:t xml:space="preserve">worker health and safety, residues, trade and environmental risk assessments are limited to fallows establishment and aid to cultivation at rates </w:t>
      </w:r>
      <w:r w:rsidR="00AA79B4" w:rsidRPr="00D63217">
        <w:t xml:space="preserve">up to </w:t>
      </w:r>
      <w:r w:rsidR="00620ACA">
        <w:t>251</w:t>
      </w:r>
      <w:r w:rsidR="00620ACA" w:rsidRPr="00D63217">
        <w:t xml:space="preserve"> </w:t>
      </w:r>
      <w:r w:rsidR="00AA79B4" w:rsidRPr="00D63217">
        <w:t>g combined active constituents (acs) per hectare (</w:t>
      </w:r>
      <w:r w:rsidR="00620ACA">
        <w:t>251</w:t>
      </w:r>
      <w:r w:rsidR="00620ACA" w:rsidRPr="00D63217">
        <w:t xml:space="preserve"> </w:t>
      </w:r>
      <w:r w:rsidR="00AA79B4" w:rsidRPr="00D63217">
        <w:t>g acs/ha).</w:t>
      </w:r>
    </w:p>
    <w:p w14:paraId="299E534E" w14:textId="318D7D61" w:rsidR="00D51EA7" w:rsidRDefault="00883134" w:rsidP="00B56C38">
      <w:pPr>
        <w:pStyle w:val="NormalText"/>
      </w:pPr>
      <w:bookmarkStart w:id="595" w:name="_Hlk161751447"/>
      <w:r w:rsidRPr="00D63217">
        <w:t xml:space="preserve">Based on the acceptable uses </w:t>
      </w:r>
      <w:r w:rsidR="000D08B5" w:rsidRPr="00D63217">
        <w:t>t</w:t>
      </w:r>
      <w:r w:rsidRPr="00D63217">
        <w:t>he following spray drift restraints and downwind buffer zones would be required for application of paraquat products at the rates listed</w:t>
      </w:r>
      <w:r w:rsidR="0013597C" w:rsidRPr="00D63217">
        <w:t xml:space="preserve"> in</w:t>
      </w:r>
      <w:r w:rsidR="00497F5A" w:rsidRPr="00D63217">
        <w:t xml:space="preserve"> </w:t>
      </w:r>
      <w:r w:rsidR="00620ACA">
        <w:fldChar w:fldCharType="begin"/>
      </w:r>
      <w:r w:rsidR="00620ACA">
        <w:instrText xml:space="preserve"> REF _Ref227829753 \h </w:instrText>
      </w:r>
      <w:r w:rsidR="00620ACA">
        <w:fldChar w:fldCharType="separate"/>
      </w:r>
      <w:r w:rsidR="008A397D">
        <w:t xml:space="preserve">Table </w:t>
      </w:r>
      <w:r w:rsidR="008A397D">
        <w:rPr>
          <w:noProof/>
        </w:rPr>
        <w:t>50</w:t>
      </w:r>
      <w:r w:rsidR="00620ACA">
        <w:fldChar w:fldCharType="end"/>
      </w:r>
      <w:r w:rsidR="00620ACA">
        <w:t xml:space="preserve"> </w:t>
      </w:r>
      <w:r w:rsidR="00C0077E" w:rsidRPr="00D63217">
        <w:t>and for combination products containing paraquat and diquat in</w:t>
      </w:r>
      <w:r w:rsidR="00D51EA7">
        <w:t xml:space="preserve"> </w:t>
      </w:r>
      <w:r w:rsidR="009D6AB1">
        <w:fldChar w:fldCharType="begin"/>
      </w:r>
      <w:r w:rsidR="009D6AB1">
        <w:instrText xml:space="preserve"> REF _Ref227828432 \h </w:instrText>
      </w:r>
      <w:r w:rsidR="009D6AB1">
        <w:fldChar w:fldCharType="separate"/>
      </w:r>
      <w:r w:rsidR="008A397D">
        <w:t xml:space="preserve">Table </w:t>
      </w:r>
      <w:r w:rsidR="008A397D">
        <w:rPr>
          <w:noProof/>
        </w:rPr>
        <w:t>51</w:t>
      </w:r>
      <w:r w:rsidR="009D6AB1">
        <w:fldChar w:fldCharType="end"/>
      </w:r>
      <w:r w:rsidR="009D6AB1">
        <w:t>.</w:t>
      </w:r>
    </w:p>
    <w:p w14:paraId="1D94E802" w14:textId="77777777" w:rsidR="00620ACA" w:rsidRPr="00D63217" w:rsidRDefault="00620ACA" w:rsidP="00620ACA">
      <w:pPr>
        <w:pStyle w:val="NormalText"/>
      </w:pPr>
      <w:r w:rsidRPr="00D63217">
        <w:t>SPRAY DRIFT RESTRAINTS</w:t>
      </w:r>
    </w:p>
    <w:p w14:paraId="74954CFF" w14:textId="706AC94D" w:rsidR="00620ACA" w:rsidRPr="00D63217" w:rsidRDefault="00620ACA" w:rsidP="00620ACA">
      <w:pPr>
        <w:pStyle w:val="NormalText"/>
      </w:pPr>
      <w:r w:rsidRPr="00D63217">
        <w:t>Specific definitions for terms used in this section of the label can be found at apvma.gov.au/spraydrift</w:t>
      </w:r>
      <w:r w:rsidR="00087F7B">
        <w:t>.</w:t>
      </w:r>
    </w:p>
    <w:p w14:paraId="1EB7BC4A" w14:textId="77777777" w:rsidR="00620ACA" w:rsidRPr="00D63217" w:rsidRDefault="00620ACA" w:rsidP="00620ACA">
      <w:pPr>
        <w:pStyle w:val="NormalText"/>
      </w:pPr>
      <w:r w:rsidRPr="00D63217">
        <w:t>DO NOT allow bystanders to come into contact with the spray cloud.</w:t>
      </w:r>
    </w:p>
    <w:p w14:paraId="09BF1ADC" w14:textId="77777777" w:rsidR="00620ACA" w:rsidRPr="00D63217" w:rsidRDefault="00620ACA" w:rsidP="00620ACA">
      <w:pPr>
        <w:pStyle w:val="NormalText"/>
      </w:pPr>
      <w:r w:rsidRPr="00D63217">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03761157" w14:textId="77777777" w:rsidR="00620ACA" w:rsidRPr="00D63217" w:rsidRDefault="00620ACA" w:rsidP="00620ACA">
      <w:pPr>
        <w:pStyle w:val="NormalText"/>
      </w:pPr>
      <w:r w:rsidRPr="00D63217">
        <w:t>DO NOT apply unless the wind speed is between 3 and 20 kilometres per hour at the application site during the time of application.</w:t>
      </w:r>
    </w:p>
    <w:p w14:paraId="6383D88C" w14:textId="77777777" w:rsidR="00620ACA" w:rsidRPr="00D63217" w:rsidRDefault="00620ACA" w:rsidP="00620ACA">
      <w:pPr>
        <w:pStyle w:val="NormalText"/>
      </w:pPr>
      <w:r w:rsidRPr="00D63217">
        <w:t>DO NOT apply if there are surface temperature inversion conditions present at the application site during the time of application. These conditions exist most evenings one to 2 hours before sunset and persist until one to 2 hours after sunrise.</w:t>
      </w:r>
    </w:p>
    <w:p w14:paraId="54175790" w14:textId="77777777" w:rsidR="00620ACA" w:rsidRPr="00D63217" w:rsidRDefault="00620ACA" w:rsidP="00620ACA">
      <w:pPr>
        <w:pStyle w:val="NormalText"/>
      </w:pPr>
      <w:r w:rsidRPr="00D63217">
        <w:t>DO NOT apply by a boom sprayer unless the following requirements are met:</w:t>
      </w:r>
    </w:p>
    <w:p w14:paraId="1E870DF3" w14:textId="08ED353A" w:rsidR="00620ACA" w:rsidRPr="00D63217" w:rsidRDefault="00620ACA" w:rsidP="00087F7B">
      <w:pPr>
        <w:pStyle w:val="Bullet2"/>
      </w:pPr>
      <w:r w:rsidRPr="00D63217">
        <w:t>spray droplets not smaller than a MEDIUM spray droplet size category</w:t>
      </w:r>
    </w:p>
    <w:p w14:paraId="499881F5" w14:textId="3EB8E38A" w:rsidR="00620ACA" w:rsidRDefault="00620ACA" w:rsidP="00A54D2B">
      <w:pPr>
        <w:pStyle w:val="Bullet2"/>
      </w:pPr>
      <w:r w:rsidRPr="00D63217">
        <w:t>minimum distances between the application site and downwind sensitive areas (see ‘Mandatory buffer zones’ section of the following table titled ‘Buffer zones for boom sprayers’) are observed.</w:t>
      </w:r>
    </w:p>
    <w:p w14:paraId="163616E7" w14:textId="7D6E0B58" w:rsidR="00620ACA" w:rsidRPr="00087F7B" w:rsidRDefault="00620ACA" w:rsidP="00087F7B">
      <w:pPr>
        <w:pStyle w:val="Caption"/>
      </w:pPr>
      <w:bookmarkStart w:id="596" w:name="_Ref227829753"/>
      <w:bookmarkStart w:id="597" w:name="_Toc230692316"/>
      <w:bookmarkStart w:id="598" w:name="_Toc233036537"/>
      <w:r w:rsidRPr="00087F7B">
        <w:t xml:space="preserve">Table </w:t>
      </w:r>
      <w:fldSimple w:instr=" SEQ Table \* ARABIC ">
        <w:r w:rsidR="00087F7B" w:rsidRPr="00087F7B">
          <w:t>50</w:t>
        </w:r>
      </w:fldSimple>
      <w:bookmarkEnd w:id="596"/>
      <w:r w:rsidRPr="00087F7B">
        <w:t>: Paraquat buffer zones for boom sprayers</w:t>
      </w:r>
      <w:bookmarkEnd w:id="597"/>
      <w:bookmarkEnd w:id="598"/>
    </w:p>
    <w:tbl>
      <w:tblPr>
        <w:tblStyle w:val="TableGrid"/>
        <w:tblW w:w="5000" w:type="pct"/>
        <w:tblLook w:val="04A0" w:firstRow="1" w:lastRow="0" w:firstColumn="1" w:lastColumn="0" w:noHBand="0" w:noVBand="1"/>
      </w:tblPr>
      <w:tblGrid>
        <w:gridCol w:w="1597"/>
        <w:gridCol w:w="2057"/>
        <w:gridCol w:w="1045"/>
        <w:gridCol w:w="1129"/>
        <w:gridCol w:w="1272"/>
        <w:gridCol w:w="1412"/>
        <w:gridCol w:w="1126"/>
      </w:tblGrid>
      <w:tr w:rsidR="00620ACA" w:rsidRPr="0065791F" w14:paraId="01434D36" w14:textId="77777777" w:rsidTr="00087F7B">
        <w:trPr>
          <w:tblHeader/>
        </w:trPr>
        <w:tc>
          <w:tcPr>
            <w:tcW w:w="9638" w:type="dxa"/>
            <w:gridSpan w:val="7"/>
            <w:tcBorders>
              <w:left w:val="nil"/>
              <w:bottom w:val="single" w:sz="4" w:space="0" w:color="auto"/>
              <w:right w:val="nil"/>
            </w:tcBorders>
            <w:shd w:val="clear" w:color="auto" w:fill="5C2946"/>
          </w:tcPr>
          <w:p w14:paraId="36088E2E" w14:textId="208ACD79" w:rsidR="00620ACA" w:rsidRPr="009D6AB1" w:rsidRDefault="00620ACA" w:rsidP="00087F7B">
            <w:pPr>
              <w:pStyle w:val="TableHead"/>
            </w:pPr>
            <w:r>
              <w:t>Paraquat - b</w:t>
            </w:r>
            <w:r w:rsidRPr="009D6AB1">
              <w:t>uffer zones for boom sprayers</w:t>
            </w:r>
          </w:p>
        </w:tc>
      </w:tr>
      <w:tr w:rsidR="00620ACA" w:rsidRPr="0065791F" w14:paraId="4F4E269A" w14:textId="77777777" w:rsidTr="00087F7B">
        <w:trPr>
          <w:tblHeader/>
        </w:trPr>
        <w:tc>
          <w:tcPr>
            <w:tcW w:w="1605" w:type="dxa"/>
            <w:vMerge w:val="restart"/>
            <w:tcBorders>
              <w:left w:val="nil"/>
              <w:right w:val="nil"/>
            </w:tcBorders>
            <w:shd w:val="clear" w:color="auto" w:fill="5C2946"/>
          </w:tcPr>
          <w:p w14:paraId="0DF5C392" w14:textId="77777777" w:rsidR="00620ACA" w:rsidRPr="009D6AB1" w:rsidRDefault="00620ACA" w:rsidP="00087F7B">
            <w:pPr>
              <w:pStyle w:val="TableHead"/>
            </w:pPr>
            <w:r w:rsidRPr="009D6AB1">
              <w:t>Application rate</w:t>
            </w:r>
          </w:p>
        </w:tc>
        <w:tc>
          <w:tcPr>
            <w:tcW w:w="2081" w:type="dxa"/>
            <w:vMerge w:val="restart"/>
            <w:tcBorders>
              <w:left w:val="nil"/>
              <w:right w:val="nil"/>
            </w:tcBorders>
            <w:shd w:val="clear" w:color="auto" w:fill="5C2946"/>
          </w:tcPr>
          <w:p w14:paraId="285C7F4C" w14:textId="77777777" w:rsidR="00620ACA" w:rsidRPr="009D6AB1" w:rsidRDefault="00620ACA" w:rsidP="00087F7B">
            <w:pPr>
              <w:pStyle w:val="TableHead"/>
            </w:pPr>
            <w:r w:rsidRPr="009D6AB1">
              <w:t>Boom height above the target canopy</w:t>
            </w:r>
          </w:p>
        </w:tc>
        <w:tc>
          <w:tcPr>
            <w:tcW w:w="5952" w:type="dxa"/>
            <w:gridSpan w:val="5"/>
            <w:tcBorders>
              <w:left w:val="nil"/>
              <w:bottom w:val="single" w:sz="4" w:space="0" w:color="auto"/>
              <w:right w:val="nil"/>
            </w:tcBorders>
            <w:shd w:val="clear" w:color="auto" w:fill="5C2946"/>
          </w:tcPr>
          <w:p w14:paraId="7F8C61FB" w14:textId="77777777" w:rsidR="00620ACA" w:rsidRPr="009D6AB1" w:rsidRDefault="00620ACA" w:rsidP="00087F7B">
            <w:pPr>
              <w:pStyle w:val="TableHead"/>
            </w:pPr>
            <w:r w:rsidRPr="009D6AB1">
              <w:t>Mandatory downwind buffer zones (metres)</w:t>
            </w:r>
          </w:p>
        </w:tc>
      </w:tr>
      <w:tr w:rsidR="00620ACA" w:rsidRPr="0065791F" w14:paraId="34D01809" w14:textId="77777777" w:rsidTr="00087F7B">
        <w:trPr>
          <w:trHeight w:val="630"/>
          <w:tblHeader/>
        </w:trPr>
        <w:tc>
          <w:tcPr>
            <w:tcW w:w="1605" w:type="dxa"/>
            <w:vMerge/>
            <w:tcBorders>
              <w:left w:val="nil"/>
              <w:bottom w:val="single" w:sz="4" w:space="0" w:color="auto"/>
              <w:right w:val="nil"/>
            </w:tcBorders>
            <w:shd w:val="clear" w:color="auto" w:fill="5C2946"/>
          </w:tcPr>
          <w:p w14:paraId="27B1A90A" w14:textId="77777777" w:rsidR="00620ACA" w:rsidRPr="009D6AB1" w:rsidRDefault="00620ACA" w:rsidP="00620ACA">
            <w:pPr>
              <w:keepNext/>
              <w:keepLines/>
              <w:rPr>
                <w:rFonts w:ascii="Franklin Gothic Medium" w:hAnsi="Franklin Gothic Medium" w:cs="Arial"/>
                <w:sz w:val="18"/>
                <w:szCs w:val="18"/>
              </w:rPr>
            </w:pPr>
          </w:p>
        </w:tc>
        <w:tc>
          <w:tcPr>
            <w:tcW w:w="2081" w:type="dxa"/>
            <w:vMerge/>
            <w:tcBorders>
              <w:left w:val="nil"/>
              <w:bottom w:val="single" w:sz="4" w:space="0" w:color="auto"/>
              <w:right w:val="nil"/>
            </w:tcBorders>
            <w:shd w:val="clear" w:color="auto" w:fill="5C2946"/>
          </w:tcPr>
          <w:p w14:paraId="65AEB1CF" w14:textId="77777777" w:rsidR="00620ACA" w:rsidRPr="009D6AB1" w:rsidRDefault="00620ACA" w:rsidP="00620ACA">
            <w:pPr>
              <w:keepNext/>
              <w:keepLines/>
              <w:rPr>
                <w:rFonts w:ascii="Franklin Gothic Medium" w:hAnsi="Franklin Gothic Medium" w:cs="Arial"/>
                <w:sz w:val="18"/>
                <w:szCs w:val="18"/>
              </w:rPr>
            </w:pPr>
          </w:p>
        </w:tc>
        <w:tc>
          <w:tcPr>
            <w:tcW w:w="993" w:type="dxa"/>
            <w:tcBorders>
              <w:left w:val="nil"/>
              <w:bottom w:val="single" w:sz="4" w:space="0" w:color="auto"/>
              <w:right w:val="nil"/>
            </w:tcBorders>
            <w:shd w:val="clear" w:color="auto" w:fill="5C2946"/>
          </w:tcPr>
          <w:p w14:paraId="79E82F7B" w14:textId="77777777" w:rsidR="00620ACA" w:rsidRPr="009D6AB1" w:rsidRDefault="00620ACA" w:rsidP="00087F7B">
            <w:pPr>
              <w:pStyle w:val="TableHeadRight"/>
            </w:pPr>
            <w:r w:rsidRPr="009D6AB1">
              <w:t>Bystander areas</w:t>
            </w:r>
          </w:p>
        </w:tc>
        <w:tc>
          <w:tcPr>
            <w:tcW w:w="1135" w:type="dxa"/>
            <w:tcBorders>
              <w:left w:val="nil"/>
              <w:bottom w:val="single" w:sz="4" w:space="0" w:color="auto"/>
              <w:right w:val="nil"/>
            </w:tcBorders>
            <w:shd w:val="clear" w:color="auto" w:fill="5C2946"/>
          </w:tcPr>
          <w:p w14:paraId="5B72875B" w14:textId="77777777" w:rsidR="00620ACA" w:rsidRPr="009D6AB1" w:rsidRDefault="00620ACA" w:rsidP="00087F7B">
            <w:pPr>
              <w:pStyle w:val="TableHeadRight"/>
            </w:pPr>
            <w:r w:rsidRPr="009D6AB1">
              <w:t>Natural aquatic areas</w:t>
            </w:r>
          </w:p>
        </w:tc>
        <w:tc>
          <w:tcPr>
            <w:tcW w:w="1277" w:type="dxa"/>
            <w:tcBorders>
              <w:left w:val="nil"/>
              <w:bottom w:val="single" w:sz="4" w:space="0" w:color="auto"/>
              <w:right w:val="nil"/>
            </w:tcBorders>
            <w:shd w:val="clear" w:color="auto" w:fill="5C2946"/>
          </w:tcPr>
          <w:p w14:paraId="53BF89B2" w14:textId="77777777" w:rsidR="00620ACA" w:rsidRPr="009D6AB1" w:rsidRDefault="00620ACA" w:rsidP="00087F7B">
            <w:pPr>
              <w:pStyle w:val="TableHeadRight"/>
            </w:pPr>
            <w:r w:rsidRPr="009D6AB1">
              <w:t>Pollinator areas</w:t>
            </w:r>
          </w:p>
        </w:tc>
        <w:tc>
          <w:tcPr>
            <w:tcW w:w="1418" w:type="dxa"/>
            <w:tcBorders>
              <w:left w:val="nil"/>
              <w:bottom w:val="single" w:sz="4" w:space="0" w:color="auto"/>
              <w:right w:val="nil"/>
            </w:tcBorders>
            <w:shd w:val="clear" w:color="auto" w:fill="5C2946"/>
          </w:tcPr>
          <w:p w14:paraId="7612511F" w14:textId="77777777" w:rsidR="00620ACA" w:rsidRPr="009D6AB1" w:rsidRDefault="00620ACA" w:rsidP="00087F7B">
            <w:pPr>
              <w:pStyle w:val="TableHeadRight"/>
            </w:pPr>
            <w:r w:rsidRPr="009D6AB1">
              <w:t>Vegetation areas</w:t>
            </w:r>
          </w:p>
        </w:tc>
        <w:tc>
          <w:tcPr>
            <w:tcW w:w="1129" w:type="dxa"/>
            <w:tcBorders>
              <w:left w:val="nil"/>
              <w:bottom w:val="single" w:sz="4" w:space="0" w:color="auto"/>
              <w:right w:val="nil"/>
            </w:tcBorders>
            <w:shd w:val="clear" w:color="auto" w:fill="5C2946"/>
          </w:tcPr>
          <w:p w14:paraId="37BEFBD6" w14:textId="77777777" w:rsidR="00620ACA" w:rsidRPr="009D6AB1" w:rsidRDefault="00620ACA" w:rsidP="00087F7B">
            <w:pPr>
              <w:pStyle w:val="TableHeadRight"/>
            </w:pPr>
            <w:r w:rsidRPr="009D6AB1">
              <w:t>Livestock areas</w:t>
            </w:r>
          </w:p>
        </w:tc>
      </w:tr>
      <w:tr w:rsidR="00620ACA" w:rsidRPr="0065791F" w14:paraId="47CFAF01" w14:textId="77777777" w:rsidTr="00620ACA">
        <w:tc>
          <w:tcPr>
            <w:tcW w:w="1605" w:type="dxa"/>
            <w:vMerge w:val="restart"/>
            <w:tcBorders>
              <w:left w:val="nil"/>
              <w:right w:val="nil"/>
            </w:tcBorders>
          </w:tcPr>
          <w:p w14:paraId="2E36DC33" w14:textId="77777777" w:rsidR="00620ACA" w:rsidRPr="00086F9A" w:rsidRDefault="00620ACA" w:rsidP="00087F7B">
            <w:pPr>
              <w:pStyle w:val="TableText"/>
              <w:rPr>
                <w:lang w:eastAsia="en-AU"/>
              </w:rPr>
            </w:pPr>
            <w:r w:rsidRPr="00086F9A">
              <w:rPr>
                <w:lang w:eastAsia="en-AU"/>
              </w:rPr>
              <w:t>200 g ac/ha or lower</w:t>
            </w:r>
          </w:p>
        </w:tc>
        <w:tc>
          <w:tcPr>
            <w:tcW w:w="2081" w:type="dxa"/>
            <w:tcBorders>
              <w:left w:val="nil"/>
              <w:bottom w:val="single" w:sz="4" w:space="0" w:color="auto"/>
              <w:right w:val="nil"/>
            </w:tcBorders>
          </w:tcPr>
          <w:p w14:paraId="09AA5C95" w14:textId="77777777" w:rsidR="00620ACA" w:rsidRPr="00086F9A" w:rsidRDefault="00620ACA" w:rsidP="00087F7B">
            <w:pPr>
              <w:pStyle w:val="TableText"/>
              <w:rPr>
                <w:lang w:eastAsia="en-AU"/>
              </w:rPr>
            </w:pPr>
            <w:r w:rsidRPr="00086F9A">
              <w:rPr>
                <w:lang w:eastAsia="en-AU"/>
              </w:rPr>
              <w:t>0.5 m or lower</w:t>
            </w:r>
          </w:p>
        </w:tc>
        <w:tc>
          <w:tcPr>
            <w:tcW w:w="993" w:type="dxa"/>
            <w:tcBorders>
              <w:top w:val="single" w:sz="4" w:space="0" w:color="auto"/>
              <w:left w:val="nil"/>
              <w:bottom w:val="single" w:sz="4" w:space="0" w:color="auto"/>
              <w:right w:val="nil"/>
            </w:tcBorders>
          </w:tcPr>
          <w:p w14:paraId="67AE819D" w14:textId="77777777" w:rsidR="00620ACA" w:rsidRPr="00086F9A" w:rsidRDefault="00620ACA" w:rsidP="00087F7B">
            <w:pPr>
              <w:pStyle w:val="TableTextRight"/>
              <w:rPr>
                <w:lang w:eastAsia="en-AU"/>
              </w:rPr>
            </w:pPr>
            <w:r w:rsidRPr="00086F9A">
              <w:rPr>
                <w:lang w:eastAsia="en-AU"/>
              </w:rPr>
              <w:t>5</w:t>
            </w:r>
          </w:p>
        </w:tc>
        <w:tc>
          <w:tcPr>
            <w:tcW w:w="1135" w:type="dxa"/>
            <w:tcBorders>
              <w:top w:val="single" w:sz="4" w:space="0" w:color="auto"/>
              <w:left w:val="nil"/>
              <w:bottom w:val="single" w:sz="4" w:space="0" w:color="auto"/>
              <w:right w:val="nil"/>
            </w:tcBorders>
          </w:tcPr>
          <w:p w14:paraId="2CAF5ACC" w14:textId="77777777" w:rsidR="00620ACA" w:rsidRPr="00086F9A" w:rsidRDefault="00620ACA" w:rsidP="00087F7B">
            <w:pPr>
              <w:pStyle w:val="TableTextRight"/>
              <w:rPr>
                <w:lang w:eastAsia="en-AU"/>
              </w:rPr>
            </w:pPr>
            <w:r w:rsidRPr="00086F9A">
              <w:rPr>
                <w:lang w:eastAsia="en-AU"/>
              </w:rPr>
              <w:t>250</w:t>
            </w:r>
          </w:p>
        </w:tc>
        <w:tc>
          <w:tcPr>
            <w:tcW w:w="1277" w:type="dxa"/>
            <w:tcBorders>
              <w:top w:val="single" w:sz="4" w:space="0" w:color="auto"/>
              <w:left w:val="nil"/>
              <w:bottom w:val="single" w:sz="4" w:space="0" w:color="auto"/>
              <w:right w:val="nil"/>
            </w:tcBorders>
          </w:tcPr>
          <w:p w14:paraId="5E3B1A20" w14:textId="77777777" w:rsidR="00620ACA" w:rsidRPr="00086F9A" w:rsidRDefault="00620ACA" w:rsidP="00087F7B">
            <w:pPr>
              <w:pStyle w:val="TableTextRight"/>
              <w:rPr>
                <w:lang w:eastAsia="en-AU"/>
              </w:rPr>
            </w:pPr>
            <w:r w:rsidRPr="00086F9A">
              <w:rPr>
                <w:lang w:eastAsia="en-AU"/>
              </w:rPr>
              <w:t>0</w:t>
            </w:r>
          </w:p>
        </w:tc>
        <w:tc>
          <w:tcPr>
            <w:tcW w:w="1418" w:type="dxa"/>
            <w:tcBorders>
              <w:top w:val="single" w:sz="4" w:space="0" w:color="auto"/>
              <w:left w:val="nil"/>
              <w:bottom w:val="single" w:sz="4" w:space="0" w:color="auto"/>
              <w:right w:val="nil"/>
            </w:tcBorders>
          </w:tcPr>
          <w:p w14:paraId="1C662B8C" w14:textId="77777777" w:rsidR="00620ACA" w:rsidRPr="00086F9A" w:rsidRDefault="00620ACA" w:rsidP="00087F7B">
            <w:pPr>
              <w:pStyle w:val="TableTextRight"/>
              <w:rPr>
                <w:lang w:eastAsia="en-AU"/>
              </w:rPr>
            </w:pPr>
            <w:r w:rsidRPr="00086F9A">
              <w:rPr>
                <w:lang w:eastAsia="en-AU"/>
              </w:rPr>
              <w:t>0</w:t>
            </w:r>
          </w:p>
        </w:tc>
        <w:tc>
          <w:tcPr>
            <w:tcW w:w="1129" w:type="dxa"/>
            <w:tcBorders>
              <w:top w:val="single" w:sz="4" w:space="0" w:color="auto"/>
              <w:left w:val="nil"/>
              <w:bottom w:val="single" w:sz="4" w:space="0" w:color="auto"/>
              <w:right w:val="nil"/>
            </w:tcBorders>
          </w:tcPr>
          <w:p w14:paraId="16A15F3F" w14:textId="77777777" w:rsidR="00620ACA" w:rsidRPr="00086F9A" w:rsidRDefault="00620ACA" w:rsidP="00087F7B">
            <w:pPr>
              <w:pStyle w:val="TableTextRight"/>
              <w:rPr>
                <w:lang w:eastAsia="en-AU"/>
              </w:rPr>
            </w:pPr>
            <w:r w:rsidRPr="00086F9A">
              <w:rPr>
                <w:lang w:eastAsia="en-AU"/>
              </w:rPr>
              <w:t>0</w:t>
            </w:r>
          </w:p>
        </w:tc>
      </w:tr>
      <w:tr w:rsidR="00620ACA" w:rsidRPr="0065791F" w14:paraId="43682C43" w14:textId="77777777" w:rsidTr="00620ACA">
        <w:tc>
          <w:tcPr>
            <w:tcW w:w="1605" w:type="dxa"/>
            <w:vMerge/>
            <w:tcBorders>
              <w:left w:val="nil"/>
              <w:bottom w:val="single" w:sz="4" w:space="0" w:color="auto"/>
              <w:right w:val="nil"/>
            </w:tcBorders>
          </w:tcPr>
          <w:p w14:paraId="05799F45" w14:textId="77777777" w:rsidR="00620ACA" w:rsidRPr="00086F9A" w:rsidRDefault="00620ACA" w:rsidP="00087F7B">
            <w:pPr>
              <w:pStyle w:val="TableText"/>
              <w:rPr>
                <w:lang w:eastAsia="en-AU"/>
              </w:rPr>
            </w:pPr>
          </w:p>
        </w:tc>
        <w:tc>
          <w:tcPr>
            <w:tcW w:w="2081" w:type="dxa"/>
            <w:tcBorders>
              <w:top w:val="single" w:sz="4" w:space="0" w:color="auto"/>
              <w:left w:val="nil"/>
              <w:right w:val="nil"/>
            </w:tcBorders>
          </w:tcPr>
          <w:p w14:paraId="25DFCEBE" w14:textId="77777777" w:rsidR="00620ACA" w:rsidRPr="00086F9A" w:rsidRDefault="00620ACA" w:rsidP="00087F7B">
            <w:pPr>
              <w:pStyle w:val="TableText"/>
              <w:rPr>
                <w:lang w:eastAsia="en-AU"/>
              </w:rPr>
            </w:pPr>
            <w:r w:rsidRPr="00086F9A">
              <w:rPr>
                <w:lang w:eastAsia="en-AU"/>
              </w:rPr>
              <w:t>1.0 m or lower</w:t>
            </w:r>
          </w:p>
        </w:tc>
        <w:tc>
          <w:tcPr>
            <w:tcW w:w="5952" w:type="dxa"/>
            <w:gridSpan w:val="5"/>
            <w:tcBorders>
              <w:top w:val="single" w:sz="4" w:space="0" w:color="auto"/>
              <w:left w:val="nil"/>
              <w:right w:val="nil"/>
            </w:tcBorders>
          </w:tcPr>
          <w:p w14:paraId="160B1D1A" w14:textId="77777777" w:rsidR="00620ACA" w:rsidRPr="00086F9A" w:rsidRDefault="00620ACA" w:rsidP="00087F7B">
            <w:pPr>
              <w:pStyle w:val="TableTextRight"/>
              <w:jc w:val="center"/>
              <w:rPr>
                <w:lang w:eastAsia="en-AU"/>
              </w:rPr>
            </w:pPr>
            <w:r w:rsidRPr="00086F9A">
              <w:rPr>
                <w:lang w:eastAsia="en-AU"/>
              </w:rPr>
              <w:t>Not supported</w:t>
            </w:r>
          </w:p>
        </w:tc>
      </w:tr>
      <w:tr w:rsidR="00620ACA" w:rsidRPr="00415BCA" w14:paraId="172972DD" w14:textId="77777777" w:rsidTr="00620ACA">
        <w:tc>
          <w:tcPr>
            <w:tcW w:w="1605" w:type="dxa"/>
            <w:vMerge w:val="restart"/>
            <w:tcBorders>
              <w:left w:val="nil"/>
              <w:right w:val="nil"/>
            </w:tcBorders>
          </w:tcPr>
          <w:p w14:paraId="0E76DA90" w14:textId="77777777" w:rsidR="00620ACA" w:rsidRPr="00086F9A" w:rsidRDefault="00620ACA" w:rsidP="00087F7B">
            <w:pPr>
              <w:pStyle w:val="TableText"/>
              <w:rPr>
                <w:lang w:eastAsia="en-AU"/>
              </w:rPr>
            </w:pPr>
            <w:r w:rsidRPr="00086F9A">
              <w:rPr>
                <w:lang w:eastAsia="en-AU"/>
              </w:rPr>
              <w:t>150 g ac/ha or lower</w:t>
            </w:r>
          </w:p>
        </w:tc>
        <w:tc>
          <w:tcPr>
            <w:tcW w:w="2081" w:type="dxa"/>
            <w:tcBorders>
              <w:left w:val="nil"/>
              <w:right w:val="nil"/>
            </w:tcBorders>
          </w:tcPr>
          <w:p w14:paraId="00AB8016" w14:textId="77777777" w:rsidR="00620ACA" w:rsidRPr="00086F9A" w:rsidRDefault="00620ACA" w:rsidP="00087F7B">
            <w:pPr>
              <w:pStyle w:val="TableText"/>
              <w:rPr>
                <w:lang w:eastAsia="en-AU"/>
              </w:rPr>
            </w:pPr>
            <w:r w:rsidRPr="00086F9A">
              <w:rPr>
                <w:lang w:eastAsia="en-AU"/>
              </w:rPr>
              <w:t>0.5 m or lower</w:t>
            </w:r>
          </w:p>
        </w:tc>
        <w:tc>
          <w:tcPr>
            <w:tcW w:w="993" w:type="dxa"/>
            <w:tcBorders>
              <w:left w:val="nil"/>
              <w:right w:val="nil"/>
            </w:tcBorders>
          </w:tcPr>
          <w:p w14:paraId="4E5D8131" w14:textId="77777777" w:rsidR="00620ACA" w:rsidRPr="00086F9A" w:rsidRDefault="00620ACA" w:rsidP="00087F7B">
            <w:pPr>
              <w:pStyle w:val="TableTextRight"/>
              <w:rPr>
                <w:lang w:eastAsia="en-AU"/>
              </w:rPr>
            </w:pPr>
            <w:r w:rsidRPr="00086F9A">
              <w:rPr>
                <w:lang w:eastAsia="en-AU"/>
              </w:rPr>
              <w:t>0</w:t>
            </w:r>
          </w:p>
        </w:tc>
        <w:tc>
          <w:tcPr>
            <w:tcW w:w="1135" w:type="dxa"/>
            <w:tcBorders>
              <w:left w:val="nil"/>
              <w:right w:val="nil"/>
            </w:tcBorders>
          </w:tcPr>
          <w:p w14:paraId="74320D4A" w14:textId="77777777" w:rsidR="00620ACA" w:rsidRPr="00086F9A" w:rsidRDefault="00620ACA" w:rsidP="00087F7B">
            <w:pPr>
              <w:pStyle w:val="TableTextRight"/>
              <w:rPr>
                <w:lang w:eastAsia="en-AU"/>
              </w:rPr>
            </w:pPr>
            <w:r w:rsidRPr="00086F9A">
              <w:rPr>
                <w:lang w:eastAsia="en-AU"/>
              </w:rPr>
              <w:t>160</w:t>
            </w:r>
          </w:p>
        </w:tc>
        <w:tc>
          <w:tcPr>
            <w:tcW w:w="1277" w:type="dxa"/>
            <w:tcBorders>
              <w:left w:val="nil"/>
              <w:right w:val="nil"/>
            </w:tcBorders>
          </w:tcPr>
          <w:p w14:paraId="3F34C90B" w14:textId="77777777" w:rsidR="00620ACA" w:rsidRPr="00086F9A" w:rsidRDefault="00620ACA" w:rsidP="00087F7B">
            <w:pPr>
              <w:pStyle w:val="TableTextRight"/>
              <w:rPr>
                <w:lang w:eastAsia="en-AU"/>
              </w:rPr>
            </w:pPr>
            <w:r w:rsidRPr="00086F9A">
              <w:rPr>
                <w:lang w:eastAsia="en-AU"/>
              </w:rPr>
              <w:t>0</w:t>
            </w:r>
          </w:p>
        </w:tc>
        <w:tc>
          <w:tcPr>
            <w:tcW w:w="1418" w:type="dxa"/>
            <w:tcBorders>
              <w:left w:val="nil"/>
              <w:right w:val="nil"/>
            </w:tcBorders>
          </w:tcPr>
          <w:p w14:paraId="671179E5" w14:textId="77777777" w:rsidR="00620ACA" w:rsidRPr="00086F9A" w:rsidRDefault="00620ACA" w:rsidP="00087F7B">
            <w:pPr>
              <w:pStyle w:val="TableTextRight"/>
              <w:rPr>
                <w:lang w:eastAsia="en-AU"/>
              </w:rPr>
            </w:pPr>
            <w:r w:rsidRPr="00086F9A">
              <w:rPr>
                <w:lang w:eastAsia="en-AU"/>
              </w:rPr>
              <w:t>0</w:t>
            </w:r>
          </w:p>
        </w:tc>
        <w:tc>
          <w:tcPr>
            <w:tcW w:w="1129" w:type="dxa"/>
            <w:tcBorders>
              <w:left w:val="nil"/>
              <w:right w:val="nil"/>
            </w:tcBorders>
          </w:tcPr>
          <w:p w14:paraId="247E2A4C" w14:textId="77777777" w:rsidR="00620ACA" w:rsidRPr="00086F9A" w:rsidRDefault="00620ACA" w:rsidP="00087F7B">
            <w:pPr>
              <w:pStyle w:val="TableTextRight"/>
              <w:rPr>
                <w:lang w:eastAsia="en-AU"/>
              </w:rPr>
            </w:pPr>
            <w:r w:rsidRPr="00086F9A">
              <w:rPr>
                <w:lang w:eastAsia="en-AU"/>
              </w:rPr>
              <w:t>0</w:t>
            </w:r>
          </w:p>
        </w:tc>
      </w:tr>
      <w:tr w:rsidR="00620ACA" w:rsidRPr="00415BCA" w14:paraId="51CF4A98" w14:textId="77777777" w:rsidTr="00620ACA">
        <w:tc>
          <w:tcPr>
            <w:tcW w:w="1605" w:type="dxa"/>
            <w:vMerge/>
            <w:tcBorders>
              <w:left w:val="nil"/>
              <w:right w:val="nil"/>
            </w:tcBorders>
          </w:tcPr>
          <w:p w14:paraId="2C28462D" w14:textId="77777777" w:rsidR="00620ACA" w:rsidRPr="00086F9A" w:rsidRDefault="00620ACA" w:rsidP="00087F7B">
            <w:pPr>
              <w:pStyle w:val="TableText"/>
              <w:rPr>
                <w:lang w:eastAsia="en-AU"/>
              </w:rPr>
            </w:pPr>
          </w:p>
        </w:tc>
        <w:tc>
          <w:tcPr>
            <w:tcW w:w="2081" w:type="dxa"/>
            <w:tcBorders>
              <w:left w:val="nil"/>
              <w:right w:val="nil"/>
            </w:tcBorders>
          </w:tcPr>
          <w:p w14:paraId="2019078A" w14:textId="77777777" w:rsidR="00620ACA" w:rsidRPr="00086F9A" w:rsidRDefault="00620ACA" w:rsidP="00087F7B">
            <w:pPr>
              <w:pStyle w:val="TableText"/>
              <w:rPr>
                <w:lang w:eastAsia="en-AU"/>
              </w:rPr>
            </w:pPr>
            <w:r w:rsidRPr="00086F9A">
              <w:rPr>
                <w:lang w:eastAsia="en-AU"/>
              </w:rPr>
              <w:t>1.0 m or lower</w:t>
            </w:r>
          </w:p>
        </w:tc>
        <w:tc>
          <w:tcPr>
            <w:tcW w:w="5952" w:type="dxa"/>
            <w:gridSpan w:val="5"/>
            <w:tcBorders>
              <w:left w:val="nil"/>
              <w:right w:val="nil"/>
            </w:tcBorders>
          </w:tcPr>
          <w:p w14:paraId="7B42EEC7" w14:textId="77777777" w:rsidR="00620ACA" w:rsidRPr="00086F9A" w:rsidRDefault="00620ACA" w:rsidP="00087F7B">
            <w:pPr>
              <w:pStyle w:val="TableTextRight"/>
              <w:jc w:val="center"/>
              <w:rPr>
                <w:lang w:eastAsia="en-AU"/>
              </w:rPr>
            </w:pPr>
            <w:r w:rsidRPr="00086F9A">
              <w:rPr>
                <w:lang w:eastAsia="en-AU"/>
              </w:rPr>
              <w:t>Not supported</w:t>
            </w:r>
          </w:p>
        </w:tc>
      </w:tr>
      <w:tr w:rsidR="00620ACA" w:rsidRPr="00415BCA" w14:paraId="50F2538F" w14:textId="77777777" w:rsidTr="00620ACA">
        <w:tc>
          <w:tcPr>
            <w:tcW w:w="1605" w:type="dxa"/>
            <w:vMerge w:val="restart"/>
            <w:tcBorders>
              <w:left w:val="nil"/>
              <w:right w:val="nil"/>
            </w:tcBorders>
          </w:tcPr>
          <w:p w14:paraId="186D7E44" w14:textId="77777777" w:rsidR="00620ACA" w:rsidRPr="00086F9A" w:rsidRDefault="00620ACA" w:rsidP="00087F7B">
            <w:pPr>
              <w:pStyle w:val="TableText"/>
              <w:rPr>
                <w:lang w:eastAsia="en-AU"/>
              </w:rPr>
            </w:pPr>
            <w:r w:rsidRPr="00086F9A">
              <w:rPr>
                <w:lang w:eastAsia="en-AU"/>
              </w:rPr>
              <w:lastRenderedPageBreak/>
              <w:t xml:space="preserve">100 g ac/ha or lower </w:t>
            </w:r>
          </w:p>
        </w:tc>
        <w:tc>
          <w:tcPr>
            <w:tcW w:w="2081" w:type="dxa"/>
            <w:tcBorders>
              <w:left w:val="nil"/>
              <w:right w:val="nil"/>
            </w:tcBorders>
          </w:tcPr>
          <w:p w14:paraId="3B91B066" w14:textId="77777777" w:rsidR="00620ACA" w:rsidRPr="00086F9A" w:rsidRDefault="00620ACA" w:rsidP="00087F7B">
            <w:pPr>
              <w:pStyle w:val="TableText"/>
              <w:rPr>
                <w:lang w:eastAsia="en-AU"/>
              </w:rPr>
            </w:pPr>
            <w:r w:rsidRPr="00086F9A">
              <w:rPr>
                <w:lang w:eastAsia="en-AU"/>
              </w:rPr>
              <w:t>0.5 m or lower</w:t>
            </w:r>
          </w:p>
        </w:tc>
        <w:tc>
          <w:tcPr>
            <w:tcW w:w="993" w:type="dxa"/>
            <w:tcBorders>
              <w:left w:val="nil"/>
              <w:right w:val="nil"/>
            </w:tcBorders>
          </w:tcPr>
          <w:p w14:paraId="5F290DA6" w14:textId="77777777" w:rsidR="00620ACA" w:rsidRPr="00086F9A" w:rsidRDefault="00620ACA" w:rsidP="00087F7B">
            <w:pPr>
              <w:pStyle w:val="TableTextRight"/>
              <w:rPr>
                <w:lang w:eastAsia="en-AU"/>
              </w:rPr>
            </w:pPr>
            <w:r w:rsidRPr="00086F9A">
              <w:rPr>
                <w:lang w:eastAsia="en-AU"/>
              </w:rPr>
              <w:t>0</w:t>
            </w:r>
          </w:p>
        </w:tc>
        <w:tc>
          <w:tcPr>
            <w:tcW w:w="1135" w:type="dxa"/>
            <w:tcBorders>
              <w:left w:val="nil"/>
              <w:right w:val="nil"/>
            </w:tcBorders>
          </w:tcPr>
          <w:p w14:paraId="44FD75EB" w14:textId="77777777" w:rsidR="00620ACA" w:rsidRPr="00086F9A" w:rsidRDefault="00620ACA" w:rsidP="00087F7B">
            <w:pPr>
              <w:pStyle w:val="TableTextRight"/>
              <w:rPr>
                <w:lang w:eastAsia="en-AU"/>
              </w:rPr>
            </w:pPr>
            <w:r w:rsidRPr="00086F9A">
              <w:rPr>
                <w:lang w:eastAsia="en-AU"/>
              </w:rPr>
              <w:t>100</w:t>
            </w:r>
          </w:p>
        </w:tc>
        <w:tc>
          <w:tcPr>
            <w:tcW w:w="1277" w:type="dxa"/>
            <w:tcBorders>
              <w:left w:val="nil"/>
              <w:right w:val="nil"/>
            </w:tcBorders>
          </w:tcPr>
          <w:p w14:paraId="4AA17F54" w14:textId="77777777" w:rsidR="00620ACA" w:rsidRPr="00086F9A" w:rsidRDefault="00620ACA" w:rsidP="00087F7B">
            <w:pPr>
              <w:pStyle w:val="TableTextRight"/>
              <w:rPr>
                <w:lang w:eastAsia="en-AU"/>
              </w:rPr>
            </w:pPr>
            <w:r w:rsidRPr="00086F9A">
              <w:rPr>
                <w:lang w:eastAsia="en-AU"/>
              </w:rPr>
              <w:t>0</w:t>
            </w:r>
          </w:p>
        </w:tc>
        <w:tc>
          <w:tcPr>
            <w:tcW w:w="1418" w:type="dxa"/>
            <w:tcBorders>
              <w:left w:val="nil"/>
              <w:right w:val="nil"/>
            </w:tcBorders>
          </w:tcPr>
          <w:p w14:paraId="309E93E1" w14:textId="77777777" w:rsidR="00620ACA" w:rsidRPr="00086F9A" w:rsidRDefault="00620ACA" w:rsidP="00087F7B">
            <w:pPr>
              <w:pStyle w:val="TableTextRight"/>
              <w:rPr>
                <w:lang w:eastAsia="en-AU"/>
              </w:rPr>
            </w:pPr>
            <w:r w:rsidRPr="00086F9A">
              <w:rPr>
                <w:lang w:eastAsia="en-AU"/>
              </w:rPr>
              <w:t>0</w:t>
            </w:r>
          </w:p>
        </w:tc>
        <w:tc>
          <w:tcPr>
            <w:tcW w:w="1129" w:type="dxa"/>
            <w:tcBorders>
              <w:left w:val="nil"/>
              <w:right w:val="nil"/>
            </w:tcBorders>
          </w:tcPr>
          <w:p w14:paraId="4E9BFAD3" w14:textId="77777777" w:rsidR="00620ACA" w:rsidRPr="00086F9A" w:rsidRDefault="00620ACA" w:rsidP="00087F7B">
            <w:pPr>
              <w:pStyle w:val="TableTextRight"/>
              <w:rPr>
                <w:lang w:eastAsia="en-AU"/>
              </w:rPr>
            </w:pPr>
            <w:r w:rsidRPr="00086F9A">
              <w:rPr>
                <w:lang w:eastAsia="en-AU"/>
              </w:rPr>
              <w:t>0</w:t>
            </w:r>
          </w:p>
        </w:tc>
      </w:tr>
      <w:tr w:rsidR="00620ACA" w:rsidRPr="00415BCA" w14:paraId="086CC843" w14:textId="77777777" w:rsidTr="00620ACA">
        <w:tc>
          <w:tcPr>
            <w:tcW w:w="1605" w:type="dxa"/>
            <w:vMerge/>
            <w:tcBorders>
              <w:left w:val="nil"/>
              <w:right w:val="nil"/>
            </w:tcBorders>
          </w:tcPr>
          <w:p w14:paraId="7B7C65CB" w14:textId="77777777" w:rsidR="00620ACA" w:rsidRPr="00086F9A" w:rsidRDefault="00620ACA" w:rsidP="00087F7B">
            <w:pPr>
              <w:pStyle w:val="TableText"/>
              <w:rPr>
                <w:lang w:eastAsia="en-AU"/>
              </w:rPr>
            </w:pPr>
          </w:p>
        </w:tc>
        <w:tc>
          <w:tcPr>
            <w:tcW w:w="2081" w:type="dxa"/>
            <w:tcBorders>
              <w:left w:val="nil"/>
              <w:right w:val="nil"/>
            </w:tcBorders>
          </w:tcPr>
          <w:p w14:paraId="6E5A1C92" w14:textId="77777777" w:rsidR="00620ACA" w:rsidRPr="00086F9A" w:rsidRDefault="00620ACA" w:rsidP="00087F7B">
            <w:pPr>
              <w:pStyle w:val="TableText"/>
              <w:rPr>
                <w:lang w:eastAsia="en-AU"/>
              </w:rPr>
            </w:pPr>
            <w:r w:rsidRPr="00086F9A">
              <w:rPr>
                <w:lang w:eastAsia="en-AU"/>
              </w:rPr>
              <w:t>1.0 m or lower</w:t>
            </w:r>
          </w:p>
        </w:tc>
        <w:tc>
          <w:tcPr>
            <w:tcW w:w="993" w:type="dxa"/>
            <w:tcBorders>
              <w:left w:val="nil"/>
              <w:right w:val="nil"/>
            </w:tcBorders>
          </w:tcPr>
          <w:p w14:paraId="120708C0" w14:textId="77777777" w:rsidR="00620ACA" w:rsidRPr="00086F9A" w:rsidRDefault="00620ACA" w:rsidP="00087F7B">
            <w:pPr>
              <w:pStyle w:val="TableTextRight"/>
              <w:rPr>
                <w:lang w:eastAsia="en-AU"/>
              </w:rPr>
            </w:pPr>
            <w:r w:rsidRPr="00086F9A">
              <w:rPr>
                <w:lang w:eastAsia="en-AU"/>
              </w:rPr>
              <w:t>20</w:t>
            </w:r>
          </w:p>
        </w:tc>
        <w:tc>
          <w:tcPr>
            <w:tcW w:w="1135" w:type="dxa"/>
            <w:tcBorders>
              <w:left w:val="nil"/>
              <w:right w:val="nil"/>
            </w:tcBorders>
          </w:tcPr>
          <w:p w14:paraId="32E75D08" w14:textId="77777777" w:rsidR="00620ACA" w:rsidRPr="00086F9A" w:rsidRDefault="00620ACA" w:rsidP="00087F7B">
            <w:pPr>
              <w:pStyle w:val="TableTextRight"/>
              <w:rPr>
                <w:lang w:eastAsia="en-AU"/>
              </w:rPr>
            </w:pPr>
            <w:r w:rsidRPr="00086F9A">
              <w:rPr>
                <w:lang w:eastAsia="en-AU"/>
              </w:rPr>
              <w:t>325</w:t>
            </w:r>
          </w:p>
        </w:tc>
        <w:tc>
          <w:tcPr>
            <w:tcW w:w="1277" w:type="dxa"/>
            <w:tcBorders>
              <w:left w:val="nil"/>
              <w:right w:val="nil"/>
            </w:tcBorders>
          </w:tcPr>
          <w:p w14:paraId="70E8C6FB" w14:textId="77777777" w:rsidR="00620ACA" w:rsidRPr="00086F9A" w:rsidRDefault="00620ACA" w:rsidP="00087F7B">
            <w:pPr>
              <w:pStyle w:val="TableTextRight"/>
              <w:rPr>
                <w:lang w:eastAsia="en-AU"/>
              </w:rPr>
            </w:pPr>
            <w:r w:rsidRPr="00086F9A">
              <w:rPr>
                <w:lang w:eastAsia="en-AU"/>
              </w:rPr>
              <w:t>0</w:t>
            </w:r>
          </w:p>
        </w:tc>
        <w:tc>
          <w:tcPr>
            <w:tcW w:w="1418" w:type="dxa"/>
            <w:tcBorders>
              <w:left w:val="nil"/>
              <w:right w:val="nil"/>
            </w:tcBorders>
          </w:tcPr>
          <w:p w14:paraId="2D268B8A" w14:textId="77777777" w:rsidR="00620ACA" w:rsidRPr="00086F9A" w:rsidRDefault="00620ACA" w:rsidP="00087F7B">
            <w:pPr>
              <w:pStyle w:val="TableTextRight"/>
              <w:rPr>
                <w:lang w:eastAsia="en-AU"/>
              </w:rPr>
            </w:pPr>
            <w:r w:rsidRPr="00086F9A">
              <w:rPr>
                <w:lang w:eastAsia="en-AU"/>
              </w:rPr>
              <w:t>15</w:t>
            </w:r>
          </w:p>
        </w:tc>
        <w:tc>
          <w:tcPr>
            <w:tcW w:w="1129" w:type="dxa"/>
            <w:tcBorders>
              <w:left w:val="nil"/>
              <w:right w:val="nil"/>
            </w:tcBorders>
          </w:tcPr>
          <w:p w14:paraId="3AC3E674" w14:textId="77777777" w:rsidR="00620ACA" w:rsidRPr="00086F9A" w:rsidRDefault="00620ACA" w:rsidP="00087F7B">
            <w:pPr>
              <w:pStyle w:val="TableTextRight"/>
              <w:rPr>
                <w:lang w:eastAsia="en-AU"/>
              </w:rPr>
            </w:pPr>
            <w:r w:rsidRPr="00086F9A">
              <w:rPr>
                <w:lang w:eastAsia="en-AU"/>
              </w:rPr>
              <w:t>0</w:t>
            </w:r>
          </w:p>
        </w:tc>
      </w:tr>
    </w:tbl>
    <w:p w14:paraId="15CAAB11" w14:textId="2BFA2769" w:rsidR="009D6AB1" w:rsidRPr="00087F7B" w:rsidRDefault="009D6AB1" w:rsidP="00087F7B">
      <w:pPr>
        <w:pStyle w:val="Caption"/>
      </w:pPr>
      <w:bookmarkStart w:id="599" w:name="_Ref227828432"/>
      <w:bookmarkStart w:id="600" w:name="_Toc230692317"/>
      <w:bookmarkStart w:id="601" w:name="_Toc233036538"/>
      <w:r w:rsidRPr="00087F7B">
        <w:t xml:space="preserve">Table </w:t>
      </w:r>
      <w:fldSimple w:instr=" SEQ Table \* ARABIC ">
        <w:r w:rsidR="00087F7B">
          <w:rPr>
            <w:noProof/>
          </w:rPr>
          <w:t>51</w:t>
        </w:r>
      </w:fldSimple>
      <w:bookmarkEnd w:id="599"/>
      <w:r w:rsidRPr="00087F7B">
        <w:t>: Diquat/paraquat co-formulated product buffer zones for boom sprayers</w:t>
      </w:r>
      <w:bookmarkEnd w:id="600"/>
      <w:bookmarkEnd w:id="601"/>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19"/>
        <w:gridCol w:w="1517"/>
        <w:gridCol w:w="1132"/>
        <w:gridCol w:w="1336"/>
        <w:gridCol w:w="1378"/>
        <w:gridCol w:w="1378"/>
        <w:gridCol w:w="1378"/>
      </w:tblGrid>
      <w:tr w:rsidR="00D51EA7" w:rsidRPr="00D51EA7" w14:paraId="293505CD" w14:textId="77777777" w:rsidTr="00784993">
        <w:trPr>
          <w:trHeight w:val="300"/>
          <w:tblHeader/>
        </w:trPr>
        <w:tc>
          <w:tcPr>
            <w:tcW w:w="5000" w:type="pct"/>
            <w:gridSpan w:val="7"/>
            <w:shd w:val="clear" w:color="auto" w:fill="5C2946"/>
          </w:tcPr>
          <w:p w14:paraId="173361A0" w14:textId="77777777" w:rsidR="00D51EA7" w:rsidRPr="00D51EA7" w:rsidRDefault="00D51EA7" w:rsidP="00087F7B">
            <w:pPr>
              <w:pStyle w:val="TableHead"/>
              <w:rPr>
                <w:lang w:eastAsia="en-AU"/>
              </w:rPr>
            </w:pPr>
            <w:r w:rsidRPr="00D51EA7">
              <w:rPr>
                <w:lang w:eastAsia="en-AU"/>
              </w:rPr>
              <w:t>Diquat-paraquat co-formulated chemical products – buffer zones for boom sprayers</w:t>
            </w:r>
          </w:p>
        </w:tc>
      </w:tr>
      <w:tr w:rsidR="00D51EA7" w:rsidRPr="00D51EA7" w14:paraId="053D2F60" w14:textId="77777777" w:rsidTr="00784993">
        <w:trPr>
          <w:trHeight w:val="300"/>
          <w:tblHeader/>
        </w:trPr>
        <w:tc>
          <w:tcPr>
            <w:tcW w:w="788" w:type="pct"/>
            <w:vMerge w:val="restart"/>
            <w:tcBorders>
              <w:right w:val="nil"/>
            </w:tcBorders>
            <w:shd w:val="clear" w:color="auto" w:fill="5C2946"/>
            <w:hideMark/>
          </w:tcPr>
          <w:p w14:paraId="722C58AB" w14:textId="77777777" w:rsidR="00D51EA7" w:rsidRPr="00D51EA7" w:rsidRDefault="00D51EA7" w:rsidP="00087F7B">
            <w:pPr>
              <w:pStyle w:val="TableHead"/>
              <w:rPr>
                <w:lang w:eastAsia="en-AU"/>
              </w:rPr>
            </w:pPr>
            <w:r w:rsidRPr="00D51EA7">
              <w:rPr>
                <w:lang w:eastAsia="en-AU"/>
              </w:rPr>
              <w:t>Application rate</w:t>
            </w:r>
          </w:p>
        </w:tc>
        <w:tc>
          <w:tcPr>
            <w:tcW w:w="787" w:type="pct"/>
            <w:vMerge w:val="restart"/>
            <w:tcBorders>
              <w:left w:val="nil"/>
              <w:right w:val="nil"/>
            </w:tcBorders>
            <w:shd w:val="clear" w:color="auto" w:fill="5C2946"/>
            <w:hideMark/>
          </w:tcPr>
          <w:p w14:paraId="2A52981A" w14:textId="77777777" w:rsidR="00D51EA7" w:rsidRPr="00D51EA7" w:rsidRDefault="00D51EA7" w:rsidP="00087F7B">
            <w:pPr>
              <w:pStyle w:val="TableHead"/>
              <w:rPr>
                <w:lang w:eastAsia="en-AU"/>
              </w:rPr>
            </w:pPr>
            <w:r w:rsidRPr="00D51EA7">
              <w:rPr>
                <w:lang w:eastAsia="en-AU"/>
              </w:rPr>
              <w:t>Boom height above the target canopy</w:t>
            </w:r>
          </w:p>
        </w:tc>
        <w:tc>
          <w:tcPr>
            <w:tcW w:w="3425" w:type="pct"/>
            <w:gridSpan w:val="5"/>
            <w:tcBorders>
              <w:left w:val="nil"/>
            </w:tcBorders>
            <w:shd w:val="clear" w:color="auto" w:fill="5C2946"/>
            <w:hideMark/>
          </w:tcPr>
          <w:p w14:paraId="3DA1DA36" w14:textId="77777777" w:rsidR="00D51EA7" w:rsidRPr="00D51EA7" w:rsidRDefault="00D51EA7" w:rsidP="00087F7B">
            <w:pPr>
              <w:pStyle w:val="TableHead"/>
              <w:rPr>
                <w:lang w:eastAsia="en-AU"/>
              </w:rPr>
            </w:pPr>
            <w:r w:rsidRPr="00D51EA7">
              <w:rPr>
                <w:lang w:eastAsia="en-AU"/>
              </w:rPr>
              <w:t>Mandatory downwind buffer zones (metres)</w:t>
            </w:r>
          </w:p>
        </w:tc>
      </w:tr>
      <w:tr w:rsidR="00D51EA7" w:rsidRPr="00D51EA7" w14:paraId="76612357" w14:textId="77777777" w:rsidTr="00784993">
        <w:trPr>
          <w:trHeight w:val="585"/>
          <w:tblHeader/>
        </w:trPr>
        <w:tc>
          <w:tcPr>
            <w:tcW w:w="788" w:type="pct"/>
            <w:vMerge/>
            <w:tcBorders>
              <w:right w:val="nil"/>
            </w:tcBorders>
            <w:shd w:val="clear" w:color="auto" w:fill="5C2946"/>
            <w:hideMark/>
          </w:tcPr>
          <w:p w14:paraId="174F1C9E" w14:textId="77777777" w:rsidR="00D51EA7" w:rsidRPr="00D51EA7" w:rsidRDefault="00D51EA7" w:rsidP="00086F9A">
            <w:pPr>
              <w:keepNext/>
              <w:keepLines/>
              <w:suppressAutoHyphens/>
              <w:spacing w:before="60" w:after="60" w:line="240" w:lineRule="exact"/>
              <w:rPr>
                <w:rFonts w:ascii="Franklin Gothic Medium" w:hAnsi="Franklin Gothic Medium" w:cs="Arial"/>
                <w:bCs/>
                <w:color w:val="F8F8F8"/>
                <w:spacing w:val="6"/>
                <w:kern w:val="20"/>
                <w:sz w:val="18"/>
                <w:u w:color="000000"/>
                <w:lang w:eastAsia="en-AU"/>
              </w:rPr>
            </w:pPr>
          </w:p>
        </w:tc>
        <w:tc>
          <w:tcPr>
            <w:tcW w:w="787" w:type="pct"/>
            <w:vMerge/>
            <w:tcBorders>
              <w:left w:val="nil"/>
              <w:right w:val="nil"/>
            </w:tcBorders>
            <w:shd w:val="clear" w:color="auto" w:fill="5C2946"/>
            <w:hideMark/>
          </w:tcPr>
          <w:p w14:paraId="5109895A" w14:textId="77777777" w:rsidR="00D51EA7" w:rsidRPr="00D51EA7" w:rsidRDefault="00D51EA7" w:rsidP="00086F9A">
            <w:pPr>
              <w:keepNext/>
              <w:keepLines/>
              <w:suppressAutoHyphens/>
              <w:spacing w:before="60" w:after="60" w:line="240" w:lineRule="exact"/>
              <w:rPr>
                <w:rFonts w:ascii="Franklin Gothic Medium" w:hAnsi="Franklin Gothic Medium" w:cs="Arial"/>
                <w:bCs/>
                <w:color w:val="F8F8F8"/>
                <w:spacing w:val="6"/>
                <w:kern w:val="20"/>
                <w:sz w:val="18"/>
                <w:u w:color="000000"/>
                <w:lang w:eastAsia="en-AU"/>
              </w:rPr>
            </w:pPr>
          </w:p>
        </w:tc>
        <w:tc>
          <w:tcPr>
            <w:tcW w:w="587" w:type="pct"/>
            <w:tcBorders>
              <w:left w:val="nil"/>
              <w:right w:val="nil"/>
            </w:tcBorders>
            <w:shd w:val="clear" w:color="auto" w:fill="5C2946"/>
            <w:hideMark/>
          </w:tcPr>
          <w:p w14:paraId="75E7251F" w14:textId="77777777" w:rsidR="00D51EA7" w:rsidRPr="00D51EA7" w:rsidRDefault="00D51EA7" w:rsidP="00087F7B">
            <w:pPr>
              <w:pStyle w:val="TableHeadRight"/>
              <w:rPr>
                <w:lang w:eastAsia="en-AU"/>
              </w:rPr>
            </w:pPr>
            <w:r w:rsidRPr="00D51EA7">
              <w:rPr>
                <w:lang w:eastAsia="en-AU"/>
              </w:rPr>
              <w:t>Bystander areas</w:t>
            </w:r>
          </w:p>
        </w:tc>
        <w:tc>
          <w:tcPr>
            <w:tcW w:w="693" w:type="pct"/>
            <w:tcBorders>
              <w:left w:val="nil"/>
              <w:right w:val="nil"/>
            </w:tcBorders>
            <w:shd w:val="clear" w:color="auto" w:fill="5C2946"/>
            <w:hideMark/>
          </w:tcPr>
          <w:p w14:paraId="3F8817E3" w14:textId="77777777" w:rsidR="00D51EA7" w:rsidRPr="00D51EA7" w:rsidRDefault="00D51EA7" w:rsidP="00087F7B">
            <w:pPr>
              <w:pStyle w:val="TableHeadRight"/>
              <w:rPr>
                <w:lang w:eastAsia="en-AU"/>
              </w:rPr>
            </w:pPr>
            <w:r w:rsidRPr="00D51EA7">
              <w:rPr>
                <w:lang w:eastAsia="en-AU"/>
              </w:rPr>
              <w:t>Natural aquatic areas</w:t>
            </w:r>
          </w:p>
        </w:tc>
        <w:tc>
          <w:tcPr>
            <w:tcW w:w="715" w:type="pct"/>
            <w:tcBorders>
              <w:left w:val="nil"/>
              <w:right w:val="nil"/>
            </w:tcBorders>
            <w:shd w:val="clear" w:color="auto" w:fill="5C2946"/>
            <w:hideMark/>
          </w:tcPr>
          <w:p w14:paraId="63094298" w14:textId="77777777" w:rsidR="00D51EA7" w:rsidRPr="00D51EA7" w:rsidRDefault="00D51EA7" w:rsidP="00087F7B">
            <w:pPr>
              <w:pStyle w:val="TableHeadRight"/>
              <w:rPr>
                <w:lang w:eastAsia="en-AU"/>
              </w:rPr>
            </w:pPr>
            <w:r w:rsidRPr="00D51EA7">
              <w:rPr>
                <w:lang w:eastAsia="en-AU"/>
              </w:rPr>
              <w:t>Pollinator areas</w:t>
            </w:r>
          </w:p>
        </w:tc>
        <w:tc>
          <w:tcPr>
            <w:tcW w:w="715" w:type="pct"/>
            <w:tcBorders>
              <w:left w:val="nil"/>
              <w:right w:val="nil"/>
            </w:tcBorders>
            <w:shd w:val="clear" w:color="auto" w:fill="5C2946"/>
            <w:hideMark/>
          </w:tcPr>
          <w:p w14:paraId="754CA6F8" w14:textId="77777777" w:rsidR="00D51EA7" w:rsidRPr="00D51EA7" w:rsidRDefault="00D51EA7" w:rsidP="00087F7B">
            <w:pPr>
              <w:pStyle w:val="TableHeadRight"/>
              <w:rPr>
                <w:lang w:eastAsia="en-AU"/>
              </w:rPr>
            </w:pPr>
            <w:r w:rsidRPr="00D51EA7">
              <w:rPr>
                <w:lang w:eastAsia="en-AU"/>
              </w:rPr>
              <w:t>Vegetation areas</w:t>
            </w:r>
          </w:p>
        </w:tc>
        <w:tc>
          <w:tcPr>
            <w:tcW w:w="715" w:type="pct"/>
            <w:tcBorders>
              <w:left w:val="nil"/>
            </w:tcBorders>
            <w:shd w:val="clear" w:color="auto" w:fill="5C2946"/>
            <w:hideMark/>
          </w:tcPr>
          <w:p w14:paraId="18AE6B90" w14:textId="77777777" w:rsidR="00D51EA7" w:rsidRPr="00D51EA7" w:rsidRDefault="00D51EA7" w:rsidP="00087F7B">
            <w:pPr>
              <w:pStyle w:val="TableHeadRight"/>
              <w:rPr>
                <w:lang w:eastAsia="en-AU"/>
              </w:rPr>
            </w:pPr>
            <w:r w:rsidRPr="00D51EA7">
              <w:rPr>
                <w:lang w:eastAsia="en-AU"/>
              </w:rPr>
              <w:t>Livestock areas</w:t>
            </w:r>
          </w:p>
        </w:tc>
      </w:tr>
      <w:tr w:rsidR="00D51EA7" w:rsidRPr="00D51EA7" w14:paraId="6B6A2EA2" w14:textId="77777777" w:rsidTr="00784993">
        <w:trPr>
          <w:trHeight w:val="300"/>
        </w:trPr>
        <w:tc>
          <w:tcPr>
            <w:tcW w:w="788" w:type="pct"/>
            <w:vMerge w:val="restart"/>
            <w:tcBorders>
              <w:right w:val="nil"/>
            </w:tcBorders>
            <w:vAlign w:val="center"/>
          </w:tcPr>
          <w:p w14:paraId="0795AB02" w14:textId="77777777" w:rsidR="00D51EA7" w:rsidRPr="00D51EA7" w:rsidRDefault="00D51EA7" w:rsidP="00087F7B">
            <w:pPr>
              <w:pStyle w:val="TableText"/>
              <w:rPr>
                <w:lang w:eastAsia="en-AU"/>
              </w:rPr>
            </w:pPr>
            <w:r w:rsidRPr="00D51EA7">
              <w:rPr>
                <w:lang w:eastAsia="en-AU"/>
              </w:rPr>
              <w:t>250 g acs/ha or lower</w:t>
            </w:r>
          </w:p>
        </w:tc>
        <w:tc>
          <w:tcPr>
            <w:tcW w:w="787" w:type="pct"/>
            <w:tcBorders>
              <w:left w:val="nil"/>
              <w:right w:val="nil"/>
            </w:tcBorders>
            <w:vAlign w:val="center"/>
          </w:tcPr>
          <w:p w14:paraId="13CE1C82" w14:textId="77777777" w:rsidR="00D51EA7" w:rsidRPr="00D51EA7" w:rsidRDefault="00D51EA7" w:rsidP="00087F7B">
            <w:pPr>
              <w:pStyle w:val="TableText"/>
              <w:rPr>
                <w:lang w:eastAsia="en-AU"/>
              </w:rPr>
            </w:pPr>
            <w:r w:rsidRPr="00D51EA7">
              <w:rPr>
                <w:lang w:eastAsia="en-AU"/>
              </w:rPr>
              <w:t>0.5 m or lower</w:t>
            </w:r>
          </w:p>
        </w:tc>
        <w:tc>
          <w:tcPr>
            <w:tcW w:w="587" w:type="pct"/>
            <w:tcBorders>
              <w:left w:val="nil"/>
              <w:right w:val="nil"/>
            </w:tcBorders>
          </w:tcPr>
          <w:p w14:paraId="65286437" w14:textId="77777777" w:rsidR="00D51EA7" w:rsidRPr="00D51EA7" w:rsidRDefault="00D51EA7" w:rsidP="00087F7B">
            <w:pPr>
              <w:pStyle w:val="TableTextRight"/>
            </w:pPr>
            <w:r w:rsidRPr="00D51EA7">
              <w:t>10</w:t>
            </w:r>
          </w:p>
        </w:tc>
        <w:tc>
          <w:tcPr>
            <w:tcW w:w="693" w:type="pct"/>
            <w:tcBorders>
              <w:left w:val="nil"/>
              <w:right w:val="nil"/>
            </w:tcBorders>
          </w:tcPr>
          <w:p w14:paraId="59998CA3" w14:textId="77777777" w:rsidR="00D51EA7" w:rsidRPr="00D51EA7" w:rsidRDefault="00D51EA7" w:rsidP="00087F7B">
            <w:pPr>
              <w:pStyle w:val="TableTextRight"/>
              <w:rPr>
                <w:lang w:eastAsia="en-AU"/>
              </w:rPr>
            </w:pPr>
            <w:r w:rsidRPr="00D51EA7">
              <w:rPr>
                <w:lang w:eastAsia="en-AU"/>
              </w:rPr>
              <w:t>40</w:t>
            </w:r>
          </w:p>
        </w:tc>
        <w:tc>
          <w:tcPr>
            <w:tcW w:w="715" w:type="pct"/>
            <w:tcBorders>
              <w:left w:val="nil"/>
              <w:right w:val="nil"/>
            </w:tcBorders>
          </w:tcPr>
          <w:p w14:paraId="72B53050" w14:textId="77777777" w:rsidR="00D51EA7" w:rsidRPr="00D51EA7" w:rsidRDefault="00D51EA7" w:rsidP="00087F7B">
            <w:pPr>
              <w:pStyle w:val="TableTextRight"/>
              <w:rPr>
                <w:lang w:eastAsia="en-AU"/>
              </w:rPr>
            </w:pPr>
            <w:r w:rsidRPr="00D51EA7">
              <w:rPr>
                <w:lang w:eastAsia="en-AU"/>
              </w:rPr>
              <w:t>0</w:t>
            </w:r>
          </w:p>
        </w:tc>
        <w:tc>
          <w:tcPr>
            <w:tcW w:w="715" w:type="pct"/>
            <w:tcBorders>
              <w:left w:val="nil"/>
              <w:right w:val="nil"/>
            </w:tcBorders>
          </w:tcPr>
          <w:p w14:paraId="2C0B6ADE" w14:textId="77777777" w:rsidR="00D51EA7" w:rsidRPr="00D51EA7" w:rsidRDefault="00D51EA7" w:rsidP="00087F7B">
            <w:pPr>
              <w:pStyle w:val="TableTextRight"/>
              <w:rPr>
                <w:lang w:eastAsia="en-AU"/>
              </w:rPr>
            </w:pPr>
            <w:r w:rsidRPr="00D51EA7">
              <w:rPr>
                <w:lang w:eastAsia="en-AU"/>
              </w:rPr>
              <w:t>0</w:t>
            </w:r>
          </w:p>
        </w:tc>
        <w:tc>
          <w:tcPr>
            <w:tcW w:w="715" w:type="pct"/>
            <w:tcBorders>
              <w:left w:val="nil"/>
            </w:tcBorders>
          </w:tcPr>
          <w:p w14:paraId="4D0F9F96" w14:textId="77777777" w:rsidR="00D51EA7" w:rsidRPr="00D51EA7" w:rsidRDefault="00D51EA7" w:rsidP="00087F7B">
            <w:pPr>
              <w:pStyle w:val="TableTextRight"/>
              <w:rPr>
                <w:lang w:eastAsia="en-AU"/>
              </w:rPr>
            </w:pPr>
            <w:r w:rsidRPr="00D51EA7">
              <w:rPr>
                <w:lang w:eastAsia="en-AU"/>
              </w:rPr>
              <w:t>0</w:t>
            </w:r>
          </w:p>
        </w:tc>
      </w:tr>
      <w:tr w:rsidR="00D51EA7" w:rsidRPr="00D51EA7" w14:paraId="7AF01428" w14:textId="77777777" w:rsidTr="00784993">
        <w:trPr>
          <w:trHeight w:val="300"/>
        </w:trPr>
        <w:tc>
          <w:tcPr>
            <w:tcW w:w="788" w:type="pct"/>
            <w:vMerge/>
            <w:tcBorders>
              <w:right w:val="nil"/>
            </w:tcBorders>
            <w:vAlign w:val="center"/>
          </w:tcPr>
          <w:p w14:paraId="638BE154" w14:textId="77777777" w:rsidR="00D51EA7" w:rsidRPr="00D51EA7" w:rsidRDefault="00D51EA7" w:rsidP="00087F7B">
            <w:pPr>
              <w:pStyle w:val="TableText"/>
              <w:rPr>
                <w:lang w:eastAsia="en-AU"/>
              </w:rPr>
            </w:pPr>
          </w:p>
        </w:tc>
        <w:tc>
          <w:tcPr>
            <w:tcW w:w="787" w:type="pct"/>
            <w:tcBorders>
              <w:left w:val="nil"/>
              <w:right w:val="nil"/>
            </w:tcBorders>
            <w:vAlign w:val="center"/>
          </w:tcPr>
          <w:p w14:paraId="085043B0" w14:textId="77777777" w:rsidR="00D51EA7" w:rsidRPr="00D51EA7" w:rsidRDefault="00D51EA7" w:rsidP="00087F7B">
            <w:pPr>
              <w:pStyle w:val="TableText"/>
              <w:rPr>
                <w:lang w:eastAsia="en-AU"/>
              </w:rPr>
            </w:pPr>
            <w:r w:rsidRPr="00D51EA7">
              <w:rPr>
                <w:lang w:eastAsia="en-AU"/>
              </w:rPr>
              <w:t>1.0 m or lower</w:t>
            </w:r>
          </w:p>
        </w:tc>
        <w:tc>
          <w:tcPr>
            <w:tcW w:w="587" w:type="pct"/>
            <w:tcBorders>
              <w:left w:val="nil"/>
              <w:right w:val="nil"/>
            </w:tcBorders>
          </w:tcPr>
          <w:p w14:paraId="0A416732" w14:textId="77777777" w:rsidR="00D51EA7" w:rsidRPr="00D51EA7" w:rsidRDefault="00D51EA7" w:rsidP="00087F7B">
            <w:pPr>
              <w:pStyle w:val="TableTextRight"/>
            </w:pPr>
            <w:r w:rsidRPr="00D51EA7">
              <w:t>50</w:t>
            </w:r>
          </w:p>
        </w:tc>
        <w:tc>
          <w:tcPr>
            <w:tcW w:w="693" w:type="pct"/>
            <w:tcBorders>
              <w:left w:val="nil"/>
              <w:right w:val="nil"/>
            </w:tcBorders>
          </w:tcPr>
          <w:p w14:paraId="0A209BBF" w14:textId="77777777" w:rsidR="00D51EA7" w:rsidRPr="00D51EA7" w:rsidRDefault="00D51EA7" w:rsidP="00087F7B">
            <w:pPr>
              <w:pStyle w:val="TableTextRight"/>
              <w:rPr>
                <w:lang w:eastAsia="en-AU"/>
              </w:rPr>
            </w:pPr>
            <w:r w:rsidRPr="00D51EA7">
              <w:rPr>
                <w:lang w:eastAsia="en-AU"/>
              </w:rPr>
              <w:t>120</w:t>
            </w:r>
          </w:p>
        </w:tc>
        <w:tc>
          <w:tcPr>
            <w:tcW w:w="715" w:type="pct"/>
            <w:tcBorders>
              <w:left w:val="nil"/>
              <w:right w:val="nil"/>
            </w:tcBorders>
          </w:tcPr>
          <w:p w14:paraId="200392CE" w14:textId="77777777" w:rsidR="00D51EA7" w:rsidRPr="00D51EA7" w:rsidRDefault="00D51EA7" w:rsidP="00087F7B">
            <w:pPr>
              <w:pStyle w:val="TableTextRight"/>
              <w:rPr>
                <w:lang w:eastAsia="en-AU"/>
              </w:rPr>
            </w:pPr>
            <w:r w:rsidRPr="00D51EA7">
              <w:rPr>
                <w:lang w:eastAsia="en-AU"/>
              </w:rPr>
              <w:t>0</w:t>
            </w:r>
          </w:p>
        </w:tc>
        <w:tc>
          <w:tcPr>
            <w:tcW w:w="715" w:type="pct"/>
            <w:tcBorders>
              <w:left w:val="nil"/>
              <w:right w:val="nil"/>
            </w:tcBorders>
          </w:tcPr>
          <w:p w14:paraId="4423A6F4" w14:textId="77777777" w:rsidR="00D51EA7" w:rsidRPr="00D51EA7" w:rsidRDefault="00D51EA7" w:rsidP="00087F7B">
            <w:pPr>
              <w:pStyle w:val="TableTextRight"/>
              <w:rPr>
                <w:lang w:eastAsia="en-AU"/>
              </w:rPr>
            </w:pPr>
            <w:r w:rsidRPr="00D51EA7">
              <w:rPr>
                <w:lang w:eastAsia="en-AU"/>
              </w:rPr>
              <w:t>20</w:t>
            </w:r>
          </w:p>
        </w:tc>
        <w:tc>
          <w:tcPr>
            <w:tcW w:w="715" w:type="pct"/>
            <w:tcBorders>
              <w:left w:val="nil"/>
            </w:tcBorders>
          </w:tcPr>
          <w:p w14:paraId="26C8A85F" w14:textId="77777777" w:rsidR="00D51EA7" w:rsidRPr="00D51EA7" w:rsidRDefault="00D51EA7" w:rsidP="00087F7B">
            <w:pPr>
              <w:pStyle w:val="TableTextRight"/>
              <w:rPr>
                <w:lang w:eastAsia="en-AU"/>
              </w:rPr>
            </w:pPr>
            <w:r w:rsidRPr="00D51EA7">
              <w:rPr>
                <w:lang w:eastAsia="en-AU"/>
              </w:rPr>
              <w:t>0</w:t>
            </w:r>
          </w:p>
        </w:tc>
      </w:tr>
      <w:tr w:rsidR="00D51EA7" w:rsidRPr="00D51EA7" w14:paraId="5E04E591" w14:textId="77777777" w:rsidTr="00784993">
        <w:trPr>
          <w:trHeight w:val="300"/>
        </w:trPr>
        <w:tc>
          <w:tcPr>
            <w:tcW w:w="788" w:type="pct"/>
            <w:vMerge w:val="restart"/>
            <w:tcBorders>
              <w:right w:val="nil"/>
            </w:tcBorders>
            <w:vAlign w:val="center"/>
          </w:tcPr>
          <w:p w14:paraId="674245F4" w14:textId="77777777" w:rsidR="00D51EA7" w:rsidRPr="00D51EA7" w:rsidRDefault="00D51EA7" w:rsidP="00087F7B">
            <w:pPr>
              <w:pStyle w:val="TableText"/>
              <w:rPr>
                <w:lang w:eastAsia="en-AU"/>
              </w:rPr>
            </w:pPr>
            <w:r w:rsidRPr="00D51EA7">
              <w:rPr>
                <w:lang w:eastAsia="en-AU"/>
              </w:rPr>
              <w:t>200 g acs/ha or lower</w:t>
            </w:r>
          </w:p>
        </w:tc>
        <w:tc>
          <w:tcPr>
            <w:tcW w:w="787" w:type="pct"/>
            <w:tcBorders>
              <w:left w:val="nil"/>
              <w:right w:val="nil"/>
            </w:tcBorders>
            <w:vAlign w:val="center"/>
          </w:tcPr>
          <w:p w14:paraId="7482928E" w14:textId="77777777" w:rsidR="00D51EA7" w:rsidRPr="00D51EA7" w:rsidRDefault="00D51EA7" w:rsidP="00087F7B">
            <w:pPr>
              <w:pStyle w:val="TableText"/>
              <w:rPr>
                <w:lang w:eastAsia="en-AU"/>
              </w:rPr>
            </w:pPr>
            <w:r w:rsidRPr="00D51EA7">
              <w:rPr>
                <w:lang w:eastAsia="en-AU"/>
              </w:rPr>
              <w:t>0.5 m or lower</w:t>
            </w:r>
          </w:p>
        </w:tc>
        <w:tc>
          <w:tcPr>
            <w:tcW w:w="587" w:type="pct"/>
            <w:tcBorders>
              <w:left w:val="nil"/>
              <w:right w:val="nil"/>
            </w:tcBorders>
          </w:tcPr>
          <w:p w14:paraId="503D4786" w14:textId="77777777" w:rsidR="00D51EA7" w:rsidRPr="00D51EA7" w:rsidRDefault="00D51EA7" w:rsidP="00087F7B">
            <w:pPr>
              <w:pStyle w:val="TableTextRight"/>
            </w:pPr>
            <w:r w:rsidRPr="00D51EA7">
              <w:t>10</w:t>
            </w:r>
          </w:p>
        </w:tc>
        <w:tc>
          <w:tcPr>
            <w:tcW w:w="693" w:type="pct"/>
            <w:tcBorders>
              <w:left w:val="nil"/>
              <w:right w:val="nil"/>
            </w:tcBorders>
          </w:tcPr>
          <w:p w14:paraId="59EDB5EC" w14:textId="77777777" w:rsidR="00D51EA7" w:rsidRPr="00D51EA7" w:rsidRDefault="00D51EA7" w:rsidP="00087F7B">
            <w:pPr>
              <w:pStyle w:val="TableTextRight"/>
              <w:rPr>
                <w:lang w:eastAsia="en-AU"/>
              </w:rPr>
            </w:pPr>
            <w:r w:rsidRPr="00D51EA7">
              <w:rPr>
                <w:lang w:eastAsia="en-AU"/>
              </w:rPr>
              <w:t>35</w:t>
            </w:r>
          </w:p>
        </w:tc>
        <w:tc>
          <w:tcPr>
            <w:tcW w:w="715" w:type="pct"/>
            <w:tcBorders>
              <w:left w:val="nil"/>
              <w:right w:val="nil"/>
            </w:tcBorders>
          </w:tcPr>
          <w:p w14:paraId="0F68FB33" w14:textId="77777777" w:rsidR="00D51EA7" w:rsidRPr="00D51EA7" w:rsidRDefault="00D51EA7" w:rsidP="00087F7B">
            <w:pPr>
              <w:pStyle w:val="TableTextRight"/>
              <w:rPr>
                <w:lang w:eastAsia="en-AU"/>
              </w:rPr>
            </w:pPr>
            <w:r w:rsidRPr="00D51EA7">
              <w:rPr>
                <w:lang w:eastAsia="en-AU"/>
              </w:rPr>
              <w:t>0</w:t>
            </w:r>
          </w:p>
        </w:tc>
        <w:tc>
          <w:tcPr>
            <w:tcW w:w="715" w:type="pct"/>
            <w:tcBorders>
              <w:left w:val="nil"/>
              <w:right w:val="nil"/>
            </w:tcBorders>
          </w:tcPr>
          <w:p w14:paraId="49798C8C" w14:textId="77777777" w:rsidR="00D51EA7" w:rsidRPr="00D51EA7" w:rsidRDefault="00D51EA7" w:rsidP="00087F7B">
            <w:pPr>
              <w:pStyle w:val="TableTextRight"/>
              <w:rPr>
                <w:lang w:eastAsia="en-AU"/>
              </w:rPr>
            </w:pPr>
            <w:r w:rsidRPr="00D51EA7">
              <w:rPr>
                <w:lang w:eastAsia="en-AU"/>
              </w:rPr>
              <w:t>0</w:t>
            </w:r>
          </w:p>
        </w:tc>
        <w:tc>
          <w:tcPr>
            <w:tcW w:w="715" w:type="pct"/>
            <w:tcBorders>
              <w:left w:val="nil"/>
            </w:tcBorders>
          </w:tcPr>
          <w:p w14:paraId="5711B977" w14:textId="77777777" w:rsidR="00D51EA7" w:rsidRPr="00D51EA7" w:rsidRDefault="00D51EA7" w:rsidP="00087F7B">
            <w:pPr>
              <w:pStyle w:val="TableTextRight"/>
              <w:rPr>
                <w:lang w:eastAsia="en-AU"/>
              </w:rPr>
            </w:pPr>
            <w:r w:rsidRPr="00D51EA7">
              <w:rPr>
                <w:lang w:eastAsia="en-AU"/>
              </w:rPr>
              <w:t>0</w:t>
            </w:r>
          </w:p>
        </w:tc>
      </w:tr>
      <w:tr w:rsidR="00D51EA7" w:rsidRPr="00D51EA7" w14:paraId="57779A9B" w14:textId="77777777" w:rsidTr="00784993">
        <w:trPr>
          <w:trHeight w:val="300"/>
        </w:trPr>
        <w:tc>
          <w:tcPr>
            <w:tcW w:w="788" w:type="pct"/>
            <w:vMerge/>
            <w:tcBorders>
              <w:right w:val="nil"/>
            </w:tcBorders>
            <w:vAlign w:val="center"/>
          </w:tcPr>
          <w:p w14:paraId="7CE7D59F" w14:textId="77777777" w:rsidR="00D51EA7" w:rsidRPr="00D51EA7" w:rsidRDefault="00D51EA7" w:rsidP="00087F7B">
            <w:pPr>
              <w:pStyle w:val="TableText"/>
              <w:rPr>
                <w:lang w:eastAsia="en-AU"/>
              </w:rPr>
            </w:pPr>
          </w:p>
        </w:tc>
        <w:tc>
          <w:tcPr>
            <w:tcW w:w="787" w:type="pct"/>
            <w:tcBorders>
              <w:left w:val="nil"/>
              <w:right w:val="nil"/>
            </w:tcBorders>
            <w:vAlign w:val="center"/>
          </w:tcPr>
          <w:p w14:paraId="64FB2ED1" w14:textId="77777777" w:rsidR="00D51EA7" w:rsidRPr="00D51EA7" w:rsidRDefault="00D51EA7" w:rsidP="00087F7B">
            <w:pPr>
              <w:pStyle w:val="TableText"/>
              <w:rPr>
                <w:lang w:eastAsia="en-AU"/>
              </w:rPr>
            </w:pPr>
            <w:r w:rsidRPr="00D51EA7">
              <w:rPr>
                <w:lang w:eastAsia="en-AU"/>
              </w:rPr>
              <w:t>1.0 m or lower</w:t>
            </w:r>
          </w:p>
        </w:tc>
        <w:tc>
          <w:tcPr>
            <w:tcW w:w="587" w:type="pct"/>
            <w:tcBorders>
              <w:left w:val="nil"/>
              <w:right w:val="nil"/>
            </w:tcBorders>
          </w:tcPr>
          <w:p w14:paraId="13400416" w14:textId="77777777" w:rsidR="00D51EA7" w:rsidRPr="00D51EA7" w:rsidRDefault="00D51EA7" w:rsidP="00087F7B">
            <w:pPr>
              <w:pStyle w:val="TableTextRight"/>
            </w:pPr>
            <w:r w:rsidRPr="00D51EA7">
              <w:t>40</w:t>
            </w:r>
          </w:p>
        </w:tc>
        <w:tc>
          <w:tcPr>
            <w:tcW w:w="693" w:type="pct"/>
            <w:tcBorders>
              <w:left w:val="nil"/>
              <w:right w:val="nil"/>
            </w:tcBorders>
          </w:tcPr>
          <w:p w14:paraId="19E972A5" w14:textId="77777777" w:rsidR="00D51EA7" w:rsidRPr="00D51EA7" w:rsidRDefault="00D51EA7" w:rsidP="00087F7B">
            <w:pPr>
              <w:pStyle w:val="TableTextRight"/>
              <w:rPr>
                <w:lang w:eastAsia="en-AU"/>
              </w:rPr>
            </w:pPr>
            <w:r w:rsidRPr="00D51EA7">
              <w:rPr>
                <w:lang w:eastAsia="en-AU"/>
              </w:rPr>
              <w:t>100</w:t>
            </w:r>
          </w:p>
        </w:tc>
        <w:tc>
          <w:tcPr>
            <w:tcW w:w="715" w:type="pct"/>
            <w:tcBorders>
              <w:left w:val="nil"/>
              <w:right w:val="nil"/>
            </w:tcBorders>
          </w:tcPr>
          <w:p w14:paraId="2BDFF5B1" w14:textId="77777777" w:rsidR="00D51EA7" w:rsidRPr="00D51EA7" w:rsidRDefault="00D51EA7" w:rsidP="00087F7B">
            <w:pPr>
              <w:pStyle w:val="TableTextRight"/>
              <w:rPr>
                <w:lang w:eastAsia="en-AU"/>
              </w:rPr>
            </w:pPr>
            <w:r w:rsidRPr="00D51EA7">
              <w:rPr>
                <w:lang w:eastAsia="en-AU"/>
              </w:rPr>
              <w:t>0</w:t>
            </w:r>
          </w:p>
        </w:tc>
        <w:tc>
          <w:tcPr>
            <w:tcW w:w="715" w:type="pct"/>
            <w:tcBorders>
              <w:left w:val="nil"/>
              <w:right w:val="nil"/>
            </w:tcBorders>
          </w:tcPr>
          <w:p w14:paraId="49E1414C" w14:textId="77777777" w:rsidR="00D51EA7" w:rsidRPr="00D51EA7" w:rsidRDefault="00D51EA7" w:rsidP="00087F7B">
            <w:pPr>
              <w:pStyle w:val="TableTextRight"/>
              <w:rPr>
                <w:lang w:eastAsia="en-AU"/>
              </w:rPr>
            </w:pPr>
            <w:r w:rsidRPr="00D51EA7">
              <w:rPr>
                <w:lang w:eastAsia="en-AU"/>
              </w:rPr>
              <w:t>20</w:t>
            </w:r>
          </w:p>
        </w:tc>
        <w:tc>
          <w:tcPr>
            <w:tcW w:w="715" w:type="pct"/>
            <w:tcBorders>
              <w:left w:val="nil"/>
            </w:tcBorders>
          </w:tcPr>
          <w:p w14:paraId="6192CAB6" w14:textId="77777777" w:rsidR="00D51EA7" w:rsidRPr="00D51EA7" w:rsidRDefault="00D51EA7" w:rsidP="00087F7B">
            <w:pPr>
              <w:pStyle w:val="TableTextRight"/>
              <w:rPr>
                <w:lang w:eastAsia="en-AU"/>
              </w:rPr>
            </w:pPr>
            <w:r w:rsidRPr="00D51EA7">
              <w:rPr>
                <w:lang w:eastAsia="en-AU"/>
              </w:rPr>
              <w:t>0</w:t>
            </w:r>
          </w:p>
        </w:tc>
      </w:tr>
      <w:tr w:rsidR="00D51EA7" w:rsidRPr="00D51EA7" w14:paraId="6E6A8AFD" w14:textId="77777777" w:rsidTr="00784993">
        <w:trPr>
          <w:trHeight w:val="300"/>
        </w:trPr>
        <w:tc>
          <w:tcPr>
            <w:tcW w:w="788" w:type="pct"/>
            <w:vMerge w:val="restart"/>
            <w:tcBorders>
              <w:right w:val="nil"/>
            </w:tcBorders>
            <w:vAlign w:val="center"/>
          </w:tcPr>
          <w:p w14:paraId="22731B21" w14:textId="77777777" w:rsidR="00D51EA7" w:rsidRPr="00D51EA7" w:rsidRDefault="00D51EA7" w:rsidP="00087F7B">
            <w:pPr>
              <w:pStyle w:val="TableText"/>
              <w:rPr>
                <w:lang w:eastAsia="en-AU"/>
              </w:rPr>
            </w:pPr>
            <w:r w:rsidRPr="00D51EA7">
              <w:rPr>
                <w:lang w:eastAsia="en-AU"/>
              </w:rPr>
              <w:t>150 g acs/ha or lower</w:t>
            </w:r>
          </w:p>
        </w:tc>
        <w:tc>
          <w:tcPr>
            <w:tcW w:w="787" w:type="pct"/>
            <w:tcBorders>
              <w:left w:val="nil"/>
              <w:right w:val="nil"/>
            </w:tcBorders>
            <w:vAlign w:val="center"/>
          </w:tcPr>
          <w:p w14:paraId="34E48D44" w14:textId="77777777" w:rsidR="00D51EA7" w:rsidRPr="00D51EA7" w:rsidRDefault="00D51EA7" w:rsidP="00087F7B">
            <w:pPr>
              <w:pStyle w:val="TableText"/>
              <w:rPr>
                <w:lang w:eastAsia="en-AU"/>
              </w:rPr>
            </w:pPr>
            <w:r w:rsidRPr="00D51EA7">
              <w:rPr>
                <w:lang w:eastAsia="en-AU"/>
              </w:rPr>
              <w:t>0.5 m or lower</w:t>
            </w:r>
          </w:p>
        </w:tc>
        <w:tc>
          <w:tcPr>
            <w:tcW w:w="587" w:type="pct"/>
            <w:tcBorders>
              <w:left w:val="nil"/>
              <w:right w:val="nil"/>
            </w:tcBorders>
          </w:tcPr>
          <w:p w14:paraId="3F0C4019" w14:textId="77777777" w:rsidR="00D51EA7" w:rsidRPr="00D51EA7" w:rsidRDefault="00D51EA7" w:rsidP="00087F7B">
            <w:pPr>
              <w:pStyle w:val="TableTextRight"/>
            </w:pPr>
            <w:r w:rsidRPr="00D51EA7">
              <w:t>5</w:t>
            </w:r>
          </w:p>
        </w:tc>
        <w:tc>
          <w:tcPr>
            <w:tcW w:w="693" w:type="pct"/>
            <w:tcBorders>
              <w:left w:val="nil"/>
              <w:right w:val="nil"/>
            </w:tcBorders>
          </w:tcPr>
          <w:p w14:paraId="5403C31E" w14:textId="77777777" w:rsidR="00D51EA7" w:rsidRPr="00D51EA7" w:rsidRDefault="00D51EA7" w:rsidP="00087F7B">
            <w:pPr>
              <w:pStyle w:val="TableTextRight"/>
              <w:rPr>
                <w:lang w:eastAsia="en-AU"/>
              </w:rPr>
            </w:pPr>
            <w:r w:rsidRPr="00D51EA7">
              <w:rPr>
                <w:lang w:eastAsia="en-AU"/>
              </w:rPr>
              <w:t>30</w:t>
            </w:r>
          </w:p>
        </w:tc>
        <w:tc>
          <w:tcPr>
            <w:tcW w:w="715" w:type="pct"/>
            <w:tcBorders>
              <w:left w:val="nil"/>
              <w:right w:val="nil"/>
            </w:tcBorders>
          </w:tcPr>
          <w:p w14:paraId="2F612D0B" w14:textId="77777777" w:rsidR="00D51EA7" w:rsidRPr="00D51EA7" w:rsidRDefault="00D51EA7" w:rsidP="00087F7B">
            <w:pPr>
              <w:pStyle w:val="TableTextRight"/>
              <w:rPr>
                <w:lang w:eastAsia="en-AU"/>
              </w:rPr>
            </w:pPr>
            <w:r w:rsidRPr="00D51EA7">
              <w:rPr>
                <w:lang w:eastAsia="en-AU"/>
              </w:rPr>
              <w:t>0</w:t>
            </w:r>
          </w:p>
        </w:tc>
        <w:tc>
          <w:tcPr>
            <w:tcW w:w="715" w:type="pct"/>
            <w:tcBorders>
              <w:left w:val="nil"/>
              <w:right w:val="nil"/>
            </w:tcBorders>
          </w:tcPr>
          <w:p w14:paraId="3E09BBFD" w14:textId="77777777" w:rsidR="00D51EA7" w:rsidRPr="00D51EA7" w:rsidRDefault="00D51EA7" w:rsidP="00087F7B">
            <w:pPr>
              <w:pStyle w:val="TableTextRight"/>
              <w:rPr>
                <w:lang w:eastAsia="en-AU"/>
              </w:rPr>
            </w:pPr>
            <w:r w:rsidRPr="00D51EA7">
              <w:rPr>
                <w:lang w:eastAsia="en-AU"/>
              </w:rPr>
              <w:t>0</w:t>
            </w:r>
          </w:p>
        </w:tc>
        <w:tc>
          <w:tcPr>
            <w:tcW w:w="715" w:type="pct"/>
            <w:tcBorders>
              <w:left w:val="nil"/>
            </w:tcBorders>
          </w:tcPr>
          <w:p w14:paraId="167DAD35" w14:textId="77777777" w:rsidR="00D51EA7" w:rsidRPr="00D51EA7" w:rsidRDefault="00D51EA7" w:rsidP="00087F7B">
            <w:pPr>
              <w:pStyle w:val="TableTextRight"/>
              <w:rPr>
                <w:lang w:eastAsia="en-AU"/>
              </w:rPr>
            </w:pPr>
            <w:r w:rsidRPr="00D51EA7">
              <w:rPr>
                <w:lang w:eastAsia="en-AU"/>
              </w:rPr>
              <w:t>0</w:t>
            </w:r>
          </w:p>
        </w:tc>
      </w:tr>
      <w:tr w:rsidR="00D51EA7" w:rsidRPr="00D51EA7" w14:paraId="676C418C" w14:textId="77777777" w:rsidTr="00784993">
        <w:trPr>
          <w:trHeight w:val="300"/>
        </w:trPr>
        <w:tc>
          <w:tcPr>
            <w:tcW w:w="788" w:type="pct"/>
            <w:vMerge/>
            <w:tcBorders>
              <w:right w:val="nil"/>
            </w:tcBorders>
            <w:vAlign w:val="center"/>
          </w:tcPr>
          <w:p w14:paraId="086309B8" w14:textId="77777777" w:rsidR="00D51EA7" w:rsidRPr="00D51EA7" w:rsidRDefault="00D51EA7" w:rsidP="00087F7B">
            <w:pPr>
              <w:pStyle w:val="TableText"/>
              <w:rPr>
                <w:lang w:eastAsia="en-AU"/>
              </w:rPr>
            </w:pPr>
          </w:p>
        </w:tc>
        <w:tc>
          <w:tcPr>
            <w:tcW w:w="787" w:type="pct"/>
            <w:tcBorders>
              <w:left w:val="nil"/>
              <w:right w:val="nil"/>
            </w:tcBorders>
            <w:vAlign w:val="center"/>
          </w:tcPr>
          <w:p w14:paraId="5A788A6B" w14:textId="77777777" w:rsidR="00D51EA7" w:rsidRPr="00D51EA7" w:rsidRDefault="00D51EA7" w:rsidP="00087F7B">
            <w:pPr>
              <w:pStyle w:val="TableText"/>
              <w:rPr>
                <w:lang w:eastAsia="en-AU"/>
              </w:rPr>
            </w:pPr>
            <w:r w:rsidRPr="00D51EA7">
              <w:rPr>
                <w:lang w:eastAsia="en-AU"/>
              </w:rPr>
              <w:t>1.0 m or lower</w:t>
            </w:r>
          </w:p>
        </w:tc>
        <w:tc>
          <w:tcPr>
            <w:tcW w:w="587" w:type="pct"/>
            <w:tcBorders>
              <w:left w:val="nil"/>
              <w:right w:val="nil"/>
            </w:tcBorders>
          </w:tcPr>
          <w:p w14:paraId="5D631C03" w14:textId="77777777" w:rsidR="00D51EA7" w:rsidRPr="00D51EA7" w:rsidRDefault="00D51EA7" w:rsidP="00087F7B">
            <w:pPr>
              <w:pStyle w:val="TableTextRight"/>
            </w:pPr>
            <w:r w:rsidRPr="00D51EA7">
              <w:t>30</w:t>
            </w:r>
          </w:p>
        </w:tc>
        <w:tc>
          <w:tcPr>
            <w:tcW w:w="693" w:type="pct"/>
            <w:tcBorders>
              <w:left w:val="nil"/>
              <w:right w:val="nil"/>
            </w:tcBorders>
          </w:tcPr>
          <w:p w14:paraId="3E368392" w14:textId="77777777" w:rsidR="00D51EA7" w:rsidRPr="00D51EA7" w:rsidRDefault="00D51EA7" w:rsidP="00087F7B">
            <w:pPr>
              <w:pStyle w:val="TableTextRight"/>
              <w:rPr>
                <w:lang w:eastAsia="en-AU"/>
              </w:rPr>
            </w:pPr>
            <w:r w:rsidRPr="00D51EA7">
              <w:rPr>
                <w:lang w:eastAsia="en-AU"/>
              </w:rPr>
              <w:t>80</w:t>
            </w:r>
          </w:p>
        </w:tc>
        <w:tc>
          <w:tcPr>
            <w:tcW w:w="715" w:type="pct"/>
            <w:tcBorders>
              <w:left w:val="nil"/>
              <w:right w:val="nil"/>
            </w:tcBorders>
          </w:tcPr>
          <w:p w14:paraId="4C6241C5" w14:textId="77777777" w:rsidR="00D51EA7" w:rsidRPr="00D51EA7" w:rsidRDefault="00D51EA7" w:rsidP="00087F7B">
            <w:pPr>
              <w:pStyle w:val="TableTextRight"/>
              <w:rPr>
                <w:lang w:eastAsia="en-AU"/>
              </w:rPr>
            </w:pPr>
            <w:r w:rsidRPr="00D51EA7">
              <w:rPr>
                <w:lang w:eastAsia="en-AU"/>
              </w:rPr>
              <w:t>0</w:t>
            </w:r>
          </w:p>
        </w:tc>
        <w:tc>
          <w:tcPr>
            <w:tcW w:w="715" w:type="pct"/>
            <w:tcBorders>
              <w:left w:val="nil"/>
              <w:right w:val="nil"/>
            </w:tcBorders>
          </w:tcPr>
          <w:p w14:paraId="7081F236" w14:textId="77777777" w:rsidR="00D51EA7" w:rsidRPr="00D51EA7" w:rsidRDefault="00D51EA7" w:rsidP="00087F7B">
            <w:pPr>
              <w:pStyle w:val="TableTextRight"/>
              <w:rPr>
                <w:lang w:eastAsia="en-AU"/>
              </w:rPr>
            </w:pPr>
            <w:r w:rsidRPr="00D51EA7">
              <w:rPr>
                <w:lang w:eastAsia="en-AU"/>
              </w:rPr>
              <w:t>15</w:t>
            </w:r>
          </w:p>
        </w:tc>
        <w:tc>
          <w:tcPr>
            <w:tcW w:w="715" w:type="pct"/>
            <w:tcBorders>
              <w:left w:val="nil"/>
            </w:tcBorders>
          </w:tcPr>
          <w:p w14:paraId="4436050B" w14:textId="77777777" w:rsidR="00D51EA7" w:rsidRPr="00D51EA7" w:rsidRDefault="00D51EA7" w:rsidP="00087F7B">
            <w:pPr>
              <w:pStyle w:val="TableTextRight"/>
              <w:rPr>
                <w:lang w:eastAsia="en-AU"/>
              </w:rPr>
            </w:pPr>
            <w:r w:rsidRPr="00D51EA7">
              <w:rPr>
                <w:lang w:eastAsia="en-AU"/>
              </w:rPr>
              <w:t>0</w:t>
            </w:r>
          </w:p>
        </w:tc>
      </w:tr>
    </w:tbl>
    <w:p w14:paraId="6E700493" w14:textId="11C3CC0B" w:rsidR="00EE25AF" w:rsidRPr="00087F7B" w:rsidRDefault="00EE25AF" w:rsidP="00087F7B">
      <w:pPr>
        <w:pStyle w:val="Heading2"/>
      </w:pPr>
      <w:bookmarkStart w:id="602" w:name="_Toc231480925"/>
      <w:bookmarkStart w:id="603" w:name="_Toc233036477"/>
      <w:bookmarkEnd w:id="595"/>
      <w:r w:rsidRPr="00087F7B">
        <w:t>Volatilisation</w:t>
      </w:r>
      <w:bookmarkEnd w:id="602"/>
      <w:bookmarkEnd w:id="603"/>
    </w:p>
    <w:p w14:paraId="1489C167" w14:textId="3F88135F" w:rsidR="00AB01C0" w:rsidRPr="00AB01C0" w:rsidRDefault="00AB01C0" w:rsidP="00087F7B">
      <w:pPr>
        <w:pStyle w:val="NormalText"/>
      </w:pPr>
      <w:bookmarkStart w:id="604" w:name="_Ref167306786"/>
      <w:r w:rsidRPr="00AB01C0">
        <w:t>Volatilisation is the process by which a chemical converts from a liquid or solid state into a gas or vapor and moves away from the application site. This occurs after the chemical has been applied to plants, soil or other surfaces. Multiple factors contribute to the potential for a chemical to volatilise including the chemical’s vapour pressure (the higher the vapour pressure the more volatile a chemical), the chemical’s ability to bind strongly to soil preventing its volatilisation, its water solubility (the more water soluble a chemical, the less likely it is to volatilise) and environmental factors such as temperature and wind. In 2023 the APVMA received data indicating that the vapour pressure of paraquat is higher than initially reported (5.3 × 10</w:t>
      </w:r>
      <w:r w:rsidRPr="00AB01C0">
        <w:rPr>
          <w:rFonts w:ascii="Cambria Math" w:hAnsi="Cambria Math" w:cs="Cambria Math"/>
        </w:rPr>
        <w:t>⁻</w:t>
      </w:r>
      <w:r w:rsidRPr="00AB01C0">
        <w:t>⁴ Pa versus 1 × 10</w:t>
      </w:r>
      <w:r w:rsidRPr="00AB01C0">
        <w:rPr>
          <w:rFonts w:ascii="Cambria Math" w:hAnsi="Cambria Math" w:cs="Cambria Math"/>
        </w:rPr>
        <w:t>⁻</w:t>
      </w:r>
      <w:r w:rsidRPr="00AB01C0">
        <w:t>⁵ Pa)</w:t>
      </w:r>
      <w:r w:rsidR="00CD4226">
        <w:t xml:space="preserve"> (</w:t>
      </w:r>
      <w:r w:rsidR="00CD4226" w:rsidRPr="00BF5259">
        <w:rPr>
          <w:rFonts w:eastAsiaTheme="minorEastAsia"/>
          <w:kern w:val="0"/>
          <w:szCs w:val="19"/>
        </w:rPr>
        <w:t>Markell A, 2023</w:t>
      </w:r>
      <w:r w:rsidR="00CD4226">
        <w:rPr>
          <w:rFonts w:eastAsiaTheme="minorEastAsia"/>
          <w:kern w:val="0"/>
          <w:szCs w:val="19"/>
        </w:rPr>
        <w:t>)</w:t>
      </w:r>
      <w:r w:rsidRPr="00AB01C0">
        <w:t>.</w:t>
      </w:r>
    </w:p>
    <w:p w14:paraId="780158DB" w14:textId="77777777" w:rsidR="00AB01C0" w:rsidRPr="00AB01C0" w:rsidRDefault="00AB01C0" w:rsidP="00087F7B">
      <w:pPr>
        <w:pStyle w:val="NormalText"/>
        <w:ind w:left="567"/>
      </w:pPr>
      <w:r w:rsidRPr="00AB01C0">
        <w:t>Human health – Upon review of this information, the APVMA considers that risks to occupational users and bystanders due to potential paraquat volatilisation remains acceptable. This conclusion is based on the new vapour pressure value approximating the level at which chemicals are generally considered to be non-volatile in field conditions (≤ 1.33 × 10</w:t>
      </w:r>
      <w:r w:rsidRPr="00AB01C0">
        <w:rPr>
          <w:vertAlign w:val="superscript"/>
        </w:rPr>
        <w:t>-4</w:t>
      </w:r>
      <w:r w:rsidRPr="00AB01C0">
        <w:t xml:space="preserve"> Pa) (US EPA, 2025) and on the properties of paraquat that promote its strong adhesion to soil and high solubility in water, further limiting its potential for volatilisation.</w:t>
      </w:r>
    </w:p>
    <w:p w14:paraId="249669B6" w14:textId="48F301EE" w:rsidR="00AB01C0" w:rsidRPr="00AB01C0" w:rsidRDefault="00AB01C0" w:rsidP="00087F7B">
      <w:pPr>
        <w:pStyle w:val="NormalText"/>
        <w:ind w:left="567"/>
      </w:pPr>
      <w:r w:rsidRPr="00AB01C0">
        <w:lastRenderedPageBreak/>
        <w:t>Environment – Paraquat is readily absorbed to and strongly bound to soil and as such volatilisation of residues applied to soil is not expected. Volatilisation from plant surfaces cannot be excluded based on the newly submitted information, however technical examination suggests further evaluation is not required. A screening assessment based on the UBA exposure model</w:t>
      </w:r>
      <w:r w:rsidR="00E42007">
        <w:rPr>
          <w:rStyle w:val="FootnoteReference"/>
          <w:rFonts w:cstheme="minorHAnsi"/>
          <w:szCs w:val="19"/>
        </w:rPr>
        <w:footnoteReference w:id="37"/>
      </w:r>
      <w:r w:rsidRPr="00AB01C0">
        <w:t xml:space="preserve"> indicates that for the uses currently supported (i.e. up to 231 g ac/ha, as per the terrestrial vertebrate risk assessment) the risk would be acceptable (for aquatic organisms and terrestrial non-target plants) when crop interception under realistic field conditions is considered.</w:t>
      </w:r>
    </w:p>
    <w:p w14:paraId="29815729" w14:textId="1BF109F1" w:rsidR="00823244" w:rsidRPr="00D63217" w:rsidRDefault="00AB01C0" w:rsidP="005D0E7A">
      <w:pPr>
        <w:pStyle w:val="NormalText"/>
        <w:sectPr w:rsidR="00823244" w:rsidRPr="00D63217" w:rsidSect="003023C5">
          <w:headerReference w:type="even" r:id="rId51"/>
          <w:pgSz w:w="11906" w:h="16838" w:code="9"/>
          <w:pgMar w:top="2835" w:right="1134" w:bottom="1134" w:left="1134" w:header="1701" w:footer="680" w:gutter="0"/>
          <w:cols w:space="708"/>
          <w:docGrid w:linePitch="360"/>
        </w:sectPr>
      </w:pPr>
      <w:r w:rsidRPr="00AB01C0">
        <w:t>In November 2025 the US EPA released an updated review of the potential for paraquat to volatise from treated agricultural fields (US EPA, 2025). Due to uncertainties regarding the possibility of paraquat volatilising to a higher degree than previously considered, the US EPA has issued a Data-Call In notice to paraquat manufacturers requesting additional data. The APVMA will continue to monitor additional data and regulatory outcomes on paraquat that are applicable to its use in Australia.</w:t>
      </w:r>
      <w:bookmarkEnd w:id="604"/>
    </w:p>
    <w:p w14:paraId="7DF96746" w14:textId="77777777" w:rsidR="005D0E7A" w:rsidRPr="0082221E" w:rsidRDefault="005D0E7A" w:rsidP="0082221E">
      <w:pPr>
        <w:pStyle w:val="Heading1"/>
      </w:pPr>
      <w:bookmarkStart w:id="606" w:name="_Toc144468335"/>
      <w:bookmarkStart w:id="607" w:name="_Toc156980638"/>
      <w:bookmarkStart w:id="608" w:name="_Toc157602770"/>
      <w:bookmarkStart w:id="609" w:name="_Toc231480926"/>
      <w:bookmarkStart w:id="610" w:name="_Toc233036478"/>
      <w:r w:rsidRPr="0082221E">
        <w:lastRenderedPageBreak/>
        <w:t>Storage and disposal</w:t>
      </w:r>
      <w:bookmarkEnd w:id="606"/>
      <w:bookmarkEnd w:id="607"/>
      <w:bookmarkEnd w:id="608"/>
      <w:bookmarkEnd w:id="609"/>
      <w:bookmarkEnd w:id="610"/>
    </w:p>
    <w:p w14:paraId="64F48203" w14:textId="3E31366E" w:rsidR="00406083" w:rsidRPr="00D63217" w:rsidRDefault="00406083" w:rsidP="00406083">
      <w:pPr>
        <w:pStyle w:val="NormalText"/>
      </w:pPr>
      <w:r w:rsidRPr="00D63217">
        <w:t>The agricultural labelling code provides guidance on appropriate statements to ensure that storage of the chemical product and disposal of containers of the product or unused product does not pose an unacceptable risk to human health and the environment.</w:t>
      </w:r>
    </w:p>
    <w:p w14:paraId="63FBE569" w14:textId="77777777" w:rsidR="005D0E7A" w:rsidRPr="00D63217" w:rsidRDefault="005D0E7A" w:rsidP="005D0E7A">
      <w:pPr>
        <w:pStyle w:val="Heading2"/>
      </w:pPr>
      <w:bookmarkStart w:id="611" w:name="_Toc144468336"/>
      <w:bookmarkStart w:id="612" w:name="_Toc156980639"/>
      <w:bookmarkStart w:id="613" w:name="_Toc157602771"/>
      <w:bookmarkStart w:id="614" w:name="_Toc231480927"/>
      <w:bookmarkStart w:id="615" w:name="_Toc233036479"/>
      <w:r w:rsidRPr="00D63217">
        <w:t>Storage</w:t>
      </w:r>
      <w:bookmarkEnd w:id="611"/>
      <w:bookmarkEnd w:id="612"/>
      <w:bookmarkEnd w:id="613"/>
      <w:bookmarkEnd w:id="614"/>
      <w:bookmarkEnd w:id="615"/>
    </w:p>
    <w:p w14:paraId="46992FE5" w14:textId="7D89F071" w:rsidR="00406083" w:rsidRPr="00D63217" w:rsidRDefault="00406083" w:rsidP="005D0E7A">
      <w:pPr>
        <w:pStyle w:val="NormalText"/>
        <w:rPr>
          <w:rFonts w:eastAsia="Arial Unicode MS"/>
          <w:bdr w:val="nil"/>
          <w:lang w:eastAsia="en-AU"/>
        </w:rPr>
      </w:pPr>
      <w:r w:rsidRPr="00D63217">
        <w:rPr>
          <w:rFonts w:eastAsia="Arial Unicode MS"/>
          <w:bdr w:val="nil"/>
          <w:lang w:eastAsia="en-AU"/>
        </w:rPr>
        <w:t>Schedule 7 Poisons require the following storage statement, including a direction to store the product in a locked room or place.</w:t>
      </w:r>
    </w:p>
    <w:p w14:paraId="410BF24B" w14:textId="2FDA2938" w:rsidR="00406083" w:rsidRPr="00D63217" w:rsidRDefault="00406083" w:rsidP="00746296">
      <w:pPr>
        <w:pStyle w:val="NormalText"/>
      </w:pPr>
      <w:r w:rsidRPr="00D63217">
        <w:t>Store in a locked room or place away from children, animals, food, feedstuffs, seed and fertilisers. Store in the closed, original container in a cool, well-ventilated area. DO NOT store for prolonged periods in direct sunlight.</w:t>
      </w:r>
    </w:p>
    <w:p w14:paraId="066804C6" w14:textId="77777777" w:rsidR="005D0E7A" w:rsidRPr="00D63217" w:rsidRDefault="005D0E7A" w:rsidP="005D0E7A">
      <w:pPr>
        <w:pStyle w:val="Heading2"/>
      </w:pPr>
      <w:bookmarkStart w:id="616" w:name="_Toc144468337"/>
      <w:bookmarkStart w:id="617" w:name="_Toc156980640"/>
      <w:bookmarkStart w:id="618" w:name="_Toc157602772"/>
      <w:bookmarkStart w:id="619" w:name="_Toc231480928"/>
      <w:bookmarkStart w:id="620" w:name="_Toc233036480"/>
      <w:r w:rsidRPr="00D63217">
        <w:t>Disposal</w:t>
      </w:r>
      <w:bookmarkEnd w:id="616"/>
      <w:bookmarkEnd w:id="617"/>
      <w:bookmarkEnd w:id="618"/>
      <w:bookmarkEnd w:id="619"/>
      <w:bookmarkEnd w:id="620"/>
    </w:p>
    <w:p w14:paraId="0288FB27" w14:textId="1FB51615" w:rsidR="009D0B68" w:rsidRPr="00D63217" w:rsidRDefault="009D0B68" w:rsidP="005D0E7A">
      <w:pPr>
        <w:pStyle w:val="NormalText"/>
        <w:rPr>
          <w:rFonts w:eastAsia="Arial Unicode MS"/>
        </w:rPr>
      </w:pPr>
      <w:r w:rsidRPr="00D63217">
        <w:rPr>
          <w:rFonts w:eastAsia="Arial Unicode MS"/>
        </w:rPr>
        <w:t xml:space="preserve">Disposal statements are matched against the specification of the product and container. </w:t>
      </w:r>
      <w:r w:rsidR="007E61AD" w:rsidRPr="00D63217">
        <w:rPr>
          <w:rFonts w:eastAsia="Arial Unicode MS"/>
        </w:rPr>
        <w:t>As the w</w:t>
      </w:r>
      <w:r w:rsidRPr="00D63217">
        <w:rPr>
          <w:rFonts w:eastAsia="Arial Unicode MS"/>
        </w:rPr>
        <w:t xml:space="preserve">orker health and safety </w:t>
      </w:r>
      <w:r w:rsidR="007E61AD" w:rsidRPr="00D63217">
        <w:rPr>
          <w:rFonts w:eastAsia="Arial Unicode MS"/>
        </w:rPr>
        <w:t>advised that the products should only be used through closed mixing and loading, containers suitable for closed mixing and loading would require the following disposal instructions:</w:t>
      </w:r>
    </w:p>
    <w:p w14:paraId="2EA0B0D7" w14:textId="77777777" w:rsidR="00C31B1A" w:rsidRPr="00D63217" w:rsidRDefault="009D0B68" w:rsidP="00746296">
      <w:pPr>
        <w:pStyle w:val="NormalText"/>
        <w:sectPr w:rsidR="00C31B1A" w:rsidRPr="00D63217" w:rsidSect="003023C5">
          <w:pgSz w:w="11906" w:h="16838" w:code="9"/>
          <w:pgMar w:top="2835" w:right="1134" w:bottom="1134" w:left="1134" w:header="1701" w:footer="680" w:gutter="0"/>
          <w:cols w:space="708"/>
          <w:docGrid w:linePitch="360"/>
        </w:sectPr>
      </w:pPr>
      <w:r w:rsidRPr="00D63217">
        <w:t>Empty contents fully into application equipment. Close all valves and return to [point of supply/designated collection point/other specific collection details] for refill or storage.</w:t>
      </w:r>
    </w:p>
    <w:p w14:paraId="1A063CC5" w14:textId="77777777" w:rsidR="00B014D2" w:rsidRPr="00D63217" w:rsidRDefault="00B014D2" w:rsidP="00C31B1A">
      <w:pPr>
        <w:pStyle w:val="CoverTitle"/>
        <w:spacing w:before="6000"/>
        <w:jc w:val="center"/>
      </w:pPr>
      <w:bookmarkStart w:id="621" w:name="_Toc156980641"/>
      <w:bookmarkStart w:id="622" w:name="_Toc157602773"/>
      <w:r w:rsidRPr="00D63217">
        <w:rPr>
          <w:noProof/>
          <w:lang w:eastAsia="en-AU"/>
        </w:rPr>
        <w:lastRenderedPageBreak/>
        <w:drawing>
          <wp:inline distT="0" distB="0" distL="0" distR="0" wp14:anchorId="0AB04CCF" wp14:editId="287F6529">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7C5602A4" w14:textId="77777777" w:rsidR="00B014D2" w:rsidRPr="00D63217" w:rsidRDefault="00B014D2" w:rsidP="00C31B1A">
      <w:pPr>
        <w:pStyle w:val="CoverTitle"/>
        <w:spacing w:before="2640"/>
        <w:jc w:val="center"/>
        <w:sectPr w:rsidR="00B014D2" w:rsidRPr="00D63217" w:rsidSect="003023C5">
          <w:headerReference w:type="even" r:id="rId53"/>
          <w:headerReference w:type="default" r:id="rId54"/>
          <w:pgSz w:w="11906" w:h="16838" w:code="9"/>
          <w:pgMar w:top="2835" w:right="1134" w:bottom="1134" w:left="1134" w:header="1701" w:footer="680" w:gutter="0"/>
          <w:cols w:space="708"/>
          <w:docGrid w:linePitch="360"/>
        </w:sectPr>
      </w:pPr>
      <w:r w:rsidRPr="00D63217">
        <w:t>Appendix</w:t>
      </w:r>
    </w:p>
    <w:p w14:paraId="6C1176B5" w14:textId="77777777" w:rsidR="005D0E7A" w:rsidRPr="00D63217" w:rsidRDefault="005D0E7A" w:rsidP="0082221E">
      <w:pPr>
        <w:pStyle w:val="AppendixH1"/>
      </w:pPr>
      <w:bookmarkStart w:id="623" w:name="_Ref166501670"/>
      <w:bookmarkStart w:id="624" w:name="_Toc231480929"/>
      <w:bookmarkStart w:id="625" w:name="_Toc233036481"/>
      <w:bookmarkStart w:id="626" w:name="_Hlk170308589"/>
      <w:r w:rsidRPr="00D63217">
        <w:lastRenderedPageBreak/>
        <w:t>Appendix A – Summary of assessment outcomes</w:t>
      </w:r>
      <w:bookmarkEnd w:id="621"/>
      <w:bookmarkEnd w:id="622"/>
      <w:bookmarkEnd w:id="623"/>
      <w:bookmarkEnd w:id="624"/>
      <w:bookmarkEnd w:id="625"/>
    </w:p>
    <w:p w14:paraId="1FC2307A" w14:textId="438D6714" w:rsidR="001D51F5" w:rsidRPr="0082221E" w:rsidRDefault="00300AF1" w:rsidP="0082221E">
      <w:pPr>
        <w:pStyle w:val="Caption"/>
      </w:pPr>
      <w:bookmarkStart w:id="627" w:name="_Toc230692318"/>
      <w:bookmarkStart w:id="628" w:name="_Toc233036539"/>
      <w:bookmarkEnd w:id="626"/>
      <w:r w:rsidRPr="0082221E">
        <w:t xml:space="preserve">Table </w:t>
      </w:r>
      <w:fldSimple w:instr=" SEQ Table \* ARABIC ">
        <w:r w:rsidR="0082221E">
          <w:rPr>
            <w:noProof/>
          </w:rPr>
          <w:t>52</w:t>
        </w:r>
      </w:fldSimple>
      <w:r w:rsidR="005D0E7A" w:rsidRPr="0082221E">
        <w:t xml:space="preserve">: </w:t>
      </w:r>
      <w:r w:rsidR="000200ED" w:rsidRPr="0082221E">
        <w:t>Risk assessment outcomes for products containing p</w:t>
      </w:r>
      <w:r w:rsidR="005D0E7A" w:rsidRPr="0082221E">
        <w:t>araquat</w:t>
      </w:r>
      <w:bookmarkEnd w:id="627"/>
      <w:bookmarkEnd w:id="628"/>
    </w:p>
    <w:tbl>
      <w:tblPr>
        <w:tblW w:w="9628" w:type="dxa"/>
        <w:tblLayout w:type="fixed"/>
        <w:tblLook w:val="04A0" w:firstRow="1" w:lastRow="0" w:firstColumn="1" w:lastColumn="0" w:noHBand="0" w:noVBand="1"/>
      </w:tblPr>
      <w:tblGrid>
        <w:gridCol w:w="1696"/>
        <w:gridCol w:w="1560"/>
        <w:gridCol w:w="1275"/>
        <w:gridCol w:w="1215"/>
        <w:gridCol w:w="1215"/>
        <w:gridCol w:w="1215"/>
        <w:gridCol w:w="1216"/>
        <w:gridCol w:w="236"/>
      </w:tblGrid>
      <w:tr w:rsidR="001D51F5" w:rsidRPr="001D51F5" w14:paraId="69C7E696" w14:textId="77777777" w:rsidTr="0082221E">
        <w:trPr>
          <w:gridAfter w:val="1"/>
          <w:wAfter w:w="236" w:type="dxa"/>
          <w:cantSplit/>
          <w:trHeight w:val="288"/>
          <w:tblHeader/>
        </w:trPr>
        <w:tc>
          <w:tcPr>
            <w:tcW w:w="1696"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77CA79F4" w14:textId="77777777" w:rsidR="001D51F5" w:rsidRPr="001D51F5" w:rsidRDefault="001D51F5" w:rsidP="0082221E">
            <w:pPr>
              <w:pStyle w:val="TableHead"/>
            </w:pPr>
            <w:r w:rsidRPr="001D51F5">
              <w:t>Crop Use or Situation</w:t>
            </w:r>
          </w:p>
        </w:tc>
        <w:tc>
          <w:tcPr>
            <w:tcW w:w="1560" w:type="dxa"/>
            <w:tcBorders>
              <w:top w:val="single" w:sz="4" w:space="0" w:color="auto"/>
              <w:left w:val="nil"/>
              <w:bottom w:val="single" w:sz="4" w:space="0" w:color="auto"/>
              <w:right w:val="single" w:sz="4" w:space="0" w:color="auto"/>
            </w:tcBorders>
            <w:shd w:val="clear" w:color="auto" w:fill="5C2946"/>
            <w:vAlign w:val="center"/>
            <w:hideMark/>
          </w:tcPr>
          <w:p w14:paraId="2DB58A57" w14:textId="77777777" w:rsidR="001D51F5" w:rsidRPr="001D51F5" w:rsidRDefault="001D51F5" w:rsidP="0082221E">
            <w:pPr>
              <w:pStyle w:val="TableHead"/>
            </w:pPr>
            <w:r w:rsidRPr="001D51F5">
              <w:t>Weeds controlled</w:t>
            </w:r>
          </w:p>
        </w:tc>
        <w:tc>
          <w:tcPr>
            <w:tcW w:w="1275" w:type="dxa"/>
            <w:tcBorders>
              <w:top w:val="single" w:sz="4" w:space="0" w:color="auto"/>
              <w:left w:val="nil"/>
              <w:bottom w:val="single" w:sz="4" w:space="0" w:color="auto"/>
              <w:right w:val="single" w:sz="4" w:space="0" w:color="auto"/>
            </w:tcBorders>
            <w:shd w:val="clear" w:color="auto" w:fill="5C2946"/>
            <w:vAlign w:val="center"/>
            <w:hideMark/>
          </w:tcPr>
          <w:p w14:paraId="2888F975" w14:textId="77777777" w:rsidR="001D51F5" w:rsidRPr="001D51F5" w:rsidRDefault="001D51F5" w:rsidP="0082221E">
            <w:pPr>
              <w:pStyle w:val="TableHead"/>
            </w:pPr>
            <w:r w:rsidRPr="001D51F5">
              <w:t>Rate (Application Method)</w:t>
            </w:r>
          </w:p>
        </w:tc>
        <w:tc>
          <w:tcPr>
            <w:tcW w:w="1215" w:type="dxa"/>
            <w:tcBorders>
              <w:top w:val="single" w:sz="4" w:space="0" w:color="auto"/>
              <w:left w:val="nil"/>
              <w:bottom w:val="single" w:sz="4" w:space="0" w:color="auto"/>
              <w:right w:val="single" w:sz="4" w:space="0" w:color="auto"/>
            </w:tcBorders>
            <w:shd w:val="clear" w:color="auto" w:fill="5C2946"/>
            <w:noWrap/>
            <w:vAlign w:val="center"/>
            <w:hideMark/>
          </w:tcPr>
          <w:p w14:paraId="29D6CCC8" w14:textId="77777777" w:rsidR="001D51F5" w:rsidRPr="001D51F5" w:rsidRDefault="001D51F5" w:rsidP="0082221E">
            <w:pPr>
              <w:pStyle w:val="TableHead"/>
            </w:pPr>
            <w:r w:rsidRPr="001D51F5">
              <w:t xml:space="preserve">Environment Risk Assessment Outcome </w:t>
            </w:r>
          </w:p>
        </w:tc>
        <w:tc>
          <w:tcPr>
            <w:tcW w:w="1215" w:type="dxa"/>
            <w:tcBorders>
              <w:top w:val="single" w:sz="4" w:space="0" w:color="auto"/>
              <w:bottom w:val="single" w:sz="4" w:space="0" w:color="auto"/>
              <w:right w:val="single" w:sz="4" w:space="0" w:color="auto"/>
            </w:tcBorders>
            <w:shd w:val="clear" w:color="auto" w:fill="5C2946"/>
            <w:vAlign w:val="center"/>
          </w:tcPr>
          <w:p w14:paraId="307ACEE0" w14:textId="77777777" w:rsidR="001D51F5" w:rsidRPr="001D51F5" w:rsidRDefault="001D51F5" w:rsidP="0082221E">
            <w:pPr>
              <w:pStyle w:val="TableHead"/>
            </w:pPr>
            <w:r w:rsidRPr="001D51F5">
              <w:t>Residues and Trade Risk Assessment Outcome</w:t>
            </w:r>
          </w:p>
        </w:tc>
        <w:tc>
          <w:tcPr>
            <w:tcW w:w="1215" w:type="dxa"/>
            <w:tcBorders>
              <w:top w:val="single" w:sz="4" w:space="0" w:color="auto"/>
              <w:bottom w:val="single" w:sz="4" w:space="0" w:color="auto"/>
              <w:right w:val="single" w:sz="4" w:space="0" w:color="auto"/>
            </w:tcBorders>
            <w:shd w:val="clear" w:color="auto" w:fill="5C2946"/>
            <w:vAlign w:val="center"/>
          </w:tcPr>
          <w:p w14:paraId="725F4662" w14:textId="77777777" w:rsidR="001D51F5" w:rsidRPr="001D51F5" w:rsidRDefault="001D51F5" w:rsidP="0082221E">
            <w:pPr>
              <w:pStyle w:val="TableHead"/>
            </w:pPr>
            <w:r w:rsidRPr="001D51F5">
              <w:t>Human Health Risk Assessment Outcome</w:t>
            </w:r>
            <w:r w:rsidRPr="001D51F5">
              <w:rPr>
                <w:vertAlign w:val="superscript"/>
              </w:rPr>
              <w:footnoteReference w:id="38"/>
            </w:r>
          </w:p>
        </w:tc>
        <w:tc>
          <w:tcPr>
            <w:tcW w:w="1216" w:type="dxa"/>
            <w:tcBorders>
              <w:top w:val="single" w:sz="4" w:space="0" w:color="auto"/>
              <w:left w:val="single" w:sz="4" w:space="0" w:color="auto"/>
              <w:bottom w:val="single" w:sz="4" w:space="0" w:color="auto"/>
              <w:right w:val="single" w:sz="4" w:space="0" w:color="auto"/>
            </w:tcBorders>
            <w:shd w:val="clear" w:color="auto" w:fill="5C2946"/>
            <w:vAlign w:val="center"/>
          </w:tcPr>
          <w:p w14:paraId="4C1C03BA" w14:textId="77777777" w:rsidR="001D51F5" w:rsidRPr="001D51F5" w:rsidRDefault="001D51F5" w:rsidP="0082221E">
            <w:pPr>
              <w:pStyle w:val="TableHead"/>
            </w:pPr>
            <w:r w:rsidRPr="001D51F5">
              <w:t>Overall Outcome</w:t>
            </w:r>
          </w:p>
        </w:tc>
      </w:tr>
      <w:tr w:rsidR="001D51F5" w:rsidRPr="001D51F5" w14:paraId="6378229D" w14:textId="77777777" w:rsidTr="0082221E">
        <w:trPr>
          <w:gridAfter w:val="1"/>
          <w:wAfter w:w="236" w:type="dxa"/>
          <w:cantSplit/>
          <w:trHeight w:val="288"/>
        </w:trPr>
        <w:tc>
          <w:tcPr>
            <w:tcW w:w="1696" w:type="dxa"/>
            <w:vMerge w:val="restart"/>
            <w:tcBorders>
              <w:top w:val="nil"/>
              <w:left w:val="single" w:sz="4" w:space="0" w:color="auto"/>
              <w:bottom w:val="single" w:sz="4" w:space="0" w:color="auto"/>
              <w:right w:val="single" w:sz="4" w:space="0" w:color="auto"/>
            </w:tcBorders>
            <w:shd w:val="clear" w:color="auto" w:fill="F2E18B"/>
            <w:vAlign w:val="center"/>
            <w:hideMark/>
          </w:tcPr>
          <w:p w14:paraId="34E5F789" w14:textId="77777777" w:rsidR="001D51F5" w:rsidRPr="001D51F5" w:rsidRDefault="001D51F5" w:rsidP="0082221E">
            <w:pPr>
              <w:pStyle w:val="TableText"/>
              <w:rPr>
                <w:lang w:eastAsia="en-AU"/>
              </w:rPr>
            </w:pPr>
            <w:r w:rsidRPr="001D51F5">
              <w:rPr>
                <w:lang w:eastAsia="en-AU"/>
              </w:rPr>
              <w:t>Aid to cultivation; crop, pasture or fallow establishment</w:t>
            </w:r>
          </w:p>
        </w:tc>
        <w:tc>
          <w:tcPr>
            <w:tcW w:w="1560" w:type="dxa"/>
            <w:tcBorders>
              <w:top w:val="nil"/>
              <w:left w:val="nil"/>
              <w:bottom w:val="single" w:sz="4" w:space="0" w:color="auto"/>
              <w:right w:val="single" w:sz="4" w:space="0" w:color="auto"/>
            </w:tcBorders>
            <w:vAlign w:val="center"/>
            <w:hideMark/>
          </w:tcPr>
          <w:p w14:paraId="755623F3" w14:textId="77777777" w:rsidR="001D51F5" w:rsidRPr="001D51F5" w:rsidRDefault="001D51F5" w:rsidP="0082221E">
            <w:pPr>
              <w:pStyle w:val="TableText"/>
              <w:rPr>
                <w:lang w:eastAsia="en-AU"/>
              </w:rPr>
            </w:pPr>
            <w:r w:rsidRPr="001D51F5">
              <w:rPr>
                <w:lang w:eastAsia="en-AU"/>
              </w:rPr>
              <w:t>Annual grass and broadleaf weed control (winter, spring and early summer sowing)</w:t>
            </w:r>
          </w:p>
        </w:tc>
        <w:tc>
          <w:tcPr>
            <w:tcW w:w="1275" w:type="dxa"/>
            <w:tcBorders>
              <w:top w:val="nil"/>
              <w:left w:val="single" w:sz="4" w:space="0" w:color="auto"/>
              <w:bottom w:val="single" w:sz="4" w:space="0" w:color="auto"/>
              <w:right w:val="single" w:sz="4" w:space="0" w:color="auto"/>
            </w:tcBorders>
            <w:noWrap/>
            <w:vAlign w:val="center"/>
            <w:hideMark/>
          </w:tcPr>
          <w:p w14:paraId="04AE11AC" w14:textId="77777777" w:rsidR="001D51F5" w:rsidRPr="001D51F5" w:rsidRDefault="001D51F5" w:rsidP="0082221E">
            <w:pPr>
              <w:pStyle w:val="TableText"/>
              <w:rPr>
                <w:lang w:eastAsia="en-AU"/>
              </w:rPr>
            </w:pPr>
            <w:r w:rsidRPr="001D51F5">
              <w:rPr>
                <w:lang w:eastAsia="en-AU"/>
              </w:rPr>
              <w:t>400-600 g ac/ha (boomspray)</w:t>
            </w:r>
          </w:p>
        </w:tc>
        <w:tc>
          <w:tcPr>
            <w:tcW w:w="1215" w:type="dxa"/>
            <w:vMerge w:val="restart"/>
            <w:tcBorders>
              <w:top w:val="nil"/>
              <w:left w:val="single" w:sz="4" w:space="0" w:color="auto"/>
              <w:bottom w:val="single" w:sz="4" w:space="0" w:color="auto"/>
              <w:right w:val="single" w:sz="4" w:space="0" w:color="auto"/>
            </w:tcBorders>
            <w:noWrap/>
            <w:vAlign w:val="center"/>
            <w:hideMark/>
          </w:tcPr>
          <w:p w14:paraId="24E8B8A5"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0F005E85"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1C36E039" w14:textId="02BFFA13" w:rsidR="001D51F5" w:rsidRPr="001D51F5" w:rsidRDefault="001D51F5" w:rsidP="0082221E">
            <w:pPr>
              <w:pStyle w:val="TableText"/>
              <w:rPr>
                <w:lang w:eastAsia="en-AU"/>
              </w:rPr>
            </w:pPr>
            <w:r>
              <w:rPr>
                <w:lang w:eastAsia="en-AU"/>
              </w:rPr>
              <w:t>Supported</w:t>
            </w:r>
          </w:p>
        </w:tc>
        <w:tc>
          <w:tcPr>
            <w:tcW w:w="1216" w:type="dxa"/>
            <w:tcBorders>
              <w:top w:val="single" w:sz="4" w:space="0" w:color="auto"/>
              <w:left w:val="single" w:sz="4" w:space="0" w:color="auto"/>
              <w:bottom w:val="single" w:sz="4" w:space="0" w:color="auto"/>
              <w:right w:val="single" w:sz="4" w:space="0" w:color="auto"/>
            </w:tcBorders>
            <w:vAlign w:val="center"/>
          </w:tcPr>
          <w:p w14:paraId="00449E43" w14:textId="77777777" w:rsidR="001D51F5" w:rsidRPr="001D51F5" w:rsidRDefault="001D51F5" w:rsidP="0082221E">
            <w:pPr>
              <w:pStyle w:val="TableText"/>
              <w:rPr>
                <w:lang w:eastAsia="en-AU"/>
              </w:rPr>
            </w:pPr>
            <w:r w:rsidRPr="001D51F5">
              <w:rPr>
                <w:lang w:eastAsia="en-AU"/>
              </w:rPr>
              <w:t>Not supported</w:t>
            </w:r>
          </w:p>
        </w:tc>
      </w:tr>
      <w:tr w:rsidR="001D51F5" w:rsidRPr="001D51F5" w14:paraId="43C937B0" w14:textId="77777777" w:rsidTr="0082221E">
        <w:trPr>
          <w:gridAfter w:val="1"/>
          <w:wAfter w:w="236" w:type="dxa"/>
          <w:cantSplit/>
          <w:trHeight w:val="288"/>
        </w:trPr>
        <w:tc>
          <w:tcPr>
            <w:tcW w:w="1696" w:type="dxa"/>
            <w:vMerge/>
            <w:tcBorders>
              <w:top w:val="nil"/>
              <w:left w:val="single" w:sz="4" w:space="0" w:color="auto"/>
              <w:bottom w:val="single" w:sz="4" w:space="0" w:color="auto"/>
              <w:right w:val="single" w:sz="4" w:space="0" w:color="auto"/>
            </w:tcBorders>
            <w:shd w:val="clear" w:color="auto" w:fill="F2E18B"/>
            <w:vAlign w:val="center"/>
          </w:tcPr>
          <w:p w14:paraId="12D4DCAC"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tcPr>
          <w:p w14:paraId="0B22691C" w14:textId="77777777" w:rsidR="001D51F5" w:rsidRPr="001D51F5" w:rsidRDefault="001D51F5" w:rsidP="0082221E">
            <w:pPr>
              <w:pStyle w:val="TableText"/>
              <w:rPr>
                <w:lang w:eastAsia="en-AU"/>
              </w:rPr>
            </w:pPr>
            <w:r w:rsidRPr="001D51F5">
              <w:rPr>
                <w:lang w:eastAsia="en-AU"/>
              </w:rPr>
              <w:t>Annual grass and broadleaf weed control (early Autumn sowing)</w:t>
            </w:r>
          </w:p>
        </w:tc>
        <w:tc>
          <w:tcPr>
            <w:tcW w:w="1275" w:type="dxa"/>
            <w:tcBorders>
              <w:top w:val="nil"/>
              <w:left w:val="single" w:sz="4" w:space="0" w:color="auto"/>
              <w:bottom w:val="single" w:sz="4" w:space="0" w:color="auto"/>
              <w:right w:val="single" w:sz="4" w:space="0" w:color="auto"/>
            </w:tcBorders>
            <w:noWrap/>
            <w:vAlign w:val="center"/>
          </w:tcPr>
          <w:p w14:paraId="42271A9C" w14:textId="77777777" w:rsidR="001D51F5" w:rsidRPr="001D51F5" w:rsidRDefault="001D51F5" w:rsidP="0082221E">
            <w:pPr>
              <w:pStyle w:val="TableText"/>
              <w:rPr>
                <w:lang w:eastAsia="en-AU"/>
              </w:rPr>
            </w:pPr>
            <w:r w:rsidRPr="001D51F5">
              <w:rPr>
                <w:lang w:eastAsia="en-AU"/>
              </w:rPr>
              <w:t>300-400 g ac/ha (boomspray)</w:t>
            </w:r>
          </w:p>
        </w:tc>
        <w:tc>
          <w:tcPr>
            <w:tcW w:w="1215" w:type="dxa"/>
            <w:vMerge/>
            <w:tcBorders>
              <w:top w:val="nil"/>
              <w:left w:val="single" w:sz="4" w:space="0" w:color="auto"/>
              <w:bottom w:val="single" w:sz="4" w:space="0" w:color="auto"/>
              <w:right w:val="single" w:sz="4" w:space="0" w:color="auto"/>
            </w:tcBorders>
            <w:noWrap/>
            <w:vAlign w:val="center"/>
          </w:tcPr>
          <w:p w14:paraId="7134986D"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vAlign w:val="center"/>
          </w:tcPr>
          <w:p w14:paraId="09C891ED"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6E92DC2E" w14:textId="14E41D88" w:rsidR="001D51F5" w:rsidRPr="001D51F5" w:rsidRDefault="001D51F5" w:rsidP="0082221E">
            <w:pPr>
              <w:pStyle w:val="TableText"/>
              <w:rPr>
                <w:lang w:eastAsia="en-AU"/>
              </w:rPr>
            </w:pPr>
            <w:r>
              <w:rPr>
                <w:lang w:eastAsia="en-AU"/>
              </w:rPr>
              <w:t>Supported</w:t>
            </w:r>
          </w:p>
        </w:tc>
        <w:tc>
          <w:tcPr>
            <w:tcW w:w="1216" w:type="dxa"/>
            <w:tcBorders>
              <w:top w:val="single" w:sz="4" w:space="0" w:color="auto"/>
              <w:left w:val="single" w:sz="4" w:space="0" w:color="auto"/>
              <w:bottom w:val="single" w:sz="4" w:space="0" w:color="auto"/>
              <w:right w:val="single" w:sz="4" w:space="0" w:color="auto"/>
            </w:tcBorders>
            <w:vAlign w:val="center"/>
          </w:tcPr>
          <w:p w14:paraId="1315BB90" w14:textId="77777777" w:rsidR="001D51F5" w:rsidRPr="001D51F5" w:rsidRDefault="001D51F5" w:rsidP="0082221E">
            <w:pPr>
              <w:pStyle w:val="TableText"/>
              <w:rPr>
                <w:lang w:eastAsia="en-AU"/>
              </w:rPr>
            </w:pPr>
            <w:r w:rsidRPr="001D51F5">
              <w:rPr>
                <w:lang w:eastAsia="en-AU"/>
              </w:rPr>
              <w:t>Not supported</w:t>
            </w:r>
          </w:p>
        </w:tc>
      </w:tr>
      <w:tr w:rsidR="001D51F5" w:rsidRPr="001D51F5" w14:paraId="7C656F09" w14:textId="77777777" w:rsidTr="0082221E">
        <w:trPr>
          <w:gridAfter w:val="1"/>
          <w:wAfter w:w="236" w:type="dxa"/>
          <w:cantSplit/>
          <w:trHeight w:val="885"/>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196A3381"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hideMark/>
          </w:tcPr>
          <w:p w14:paraId="1A46AA2A" w14:textId="77777777" w:rsidR="001D51F5" w:rsidRPr="001D51F5" w:rsidRDefault="001D51F5" w:rsidP="0082221E">
            <w:pPr>
              <w:pStyle w:val="TableText"/>
              <w:rPr>
                <w:lang w:eastAsia="en-AU"/>
              </w:rPr>
            </w:pPr>
            <w:r w:rsidRPr="001D51F5">
              <w:rPr>
                <w:lang w:eastAsia="en-AU"/>
              </w:rPr>
              <w:t>Volunteer canola including Roundup Ready varieties (4-6 leaf stage)</w:t>
            </w:r>
          </w:p>
        </w:tc>
        <w:tc>
          <w:tcPr>
            <w:tcW w:w="1275" w:type="dxa"/>
            <w:tcBorders>
              <w:top w:val="nil"/>
              <w:left w:val="single" w:sz="4" w:space="0" w:color="auto"/>
              <w:bottom w:val="single" w:sz="4" w:space="0" w:color="auto"/>
              <w:right w:val="single" w:sz="4" w:space="0" w:color="auto"/>
            </w:tcBorders>
            <w:vAlign w:val="center"/>
            <w:hideMark/>
          </w:tcPr>
          <w:p w14:paraId="23FADFFB" w14:textId="77777777" w:rsidR="001D51F5" w:rsidRPr="001D51F5" w:rsidRDefault="001D51F5" w:rsidP="0082221E">
            <w:pPr>
              <w:pStyle w:val="TableText"/>
              <w:rPr>
                <w:lang w:eastAsia="en-AU"/>
              </w:rPr>
            </w:pPr>
            <w:r w:rsidRPr="001D51F5">
              <w:rPr>
                <w:lang w:eastAsia="en-AU"/>
              </w:rPr>
              <w:t>450-600 g ac/ha (boomspray)</w:t>
            </w:r>
          </w:p>
        </w:tc>
        <w:tc>
          <w:tcPr>
            <w:tcW w:w="1215" w:type="dxa"/>
            <w:vMerge/>
            <w:tcBorders>
              <w:top w:val="nil"/>
              <w:left w:val="single" w:sz="4" w:space="0" w:color="auto"/>
              <w:bottom w:val="single" w:sz="4" w:space="0" w:color="auto"/>
              <w:right w:val="single" w:sz="4" w:space="0" w:color="auto"/>
            </w:tcBorders>
            <w:vAlign w:val="center"/>
            <w:hideMark/>
          </w:tcPr>
          <w:p w14:paraId="6A6F680A"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vAlign w:val="center"/>
          </w:tcPr>
          <w:p w14:paraId="4EF728E4"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7AE883D3" w14:textId="332B5014" w:rsidR="001D51F5" w:rsidRPr="001D51F5" w:rsidRDefault="001D51F5" w:rsidP="0082221E">
            <w:pPr>
              <w:pStyle w:val="TableText"/>
              <w:rPr>
                <w:lang w:eastAsia="en-AU"/>
              </w:rPr>
            </w:pPr>
            <w:r>
              <w:rPr>
                <w:lang w:eastAsia="en-AU"/>
              </w:rPr>
              <w:t>Supported</w:t>
            </w:r>
          </w:p>
        </w:tc>
        <w:tc>
          <w:tcPr>
            <w:tcW w:w="1216" w:type="dxa"/>
            <w:tcBorders>
              <w:top w:val="single" w:sz="4" w:space="0" w:color="auto"/>
              <w:left w:val="single" w:sz="4" w:space="0" w:color="auto"/>
              <w:bottom w:val="single" w:sz="4" w:space="0" w:color="auto"/>
              <w:right w:val="single" w:sz="4" w:space="0" w:color="auto"/>
            </w:tcBorders>
            <w:vAlign w:val="center"/>
          </w:tcPr>
          <w:p w14:paraId="45161D0E" w14:textId="77777777" w:rsidR="001D51F5" w:rsidRPr="001D51F5" w:rsidRDefault="001D51F5" w:rsidP="0082221E">
            <w:pPr>
              <w:pStyle w:val="TableText"/>
              <w:rPr>
                <w:lang w:eastAsia="en-AU"/>
              </w:rPr>
            </w:pPr>
            <w:r w:rsidRPr="001D51F5">
              <w:rPr>
                <w:lang w:eastAsia="en-AU"/>
              </w:rPr>
              <w:t>Not supported</w:t>
            </w:r>
          </w:p>
        </w:tc>
      </w:tr>
      <w:tr w:rsidR="001D51F5" w:rsidRPr="001D51F5" w14:paraId="37D3764C" w14:textId="77777777" w:rsidTr="0082221E">
        <w:trPr>
          <w:gridAfter w:val="1"/>
          <w:wAfter w:w="236" w:type="dxa"/>
          <w:cantSplit/>
          <w:trHeight w:val="576"/>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5A619B03"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shd w:val="clear" w:color="auto" w:fill="F2E18B"/>
            <w:vAlign w:val="center"/>
            <w:hideMark/>
          </w:tcPr>
          <w:p w14:paraId="6D84ADE9" w14:textId="77777777" w:rsidR="001D51F5" w:rsidRPr="001D51F5" w:rsidRDefault="001D51F5" w:rsidP="0082221E">
            <w:pPr>
              <w:pStyle w:val="TableText"/>
              <w:rPr>
                <w:lang w:eastAsia="en-AU"/>
              </w:rPr>
            </w:pPr>
            <w:r w:rsidRPr="001D51F5">
              <w:rPr>
                <w:lang w:eastAsia="en-AU"/>
              </w:rPr>
              <w:t xml:space="preserve">Wild oats at 2-5 leaf stage (autumn/winter) </w:t>
            </w:r>
          </w:p>
        </w:tc>
        <w:tc>
          <w:tcPr>
            <w:tcW w:w="1275" w:type="dxa"/>
            <w:tcBorders>
              <w:top w:val="nil"/>
              <w:left w:val="single" w:sz="4" w:space="0" w:color="auto"/>
              <w:bottom w:val="single" w:sz="4" w:space="0" w:color="auto"/>
              <w:right w:val="single" w:sz="4" w:space="0" w:color="auto"/>
            </w:tcBorders>
            <w:shd w:val="clear" w:color="auto" w:fill="F2E18B"/>
            <w:vAlign w:val="center"/>
            <w:hideMark/>
          </w:tcPr>
          <w:p w14:paraId="1610AC19" w14:textId="77777777" w:rsidR="001D51F5" w:rsidRPr="001D51F5" w:rsidRDefault="001D51F5" w:rsidP="0082221E">
            <w:pPr>
              <w:pStyle w:val="TableText"/>
              <w:rPr>
                <w:lang w:eastAsia="en-AU"/>
              </w:rPr>
            </w:pPr>
            <w:r w:rsidRPr="001D51F5">
              <w:rPr>
                <w:lang w:eastAsia="en-AU"/>
              </w:rPr>
              <w:t>150-200 g ac/ha (boomspray)</w:t>
            </w:r>
          </w:p>
        </w:tc>
        <w:tc>
          <w:tcPr>
            <w:tcW w:w="1215" w:type="dxa"/>
            <w:tcBorders>
              <w:top w:val="nil"/>
              <w:left w:val="nil"/>
              <w:bottom w:val="single" w:sz="4" w:space="0" w:color="auto"/>
              <w:right w:val="single" w:sz="4" w:space="0" w:color="auto"/>
            </w:tcBorders>
            <w:shd w:val="clear" w:color="auto" w:fill="F2E18B"/>
            <w:noWrap/>
            <w:vAlign w:val="center"/>
            <w:hideMark/>
          </w:tcPr>
          <w:p w14:paraId="18A6F6A7"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585127A7"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3C6B1A58" w14:textId="77777777" w:rsidR="001D51F5" w:rsidRPr="001D51F5" w:rsidRDefault="001D51F5" w:rsidP="0082221E">
            <w:pPr>
              <w:pStyle w:val="TableText"/>
              <w:rPr>
                <w:lang w:eastAsia="en-AU"/>
              </w:rPr>
            </w:pPr>
            <w:r w:rsidRPr="001D51F5">
              <w:rPr>
                <w:lang w:eastAsia="en-AU"/>
              </w:rPr>
              <w:t>Supported</w:t>
            </w:r>
          </w:p>
        </w:tc>
        <w:tc>
          <w:tcPr>
            <w:tcW w:w="1216" w:type="dxa"/>
            <w:tcBorders>
              <w:top w:val="single" w:sz="4" w:space="0" w:color="auto"/>
              <w:left w:val="single" w:sz="4" w:space="0" w:color="auto"/>
              <w:bottom w:val="single" w:sz="4" w:space="0" w:color="auto"/>
              <w:right w:val="single" w:sz="4" w:space="0" w:color="auto"/>
            </w:tcBorders>
            <w:shd w:val="clear" w:color="auto" w:fill="F2E18B"/>
            <w:vAlign w:val="center"/>
          </w:tcPr>
          <w:p w14:paraId="73DE724A" w14:textId="77777777" w:rsidR="001D51F5" w:rsidRPr="001D51F5" w:rsidRDefault="001D51F5" w:rsidP="0082221E">
            <w:pPr>
              <w:pStyle w:val="TableText"/>
              <w:rPr>
                <w:lang w:eastAsia="en-AU"/>
              </w:rPr>
            </w:pPr>
            <w:r w:rsidRPr="001D51F5">
              <w:rPr>
                <w:lang w:eastAsia="en-AU"/>
              </w:rPr>
              <w:t>Supported</w:t>
            </w:r>
          </w:p>
        </w:tc>
      </w:tr>
      <w:tr w:rsidR="001D51F5" w:rsidRPr="001D51F5" w14:paraId="2073AD0A" w14:textId="77777777" w:rsidTr="0082221E">
        <w:trPr>
          <w:gridAfter w:val="1"/>
          <w:wAfter w:w="236" w:type="dxa"/>
          <w:cantSplit/>
          <w:trHeight w:val="576"/>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466E0D5D"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hideMark/>
          </w:tcPr>
          <w:p w14:paraId="070374C4" w14:textId="77777777" w:rsidR="001D51F5" w:rsidRPr="001D51F5" w:rsidRDefault="001D51F5" w:rsidP="0082221E">
            <w:pPr>
              <w:pStyle w:val="TableText"/>
              <w:rPr>
                <w:lang w:eastAsia="en-AU"/>
              </w:rPr>
            </w:pPr>
            <w:r w:rsidRPr="001D51F5">
              <w:rPr>
                <w:lang w:eastAsia="en-AU"/>
              </w:rPr>
              <w:t xml:space="preserve">Wild oats at 2-5 leaf stage (spring/summer) </w:t>
            </w:r>
          </w:p>
        </w:tc>
        <w:tc>
          <w:tcPr>
            <w:tcW w:w="1275" w:type="dxa"/>
            <w:tcBorders>
              <w:top w:val="nil"/>
              <w:left w:val="single" w:sz="4" w:space="0" w:color="auto"/>
              <w:bottom w:val="single" w:sz="4" w:space="0" w:color="auto"/>
              <w:right w:val="single" w:sz="4" w:space="0" w:color="auto"/>
            </w:tcBorders>
            <w:vAlign w:val="center"/>
            <w:hideMark/>
          </w:tcPr>
          <w:p w14:paraId="2AA33DB9" w14:textId="77777777" w:rsidR="001D51F5" w:rsidRPr="001D51F5" w:rsidRDefault="001D51F5" w:rsidP="0082221E">
            <w:pPr>
              <w:pStyle w:val="TableText"/>
              <w:rPr>
                <w:lang w:eastAsia="en-AU"/>
              </w:rPr>
            </w:pPr>
            <w:r w:rsidRPr="001D51F5">
              <w:rPr>
                <w:lang w:eastAsia="en-AU"/>
              </w:rPr>
              <w:t>300-500 g ac/ha (boomspray)</w:t>
            </w:r>
          </w:p>
        </w:tc>
        <w:tc>
          <w:tcPr>
            <w:tcW w:w="1215" w:type="dxa"/>
            <w:tcBorders>
              <w:top w:val="nil"/>
              <w:left w:val="nil"/>
              <w:bottom w:val="single" w:sz="4" w:space="0" w:color="auto"/>
              <w:right w:val="single" w:sz="4" w:space="0" w:color="auto"/>
            </w:tcBorders>
            <w:noWrap/>
            <w:vAlign w:val="center"/>
            <w:hideMark/>
          </w:tcPr>
          <w:p w14:paraId="5383B6BA"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7F05D336"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1D84B010" w14:textId="18E5EC72" w:rsidR="001D51F5" w:rsidRPr="001D51F5" w:rsidRDefault="001D51F5" w:rsidP="0082221E">
            <w:pPr>
              <w:pStyle w:val="TableText"/>
              <w:rPr>
                <w:lang w:eastAsia="en-AU"/>
              </w:rPr>
            </w:pPr>
            <w:r>
              <w:rPr>
                <w:lang w:eastAsia="en-AU"/>
              </w:rPr>
              <w:t>Supported</w:t>
            </w:r>
          </w:p>
        </w:tc>
        <w:tc>
          <w:tcPr>
            <w:tcW w:w="1216" w:type="dxa"/>
            <w:tcBorders>
              <w:top w:val="single" w:sz="4" w:space="0" w:color="auto"/>
              <w:left w:val="single" w:sz="4" w:space="0" w:color="auto"/>
              <w:bottom w:val="single" w:sz="4" w:space="0" w:color="auto"/>
              <w:right w:val="single" w:sz="4" w:space="0" w:color="auto"/>
            </w:tcBorders>
            <w:vAlign w:val="center"/>
          </w:tcPr>
          <w:p w14:paraId="06630997" w14:textId="77777777" w:rsidR="001D51F5" w:rsidRPr="001D51F5" w:rsidRDefault="001D51F5" w:rsidP="0082221E">
            <w:pPr>
              <w:pStyle w:val="TableText"/>
              <w:rPr>
                <w:lang w:eastAsia="en-AU"/>
              </w:rPr>
            </w:pPr>
            <w:r w:rsidRPr="001D51F5">
              <w:rPr>
                <w:lang w:eastAsia="en-AU"/>
              </w:rPr>
              <w:t>Not supported</w:t>
            </w:r>
          </w:p>
        </w:tc>
      </w:tr>
      <w:tr w:rsidR="001D51F5" w:rsidRPr="001D51F5" w14:paraId="12E8B364" w14:textId="77777777" w:rsidTr="0082221E">
        <w:trPr>
          <w:gridAfter w:val="1"/>
          <w:wAfter w:w="236" w:type="dxa"/>
          <w:cantSplit/>
          <w:trHeight w:val="373"/>
        </w:trPr>
        <w:tc>
          <w:tcPr>
            <w:tcW w:w="1696" w:type="dxa"/>
            <w:tcBorders>
              <w:top w:val="nil"/>
              <w:left w:val="single" w:sz="4" w:space="0" w:color="auto"/>
              <w:bottom w:val="single" w:sz="4" w:space="0" w:color="auto"/>
              <w:right w:val="single" w:sz="4" w:space="0" w:color="auto"/>
            </w:tcBorders>
            <w:vAlign w:val="center"/>
            <w:hideMark/>
          </w:tcPr>
          <w:p w14:paraId="10C2218B" w14:textId="77777777" w:rsidR="001D51F5" w:rsidRPr="001D51F5" w:rsidRDefault="001D51F5" w:rsidP="0082221E">
            <w:pPr>
              <w:pStyle w:val="TableText"/>
              <w:rPr>
                <w:lang w:eastAsia="en-AU"/>
              </w:rPr>
            </w:pPr>
            <w:r w:rsidRPr="001D51F5">
              <w:rPr>
                <w:lang w:eastAsia="en-AU"/>
              </w:rPr>
              <w:t>Bananas</w:t>
            </w:r>
          </w:p>
        </w:tc>
        <w:tc>
          <w:tcPr>
            <w:tcW w:w="1560" w:type="dxa"/>
            <w:tcBorders>
              <w:top w:val="nil"/>
              <w:left w:val="single" w:sz="4" w:space="0" w:color="auto"/>
              <w:bottom w:val="single" w:sz="4" w:space="0" w:color="auto"/>
              <w:right w:val="single" w:sz="4" w:space="0" w:color="auto"/>
            </w:tcBorders>
            <w:vAlign w:val="center"/>
            <w:hideMark/>
          </w:tcPr>
          <w:p w14:paraId="028D7ADC" w14:textId="77777777" w:rsidR="001D51F5" w:rsidRPr="001D51F5" w:rsidRDefault="001D51F5" w:rsidP="0082221E">
            <w:pPr>
              <w:pStyle w:val="TableText"/>
              <w:rPr>
                <w:lang w:eastAsia="en-AU"/>
              </w:rPr>
            </w:pPr>
            <w:r w:rsidRPr="001D51F5">
              <w:rPr>
                <w:lang w:eastAsia="en-AU"/>
              </w:rPr>
              <w:t>Annual grasses and broadleaf weeds</w:t>
            </w:r>
          </w:p>
        </w:tc>
        <w:tc>
          <w:tcPr>
            <w:tcW w:w="1275" w:type="dxa"/>
            <w:tcBorders>
              <w:top w:val="nil"/>
              <w:left w:val="single" w:sz="4" w:space="0" w:color="auto"/>
              <w:bottom w:val="single" w:sz="4" w:space="0" w:color="auto"/>
              <w:right w:val="single" w:sz="4" w:space="0" w:color="auto"/>
            </w:tcBorders>
            <w:noWrap/>
            <w:vAlign w:val="center"/>
            <w:hideMark/>
          </w:tcPr>
          <w:p w14:paraId="08AF0797" w14:textId="77777777" w:rsidR="001D51F5" w:rsidRPr="001D51F5" w:rsidRDefault="001D51F5" w:rsidP="0082221E">
            <w:pPr>
              <w:pStyle w:val="TableText"/>
              <w:rPr>
                <w:lang w:eastAsia="en-AU"/>
              </w:rPr>
            </w:pPr>
            <w:r w:rsidRPr="001D51F5">
              <w:rPr>
                <w:lang w:eastAsia="en-AU"/>
              </w:rPr>
              <w:t>396-1120 g ac/ha (Spot spray [448 g ac/ha])</w:t>
            </w:r>
          </w:p>
        </w:tc>
        <w:tc>
          <w:tcPr>
            <w:tcW w:w="1215" w:type="dxa"/>
            <w:tcBorders>
              <w:top w:val="nil"/>
              <w:left w:val="single" w:sz="4" w:space="0" w:color="auto"/>
              <w:bottom w:val="single" w:sz="4" w:space="0" w:color="auto"/>
              <w:right w:val="single" w:sz="4" w:space="0" w:color="auto"/>
            </w:tcBorders>
            <w:noWrap/>
            <w:vAlign w:val="center"/>
            <w:hideMark/>
          </w:tcPr>
          <w:p w14:paraId="3DC2F224"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7AD02815"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1E9E9675" w14:textId="77777777" w:rsidR="001D51F5" w:rsidRPr="001D51F5" w:rsidRDefault="001D51F5" w:rsidP="0082221E">
            <w:pPr>
              <w:pStyle w:val="TableText"/>
              <w:rPr>
                <w:lang w:eastAsia="en-AU"/>
              </w:rPr>
            </w:pPr>
            <w:r w:rsidRPr="001D51F5">
              <w:rPr>
                <w:lang w:eastAsia="en-AU"/>
              </w:rPr>
              <w:t>Supported</w:t>
            </w:r>
          </w:p>
          <w:p w14:paraId="44FEBE7A" w14:textId="77777777" w:rsidR="001D51F5" w:rsidRPr="001D51F5" w:rsidRDefault="001D51F5" w:rsidP="0082221E">
            <w:pPr>
              <w:pStyle w:val="TableText"/>
              <w:rPr>
                <w:lang w:eastAsia="en-AU"/>
              </w:rPr>
            </w:pPr>
            <w:r w:rsidRPr="001D51F5">
              <w:rPr>
                <w:b/>
                <w:bCs/>
                <w:lang w:eastAsia="en-AU"/>
              </w:rPr>
              <w:t>DO NOT</w:t>
            </w:r>
            <w:r w:rsidRPr="001D51F5">
              <w:rPr>
                <w:lang w:eastAsia="en-AU"/>
              </w:rPr>
              <w:t xml:space="preserve"> apply by spraying equipment carried on the back of the user.</w:t>
            </w:r>
          </w:p>
        </w:tc>
        <w:tc>
          <w:tcPr>
            <w:tcW w:w="1216" w:type="dxa"/>
            <w:tcBorders>
              <w:top w:val="single" w:sz="4" w:space="0" w:color="auto"/>
              <w:left w:val="single" w:sz="4" w:space="0" w:color="auto"/>
              <w:bottom w:val="single" w:sz="4" w:space="0" w:color="auto"/>
              <w:right w:val="single" w:sz="4" w:space="0" w:color="auto"/>
            </w:tcBorders>
            <w:vAlign w:val="center"/>
          </w:tcPr>
          <w:p w14:paraId="7BDE1C18" w14:textId="77777777" w:rsidR="001D51F5" w:rsidRPr="001D51F5" w:rsidRDefault="001D51F5" w:rsidP="0082221E">
            <w:pPr>
              <w:pStyle w:val="TableText"/>
              <w:rPr>
                <w:lang w:eastAsia="en-AU"/>
              </w:rPr>
            </w:pPr>
            <w:r w:rsidRPr="001D51F5">
              <w:rPr>
                <w:lang w:eastAsia="en-AU"/>
              </w:rPr>
              <w:t>Not supported</w:t>
            </w:r>
          </w:p>
        </w:tc>
      </w:tr>
      <w:tr w:rsidR="001D51F5" w:rsidRPr="001D51F5" w14:paraId="234A9A77" w14:textId="77777777" w:rsidTr="0082221E">
        <w:trPr>
          <w:cantSplit/>
          <w:trHeight w:val="576"/>
        </w:trPr>
        <w:tc>
          <w:tcPr>
            <w:tcW w:w="1696" w:type="dxa"/>
            <w:tcBorders>
              <w:top w:val="nil"/>
              <w:left w:val="single" w:sz="4" w:space="0" w:color="auto"/>
              <w:bottom w:val="single" w:sz="4" w:space="0" w:color="auto"/>
              <w:right w:val="single" w:sz="4" w:space="0" w:color="auto"/>
            </w:tcBorders>
            <w:vAlign w:val="center"/>
          </w:tcPr>
          <w:p w14:paraId="0436C1BF" w14:textId="77777777" w:rsidR="001D51F5" w:rsidRPr="001D51F5" w:rsidRDefault="001D51F5" w:rsidP="0082221E">
            <w:pPr>
              <w:pStyle w:val="TableText"/>
              <w:rPr>
                <w:lang w:eastAsia="en-AU"/>
              </w:rPr>
            </w:pPr>
            <w:r w:rsidRPr="001D51F5">
              <w:rPr>
                <w:lang w:eastAsia="en-AU"/>
              </w:rPr>
              <w:t>Bananas</w:t>
            </w:r>
          </w:p>
        </w:tc>
        <w:tc>
          <w:tcPr>
            <w:tcW w:w="1560" w:type="dxa"/>
            <w:tcBorders>
              <w:top w:val="nil"/>
              <w:left w:val="nil"/>
              <w:bottom w:val="single" w:sz="4" w:space="0" w:color="auto"/>
              <w:right w:val="single" w:sz="4" w:space="0" w:color="auto"/>
            </w:tcBorders>
            <w:vAlign w:val="center"/>
          </w:tcPr>
          <w:p w14:paraId="43B37BA0" w14:textId="77777777" w:rsidR="001D51F5" w:rsidRPr="001D51F5" w:rsidRDefault="001D51F5" w:rsidP="0082221E">
            <w:pPr>
              <w:pStyle w:val="TableText"/>
              <w:rPr>
                <w:lang w:eastAsia="en-AU"/>
              </w:rPr>
            </w:pPr>
            <w:r w:rsidRPr="001D51F5">
              <w:rPr>
                <w:lang w:eastAsia="en-AU"/>
              </w:rPr>
              <w:t>Annual grasses and broadleaf weeds</w:t>
            </w:r>
          </w:p>
        </w:tc>
        <w:tc>
          <w:tcPr>
            <w:tcW w:w="1275" w:type="dxa"/>
            <w:tcBorders>
              <w:top w:val="nil"/>
              <w:left w:val="nil"/>
              <w:bottom w:val="single" w:sz="4" w:space="0" w:color="auto"/>
              <w:right w:val="single" w:sz="4" w:space="0" w:color="auto"/>
            </w:tcBorders>
            <w:vAlign w:val="center"/>
          </w:tcPr>
          <w:p w14:paraId="579A8EA7" w14:textId="77777777" w:rsidR="001D51F5" w:rsidRPr="001D51F5" w:rsidRDefault="001D51F5" w:rsidP="0082221E">
            <w:pPr>
              <w:pStyle w:val="TableText"/>
              <w:rPr>
                <w:lang w:eastAsia="en-AU"/>
              </w:rPr>
            </w:pPr>
            <w:r w:rsidRPr="001D51F5">
              <w:rPr>
                <w:lang w:eastAsia="en-AU"/>
              </w:rPr>
              <w:t>250-810 g ac/ha (Inter-row boomspray [324 g ac/ha])</w:t>
            </w:r>
          </w:p>
        </w:tc>
        <w:tc>
          <w:tcPr>
            <w:tcW w:w="1215" w:type="dxa"/>
            <w:tcBorders>
              <w:top w:val="nil"/>
              <w:left w:val="nil"/>
              <w:bottom w:val="single" w:sz="4" w:space="0" w:color="auto"/>
              <w:right w:val="single" w:sz="4" w:space="0" w:color="auto"/>
            </w:tcBorders>
            <w:noWrap/>
            <w:vAlign w:val="center"/>
          </w:tcPr>
          <w:p w14:paraId="5F5F7B3A"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6D0742C0"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4A98A20E" w14:textId="77777777" w:rsidR="001D51F5" w:rsidRPr="001D51F5" w:rsidRDefault="001D51F5" w:rsidP="0082221E">
            <w:pPr>
              <w:pStyle w:val="TableText"/>
              <w:rPr>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5C8DD8E9"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48C75D14"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1D728E66" w14:textId="77777777" w:rsidTr="0082221E">
        <w:trPr>
          <w:cantSplit/>
          <w:trHeight w:val="576"/>
        </w:trPr>
        <w:tc>
          <w:tcPr>
            <w:tcW w:w="1696" w:type="dxa"/>
            <w:vMerge w:val="restart"/>
            <w:tcBorders>
              <w:top w:val="nil"/>
              <w:left w:val="single" w:sz="4" w:space="0" w:color="auto"/>
              <w:right w:val="single" w:sz="4" w:space="0" w:color="auto"/>
            </w:tcBorders>
            <w:shd w:val="clear" w:color="auto" w:fill="F2E18B"/>
          </w:tcPr>
          <w:p w14:paraId="001484AD" w14:textId="77777777" w:rsidR="001D51F5" w:rsidRPr="001D51F5" w:rsidRDefault="001D51F5" w:rsidP="0082221E">
            <w:pPr>
              <w:pStyle w:val="TableText"/>
              <w:rPr>
                <w:lang w:eastAsia="en-AU"/>
              </w:rPr>
            </w:pPr>
            <w:r w:rsidRPr="001D51F5">
              <w:rPr>
                <w:lang w:eastAsia="en-AU"/>
              </w:rPr>
              <w:lastRenderedPageBreak/>
              <w:t>Fallows</w:t>
            </w:r>
          </w:p>
        </w:tc>
        <w:tc>
          <w:tcPr>
            <w:tcW w:w="1560" w:type="dxa"/>
            <w:tcBorders>
              <w:top w:val="nil"/>
              <w:left w:val="nil"/>
              <w:bottom w:val="single" w:sz="4" w:space="0" w:color="auto"/>
              <w:right w:val="single" w:sz="4" w:space="0" w:color="auto"/>
            </w:tcBorders>
            <w:shd w:val="clear" w:color="auto" w:fill="F2E18B"/>
            <w:vAlign w:val="center"/>
          </w:tcPr>
          <w:p w14:paraId="2E32923A" w14:textId="68A830E2" w:rsidR="001D51F5" w:rsidRPr="001D51F5" w:rsidRDefault="001D51F5" w:rsidP="0082221E">
            <w:pPr>
              <w:pStyle w:val="TableText"/>
              <w:rPr>
                <w:lang w:eastAsia="en-AU"/>
              </w:rPr>
            </w:pPr>
            <w:r w:rsidRPr="001D51F5">
              <w:rPr>
                <w:lang w:eastAsia="en-AU"/>
              </w:rPr>
              <w:t>barnyard grass, bladder ketmia, yellow vine (caltrop)</w:t>
            </w:r>
          </w:p>
        </w:tc>
        <w:tc>
          <w:tcPr>
            <w:tcW w:w="1275" w:type="dxa"/>
            <w:tcBorders>
              <w:top w:val="nil"/>
              <w:left w:val="nil"/>
              <w:bottom w:val="single" w:sz="4" w:space="0" w:color="auto"/>
              <w:right w:val="single" w:sz="4" w:space="0" w:color="auto"/>
            </w:tcBorders>
            <w:shd w:val="clear" w:color="auto" w:fill="F2E18B"/>
            <w:vAlign w:val="center"/>
          </w:tcPr>
          <w:p w14:paraId="65208972" w14:textId="32319ACC" w:rsidR="001D51F5" w:rsidRPr="001D51F5" w:rsidRDefault="001D51F5" w:rsidP="0082221E">
            <w:pPr>
              <w:pStyle w:val="TableText"/>
              <w:rPr>
                <w:lang w:eastAsia="en-AU"/>
              </w:rPr>
            </w:pPr>
            <w:r w:rsidRPr="001D51F5">
              <w:rPr>
                <w:lang w:eastAsia="en-AU"/>
              </w:rPr>
              <w:t>750-2250 g ac/ha (Optical spot spray)</w:t>
            </w:r>
          </w:p>
        </w:tc>
        <w:tc>
          <w:tcPr>
            <w:tcW w:w="1215" w:type="dxa"/>
            <w:tcBorders>
              <w:top w:val="nil"/>
              <w:left w:val="nil"/>
              <w:bottom w:val="single" w:sz="4" w:space="0" w:color="auto"/>
              <w:right w:val="single" w:sz="4" w:space="0" w:color="auto"/>
            </w:tcBorders>
            <w:shd w:val="clear" w:color="auto" w:fill="F2E18B"/>
            <w:noWrap/>
            <w:vAlign w:val="center"/>
          </w:tcPr>
          <w:p w14:paraId="2C45C1BE" w14:textId="5FF560FF" w:rsidR="001D51F5" w:rsidRPr="001D51F5" w:rsidRDefault="001D51F5" w:rsidP="0082221E">
            <w:pPr>
              <w:pStyle w:val="TableText"/>
              <w:rPr>
                <w:lang w:eastAsia="en-AU"/>
              </w:rPr>
            </w:pPr>
            <w:r w:rsidRPr="001D51F5">
              <w:rPr>
                <w:lang w:eastAsia="en-AU"/>
              </w:rPr>
              <w:t>Up to 770 g ac/ha (231 g ac/ha based on 30% area treated)</w:t>
            </w:r>
          </w:p>
          <w:p w14:paraId="0B265C03" w14:textId="77777777" w:rsidR="001D51F5" w:rsidRPr="001D51F5" w:rsidRDefault="001D51F5" w:rsidP="0082221E">
            <w:pPr>
              <w:pStyle w:val="TableText"/>
              <w:rPr>
                <w:lang w:eastAsia="en-AU"/>
              </w:rPr>
            </w:pPr>
            <w:r w:rsidRPr="001D51F5">
              <w:rPr>
                <w:lang w:eastAsia="en-AU"/>
              </w:rPr>
              <w:t>(changed from PRD)</w:t>
            </w:r>
          </w:p>
        </w:tc>
        <w:tc>
          <w:tcPr>
            <w:tcW w:w="1215" w:type="dxa"/>
            <w:tcBorders>
              <w:top w:val="single" w:sz="4" w:space="0" w:color="auto"/>
              <w:bottom w:val="single" w:sz="4" w:space="0" w:color="auto"/>
              <w:right w:val="single" w:sz="4" w:space="0" w:color="auto"/>
            </w:tcBorders>
            <w:shd w:val="clear" w:color="auto" w:fill="F2E18B"/>
            <w:vAlign w:val="center"/>
          </w:tcPr>
          <w:p w14:paraId="59A4853A"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1797ED5F"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73A430D9" w14:textId="77777777" w:rsidR="001D51F5" w:rsidRDefault="001D51F5" w:rsidP="0082221E">
            <w:pPr>
              <w:pStyle w:val="TableText"/>
              <w:rPr>
                <w:lang w:eastAsia="en-AU"/>
              </w:rPr>
            </w:pPr>
            <w:r w:rsidRPr="001D51F5">
              <w:rPr>
                <w:lang w:eastAsia="en-AU"/>
              </w:rPr>
              <w:t>Supported</w:t>
            </w:r>
            <w:bookmarkStart w:id="629" w:name="_Ref222492254"/>
            <w:r w:rsidRPr="001D51F5">
              <w:rPr>
                <w:vertAlign w:val="superscript"/>
                <w:lang w:eastAsia="en-AU"/>
              </w:rPr>
              <w:footnoteReference w:id="39"/>
            </w:r>
            <w:bookmarkEnd w:id="629"/>
          </w:p>
          <w:p w14:paraId="3A7A0D2F" w14:textId="026D6C83" w:rsidR="00C50294" w:rsidRPr="001D51F5" w:rsidRDefault="00C50294" w:rsidP="0082221E">
            <w:pPr>
              <w:pStyle w:val="TableText"/>
              <w:rPr>
                <w:rFonts w:ascii="Times New Roman" w:hAnsi="Times New Roman"/>
                <w:sz w:val="20"/>
                <w:szCs w:val="20"/>
                <w:lang w:eastAsia="en-AU"/>
              </w:rPr>
            </w:pPr>
            <w:r w:rsidRPr="001D51F5">
              <w:rPr>
                <w:lang w:eastAsia="en-AU"/>
              </w:rPr>
              <w:t>(changed from PRD)</w:t>
            </w:r>
          </w:p>
        </w:tc>
        <w:tc>
          <w:tcPr>
            <w:tcW w:w="236" w:type="dxa"/>
            <w:tcBorders>
              <w:left w:val="single" w:sz="4" w:space="0" w:color="auto"/>
            </w:tcBorders>
            <w:vAlign w:val="center"/>
          </w:tcPr>
          <w:p w14:paraId="77589C56"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57F7C6A1" w14:textId="77777777" w:rsidTr="0082221E">
        <w:trPr>
          <w:cantSplit/>
          <w:trHeight w:val="576"/>
        </w:trPr>
        <w:tc>
          <w:tcPr>
            <w:tcW w:w="1696" w:type="dxa"/>
            <w:vMerge/>
            <w:tcBorders>
              <w:left w:val="single" w:sz="4" w:space="0" w:color="auto"/>
              <w:right w:val="single" w:sz="4" w:space="0" w:color="auto"/>
            </w:tcBorders>
            <w:shd w:val="clear" w:color="auto" w:fill="F2E18B"/>
          </w:tcPr>
          <w:p w14:paraId="4ECD9BF9"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tcPr>
          <w:p w14:paraId="40E56CC9" w14:textId="77777777" w:rsidR="001D51F5" w:rsidRPr="001D51F5" w:rsidRDefault="001D51F5" w:rsidP="0082221E">
            <w:pPr>
              <w:pStyle w:val="TableText"/>
              <w:rPr>
                <w:lang w:eastAsia="en-AU"/>
              </w:rPr>
            </w:pPr>
            <w:r w:rsidRPr="001D51F5">
              <w:rPr>
                <w:lang w:eastAsia="en-AU"/>
              </w:rPr>
              <w:t>fleabane, sowthistle, turnip weed,</w:t>
            </w:r>
          </w:p>
        </w:tc>
        <w:tc>
          <w:tcPr>
            <w:tcW w:w="1275" w:type="dxa"/>
            <w:tcBorders>
              <w:top w:val="nil"/>
              <w:left w:val="nil"/>
              <w:bottom w:val="single" w:sz="4" w:space="0" w:color="auto"/>
              <w:right w:val="single" w:sz="4" w:space="0" w:color="auto"/>
            </w:tcBorders>
            <w:vAlign w:val="center"/>
          </w:tcPr>
          <w:p w14:paraId="3C8B1FE1" w14:textId="1C67312F" w:rsidR="001D51F5" w:rsidRPr="001D51F5" w:rsidRDefault="001D51F5" w:rsidP="0082221E">
            <w:pPr>
              <w:pStyle w:val="TableText"/>
              <w:rPr>
                <w:lang w:eastAsia="en-AU"/>
              </w:rPr>
            </w:pPr>
            <w:r w:rsidRPr="001D51F5">
              <w:rPr>
                <w:lang w:eastAsia="en-AU"/>
              </w:rPr>
              <w:t>1500-2250 g ac/ha (Optical spot spray)</w:t>
            </w:r>
          </w:p>
        </w:tc>
        <w:tc>
          <w:tcPr>
            <w:tcW w:w="1215" w:type="dxa"/>
            <w:tcBorders>
              <w:top w:val="nil"/>
              <w:left w:val="nil"/>
              <w:bottom w:val="single" w:sz="4" w:space="0" w:color="auto"/>
              <w:right w:val="single" w:sz="4" w:space="0" w:color="auto"/>
            </w:tcBorders>
            <w:noWrap/>
            <w:vAlign w:val="center"/>
          </w:tcPr>
          <w:p w14:paraId="4052D1CE" w14:textId="77777777" w:rsidR="001D51F5" w:rsidRPr="001D51F5" w:rsidRDefault="001D51F5" w:rsidP="0082221E">
            <w:pPr>
              <w:pStyle w:val="TableText"/>
              <w:rPr>
                <w:lang w:eastAsia="en-AU"/>
              </w:rPr>
            </w:pPr>
            <w:r w:rsidRPr="001D51F5">
              <w:rPr>
                <w:lang w:eastAsia="en-AU"/>
              </w:rPr>
              <w:t>Not supported (max. 770 g ac/ha [231 g ac/ha based on 30% area treated])</w:t>
            </w:r>
          </w:p>
        </w:tc>
        <w:tc>
          <w:tcPr>
            <w:tcW w:w="1215" w:type="dxa"/>
            <w:tcBorders>
              <w:top w:val="single" w:sz="4" w:space="0" w:color="auto"/>
              <w:bottom w:val="single" w:sz="4" w:space="0" w:color="auto"/>
              <w:right w:val="single" w:sz="4" w:space="0" w:color="auto"/>
            </w:tcBorders>
            <w:vAlign w:val="center"/>
          </w:tcPr>
          <w:p w14:paraId="4447A839"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0C0D6B20" w14:textId="62204C2B" w:rsidR="001D51F5" w:rsidRPr="001D51F5" w:rsidRDefault="009D6BD0" w:rsidP="0082221E">
            <w:pPr>
              <w:pStyle w:val="TableText"/>
              <w:rPr>
                <w:szCs w:val="17"/>
                <w:lang w:eastAsia="en-AU"/>
              </w:rPr>
            </w:pPr>
            <w:r w:rsidRPr="009D6BD0">
              <w:rPr>
                <w:szCs w:val="17"/>
                <w:lang w:eastAsia="en-AU"/>
              </w:rPr>
              <w:t>Supported</w:t>
            </w:r>
          </w:p>
        </w:tc>
        <w:tc>
          <w:tcPr>
            <w:tcW w:w="1216" w:type="dxa"/>
            <w:tcBorders>
              <w:top w:val="single" w:sz="4" w:space="0" w:color="auto"/>
              <w:left w:val="single" w:sz="4" w:space="0" w:color="auto"/>
              <w:bottom w:val="single" w:sz="4" w:space="0" w:color="auto"/>
            </w:tcBorders>
            <w:vAlign w:val="center"/>
          </w:tcPr>
          <w:p w14:paraId="79D36AFC"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tcPr>
          <w:p w14:paraId="3EBC46E0"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04645E07" w14:textId="77777777" w:rsidTr="0082221E">
        <w:trPr>
          <w:cantSplit/>
          <w:trHeight w:val="576"/>
        </w:trPr>
        <w:tc>
          <w:tcPr>
            <w:tcW w:w="1696" w:type="dxa"/>
            <w:vMerge/>
            <w:tcBorders>
              <w:left w:val="single" w:sz="4" w:space="0" w:color="auto"/>
              <w:bottom w:val="single" w:sz="4" w:space="0" w:color="auto"/>
              <w:right w:val="single" w:sz="4" w:space="0" w:color="auto"/>
            </w:tcBorders>
            <w:shd w:val="clear" w:color="auto" w:fill="F2E18B"/>
          </w:tcPr>
          <w:p w14:paraId="578C04B9"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tcPr>
          <w:p w14:paraId="319E1F2D" w14:textId="77777777" w:rsidR="001D51F5" w:rsidRPr="001D51F5" w:rsidRDefault="001D51F5" w:rsidP="0082221E">
            <w:pPr>
              <w:pStyle w:val="TableText"/>
              <w:rPr>
                <w:lang w:eastAsia="en-AU"/>
              </w:rPr>
            </w:pPr>
            <w:r w:rsidRPr="001D51F5">
              <w:rPr>
                <w:lang w:eastAsia="en-AU"/>
              </w:rPr>
              <w:t>Australian bindweed</w:t>
            </w:r>
          </w:p>
        </w:tc>
        <w:tc>
          <w:tcPr>
            <w:tcW w:w="1275" w:type="dxa"/>
            <w:tcBorders>
              <w:top w:val="nil"/>
              <w:left w:val="nil"/>
              <w:bottom w:val="single" w:sz="4" w:space="0" w:color="auto"/>
              <w:right w:val="single" w:sz="4" w:space="0" w:color="auto"/>
            </w:tcBorders>
            <w:vAlign w:val="center"/>
          </w:tcPr>
          <w:p w14:paraId="1A1EBF64" w14:textId="639702FB" w:rsidR="001D51F5" w:rsidRPr="001D51F5" w:rsidRDefault="001D51F5" w:rsidP="0082221E">
            <w:pPr>
              <w:pStyle w:val="TableText"/>
              <w:rPr>
                <w:lang w:eastAsia="en-AU"/>
              </w:rPr>
            </w:pPr>
            <w:r w:rsidRPr="001D51F5">
              <w:rPr>
                <w:lang w:eastAsia="en-AU"/>
              </w:rPr>
              <w:t>2250 g ac/ha</w:t>
            </w:r>
          </w:p>
          <w:p w14:paraId="28A12217" w14:textId="2CA19B95" w:rsidR="001D51F5" w:rsidRPr="001D51F5" w:rsidRDefault="001D51F5" w:rsidP="0082221E">
            <w:pPr>
              <w:pStyle w:val="TableText"/>
              <w:rPr>
                <w:lang w:eastAsia="en-AU"/>
              </w:rPr>
            </w:pPr>
            <w:r w:rsidRPr="001D51F5">
              <w:rPr>
                <w:lang w:eastAsia="en-AU"/>
              </w:rPr>
              <w:t>(Optical spot spray)</w:t>
            </w:r>
          </w:p>
        </w:tc>
        <w:tc>
          <w:tcPr>
            <w:tcW w:w="1215" w:type="dxa"/>
            <w:tcBorders>
              <w:top w:val="nil"/>
              <w:left w:val="nil"/>
              <w:bottom w:val="single" w:sz="4" w:space="0" w:color="auto"/>
              <w:right w:val="single" w:sz="4" w:space="0" w:color="auto"/>
            </w:tcBorders>
            <w:noWrap/>
            <w:vAlign w:val="center"/>
          </w:tcPr>
          <w:p w14:paraId="48A5A020" w14:textId="77777777" w:rsidR="001D51F5" w:rsidRPr="001D51F5" w:rsidRDefault="001D51F5" w:rsidP="0082221E">
            <w:pPr>
              <w:pStyle w:val="TableText"/>
              <w:rPr>
                <w:lang w:eastAsia="en-AU"/>
              </w:rPr>
            </w:pPr>
            <w:r w:rsidRPr="001D51F5">
              <w:rPr>
                <w:lang w:eastAsia="en-AU"/>
              </w:rPr>
              <w:t>Not supported (max. 770 g ac/ha [231 g ac/ha based on 30% area treated])</w:t>
            </w:r>
          </w:p>
        </w:tc>
        <w:tc>
          <w:tcPr>
            <w:tcW w:w="1215" w:type="dxa"/>
            <w:tcBorders>
              <w:top w:val="single" w:sz="4" w:space="0" w:color="auto"/>
              <w:bottom w:val="single" w:sz="4" w:space="0" w:color="auto"/>
              <w:right w:val="single" w:sz="4" w:space="0" w:color="auto"/>
            </w:tcBorders>
            <w:vAlign w:val="center"/>
          </w:tcPr>
          <w:p w14:paraId="14FCC850"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409D72FD" w14:textId="6FD27E81" w:rsidR="001D51F5" w:rsidRPr="001D51F5" w:rsidRDefault="009D6BD0" w:rsidP="0082221E">
            <w:pPr>
              <w:pStyle w:val="TableText"/>
              <w:rPr>
                <w:szCs w:val="17"/>
                <w:lang w:eastAsia="en-AU"/>
              </w:rPr>
            </w:pPr>
            <w:r w:rsidRPr="009D6BD0">
              <w:rPr>
                <w:szCs w:val="17"/>
                <w:lang w:eastAsia="en-AU"/>
              </w:rPr>
              <w:t>Supported</w:t>
            </w:r>
          </w:p>
        </w:tc>
        <w:tc>
          <w:tcPr>
            <w:tcW w:w="1216" w:type="dxa"/>
            <w:tcBorders>
              <w:top w:val="single" w:sz="4" w:space="0" w:color="auto"/>
              <w:left w:val="single" w:sz="4" w:space="0" w:color="auto"/>
              <w:bottom w:val="single" w:sz="4" w:space="0" w:color="auto"/>
            </w:tcBorders>
            <w:vAlign w:val="center"/>
          </w:tcPr>
          <w:p w14:paraId="73512A26"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tcPr>
          <w:p w14:paraId="0BCAF6A2"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C5467D9" w14:textId="77777777" w:rsidTr="0082221E">
        <w:trPr>
          <w:cantSplit/>
          <w:trHeight w:val="576"/>
        </w:trPr>
        <w:tc>
          <w:tcPr>
            <w:tcW w:w="1696" w:type="dxa"/>
            <w:tcBorders>
              <w:left w:val="single" w:sz="4" w:space="0" w:color="auto"/>
              <w:bottom w:val="single" w:sz="4" w:space="0" w:color="auto"/>
              <w:right w:val="single" w:sz="4" w:space="0" w:color="auto"/>
            </w:tcBorders>
          </w:tcPr>
          <w:p w14:paraId="1977D65D" w14:textId="77777777" w:rsidR="001D51F5" w:rsidRPr="001D51F5" w:rsidRDefault="001D51F5" w:rsidP="0082221E">
            <w:pPr>
              <w:pStyle w:val="TableText"/>
              <w:rPr>
                <w:lang w:eastAsia="en-AU"/>
              </w:rPr>
            </w:pPr>
            <w:r w:rsidRPr="001D51F5">
              <w:rPr>
                <w:lang w:eastAsia="en-AU"/>
              </w:rPr>
              <w:t xml:space="preserve">Summer Fallow Volunteer cotton &amp; ratoon cotton (Gossypium hirsutum) Including Roundup Ready Flex* varieties </w:t>
            </w:r>
          </w:p>
        </w:tc>
        <w:tc>
          <w:tcPr>
            <w:tcW w:w="1560" w:type="dxa"/>
            <w:tcBorders>
              <w:top w:val="nil"/>
              <w:left w:val="nil"/>
              <w:bottom w:val="single" w:sz="4" w:space="0" w:color="auto"/>
              <w:right w:val="single" w:sz="4" w:space="0" w:color="auto"/>
            </w:tcBorders>
          </w:tcPr>
          <w:p w14:paraId="25675A85" w14:textId="77777777" w:rsidR="001D51F5" w:rsidRPr="001D51F5" w:rsidRDefault="001D51F5" w:rsidP="0082221E">
            <w:pPr>
              <w:pStyle w:val="TableText"/>
              <w:rPr>
                <w:lang w:eastAsia="en-AU"/>
              </w:rPr>
            </w:pPr>
            <w:r w:rsidRPr="001D51F5">
              <w:rPr>
                <w:lang w:eastAsia="en-AU"/>
              </w:rPr>
              <w:t xml:space="preserve">Summer Fallow Volunteer cotton &amp; ratoon cotton (Gossypium hirsutum) Including Roundup Ready Flex* varieties </w:t>
            </w:r>
          </w:p>
        </w:tc>
        <w:tc>
          <w:tcPr>
            <w:tcW w:w="1275" w:type="dxa"/>
            <w:tcBorders>
              <w:top w:val="nil"/>
              <w:left w:val="nil"/>
              <w:bottom w:val="single" w:sz="4" w:space="0" w:color="auto"/>
              <w:right w:val="single" w:sz="4" w:space="0" w:color="auto"/>
            </w:tcBorders>
            <w:vAlign w:val="center"/>
          </w:tcPr>
          <w:p w14:paraId="090864A8" w14:textId="77777777" w:rsidR="001D51F5" w:rsidRPr="001D51F5" w:rsidRDefault="001D51F5" w:rsidP="0082221E">
            <w:pPr>
              <w:pStyle w:val="TableText"/>
              <w:rPr>
                <w:lang w:eastAsia="en-AU"/>
              </w:rPr>
            </w:pPr>
            <w:r w:rsidRPr="001D51F5">
              <w:rPr>
                <w:lang w:eastAsia="en-AU"/>
              </w:rPr>
              <w:t>800 g ac/ha</w:t>
            </w:r>
          </w:p>
          <w:p w14:paraId="220A2752" w14:textId="308116D4" w:rsidR="001D51F5" w:rsidRPr="001D51F5" w:rsidRDefault="001D51F5" w:rsidP="0082221E">
            <w:pPr>
              <w:pStyle w:val="TableText"/>
              <w:rPr>
                <w:lang w:eastAsia="en-AU"/>
              </w:rPr>
            </w:pPr>
            <w:r w:rsidRPr="001D51F5">
              <w:rPr>
                <w:lang w:eastAsia="en-AU"/>
              </w:rPr>
              <w:t>(Optical spot spray</w:t>
            </w:r>
            <w:r w:rsidR="00B103E6">
              <w:rPr>
                <w:lang w:eastAsia="en-AU"/>
              </w:rPr>
              <w:t>)</w:t>
            </w:r>
          </w:p>
        </w:tc>
        <w:tc>
          <w:tcPr>
            <w:tcW w:w="1215" w:type="dxa"/>
            <w:tcBorders>
              <w:top w:val="nil"/>
              <w:left w:val="nil"/>
              <w:bottom w:val="single" w:sz="4" w:space="0" w:color="auto"/>
              <w:right w:val="single" w:sz="4" w:space="0" w:color="auto"/>
            </w:tcBorders>
            <w:noWrap/>
            <w:vAlign w:val="center"/>
          </w:tcPr>
          <w:p w14:paraId="7A9347A8" w14:textId="77777777" w:rsidR="001D51F5" w:rsidRPr="001D51F5" w:rsidRDefault="001D51F5" w:rsidP="0082221E">
            <w:pPr>
              <w:pStyle w:val="TableText"/>
              <w:rPr>
                <w:lang w:eastAsia="en-AU"/>
              </w:rPr>
            </w:pPr>
            <w:r w:rsidRPr="001D51F5">
              <w:rPr>
                <w:lang w:eastAsia="en-AU"/>
              </w:rPr>
              <w:t>Not supported (max. 770 g ac/ha [231 g ac/ha based on 30% area treated])</w:t>
            </w:r>
          </w:p>
        </w:tc>
        <w:tc>
          <w:tcPr>
            <w:tcW w:w="1215" w:type="dxa"/>
            <w:tcBorders>
              <w:top w:val="single" w:sz="4" w:space="0" w:color="auto"/>
              <w:bottom w:val="single" w:sz="4" w:space="0" w:color="auto"/>
              <w:right w:val="single" w:sz="4" w:space="0" w:color="auto"/>
            </w:tcBorders>
            <w:vAlign w:val="center"/>
          </w:tcPr>
          <w:p w14:paraId="7F30F42F"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1414AE8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787849D4"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tcPr>
          <w:p w14:paraId="39B55396"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28AEAE76" w14:textId="77777777" w:rsidTr="0082221E">
        <w:trPr>
          <w:cantSplit/>
          <w:trHeight w:val="288"/>
        </w:trPr>
        <w:tc>
          <w:tcPr>
            <w:tcW w:w="1696" w:type="dxa"/>
            <w:vMerge w:val="restart"/>
            <w:tcBorders>
              <w:top w:val="nil"/>
              <w:left w:val="single" w:sz="4" w:space="0" w:color="auto"/>
              <w:bottom w:val="single" w:sz="4" w:space="0" w:color="auto"/>
              <w:right w:val="single" w:sz="4" w:space="0" w:color="auto"/>
            </w:tcBorders>
            <w:shd w:val="clear" w:color="auto" w:fill="F2E18B"/>
            <w:hideMark/>
          </w:tcPr>
          <w:p w14:paraId="4D20DF2D" w14:textId="77777777" w:rsidR="001D51F5" w:rsidRPr="001D51F5" w:rsidRDefault="001D51F5" w:rsidP="0082221E">
            <w:pPr>
              <w:pStyle w:val="TableText"/>
              <w:rPr>
                <w:lang w:eastAsia="en-AU"/>
              </w:rPr>
            </w:pPr>
            <w:r w:rsidRPr="001D51F5">
              <w:rPr>
                <w:lang w:eastAsia="en-AU"/>
              </w:rPr>
              <w:t>Firebreaks</w:t>
            </w:r>
          </w:p>
        </w:tc>
        <w:tc>
          <w:tcPr>
            <w:tcW w:w="1560" w:type="dxa"/>
            <w:tcBorders>
              <w:top w:val="nil"/>
              <w:left w:val="nil"/>
              <w:bottom w:val="single" w:sz="4" w:space="0" w:color="auto"/>
              <w:right w:val="single" w:sz="4" w:space="0" w:color="auto"/>
            </w:tcBorders>
            <w:shd w:val="clear" w:color="auto" w:fill="F2E18B"/>
            <w:noWrap/>
            <w:vAlign w:val="center"/>
            <w:hideMark/>
          </w:tcPr>
          <w:p w14:paraId="011E9832" w14:textId="77777777" w:rsidR="001D51F5" w:rsidRPr="001D51F5" w:rsidRDefault="001D51F5" w:rsidP="0082221E">
            <w:pPr>
              <w:pStyle w:val="TableText"/>
              <w:rPr>
                <w:lang w:eastAsia="en-AU"/>
              </w:rPr>
            </w:pPr>
            <w:r w:rsidRPr="001D51F5">
              <w:rPr>
                <w:lang w:eastAsia="en-AU"/>
              </w:rPr>
              <w:t>Annual grasses and broadleaf weeds</w:t>
            </w:r>
          </w:p>
        </w:tc>
        <w:tc>
          <w:tcPr>
            <w:tcW w:w="1275" w:type="dxa"/>
            <w:vMerge w:val="restart"/>
            <w:tcBorders>
              <w:top w:val="nil"/>
              <w:left w:val="single" w:sz="4" w:space="0" w:color="auto"/>
              <w:bottom w:val="single" w:sz="4" w:space="0" w:color="auto"/>
              <w:right w:val="single" w:sz="4" w:space="0" w:color="auto"/>
            </w:tcBorders>
            <w:shd w:val="clear" w:color="auto" w:fill="F2E18B"/>
            <w:noWrap/>
            <w:vAlign w:val="center"/>
            <w:hideMark/>
          </w:tcPr>
          <w:p w14:paraId="0DC15749" w14:textId="77777777" w:rsidR="001D51F5" w:rsidRPr="001D51F5" w:rsidRDefault="001D51F5" w:rsidP="0082221E">
            <w:pPr>
              <w:pStyle w:val="TableText"/>
              <w:rPr>
                <w:lang w:eastAsia="en-AU"/>
              </w:rPr>
            </w:pPr>
            <w:r w:rsidRPr="001D51F5">
              <w:rPr>
                <w:lang w:eastAsia="en-AU"/>
              </w:rPr>
              <w:t>390-1020 g ac/ha (Boomspray)</w:t>
            </w:r>
          </w:p>
        </w:tc>
        <w:tc>
          <w:tcPr>
            <w:tcW w:w="1215" w:type="dxa"/>
            <w:vMerge w:val="restart"/>
            <w:tcBorders>
              <w:top w:val="nil"/>
              <w:left w:val="single" w:sz="4" w:space="0" w:color="auto"/>
              <w:bottom w:val="single" w:sz="4" w:space="0" w:color="auto"/>
              <w:right w:val="single" w:sz="4" w:space="0" w:color="auto"/>
            </w:tcBorders>
            <w:shd w:val="clear" w:color="auto" w:fill="F2E18B"/>
            <w:noWrap/>
            <w:vAlign w:val="center"/>
            <w:hideMark/>
          </w:tcPr>
          <w:p w14:paraId="4D3E49EF" w14:textId="26B09A26" w:rsidR="001D51F5" w:rsidRPr="001D51F5" w:rsidRDefault="001D51F5" w:rsidP="0082221E">
            <w:pPr>
              <w:pStyle w:val="TableText"/>
              <w:rPr>
                <w:lang w:eastAsia="en-AU"/>
              </w:rPr>
            </w:pPr>
            <w:r w:rsidRPr="001D51F5">
              <w:rPr>
                <w:lang w:eastAsia="en-AU"/>
              </w:rPr>
              <w:t xml:space="preserve">Supported *WoE </w:t>
            </w:r>
            <w:r w:rsidR="00423949" w:rsidRPr="001D51F5">
              <w:rPr>
                <w:lang w:eastAsia="en-AU"/>
              </w:rPr>
              <w:t xml:space="preserve">(changed from PRD) </w:t>
            </w:r>
            <w:r w:rsidRPr="001D51F5">
              <w:rPr>
                <w:lang w:eastAsia="en-AU"/>
              </w:rPr>
              <w:t>(changed from PRD)</w:t>
            </w:r>
          </w:p>
        </w:tc>
        <w:tc>
          <w:tcPr>
            <w:tcW w:w="1215" w:type="dxa"/>
            <w:tcBorders>
              <w:top w:val="single" w:sz="4" w:space="0" w:color="auto"/>
              <w:bottom w:val="single" w:sz="4" w:space="0" w:color="auto"/>
              <w:right w:val="single" w:sz="4" w:space="0" w:color="auto"/>
            </w:tcBorders>
            <w:shd w:val="clear" w:color="auto" w:fill="F2E18B"/>
            <w:vAlign w:val="center"/>
          </w:tcPr>
          <w:p w14:paraId="69A746ED"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5158E63C"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5A857A77" w14:textId="4D92D332" w:rsidR="001D51F5" w:rsidRPr="001D51F5" w:rsidRDefault="001D51F5" w:rsidP="0082221E">
            <w:pPr>
              <w:pStyle w:val="TableText"/>
              <w:rPr>
                <w:rFonts w:ascii="Times New Roman" w:hAnsi="Times New Roman"/>
                <w:sz w:val="20"/>
                <w:szCs w:val="20"/>
                <w:lang w:eastAsia="en-AU"/>
              </w:rPr>
            </w:pPr>
            <w:r w:rsidRPr="001D51F5">
              <w:rPr>
                <w:lang w:eastAsia="en-AU"/>
              </w:rPr>
              <w:t>Supported</w:t>
            </w:r>
            <w:r w:rsidR="00423949">
              <w:rPr>
                <w:lang w:eastAsia="en-AU"/>
              </w:rPr>
              <w:t xml:space="preserve"> </w:t>
            </w:r>
            <w:r w:rsidR="00423949" w:rsidRPr="001D51F5">
              <w:rPr>
                <w:lang w:eastAsia="en-AU"/>
              </w:rPr>
              <w:t>(changed from PRD)</w:t>
            </w:r>
          </w:p>
        </w:tc>
        <w:tc>
          <w:tcPr>
            <w:tcW w:w="236" w:type="dxa"/>
            <w:tcBorders>
              <w:left w:val="single" w:sz="4" w:space="0" w:color="auto"/>
            </w:tcBorders>
            <w:vAlign w:val="center"/>
            <w:hideMark/>
          </w:tcPr>
          <w:p w14:paraId="4DB80BEF"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67197FF4" w14:textId="77777777" w:rsidTr="0082221E">
        <w:trPr>
          <w:cantSplit/>
          <w:trHeight w:val="576"/>
        </w:trPr>
        <w:tc>
          <w:tcPr>
            <w:tcW w:w="1696" w:type="dxa"/>
            <w:vMerge/>
            <w:tcBorders>
              <w:top w:val="nil"/>
              <w:left w:val="single" w:sz="4" w:space="0" w:color="auto"/>
              <w:bottom w:val="single" w:sz="4" w:space="0" w:color="auto"/>
              <w:right w:val="single" w:sz="4" w:space="0" w:color="auto"/>
            </w:tcBorders>
            <w:vAlign w:val="center"/>
            <w:hideMark/>
          </w:tcPr>
          <w:p w14:paraId="5067A827"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shd w:val="clear" w:color="auto" w:fill="F2E18B"/>
            <w:vAlign w:val="center"/>
            <w:hideMark/>
          </w:tcPr>
          <w:p w14:paraId="33AABE5B" w14:textId="77777777" w:rsidR="001D51F5" w:rsidRPr="001D51F5" w:rsidRDefault="001D51F5" w:rsidP="0082221E">
            <w:pPr>
              <w:pStyle w:val="TableText"/>
              <w:rPr>
                <w:lang w:eastAsia="en-AU"/>
              </w:rPr>
            </w:pPr>
            <w:r w:rsidRPr="001D51F5">
              <w:rPr>
                <w:lang w:eastAsia="en-AU"/>
              </w:rPr>
              <w:t>Knock down weed growth to eliminate fire hazard or assist firebreak burn.</w:t>
            </w:r>
          </w:p>
        </w:tc>
        <w:tc>
          <w:tcPr>
            <w:tcW w:w="1275" w:type="dxa"/>
            <w:vMerge/>
            <w:tcBorders>
              <w:top w:val="nil"/>
              <w:left w:val="single" w:sz="4" w:space="0" w:color="auto"/>
              <w:bottom w:val="single" w:sz="4" w:space="0" w:color="auto"/>
              <w:right w:val="single" w:sz="4" w:space="0" w:color="auto"/>
            </w:tcBorders>
            <w:vAlign w:val="center"/>
            <w:hideMark/>
          </w:tcPr>
          <w:p w14:paraId="385568E6" w14:textId="77777777" w:rsidR="001D51F5" w:rsidRPr="001D51F5" w:rsidRDefault="001D51F5" w:rsidP="0082221E">
            <w:pPr>
              <w:pStyle w:val="TableText"/>
              <w:rPr>
                <w:lang w:eastAsia="en-AU"/>
              </w:rPr>
            </w:pPr>
          </w:p>
        </w:tc>
        <w:tc>
          <w:tcPr>
            <w:tcW w:w="1215" w:type="dxa"/>
            <w:vMerge/>
            <w:tcBorders>
              <w:top w:val="nil"/>
              <w:left w:val="single" w:sz="4" w:space="0" w:color="auto"/>
              <w:bottom w:val="single" w:sz="4" w:space="0" w:color="auto"/>
              <w:right w:val="single" w:sz="4" w:space="0" w:color="auto"/>
            </w:tcBorders>
            <w:vAlign w:val="center"/>
            <w:hideMark/>
          </w:tcPr>
          <w:p w14:paraId="3FA6101A"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shd w:val="clear" w:color="auto" w:fill="F2E18B"/>
            <w:vAlign w:val="center"/>
          </w:tcPr>
          <w:p w14:paraId="60C49966"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698AC96D" w14:textId="4CBDE373"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0C5E5B67"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236" w:type="dxa"/>
            <w:tcBorders>
              <w:left w:val="single" w:sz="4" w:space="0" w:color="auto"/>
            </w:tcBorders>
            <w:vAlign w:val="center"/>
            <w:hideMark/>
          </w:tcPr>
          <w:p w14:paraId="1AE53B1D"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1BAAA444" w14:textId="77777777" w:rsidTr="0082221E">
        <w:trPr>
          <w:cantSplit/>
          <w:trHeight w:val="576"/>
        </w:trPr>
        <w:tc>
          <w:tcPr>
            <w:tcW w:w="1696" w:type="dxa"/>
            <w:tcBorders>
              <w:top w:val="nil"/>
              <w:left w:val="single" w:sz="4" w:space="0" w:color="auto"/>
              <w:bottom w:val="single" w:sz="4" w:space="0" w:color="auto"/>
              <w:right w:val="single" w:sz="4" w:space="0" w:color="auto"/>
            </w:tcBorders>
            <w:vAlign w:val="center"/>
            <w:hideMark/>
          </w:tcPr>
          <w:p w14:paraId="584EAB3A" w14:textId="77777777" w:rsidR="001D51F5" w:rsidRPr="001D51F5" w:rsidRDefault="001D51F5" w:rsidP="0082221E">
            <w:pPr>
              <w:pStyle w:val="TableText"/>
              <w:rPr>
                <w:lang w:eastAsia="en-AU"/>
              </w:rPr>
            </w:pPr>
            <w:r w:rsidRPr="001D51F5">
              <w:rPr>
                <w:lang w:eastAsia="en-AU"/>
              </w:rPr>
              <w:lastRenderedPageBreak/>
              <w:t>Hay freezing (grass pasture desiccation)</w:t>
            </w:r>
          </w:p>
        </w:tc>
        <w:tc>
          <w:tcPr>
            <w:tcW w:w="1560" w:type="dxa"/>
            <w:tcBorders>
              <w:top w:val="nil"/>
              <w:left w:val="nil"/>
              <w:bottom w:val="single" w:sz="4" w:space="0" w:color="auto"/>
              <w:right w:val="single" w:sz="4" w:space="0" w:color="auto"/>
            </w:tcBorders>
            <w:vAlign w:val="center"/>
            <w:hideMark/>
          </w:tcPr>
          <w:p w14:paraId="5D0BA603" w14:textId="77777777" w:rsidR="001D51F5" w:rsidRPr="001D51F5" w:rsidRDefault="001D51F5" w:rsidP="0082221E">
            <w:pPr>
              <w:pStyle w:val="TableText"/>
              <w:rPr>
                <w:lang w:eastAsia="en-AU"/>
              </w:rPr>
            </w:pPr>
            <w:r w:rsidRPr="001D51F5">
              <w:rPr>
                <w:lang w:eastAsia="en-AU"/>
              </w:rPr>
              <w:t>Maximum retention of protein in standing dry feed</w:t>
            </w:r>
          </w:p>
        </w:tc>
        <w:tc>
          <w:tcPr>
            <w:tcW w:w="1275" w:type="dxa"/>
            <w:tcBorders>
              <w:top w:val="nil"/>
              <w:left w:val="nil"/>
              <w:bottom w:val="single" w:sz="4" w:space="0" w:color="auto"/>
              <w:right w:val="single" w:sz="4" w:space="0" w:color="auto"/>
            </w:tcBorders>
            <w:noWrap/>
            <w:vAlign w:val="center"/>
            <w:hideMark/>
          </w:tcPr>
          <w:p w14:paraId="22ECA80B" w14:textId="77777777" w:rsidR="001D51F5" w:rsidRPr="001D51F5" w:rsidRDefault="001D51F5" w:rsidP="0082221E">
            <w:pPr>
              <w:pStyle w:val="TableText"/>
              <w:rPr>
                <w:lang w:eastAsia="en-AU"/>
              </w:rPr>
            </w:pPr>
            <w:r w:rsidRPr="001D51F5">
              <w:rPr>
                <w:lang w:eastAsia="en-AU"/>
              </w:rPr>
              <w:t>200 g ac/ha (Boomspray)</w:t>
            </w:r>
          </w:p>
        </w:tc>
        <w:tc>
          <w:tcPr>
            <w:tcW w:w="1215" w:type="dxa"/>
            <w:tcBorders>
              <w:top w:val="nil"/>
              <w:left w:val="nil"/>
              <w:bottom w:val="single" w:sz="4" w:space="0" w:color="auto"/>
              <w:right w:val="single" w:sz="4" w:space="0" w:color="auto"/>
            </w:tcBorders>
            <w:noWrap/>
            <w:vAlign w:val="center"/>
            <w:hideMark/>
          </w:tcPr>
          <w:p w14:paraId="6BF77780"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0FB04A9C"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792B05BB"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0287C695"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2DD9E81E"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5294E764" w14:textId="77777777" w:rsidTr="0082221E">
        <w:trPr>
          <w:cantSplit/>
          <w:trHeight w:val="288"/>
        </w:trPr>
        <w:tc>
          <w:tcPr>
            <w:tcW w:w="1696" w:type="dxa"/>
            <w:tcBorders>
              <w:top w:val="nil"/>
              <w:left w:val="single" w:sz="4" w:space="0" w:color="auto"/>
              <w:bottom w:val="single" w:sz="4" w:space="0" w:color="auto"/>
              <w:right w:val="single" w:sz="4" w:space="0" w:color="auto"/>
            </w:tcBorders>
            <w:vAlign w:val="center"/>
            <w:hideMark/>
          </w:tcPr>
          <w:p w14:paraId="7C6C7541" w14:textId="77777777" w:rsidR="001D51F5" w:rsidRPr="001D51F5" w:rsidRDefault="001D51F5" w:rsidP="0082221E">
            <w:pPr>
              <w:pStyle w:val="TableText"/>
              <w:rPr>
                <w:lang w:eastAsia="en-AU"/>
              </w:rPr>
            </w:pPr>
            <w:r w:rsidRPr="001D51F5">
              <w:rPr>
                <w:lang w:eastAsia="en-AU"/>
              </w:rPr>
              <w:t>Hops</w:t>
            </w:r>
          </w:p>
        </w:tc>
        <w:tc>
          <w:tcPr>
            <w:tcW w:w="1560" w:type="dxa"/>
            <w:tcBorders>
              <w:top w:val="nil"/>
              <w:left w:val="nil"/>
              <w:bottom w:val="single" w:sz="4" w:space="0" w:color="auto"/>
              <w:right w:val="single" w:sz="4" w:space="0" w:color="auto"/>
            </w:tcBorders>
            <w:vAlign w:val="center"/>
            <w:hideMark/>
          </w:tcPr>
          <w:p w14:paraId="67DB336D" w14:textId="77777777" w:rsidR="001D51F5" w:rsidRPr="001D51F5" w:rsidRDefault="001D51F5" w:rsidP="0082221E">
            <w:pPr>
              <w:pStyle w:val="TableText"/>
              <w:rPr>
                <w:lang w:eastAsia="en-AU"/>
              </w:rPr>
            </w:pPr>
            <w:r w:rsidRPr="001D51F5">
              <w:rPr>
                <w:lang w:eastAsia="en-AU"/>
              </w:rPr>
              <w:t>Annual grasses and broadleaf weeds</w:t>
            </w:r>
          </w:p>
        </w:tc>
        <w:tc>
          <w:tcPr>
            <w:tcW w:w="1275" w:type="dxa"/>
            <w:tcBorders>
              <w:top w:val="nil"/>
              <w:left w:val="nil"/>
              <w:bottom w:val="single" w:sz="4" w:space="0" w:color="auto"/>
              <w:right w:val="single" w:sz="4" w:space="0" w:color="auto"/>
            </w:tcBorders>
            <w:noWrap/>
            <w:vAlign w:val="center"/>
            <w:hideMark/>
          </w:tcPr>
          <w:p w14:paraId="5F50BD54" w14:textId="77777777" w:rsidR="001D51F5" w:rsidRPr="001D51F5" w:rsidRDefault="001D51F5" w:rsidP="0082221E">
            <w:pPr>
              <w:pStyle w:val="TableText"/>
              <w:rPr>
                <w:lang w:eastAsia="en-AU"/>
              </w:rPr>
            </w:pPr>
            <w:r w:rsidRPr="001D51F5">
              <w:rPr>
                <w:lang w:eastAsia="en-AU"/>
              </w:rPr>
              <w:t>300-400 g ac/ha (Inter-row spray)</w:t>
            </w:r>
          </w:p>
        </w:tc>
        <w:tc>
          <w:tcPr>
            <w:tcW w:w="1215" w:type="dxa"/>
            <w:tcBorders>
              <w:top w:val="nil"/>
              <w:left w:val="nil"/>
              <w:bottom w:val="single" w:sz="4" w:space="0" w:color="auto"/>
              <w:right w:val="single" w:sz="4" w:space="0" w:color="auto"/>
            </w:tcBorders>
            <w:noWrap/>
            <w:vAlign w:val="center"/>
            <w:hideMark/>
          </w:tcPr>
          <w:p w14:paraId="377C2C76"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31C288C1"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0F051E72"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526DB615"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55EF2615"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80044D5" w14:textId="77777777" w:rsidTr="0082221E">
        <w:trPr>
          <w:cantSplit/>
          <w:trHeight w:val="288"/>
        </w:trPr>
        <w:tc>
          <w:tcPr>
            <w:tcW w:w="1696" w:type="dxa"/>
            <w:tcBorders>
              <w:top w:val="nil"/>
              <w:left w:val="single" w:sz="4" w:space="0" w:color="auto"/>
              <w:bottom w:val="single" w:sz="4" w:space="0" w:color="auto"/>
              <w:right w:val="single" w:sz="4" w:space="0" w:color="auto"/>
            </w:tcBorders>
            <w:vAlign w:val="center"/>
            <w:hideMark/>
          </w:tcPr>
          <w:p w14:paraId="357DD985" w14:textId="77777777" w:rsidR="001D51F5" w:rsidRPr="001D51F5" w:rsidRDefault="001D51F5" w:rsidP="0082221E">
            <w:pPr>
              <w:pStyle w:val="TableText"/>
              <w:rPr>
                <w:lang w:eastAsia="en-AU"/>
              </w:rPr>
            </w:pPr>
            <w:r w:rsidRPr="001D51F5">
              <w:rPr>
                <w:lang w:eastAsia="en-AU"/>
              </w:rPr>
              <w:t>Lucerne (Autumn / early winter)</w:t>
            </w:r>
          </w:p>
        </w:tc>
        <w:tc>
          <w:tcPr>
            <w:tcW w:w="1560" w:type="dxa"/>
            <w:tcBorders>
              <w:top w:val="nil"/>
              <w:left w:val="nil"/>
              <w:bottom w:val="single" w:sz="4" w:space="0" w:color="auto"/>
              <w:right w:val="single" w:sz="4" w:space="0" w:color="auto"/>
            </w:tcBorders>
            <w:vAlign w:val="center"/>
            <w:hideMark/>
          </w:tcPr>
          <w:p w14:paraId="380E9643" w14:textId="77777777" w:rsidR="001D51F5" w:rsidRPr="001D51F5" w:rsidRDefault="001D51F5" w:rsidP="0082221E">
            <w:pPr>
              <w:pStyle w:val="TableText"/>
              <w:rPr>
                <w:lang w:eastAsia="en-AU"/>
              </w:rPr>
            </w:pPr>
            <w:r w:rsidRPr="001D51F5">
              <w:rPr>
                <w:lang w:eastAsia="en-AU"/>
              </w:rPr>
              <w:t>Annual grass and some broadleaf weeds</w:t>
            </w:r>
          </w:p>
        </w:tc>
        <w:tc>
          <w:tcPr>
            <w:tcW w:w="1275" w:type="dxa"/>
            <w:tcBorders>
              <w:top w:val="nil"/>
              <w:left w:val="nil"/>
              <w:bottom w:val="single" w:sz="4" w:space="0" w:color="auto"/>
              <w:right w:val="single" w:sz="4" w:space="0" w:color="auto"/>
            </w:tcBorders>
            <w:noWrap/>
            <w:vAlign w:val="center"/>
            <w:hideMark/>
          </w:tcPr>
          <w:p w14:paraId="22A7651A" w14:textId="77777777" w:rsidR="001D51F5" w:rsidRPr="001D51F5" w:rsidRDefault="001D51F5" w:rsidP="0082221E">
            <w:pPr>
              <w:pStyle w:val="TableText"/>
              <w:rPr>
                <w:lang w:eastAsia="en-AU"/>
              </w:rPr>
            </w:pPr>
            <w:r w:rsidRPr="001D51F5">
              <w:rPr>
                <w:lang w:eastAsia="en-AU"/>
              </w:rPr>
              <w:t>300-420 g ac/ha (Boomspray)</w:t>
            </w:r>
          </w:p>
        </w:tc>
        <w:tc>
          <w:tcPr>
            <w:tcW w:w="1215" w:type="dxa"/>
            <w:tcBorders>
              <w:top w:val="nil"/>
              <w:left w:val="nil"/>
              <w:bottom w:val="single" w:sz="4" w:space="0" w:color="auto"/>
              <w:right w:val="single" w:sz="4" w:space="0" w:color="auto"/>
            </w:tcBorders>
            <w:noWrap/>
            <w:vAlign w:val="center"/>
            <w:hideMark/>
          </w:tcPr>
          <w:p w14:paraId="0ADE6B58" w14:textId="77777777" w:rsidR="001D51F5" w:rsidRPr="001D51F5" w:rsidRDefault="001D51F5" w:rsidP="0082221E">
            <w:pPr>
              <w:pStyle w:val="TableText"/>
              <w:rPr>
                <w:lang w:eastAsia="en-AU"/>
              </w:rPr>
            </w:pPr>
            <w:r w:rsidRPr="001D51F5">
              <w:rPr>
                <w:lang w:eastAsia="en-AU"/>
              </w:rPr>
              <w:t>Not supported (max. 226 g ac/ha)</w:t>
            </w:r>
          </w:p>
        </w:tc>
        <w:tc>
          <w:tcPr>
            <w:tcW w:w="1215" w:type="dxa"/>
            <w:tcBorders>
              <w:top w:val="single" w:sz="4" w:space="0" w:color="auto"/>
              <w:bottom w:val="single" w:sz="4" w:space="0" w:color="auto"/>
              <w:right w:val="single" w:sz="4" w:space="0" w:color="auto"/>
            </w:tcBorders>
            <w:vAlign w:val="center"/>
          </w:tcPr>
          <w:p w14:paraId="11C8BABB"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5CB04E6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72BCC7A4"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4F43D2F1"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6B22CA69" w14:textId="77777777" w:rsidTr="0082221E">
        <w:trPr>
          <w:cantSplit/>
          <w:trHeight w:val="288"/>
        </w:trPr>
        <w:tc>
          <w:tcPr>
            <w:tcW w:w="1696" w:type="dxa"/>
            <w:tcBorders>
              <w:top w:val="nil"/>
              <w:left w:val="single" w:sz="4" w:space="0" w:color="auto"/>
              <w:bottom w:val="single" w:sz="4" w:space="0" w:color="auto"/>
              <w:right w:val="single" w:sz="4" w:space="0" w:color="auto"/>
            </w:tcBorders>
            <w:vAlign w:val="center"/>
            <w:hideMark/>
          </w:tcPr>
          <w:p w14:paraId="3D5DA50D" w14:textId="77777777" w:rsidR="001D51F5" w:rsidRPr="001D51F5" w:rsidRDefault="001D51F5" w:rsidP="0082221E">
            <w:pPr>
              <w:pStyle w:val="TableText"/>
              <w:rPr>
                <w:lang w:eastAsia="en-AU"/>
              </w:rPr>
            </w:pPr>
            <w:r w:rsidRPr="001D51F5">
              <w:rPr>
                <w:lang w:eastAsia="en-AU"/>
              </w:rPr>
              <w:t>Lucerne (late winter / early spring)</w:t>
            </w:r>
          </w:p>
        </w:tc>
        <w:tc>
          <w:tcPr>
            <w:tcW w:w="1560" w:type="dxa"/>
            <w:tcBorders>
              <w:top w:val="nil"/>
              <w:left w:val="nil"/>
              <w:bottom w:val="single" w:sz="4" w:space="0" w:color="auto"/>
              <w:right w:val="single" w:sz="4" w:space="0" w:color="auto"/>
            </w:tcBorders>
            <w:vAlign w:val="center"/>
            <w:hideMark/>
          </w:tcPr>
          <w:p w14:paraId="4C91BF5C" w14:textId="77777777" w:rsidR="001D51F5" w:rsidRPr="001D51F5" w:rsidRDefault="001D51F5" w:rsidP="0082221E">
            <w:pPr>
              <w:pStyle w:val="TableText"/>
              <w:rPr>
                <w:lang w:eastAsia="en-AU"/>
              </w:rPr>
            </w:pPr>
            <w:r w:rsidRPr="001D51F5">
              <w:rPr>
                <w:lang w:eastAsia="en-AU"/>
              </w:rPr>
              <w:t>Annual grass and some broadleaf weeds</w:t>
            </w:r>
          </w:p>
        </w:tc>
        <w:tc>
          <w:tcPr>
            <w:tcW w:w="1275" w:type="dxa"/>
            <w:tcBorders>
              <w:top w:val="nil"/>
              <w:left w:val="nil"/>
              <w:bottom w:val="single" w:sz="4" w:space="0" w:color="auto"/>
              <w:right w:val="single" w:sz="4" w:space="0" w:color="auto"/>
            </w:tcBorders>
            <w:noWrap/>
            <w:vAlign w:val="center"/>
            <w:hideMark/>
          </w:tcPr>
          <w:p w14:paraId="0E670BE2" w14:textId="77777777" w:rsidR="001D51F5" w:rsidRPr="001D51F5" w:rsidRDefault="001D51F5" w:rsidP="0082221E">
            <w:pPr>
              <w:pStyle w:val="TableText"/>
              <w:rPr>
                <w:lang w:eastAsia="en-AU"/>
              </w:rPr>
            </w:pPr>
            <w:r w:rsidRPr="001D51F5">
              <w:rPr>
                <w:lang w:eastAsia="en-AU"/>
              </w:rPr>
              <w:t>300-600 g ac/ha (Boomspray)</w:t>
            </w:r>
          </w:p>
        </w:tc>
        <w:tc>
          <w:tcPr>
            <w:tcW w:w="1215" w:type="dxa"/>
            <w:tcBorders>
              <w:top w:val="nil"/>
              <w:left w:val="nil"/>
              <w:bottom w:val="single" w:sz="4" w:space="0" w:color="auto"/>
              <w:right w:val="single" w:sz="4" w:space="0" w:color="auto"/>
            </w:tcBorders>
            <w:noWrap/>
            <w:vAlign w:val="center"/>
            <w:hideMark/>
          </w:tcPr>
          <w:p w14:paraId="223FA050" w14:textId="77777777" w:rsidR="001D51F5" w:rsidRPr="001D51F5" w:rsidRDefault="001D51F5" w:rsidP="0082221E">
            <w:pPr>
              <w:pStyle w:val="TableText"/>
              <w:rPr>
                <w:lang w:eastAsia="en-AU"/>
              </w:rPr>
            </w:pPr>
            <w:r w:rsidRPr="001D51F5">
              <w:rPr>
                <w:lang w:eastAsia="en-AU"/>
              </w:rPr>
              <w:t>Not supported (max. 226 g ac/ha)</w:t>
            </w:r>
          </w:p>
        </w:tc>
        <w:tc>
          <w:tcPr>
            <w:tcW w:w="1215" w:type="dxa"/>
            <w:tcBorders>
              <w:top w:val="single" w:sz="4" w:space="0" w:color="auto"/>
              <w:bottom w:val="single" w:sz="4" w:space="0" w:color="auto"/>
              <w:right w:val="single" w:sz="4" w:space="0" w:color="auto"/>
            </w:tcBorders>
            <w:vAlign w:val="center"/>
          </w:tcPr>
          <w:p w14:paraId="7DF5F447"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5FA9321D"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78F47925"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55D86EE2"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3C64DD99" w14:textId="77777777" w:rsidTr="0082221E">
        <w:trPr>
          <w:cantSplit/>
          <w:trHeight w:val="576"/>
        </w:trPr>
        <w:tc>
          <w:tcPr>
            <w:tcW w:w="1696" w:type="dxa"/>
            <w:tcBorders>
              <w:top w:val="nil"/>
              <w:left w:val="single" w:sz="4" w:space="0" w:color="auto"/>
              <w:bottom w:val="single" w:sz="4" w:space="0" w:color="auto"/>
              <w:right w:val="single" w:sz="4" w:space="0" w:color="auto"/>
            </w:tcBorders>
            <w:shd w:val="clear" w:color="auto" w:fill="F2E18B"/>
            <w:vAlign w:val="center"/>
            <w:hideMark/>
          </w:tcPr>
          <w:p w14:paraId="30BC1714" w14:textId="77777777" w:rsidR="001D51F5" w:rsidRPr="001D51F5" w:rsidRDefault="001D51F5" w:rsidP="0082221E">
            <w:pPr>
              <w:pStyle w:val="TableText"/>
              <w:rPr>
                <w:lang w:eastAsia="en-AU"/>
              </w:rPr>
            </w:pPr>
            <w:r w:rsidRPr="001D51F5">
              <w:rPr>
                <w:lang w:eastAsia="en-AU"/>
              </w:rPr>
              <w:t>Non-agricultural situations (around sheds, roadways, paths)</w:t>
            </w:r>
          </w:p>
        </w:tc>
        <w:tc>
          <w:tcPr>
            <w:tcW w:w="1560" w:type="dxa"/>
            <w:tcBorders>
              <w:top w:val="nil"/>
              <w:left w:val="nil"/>
              <w:bottom w:val="single" w:sz="4" w:space="0" w:color="auto"/>
              <w:right w:val="single" w:sz="4" w:space="0" w:color="auto"/>
            </w:tcBorders>
            <w:shd w:val="clear" w:color="auto" w:fill="F2E18B"/>
            <w:noWrap/>
            <w:vAlign w:val="center"/>
            <w:hideMark/>
          </w:tcPr>
          <w:p w14:paraId="3ACE3AB3" w14:textId="77777777" w:rsidR="001D51F5" w:rsidRPr="001D51F5" w:rsidRDefault="001D51F5" w:rsidP="0082221E">
            <w:pPr>
              <w:pStyle w:val="TableText"/>
              <w:rPr>
                <w:lang w:eastAsia="en-AU"/>
              </w:rPr>
            </w:pPr>
            <w:r w:rsidRPr="001D51F5">
              <w:rPr>
                <w:lang w:eastAsia="en-AU"/>
              </w:rPr>
              <w:t>Annual grasses and broadleaf weeds, columbus grass</w:t>
            </w:r>
          </w:p>
        </w:tc>
        <w:tc>
          <w:tcPr>
            <w:tcW w:w="1275" w:type="dxa"/>
            <w:tcBorders>
              <w:top w:val="nil"/>
              <w:left w:val="nil"/>
              <w:bottom w:val="single" w:sz="4" w:space="0" w:color="auto"/>
              <w:right w:val="single" w:sz="4" w:space="0" w:color="auto"/>
            </w:tcBorders>
            <w:shd w:val="clear" w:color="auto" w:fill="F2E18B"/>
            <w:noWrap/>
            <w:vAlign w:val="center"/>
            <w:hideMark/>
          </w:tcPr>
          <w:p w14:paraId="14AEB61A" w14:textId="77777777" w:rsidR="001D51F5" w:rsidRPr="001D51F5" w:rsidRDefault="001D51F5" w:rsidP="0082221E">
            <w:pPr>
              <w:pStyle w:val="TableText"/>
              <w:rPr>
                <w:lang w:eastAsia="en-AU"/>
              </w:rPr>
            </w:pPr>
            <w:r w:rsidRPr="001D51F5">
              <w:rPr>
                <w:lang w:eastAsia="en-AU"/>
              </w:rPr>
              <w:t>400-1125 g ac/ha (Boomspray, spot spray)</w:t>
            </w:r>
          </w:p>
        </w:tc>
        <w:tc>
          <w:tcPr>
            <w:tcW w:w="1215" w:type="dxa"/>
            <w:tcBorders>
              <w:top w:val="nil"/>
              <w:left w:val="nil"/>
              <w:bottom w:val="single" w:sz="4" w:space="0" w:color="auto"/>
              <w:right w:val="single" w:sz="4" w:space="0" w:color="auto"/>
            </w:tcBorders>
            <w:shd w:val="clear" w:color="auto" w:fill="F2E18B"/>
            <w:noWrap/>
            <w:vAlign w:val="center"/>
            <w:hideMark/>
          </w:tcPr>
          <w:p w14:paraId="0D8CCB74" w14:textId="77777777" w:rsidR="001D51F5" w:rsidRPr="001D51F5" w:rsidRDefault="001D51F5" w:rsidP="0082221E">
            <w:pPr>
              <w:pStyle w:val="TableText"/>
              <w:rPr>
                <w:lang w:eastAsia="en-AU"/>
              </w:rPr>
            </w:pPr>
            <w:r w:rsidRPr="001D51F5">
              <w:rPr>
                <w:lang w:eastAsia="en-AU"/>
              </w:rPr>
              <w:t>Supported *WoE (changed from PRD)</w:t>
            </w:r>
          </w:p>
        </w:tc>
        <w:tc>
          <w:tcPr>
            <w:tcW w:w="1215" w:type="dxa"/>
            <w:tcBorders>
              <w:top w:val="single" w:sz="4" w:space="0" w:color="auto"/>
              <w:bottom w:val="single" w:sz="4" w:space="0" w:color="auto"/>
              <w:right w:val="single" w:sz="4" w:space="0" w:color="auto"/>
            </w:tcBorders>
            <w:shd w:val="clear" w:color="auto" w:fill="F2E18B"/>
            <w:vAlign w:val="center"/>
          </w:tcPr>
          <w:p w14:paraId="6D65E9F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6B1B839D" w14:textId="335A4A0D" w:rsidR="001D51F5" w:rsidRPr="001D51F5" w:rsidRDefault="001D51F5" w:rsidP="0082221E">
            <w:pPr>
              <w:pStyle w:val="TableText"/>
              <w:rPr>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199509B6" w14:textId="0DE910F8" w:rsidR="001D51F5" w:rsidRPr="001D51F5" w:rsidRDefault="001D51F5" w:rsidP="0082221E">
            <w:pPr>
              <w:pStyle w:val="TableText"/>
              <w:rPr>
                <w:rFonts w:ascii="Times New Roman" w:hAnsi="Times New Roman"/>
                <w:sz w:val="20"/>
                <w:szCs w:val="20"/>
                <w:lang w:eastAsia="en-AU"/>
              </w:rPr>
            </w:pPr>
            <w:r w:rsidRPr="001D51F5">
              <w:rPr>
                <w:lang w:eastAsia="en-AU"/>
              </w:rPr>
              <w:t>Supported</w:t>
            </w:r>
            <w:r w:rsidR="00423949">
              <w:rPr>
                <w:lang w:eastAsia="en-AU"/>
              </w:rPr>
              <w:t xml:space="preserve"> </w:t>
            </w:r>
            <w:r w:rsidR="00423949" w:rsidRPr="001D51F5">
              <w:rPr>
                <w:lang w:eastAsia="en-AU"/>
              </w:rPr>
              <w:t>(changed from PRD)</w:t>
            </w:r>
          </w:p>
        </w:tc>
        <w:tc>
          <w:tcPr>
            <w:tcW w:w="236" w:type="dxa"/>
            <w:tcBorders>
              <w:left w:val="single" w:sz="4" w:space="0" w:color="auto"/>
            </w:tcBorders>
            <w:vAlign w:val="center"/>
            <w:hideMark/>
          </w:tcPr>
          <w:p w14:paraId="05A23F59"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65E7A7B1" w14:textId="77777777" w:rsidTr="0082221E">
        <w:trPr>
          <w:cantSplit/>
          <w:trHeight w:val="288"/>
        </w:trPr>
        <w:tc>
          <w:tcPr>
            <w:tcW w:w="1696" w:type="dxa"/>
            <w:vMerge w:val="restart"/>
            <w:tcBorders>
              <w:top w:val="nil"/>
              <w:left w:val="single" w:sz="4" w:space="0" w:color="auto"/>
              <w:bottom w:val="single" w:sz="4" w:space="0" w:color="auto"/>
              <w:right w:val="single" w:sz="4" w:space="0" w:color="auto"/>
            </w:tcBorders>
            <w:vAlign w:val="center"/>
            <w:hideMark/>
          </w:tcPr>
          <w:p w14:paraId="04960D21" w14:textId="77777777" w:rsidR="001D51F5" w:rsidRPr="001D51F5" w:rsidRDefault="001D51F5" w:rsidP="0082221E">
            <w:pPr>
              <w:pStyle w:val="TableText"/>
              <w:rPr>
                <w:lang w:eastAsia="en-AU"/>
              </w:rPr>
            </w:pPr>
            <w:r w:rsidRPr="001D51F5">
              <w:rPr>
                <w:lang w:eastAsia="en-AU"/>
              </w:rPr>
              <w:t>Orchards (including walnuts), Vineyards</w:t>
            </w:r>
          </w:p>
        </w:tc>
        <w:tc>
          <w:tcPr>
            <w:tcW w:w="1560" w:type="dxa"/>
            <w:tcBorders>
              <w:top w:val="nil"/>
              <w:left w:val="nil"/>
              <w:bottom w:val="single" w:sz="4" w:space="0" w:color="auto"/>
              <w:right w:val="single" w:sz="4" w:space="0" w:color="auto"/>
            </w:tcBorders>
            <w:vAlign w:val="center"/>
            <w:hideMark/>
          </w:tcPr>
          <w:p w14:paraId="0B82569A" w14:textId="77777777" w:rsidR="001D51F5" w:rsidRPr="001D51F5" w:rsidRDefault="001D51F5" w:rsidP="0082221E">
            <w:pPr>
              <w:pStyle w:val="TableText"/>
              <w:rPr>
                <w:lang w:eastAsia="en-AU"/>
              </w:rPr>
            </w:pPr>
            <w:r w:rsidRPr="001D51F5">
              <w:rPr>
                <w:lang w:eastAsia="en-AU"/>
              </w:rPr>
              <w:t>Annual grasses and broadleaf weeds</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2240FA7C" w14:textId="77777777" w:rsidR="001D51F5" w:rsidRPr="001D51F5" w:rsidRDefault="001D51F5" w:rsidP="0082221E">
            <w:pPr>
              <w:pStyle w:val="TableText"/>
              <w:rPr>
                <w:lang w:eastAsia="en-AU"/>
              </w:rPr>
            </w:pPr>
            <w:r w:rsidRPr="001D51F5">
              <w:rPr>
                <w:lang w:eastAsia="en-AU"/>
              </w:rPr>
              <w:t>400-800 g ac/ha (Spot spray, inter-row spray)</w:t>
            </w:r>
          </w:p>
        </w:tc>
        <w:tc>
          <w:tcPr>
            <w:tcW w:w="1215" w:type="dxa"/>
            <w:vMerge w:val="restart"/>
            <w:tcBorders>
              <w:top w:val="nil"/>
              <w:left w:val="single" w:sz="4" w:space="0" w:color="auto"/>
              <w:bottom w:val="single" w:sz="4" w:space="0" w:color="auto"/>
              <w:right w:val="single" w:sz="4" w:space="0" w:color="auto"/>
            </w:tcBorders>
            <w:noWrap/>
            <w:vAlign w:val="center"/>
            <w:hideMark/>
          </w:tcPr>
          <w:p w14:paraId="31D624CA" w14:textId="77777777" w:rsidR="001D51F5" w:rsidRPr="001D51F5" w:rsidRDefault="001D51F5" w:rsidP="0082221E">
            <w:pPr>
              <w:pStyle w:val="TableText"/>
              <w:rPr>
                <w:lang w:eastAsia="en-AU"/>
              </w:rPr>
            </w:pPr>
            <w:bookmarkStart w:id="630" w:name="_Hlk219126334"/>
            <w:r w:rsidRPr="001D51F5">
              <w:rPr>
                <w:lang w:eastAsia="en-AU"/>
              </w:rPr>
              <w:t>Not supported (max. 54 g ac/ha)</w:t>
            </w:r>
            <w:bookmarkEnd w:id="630"/>
          </w:p>
        </w:tc>
        <w:tc>
          <w:tcPr>
            <w:tcW w:w="1215" w:type="dxa"/>
            <w:tcBorders>
              <w:top w:val="single" w:sz="4" w:space="0" w:color="auto"/>
              <w:bottom w:val="single" w:sz="4" w:space="0" w:color="auto"/>
              <w:right w:val="single" w:sz="4" w:space="0" w:color="auto"/>
            </w:tcBorders>
            <w:vAlign w:val="center"/>
          </w:tcPr>
          <w:p w14:paraId="7F4E26A1"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 (noting change to crop-group descriptors)</w:t>
            </w:r>
          </w:p>
        </w:tc>
        <w:tc>
          <w:tcPr>
            <w:tcW w:w="1215" w:type="dxa"/>
            <w:vMerge w:val="restart"/>
            <w:tcBorders>
              <w:top w:val="single" w:sz="4" w:space="0" w:color="auto"/>
              <w:right w:val="single" w:sz="4" w:space="0" w:color="auto"/>
            </w:tcBorders>
            <w:vAlign w:val="center"/>
          </w:tcPr>
          <w:p w14:paraId="24A4E178" w14:textId="29D799A9"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646A6CF7"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61E33EA8"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0815B6B0" w14:textId="77777777" w:rsidTr="0082221E">
        <w:trPr>
          <w:cantSplit/>
          <w:trHeight w:val="288"/>
        </w:trPr>
        <w:tc>
          <w:tcPr>
            <w:tcW w:w="1696" w:type="dxa"/>
            <w:vMerge/>
            <w:tcBorders>
              <w:top w:val="nil"/>
              <w:left w:val="single" w:sz="4" w:space="0" w:color="auto"/>
              <w:bottom w:val="single" w:sz="4" w:space="0" w:color="auto"/>
              <w:right w:val="single" w:sz="4" w:space="0" w:color="auto"/>
            </w:tcBorders>
            <w:vAlign w:val="center"/>
            <w:hideMark/>
          </w:tcPr>
          <w:p w14:paraId="03192A64"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noWrap/>
            <w:vAlign w:val="center"/>
            <w:hideMark/>
          </w:tcPr>
          <w:p w14:paraId="777BDFD1" w14:textId="77777777" w:rsidR="001D51F5" w:rsidRPr="001D51F5" w:rsidRDefault="001D51F5" w:rsidP="0082221E">
            <w:pPr>
              <w:pStyle w:val="TableText"/>
              <w:rPr>
                <w:lang w:eastAsia="en-AU"/>
              </w:rPr>
            </w:pPr>
            <w:r w:rsidRPr="001D51F5">
              <w:rPr>
                <w:lang w:eastAsia="en-AU"/>
              </w:rPr>
              <w:t>Annual weed control</w:t>
            </w:r>
          </w:p>
        </w:tc>
        <w:tc>
          <w:tcPr>
            <w:tcW w:w="1275" w:type="dxa"/>
            <w:vMerge/>
            <w:tcBorders>
              <w:top w:val="nil"/>
              <w:left w:val="single" w:sz="4" w:space="0" w:color="auto"/>
              <w:bottom w:val="single" w:sz="4" w:space="0" w:color="auto"/>
              <w:right w:val="single" w:sz="4" w:space="0" w:color="auto"/>
            </w:tcBorders>
            <w:vAlign w:val="center"/>
            <w:hideMark/>
          </w:tcPr>
          <w:p w14:paraId="66465C8C" w14:textId="77777777" w:rsidR="001D51F5" w:rsidRPr="001D51F5" w:rsidRDefault="001D51F5" w:rsidP="0082221E">
            <w:pPr>
              <w:pStyle w:val="TableText"/>
              <w:rPr>
                <w:lang w:eastAsia="en-AU"/>
              </w:rPr>
            </w:pPr>
          </w:p>
        </w:tc>
        <w:tc>
          <w:tcPr>
            <w:tcW w:w="1215" w:type="dxa"/>
            <w:vMerge/>
            <w:tcBorders>
              <w:top w:val="nil"/>
              <w:left w:val="single" w:sz="4" w:space="0" w:color="auto"/>
              <w:bottom w:val="single" w:sz="4" w:space="0" w:color="auto"/>
              <w:right w:val="single" w:sz="4" w:space="0" w:color="auto"/>
            </w:tcBorders>
            <w:vAlign w:val="center"/>
            <w:hideMark/>
          </w:tcPr>
          <w:p w14:paraId="34594EF0"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vAlign w:val="center"/>
          </w:tcPr>
          <w:p w14:paraId="61360C20"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 (noting change to crop-group descriptors)</w:t>
            </w:r>
          </w:p>
        </w:tc>
        <w:tc>
          <w:tcPr>
            <w:tcW w:w="1215" w:type="dxa"/>
            <w:vMerge/>
            <w:tcBorders>
              <w:right w:val="single" w:sz="4" w:space="0" w:color="auto"/>
            </w:tcBorders>
            <w:vAlign w:val="center"/>
          </w:tcPr>
          <w:p w14:paraId="717C17A4" w14:textId="77777777" w:rsidR="001D51F5" w:rsidRPr="001D51F5" w:rsidRDefault="001D51F5" w:rsidP="0082221E">
            <w:pPr>
              <w:pStyle w:val="TableText"/>
              <w:rPr>
                <w:rFonts w:ascii="Times New Roman" w:hAnsi="Times New Roman"/>
                <w:sz w:val="20"/>
                <w:szCs w:val="20"/>
                <w:lang w:eastAsia="en-AU"/>
              </w:rPr>
            </w:pPr>
          </w:p>
        </w:tc>
        <w:tc>
          <w:tcPr>
            <w:tcW w:w="1216" w:type="dxa"/>
            <w:tcBorders>
              <w:top w:val="single" w:sz="4" w:space="0" w:color="auto"/>
              <w:left w:val="single" w:sz="4" w:space="0" w:color="auto"/>
              <w:bottom w:val="single" w:sz="4" w:space="0" w:color="auto"/>
            </w:tcBorders>
            <w:vAlign w:val="center"/>
          </w:tcPr>
          <w:p w14:paraId="40A3DD9F"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6979FE17"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61D050AC" w14:textId="77777777" w:rsidTr="0082221E">
        <w:trPr>
          <w:cantSplit/>
          <w:trHeight w:val="576"/>
        </w:trPr>
        <w:tc>
          <w:tcPr>
            <w:tcW w:w="1696" w:type="dxa"/>
            <w:vMerge/>
            <w:tcBorders>
              <w:top w:val="nil"/>
              <w:left w:val="single" w:sz="4" w:space="0" w:color="auto"/>
              <w:bottom w:val="single" w:sz="4" w:space="0" w:color="auto"/>
              <w:right w:val="single" w:sz="4" w:space="0" w:color="auto"/>
            </w:tcBorders>
            <w:vAlign w:val="center"/>
            <w:hideMark/>
          </w:tcPr>
          <w:p w14:paraId="440E3ADB"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hideMark/>
          </w:tcPr>
          <w:p w14:paraId="70F4B0E2" w14:textId="77777777" w:rsidR="001D51F5" w:rsidRPr="001D51F5" w:rsidRDefault="001D51F5" w:rsidP="0082221E">
            <w:pPr>
              <w:pStyle w:val="TableText"/>
              <w:rPr>
                <w:lang w:eastAsia="en-AU"/>
              </w:rPr>
            </w:pPr>
            <w:r w:rsidRPr="001D51F5">
              <w:rPr>
                <w:lang w:eastAsia="en-AU"/>
              </w:rPr>
              <w:t>Annual grasses and broadleaf weeds / annual weed control</w:t>
            </w:r>
          </w:p>
        </w:tc>
        <w:tc>
          <w:tcPr>
            <w:tcW w:w="1275" w:type="dxa"/>
            <w:vMerge/>
            <w:tcBorders>
              <w:top w:val="nil"/>
              <w:left w:val="single" w:sz="4" w:space="0" w:color="auto"/>
              <w:bottom w:val="single" w:sz="4" w:space="0" w:color="auto"/>
              <w:right w:val="single" w:sz="4" w:space="0" w:color="auto"/>
            </w:tcBorders>
            <w:vAlign w:val="center"/>
            <w:hideMark/>
          </w:tcPr>
          <w:p w14:paraId="7632B952" w14:textId="77777777" w:rsidR="001D51F5" w:rsidRPr="001D51F5" w:rsidRDefault="001D51F5" w:rsidP="0082221E">
            <w:pPr>
              <w:pStyle w:val="TableText"/>
              <w:rPr>
                <w:lang w:eastAsia="en-AU"/>
              </w:rPr>
            </w:pPr>
          </w:p>
        </w:tc>
        <w:tc>
          <w:tcPr>
            <w:tcW w:w="1215" w:type="dxa"/>
            <w:vMerge/>
            <w:tcBorders>
              <w:top w:val="nil"/>
              <w:left w:val="single" w:sz="4" w:space="0" w:color="auto"/>
              <w:bottom w:val="single" w:sz="4" w:space="0" w:color="auto"/>
              <w:right w:val="single" w:sz="4" w:space="0" w:color="auto"/>
            </w:tcBorders>
            <w:vAlign w:val="center"/>
            <w:hideMark/>
          </w:tcPr>
          <w:p w14:paraId="12FC7C4C"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vAlign w:val="center"/>
          </w:tcPr>
          <w:p w14:paraId="7B392CAC"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 (noting change to crop-group descriptors)</w:t>
            </w:r>
          </w:p>
        </w:tc>
        <w:tc>
          <w:tcPr>
            <w:tcW w:w="1215" w:type="dxa"/>
            <w:vMerge/>
            <w:tcBorders>
              <w:bottom w:val="single" w:sz="4" w:space="0" w:color="auto"/>
              <w:right w:val="single" w:sz="4" w:space="0" w:color="auto"/>
            </w:tcBorders>
            <w:vAlign w:val="center"/>
          </w:tcPr>
          <w:p w14:paraId="5B73C41C" w14:textId="77777777" w:rsidR="001D51F5" w:rsidRPr="001D51F5" w:rsidRDefault="001D51F5" w:rsidP="0082221E">
            <w:pPr>
              <w:pStyle w:val="TableText"/>
              <w:rPr>
                <w:rFonts w:ascii="Times New Roman" w:hAnsi="Times New Roman"/>
                <w:sz w:val="20"/>
                <w:szCs w:val="20"/>
                <w:lang w:eastAsia="en-AU"/>
              </w:rPr>
            </w:pPr>
          </w:p>
        </w:tc>
        <w:tc>
          <w:tcPr>
            <w:tcW w:w="1216" w:type="dxa"/>
            <w:tcBorders>
              <w:top w:val="single" w:sz="4" w:space="0" w:color="auto"/>
              <w:left w:val="single" w:sz="4" w:space="0" w:color="auto"/>
              <w:bottom w:val="single" w:sz="4" w:space="0" w:color="auto"/>
            </w:tcBorders>
            <w:vAlign w:val="center"/>
          </w:tcPr>
          <w:p w14:paraId="0337494E"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7B03F4B9"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520E2E55" w14:textId="77777777" w:rsidTr="0082221E">
        <w:trPr>
          <w:cantSplit/>
          <w:trHeight w:val="288"/>
        </w:trPr>
        <w:tc>
          <w:tcPr>
            <w:tcW w:w="1696" w:type="dxa"/>
            <w:tcBorders>
              <w:top w:val="nil"/>
              <w:left w:val="single" w:sz="4" w:space="0" w:color="auto"/>
              <w:bottom w:val="single" w:sz="4" w:space="0" w:color="auto"/>
              <w:right w:val="single" w:sz="4" w:space="0" w:color="auto"/>
            </w:tcBorders>
            <w:vAlign w:val="center"/>
            <w:hideMark/>
          </w:tcPr>
          <w:p w14:paraId="0FB3C3CF" w14:textId="77777777" w:rsidR="001D51F5" w:rsidRPr="001D51F5" w:rsidRDefault="001D51F5" w:rsidP="0082221E">
            <w:pPr>
              <w:pStyle w:val="TableText"/>
              <w:rPr>
                <w:lang w:eastAsia="en-AU"/>
              </w:rPr>
            </w:pPr>
            <w:r w:rsidRPr="001D51F5">
              <w:rPr>
                <w:lang w:eastAsia="en-AU"/>
              </w:rPr>
              <w:t>Pasture (Kikuyu/paspalum)</w:t>
            </w:r>
          </w:p>
        </w:tc>
        <w:tc>
          <w:tcPr>
            <w:tcW w:w="1560" w:type="dxa"/>
            <w:tcBorders>
              <w:top w:val="nil"/>
              <w:left w:val="nil"/>
              <w:bottom w:val="single" w:sz="4" w:space="0" w:color="auto"/>
              <w:right w:val="single" w:sz="4" w:space="0" w:color="auto"/>
            </w:tcBorders>
            <w:vAlign w:val="center"/>
            <w:hideMark/>
          </w:tcPr>
          <w:p w14:paraId="7E6B9032" w14:textId="77777777" w:rsidR="001D51F5" w:rsidRPr="001D51F5" w:rsidRDefault="001D51F5" w:rsidP="0082221E">
            <w:pPr>
              <w:pStyle w:val="TableText"/>
              <w:rPr>
                <w:lang w:eastAsia="en-AU"/>
              </w:rPr>
            </w:pPr>
            <w:r w:rsidRPr="001D51F5">
              <w:rPr>
                <w:lang w:eastAsia="en-AU"/>
              </w:rPr>
              <w:t>To suppress growth to oversow winter seed</w:t>
            </w:r>
          </w:p>
        </w:tc>
        <w:tc>
          <w:tcPr>
            <w:tcW w:w="1275" w:type="dxa"/>
            <w:tcBorders>
              <w:top w:val="nil"/>
              <w:left w:val="nil"/>
              <w:bottom w:val="single" w:sz="4" w:space="0" w:color="auto"/>
              <w:right w:val="single" w:sz="4" w:space="0" w:color="auto"/>
            </w:tcBorders>
            <w:noWrap/>
            <w:vAlign w:val="center"/>
            <w:hideMark/>
          </w:tcPr>
          <w:p w14:paraId="7F87D09C" w14:textId="77777777" w:rsidR="001D51F5" w:rsidRPr="001D51F5" w:rsidRDefault="001D51F5" w:rsidP="0082221E">
            <w:pPr>
              <w:pStyle w:val="TableText"/>
              <w:rPr>
                <w:lang w:eastAsia="en-AU"/>
              </w:rPr>
            </w:pPr>
            <w:r w:rsidRPr="001D51F5">
              <w:rPr>
                <w:lang w:eastAsia="en-AU"/>
              </w:rPr>
              <w:t>400-600 g ac/ha (Boomspray)</w:t>
            </w:r>
          </w:p>
        </w:tc>
        <w:tc>
          <w:tcPr>
            <w:tcW w:w="1215" w:type="dxa"/>
            <w:tcBorders>
              <w:top w:val="nil"/>
              <w:left w:val="nil"/>
              <w:bottom w:val="single" w:sz="4" w:space="0" w:color="auto"/>
              <w:right w:val="single" w:sz="4" w:space="0" w:color="auto"/>
            </w:tcBorders>
            <w:noWrap/>
            <w:vAlign w:val="center"/>
            <w:hideMark/>
          </w:tcPr>
          <w:p w14:paraId="185AFA05"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75364357"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3DC2634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6567929A"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517008CB"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2D70297D" w14:textId="77777777" w:rsidTr="0082221E">
        <w:trPr>
          <w:cantSplit/>
          <w:trHeight w:val="864"/>
        </w:trPr>
        <w:tc>
          <w:tcPr>
            <w:tcW w:w="1696" w:type="dxa"/>
            <w:vMerge w:val="restart"/>
            <w:tcBorders>
              <w:top w:val="nil"/>
              <w:left w:val="single" w:sz="4" w:space="0" w:color="auto"/>
              <w:bottom w:val="single" w:sz="4" w:space="0" w:color="auto"/>
              <w:right w:val="single" w:sz="4" w:space="0" w:color="auto"/>
            </w:tcBorders>
            <w:vAlign w:val="center"/>
            <w:hideMark/>
          </w:tcPr>
          <w:p w14:paraId="051463E0" w14:textId="77777777" w:rsidR="001D51F5" w:rsidRPr="001D51F5" w:rsidRDefault="001D51F5" w:rsidP="0082221E">
            <w:pPr>
              <w:pStyle w:val="TableText"/>
              <w:rPr>
                <w:lang w:eastAsia="en-AU"/>
              </w:rPr>
            </w:pPr>
            <w:r w:rsidRPr="001D51F5">
              <w:rPr>
                <w:lang w:eastAsia="en-AU"/>
              </w:rPr>
              <w:lastRenderedPageBreak/>
              <w:t>Pastures (pasture cleaning in autumn / winter / early spring - annual and perennial clovers, cocksfoot, perennial ryegrass, Phalaris, Demeter fescue only)</w:t>
            </w:r>
          </w:p>
        </w:tc>
        <w:tc>
          <w:tcPr>
            <w:tcW w:w="1560" w:type="dxa"/>
            <w:tcBorders>
              <w:top w:val="nil"/>
              <w:left w:val="nil"/>
              <w:bottom w:val="single" w:sz="4" w:space="0" w:color="auto"/>
              <w:right w:val="single" w:sz="4" w:space="0" w:color="auto"/>
            </w:tcBorders>
            <w:vAlign w:val="center"/>
            <w:hideMark/>
          </w:tcPr>
          <w:p w14:paraId="7A48388D" w14:textId="77777777" w:rsidR="001D51F5" w:rsidRPr="001D51F5" w:rsidRDefault="001D51F5" w:rsidP="0082221E">
            <w:pPr>
              <w:pStyle w:val="TableText"/>
              <w:rPr>
                <w:lang w:eastAsia="en-AU"/>
              </w:rPr>
            </w:pPr>
            <w:r w:rsidRPr="001D51F5">
              <w:rPr>
                <w:lang w:eastAsia="en-AU"/>
              </w:rPr>
              <w:t>Annual grass and some broadleaf weed control except Paterson’s Curse, Sorrel, Dock, Shepherd’s Purse and some thistles</w:t>
            </w:r>
          </w:p>
        </w:tc>
        <w:tc>
          <w:tcPr>
            <w:tcW w:w="1275" w:type="dxa"/>
            <w:tcBorders>
              <w:top w:val="nil"/>
              <w:left w:val="single" w:sz="4" w:space="0" w:color="auto"/>
              <w:bottom w:val="single" w:sz="4" w:space="0" w:color="auto"/>
              <w:right w:val="single" w:sz="4" w:space="0" w:color="auto"/>
            </w:tcBorders>
            <w:noWrap/>
            <w:vAlign w:val="center"/>
            <w:hideMark/>
          </w:tcPr>
          <w:p w14:paraId="3FAE718F" w14:textId="77777777" w:rsidR="001D51F5" w:rsidRPr="001D51F5" w:rsidRDefault="001D51F5" w:rsidP="0082221E">
            <w:pPr>
              <w:pStyle w:val="TableText"/>
              <w:rPr>
                <w:lang w:eastAsia="en-AU"/>
              </w:rPr>
            </w:pPr>
            <w:r w:rsidRPr="001D51F5">
              <w:rPr>
                <w:lang w:eastAsia="en-AU"/>
              </w:rPr>
              <w:t>150-600 g ac/ha (Boomspray)</w:t>
            </w:r>
          </w:p>
        </w:tc>
        <w:tc>
          <w:tcPr>
            <w:tcW w:w="1215" w:type="dxa"/>
            <w:vMerge w:val="restart"/>
            <w:tcBorders>
              <w:top w:val="nil"/>
              <w:left w:val="single" w:sz="4" w:space="0" w:color="auto"/>
              <w:bottom w:val="single" w:sz="4" w:space="0" w:color="auto"/>
              <w:right w:val="single" w:sz="4" w:space="0" w:color="auto"/>
            </w:tcBorders>
            <w:noWrap/>
            <w:vAlign w:val="center"/>
            <w:hideMark/>
          </w:tcPr>
          <w:p w14:paraId="22474A00"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23EEADAE"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1689B139"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3B609659"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0374A87B"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43B6F24A" w14:textId="77777777" w:rsidTr="0082221E">
        <w:trPr>
          <w:cantSplit/>
          <w:trHeight w:val="864"/>
        </w:trPr>
        <w:tc>
          <w:tcPr>
            <w:tcW w:w="1696" w:type="dxa"/>
            <w:vMerge/>
            <w:tcBorders>
              <w:top w:val="nil"/>
              <w:left w:val="single" w:sz="4" w:space="0" w:color="auto"/>
              <w:bottom w:val="single" w:sz="4" w:space="0" w:color="auto"/>
              <w:right w:val="single" w:sz="4" w:space="0" w:color="auto"/>
            </w:tcBorders>
            <w:vAlign w:val="center"/>
            <w:hideMark/>
          </w:tcPr>
          <w:p w14:paraId="42F459BB"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hideMark/>
          </w:tcPr>
          <w:p w14:paraId="3323330D" w14:textId="77777777" w:rsidR="001D51F5" w:rsidRPr="001D51F5" w:rsidRDefault="001D51F5" w:rsidP="0082221E">
            <w:pPr>
              <w:pStyle w:val="TableText"/>
              <w:rPr>
                <w:lang w:eastAsia="en-AU"/>
              </w:rPr>
            </w:pPr>
            <w:r w:rsidRPr="001D51F5">
              <w:rPr>
                <w:lang w:eastAsia="en-AU"/>
              </w:rPr>
              <w:t>Yorkshire fog grass</w:t>
            </w:r>
          </w:p>
        </w:tc>
        <w:tc>
          <w:tcPr>
            <w:tcW w:w="1275" w:type="dxa"/>
            <w:tcBorders>
              <w:top w:val="nil"/>
              <w:left w:val="single" w:sz="4" w:space="0" w:color="auto"/>
              <w:bottom w:val="single" w:sz="4" w:space="0" w:color="auto"/>
              <w:right w:val="single" w:sz="4" w:space="0" w:color="auto"/>
            </w:tcBorders>
            <w:vAlign w:val="center"/>
            <w:hideMark/>
          </w:tcPr>
          <w:p w14:paraId="686A4493" w14:textId="77777777" w:rsidR="001D51F5" w:rsidRPr="001D51F5" w:rsidRDefault="001D51F5" w:rsidP="0082221E">
            <w:pPr>
              <w:pStyle w:val="TableText"/>
              <w:rPr>
                <w:lang w:eastAsia="en-AU"/>
              </w:rPr>
            </w:pPr>
            <w:r w:rsidRPr="001D51F5">
              <w:rPr>
                <w:lang w:eastAsia="en-AU"/>
              </w:rPr>
              <w:t>300 g ac/ha (Boomspray)</w:t>
            </w:r>
          </w:p>
        </w:tc>
        <w:tc>
          <w:tcPr>
            <w:tcW w:w="1215" w:type="dxa"/>
            <w:vMerge/>
            <w:tcBorders>
              <w:top w:val="nil"/>
              <w:left w:val="single" w:sz="4" w:space="0" w:color="auto"/>
              <w:bottom w:val="single" w:sz="4" w:space="0" w:color="auto"/>
              <w:right w:val="single" w:sz="4" w:space="0" w:color="auto"/>
            </w:tcBorders>
            <w:vAlign w:val="center"/>
            <w:hideMark/>
          </w:tcPr>
          <w:p w14:paraId="4FD5A6D9"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vAlign w:val="center"/>
          </w:tcPr>
          <w:p w14:paraId="526EBECE"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7D9AB4DB"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33193576"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6924CC1A"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513F545" w14:textId="77777777" w:rsidTr="0082221E">
        <w:trPr>
          <w:cantSplit/>
          <w:trHeight w:val="576"/>
        </w:trPr>
        <w:tc>
          <w:tcPr>
            <w:tcW w:w="1696" w:type="dxa"/>
            <w:vMerge w:val="restart"/>
            <w:tcBorders>
              <w:top w:val="nil"/>
              <w:left w:val="single" w:sz="4" w:space="0" w:color="auto"/>
              <w:bottom w:val="single" w:sz="4" w:space="0" w:color="auto"/>
              <w:right w:val="single" w:sz="4" w:space="0" w:color="auto"/>
            </w:tcBorders>
            <w:shd w:val="clear" w:color="auto" w:fill="F2E18B"/>
            <w:vAlign w:val="center"/>
            <w:hideMark/>
          </w:tcPr>
          <w:p w14:paraId="5C79C97D" w14:textId="77777777" w:rsidR="001D51F5" w:rsidRPr="001D51F5" w:rsidRDefault="001D51F5" w:rsidP="0082221E">
            <w:pPr>
              <w:pStyle w:val="TableText"/>
              <w:rPr>
                <w:lang w:eastAsia="en-AU"/>
              </w:rPr>
            </w:pPr>
            <w:r w:rsidRPr="001D51F5">
              <w:rPr>
                <w:lang w:eastAsia="en-AU"/>
              </w:rPr>
              <w:t>Peanuts</w:t>
            </w:r>
          </w:p>
        </w:tc>
        <w:tc>
          <w:tcPr>
            <w:tcW w:w="1560" w:type="dxa"/>
            <w:tcBorders>
              <w:top w:val="nil"/>
              <w:left w:val="nil"/>
              <w:bottom w:val="single" w:sz="4" w:space="0" w:color="auto"/>
              <w:right w:val="single" w:sz="4" w:space="0" w:color="auto"/>
            </w:tcBorders>
            <w:shd w:val="clear" w:color="auto" w:fill="F2E18B"/>
            <w:vAlign w:val="center"/>
            <w:hideMark/>
          </w:tcPr>
          <w:p w14:paraId="47339AA0" w14:textId="77777777" w:rsidR="001D51F5" w:rsidRPr="001D51F5" w:rsidRDefault="001D51F5" w:rsidP="0082221E">
            <w:pPr>
              <w:pStyle w:val="TableText"/>
              <w:rPr>
                <w:lang w:eastAsia="en-AU"/>
              </w:rPr>
            </w:pPr>
            <w:r w:rsidRPr="001D51F5">
              <w:rPr>
                <w:lang w:eastAsia="en-AU"/>
              </w:rPr>
              <w:t>Annual ground cherry (2-3 leaf), Apple-of-Peru (2-4 leaf), Milkweed (2-3 leaf)</w:t>
            </w:r>
          </w:p>
        </w:tc>
        <w:tc>
          <w:tcPr>
            <w:tcW w:w="1275" w:type="dxa"/>
            <w:tcBorders>
              <w:top w:val="single" w:sz="4" w:space="0" w:color="auto"/>
              <w:left w:val="single" w:sz="4" w:space="0" w:color="auto"/>
              <w:bottom w:val="single" w:sz="4" w:space="0" w:color="auto"/>
              <w:right w:val="single" w:sz="4" w:space="0" w:color="auto"/>
            </w:tcBorders>
            <w:shd w:val="clear" w:color="auto" w:fill="F2E18B"/>
            <w:noWrap/>
            <w:vAlign w:val="center"/>
            <w:hideMark/>
          </w:tcPr>
          <w:p w14:paraId="21BFBA47" w14:textId="77777777" w:rsidR="001D51F5" w:rsidRPr="001D51F5" w:rsidRDefault="001D51F5" w:rsidP="0082221E">
            <w:pPr>
              <w:pStyle w:val="TableText"/>
              <w:rPr>
                <w:lang w:eastAsia="en-AU"/>
              </w:rPr>
            </w:pPr>
            <w:r w:rsidRPr="001D51F5">
              <w:rPr>
                <w:lang w:eastAsia="en-AU"/>
              </w:rPr>
              <w:t>150 g ac/ha (Boomspray)</w:t>
            </w:r>
          </w:p>
        </w:tc>
        <w:tc>
          <w:tcPr>
            <w:tcW w:w="1215" w:type="dxa"/>
            <w:vMerge w:val="restart"/>
            <w:tcBorders>
              <w:top w:val="nil"/>
              <w:left w:val="single" w:sz="4" w:space="0" w:color="auto"/>
              <w:bottom w:val="single" w:sz="4" w:space="0" w:color="auto"/>
              <w:right w:val="single" w:sz="4" w:space="0" w:color="auto"/>
            </w:tcBorders>
            <w:shd w:val="clear" w:color="auto" w:fill="F2E18B"/>
            <w:noWrap/>
            <w:vAlign w:val="center"/>
            <w:hideMark/>
          </w:tcPr>
          <w:p w14:paraId="5359FA94" w14:textId="77777777" w:rsidR="001D51F5"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3DEECFDD"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0DA931CC" w14:textId="77777777" w:rsidR="001D51F5" w:rsidRPr="001D51F5" w:rsidRDefault="001D51F5" w:rsidP="0082221E">
            <w:pPr>
              <w:pStyle w:val="TableText"/>
              <w:rPr>
                <w:szCs w:val="17"/>
                <w:lang w:eastAsia="en-AU"/>
              </w:rPr>
            </w:pPr>
            <w:r w:rsidRPr="001D51F5">
              <w:rPr>
                <w:szCs w:val="17"/>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2EE810CA"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236" w:type="dxa"/>
            <w:tcBorders>
              <w:left w:val="single" w:sz="4" w:space="0" w:color="auto"/>
            </w:tcBorders>
            <w:vAlign w:val="center"/>
            <w:hideMark/>
          </w:tcPr>
          <w:p w14:paraId="17D8D945"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AC3A56A" w14:textId="77777777" w:rsidTr="0082221E">
        <w:trPr>
          <w:cantSplit/>
          <w:trHeight w:val="766"/>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19B543AB"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shd w:val="clear" w:color="auto" w:fill="F2E18B"/>
            <w:noWrap/>
            <w:vAlign w:val="center"/>
            <w:hideMark/>
          </w:tcPr>
          <w:p w14:paraId="59F1A44D" w14:textId="77777777" w:rsidR="001D51F5" w:rsidRPr="001D51F5" w:rsidRDefault="001D51F5" w:rsidP="0082221E">
            <w:pPr>
              <w:pStyle w:val="TableText"/>
              <w:rPr>
                <w:lang w:eastAsia="en-AU"/>
              </w:rPr>
            </w:pPr>
            <w:r w:rsidRPr="001D51F5">
              <w:rPr>
                <w:lang w:eastAsia="en-AU"/>
              </w:rPr>
              <w:t>Datura spp. (2-4 leaf)</w:t>
            </w:r>
          </w:p>
        </w:tc>
        <w:tc>
          <w:tcPr>
            <w:tcW w:w="1275"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26390C1F" w14:textId="77777777" w:rsidR="001D51F5" w:rsidRPr="001D51F5" w:rsidRDefault="001D51F5" w:rsidP="0082221E">
            <w:pPr>
              <w:pStyle w:val="TableText"/>
              <w:rPr>
                <w:lang w:eastAsia="en-AU"/>
              </w:rPr>
            </w:pPr>
            <w:r w:rsidRPr="001D51F5">
              <w:rPr>
                <w:lang w:eastAsia="en-AU"/>
              </w:rPr>
              <w:t>100 g ac/ha (Boomspray)</w:t>
            </w:r>
          </w:p>
        </w:tc>
        <w:tc>
          <w:tcPr>
            <w:tcW w:w="1215" w:type="dxa"/>
            <w:vMerge/>
            <w:tcBorders>
              <w:top w:val="nil"/>
              <w:left w:val="single" w:sz="4" w:space="0" w:color="auto"/>
              <w:bottom w:val="single" w:sz="4" w:space="0" w:color="auto"/>
              <w:right w:val="single" w:sz="4" w:space="0" w:color="auto"/>
            </w:tcBorders>
            <w:shd w:val="clear" w:color="auto" w:fill="EEFFB7"/>
            <w:vAlign w:val="center"/>
            <w:hideMark/>
          </w:tcPr>
          <w:p w14:paraId="7592B52F"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shd w:val="clear" w:color="auto" w:fill="F2E18B"/>
            <w:vAlign w:val="center"/>
          </w:tcPr>
          <w:p w14:paraId="183DC78F"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151D799E" w14:textId="11E7E40D" w:rsidR="001D51F5" w:rsidRPr="001D51F5" w:rsidRDefault="009D6BD0" w:rsidP="0082221E">
            <w:pPr>
              <w:pStyle w:val="TableText"/>
              <w:rPr>
                <w:szCs w:val="17"/>
                <w:lang w:eastAsia="en-AU"/>
              </w:rPr>
            </w:pPr>
            <w:r w:rsidRPr="009D6BD0">
              <w:rPr>
                <w:szCs w:val="17"/>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26CF4C83"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236" w:type="dxa"/>
            <w:tcBorders>
              <w:left w:val="single" w:sz="4" w:space="0" w:color="auto"/>
            </w:tcBorders>
            <w:vAlign w:val="center"/>
            <w:hideMark/>
          </w:tcPr>
          <w:p w14:paraId="79B6F436"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8B46C5B" w14:textId="77777777" w:rsidTr="0082221E">
        <w:trPr>
          <w:cantSplit/>
          <w:trHeight w:val="876"/>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3EADBFA1"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shd w:val="clear" w:color="auto" w:fill="F2E18B"/>
            <w:vAlign w:val="center"/>
            <w:hideMark/>
          </w:tcPr>
          <w:p w14:paraId="2A9D6186" w14:textId="77777777" w:rsidR="001D51F5" w:rsidRPr="001D51F5" w:rsidRDefault="001D51F5" w:rsidP="0082221E">
            <w:pPr>
              <w:pStyle w:val="TableText"/>
              <w:rPr>
                <w:lang w:eastAsia="en-AU"/>
              </w:rPr>
            </w:pPr>
            <w:r w:rsidRPr="001D51F5">
              <w:rPr>
                <w:lang w:eastAsia="en-AU"/>
              </w:rPr>
              <w:t>Stagger weed (2-3 leaf), Blue heliotrope (2-3 leaf), Wandering Jew (2-3 leaf), Anoda weed (2-4 leaf)</w:t>
            </w:r>
          </w:p>
        </w:tc>
        <w:tc>
          <w:tcPr>
            <w:tcW w:w="1275"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72B329F1" w14:textId="77777777" w:rsidR="001D51F5" w:rsidRPr="001D51F5" w:rsidRDefault="001D51F5" w:rsidP="0082221E">
            <w:pPr>
              <w:pStyle w:val="TableText"/>
              <w:rPr>
                <w:lang w:eastAsia="en-AU"/>
              </w:rPr>
            </w:pPr>
            <w:r w:rsidRPr="001D51F5">
              <w:rPr>
                <w:lang w:eastAsia="en-AU"/>
              </w:rPr>
              <w:t>200 g ac/ha (Boomspray)</w:t>
            </w:r>
          </w:p>
        </w:tc>
        <w:tc>
          <w:tcPr>
            <w:tcW w:w="1215" w:type="dxa"/>
            <w:vMerge/>
            <w:tcBorders>
              <w:top w:val="nil"/>
              <w:left w:val="single" w:sz="4" w:space="0" w:color="auto"/>
              <w:bottom w:val="single" w:sz="4" w:space="0" w:color="auto"/>
              <w:right w:val="single" w:sz="4" w:space="0" w:color="auto"/>
            </w:tcBorders>
            <w:shd w:val="clear" w:color="auto" w:fill="EEFFB7"/>
            <w:vAlign w:val="center"/>
            <w:hideMark/>
          </w:tcPr>
          <w:p w14:paraId="5E5D01B4"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shd w:val="clear" w:color="auto" w:fill="F2E18B"/>
            <w:vAlign w:val="center"/>
          </w:tcPr>
          <w:p w14:paraId="311739AC"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630C48CF" w14:textId="294FE3D0" w:rsidR="001D51F5" w:rsidRPr="001D51F5" w:rsidRDefault="009D6BD0" w:rsidP="0082221E">
            <w:pPr>
              <w:pStyle w:val="TableText"/>
              <w:rPr>
                <w:szCs w:val="17"/>
                <w:lang w:eastAsia="en-AU"/>
              </w:rPr>
            </w:pPr>
            <w:r w:rsidRPr="009D6BD0">
              <w:rPr>
                <w:szCs w:val="17"/>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6952186B"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236" w:type="dxa"/>
            <w:tcBorders>
              <w:left w:val="single" w:sz="4" w:space="0" w:color="auto"/>
            </w:tcBorders>
            <w:vAlign w:val="center"/>
            <w:hideMark/>
          </w:tcPr>
          <w:p w14:paraId="0D7FBE4E"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9D6BD0" w:rsidRPr="001D51F5" w14:paraId="374076FA" w14:textId="77777777" w:rsidTr="0082221E">
        <w:trPr>
          <w:cantSplit/>
          <w:trHeight w:val="876"/>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3CADDDD6"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hideMark/>
          </w:tcPr>
          <w:p w14:paraId="75244177" w14:textId="77777777" w:rsidR="001D51F5" w:rsidRPr="001D51F5" w:rsidRDefault="001D51F5" w:rsidP="0082221E">
            <w:pPr>
              <w:pStyle w:val="TableText"/>
              <w:rPr>
                <w:lang w:eastAsia="en-AU"/>
              </w:rPr>
            </w:pPr>
            <w:r w:rsidRPr="001D51F5">
              <w:rPr>
                <w:lang w:eastAsia="en-AU"/>
              </w:rPr>
              <w:t xml:space="preserve">Bellvine (2-3 leaf), Common morning glory (2 leaf) </w:t>
            </w:r>
          </w:p>
        </w:tc>
        <w:tc>
          <w:tcPr>
            <w:tcW w:w="1275" w:type="dxa"/>
            <w:tcBorders>
              <w:top w:val="nil"/>
              <w:left w:val="single" w:sz="4" w:space="0" w:color="auto"/>
              <w:bottom w:val="single" w:sz="4" w:space="0" w:color="auto"/>
              <w:right w:val="single" w:sz="4" w:space="0" w:color="auto"/>
            </w:tcBorders>
            <w:vAlign w:val="center"/>
            <w:hideMark/>
          </w:tcPr>
          <w:p w14:paraId="0AF0738F" w14:textId="77777777" w:rsidR="001D51F5" w:rsidRPr="001D51F5" w:rsidRDefault="001D51F5" w:rsidP="0082221E">
            <w:pPr>
              <w:pStyle w:val="TableText"/>
              <w:rPr>
                <w:lang w:eastAsia="en-AU"/>
              </w:rPr>
            </w:pPr>
            <w:r w:rsidRPr="001D51F5">
              <w:rPr>
                <w:lang w:eastAsia="en-AU"/>
              </w:rPr>
              <w:t>250 g ac/ha (Boomspray)</w:t>
            </w:r>
          </w:p>
        </w:tc>
        <w:tc>
          <w:tcPr>
            <w:tcW w:w="1215" w:type="dxa"/>
            <w:tcBorders>
              <w:top w:val="nil"/>
              <w:left w:val="nil"/>
              <w:bottom w:val="single" w:sz="4" w:space="0" w:color="auto"/>
              <w:right w:val="single" w:sz="4" w:space="0" w:color="auto"/>
            </w:tcBorders>
            <w:noWrap/>
            <w:vAlign w:val="center"/>
            <w:hideMark/>
          </w:tcPr>
          <w:p w14:paraId="458DFC35" w14:textId="77777777" w:rsidR="001D51F5" w:rsidRPr="001D51F5" w:rsidRDefault="001D51F5" w:rsidP="0082221E">
            <w:pPr>
              <w:pStyle w:val="TableText"/>
              <w:rPr>
                <w:lang w:eastAsia="en-AU"/>
              </w:rPr>
            </w:pPr>
            <w:r w:rsidRPr="001D51F5">
              <w:rPr>
                <w:lang w:eastAsia="en-AU"/>
              </w:rPr>
              <w:t>Not supported (max. 213 g ac/ha)</w:t>
            </w:r>
          </w:p>
        </w:tc>
        <w:tc>
          <w:tcPr>
            <w:tcW w:w="1215" w:type="dxa"/>
            <w:tcBorders>
              <w:top w:val="single" w:sz="4" w:space="0" w:color="auto"/>
              <w:bottom w:val="single" w:sz="4" w:space="0" w:color="auto"/>
              <w:right w:val="single" w:sz="4" w:space="0" w:color="auto"/>
            </w:tcBorders>
            <w:vAlign w:val="center"/>
          </w:tcPr>
          <w:p w14:paraId="73114D20"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FFFFF"/>
            <w:vAlign w:val="center"/>
          </w:tcPr>
          <w:p w14:paraId="79C8B696" w14:textId="12AE7B81" w:rsidR="001D51F5" w:rsidRPr="001D51F5" w:rsidRDefault="009D6BD0" w:rsidP="0082221E">
            <w:pPr>
              <w:pStyle w:val="TableText"/>
              <w:rPr>
                <w:szCs w:val="17"/>
                <w:lang w:eastAsia="en-AU"/>
              </w:rPr>
            </w:pPr>
            <w:r w:rsidRPr="009D6BD0">
              <w:rPr>
                <w:szCs w:val="17"/>
                <w:lang w:eastAsia="en-AU"/>
              </w:rPr>
              <w:t>Supported</w:t>
            </w:r>
          </w:p>
        </w:tc>
        <w:tc>
          <w:tcPr>
            <w:tcW w:w="1216" w:type="dxa"/>
            <w:tcBorders>
              <w:top w:val="single" w:sz="4" w:space="0" w:color="auto"/>
              <w:left w:val="single" w:sz="4" w:space="0" w:color="auto"/>
              <w:bottom w:val="single" w:sz="4" w:space="0" w:color="auto"/>
            </w:tcBorders>
            <w:vAlign w:val="center"/>
          </w:tcPr>
          <w:p w14:paraId="2411A356"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53B3E40C"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514321D" w14:textId="77777777" w:rsidTr="0082221E">
        <w:trPr>
          <w:cantSplit/>
          <w:trHeight w:val="576"/>
        </w:trPr>
        <w:tc>
          <w:tcPr>
            <w:tcW w:w="1696" w:type="dxa"/>
            <w:tcBorders>
              <w:top w:val="nil"/>
              <w:left w:val="single" w:sz="4" w:space="0" w:color="auto"/>
              <w:bottom w:val="single" w:sz="4" w:space="0" w:color="auto"/>
              <w:right w:val="single" w:sz="4" w:space="0" w:color="auto"/>
            </w:tcBorders>
            <w:vAlign w:val="center"/>
            <w:hideMark/>
          </w:tcPr>
          <w:p w14:paraId="3F212DC3" w14:textId="77777777" w:rsidR="001D51F5" w:rsidRPr="001D51F5" w:rsidRDefault="001D51F5" w:rsidP="0082221E">
            <w:pPr>
              <w:pStyle w:val="TableText"/>
              <w:rPr>
                <w:lang w:eastAsia="en-AU"/>
              </w:rPr>
            </w:pPr>
            <w:r w:rsidRPr="001D51F5">
              <w:rPr>
                <w:lang w:eastAsia="en-AU"/>
              </w:rPr>
              <w:t>Perennial Grass, Seed crops (cocksfoot, perennial ryegrass, phalaris and Demeter Fescue only)</w:t>
            </w:r>
          </w:p>
        </w:tc>
        <w:tc>
          <w:tcPr>
            <w:tcW w:w="1560" w:type="dxa"/>
            <w:tcBorders>
              <w:top w:val="nil"/>
              <w:left w:val="nil"/>
              <w:bottom w:val="single" w:sz="4" w:space="0" w:color="auto"/>
              <w:right w:val="single" w:sz="4" w:space="0" w:color="auto"/>
            </w:tcBorders>
            <w:vAlign w:val="center"/>
            <w:hideMark/>
          </w:tcPr>
          <w:p w14:paraId="76E55C9E" w14:textId="77777777" w:rsidR="001D51F5" w:rsidRPr="001D51F5" w:rsidRDefault="001D51F5" w:rsidP="0082221E">
            <w:pPr>
              <w:pStyle w:val="TableText"/>
              <w:rPr>
                <w:lang w:eastAsia="en-AU"/>
              </w:rPr>
            </w:pPr>
            <w:r w:rsidRPr="001D51F5">
              <w:rPr>
                <w:lang w:eastAsia="en-AU"/>
              </w:rPr>
              <w:t>Annual grass and some broadleaf weeds</w:t>
            </w:r>
          </w:p>
        </w:tc>
        <w:tc>
          <w:tcPr>
            <w:tcW w:w="1275" w:type="dxa"/>
            <w:tcBorders>
              <w:top w:val="nil"/>
              <w:left w:val="nil"/>
              <w:bottom w:val="single" w:sz="4" w:space="0" w:color="auto"/>
              <w:right w:val="single" w:sz="4" w:space="0" w:color="auto"/>
            </w:tcBorders>
            <w:noWrap/>
            <w:vAlign w:val="center"/>
            <w:hideMark/>
          </w:tcPr>
          <w:p w14:paraId="581EFDE0" w14:textId="77777777" w:rsidR="001D51F5" w:rsidRPr="001D51F5" w:rsidRDefault="001D51F5" w:rsidP="0082221E">
            <w:pPr>
              <w:pStyle w:val="TableText"/>
              <w:rPr>
                <w:lang w:eastAsia="en-AU"/>
              </w:rPr>
            </w:pPr>
            <w:r w:rsidRPr="001D51F5">
              <w:rPr>
                <w:lang w:eastAsia="en-AU"/>
              </w:rPr>
              <w:t>150-300 g ac/ha (Boomspray)</w:t>
            </w:r>
          </w:p>
        </w:tc>
        <w:tc>
          <w:tcPr>
            <w:tcW w:w="1215" w:type="dxa"/>
            <w:tcBorders>
              <w:top w:val="nil"/>
              <w:left w:val="nil"/>
              <w:bottom w:val="single" w:sz="4" w:space="0" w:color="auto"/>
              <w:right w:val="single" w:sz="4" w:space="0" w:color="auto"/>
            </w:tcBorders>
            <w:noWrap/>
            <w:vAlign w:val="center"/>
            <w:hideMark/>
          </w:tcPr>
          <w:p w14:paraId="37FE6A8B"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364A2D1D"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56B18A79"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741A3519"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2C73E490"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8C045DE" w14:textId="77777777" w:rsidTr="0082221E">
        <w:trPr>
          <w:cantSplit/>
          <w:trHeight w:val="288"/>
        </w:trPr>
        <w:tc>
          <w:tcPr>
            <w:tcW w:w="1696" w:type="dxa"/>
            <w:vMerge w:val="restart"/>
            <w:tcBorders>
              <w:top w:val="nil"/>
              <w:left w:val="single" w:sz="4" w:space="0" w:color="auto"/>
              <w:bottom w:val="single" w:sz="4" w:space="0" w:color="auto"/>
              <w:right w:val="single" w:sz="4" w:space="0" w:color="auto"/>
            </w:tcBorders>
            <w:vAlign w:val="center"/>
            <w:hideMark/>
          </w:tcPr>
          <w:p w14:paraId="22D37F85" w14:textId="77777777" w:rsidR="001D51F5" w:rsidRPr="001D51F5" w:rsidRDefault="001D51F5" w:rsidP="0082221E">
            <w:pPr>
              <w:pStyle w:val="TableText"/>
              <w:rPr>
                <w:lang w:eastAsia="en-AU"/>
              </w:rPr>
            </w:pPr>
            <w:r w:rsidRPr="001D51F5">
              <w:rPr>
                <w:lang w:eastAsia="en-AU"/>
              </w:rPr>
              <w:lastRenderedPageBreak/>
              <w:t>Potatoes</w:t>
            </w:r>
          </w:p>
        </w:tc>
        <w:tc>
          <w:tcPr>
            <w:tcW w:w="1560" w:type="dxa"/>
            <w:tcBorders>
              <w:top w:val="nil"/>
              <w:left w:val="nil"/>
              <w:bottom w:val="single" w:sz="4" w:space="0" w:color="auto"/>
              <w:right w:val="single" w:sz="4" w:space="0" w:color="auto"/>
            </w:tcBorders>
            <w:vAlign w:val="center"/>
            <w:hideMark/>
          </w:tcPr>
          <w:p w14:paraId="26CFC3E5" w14:textId="77777777" w:rsidR="001D51F5" w:rsidRPr="001D51F5" w:rsidRDefault="001D51F5" w:rsidP="0082221E">
            <w:pPr>
              <w:pStyle w:val="TableText"/>
              <w:rPr>
                <w:lang w:eastAsia="en-AU"/>
              </w:rPr>
            </w:pPr>
            <w:r w:rsidRPr="001D51F5">
              <w:rPr>
                <w:lang w:eastAsia="en-AU"/>
              </w:rPr>
              <w:t>Annual grasses and broadleaf weeds (Early crop no later than 25% emergence of shoots)</w:t>
            </w:r>
          </w:p>
        </w:tc>
        <w:tc>
          <w:tcPr>
            <w:tcW w:w="1275" w:type="dxa"/>
            <w:tcBorders>
              <w:top w:val="nil"/>
              <w:left w:val="single" w:sz="4" w:space="0" w:color="auto"/>
              <w:bottom w:val="single" w:sz="4" w:space="0" w:color="auto"/>
              <w:right w:val="single" w:sz="4" w:space="0" w:color="auto"/>
            </w:tcBorders>
            <w:noWrap/>
            <w:vAlign w:val="center"/>
            <w:hideMark/>
          </w:tcPr>
          <w:p w14:paraId="0B9AF2F9" w14:textId="77777777" w:rsidR="001D51F5" w:rsidRPr="001D51F5" w:rsidRDefault="001D51F5" w:rsidP="0082221E">
            <w:pPr>
              <w:pStyle w:val="TableText"/>
              <w:rPr>
                <w:lang w:eastAsia="en-AU"/>
              </w:rPr>
            </w:pPr>
            <w:r w:rsidRPr="001D51F5">
              <w:rPr>
                <w:lang w:eastAsia="en-AU"/>
              </w:rPr>
              <w:t>300-400 g ac/ha (Boomspray)</w:t>
            </w:r>
          </w:p>
        </w:tc>
        <w:tc>
          <w:tcPr>
            <w:tcW w:w="1215" w:type="dxa"/>
            <w:tcBorders>
              <w:top w:val="nil"/>
              <w:left w:val="nil"/>
              <w:bottom w:val="single" w:sz="4" w:space="0" w:color="auto"/>
              <w:right w:val="single" w:sz="4" w:space="0" w:color="auto"/>
            </w:tcBorders>
            <w:noWrap/>
            <w:vAlign w:val="center"/>
            <w:hideMark/>
          </w:tcPr>
          <w:p w14:paraId="5267F892" w14:textId="77777777" w:rsidR="001D51F5" w:rsidRPr="001D51F5" w:rsidRDefault="001D51F5" w:rsidP="0082221E">
            <w:pPr>
              <w:pStyle w:val="TableText"/>
              <w:rPr>
                <w:lang w:eastAsia="en-AU"/>
              </w:rPr>
            </w:pPr>
            <w:r w:rsidRPr="001D51F5">
              <w:rPr>
                <w:lang w:eastAsia="en-AU"/>
              </w:rPr>
              <w:t>Not supported (max. 226 g ac/ha)</w:t>
            </w:r>
          </w:p>
        </w:tc>
        <w:tc>
          <w:tcPr>
            <w:tcW w:w="1215" w:type="dxa"/>
            <w:tcBorders>
              <w:top w:val="single" w:sz="4" w:space="0" w:color="auto"/>
              <w:bottom w:val="single" w:sz="4" w:space="0" w:color="auto"/>
              <w:right w:val="single" w:sz="4" w:space="0" w:color="auto"/>
            </w:tcBorders>
            <w:vAlign w:val="center"/>
          </w:tcPr>
          <w:p w14:paraId="79B7E921" w14:textId="77777777" w:rsidR="001D51F5" w:rsidRPr="001D51F5" w:rsidRDefault="001D51F5" w:rsidP="0082221E">
            <w:pPr>
              <w:pStyle w:val="TableText"/>
              <w:rPr>
                <w:rFonts w:ascii="Times New Roman" w:hAnsi="Times New Roman"/>
                <w:sz w:val="20"/>
                <w:szCs w:val="20"/>
                <w:lang w:eastAsia="en-AU"/>
              </w:rPr>
            </w:pPr>
            <w:r w:rsidRPr="001D51F5">
              <w:rPr>
                <w:lang w:eastAsia="en-AU"/>
              </w:rPr>
              <w:t xml:space="preserve">Supported </w:t>
            </w:r>
          </w:p>
        </w:tc>
        <w:tc>
          <w:tcPr>
            <w:tcW w:w="1215" w:type="dxa"/>
            <w:tcBorders>
              <w:top w:val="single" w:sz="4" w:space="0" w:color="auto"/>
              <w:bottom w:val="single" w:sz="4" w:space="0" w:color="auto"/>
              <w:right w:val="single" w:sz="4" w:space="0" w:color="auto"/>
            </w:tcBorders>
            <w:vAlign w:val="center"/>
          </w:tcPr>
          <w:p w14:paraId="1F778D01"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48691623"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02830E17"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698127E8" w14:textId="77777777" w:rsidTr="0082221E">
        <w:trPr>
          <w:cantSplit/>
          <w:trHeight w:val="576"/>
        </w:trPr>
        <w:tc>
          <w:tcPr>
            <w:tcW w:w="1696" w:type="dxa"/>
            <w:vMerge/>
            <w:tcBorders>
              <w:top w:val="nil"/>
              <w:left w:val="single" w:sz="4" w:space="0" w:color="auto"/>
              <w:bottom w:val="single" w:sz="4" w:space="0" w:color="auto"/>
              <w:right w:val="single" w:sz="4" w:space="0" w:color="auto"/>
            </w:tcBorders>
            <w:vAlign w:val="center"/>
            <w:hideMark/>
          </w:tcPr>
          <w:p w14:paraId="03455ABA"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hideMark/>
          </w:tcPr>
          <w:p w14:paraId="16B64C8B" w14:textId="77777777" w:rsidR="001D51F5" w:rsidRPr="001D51F5" w:rsidRDefault="001D51F5" w:rsidP="0082221E">
            <w:pPr>
              <w:pStyle w:val="TableText"/>
              <w:rPr>
                <w:lang w:eastAsia="en-AU"/>
              </w:rPr>
            </w:pPr>
            <w:r w:rsidRPr="001D51F5">
              <w:rPr>
                <w:lang w:eastAsia="en-AU"/>
              </w:rPr>
              <w:t>Annual grasses and broadleaf weeds (pre-harvest weed control)</w:t>
            </w:r>
          </w:p>
        </w:tc>
        <w:tc>
          <w:tcPr>
            <w:tcW w:w="1275" w:type="dxa"/>
            <w:tcBorders>
              <w:top w:val="nil"/>
              <w:left w:val="single" w:sz="4" w:space="0" w:color="auto"/>
              <w:bottom w:val="single" w:sz="4" w:space="0" w:color="auto"/>
              <w:right w:val="single" w:sz="4" w:space="0" w:color="auto"/>
            </w:tcBorders>
            <w:vAlign w:val="center"/>
            <w:hideMark/>
          </w:tcPr>
          <w:p w14:paraId="6AA32219" w14:textId="77777777" w:rsidR="001D51F5" w:rsidRPr="001D51F5" w:rsidRDefault="001D51F5" w:rsidP="0082221E">
            <w:pPr>
              <w:pStyle w:val="TableText"/>
              <w:rPr>
                <w:lang w:eastAsia="en-AU"/>
              </w:rPr>
            </w:pPr>
            <w:r w:rsidRPr="001D51F5">
              <w:rPr>
                <w:lang w:eastAsia="en-AU"/>
              </w:rPr>
              <w:t>700 g ac/ha (Boomspray)</w:t>
            </w:r>
          </w:p>
        </w:tc>
        <w:tc>
          <w:tcPr>
            <w:tcW w:w="1215" w:type="dxa"/>
            <w:tcBorders>
              <w:top w:val="nil"/>
              <w:left w:val="nil"/>
              <w:bottom w:val="single" w:sz="4" w:space="0" w:color="auto"/>
              <w:right w:val="single" w:sz="4" w:space="0" w:color="auto"/>
            </w:tcBorders>
            <w:noWrap/>
            <w:vAlign w:val="center"/>
            <w:hideMark/>
          </w:tcPr>
          <w:p w14:paraId="0F60135E" w14:textId="77777777" w:rsidR="001D51F5" w:rsidRPr="001D51F5" w:rsidRDefault="001D51F5" w:rsidP="0082221E">
            <w:pPr>
              <w:pStyle w:val="TableText"/>
              <w:rPr>
                <w:lang w:eastAsia="en-AU"/>
              </w:rPr>
            </w:pPr>
            <w:r w:rsidRPr="001D51F5">
              <w:rPr>
                <w:lang w:eastAsia="en-AU"/>
              </w:rPr>
              <w:t>Not supported (max. 226 g ac/ha)</w:t>
            </w:r>
          </w:p>
        </w:tc>
        <w:tc>
          <w:tcPr>
            <w:tcW w:w="1215" w:type="dxa"/>
            <w:tcBorders>
              <w:top w:val="single" w:sz="4" w:space="0" w:color="auto"/>
              <w:bottom w:val="single" w:sz="4" w:space="0" w:color="auto"/>
              <w:right w:val="single" w:sz="4" w:space="0" w:color="auto"/>
            </w:tcBorders>
            <w:vAlign w:val="center"/>
          </w:tcPr>
          <w:p w14:paraId="73D3C16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 (4-5 weeks before digging)</w:t>
            </w:r>
          </w:p>
        </w:tc>
        <w:tc>
          <w:tcPr>
            <w:tcW w:w="1215" w:type="dxa"/>
            <w:tcBorders>
              <w:top w:val="single" w:sz="4" w:space="0" w:color="auto"/>
              <w:bottom w:val="single" w:sz="4" w:space="0" w:color="auto"/>
              <w:right w:val="single" w:sz="4" w:space="0" w:color="auto"/>
            </w:tcBorders>
            <w:vAlign w:val="center"/>
          </w:tcPr>
          <w:p w14:paraId="1DAF9ED5"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756D0227"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71F89BE2"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70EE23C3" w14:textId="77777777" w:rsidTr="0082221E">
        <w:trPr>
          <w:cantSplit/>
          <w:trHeight w:val="576"/>
        </w:trPr>
        <w:tc>
          <w:tcPr>
            <w:tcW w:w="1696" w:type="dxa"/>
            <w:tcBorders>
              <w:top w:val="nil"/>
              <w:left w:val="single" w:sz="4" w:space="0" w:color="auto"/>
              <w:bottom w:val="single" w:sz="4" w:space="0" w:color="auto"/>
              <w:right w:val="single" w:sz="4" w:space="0" w:color="auto"/>
            </w:tcBorders>
            <w:vAlign w:val="center"/>
            <w:hideMark/>
          </w:tcPr>
          <w:p w14:paraId="1AE4E466" w14:textId="77777777" w:rsidR="001D51F5" w:rsidRPr="001D51F5" w:rsidRDefault="001D51F5" w:rsidP="0082221E">
            <w:pPr>
              <w:pStyle w:val="TableText"/>
              <w:rPr>
                <w:lang w:eastAsia="en-AU"/>
              </w:rPr>
            </w:pPr>
            <w:r w:rsidRPr="001D51F5">
              <w:rPr>
                <w:lang w:eastAsia="en-AU"/>
              </w:rPr>
              <w:t>Prevention of annual ryegrass toxicity</w:t>
            </w:r>
          </w:p>
        </w:tc>
        <w:tc>
          <w:tcPr>
            <w:tcW w:w="1560" w:type="dxa"/>
            <w:tcBorders>
              <w:top w:val="nil"/>
              <w:left w:val="nil"/>
              <w:bottom w:val="single" w:sz="4" w:space="0" w:color="auto"/>
              <w:right w:val="single" w:sz="4" w:space="0" w:color="auto"/>
            </w:tcBorders>
            <w:vAlign w:val="center"/>
            <w:hideMark/>
          </w:tcPr>
          <w:p w14:paraId="5A1ACCDC" w14:textId="77777777" w:rsidR="001D51F5" w:rsidRPr="001D51F5" w:rsidRDefault="001D51F5" w:rsidP="0082221E">
            <w:pPr>
              <w:pStyle w:val="TableText"/>
              <w:rPr>
                <w:lang w:eastAsia="en-AU"/>
              </w:rPr>
            </w:pPr>
            <w:r w:rsidRPr="001D51F5">
              <w:rPr>
                <w:lang w:eastAsia="en-AU"/>
              </w:rPr>
              <w:t>Annual ryegrass. Spray top, graze to destroy seed heads</w:t>
            </w:r>
          </w:p>
        </w:tc>
        <w:tc>
          <w:tcPr>
            <w:tcW w:w="1275" w:type="dxa"/>
            <w:tcBorders>
              <w:top w:val="nil"/>
              <w:left w:val="nil"/>
              <w:bottom w:val="single" w:sz="4" w:space="0" w:color="auto"/>
              <w:right w:val="single" w:sz="4" w:space="0" w:color="auto"/>
            </w:tcBorders>
            <w:noWrap/>
            <w:vAlign w:val="center"/>
            <w:hideMark/>
          </w:tcPr>
          <w:p w14:paraId="5131E96A" w14:textId="77777777" w:rsidR="001D51F5" w:rsidRPr="001D51F5" w:rsidRDefault="001D51F5" w:rsidP="0082221E">
            <w:pPr>
              <w:pStyle w:val="TableText"/>
              <w:rPr>
                <w:lang w:eastAsia="en-AU"/>
              </w:rPr>
            </w:pPr>
            <w:r w:rsidRPr="001D51F5">
              <w:rPr>
                <w:lang w:eastAsia="en-AU"/>
              </w:rPr>
              <w:t>100 g ac/ha (Boomspray)</w:t>
            </w:r>
          </w:p>
        </w:tc>
        <w:tc>
          <w:tcPr>
            <w:tcW w:w="1215" w:type="dxa"/>
            <w:tcBorders>
              <w:top w:val="nil"/>
              <w:left w:val="nil"/>
              <w:bottom w:val="single" w:sz="4" w:space="0" w:color="auto"/>
              <w:right w:val="single" w:sz="4" w:space="0" w:color="auto"/>
            </w:tcBorders>
            <w:noWrap/>
            <w:vAlign w:val="center"/>
            <w:hideMark/>
          </w:tcPr>
          <w:p w14:paraId="02D46B04" w14:textId="77777777" w:rsidR="001D51F5" w:rsidRPr="001D51F5" w:rsidRDefault="001D51F5" w:rsidP="0082221E">
            <w:pPr>
              <w:pStyle w:val="TableText"/>
              <w:rPr>
                <w:lang w:eastAsia="en-AU"/>
              </w:rPr>
            </w:pPr>
            <w:r w:rsidRPr="001D51F5">
              <w:rPr>
                <w:lang w:eastAsia="en-AU"/>
              </w:rPr>
              <w:t>Not supported (max. 54 g ac/ha)</w:t>
            </w:r>
          </w:p>
        </w:tc>
        <w:tc>
          <w:tcPr>
            <w:tcW w:w="1215" w:type="dxa"/>
            <w:tcBorders>
              <w:top w:val="single" w:sz="4" w:space="0" w:color="auto"/>
              <w:bottom w:val="single" w:sz="4" w:space="0" w:color="auto"/>
              <w:right w:val="single" w:sz="4" w:space="0" w:color="auto"/>
            </w:tcBorders>
            <w:vAlign w:val="center"/>
          </w:tcPr>
          <w:p w14:paraId="2A1A3453"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4A560CA6"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62302B7F"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6D019641"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4B352488" w14:textId="77777777" w:rsidTr="0082221E">
        <w:trPr>
          <w:cantSplit/>
          <w:trHeight w:val="576"/>
        </w:trPr>
        <w:tc>
          <w:tcPr>
            <w:tcW w:w="1696" w:type="dxa"/>
            <w:vMerge w:val="restart"/>
            <w:tcBorders>
              <w:top w:val="nil"/>
              <w:left w:val="single" w:sz="4" w:space="0" w:color="auto"/>
              <w:bottom w:val="single" w:sz="4" w:space="0" w:color="auto"/>
              <w:right w:val="single" w:sz="4" w:space="0" w:color="auto"/>
            </w:tcBorders>
            <w:shd w:val="clear" w:color="auto" w:fill="F2E18B"/>
            <w:vAlign w:val="center"/>
            <w:hideMark/>
          </w:tcPr>
          <w:p w14:paraId="7ADEDC42" w14:textId="77777777" w:rsidR="001D51F5" w:rsidRPr="001D51F5" w:rsidRDefault="001D51F5" w:rsidP="0082221E">
            <w:pPr>
              <w:pStyle w:val="TableText"/>
              <w:rPr>
                <w:lang w:eastAsia="en-AU"/>
              </w:rPr>
            </w:pPr>
            <w:r w:rsidRPr="001D51F5">
              <w:rPr>
                <w:lang w:eastAsia="en-AU"/>
              </w:rPr>
              <w:t>Rice</w:t>
            </w:r>
          </w:p>
        </w:tc>
        <w:tc>
          <w:tcPr>
            <w:tcW w:w="1560" w:type="dxa"/>
            <w:tcBorders>
              <w:top w:val="nil"/>
              <w:left w:val="nil"/>
              <w:bottom w:val="single" w:sz="4" w:space="0" w:color="auto"/>
              <w:right w:val="single" w:sz="4" w:space="0" w:color="auto"/>
            </w:tcBorders>
            <w:vAlign w:val="center"/>
            <w:hideMark/>
          </w:tcPr>
          <w:p w14:paraId="52B4C9E2" w14:textId="77777777" w:rsidR="001D51F5" w:rsidRPr="001D51F5" w:rsidRDefault="001D51F5" w:rsidP="0082221E">
            <w:pPr>
              <w:pStyle w:val="TableText"/>
              <w:rPr>
                <w:lang w:eastAsia="en-AU"/>
              </w:rPr>
            </w:pPr>
            <w:r w:rsidRPr="001D51F5">
              <w:rPr>
                <w:lang w:eastAsia="en-AU"/>
              </w:rPr>
              <w:t>Pre-sowing annual grass and broadleaf weed control</w:t>
            </w:r>
          </w:p>
        </w:tc>
        <w:tc>
          <w:tcPr>
            <w:tcW w:w="1275" w:type="dxa"/>
            <w:tcBorders>
              <w:top w:val="nil"/>
              <w:left w:val="single" w:sz="4" w:space="0" w:color="auto"/>
              <w:bottom w:val="single" w:sz="4" w:space="0" w:color="auto"/>
              <w:right w:val="single" w:sz="4" w:space="0" w:color="auto"/>
            </w:tcBorders>
            <w:noWrap/>
            <w:vAlign w:val="center"/>
            <w:hideMark/>
          </w:tcPr>
          <w:p w14:paraId="7CB1D151" w14:textId="77777777" w:rsidR="001D51F5" w:rsidRPr="001D51F5" w:rsidRDefault="001D51F5" w:rsidP="0082221E">
            <w:pPr>
              <w:pStyle w:val="TableText"/>
              <w:rPr>
                <w:lang w:eastAsia="en-AU"/>
              </w:rPr>
            </w:pPr>
            <w:r w:rsidRPr="001D51F5">
              <w:rPr>
                <w:lang w:eastAsia="en-AU"/>
              </w:rPr>
              <w:t>400 g ac/ha (Boomspray)</w:t>
            </w:r>
          </w:p>
        </w:tc>
        <w:tc>
          <w:tcPr>
            <w:tcW w:w="1215" w:type="dxa"/>
            <w:tcBorders>
              <w:top w:val="nil"/>
              <w:left w:val="nil"/>
              <w:bottom w:val="single" w:sz="4" w:space="0" w:color="auto"/>
              <w:right w:val="single" w:sz="4" w:space="0" w:color="auto"/>
            </w:tcBorders>
            <w:noWrap/>
            <w:vAlign w:val="center"/>
            <w:hideMark/>
          </w:tcPr>
          <w:p w14:paraId="4CB8180C"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4D7F5582"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29002B34"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06862E9B" w14:textId="77777777" w:rsidR="001D51F5" w:rsidRPr="001D51F5" w:rsidRDefault="001D51F5" w:rsidP="0082221E">
            <w:pPr>
              <w:pStyle w:val="TableText"/>
              <w:rPr>
                <w:sz w:val="20"/>
                <w:szCs w:val="20"/>
                <w:lang w:eastAsia="en-AU"/>
              </w:rPr>
            </w:pPr>
            <w:r w:rsidRPr="001D51F5">
              <w:rPr>
                <w:lang w:eastAsia="en-AU"/>
              </w:rPr>
              <w:t>Not supported</w:t>
            </w:r>
          </w:p>
        </w:tc>
        <w:tc>
          <w:tcPr>
            <w:tcW w:w="236" w:type="dxa"/>
            <w:tcBorders>
              <w:left w:val="single" w:sz="4" w:space="0" w:color="auto"/>
            </w:tcBorders>
            <w:vAlign w:val="center"/>
            <w:hideMark/>
          </w:tcPr>
          <w:p w14:paraId="64B69313"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3FE824CD" w14:textId="77777777" w:rsidTr="0082221E">
        <w:trPr>
          <w:cantSplit/>
          <w:trHeight w:val="576"/>
        </w:trPr>
        <w:tc>
          <w:tcPr>
            <w:tcW w:w="1696" w:type="dxa"/>
            <w:vMerge/>
            <w:tcBorders>
              <w:top w:val="nil"/>
              <w:left w:val="single" w:sz="4" w:space="0" w:color="auto"/>
              <w:bottom w:val="single" w:sz="4" w:space="0" w:color="auto"/>
              <w:right w:val="single" w:sz="4" w:space="0" w:color="auto"/>
            </w:tcBorders>
            <w:shd w:val="clear" w:color="auto" w:fill="F2E18B"/>
            <w:vAlign w:val="center"/>
            <w:hideMark/>
          </w:tcPr>
          <w:p w14:paraId="50C74D12"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shd w:val="clear" w:color="auto" w:fill="F2E18B"/>
            <w:vAlign w:val="center"/>
            <w:hideMark/>
          </w:tcPr>
          <w:p w14:paraId="08E49950" w14:textId="77777777" w:rsidR="001D51F5" w:rsidRPr="001D51F5" w:rsidRDefault="001D51F5" w:rsidP="0082221E">
            <w:pPr>
              <w:pStyle w:val="TableText"/>
              <w:rPr>
                <w:lang w:eastAsia="en-AU"/>
              </w:rPr>
            </w:pPr>
            <w:r w:rsidRPr="001D51F5">
              <w:rPr>
                <w:lang w:eastAsia="en-AU"/>
              </w:rPr>
              <w:t>Post-sowing, pre-crop emergence annual grass and broadleaf weed control</w:t>
            </w:r>
          </w:p>
        </w:tc>
        <w:tc>
          <w:tcPr>
            <w:tcW w:w="1275" w:type="dxa"/>
            <w:tcBorders>
              <w:top w:val="nil"/>
              <w:left w:val="single" w:sz="4" w:space="0" w:color="auto"/>
              <w:bottom w:val="single" w:sz="4" w:space="0" w:color="auto"/>
              <w:right w:val="single" w:sz="4" w:space="0" w:color="auto"/>
            </w:tcBorders>
            <w:shd w:val="clear" w:color="auto" w:fill="F2E18B"/>
            <w:vAlign w:val="center"/>
            <w:hideMark/>
          </w:tcPr>
          <w:p w14:paraId="44DA4982" w14:textId="77777777" w:rsidR="001D51F5" w:rsidRPr="001D51F5" w:rsidRDefault="001D51F5" w:rsidP="0082221E">
            <w:pPr>
              <w:pStyle w:val="TableText"/>
              <w:rPr>
                <w:lang w:eastAsia="en-AU"/>
              </w:rPr>
            </w:pPr>
            <w:r w:rsidRPr="001D51F5">
              <w:rPr>
                <w:lang w:eastAsia="en-AU"/>
              </w:rPr>
              <w:t>200 g ac/ha (Boomspray)</w:t>
            </w:r>
          </w:p>
        </w:tc>
        <w:tc>
          <w:tcPr>
            <w:tcW w:w="1215" w:type="dxa"/>
            <w:tcBorders>
              <w:top w:val="nil"/>
              <w:left w:val="nil"/>
              <w:bottom w:val="single" w:sz="4" w:space="0" w:color="auto"/>
              <w:right w:val="single" w:sz="4" w:space="0" w:color="auto"/>
            </w:tcBorders>
            <w:shd w:val="clear" w:color="auto" w:fill="F2E18B"/>
            <w:noWrap/>
            <w:vAlign w:val="center"/>
            <w:hideMark/>
          </w:tcPr>
          <w:p w14:paraId="0542E9F4" w14:textId="56B46010" w:rsidR="00C50294" w:rsidRPr="001D51F5" w:rsidRDefault="001D51F5" w:rsidP="0082221E">
            <w:pPr>
              <w:pStyle w:val="TableText"/>
              <w:rPr>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7315F46E"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shd w:val="clear" w:color="auto" w:fill="F2E18B"/>
            <w:vAlign w:val="center"/>
          </w:tcPr>
          <w:p w14:paraId="2C4F020B"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6E0E30FE" w14:textId="6B52B393" w:rsidR="00C50294" w:rsidRPr="00423949" w:rsidRDefault="001D51F5" w:rsidP="0082221E">
            <w:pPr>
              <w:pStyle w:val="TableText"/>
              <w:rPr>
                <w:lang w:eastAsia="en-AU"/>
              </w:rPr>
            </w:pPr>
            <w:r w:rsidRPr="001D51F5">
              <w:rPr>
                <w:lang w:eastAsia="en-AU"/>
              </w:rPr>
              <w:t>Supported</w:t>
            </w:r>
          </w:p>
        </w:tc>
        <w:tc>
          <w:tcPr>
            <w:tcW w:w="236" w:type="dxa"/>
            <w:tcBorders>
              <w:left w:val="single" w:sz="4" w:space="0" w:color="auto"/>
            </w:tcBorders>
            <w:vAlign w:val="center"/>
            <w:hideMark/>
          </w:tcPr>
          <w:p w14:paraId="317A67AD"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45856D15" w14:textId="77777777" w:rsidTr="0082221E">
        <w:trPr>
          <w:cantSplit/>
          <w:trHeight w:val="288"/>
        </w:trPr>
        <w:tc>
          <w:tcPr>
            <w:tcW w:w="1696" w:type="dxa"/>
            <w:vMerge w:val="restart"/>
            <w:tcBorders>
              <w:top w:val="nil"/>
              <w:left w:val="single" w:sz="4" w:space="0" w:color="auto"/>
              <w:right w:val="single" w:sz="4" w:space="0" w:color="auto"/>
            </w:tcBorders>
            <w:vAlign w:val="center"/>
            <w:hideMark/>
          </w:tcPr>
          <w:p w14:paraId="47D894DA" w14:textId="77777777" w:rsidR="001D51F5" w:rsidRPr="001D51F5" w:rsidRDefault="001D51F5" w:rsidP="0082221E">
            <w:pPr>
              <w:pStyle w:val="TableText"/>
              <w:rPr>
                <w:lang w:eastAsia="en-AU"/>
              </w:rPr>
            </w:pPr>
            <w:r w:rsidRPr="001D51F5">
              <w:rPr>
                <w:lang w:eastAsia="en-AU"/>
              </w:rPr>
              <w:t>Row crops, vegetables, market gardens</w:t>
            </w:r>
          </w:p>
        </w:tc>
        <w:tc>
          <w:tcPr>
            <w:tcW w:w="1560" w:type="dxa"/>
            <w:tcBorders>
              <w:top w:val="nil"/>
              <w:left w:val="nil"/>
              <w:bottom w:val="single" w:sz="4" w:space="0" w:color="auto"/>
              <w:right w:val="single" w:sz="4" w:space="0" w:color="auto"/>
            </w:tcBorders>
            <w:noWrap/>
            <w:vAlign w:val="center"/>
            <w:hideMark/>
          </w:tcPr>
          <w:p w14:paraId="5AD35ADE" w14:textId="77777777" w:rsidR="001D51F5" w:rsidRPr="001D51F5" w:rsidRDefault="001D51F5" w:rsidP="0082221E">
            <w:pPr>
              <w:pStyle w:val="TableText"/>
              <w:rPr>
                <w:lang w:eastAsia="en-AU"/>
              </w:rPr>
            </w:pPr>
            <w:r w:rsidRPr="001D51F5">
              <w:rPr>
                <w:lang w:eastAsia="en-AU"/>
              </w:rPr>
              <w:t>Pre-planting and pre-crop emergence</w:t>
            </w:r>
          </w:p>
        </w:tc>
        <w:tc>
          <w:tcPr>
            <w:tcW w:w="1275" w:type="dxa"/>
            <w:tcBorders>
              <w:top w:val="nil"/>
              <w:left w:val="single" w:sz="4" w:space="0" w:color="auto"/>
              <w:bottom w:val="single" w:sz="4" w:space="0" w:color="auto"/>
              <w:right w:val="single" w:sz="4" w:space="0" w:color="auto"/>
            </w:tcBorders>
            <w:noWrap/>
            <w:vAlign w:val="center"/>
          </w:tcPr>
          <w:p w14:paraId="7951D129" w14:textId="77777777" w:rsidR="001D51F5" w:rsidRPr="001D51F5" w:rsidRDefault="001D51F5" w:rsidP="0082221E">
            <w:pPr>
              <w:pStyle w:val="TableText"/>
              <w:rPr>
                <w:lang w:eastAsia="en-AU"/>
              </w:rPr>
            </w:pPr>
            <w:r w:rsidRPr="001D51F5">
              <w:rPr>
                <w:lang w:eastAsia="en-AU"/>
              </w:rPr>
              <w:t>300-420 g ac/ha (Boomspray)</w:t>
            </w:r>
          </w:p>
        </w:tc>
        <w:tc>
          <w:tcPr>
            <w:tcW w:w="1215" w:type="dxa"/>
            <w:tcBorders>
              <w:top w:val="nil"/>
              <w:left w:val="nil"/>
              <w:bottom w:val="single" w:sz="4" w:space="0" w:color="auto"/>
              <w:right w:val="single" w:sz="4" w:space="0" w:color="auto"/>
            </w:tcBorders>
            <w:noWrap/>
            <w:vAlign w:val="center"/>
            <w:hideMark/>
          </w:tcPr>
          <w:p w14:paraId="52D1FBEB"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5CBA411C" w14:textId="1648C80C" w:rsidR="001D51F5" w:rsidRPr="001D51F5" w:rsidRDefault="001D51F5" w:rsidP="0082221E">
            <w:pPr>
              <w:pStyle w:val="TableText"/>
              <w:rPr>
                <w:rFonts w:ascii="Times New Roman" w:hAnsi="Times New Roman"/>
                <w:sz w:val="20"/>
                <w:szCs w:val="20"/>
                <w:lang w:eastAsia="en-AU"/>
              </w:rPr>
            </w:pPr>
            <w:r w:rsidRPr="001D51F5">
              <w:rPr>
                <w:lang w:eastAsia="en-AU"/>
              </w:rPr>
              <w:t xml:space="preserve">Supported </w:t>
            </w:r>
          </w:p>
        </w:tc>
        <w:tc>
          <w:tcPr>
            <w:tcW w:w="1215" w:type="dxa"/>
            <w:tcBorders>
              <w:top w:val="single" w:sz="4" w:space="0" w:color="auto"/>
              <w:bottom w:val="single" w:sz="4" w:space="0" w:color="auto"/>
              <w:right w:val="single" w:sz="4" w:space="0" w:color="auto"/>
            </w:tcBorders>
            <w:vAlign w:val="center"/>
          </w:tcPr>
          <w:p w14:paraId="7060A7BC"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470FCBF6"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44106F2A"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15356700" w14:textId="77777777" w:rsidTr="0082221E">
        <w:trPr>
          <w:cantSplit/>
          <w:trHeight w:val="576"/>
        </w:trPr>
        <w:tc>
          <w:tcPr>
            <w:tcW w:w="1696" w:type="dxa"/>
            <w:vMerge/>
            <w:tcBorders>
              <w:left w:val="single" w:sz="4" w:space="0" w:color="auto"/>
              <w:right w:val="single" w:sz="4" w:space="0" w:color="auto"/>
            </w:tcBorders>
            <w:vAlign w:val="center"/>
            <w:hideMark/>
          </w:tcPr>
          <w:p w14:paraId="2AB69BC4"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tcPr>
          <w:p w14:paraId="3A827F93" w14:textId="77777777" w:rsidR="001D51F5" w:rsidRPr="001D51F5" w:rsidRDefault="001D51F5" w:rsidP="0082221E">
            <w:pPr>
              <w:pStyle w:val="TableText"/>
              <w:rPr>
                <w:lang w:eastAsia="en-AU"/>
              </w:rPr>
            </w:pPr>
            <w:r w:rsidRPr="001D51F5">
              <w:rPr>
                <w:lang w:eastAsia="en-AU"/>
              </w:rPr>
              <w:t>Post-emergence inter-row weed control</w:t>
            </w:r>
          </w:p>
        </w:tc>
        <w:tc>
          <w:tcPr>
            <w:tcW w:w="1275" w:type="dxa"/>
            <w:tcBorders>
              <w:top w:val="nil"/>
              <w:left w:val="single" w:sz="4" w:space="0" w:color="auto"/>
              <w:bottom w:val="single" w:sz="4" w:space="0" w:color="auto"/>
              <w:right w:val="single" w:sz="4" w:space="0" w:color="auto"/>
            </w:tcBorders>
            <w:vAlign w:val="center"/>
          </w:tcPr>
          <w:p w14:paraId="3B650E48" w14:textId="77777777" w:rsidR="001D51F5" w:rsidRPr="001D51F5" w:rsidRDefault="001D51F5" w:rsidP="0082221E">
            <w:pPr>
              <w:pStyle w:val="TableText"/>
              <w:rPr>
                <w:lang w:eastAsia="en-AU"/>
              </w:rPr>
            </w:pPr>
            <w:r w:rsidRPr="001D51F5">
              <w:rPr>
                <w:lang w:eastAsia="en-AU"/>
              </w:rPr>
              <w:t>300-420 g ac/ha (Inter-row spray)</w:t>
            </w:r>
          </w:p>
        </w:tc>
        <w:tc>
          <w:tcPr>
            <w:tcW w:w="1215" w:type="dxa"/>
            <w:tcBorders>
              <w:top w:val="nil"/>
              <w:left w:val="nil"/>
              <w:bottom w:val="single" w:sz="4" w:space="0" w:color="auto"/>
              <w:right w:val="single" w:sz="4" w:space="0" w:color="auto"/>
            </w:tcBorders>
            <w:noWrap/>
            <w:vAlign w:val="center"/>
          </w:tcPr>
          <w:p w14:paraId="2EE1BEDE"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256414E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0B82BBFC"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317272C3"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0EA96FDF"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0222844E" w14:textId="77777777" w:rsidTr="0082221E">
        <w:trPr>
          <w:cantSplit/>
          <w:trHeight w:val="576"/>
        </w:trPr>
        <w:tc>
          <w:tcPr>
            <w:tcW w:w="1696" w:type="dxa"/>
            <w:vMerge/>
            <w:tcBorders>
              <w:left w:val="single" w:sz="4" w:space="0" w:color="auto"/>
              <w:bottom w:val="single" w:sz="4" w:space="0" w:color="auto"/>
              <w:right w:val="single" w:sz="4" w:space="0" w:color="auto"/>
            </w:tcBorders>
            <w:vAlign w:val="center"/>
          </w:tcPr>
          <w:p w14:paraId="3CBD2C30"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vAlign w:val="center"/>
          </w:tcPr>
          <w:p w14:paraId="40550853" w14:textId="77777777" w:rsidR="001D51F5" w:rsidRPr="001D51F5" w:rsidRDefault="001D51F5" w:rsidP="0082221E">
            <w:pPr>
              <w:pStyle w:val="TableText"/>
              <w:rPr>
                <w:lang w:eastAsia="en-AU"/>
              </w:rPr>
            </w:pPr>
            <w:r w:rsidRPr="001D51F5">
              <w:rPr>
                <w:lang w:eastAsia="en-AU"/>
              </w:rPr>
              <w:t>Older weeds</w:t>
            </w:r>
          </w:p>
        </w:tc>
        <w:tc>
          <w:tcPr>
            <w:tcW w:w="1275" w:type="dxa"/>
            <w:tcBorders>
              <w:top w:val="nil"/>
              <w:left w:val="single" w:sz="4" w:space="0" w:color="auto"/>
              <w:bottom w:val="single" w:sz="4" w:space="0" w:color="auto"/>
              <w:right w:val="single" w:sz="4" w:space="0" w:color="auto"/>
            </w:tcBorders>
            <w:vAlign w:val="center"/>
          </w:tcPr>
          <w:p w14:paraId="192D3EA8" w14:textId="77777777" w:rsidR="001D51F5" w:rsidRPr="001D51F5" w:rsidRDefault="001D51F5" w:rsidP="0082221E">
            <w:pPr>
              <w:pStyle w:val="TableText"/>
              <w:rPr>
                <w:lang w:eastAsia="en-AU"/>
              </w:rPr>
            </w:pPr>
            <w:r w:rsidRPr="001D51F5">
              <w:rPr>
                <w:lang w:eastAsia="en-AU"/>
              </w:rPr>
              <w:t>600 g ac/ha (Inter-row spray)</w:t>
            </w:r>
          </w:p>
        </w:tc>
        <w:tc>
          <w:tcPr>
            <w:tcW w:w="1215" w:type="dxa"/>
            <w:tcBorders>
              <w:top w:val="nil"/>
              <w:left w:val="nil"/>
              <w:bottom w:val="single" w:sz="4" w:space="0" w:color="auto"/>
              <w:right w:val="single" w:sz="4" w:space="0" w:color="auto"/>
            </w:tcBorders>
            <w:noWrap/>
            <w:vAlign w:val="center"/>
          </w:tcPr>
          <w:p w14:paraId="77C97916" w14:textId="77777777" w:rsidR="001D51F5" w:rsidRPr="001D51F5" w:rsidRDefault="001D51F5" w:rsidP="0082221E">
            <w:pPr>
              <w:pStyle w:val="TableText"/>
              <w:rPr>
                <w:lang w:eastAsia="en-AU"/>
              </w:rPr>
            </w:pPr>
            <w:r w:rsidRPr="001D51F5">
              <w:rPr>
                <w:lang w:eastAsia="en-AU"/>
              </w:rPr>
              <w:t>Not supported (max. 231 g ac/ha)</w:t>
            </w:r>
          </w:p>
        </w:tc>
        <w:tc>
          <w:tcPr>
            <w:tcW w:w="1215" w:type="dxa"/>
            <w:tcBorders>
              <w:top w:val="single" w:sz="4" w:space="0" w:color="auto"/>
              <w:bottom w:val="single" w:sz="4" w:space="0" w:color="auto"/>
              <w:right w:val="single" w:sz="4" w:space="0" w:color="auto"/>
            </w:tcBorders>
            <w:vAlign w:val="center"/>
          </w:tcPr>
          <w:p w14:paraId="07373AD4"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6CD897FA"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4C4B3E2B"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tcPr>
          <w:p w14:paraId="7D9CC445"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61C4CAED" w14:textId="77777777" w:rsidTr="0082221E">
        <w:trPr>
          <w:cantSplit/>
          <w:trHeight w:val="576"/>
        </w:trPr>
        <w:tc>
          <w:tcPr>
            <w:tcW w:w="1696" w:type="dxa"/>
            <w:tcBorders>
              <w:top w:val="nil"/>
              <w:left w:val="single" w:sz="4" w:space="0" w:color="auto"/>
              <w:bottom w:val="single" w:sz="4" w:space="0" w:color="auto"/>
              <w:right w:val="single" w:sz="4" w:space="0" w:color="auto"/>
            </w:tcBorders>
            <w:shd w:val="clear" w:color="auto" w:fill="F2E18B"/>
            <w:vAlign w:val="center"/>
            <w:hideMark/>
          </w:tcPr>
          <w:p w14:paraId="013A53EB" w14:textId="77777777" w:rsidR="001D51F5" w:rsidRPr="001D51F5" w:rsidRDefault="001D51F5" w:rsidP="0082221E">
            <w:pPr>
              <w:pStyle w:val="TableText"/>
              <w:rPr>
                <w:lang w:eastAsia="en-AU"/>
              </w:rPr>
            </w:pPr>
            <w:r w:rsidRPr="001D51F5">
              <w:rPr>
                <w:lang w:eastAsia="en-AU"/>
              </w:rPr>
              <w:lastRenderedPageBreak/>
              <w:t>Spray topping to reduce seed set (Field peas, Lupins, Lentils, Chickpeas, Faba Beans)</w:t>
            </w:r>
            <w:r w:rsidRPr="001D51F5">
              <w:rPr>
                <w:vertAlign w:val="superscript"/>
                <w:lang w:eastAsia="en-AU"/>
              </w:rPr>
              <w:footnoteReference w:id="40"/>
            </w:r>
          </w:p>
        </w:tc>
        <w:tc>
          <w:tcPr>
            <w:tcW w:w="1560" w:type="dxa"/>
            <w:tcBorders>
              <w:top w:val="nil"/>
              <w:left w:val="nil"/>
              <w:bottom w:val="single" w:sz="4" w:space="0" w:color="auto"/>
              <w:right w:val="single" w:sz="4" w:space="0" w:color="auto"/>
            </w:tcBorders>
            <w:shd w:val="clear" w:color="auto" w:fill="F2E18B"/>
            <w:noWrap/>
            <w:vAlign w:val="center"/>
            <w:hideMark/>
          </w:tcPr>
          <w:p w14:paraId="35B21EF6" w14:textId="77777777" w:rsidR="001D51F5" w:rsidRPr="001D51F5" w:rsidRDefault="001D51F5" w:rsidP="0082221E">
            <w:pPr>
              <w:pStyle w:val="TableText"/>
              <w:rPr>
                <w:lang w:eastAsia="en-AU"/>
              </w:rPr>
            </w:pPr>
            <w:r w:rsidRPr="001D51F5">
              <w:rPr>
                <w:lang w:eastAsia="en-AU"/>
              </w:rPr>
              <w:t>Annual ryegrass</w:t>
            </w:r>
          </w:p>
        </w:tc>
        <w:tc>
          <w:tcPr>
            <w:tcW w:w="1275" w:type="dxa"/>
            <w:tcBorders>
              <w:top w:val="nil"/>
              <w:left w:val="nil"/>
              <w:bottom w:val="single" w:sz="4" w:space="0" w:color="auto"/>
              <w:right w:val="single" w:sz="4" w:space="0" w:color="auto"/>
            </w:tcBorders>
            <w:shd w:val="clear" w:color="auto" w:fill="F2E18B"/>
            <w:noWrap/>
            <w:vAlign w:val="center"/>
            <w:hideMark/>
          </w:tcPr>
          <w:p w14:paraId="0D5AA3DF" w14:textId="77777777" w:rsidR="001D51F5" w:rsidRPr="001D51F5" w:rsidRDefault="001D51F5" w:rsidP="0082221E">
            <w:pPr>
              <w:pStyle w:val="TableText"/>
              <w:rPr>
                <w:lang w:eastAsia="en-AU"/>
              </w:rPr>
            </w:pPr>
            <w:r w:rsidRPr="001D51F5">
              <w:rPr>
                <w:lang w:eastAsia="en-AU"/>
              </w:rPr>
              <w:t>100-200 g ac/ha (Boomspray)</w:t>
            </w:r>
          </w:p>
        </w:tc>
        <w:tc>
          <w:tcPr>
            <w:tcW w:w="1215" w:type="dxa"/>
            <w:tcBorders>
              <w:top w:val="nil"/>
              <w:left w:val="nil"/>
              <w:bottom w:val="single" w:sz="4" w:space="0" w:color="auto"/>
              <w:right w:val="single" w:sz="4" w:space="0" w:color="auto"/>
            </w:tcBorders>
            <w:shd w:val="clear" w:color="auto" w:fill="F2E18B"/>
            <w:noWrap/>
            <w:vAlign w:val="center"/>
            <w:hideMark/>
          </w:tcPr>
          <w:p w14:paraId="7F756F0B" w14:textId="77777777" w:rsidR="001D51F5" w:rsidRDefault="001D51F5" w:rsidP="0082221E">
            <w:pPr>
              <w:pStyle w:val="TableText"/>
              <w:rPr>
                <w:lang w:eastAsia="en-AU"/>
              </w:rPr>
            </w:pPr>
            <w:r w:rsidRPr="001D51F5">
              <w:rPr>
                <w:lang w:eastAsia="en-AU"/>
              </w:rPr>
              <w:t>Supported</w:t>
            </w:r>
          </w:p>
          <w:p w14:paraId="694D66F2" w14:textId="4579E6C2" w:rsidR="00837559" w:rsidRPr="001D51F5" w:rsidRDefault="00837559" w:rsidP="0082221E">
            <w:pPr>
              <w:pStyle w:val="TableText"/>
              <w:rPr>
                <w:lang w:eastAsia="en-AU"/>
              </w:rPr>
            </w:pPr>
            <w:r w:rsidRPr="001D51F5">
              <w:rPr>
                <w:lang w:eastAsia="en-AU"/>
              </w:rPr>
              <w:t>(changed from PRD)</w:t>
            </w:r>
          </w:p>
        </w:tc>
        <w:tc>
          <w:tcPr>
            <w:tcW w:w="1215" w:type="dxa"/>
            <w:tcBorders>
              <w:top w:val="single" w:sz="4" w:space="0" w:color="auto"/>
              <w:bottom w:val="single" w:sz="4" w:space="0" w:color="auto"/>
              <w:right w:val="single" w:sz="4" w:space="0" w:color="auto"/>
            </w:tcBorders>
            <w:shd w:val="clear" w:color="auto" w:fill="F2E18B"/>
            <w:vAlign w:val="center"/>
          </w:tcPr>
          <w:p w14:paraId="59732FF3" w14:textId="77777777" w:rsidR="001D51F5" w:rsidRPr="001D51F5" w:rsidRDefault="001D51F5" w:rsidP="0082221E">
            <w:pPr>
              <w:pStyle w:val="TableText"/>
              <w:rPr>
                <w:lang w:eastAsia="en-AU"/>
              </w:rPr>
            </w:pPr>
            <w:r w:rsidRPr="001D51F5">
              <w:rPr>
                <w:lang w:eastAsia="en-AU"/>
              </w:rPr>
              <w:t>Supported (vary WHP to 14 days)</w:t>
            </w:r>
          </w:p>
        </w:tc>
        <w:tc>
          <w:tcPr>
            <w:tcW w:w="1215" w:type="dxa"/>
            <w:tcBorders>
              <w:top w:val="single" w:sz="4" w:space="0" w:color="auto"/>
              <w:bottom w:val="single" w:sz="4" w:space="0" w:color="auto"/>
              <w:right w:val="single" w:sz="4" w:space="0" w:color="auto"/>
            </w:tcBorders>
            <w:shd w:val="clear" w:color="auto" w:fill="F2E18B"/>
            <w:vAlign w:val="center"/>
          </w:tcPr>
          <w:p w14:paraId="3303558B" w14:textId="77777777" w:rsidR="001D51F5" w:rsidRPr="001D51F5" w:rsidRDefault="001D51F5" w:rsidP="0082221E">
            <w:pPr>
              <w:pStyle w:val="TableText"/>
              <w:rPr>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shd w:val="clear" w:color="auto" w:fill="F2E18B"/>
            <w:vAlign w:val="center"/>
          </w:tcPr>
          <w:p w14:paraId="1407F63F" w14:textId="77777777" w:rsidR="001D51F5" w:rsidRDefault="001D51F5" w:rsidP="0082221E">
            <w:pPr>
              <w:pStyle w:val="TableText"/>
              <w:rPr>
                <w:lang w:eastAsia="en-AU"/>
              </w:rPr>
            </w:pPr>
            <w:r w:rsidRPr="001D51F5">
              <w:rPr>
                <w:lang w:eastAsia="en-AU"/>
              </w:rPr>
              <w:t>Supported</w:t>
            </w:r>
          </w:p>
          <w:p w14:paraId="21F58E4A" w14:textId="06A58D23" w:rsidR="00837559" w:rsidRPr="001D51F5" w:rsidRDefault="00837559" w:rsidP="0082221E">
            <w:pPr>
              <w:pStyle w:val="TableText"/>
              <w:rPr>
                <w:rFonts w:ascii="Times New Roman" w:hAnsi="Times New Roman"/>
                <w:sz w:val="20"/>
                <w:szCs w:val="20"/>
                <w:lang w:eastAsia="en-AU"/>
              </w:rPr>
            </w:pPr>
            <w:r w:rsidRPr="001D51F5">
              <w:rPr>
                <w:lang w:eastAsia="en-AU"/>
              </w:rPr>
              <w:t>(changed from PRD)</w:t>
            </w:r>
          </w:p>
        </w:tc>
        <w:tc>
          <w:tcPr>
            <w:tcW w:w="236" w:type="dxa"/>
            <w:tcBorders>
              <w:left w:val="single" w:sz="4" w:space="0" w:color="auto"/>
            </w:tcBorders>
            <w:vAlign w:val="center"/>
            <w:hideMark/>
          </w:tcPr>
          <w:p w14:paraId="646069B9"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28F571B6" w14:textId="77777777" w:rsidTr="0082221E">
        <w:trPr>
          <w:cantSplit/>
          <w:trHeight w:val="288"/>
        </w:trPr>
        <w:tc>
          <w:tcPr>
            <w:tcW w:w="1696" w:type="dxa"/>
            <w:vMerge w:val="restart"/>
            <w:tcBorders>
              <w:top w:val="nil"/>
              <w:left w:val="single" w:sz="4" w:space="0" w:color="auto"/>
              <w:bottom w:val="single" w:sz="4" w:space="0" w:color="auto"/>
              <w:right w:val="single" w:sz="4" w:space="0" w:color="auto"/>
            </w:tcBorders>
            <w:vAlign w:val="center"/>
            <w:hideMark/>
          </w:tcPr>
          <w:p w14:paraId="55A9D571" w14:textId="77777777" w:rsidR="001D51F5" w:rsidRPr="001D51F5" w:rsidRDefault="001D51F5" w:rsidP="0082221E">
            <w:pPr>
              <w:pStyle w:val="TableText"/>
              <w:rPr>
                <w:lang w:eastAsia="en-AU"/>
              </w:rPr>
            </w:pPr>
            <w:r w:rsidRPr="001D51F5">
              <w:rPr>
                <w:lang w:eastAsia="en-AU"/>
              </w:rPr>
              <w:t>Spray topping to reduce seed set (pastures)</w:t>
            </w:r>
          </w:p>
        </w:tc>
        <w:tc>
          <w:tcPr>
            <w:tcW w:w="1560" w:type="dxa"/>
            <w:tcBorders>
              <w:top w:val="nil"/>
              <w:left w:val="nil"/>
              <w:bottom w:val="single" w:sz="4" w:space="0" w:color="auto"/>
              <w:right w:val="single" w:sz="4" w:space="0" w:color="auto"/>
            </w:tcBorders>
            <w:vAlign w:val="center"/>
            <w:hideMark/>
          </w:tcPr>
          <w:p w14:paraId="6F6E26BE" w14:textId="77777777" w:rsidR="001D51F5" w:rsidRPr="001D51F5" w:rsidRDefault="001D51F5" w:rsidP="0082221E">
            <w:pPr>
              <w:pStyle w:val="TableText"/>
              <w:rPr>
                <w:lang w:eastAsia="en-AU"/>
              </w:rPr>
            </w:pPr>
            <w:r w:rsidRPr="001D51F5">
              <w:rPr>
                <w:lang w:eastAsia="en-AU"/>
              </w:rPr>
              <w:t>Grasses generally (particularly annual ryegrass)</w:t>
            </w:r>
          </w:p>
        </w:tc>
        <w:tc>
          <w:tcPr>
            <w:tcW w:w="1275" w:type="dxa"/>
            <w:vMerge w:val="restart"/>
            <w:tcBorders>
              <w:top w:val="nil"/>
              <w:left w:val="single" w:sz="4" w:space="0" w:color="auto"/>
              <w:bottom w:val="single" w:sz="4" w:space="0" w:color="auto"/>
              <w:right w:val="single" w:sz="4" w:space="0" w:color="auto"/>
            </w:tcBorders>
            <w:noWrap/>
            <w:vAlign w:val="center"/>
            <w:hideMark/>
          </w:tcPr>
          <w:p w14:paraId="6FD126EE" w14:textId="77777777" w:rsidR="001D51F5" w:rsidRPr="001D51F5" w:rsidRDefault="001D51F5" w:rsidP="0082221E">
            <w:pPr>
              <w:pStyle w:val="TableText"/>
              <w:rPr>
                <w:lang w:eastAsia="en-AU"/>
              </w:rPr>
            </w:pPr>
            <w:r w:rsidRPr="001D51F5">
              <w:rPr>
                <w:lang w:eastAsia="en-AU"/>
              </w:rPr>
              <w:t>100-200 g ac/ha (Boomspray)</w:t>
            </w:r>
          </w:p>
        </w:tc>
        <w:tc>
          <w:tcPr>
            <w:tcW w:w="1215" w:type="dxa"/>
            <w:vMerge w:val="restart"/>
            <w:tcBorders>
              <w:top w:val="nil"/>
              <w:left w:val="single" w:sz="4" w:space="0" w:color="auto"/>
              <w:bottom w:val="single" w:sz="4" w:space="0" w:color="auto"/>
              <w:right w:val="single" w:sz="4" w:space="0" w:color="auto"/>
            </w:tcBorders>
            <w:noWrap/>
            <w:vAlign w:val="center"/>
            <w:hideMark/>
          </w:tcPr>
          <w:p w14:paraId="45CF657B" w14:textId="77777777" w:rsidR="001D51F5" w:rsidRPr="001D51F5" w:rsidRDefault="001D51F5" w:rsidP="0082221E">
            <w:pPr>
              <w:pStyle w:val="TableText"/>
              <w:rPr>
                <w:lang w:eastAsia="en-AU"/>
              </w:rPr>
            </w:pPr>
            <w:r w:rsidRPr="001D51F5">
              <w:rPr>
                <w:lang w:eastAsia="en-AU"/>
              </w:rPr>
              <w:t xml:space="preserve">Not supported (max 54 g ac/ha) </w:t>
            </w:r>
          </w:p>
        </w:tc>
        <w:tc>
          <w:tcPr>
            <w:tcW w:w="1215" w:type="dxa"/>
            <w:tcBorders>
              <w:top w:val="single" w:sz="4" w:space="0" w:color="auto"/>
              <w:bottom w:val="single" w:sz="4" w:space="0" w:color="auto"/>
              <w:right w:val="single" w:sz="4" w:space="0" w:color="auto"/>
            </w:tcBorders>
            <w:vAlign w:val="center"/>
          </w:tcPr>
          <w:p w14:paraId="4075049D"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643EC836"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57939CE7"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54F7293A"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3B6AF0AA" w14:textId="77777777" w:rsidTr="0082221E">
        <w:trPr>
          <w:cantSplit/>
          <w:trHeight w:val="288"/>
        </w:trPr>
        <w:tc>
          <w:tcPr>
            <w:tcW w:w="1696" w:type="dxa"/>
            <w:vMerge/>
            <w:tcBorders>
              <w:top w:val="nil"/>
              <w:left w:val="single" w:sz="4" w:space="0" w:color="auto"/>
              <w:bottom w:val="single" w:sz="4" w:space="0" w:color="auto"/>
              <w:right w:val="single" w:sz="4" w:space="0" w:color="auto"/>
            </w:tcBorders>
            <w:vAlign w:val="center"/>
            <w:hideMark/>
          </w:tcPr>
          <w:p w14:paraId="6B180C36" w14:textId="77777777" w:rsidR="001D51F5" w:rsidRPr="001D51F5" w:rsidRDefault="001D51F5" w:rsidP="0082221E">
            <w:pPr>
              <w:pStyle w:val="TableText"/>
              <w:rPr>
                <w:lang w:eastAsia="en-AU"/>
              </w:rPr>
            </w:pPr>
          </w:p>
        </w:tc>
        <w:tc>
          <w:tcPr>
            <w:tcW w:w="1560" w:type="dxa"/>
            <w:tcBorders>
              <w:top w:val="nil"/>
              <w:left w:val="nil"/>
              <w:bottom w:val="single" w:sz="4" w:space="0" w:color="auto"/>
              <w:right w:val="single" w:sz="4" w:space="0" w:color="auto"/>
            </w:tcBorders>
            <w:noWrap/>
            <w:vAlign w:val="center"/>
            <w:hideMark/>
          </w:tcPr>
          <w:p w14:paraId="14995D32" w14:textId="77777777" w:rsidR="001D51F5" w:rsidRPr="001D51F5" w:rsidRDefault="001D51F5" w:rsidP="0082221E">
            <w:pPr>
              <w:pStyle w:val="TableText"/>
              <w:rPr>
                <w:lang w:eastAsia="en-AU"/>
              </w:rPr>
            </w:pPr>
            <w:r w:rsidRPr="001D51F5">
              <w:rPr>
                <w:lang w:eastAsia="en-AU"/>
              </w:rPr>
              <w:t>Saffron thistle</w:t>
            </w:r>
          </w:p>
        </w:tc>
        <w:tc>
          <w:tcPr>
            <w:tcW w:w="1275" w:type="dxa"/>
            <w:vMerge/>
            <w:tcBorders>
              <w:top w:val="nil"/>
              <w:left w:val="single" w:sz="4" w:space="0" w:color="auto"/>
              <w:bottom w:val="single" w:sz="4" w:space="0" w:color="auto"/>
              <w:right w:val="single" w:sz="4" w:space="0" w:color="auto"/>
            </w:tcBorders>
            <w:vAlign w:val="center"/>
            <w:hideMark/>
          </w:tcPr>
          <w:p w14:paraId="5A98F817" w14:textId="77777777" w:rsidR="001D51F5" w:rsidRPr="001D51F5" w:rsidRDefault="001D51F5" w:rsidP="0082221E">
            <w:pPr>
              <w:pStyle w:val="TableText"/>
              <w:rPr>
                <w:lang w:eastAsia="en-AU"/>
              </w:rPr>
            </w:pPr>
          </w:p>
        </w:tc>
        <w:tc>
          <w:tcPr>
            <w:tcW w:w="1215" w:type="dxa"/>
            <w:vMerge/>
            <w:tcBorders>
              <w:top w:val="nil"/>
              <w:left w:val="single" w:sz="4" w:space="0" w:color="auto"/>
              <w:bottom w:val="single" w:sz="4" w:space="0" w:color="auto"/>
              <w:right w:val="single" w:sz="4" w:space="0" w:color="auto"/>
            </w:tcBorders>
            <w:vAlign w:val="center"/>
            <w:hideMark/>
          </w:tcPr>
          <w:p w14:paraId="39727BA6" w14:textId="77777777" w:rsidR="001D51F5" w:rsidRPr="001D51F5" w:rsidRDefault="001D51F5" w:rsidP="0082221E">
            <w:pPr>
              <w:pStyle w:val="TableText"/>
              <w:rPr>
                <w:lang w:eastAsia="en-AU"/>
              </w:rPr>
            </w:pPr>
          </w:p>
        </w:tc>
        <w:tc>
          <w:tcPr>
            <w:tcW w:w="1215" w:type="dxa"/>
            <w:tcBorders>
              <w:top w:val="single" w:sz="4" w:space="0" w:color="auto"/>
              <w:bottom w:val="single" w:sz="4" w:space="0" w:color="auto"/>
              <w:right w:val="single" w:sz="4" w:space="0" w:color="auto"/>
            </w:tcBorders>
            <w:vAlign w:val="center"/>
          </w:tcPr>
          <w:p w14:paraId="77FE5B5B"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740399E8"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49345031"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76F54BD4"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2DEAF789" w14:textId="77777777" w:rsidTr="0082221E">
        <w:trPr>
          <w:cantSplit/>
          <w:trHeight w:val="288"/>
        </w:trPr>
        <w:tc>
          <w:tcPr>
            <w:tcW w:w="1696" w:type="dxa"/>
            <w:vMerge w:val="restart"/>
            <w:tcBorders>
              <w:top w:val="nil"/>
              <w:left w:val="single" w:sz="4" w:space="0" w:color="auto"/>
              <w:bottom w:val="single" w:sz="4" w:space="0" w:color="auto"/>
              <w:right w:val="single" w:sz="4" w:space="0" w:color="auto"/>
            </w:tcBorders>
            <w:vAlign w:val="center"/>
            <w:hideMark/>
          </w:tcPr>
          <w:p w14:paraId="109F6BEC" w14:textId="77777777" w:rsidR="001D51F5" w:rsidRPr="001D51F5" w:rsidRDefault="001D51F5" w:rsidP="0082221E">
            <w:pPr>
              <w:pStyle w:val="TableText"/>
              <w:rPr>
                <w:lang w:eastAsia="en-AU"/>
              </w:rPr>
            </w:pPr>
            <w:r w:rsidRPr="001D51F5">
              <w:rPr>
                <w:lang w:eastAsia="en-AU"/>
              </w:rPr>
              <w:t>Sugarcane (plant and ratoon)</w:t>
            </w:r>
          </w:p>
        </w:tc>
        <w:tc>
          <w:tcPr>
            <w:tcW w:w="1560" w:type="dxa"/>
            <w:vMerge w:val="restart"/>
            <w:tcBorders>
              <w:top w:val="nil"/>
              <w:left w:val="single" w:sz="4" w:space="0" w:color="auto"/>
              <w:bottom w:val="single" w:sz="4" w:space="0" w:color="auto"/>
              <w:right w:val="single" w:sz="4" w:space="0" w:color="auto"/>
            </w:tcBorders>
            <w:noWrap/>
            <w:vAlign w:val="center"/>
            <w:hideMark/>
          </w:tcPr>
          <w:p w14:paraId="4EFBFF1F" w14:textId="77777777" w:rsidR="001D51F5" w:rsidRPr="001D51F5" w:rsidRDefault="001D51F5" w:rsidP="0082221E">
            <w:pPr>
              <w:pStyle w:val="TableText"/>
              <w:rPr>
                <w:lang w:eastAsia="en-AU"/>
              </w:rPr>
            </w:pPr>
            <w:r w:rsidRPr="001D51F5">
              <w:rPr>
                <w:lang w:eastAsia="en-AU"/>
              </w:rPr>
              <w:t>Grasses and some broadleaf weeds</w:t>
            </w:r>
          </w:p>
        </w:tc>
        <w:tc>
          <w:tcPr>
            <w:tcW w:w="1275" w:type="dxa"/>
            <w:tcBorders>
              <w:top w:val="nil"/>
              <w:left w:val="nil"/>
              <w:bottom w:val="single" w:sz="4" w:space="0" w:color="auto"/>
              <w:right w:val="single" w:sz="4" w:space="0" w:color="auto"/>
            </w:tcBorders>
            <w:noWrap/>
            <w:vAlign w:val="center"/>
            <w:hideMark/>
          </w:tcPr>
          <w:p w14:paraId="34771F8E" w14:textId="77777777" w:rsidR="001D51F5" w:rsidRPr="001D51F5" w:rsidRDefault="001D51F5" w:rsidP="0082221E">
            <w:pPr>
              <w:pStyle w:val="TableText"/>
              <w:rPr>
                <w:lang w:eastAsia="en-AU"/>
              </w:rPr>
            </w:pPr>
            <w:r w:rsidRPr="001D51F5">
              <w:rPr>
                <w:lang w:eastAsia="en-AU"/>
              </w:rPr>
              <w:t>300-400 g ac/ha (Boomspray)</w:t>
            </w:r>
          </w:p>
        </w:tc>
        <w:tc>
          <w:tcPr>
            <w:tcW w:w="1215" w:type="dxa"/>
            <w:tcBorders>
              <w:top w:val="nil"/>
              <w:left w:val="single" w:sz="4" w:space="0" w:color="auto"/>
              <w:bottom w:val="single" w:sz="4" w:space="0" w:color="auto"/>
              <w:right w:val="single" w:sz="4" w:space="0" w:color="auto"/>
            </w:tcBorders>
            <w:noWrap/>
            <w:vAlign w:val="center"/>
            <w:hideMark/>
          </w:tcPr>
          <w:p w14:paraId="59025583" w14:textId="77777777" w:rsidR="001D51F5" w:rsidRPr="001D51F5" w:rsidRDefault="001D51F5" w:rsidP="0082221E">
            <w:pPr>
              <w:pStyle w:val="TableText"/>
              <w:rPr>
                <w:lang w:eastAsia="en-AU"/>
              </w:rPr>
            </w:pPr>
            <w:r w:rsidRPr="001D51F5">
              <w:rPr>
                <w:lang w:eastAsia="en-AU"/>
              </w:rPr>
              <w:t>Not supported (max. 137 g ac/ha)</w:t>
            </w:r>
          </w:p>
        </w:tc>
        <w:tc>
          <w:tcPr>
            <w:tcW w:w="1215" w:type="dxa"/>
            <w:tcBorders>
              <w:top w:val="single" w:sz="4" w:space="0" w:color="auto"/>
              <w:bottom w:val="single" w:sz="4" w:space="0" w:color="auto"/>
              <w:right w:val="single" w:sz="4" w:space="0" w:color="auto"/>
            </w:tcBorders>
            <w:vAlign w:val="center"/>
          </w:tcPr>
          <w:p w14:paraId="49977501"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52708F37"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43330161"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16C8BC42"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r w:rsidR="001D51F5" w:rsidRPr="001D51F5" w14:paraId="4BF253CD" w14:textId="77777777" w:rsidTr="0082221E">
        <w:trPr>
          <w:cantSplit/>
          <w:trHeight w:val="864"/>
        </w:trPr>
        <w:tc>
          <w:tcPr>
            <w:tcW w:w="1696" w:type="dxa"/>
            <w:vMerge/>
            <w:tcBorders>
              <w:top w:val="nil"/>
              <w:left w:val="single" w:sz="4" w:space="0" w:color="auto"/>
              <w:bottom w:val="single" w:sz="4" w:space="0" w:color="auto"/>
              <w:right w:val="single" w:sz="4" w:space="0" w:color="auto"/>
            </w:tcBorders>
            <w:vAlign w:val="center"/>
            <w:hideMark/>
          </w:tcPr>
          <w:p w14:paraId="2A270828" w14:textId="77777777" w:rsidR="001D51F5" w:rsidRPr="001D51F5" w:rsidRDefault="001D51F5" w:rsidP="0082221E">
            <w:pPr>
              <w:pStyle w:val="TableText"/>
              <w:rPr>
                <w:lang w:eastAsia="en-AU"/>
              </w:rPr>
            </w:pPr>
          </w:p>
        </w:tc>
        <w:tc>
          <w:tcPr>
            <w:tcW w:w="1560" w:type="dxa"/>
            <w:vMerge/>
            <w:tcBorders>
              <w:top w:val="nil"/>
              <w:left w:val="single" w:sz="4" w:space="0" w:color="auto"/>
              <w:bottom w:val="single" w:sz="4" w:space="0" w:color="auto"/>
              <w:right w:val="single" w:sz="4" w:space="0" w:color="auto"/>
            </w:tcBorders>
            <w:vAlign w:val="center"/>
            <w:hideMark/>
          </w:tcPr>
          <w:p w14:paraId="3670A1A7" w14:textId="77777777" w:rsidR="001D51F5" w:rsidRPr="001D51F5" w:rsidRDefault="001D51F5" w:rsidP="0082221E">
            <w:pPr>
              <w:pStyle w:val="TableText"/>
              <w:rPr>
                <w:lang w:eastAsia="en-AU"/>
              </w:rPr>
            </w:pPr>
          </w:p>
        </w:tc>
        <w:tc>
          <w:tcPr>
            <w:tcW w:w="1275" w:type="dxa"/>
            <w:tcBorders>
              <w:top w:val="nil"/>
              <w:left w:val="nil"/>
              <w:bottom w:val="single" w:sz="4" w:space="0" w:color="auto"/>
              <w:right w:val="single" w:sz="4" w:space="0" w:color="auto"/>
            </w:tcBorders>
            <w:vAlign w:val="center"/>
            <w:hideMark/>
          </w:tcPr>
          <w:p w14:paraId="19F64336" w14:textId="77777777" w:rsidR="001D51F5" w:rsidRPr="001D51F5" w:rsidRDefault="001D51F5" w:rsidP="0082221E">
            <w:pPr>
              <w:pStyle w:val="TableText"/>
              <w:rPr>
                <w:lang w:eastAsia="en-AU"/>
              </w:rPr>
            </w:pPr>
            <w:r w:rsidRPr="001D51F5">
              <w:rPr>
                <w:lang w:eastAsia="en-AU"/>
              </w:rPr>
              <w:t>300-400 g ac/ha (Directed interrow spray –droppers/shields/leaf deflectors)</w:t>
            </w:r>
          </w:p>
        </w:tc>
        <w:tc>
          <w:tcPr>
            <w:tcW w:w="1215" w:type="dxa"/>
            <w:tcBorders>
              <w:top w:val="nil"/>
              <w:left w:val="single" w:sz="4" w:space="0" w:color="auto"/>
              <w:bottom w:val="single" w:sz="4" w:space="0" w:color="auto"/>
              <w:right w:val="single" w:sz="4" w:space="0" w:color="auto"/>
            </w:tcBorders>
            <w:vAlign w:val="center"/>
            <w:hideMark/>
          </w:tcPr>
          <w:p w14:paraId="177D234B" w14:textId="77777777" w:rsidR="001D51F5" w:rsidRPr="001D51F5" w:rsidRDefault="001D51F5" w:rsidP="0082221E">
            <w:pPr>
              <w:pStyle w:val="TableText"/>
              <w:rPr>
                <w:lang w:eastAsia="en-AU"/>
              </w:rPr>
            </w:pPr>
            <w:r w:rsidRPr="001D51F5">
              <w:rPr>
                <w:lang w:eastAsia="en-AU"/>
              </w:rPr>
              <w:t>Not supported (max. 103 g ac/ha)</w:t>
            </w:r>
          </w:p>
        </w:tc>
        <w:tc>
          <w:tcPr>
            <w:tcW w:w="1215" w:type="dxa"/>
            <w:tcBorders>
              <w:top w:val="single" w:sz="4" w:space="0" w:color="auto"/>
              <w:bottom w:val="single" w:sz="4" w:space="0" w:color="auto"/>
              <w:right w:val="single" w:sz="4" w:space="0" w:color="auto"/>
            </w:tcBorders>
            <w:vAlign w:val="center"/>
          </w:tcPr>
          <w:p w14:paraId="36BFC253"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5" w:type="dxa"/>
            <w:tcBorders>
              <w:top w:val="single" w:sz="4" w:space="0" w:color="auto"/>
              <w:bottom w:val="single" w:sz="4" w:space="0" w:color="auto"/>
              <w:right w:val="single" w:sz="4" w:space="0" w:color="auto"/>
            </w:tcBorders>
            <w:vAlign w:val="center"/>
          </w:tcPr>
          <w:p w14:paraId="758EA7F7" w14:textId="77777777" w:rsidR="001D51F5" w:rsidRPr="001D51F5" w:rsidRDefault="001D51F5" w:rsidP="0082221E">
            <w:pPr>
              <w:pStyle w:val="TableText"/>
              <w:rPr>
                <w:rFonts w:ascii="Times New Roman" w:hAnsi="Times New Roman"/>
                <w:sz w:val="20"/>
                <w:szCs w:val="20"/>
                <w:lang w:eastAsia="en-AU"/>
              </w:rPr>
            </w:pPr>
            <w:r w:rsidRPr="001D51F5">
              <w:rPr>
                <w:lang w:eastAsia="en-AU"/>
              </w:rPr>
              <w:t>Supported</w:t>
            </w:r>
          </w:p>
        </w:tc>
        <w:tc>
          <w:tcPr>
            <w:tcW w:w="1216" w:type="dxa"/>
            <w:tcBorders>
              <w:top w:val="single" w:sz="4" w:space="0" w:color="auto"/>
              <w:left w:val="single" w:sz="4" w:space="0" w:color="auto"/>
              <w:bottom w:val="single" w:sz="4" w:space="0" w:color="auto"/>
            </w:tcBorders>
            <w:vAlign w:val="center"/>
          </w:tcPr>
          <w:p w14:paraId="7CCEA94F" w14:textId="77777777" w:rsidR="001D51F5" w:rsidRPr="001D51F5" w:rsidRDefault="001D51F5" w:rsidP="0082221E">
            <w:pPr>
              <w:pStyle w:val="TableText"/>
              <w:rPr>
                <w:rFonts w:ascii="Times New Roman" w:hAnsi="Times New Roman"/>
                <w:sz w:val="20"/>
                <w:szCs w:val="20"/>
                <w:lang w:eastAsia="en-AU"/>
              </w:rPr>
            </w:pPr>
            <w:r w:rsidRPr="001D51F5">
              <w:rPr>
                <w:lang w:eastAsia="en-AU"/>
              </w:rPr>
              <w:t>Not supported</w:t>
            </w:r>
          </w:p>
        </w:tc>
        <w:tc>
          <w:tcPr>
            <w:tcW w:w="236" w:type="dxa"/>
            <w:tcBorders>
              <w:left w:val="single" w:sz="4" w:space="0" w:color="auto"/>
            </w:tcBorders>
            <w:vAlign w:val="center"/>
            <w:hideMark/>
          </w:tcPr>
          <w:p w14:paraId="1F424233" w14:textId="77777777" w:rsidR="001D51F5" w:rsidRPr="001D51F5" w:rsidRDefault="001D51F5" w:rsidP="001D51F5">
            <w:pPr>
              <w:suppressAutoHyphens/>
              <w:spacing w:before="120" w:after="120" w:line="210" w:lineRule="exact"/>
              <w:rPr>
                <w:rFonts w:ascii="Times New Roman" w:hAnsi="Times New Roman" w:cs="Arial"/>
                <w:spacing w:val="6"/>
                <w:kern w:val="20"/>
                <w:sz w:val="20"/>
                <w:szCs w:val="20"/>
                <w:u w:color="000000"/>
                <w:lang w:eastAsia="en-AU"/>
              </w:rPr>
            </w:pPr>
          </w:p>
        </w:tc>
      </w:tr>
    </w:tbl>
    <w:p w14:paraId="0FBD5C40" w14:textId="3413BD0A" w:rsidR="009D6BD0" w:rsidRPr="0082221E" w:rsidRDefault="000200ED" w:rsidP="0082221E">
      <w:pPr>
        <w:pStyle w:val="Caption"/>
      </w:pPr>
      <w:bookmarkStart w:id="631" w:name="_Toc230692319"/>
      <w:bookmarkStart w:id="632" w:name="_Toc233036540"/>
      <w:bookmarkStart w:id="633" w:name="_Hlk167286163"/>
      <w:r w:rsidRPr="0082221E">
        <w:t xml:space="preserve">Table </w:t>
      </w:r>
      <w:fldSimple w:instr=" SEQ Table \* ARABIC ">
        <w:r w:rsidR="0082221E">
          <w:rPr>
            <w:noProof/>
          </w:rPr>
          <w:t>53</w:t>
        </w:r>
      </w:fldSimple>
      <w:r w:rsidRPr="0082221E">
        <w:t>: Risk assessment outcomes for products containing paraquat and diquat</w:t>
      </w:r>
      <w:bookmarkEnd w:id="631"/>
      <w:bookmarkEnd w:id="632"/>
    </w:p>
    <w:tbl>
      <w:tblPr>
        <w:tblW w:w="9639" w:type="dxa"/>
        <w:tblLook w:val="04A0" w:firstRow="1" w:lastRow="0" w:firstColumn="1" w:lastColumn="0" w:noHBand="0" w:noVBand="1"/>
      </w:tblPr>
      <w:tblGrid>
        <w:gridCol w:w="1726"/>
        <w:gridCol w:w="1576"/>
        <w:gridCol w:w="1334"/>
        <w:gridCol w:w="1548"/>
        <w:gridCol w:w="1213"/>
        <w:gridCol w:w="1213"/>
        <w:gridCol w:w="1189"/>
      </w:tblGrid>
      <w:tr w:rsidR="00336554" w:rsidRPr="009D6BD0" w14:paraId="2123154F" w14:textId="77777777" w:rsidTr="005F5DAB">
        <w:trPr>
          <w:cantSplit/>
          <w:trHeight w:val="288"/>
          <w:tblHeader/>
        </w:trPr>
        <w:tc>
          <w:tcPr>
            <w:tcW w:w="1662"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6E88BF91" w14:textId="77777777" w:rsidR="009D6BD0" w:rsidRPr="009D6BD0" w:rsidRDefault="009D6BD0" w:rsidP="0082221E">
            <w:pPr>
              <w:pStyle w:val="TableHead"/>
              <w:rPr>
                <w:lang w:eastAsia="en-AU"/>
              </w:rPr>
            </w:pPr>
            <w:r w:rsidRPr="009D6BD0">
              <w:rPr>
                <w:lang w:eastAsia="en-AU"/>
              </w:rPr>
              <w:t>Crop/situation</w:t>
            </w:r>
          </w:p>
        </w:tc>
        <w:tc>
          <w:tcPr>
            <w:tcW w:w="1518" w:type="dxa"/>
            <w:tcBorders>
              <w:top w:val="single" w:sz="4" w:space="0" w:color="auto"/>
              <w:left w:val="nil"/>
              <w:bottom w:val="single" w:sz="4" w:space="0" w:color="auto"/>
              <w:right w:val="single" w:sz="4" w:space="0" w:color="auto"/>
            </w:tcBorders>
            <w:shd w:val="clear" w:color="auto" w:fill="5C2946"/>
            <w:vAlign w:val="center"/>
            <w:hideMark/>
          </w:tcPr>
          <w:p w14:paraId="0F29FFFC" w14:textId="77777777" w:rsidR="009D6BD0" w:rsidRPr="009D6BD0" w:rsidRDefault="009D6BD0" w:rsidP="0082221E">
            <w:pPr>
              <w:pStyle w:val="TableHead"/>
              <w:rPr>
                <w:lang w:eastAsia="en-AU"/>
              </w:rPr>
            </w:pPr>
            <w:r w:rsidRPr="009D6BD0">
              <w:rPr>
                <w:lang w:eastAsia="en-AU"/>
              </w:rPr>
              <w:t>Weeds Controlled / Use</w:t>
            </w:r>
          </w:p>
        </w:tc>
        <w:tc>
          <w:tcPr>
            <w:tcW w:w="1334" w:type="dxa"/>
            <w:tcBorders>
              <w:top w:val="single" w:sz="4" w:space="0" w:color="auto"/>
              <w:left w:val="nil"/>
              <w:bottom w:val="single" w:sz="4" w:space="0" w:color="auto"/>
              <w:right w:val="single" w:sz="4" w:space="0" w:color="auto"/>
            </w:tcBorders>
            <w:shd w:val="clear" w:color="auto" w:fill="5C2946"/>
            <w:vAlign w:val="center"/>
            <w:hideMark/>
          </w:tcPr>
          <w:p w14:paraId="594E2603" w14:textId="77777777" w:rsidR="009D6BD0" w:rsidRPr="009D6BD0" w:rsidRDefault="009D6BD0" w:rsidP="0082221E">
            <w:pPr>
              <w:pStyle w:val="TableHead"/>
              <w:rPr>
                <w:lang w:eastAsia="en-AU"/>
              </w:rPr>
            </w:pPr>
            <w:r w:rsidRPr="009D6BD0">
              <w:rPr>
                <w:lang w:eastAsia="en-AU"/>
              </w:rPr>
              <w:t>Rate (Application Method)</w:t>
            </w:r>
          </w:p>
        </w:tc>
        <w:tc>
          <w:tcPr>
            <w:tcW w:w="1548" w:type="dxa"/>
            <w:tcBorders>
              <w:top w:val="single" w:sz="4" w:space="0" w:color="auto"/>
              <w:left w:val="nil"/>
              <w:bottom w:val="single" w:sz="4" w:space="0" w:color="auto"/>
              <w:right w:val="single" w:sz="4" w:space="0" w:color="auto"/>
            </w:tcBorders>
            <w:shd w:val="clear" w:color="auto" w:fill="5C2946"/>
            <w:vAlign w:val="center"/>
            <w:hideMark/>
          </w:tcPr>
          <w:p w14:paraId="26151529" w14:textId="77777777" w:rsidR="009D6BD0" w:rsidRPr="009D6BD0" w:rsidRDefault="009D6BD0" w:rsidP="0082221E">
            <w:pPr>
              <w:pStyle w:val="TableHead"/>
              <w:rPr>
                <w:lang w:eastAsia="en-AU"/>
              </w:rPr>
            </w:pPr>
            <w:r w:rsidRPr="009D6BD0">
              <w:t xml:space="preserve">Environment Risk Assessment Outcome </w:t>
            </w:r>
          </w:p>
        </w:tc>
        <w:tc>
          <w:tcPr>
            <w:tcW w:w="1485" w:type="dxa"/>
            <w:tcBorders>
              <w:top w:val="single" w:sz="4" w:space="0" w:color="auto"/>
              <w:bottom w:val="single" w:sz="4" w:space="0" w:color="auto"/>
              <w:right w:val="single" w:sz="4" w:space="0" w:color="auto"/>
            </w:tcBorders>
            <w:shd w:val="clear" w:color="auto" w:fill="5C2946"/>
            <w:vAlign w:val="center"/>
          </w:tcPr>
          <w:p w14:paraId="11D99818" w14:textId="77777777" w:rsidR="009D6BD0" w:rsidRPr="009D6BD0" w:rsidRDefault="009D6BD0" w:rsidP="0082221E">
            <w:pPr>
              <w:pStyle w:val="TableHead"/>
              <w:rPr>
                <w:lang w:eastAsia="en-AU"/>
              </w:rPr>
            </w:pPr>
            <w:r w:rsidRPr="009D6BD0">
              <w:t>Residues and Trade Risk Assessment Outcome</w:t>
            </w:r>
          </w:p>
        </w:tc>
        <w:tc>
          <w:tcPr>
            <w:tcW w:w="1171" w:type="dxa"/>
            <w:tcBorders>
              <w:top w:val="single" w:sz="4" w:space="0" w:color="auto"/>
              <w:left w:val="single" w:sz="4" w:space="0" w:color="auto"/>
              <w:bottom w:val="single" w:sz="4" w:space="0" w:color="auto"/>
              <w:right w:val="single" w:sz="4" w:space="0" w:color="auto"/>
            </w:tcBorders>
            <w:shd w:val="clear" w:color="auto" w:fill="5C2946"/>
            <w:vAlign w:val="center"/>
          </w:tcPr>
          <w:p w14:paraId="63AC8E28" w14:textId="77777777" w:rsidR="009D6BD0" w:rsidRPr="009D6BD0" w:rsidRDefault="009D6BD0" w:rsidP="0082221E">
            <w:pPr>
              <w:pStyle w:val="TableHead"/>
              <w:rPr>
                <w:lang w:eastAsia="en-AU"/>
              </w:rPr>
            </w:pPr>
            <w:r w:rsidRPr="009D6BD0">
              <w:t>Human Health Risk Assessment Outcome</w:t>
            </w:r>
            <w:r w:rsidRPr="009D6BD0">
              <w:rPr>
                <w:vertAlign w:val="superscript"/>
              </w:rPr>
              <w:footnoteReference w:id="41"/>
            </w:r>
          </w:p>
        </w:tc>
        <w:tc>
          <w:tcPr>
            <w:tcW w:w="1136" w:type="dxa"/>
            <w:tcBorders>
              <w:top w:val="single" w:sz="4" w:space="0" w:color="auto"/>
              <w:bottom w:val="single" w:sz="4" w:space="0" w:color="auto"/>
              <w:right w:val="single" w:sz="4" w:space="0" w:color="auto"/>
            </w:tcBorders>
            <w:shd w:val="clear" w:color="auto" w:fill="5C2946"/>
            <w:vAlign w:val="center"/>
          </w:tcPr>
          <w:p w14:paraId="6DD692A2" w14:textId="77777777" w:rsidR="009D6BD0" w:rsidRPr="009D6BD0" w:rsidRDefault="009D6BD0" w:rsidP="0082221E">
            <w:pPr>
              <w:pStyle w:val="TableHead"/>
              <w:rPr>
                <w:lang w:eastAsia="en-AU"/>
              </w:rPr>
            </w:pPr>
            <w:r w:rsidRPr="009D6BD0">
              <w:rPr>
                <w:lang w:eastAsia="en-AU"/>
              </w:rPr>
              <w:t>Overall Outcome</w:t>
            </w:r>
          </w:p>
        </w:tc>
      </w:tr>
      <w:tr w:rsidR="00336554" w:rsidRPr="009D6BD0" w14:paraId="3ABD24E0" w14:textId="77777777" w:rsidTr="005F5DAB">
        <w:trPr>
          <w:cantSplit/>
          <w:trHeight w:val="651"/>
        </w:trPr>
        <w:tc>
          <w:tcPr>
            <w:tcW w:w="1662" w:type="dxa"/>
            <w:vMerge w:val="restart"/>
            <w:tcBorders>
              <w:top w:val="nil"/>
              <w:left w:val="single" w:sz="4" w:space="0" w:color="auto"/>
              <w:right w:val="single" w:sz="4" w:space="0" w:color="auto"/>
            </w:tcBorders>
            <w:shd w:val="clear" w:color="auto" w:fill="F2E18B"/>
            <w:vAlign w:val="center"/>
            <w:hideMark/>
          </w:tcPr>
          <w:p w14:paraId="13AE8BB3" w14:textId="77777777" w:rsidR="009D6BD0" w:rsidRPr="009D6BD0" w:rsidRDefault="009D6BD0" w:rsidP="0082221E">
            <w:pPr>
              <w:pStyle w:val="TableText"/>
              <w:rPr>
                <w:lang w:eastAsia="en-AU"/>
              </w:rPr>
            </w:pPr>
            <w:r w:rsidRPr="009D6BD0">
              <w:rPr>
                <w:lang w:eastAsia="en-AU"/>
              </w:rPr>
              <w:t>Aid to cultivation (Southern Australia - full disturbance)</w:t>
            </w:r>
          </w:p>
        </w:tc>
        <w:tc>
          <w:tcPr>
            <w:tcW w:w="1518" w:type="dxa"/>
            <w:vMerge w:val="restart"/>
            <w:tcBorders>
              <w:top w:val="nil"/>
              <w:left w:val="nil"/>
              <w:right w:val="single" w:sz="4" w:space="0" w:color="auto"/>
            </w:tcBorders>
            <w:shd w:val="clear" w:color="auto" w:fill="F2E18B"/>
            <w:vAlign w:val="center"/>
            <w:hideMark/>
          </w:tcPr>
          <w:p w14:paraId="2A31FD56" w14:textId="77777777" w:rsidR="009D6BD0" w:rsidRPr="009D6BD0" w:rsidRDefault="009D6BD0" w:rsidP="0082221E">
            <w:pPr>
              <w:pStyle w:val="TableText"/>
              <w:rPr>
                <w:lang w:eastAsia="en-AU"/>
              </w:rPr>
            </w:pPr>
            <w:r w:rsidRPr="009D6BD0">
              <w:rPr>
                <w:lang w:eastAsia="en-AU"/>
              </w:rPr>
              <w:t>Seedling Grasses: Annual Ryegrass</w:t>
            </w:r>
            <w:r w:rsidRPr="009D6BD0">
              <w:rPr>
                <w:i/>
                <w:iCs/>
                <w:lang w:eastAsia="en-AU"/>
              </w:rPr>
              <w:t xml:space="preserve"> (Lolium </w:t>
            </w:r>
            <w:r w:rsidRPr="009D6BD0">
              <w:rPr>
                <w:i/>
                <w:iCs/>
                <w:lang w:eastAsia="en-AU"/>
              </w:rPr>
              <w:lastRenderedPageBreak/>
              <w:t>rigidum),</w:t>
            </w:r>
            <w:r w:rsidRPr="009D6BD0">
              <w:rPr>
                <w:lang w:eastAsia="en-AU"/>
              </w:rPr>
              <w:t xml:space="preserve"> Barley Grass </w:t>
            </w:r>
            <w:r w:rsidRPr="009D6BD0">
              <w:rPr>
                <w:i/>
                <w:iCs/>
                <w:lang w:eastAsia="en-AU"/>
              </w:rPr>
              <w:t>(Hordeum spp.),</w:t>
            </w:r>
            <w:r w:rsidRPr="009D6BD0">
              <w:rPr>
                <w:lang w:eastAsia="en-AU"/>
              </w:rPr>
              <w:t xml:space="preserve"> Brome Grass </w:t>
            </w:r>
            <w:r w:rsidRPr="009D6BD0">
              <w:rPr>
                <w:i/>
                <w:iCs/>
                <w:lang w:eastAsia="en-AU"/>
              </w:rPr>
              <w:t>(Bromus spp.)</w:t>
            </w:r>
            <w:r w:rsidRPr="009D6BD0">
              <w:rPr>
                <w:lang w:eastAsia="en-AU"/>
              </w:rPr>
              <w:t xml:space="preserve">, Volunteer Cereals, Wild Oats </w:t>
            </w:r>
            <w:r w:rsidRPr="009D6BD0">
              <w:rPr>
                <w:i/>
                <w:iCs/>
                <w:lang w:eastAsia="en-AU"/>
              </w:rPr>
              <w:t>(Avena spp.)</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5AD0A5A1" w14:textId="77777777" w:rsidR="009D6BD0" w:rsidRPr="009D6BD0" w:rsidRDefault="009D6BD0" w:rsidP="0082221E">
            <w:pPr>
              <w:pStyle w:val="TableText"/>
              <w:rPr>
                <w:lang w:eastAsia="en-AU"/>
              </w:rPr>
            </w:pPr>
            <w:r w:rsidRPr="009D6BD0">
              <w:rPr>
                <w:lang w:eastAsia="en-AU"/>
              </w:rPr>
              <w:lastRenderedPageBreak/>
              <w:t>2-3 leaf:  150-200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116F0614" w14:textId="77777777" w:rsidR="009D6BD0" w:rsidRPr="009D6BD0" w:rsidRDefault="009D6BD0" w:rsidP="0082221E">
            <w:pPr>
              <w:pStyle w:val="TableText"/>
              <w:rPr>
                <w:lang w:eastAsia="en-AU"/>
              </w:rPr>
            </w:pPr>
            <w:r w:rsidRPr="009D6BD0">
              <w:rPr>
                <w:lang w:eastAsia="en-AU"/>
              </w:rPr>
              <w:t xml:space="preserve">Supported </w:t>
            </w:r>
          </w:p>
        </w:tc>
        <w:tc>
          <w:tcPr>
            <w:tcW w:w="1485" w:type="dxa"/>
            <w:tcBorders>
              <w:top w:val="single" w:sz="4" w:space="0" w:color="auto"/>
              <w:bottom w:val="single" w:sz="4" w:space="0" w:color="auto"/>
              <w:right w:val="single" w:sz="4" w:space="0" w:color="auto"/>
            </w:tcBorders>
            <w:shd w:val="clear" w:color="auto" w:fill="F2E18B"/>
            <w:vAlign w:val="center"/>
          </w:tcPr>
          <w:p w14:paraId="6B48F904"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698600CB"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2F6350C0" w14:textId="5C636293" w:rsidR="009D6BD0" w:rsidRPr="0082221E" w:rsidRDefault="009D6BD0" w:rsidP="0082221E">
            <w:pPr>
              <w:pStyle w:val="TableText"/>
              <w:rPr>
                <w:lang w:eastAsia="en-AU"/>
              </w:rPr>
            </w:pPr>
            <w:r w:rsidRPr="009D6BD0">
              <w:rPr>
                <w:lang w:eastAsia="en-AU"/>
              </w:rPr>
              <w:t>Supported</w:t>
            </w:r>
            <w:bookmarkStart w:id="634" w:name="_Ref222387482"/>
            <w:r w:rsidRPr="009D6BD0">
              <w:rPr>
                <w:vertAlign w:val="superscript"/>
                <w:lang w:eastAsia="en-AU"/>
              </w:rPr>
              <w:footnoteReference w:id="42"/>
            </w:r>
            <w:bookmarkEnd w:id="634"/>
          </w:p>
        </w:tc>
      </w:tr>
      <w:tr w:rsidR="00336554" w:rsidRPr="009D6BD0" w14:paraId="2A362C9E" w14:textId="77777777" w:rsidTr="005F5DAB">
        <w:trPr>
          <w:cantSplit/>
          <w:trHeight w:val="651"/>
        </w:trPr>
        <w:tc>
          <w:tcPr>
            <w:tcW w:w="1662" w:type="dxa"/>
            <w:vMerge/>
            <w:tcBorders>
              <w:left w:val="single" w:sz="4" w:space="0" w:color="auto"/>
              <w:right w:val="single" w:sz="4" w:space="0" w:color="auto"/>
            </w:tcBorders>
            <w:shd w:val="clear" w:color="auto" w:fill="F2E18B"/>
            <w:vAlign w:val="center"/>
          </w:tcPr>
          <w:p w14:paraId="5C08DAFE" w14:textId="77777777" w:rsidR="009D6BD0" w:rsidRPr="009D6BD0" w:rsidRDefault="009D6BD0" w:rsidP="0082221E">
            <w:pPr>
              <w:pStyle w:val="TableText"/>
              <w:rPr>
                <w:lang w:eastAsia="en-AU"/>
              </w:rPr>
            </w:pPr>
          </w:p>
        </w:tc>
        <w:tc>
          <w:tcPr>
            <w:tcW w:w="1518" w:type="dxa"/>
            <w:vMerge/>
            <w:tcBorders>
              <w:left w:val="nil"/>
              <w:right w:val="single" w:sz="4" w:space="0" w:color="auto"/>
            </w:tcBorders>
            <w:shd w:val="clear" w:color="auto" w:fill="F2E18B"/>
            <w:vAlign w:val="center"/>
          </w:tcPr>
          <w:p w14:paraId="5AC63B95"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shd w:val="clear" w:color="auto" w:fill="F2E18B"/>
            <w:vAlign w:val="center"/>
          </w:tcPr>
          <w:p w14:paraId="01E89FE5" w14:textId="7F889AF2" w:rsidR="009D6BD0" w:rsidRPr="009D6BD0" w:rsidRDefault="009D6BD0" w:rsidP="0082221E">
            <w:pPr>
              <w:pStyle w:val="TableText"/>
              <w:rPr>
                <w:lang w:eastAsia="en-AU"/>
              </w:rPr>
            </w:pPr>
            <w:r w:rsidRPr="009D6BD0">
              <w:rPr>
                <w:lang w:eastAsia="en-AU"/>
              </w:rPr>
              <w:t>4 leaf to early tiller: 200-400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tcPr>
          <w:p w14:paraId="544AC2B9" w14:textId="77777777" w:rsidR="009D6BD0" w:rsidRPr="009D6BD0" w:rsidRDefault="009D6BD0" w:rsidP="0082221E">
            <w:pPr>
              <w:pStyle w:val="TableText"/>
              <w:rPr>
                <w:lang w:eastAsia="en-AU"/>
              </w:rPr>
            </w:pPr>
            <w:r w:rsidRPr="009D6BD0">
              <w:rPr>
                <w:lang w:eastAsia="en-AU"/>
              </w:rPr>
              <w:t>Supported (max. 251 g acs/ha)</w:t>
            </w:r>
          </w:p>
        </w:tc>
        <w:tc>
          <w:tcPr>
            <w:tcW w:w="1485" w:type="dxa"/>
            <w:tcBorders>
              <w:top w:val="single" w:sz="4" w:space="0" w:color="auto"/>
              <w:bottom w:val="single" w:sz="4" w:space="0" w:color="auto"/>
              <w:right w:val="single" w:sz="4" w:space="0" w:color="auto"/>
            </w:tcBorders>
            <w:shd w:val="clear" w:color="auto" w:fill="F2E18B"/>
            <w:vAlign w:val="center"/>
          </w:tcPr>
          <w:p w14:paraId="531D0554"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1B625B5B"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275784DB" w14:textId="4558DADA"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721287C5" w14:textId="77777777" w:rsidTr="005F5DAB">
        <w:trPr>
          <w:cantSplit/>
          <w:trHeight w:val="651"/>
        </w:trPr>
        <w:tc>
          <w:tcPr>
            <w:tcW w:w="1662" w:type="dxa"/>
            <w:vMerge/>
            <w:tcBorders>
              <w:left w:val="single" w:sz="4" w:space="0" w:color="auto"/>
              <w:right w:val="single" w:sz="4" w:space="0" w:color="auto"/>
            </w:tcBorders>
            <w:shd w:val="clear" w:color="auto" w:fill="F2E18B"/>
            <w:vAlign w:val="center"/>
          </w:tcPr>
          <w:p w14:paraId="3C9950BD"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shd w:val="clear" w:color="auto" w:fill="F2E18B"/>
            <w:vAlign w:val="center"/>
          </w:tcPr>
          <w:p w14:paraId="60BB3408"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08C7FACA" w14:textId="77777777" w:rsidR="009D6BD0" w:rsidRPr="009D6BD0" w:rsidRDefault="009D6BD0" w:rsidP="0082221E">
            <w:pPr>
              <w:pStyle w:val="TableText"/>
              <w:rPr>
                <w:lang w:eastAsia="en-AU"/>
              </w:rPr>
            </w:pPr>
            <w:r w:rsidRPr="009D6BD0">
              <w:rPr>
                <w:lang w:eastAsia="en-AU"/>
              </w:rPr>
              <w:t>Mid to fully tillered: 400-600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7AECCFBA"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shd w:val="clear" w:color="auto" w:fill="FFFFFF"/>
            <w:vAlign w:val="center"/>
          </w:tcPr>
          <w:p w14:paraId="69EA032F"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51892293"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15004EF3" w14:textId="77777777" w:rsidR="009D6BD0" w:rsidRPr="009D6BD0" w:rsidRDefault="009D6BD0" w:rsidP="0082221E">
            <w:pPr>
              <w:pStyle w:val="TableText"/>
              <w:rPr>
                <w:lang w:eastAsia="en-AU"/>
              </w:rPr>
            </w:pPr>
            <w:r w:rsidRPr="009D6BD0">
              <w:rPr>
                <w:lang w:eastAsia="en-AU"/>
              </w:rPr>
              <w:t xml:space="preserve">Not supported </w:t>
            </w:r>
          </w:p>
        </w:tc>
      </w:tr>
      <w:tr w:rsidR="00336554" w:rsidRPr="009D6BD0" w14:paraId="26335F9B" w14:textId="77777777" w:rsidTr="005F5DAB">
        <w:trPr>
          <w:cantSplit/>
          <w:trHeight w:val="302"/>
        </w:trPr>
        <w:tc>
          <w:tcPr>
            <w:tcW w:w="1662" w:type="dxa"/>
            <w:vMerge/>
            <w:tcBorders>
              <w:left w:val="single" w:sz="4" w:space="0" w:color="auto"/>
              <w:right w:val="single" w:sz="4" w:space="0" w:color="auto"/>
            </w:tcBorders>
            <w:shd w:val="clear" w:color="auto" w:fill="F2E18B"/>
            <w:vAlign w:val="center"/>
            <w:hideMark/>
          </w:tcPr>
          <w:p w14:paraId="32589FCD"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shd w:val="clear" w:color="auto" w:fill="F2E18B"/>
            <w:vAlign w:val="center"/>
            <w:hideMark/>
          </w:tcPr>
          <w:p w14:paraId="0CF73924" w14:textId="77777777" w:rsidR="009D6BD0" w:rsidRPr="009D6BD0" w:rsidRDefault="009D6BD0" w:rsidP="0082221E">
            <w:pPr>
              <w:pStyle w:val="TableText"/>
              <w:rPr>
                <w:lang w:eastAsia="en-AU"/>
              </w:rPr>
            </w:pPr>
            <w:r w:rsidRPr="009D6BD0">
              <w:rPr>
                <w:lang w:eastAsia="en-AU"/>
              </w:rPr>
              <w:t xml:space="preserve">Vulpia (Silver Grass, Sand Fescue) </w:t>
            </w:r>
            <w:r w:rsidRPr="009D6BD0">
              <w:rPr>
                <w:i/>
                <w:iCs/>
                <w:lang w:eastAsia="en-AU"/>
              </w:rPr>
              <w:t>(Vulpia spp.)</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0357E05D" w14:textId="77777777" w:rsidR="009D6BD0" w:rsidRPr="009D6BD0" w:rsidRDefault="009D6BD0" w:rsidP="0082221E">
            <w:pPr>
              <w:pStyle w:val="TableText"/>
              <w:rPr>
                <w:lang w:eastAsia="en-AU"/>
              </w:rPr>
            </w:pPr>
            <w:r w:rsidRPr="009D6BD0">
              <w:rPr>
                <w:lang w:eastAsia="en-AU"/>
              </w:rPr>
              <w:t>2-3 leaf:  150-200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5D4711CC" w14:textId="77777777" w:rsidR="009D6BD0" w:rsidRPr="009D6BD0" w:rsidRDefault="009D6BD0" w:rsidP="0082221E">
            <w:pPr>
              <w:pStyle w:val="TableText"/>
              <w:rPr>
                <w:lang w:eastAsia="en-AU"/>
              </w:rPr>
            </w:pPr>
            <w:r w:rsidRPr="009D6BD0">
              <w:rPr>
                <w:lang w:eastAsia="en-AU"/>
              </w:rPr>
              <w:t>Supported</w:t>
            </w:r>
            <w:r w:rsidRPr="009D6BD0">
              <w:t xml:space="preserve"> </w:t>
            </w:r>
            <w:r w:rsidRPr="009D6BD0">
              <w:rPr>
                <w:lang w:eastAsia="en-AU"/>
              </w:rPr>
              <w:t>up to 251 g acs/ha)</w:t>
            </w:r>
          </w:p>
        </w:tc>
        <w:tc>
          <w:tcPr>
            <w:tcW w:w="1485" w:type="dxa"/>
            <w:vMerge w:val="restart"/>
            <w:tcBorders>
              <w:top w:val="single" w:sz="4" w:space="0" w:color="auto"/>
              <w:bottom w:val="single" w:sz="4" w:space="0" w:color="auto"/>
              <w:right w:val="single" w:sz="4" w:space="0" w:color="auto"/>
            </w:tcBorders>
            <w:shd w:val="clear" w:color="auto" w:fill="F2E18B"/>
            <w:vAlign w:val="center"/>
          </w:tcPr>
          <w:p w14:paraId="0A8299ED" w14:textId="77777777" w:rsidR="009D6BD0" w:rsidRPr="009D6BD0" w:rsidRDefault="009D6BD0" w:rsidP="0082221E">
            <w:pPr>
              <w:pStyle w:val="TableText"/>
              <w:rPr>
                <w:lang w:eastAsia="en-AU"/>
              </w:rPr>
            </w:pPr>
            <w:r w:rsidRPr="009D6BD0">
              <w:rPr>
                <w:color w:val="1A1B1A"/>
                <w:lang w:eastAsia="en-AU"/>
              </w:rPr>
              <w:t>Supported</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F2E18B"/>
            <w:vAlign w:val="center"/>
          </w:tcPr>
          <w:p w14:paraId="4F57D244"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772A6B3E" w14:textId="6D724CCB"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53CCECE5" w14:textId="77777777" w:rsidTr="005F5DAB">
        <w:trPr>
          <w:cantSplit/>
          <w:trHeight w:val="300"/>
        </w:trPr>
        <w:tc>
          <w:tcPr>
            <w:tcW w:w="1662" w:type="dxa"/>
            <w:vMerge/>
            <w:tcBorders>
              <w:left w:val="single" w:sz="4" w:space="0" w:color="auto"/>
              <w:right w:val="single" w:sz="4" w:space="0" w:color="auto"/>
            </w:tcBorders>
            <w:shd w:val="clear" w:color="auto" w:fill="F2E18B"/>
            <w:vAlign w:val="center"/>
          </w:tcPr>
          <w:p w14:paraId="7687E1F4" w14:textId="77777777" w:rsidR="009D6BD0" w:rsidRPr="009D6BD0" w:rsidRDefault="009D6BD0" w:rsidP="0082221E">
            <w:pPr>
              <w:pStyle w:val="TableText"/>
              <w:rPr>
                <w:lang w:eastAsia="en-AU"/>
              </w:rPr>
            </w:pPr>
          </w:p>
        </w:tc>
        <w:tc>
          <w:tcPr>
            <w:tcW w:w="1518" w:type="dxa"/>
            <w:vMerge/>
            <w:tcBorders>
              <w:left w:val="nil"/>
              <w:right w:val="single" w:sz="4" w:space="0" w:color="auto"/>
            </w:tcBorders>
            <w:shd w:val="clear" w:color="auto" w:fill="F2E18B"/>
            <w:vAlign w:val="center"/>
          </w:tcPr>
          <w:p w14:paraId="55F4479F"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shd w:val="clear" w:color="auto" w:fill="F2E18B"/>
            <w:vAlign w:val="center"/>
          </w:tcPr>
          <w:p w14:paraId="176C93E1" w14:textId="77777777" w:rsidR="009D6BD0" w:rsidRPr="009D6BD0" w:rsidRDefault="009D6BD0" w:rsidP="0082221E">
            <w:pPr>
              <w:pStyle w:val="TableText"/>
              <w:rPr>
                <w:lang w:eastAsia="en-AU"/>
              </w:rPr>
            </w:pPr>
            <w:r w:rsidRPr="009D6BD0">
              <w:rPr>
                <w:lang w:eastAsia="en-AU"/>
              </w:rPr>
              <w:t>4 leaf to early tiller:  200-400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tcPr>
          <w:p w14:paraId="3B71CE8B" w14:textId="77777777" w:rsidR="009D6BD0" w:rsidRPr="009D6BD0" w:rsidRDefault="009D6BD0" w:rsidP="0082221E">
            <w:pPr>
              <w:pStyle w:val="TableText"/>
              <w:rPr>
                <w:lang w:eastAsia="en-AU"/>
              </w:rPr>
            </w:pPr>
            <w:r w:rsidRPr="009D6BD0">
              <w:rPr>
                <w:lang w:eastAsia="en-AU"/>
              </w:rPr>
              <w:t>Supported (max. 251 g acs/ha)</w:t>
            </w:r>
          </w:p>
        </w:tc>
        <w:tc>
          <w:tcPr>
            <w:tcW w:w="1485" w:type="dxa"/>
            <w:vMerge/>
            <w:tcBorders>
              <w:top w:val="single" w:sz="4" w:space="0" w:color="auto"/>
              <w:bottom w:val="single" w:sz="4" w:space="0" w:color="auto"/>
              <w:right w:val="single" w:sz="4" w:space="0" w:color="auto"/>
            </w:tcBorders>
            <w:shd w:val="clear" w:color="auto" w:fill="F2E18B"/>
            <w:vAlign w:val="center"/>
          </w:tcPr>
          <w:p w14:paraId="180D7FFE" w14:textId="77777777" w:rsidR="009D6BD0" w:rsidRPr="009D6BD0" w:rsidRDefault="009D6BD0" w:rsidP="0082221E">
            <w:pPr>
              <w:pStyle w:val="TableText"/>
              <w:rPr>
                <w:lang w:eastAsia="en-AU"/>
              </w:rPr>
            </w:pPr>
          </w:p>
        </w:tc>
        <w:tc>
          <w:tcPr>
            <w:tcW w:w="1171" w:type="dxa"/>
            <w:vMerge/>
            <w:tcBorders>
              <w:top w:val="single" w:sz="4" w:space="0" w:color="auto"/>
              <w:left w:val="single" w:sz="4" w:space="0" w:color="auto"/>
              <w:bottom w:val="single" w:sz="4" w:space="0" w:color="auto"/>
              <w:right w:val="single" w:sz="4" w:space="0" w:color="auto"/>
            </w:tcBorders>
            <w:shd w:val="clear" w:color="auto" w:fill="F2E18B"/>
            <w:vAlign w:val="center"/>
          </w:tcPr>
          <w:p w14:paraId="58F3F06A" w14:textId="77777777" w:rsidR="009D6BD0" w:rsidRPr="009D6BD0" w:rsidRDefault="009D6BD0" w:rsidP="0082221E">
            <w:pPr>
              <w:pStyle w:val="TableText"/>
              <w:rPr>
                <w:lang w:eastAsia="en-AU"/>
              </w:rPr>
            </w:pPr>
          </w:p>
        </w:tc>
        <w:tc>
          <w:tcPr>
            <w:tcW w:w="1136" w:type="dxa"/>
            <w:tcBorders>
              <w:top w:val="single" w:sz="4" w:space="0" w:color="auto"/>
              <w:bottom w:val="single" w:sz="4" w:space="0" w:color="auto"/>
              <w:right w:val="single" w:sz="4" w:space="0" w:color="auto"/>
            </w:tcBorders>
            <w:shd w:val="clear" w:color="auto" w:fill="F2E18B"/>
            <w:vAlign w:val="center"/>
          </w:tcPr>
          <w:p w14:paraId="215AF4BE" w14:textId="6EE11BF9"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7BDD306C" w14:textId="77777777" w:rsidTr="005F5DAB">
        <w:trPr>
          <w:cantSplit/>
          <w:trHeight w:val="846"/>
        </w:trPr>
        <w:tc>
          <w:tcPr>
            <w:tcW w:w="1662" w:type="dxa"/>
            <w:vMerge/>
            <w:tcBorders>
              <w:left w:val="single" w:sz="4" w:space="0" w:color="auto"/>
              <w:right w:val="single" w:sz="4" w:space="0" w:color="auto"/>
            </w:tcBorders>
            <w:shd w:val="clear" w:color="auto" w:fill="F2E18B"/>
            <w:vAlign w:val="center"/>
          </w:tcPr>
          <w:p w14:paraId="78EB2781"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shd w:val="clear" w:color="auto" w:fill="F2E18B"/>
            <w:vAlign w:val="center"/>
          </w:tcPr>
          <w:p w14:paraId="7057780C"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66A54BAF" w14:textId="77777777" w:rsidR="009D6BD0" w:rsidRPr="009D6BD0" w:rsidRDefault="009D6BD0" w:rsidP="0082221E">
            <w:pPr>
              <w:pStyle w:val="TableText"/>
              <w:rPr>
                <w:lang w:eastAsia="en-AU"/>
              </w:rPr>
            </w:pPr>
            <w:r w:rsidRPr="009D6BD0">
              <w:rPr>
                <w:lang w:eastAsia="en-AU"/>
              </w:rPr>
              <w:t>Mid to fully tillered: 400-600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6E5564FE"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shd w:val="clear" w:color="auto" w:fill="FFFFFF"/>
            <w:vAlign w:val="center"/>
          </w:tcPr>
          <w:p w14:paraId="5D105E1B" w14:textId="77777777" w:rsidR="009D6BD0" w:rsidRPr="009D6BD0" w:rsidRDefault="009D6BD0" w:rsidP="0082221E">
            <w:pPr>
              <w:pStyle w:val="TableText"/>
              <w:rPr>
                <w:highlight w:val="yellow"/>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57F71922"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vAlign w:val="center"/>
          </w:tcPr>
          <w:p w14:paraId="3D8C19B3" w14:textId="77777777" w:rsidR="009D6BD0" w:rsidRPr="009D6BD0" w:rsidRDefault="009D6BD0" w:rsidP="0082221E">
            <w:pPr>
              <w:pStyle w:val="TableText"/>
              <w:rPr>
                <w:lang w:eastAsia="en-AU"/>
              </w:rPr>
            </w:pPr>
            <w:r w:rsidRPr="009D6BD0">
              <w:rPr>
                <w:lang w:eastAsia="en-AU"/>
              </w:rPr>
              <w:t>Not Supported</w:t>
            </w:r>
          </w:p>
        </w:tc>
      </w:tr>
      <w:tr w:rsidR="00336554" w:rsidRPr="009D6BD0" w14:paraId="4F63A211" w14:textId="77777777" w:rsidTr="005F5DAB">
        <w:trPr>
          <w:cantSplit/>
          <w:trHeight w:val="185"/>
        </w:trPr>
        <w:tc>
          <w:tcPr>
            <w:tcW w:w="1662" w:type="dxa"/>
            <w:vMerge/>
            <w:tcBorders>
              <w:left w:val="single" w:sz="4" w:space="0" w:color="auto"/>
              <w:right w:val="single" w:sz="4" w:space="0" w:color="auto"/>
            </w:tcBorders>
            <w:shd w:val="clear" w:color="auto" w:fill="F2E18B"/>
            <w:vAlign w:val="center"/>
            <w:hideMark/>
          </w:tcPr>
          <w:p w14:paraId="42948A57"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shd w:val="clear" w:color="auto" w:fill="F2E18B"/>
            <w:vAlign w:val="center"/>
            <w:hideMark/>
          </w:tcPr>
          <w:p w14:paraId="578C09A4" w14:textId="77777777" w:rsidR="009D6BD0" w:rsidRPr="009D6BD0" w:rsidRDefault="009D6BD0" w:rsidP="0082221E">
            <w:pPr>
              <w:pStyle w:val="TableText"/>
              <w:rPr>
                <w:lang w:eastAsia="en-AU"/>
              </w:rPr>
            </w:pPr>
            <w:r w:rsidRPr="009D6BD0">
              <w:rPr>
                <w:lang w:eastAsia="en-AU"/>
              </w:rPr>
              <w:t>Seedling Brassica Weeds</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325AB0D8" w14:textId="77777777" w:rsidR="009D6BD0" w:rsidRPr="009D6BD0" w:rsidRDefault="009D6BD0" w:rsidP="0082221E">
            <w:pPr>
              <w:pStyle w:val="TableText"/>
              <w:rPr>
                <w:lang w:eastAsia="en-AU"/>
              </w:rPr>
            </w:pPr>
            <w:r w:rsidRPr="009D6BD0">
              <w:rPr>
                <w:lang w:eastAsia="en-AU"/>
              </w:rPr>
              <w:t xml:space="preserve">1-5 cm diameter: 200-300 g acs/ha (boomspray) </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5C3F2742" w14:textId="77777777" w:rsidR="009D6BD0" w:rsidRPr="009D6BD0" w:rsidRDefault="009D6BD0" w:rsidP="0082221E">
            <w:pPr>
              <w:pStyle w:val="TableText"/>
              <w:rPr>
                <w:lang w:eastAsia="en-AU"/>
              </w:rPr>
            </w:pPr>
            <w:r w:rsidRPr="009D6BD0">
              <w:rPr>
                <w:lang w:eastAsia="en-AU"/>
              </w:rPr>
              <w:t>Supported (max. 251 g acs/ha)</w:t>
            </w:r>
          </w:p>
        </w:tc>
        <w:tc>
          <w:tcPr>
            <w:tcW w:w="1485" w:type="dxa"/>
            <w:tcBorders>
              <w:top w:val="single" w:sz="4" w:space="0" w:color="auto"/>
              <w:bottom w:val="single" w:sz="4" w:space="0" w:color="auto"/>
              <w:right w:val="single" w:sz="4" w:space="0" w:color="auto"/>
            </w:tcBorders>
            <w:shd w:val="clear" w:color="auto" w:fill="F2E18B"/>
            <w:vAlign w:val="center"/>
          </w:tcPr>
          <w:p w14:paraId="7DD1F22E"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7A44BB6E"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39D75A61" w14:textId="5684E463"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53F59429" w14:textId="77777777" w:rsidTr="005F5DAB">
        <w:trPr>
          <w:cantSplit/>
          <w:trHeight w:val="183"/>
        </w:trPr>
        <w:tc>
          <w:tcPr>
            <w:tcW w:w="1662" w:type="dxa"/>
            <w:vMerge/>
            <w:tcBorders>
              <w:left w:val="single" w:sz="4" w:space="0" w:color="auto"/>
              <w:right w:val="single" w:sz="4" w:space="0" w:color="auto"/>
            </w:tcBorders>
            <w:shd w:val="clear" w:color="auto" w:fill="F2E18B"/>
            <w:vAlign w:val="center"/>
          </w:tcPr>
          <w:p w14:paraId="12D1EB37" w14:textId="77777777" w:rsidR="009D6BD0" w:rsidRPr="009D6BD0" w:rsidRDefault="009D6BD0" w:rsidP="0082221E">
            <w:pPr>
              <w:pStyle w:val="TableText"/>
              <w:rPr>
                <w:lang w:eastAsia="en-AU"/>
              </w:rPr>
            </w:pPr>
          </w:p>
        </w:tc>
        <w:tc>
          <w:tcPr>
            <w:tcW w:w="1518" w:type="dxa"/>
            <w:vMerge/>
            <w:tcBorders>
              <w:left w:val="nil"/>
              <w:right w:val="single" w:sz="4" w:space="0" w:color="auto"/>
            </w:tcBorders>
            <w:shd w:val="clear" w:color="auto" w:fill="F2E18B"/>
            <w:vAlign w:val="center"/>
          </w:tcPr>
          <w:p w14:paraId="1A395FE5"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26208F89" w14:textId="77777777" w:rsidR="009D6BD0" w:rsidRPr="009D6BD0" w:rsidRDefault="009D6BD0" w:rsidP="0082221E">
            <w:pPr>
              <w:pStyle w:val="TableText"/>
              <w:rPr>
                <w:lang w:eastAsia="en-AU"/>
              </w:rPr>
            </w:pPr>
            <w:r w:rsidRPr="009D6BD0">
              <w:rPr>
                <w:lang w:eastAsia="en-AU"/>
              </w:rPr>
              <w:t>5-10 cm diameter: 300-400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4A2F4F37"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13FEBFA8"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2F0B5F3B"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6251340C" w14:textId="77777777" w:rsidR="009D6BD0" w:rsidRPr="009D6BD0" w:rsidRDefault="009D6BD0" w:rsidP="0082221E">
            <w:pPr>
              <w:pStyle w:val="TableText"/>
              <w:rPr>
                <w:lang w:eastAsia="en-AU"/>
              </w:rPr>
            </w:pPr>
            <w:r w:rsidRPr="009D6BD0">
              <w:rPr>
                <w:lang w:eastAsia="en-AU"/>
              </w:rPr>
              <w:t>Not Supported</w:t>
            </w:r>
          </w:p>
        </w:tc>
      </w:tr>
      <w:tr w:rsidR="00336554" w:rsidRPr="009D6BD0" w14:paraId="1BCDBC41" w14:textId="77777777" w:rsidTr="005F5DAB">
        <w:trPr>
          <w:cantSplit/>
          <w:trHeight w:val="183"/>
        </w:trPr>
        <w:tc>
          <w:tcPr>
            <w:tcW w:w="1662" w:type="dxa"/>
            <w:vMerge/>
            <w:tcBorders>
              <w:left w:val="single" w:sz="4" w:space="0" w:color="auto"/>
              <w:right w:val="single" w:sz="4" w:space="0" w:color="auto"/>
            </w:tcBorders>
            <w:shd w:val="clear" w:color="auto" w:fill="F2E18B"/>
            <w:vAlign w:val="center"/>
          </w:tcPr>
          <w:p w14:paraId="0E95082B"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shd w:val="clear" w:color="auto" w:fill="F2E18B"/>
            <w:vAlign w:val="center"/>
          </w:tcPr>
          <w:p w14:paraId="0667005D"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38859FBD" w14:textId="77777777" w:rsidR="009D6BD0" w:rsidRPr="009D6BD0" w:rsidRDefault="009D6BD0" w:rsidP="0082221E">
            <w:pPr>
              <w:pStyle w:val="TableText"/>
              <w:rPr>
                <w:lang w:eastAsia="en-AU"/>
              </w:rPr>
            </w:pPr>
            <w:r w:rsidRPr="009D6BD0">
              <w:rPr>
                <w:lang w:eastAsia="en-AU"/>
              </w:rPr>
              <w:t>10-20 cm diameter: 400-600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794DF916"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3F59C29E"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718C0A87"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247CC2CC" w14:textId="77777777" w:rsidR="009D6BD0" w:rsidRPr="009D6BD0" w:rsidRDefault="009D6BD0" w:rsidP="0082221E">
            <w:pPr>
              <w:pStyle w:val="TableText"/>
              <w:rPr>
                <w:lang w:eastAsia="en-AU"/>
              </w:rPr>
            </w:pPr>
            <w:r w:rsidRPr="009D6BD0">
              <w:rPr>
                <w:lang w:eastAsia="en-AU"/>
              </w:rPr>
              <w:t>Not Supported</w:t>
            </w:r>
          </w:p>
        </w:tc>
      </w:tr>
      <w:tr w:rsidR="00336554" w:rsidRPr="009D6BD0" w14:paraId="34219A88" w14:textId="77777777" w:rsidTr="005F5DAB">
        <w:trPr>
          <w:cantSplit/>
          <w:trHeight w:val="451"/>
        </w:trPr>
        <w:tc>
          <w:tcPr>
            <w:tcW w:w="1662" w:type="dxa"/>
            <w:vMerge/>
            <w:tcBorders>
              <w:left w:val="single" w:sz="4" w:space="0" w:color="auto"/>
              <w:right w:val="single" w:sz="4" w:space="0" w:color="auto"/>
            </w:tcBorders>
            <w:shd w:val="clear" w:color="auto" w:fill="F2E18B"/>
            <w:vAlign w:val="center"/>
            <w:hideMark/>
          </w:tcPr>
          <w:p w14:paraId="692482AC"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shd w:val="clear" w:color="auto" w:fill="F2E18B"/>
            <w:vAlign w:val="center"/>
            <w:hideMark/>
          </w:tcPr>
          <w:p w14:paraId="38B60209" w14:textId="77777777" w:rsidR="009D6BD0" w:rsidRPr="009D6BD0" w:rsidRDefault="009D6BD0" w:rsidP="0082221E">
            <w:pPr>
              <w:pStyle w:val="TableText"/>
              <w:rPr>
                <w:lang w:eastAsia="en-AU"/>
              </w:rPr>
            </w:pPr>
            <w:r w:rsidRPr="009D6BD0">
              <w:rPr>
                <w:lang w:eastAsia="en-AU"/>
              </w:rPr>
              <w:t>Other Seedling Broadleaved Weeds</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3978EF48" w14:textId="77777777" w:rsidR="009D6BD0" w:rsidRPr="009D6BD0" w:rsidRDefault="009D6BD0" w:rsidP="0082221E">
            <w:pPr>
              <w:pStyle w:val="TableText"/>
              <w:rPr>
                <w:lang w:eastAsia="en-AU"/>
              </w:rPr>
            </w:pPr>
            <w:r w:rsidRPr="009D6BD0">
              <w:rPr>
                <w:lang w:eastAsia="en-AU"/>
              </w:rPr>
              <w:t>1 to 4 leaf or 1 to 4 cm diameter: 200-300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6F807917" w14:textId="77777777" w:rsidR="009D6BD0" w:rsidRPr="009D6BD0" w:rsidRDefault="009D6BD0" w:rsidP="0082221E">
            <w:pPr>
              <w:pStyle w:val="TableText"/>
              <w:rPr>
                <w:lang w:eastAsia="en-AU"/>
              </w:rPr>
            </w:pPr>
            <w:r w:rsidRPr="009D6BD0">
              <w:rPr>
                <w:lang w:eastAsia="en-AU"/>
              </w:rPr>
              <w:t>Supported (max. 251 g acs/ha)</w:t>
            </w:r>
            <w:r w:rsidRPr="009D6BD0" w:rsidDel="00A46F1A">
              <w:rPr>
                <w:lang w:eastAsia="en-AU"/>
              </w:rPr>
              <w:t xml:space="preserve"> </w:t>
            </w: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vAlign w:val="center"/>
          </w:tcPr>
          <w:p w14:paraId="2EB262B0"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0C80D32E"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45324C00" w14:textId="6F459038"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w:instrText>
            </w:r>
            <w:r w:rsidR="0082221E">
              <w:rPr>
                <w:vertAlign w:val="superscript"/>
                <w:lang w:eastAsia="en-AU"/>
              </w:rPr>
              <w:instrText xml:space="preserve">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2ECA598A" w14:textId="77777777" w:rsidTr="005F5DAB">
        <w:trPr>
          <w:cantSplit/>
          <w:trHeight w:val="451"/>
        </w:trPr>
        <w:tc>
          <w:tcPr>
            <w:tcW w:w="1662" w:type="dxa"/>
            <w:vMerge/>
            <w:tcBorders>
              <w:left w:val="single" w:sz="4" w:space="0" w:color="auto"/>
              <w:right w:val="single" w:sz="4" w:space="0" w:color="auto"/>
            </w:tcBorders>
            <w:shd w:val="clear" w:color="auto" w:fill="F2E18B"/>
            <w:vAlign w:val="center"/>
          </w:tcPr>
          <w:p w14:paraId="00C754DE"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shd w:val="clear" w:color="auto" w:fill="F2E18B"/>
            <w:vAlign w:val="center"/>
          </w:tcPr>
          <w:p w14:paraId="7A0F8A35"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413610FC" w14:textId="77777777" w:rsidR="009D6BD0" w:rsidRPr="009D6BD0" w:rsidRDefault="009D6BD0" w:rsidP="0082221E">
            <w:pPr>
              <w:pStyle w:val="TableText"/>
              <w:rPr>
                <w:lang w:eastAsia="en-AU"/>
              </w:rPr>
            </w:pPr>
            <w:r w:rsidRPr="009D6BD0">
              <w:rPr>
                <w:lang w:eastAsia="en-AU"/>
              </w:rPr>
              <w:t>4-8 leaf or 4-8 cm diameter: 300-400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523670FB"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0D993A6F"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4A63615B"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619AC044" w14:textId="77777777" w:rsidR="009D6BD0" w:rsidRPr="009D6BD0" w:rsidRDefault="009D6BD0" w:rsidP="0082221E">
            <w:pPr>
              <w:pStyle w:val="TableText"/>
              <w:rPr>
                <w:lang w:eastAsia="en-AU"/>
              </w:rPr>
            </w:pPr>
            <w:r w:rsidRPr="009D6BD0">
              <w:rPr>
                <w:lang w:eastAsia="en-AU"/>
              </w:rPr>
              <w:t>Not Supported</w:t>
            </w:r>
          </w:p>
        </w:tc>
      </w:tr>
      <w:tr w:rsidR="00336554" w:rsidRPr="009D6BD0" w14:paraId="7CCB8567" w14:textId="77777777" w:rsidTr="005F5DAB">
        <w:trPr>
          <w:cantSplit/>
          <w:trHeight w:val="864"/>
        </w:trPr>
        <w:tc>
          <w:tcPr>
            <w:tcW w:w="1662" w:type="dxa"/>
            <w:vMerge/>
            <w:tcBorders>
              <w:left w:val="single" w:sz="4" w:space="0" w:color="auto"/>
              <w:right w:val="single" w:sz="4" w:space="0" w:color="auto"/>
            </w:tcBorders>
            <w:shd w:val="clear" w:color="auto" w:fill="F2E18B"/>
            <w:vAlign w:val="center"/>
            <w:hideMark/>
          </w:tcPr>
          <w:p w14:paraId="018A792C"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shd w:val="clear" w:color="auto" w:fill="F2E18B"/>
            <w:vAlign w:val="center"/>
            <w:hideMark/>
          </w:tcPr>
          <w:p w14:paraId="38572E54" w14:textId="77777777" w:rsidR="009D6BD0" w:rsidRPr="009D6BD0" w:rsidRDefault="009D6BD0" w:rsidP="0082221E">
            <w:pPr>
              <w:pStyle w:val="TableText"/>
              <w:rPr>
                <w:lang w:eastAsia="en-AU"/>
              </w:rPr>
            </w:pPr>
            <w:r w:rsidRPr="009D6BD0">
              <w:rPr>
                <w:lang w:eastAsia="en-AU"/>
              </w:rPr>
              <w:t xml:space="preserve">Deadnettle </w:t>
            </w:r>
            <w:r w:rsidRPr="009D6BD0">
              <w:rPr>
                <w:i/>
                <w:iCs/>
                <w:lang w:eastAsia="en-AU"/>
              </w:rPr>
              <w:t>(Lamium amplexicaule)</w:t>
            </w:r>
            <w:r w:rsidRPr="009D6BD0">
              <w:rPr>
                <w:lang w:eastAsia="en-AU"/>
              </w:rPr>
              <w:t xml:space="preserve">, Fumitory </w:t>
            </w:r>
            <w:r w:rsidRPr="009D6BD0">
              <w:rPr>
                <w:i/>
                <w:iCs/>
                <w:lang w:eastAsia="en-AU"/>
              </w:rPr>
              <w:t>(Fumitory spp.)</w:t>
            </w:r>
            <w:r w:rsidRPr="009D6BD0">
              <w:rPr>
                <w:lang w:eastAsia="en-AU"/>
              </w:rPr>
              <w:t xml:space="preserve">, Melilotus </w:t>
            </w:r>
            <w:r w:rsidRPr="009D6BD0">
              <w:rPr>
                <w:i/>
                <w:iCs/>
                <w:lang w:eastAsia="en-AU"/>
              </w:rPr>
              <w:t>(Melilotus spp.)</w:t>
            </w:r>
            <w:r w:rsidRPr="009D6BD0">
              <w:rPr>
                <w:lang w:eastAsia="en-AU"/>
              </w:rPr>
              <w:t xml:space="preserve">, Pimpernel </w:t>
            </w:r>
            <w:r w:rsidRPr="009D6BD0">
              <w:rPr>
                <w:i/>
                <w:iCs/>
                <w:lang w:eastAsia="en-AU"/>
              </w:rPr>
              <w:t>(Anagallis spp.)</w:t>
            </w:r>
            <w:r w:rsidRPr="009D6BD0">
              <w:rPr>
                <w:lang w:eastAsia="en-AU"/>
              </w:rPr>
              <w:t xml:space="preserve">, Poppy </w:t>
            </w:r>
            <w:r w:rsidRPr="009D6BD0">
              <w:rPr>
                <w:i/>
                <w:iCs/>
                <w:lang w:eastAsia="en-AU"/>
              </w:rPr>
              <w:t>(Papaver spp.)</w:t>
            </w:r>
            <w:r w:rsidRPr="009D6BD0">
              <w:rPr>
                <w:lang w:eastAsia="en-AU"/>
              </w:rPr>
              <w:t xml:space="preserve">, Saffron Thistle </w:t>
            </w:r>
            <w:r w:rsidRPr="009D6BD0">
              <w:rPr>
                <w:i/>
                <w:iCs/>
                <w:lang w:eastAsia="en-AU"/>
              </w:rPr>
              <w:t>(Carthmus lanatus)</w:t>
            </w:r>
            <w:r w:rsidRPr="009D6BD0">
              <w:rPr>
                <w:lang w:eastAsia="en-AU"/>
              </w:rPr>
              <w:t xml:space="preserve">, Sheepweed </w:t>
            </w:r>
            <w:r w:rsidRPr="009D6BD0">
              <w:rPr>
                <w:i/>
                <w:iCs/>
                <w:lang w:eastAsia="en-AU"/>
              </w:rPr>
              <w:t>(Buglossoides arvensis)</w:t>
            </w:r>
          </w:p>
        </w:tc>
        <w:tc>
          <w:tcPr>
            <w:tcW w:w="1334" w:type="dxa"/>
            <w:tcBorders>
              <w:top w:val="nil"/>
              <w:left w:val="single" w:sz="4" w:space="0" w:color="auto"/>
              <w:bottom w:val="single" w:sz="4" w:space="0" w:color="auto"/>
              <w:right w:val="single" w:sz="4" w:space="0" w:color="auto"/>
            </w:tcBorders>
            <w:shd w:val="clear" w:color="auto" w:fill="F2E18B"/>
            <w:vAlign w:val="center"/>
          </w:tcPr>
          <w:p w14:paraId="03991FD7" w14:textId="77777777" w:rsidR="009D6BD0" w:rsidRPr="009D6BD0" w:rsidRDefault="009D6BD0" w:rsidP="0082221E">
            <w:pPr>
              <w:pStyle w:val="TableText"/>
              <w:rPr>
                <w:lang w:eastAsia="en-AU"/>
              </w:rPr>
            </w:pPr>
            <w:r w:rsidRPr="009D6BD0">
              <w:rPr>
                <w:lang w:eastAsia="en-AU"/>
              </w:rPr>
              <w:t xml:space="preserve">1 to 10 leaf or 1 to 10 cm diameter: 200-300 g acs/ha (boomspray) </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24673973" w14:textId="77777777" w:rsidR="009D6BD0" w:rsidRPr="009D6BD0" w:rsidRDefault="009D6BD0" w:rsidP="0082221E">
            <w:pPr>
              <w:pStyle w:val="TableText"/>
              <w:rPr>
                <w:lang w:eastAsia="en-AU"/>
              </w:rPr>
            </w:pPr>
            <w:r w:rsidRPr="009D6BD0">
              <w:rPr>
                <w:lang w:eastAsia="en-AU"/>
              </w:rPr>
              <w:t>Supported (max. 251 g acs/ha)</w:t>
            </w:r>
          </w:p>
        </w:tc>
        <w:tc>
          <w:tcPr>
            <w:tcW w:w="1485" w:type="dxa"/>
            <w:tcBorders>
              <w:top w:val="single" w:sz="4" w:space="0" w:color="auto"/>
              <w:bottom w:val="single" w:sz="4" w:space="0" w:color="auto"/>
              <w:right w:val="single" w:sz="4" w:space="0" w:color="auto"/>
            </w:tcBorders>
            <w:shd w:val="clear" w:color="auto" w:fill="F2E18B"/>
            <w:vAlign w:val="center"/>
          </w:tcPr>
          <w:p w14:paraId="2713A90D"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38491B02"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679DF9E9" w14:textId="0B7B23F4"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7D58BED4"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57496661"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35E97B32" w14:textId="77777777" w:rsidR="009D6BD0" w:rsidRPr="009D6BD0" w:rsidRDefault="009D6BD0" w:rsidP="0082221E">
            <w:pPr>
              <w:pStyle w:val="TableText"/>
              <w:rPr>
                <w:lang w:eastAsia="en-AU"/>
              </w:rPr>
            </w:pPr>
            <w:r w:rsidRPr="009D6BD0">
              <w:rPr>
                <w:lang w:eastAsia="en-AU"/>
              </w:rPr>
              <w:t>Paterson's curse</w:t>
            </w:r>
            <w:r w:rsidRPr="009D6BD0">
              <w:rPr>
                <w:i/>
                <w:iCs/>
                <w:lang w:eastAsia="en-AU"/>
              </w:rPr>
              <w:t xml:space="preserve"> (Echium plantagineum)</w:t>
            </w:r>
          </w:p>
        </w:tc>
        <w:tc>
          <w:tcPr>
            <w:tcW w:w="1334" w:type="dxa"/>
            <w:tcBorders>
              <w:top w:val="nil"/>
              <w:left w:val="single" w:sz="4" w:space="0" w:color="auto"/>
              <w:bottom w:val="single" w:sz="4" w:space="0" w:color="auto"/>
              <w:right w:val="single" w:sz="4" w:space="0" w:color="auto"/>
            </w:tcBorders>
            <w:vAlign w:val="center"/>
            <w:hideMark/>
          </w:tcPr>
          <w:p w14:paraId="5927EC7A" w14:textId="77777777" w:rsidR="009D6BD0" w:rsidRPr="009D6BD0" w:rsidRDefault="009D6BD0" w:rsidP="0082221E">
            <w:pPr>
              <w:pStyle w:val="TableText"/>
              <w:rPr>
                <w:lang w:eastAsia="en-AU"/>
              </w:rPr>
            </w:pPr>
            <w:r w:rsidRPr="009D6BD0">
              <w:rPr>
                <w:lang w:eastAsia="en-AU"/>
              </w:rPr>
              <w:t>1 to 5 leaf: 300-400 g acs/ha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6BA7F0D0"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24CE5C5E"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1BBA3EEB"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530C7CC2" w14:textId="77777777" w:rsidR="009D6BD0" w:rsidRPr="009D6BD0" w:rsidRDefault="009D6BD0" w:rsidP="0082221E">
            <w:pPr>
              <w:pStyle w:val="TableText"/>
              <w:rPr>
                <w:lang w:eastAsia="en-AU"/>
              </w:rPr>
            </w:pPr>
            <w:r w:rsidRPr="009D6BD0">
              <w:rPr>
                <w:lang w:eastAsia="en-AU"/>
              </w:rPr>
              <w:t>Not Supported</w:t>
            </w:r>
          </w:p>
        </w:tc>
      </w:tr>
      <w:tr w:rsidR="00336554" w:rsidRPr="009D6BD0" w14:paraId="48817E21"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268C20DF"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shd w:val="clear" w:color="auto" w:fill="F2E18B"/>
            <w:vAlign w:val="center"/>
            <w:hideMark/>
          </w:tcPr>
          <w:p w14:paraId="68D5C813" w14:textId="77777777" w:rsidR="009D6BD0" w:rsidRPr="009D6BD0" w:rsidRDefault="009D6BD0" w:rsidP="0082221E">
            <w:pPr>
              <w:pStyle w:val="TableText"/>
              <w:rPr>
                <w:lang w:eastAsia="en-AU"/>
              </w:rPr>
            </w:pPr>
            <w:r w:rsidRPr="009D6BD0">
              <w:rPr>
                <w:lang w:eastAsia="en-AU"/>
              </w:rPr>
              <w:t xml:space="preserve">Wireweed </w:t>
            </w:r>
            <w:r w:rsidRPr="009D6BD0">
              <w:rPr>
                <w:i/>
                <w:iCs/>
                <w:lang w:eastAsia="en-AU"/>
              </w:rPr>
              <w:t>(Polygonum aviculare)</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6C698287" w14:textId="77777777" w:rsidR="009D6BD0" w:rsidRPr="009D6BD0" w:rsidRDefault="009D6BD0" w:rsidP="0082221E">
            <w:pPr>
              <w:pStyle w:val="TableText"/>
              <w:rPr>
                <w:lang w:eastAsia="en-AU"/>
              </w:rPr>
            </w:pPr>
            <w:r w:rsidRPr="009D6BD0">
              <w:rPr>
                <w:lang w:eastAsia="en-AU"/>
              </w:rPr>
              <w:t>1 to 4 leaf: 200-300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26C15806" w14:textId="77777777" w:rsidR="009D6BD0" w:rsidRPr="009D6BD0" w:rsidRDefault="009D6BD0" w:rsidP="0082221E">
            <w:pPr>
              <w:pStyle w:val="TableText"/>
              <w:rPr>
                <w:lang w:eastAsia="en-AU"/>
              </w:rPr>
            </w:pPr>
            <w:r w:rsidRPr="009D6BD0">
              <w:rPr>
                <w:lang w:eastAsia="en-AU"/>
              </w:rPr>
              <w:t>Supported (max. 251 g acs/ha)</w:t>
            </w:r>
          </w:p>
        </w:tc>
        <w:tc>
          <w:tcPr>
            <w:tcW w:w="1485" w:type="dxa"/>
            <w:tcBorders>
              <w:top w:val="single" w:sz="4" w:space="0" w:color="auto"/>
              <w:bottom w:val="single" w:sz="4" w:space="0" w:color="auto"/>
              <w:right w:val="single" w:sz="4" w:space="0" w:color="auto"/>
            </w:tcBorders>
            <w:shd w:val="clear" w:color="auto" w:fill="F2E18B"/>
            <w:vAlign w:val="center"/>
          </w:tcPr>
          <w:p w14:paraId="625AB612"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4D07ACDA"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3A7EF8A5" w14:textId="5868DEFB"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55E947AA"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3B38AE30"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shd w:val="clear" w:color="auto" w:fill="F2E18B"/>
            <w:vAlign w:val="center"/>
            <w:hideMark/>
          </w:tcPr>
          <w:p w14:paraId="087F3212" w14:textId="77777777" w:rsidR="009D6BD0" w:rsidRPr="009D6BD0" w:rsidRDefault="009D6BD0" w:rsidP="0082221E">
            <w:pPr>
              <w:pStyle w:val="TableText"/>
              <w:rPr>
                <w:lang w:eastAsia="en-AU"/>
              </w:rPr>
            </w:pPr>
            <w:r w:rsidRPr="009D6BD0">
              <w:rPr>
                <w:lang w:eastAsia="en-AU"/>
              </w:rPr>
              <w:t>Marshmallow</w:t>
            </w:r>
            <w:r w:rsidRPr="009D6BD0">
              <w:rPr>
                <w:i/>
                <w:iCs/>
                <w:lang w:eastAsia="en-AU"/>
              </w:rPr>
              <w:t xml:space="preserve"> (Malva parviflora)</w:t>
            </w:r>
          </w:p>
        </w:tc>
        <w:tc>
          <w:tcPr>
            <w:tcW w:w="1334"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12B08CB9" w14:textId="77777777" w:rsidR="009D6BD0" w:rsidRPr="009D6BD0" w:rsidRDefault="009D6BD0" w:rsidP="0082221E">
            <w:pPr>
              <w:pStyle w:val="TableText"/>
              <w:rPr>
                <w:lang w:eastAsia="en-AU"/>
              </w:rPr>
            </w:pPr>
            <w:r w:rsidRPr="009D6BD0">
              <w:rPr>
                <w:lang w:eastAsia="en-AU"/>
              </w:rPr>
              <w:t>1 to 12 leaf: 200-300 g acs/ha plus Oxyfluorfen 75 mL/ha</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1A1340D1" w14:textId="77777777" w:rsidR="009D6BD0" w:rsidRPr="009D6BD0" w:rsidRDefault="009D6BD0" w:rsidP="0082221E">
            <w:pPr>
              <w:pStyle w:val="TableText"/>
              <w:rPr>
                <w:lang w:eastAsia="en-AU"/>
              </w:rPr>
            </w:pP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vAlign w:val="center"/>
          </w:tcPr>
          <w:p w14:paraId="6FAA60D3"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765162C1"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2B4679BB" w14:textId="71D08648"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4540858E"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4E9A31B6"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shd w:val="clear" w:color="auto" w:fill="F2E18B"/>
            <w:vAlign w:val="center"/>
            <w:hideMark/>
          </w:tcPr>
          <w:p w14:paraId="0C71EB03" w14:textId="77777777" w:rsidR="009D6BD0" w:rsidRPr="009D6BD0" w:rsidRDefault="009D6BD0" w:rsidP="0082221E">
            <w:pPr>
              <w:pStyle w:val="TableText"/>
              <w:rPr>
                <w:lang w:eastAsia="en-AU"/>
              </w:rPr>
            </w:pPr>
            <w:r w:rsidRPr="009D6BD0">
              <w:rPr>
                <w:lang w:eastAsia="en-AU"/>
              </w:rPr>
              <w:t>Volunteer Beans, Peas &amp; Lupins</w:t>
            </w:r>
          </w:p>
        </w:tc>
        <w:tc>
          <w:tcPr>
            <w:tcW w:w="1334"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0951880B" w14:textId="77777777" w:rsidR="009D6BD0" w:rsidRPr="009D6BD0" w:rsidRDefault="009D6BD0" w:rsidP="0082221E">
            <w:pPr>
              <w:pStyle w:val="TableText"/>
              <w:rPr>
                <w:lang w:eastAsia="en-AU"/>
              </w:rPr>
            </w:pPr>
            <w:r w:rsidRPr="009D6BD0">
              <w:rPr>
                <w:lang w:eastAsia="en-AU"/>
              </w:rPr>
              <w:t>1 to 6 leaf: 200-300 g acs/ha plus Metsun 5 g/ha or Dicamba 100 g ac/ha.</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17DCB915" w14:textId="77777777" w:rsidR="009D6BD0" w:rsidRPr="009D6BD0" w:rsidRDefault="009D6BD0" w:rsidP="0082221E">
            <w:pPr>
              <w:pStyle w:val="TableText"/>
              <w:rPr>
                <w:lang w:eastAsia="en-AU"/>
              </w:rPr>
            </w:pP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vAlign w:val="center"/>
          </w:tcPr>
          <w:p w14:paraId="09B51F1E"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04777621"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75FB7440" w14:textId="41825447"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0A443BF7" w14:textId="77777777" w:rsidTr="005F5DAB">
        <w:trPr>
          <w:cantSplit/>
          <w:trHeight w:val="651"/>
        </w:trPr>
        <w:tc>
          <w:tcPr>
            <w:tcW w:w="1662" w:type="dxa"/>
            <w:vMerge w:val="restart"/>
            <w:tcBorders>
              <w:top w:val="nil"/>
              <w:left w:val="single" w:sz="4" w:space="0" w:color="auto"/>
              <w:right w:val="single" w:sz="4" w:space="0" w:color="auto"/>
            </w:tcBorders>
            <w:shd w:val="clear" w:color="auto" w:fill="F2E18B"/>
            <w:vAlign w:val="center"/>
            <w:hideMark/>
          </w:tcPr>
          <w:p w14:paraId="1F50A894" w14:textId="77777777" w:rsidR="009D6BD0" w:rsidRPr="009D6BD0" w:rsidRDefault="009D6BD0" w:rsidP="0082221E">
            <w:pPr>
              <w:pStyle w:val="TableText"/>
              <w:rPr>
                <w:lang w:eastAsia="en-AU"/>
              </w:rPr>
            </w:pPr>
            <w:r w:rsidRPr="009D6BD0">
              <w:rPr>
                <w:lang w:eastAsia="en-AU"/>
              </w:rPr>
              <w:lastRenderedPageBreak/>
              <w:t>Aid to cultivation (Southern Australia - fallow/minimum disturbance)</w:t>
            </w:r>
          </w:p>
        </w:tc>
        <w:tc>
          <w:tcPr>
            <w:tcW w:w="1518" w:type="dxa"/>
            <w:vMerge w:val="restart"/>
            <w:tcBorders>
              <w:top w:val="nil"/>
              <w:left w:val="nil"/>
              <w:right w:val="single" w:sz="4" w:space="0" w:color="auto"/>
            </w:tcBorders>
            <w:vAlign w:val="center"/>
            <w:hideMark/>
          </w:tcPr>
          <w:p w14:paraId="74600BA1" w14:textId="77777777" w:rsidR="009D6BD0" w:rsidRPr="009D6BD0" w:rsidRDefault="009D6BD0" w:rsidP="0082221E">
            <w:pPr>
              <w:pStyle w:val="TableText"/>
              <w:rPr>
                <w:lang w:eastAsia="en-AU"/>
              </w:rPr>
            </w:pPr>
            <w:r w:rsidRPr="009D6BD0">
              <w:rPr>
                <w:lang w:eastAsia="en-AU"/>
              </w:rPr>
              <w:t>Seedling Grasses: Annual Ryegrass</w:t>
            </w:r>
            <w:r w:rsidRPr="009D6BD0">
              <w:rPr>
                <w:i/>
                <w:iCs/>
                <w:lang w:eastAsia="en-AU"/>
              </w:rPr>
              <w:t xml:space="preserve"> (Lolium rigidum),</w:t>
            </w:r>
            <w:r w:rsidRPr="009D6BD0">
              <w:rPr>
                <w:lang w:eastAsia="en-AU"/>
              </w:rPr>
              <w:t xml:space="preserve"> Barley Grass </w:t>
            </w:r>
            <w:r w:rsidRPr="009D6BD0">
              <w:rPr>
                <w:i/>
                <w:iCs/>
                <w:lang w:eastAsia="en-AU"/>
              </w:rPr>
              <w:t>(Hordeum spp.),</w:t>
            </w:r>
            <w:r w:rsidRPr="009D6BD0">
              <w:rPr>
                <w:lang w:eastAsia="en-AU"/>
              </w:rPr>
              <w:t xml:space="preserve"> Brome Grass </w:t>
            </w:r>
            <w:r w:rsidRPr="009D6BD0">
              <w:rPr>
                <w:i/>
                <w:iCs/>
                <w:lang w:eastAsia="en-AU"/>
              </w:rPr>
              <w:t>(Bromus spp.)</w:t>
            </w:r>
            <w:r w:rsidRPr="009D6BD0">
              <w:rPr>
                <w:lang w:eastAsia="en-AU"/>
              </w:rPr>
              <w:t xml:space="preserve">, Volunteer Cereals, Wild Oats </w:t>
            </w:r>
            <w:r w:rsidRPr="009D6BD0">
              <w:rPr>
                <w:i/>
                <w:iCs/>
                <w:lang w:eastAsia="en-AU"/>
              </w:rPr>
              <w:t>(Avena spp.)</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23AB25D6" w14:textId="77777777" w:rsidR="009D6BD0" w:rsidRPr="009D6BD0" w:rsidRDefault="009D6BD0" w:rsidP="0082221E">
            <w:pPr>
              <w:pStyle w:val="TableText"/>
              <w:rPr>
                <w:lang w:eastAsia="en-AU"/>
              </w:rPr>
            </w:pPr>
            <w:r w:rsidRPr="009D6BD0">
              <w:rPr>
                <w:lang w:eastAsia="en-AU"/>
              </w:rPr>
              <w:t>2-3 leaf:  250-300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noWrap/>
            <w:vAlign w:val="center"/>
            <w:hideMark/>
          </w:tcPr>
          <w:p w14:paraId="77D75071" w14:textId="77777777" w:rsidR="009D6BD0" w:rsidRPr="009D6BD0" w:rsidRDefault="009D6BD0" w:rsidP="0082221E">
            <w:pPr>
              <w:pStyle w:val="TableText"/>
              <w:rPr>
                <w:lang w:eastAsia="en-AU"/>
              </w:rPr>
            </w:pPr>
            <w:r w:rsidRPr="009D6BD0">
              <w:rPr>
                <w:lang w:eastAsia="en-AU"/>
              </w:rPr>
              <w:t>Supported (max. 251g acs/ha)</w:t>
            </w:r>
          </w:p>
        </w:tc>
        <w:tc>
          <w:tcPr>
            <w:tcW w:w="1485" w:type="dxa"/>
            <w:tcBorders>
              <w:top w:val="single" w:sz="4" w:space="0" w:color="auto"/>
              <w:bottom w:val="single" w:sz="4" w:space="0" w:color="auto"/>
              <w:right w:val="single" w:sz="4" w:space="0" w:color="auto"/>
            </w:tcBorders>
            <w:shd w:val="clear" w:color="auto" w:fill="F2E18B"/>
            <w:vAlign w:val="center"/>
          </w:tcPr>
          <w:p w14:paraId="1A35E6C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20E23C94"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223AB1AA" w14:textId="40ADAB61"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193792D4" w14:textId="77777777" w:rsidTr="005F5DAB">
        <w:trPr>
          <w:cantSplit/>
          <w:trHeight w:val="651"/>
        </w:trPr>
        <w:tc>
          <w:tcPr>
            <w:tcW w:w="1662" w:type="dxa"/>
            <w:vMerge/>
            <w:tcBorders>
              <w:left w:val="single" w:sz="4" w:space="0" w:color="auto"/>
              <w:right w:val="single" w:sz="4" w:space="0" w:color="auto"/>
            </w:tcBorders>
            <w:vAlign w:val="center"/>
          </w:tcPr>
          <w:p w14:paraId="6949C01A"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4D5B89C6"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4BC15316" w14:textId="77777777" w:rsidR="009D6BD0" w:rsidRPr="009D6BD0" w:rsidRDefault="009D6BD0" w:rsidP="0082221E">
            <w:pPr>
              <w:pStyle w:val="TableText"/>
              <w:rPr>
                <w:lang w:eastAsia="en-AU"/>
              </w:rPr>
            </w:pPr>
            <w:r w:rsidRPr="009D6BD0">
              <w:rPr>
                <w:lang w:eastAsia="en-AU"/>
              </w:rPr>
              <w:t>4 leaf to early tiller:  300-600 g acs/ha (Boomspray)</w:t>
            </w:r>
          </w:p>
        </w:tc>
        <w:tc>
          <w:tcPr>
            <w:tcW w:w="1548" w:type="dxa"/>
            <w:tcBorders>
              <w:top w:val="single" w:sz="4" w:space="0" w:color="auto"/>
              <w:left w:val="single" w:sz="4" w:space="0" w:color="auto"/>
              <w:bottom w:val="single" w:sz="4" w:space="0" w:color="auto"/>
              <w:right w:val="single" w:sz="4" w:space="0" w:color="auto"/>
            </w:tcBorders>
            <w:noWrap/>
            <w:vAlign w:val="center"/>
          </w:tcPr>
          <w:p w14:paraId="529D4AE2" w14:textId="77777777" w:rsidR="009D6BD0" w:rsidRPr="009D6BD0" w:rsidRDefault="009D6BD0" w:rsidP="0082221E">
            <w:pPr>
              <w:pStyle w:val="TableText"/>
              <w:rPr>
                <w:lang w:eastAsia="en-AU"/>
              </w:rPr>
            </w:pPr>
            <w:r w:rsidRPr="009D6BD0">
              <w:rPr>
                <w:lang w:eastAsia="en-AU"/>
              </w:rPr>
              <w:t>Not supported (max. 251g acs/ha)</w:t>
            </w:r>
          </w:p>
        </w:tc>
        <w:tc>
          <w:tcPr>
            <w:tcW w:w="1485" w:type="dxa"/>
            <w:tcBorders>
              <w:top w:val="single" w:sz="4" w:space="0" w:color="auto"/>
              <w:bottom w:val="single" w:sz="4" w:space="0" w:color="auto"/>
              <w:right w:val="single" w:sz="4" w:space="0" w:color="auto"/>
            </w:tcBorders>
            <w:shd w:val="clear" w:color="auto" w:fill="FFFFFF"/>
            <w:vAlign w:val="center"/>
          </w:tcPr>
          <w:p w14:paraId="774E9C69"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1DD35FF5"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5114FE90" w14:textId="77777777" w:rsidR="009D6BD0" w:rsidRPr="009D6BD0" w:rsidRDefault="009D6BD0" w:rsidP="0082221E">
            <w:pPr>
              <w:pStyle w:val="TableText"/>
              <w:rPr>
                <w:lang w:eastAsia="en-AU"/>
              </w:rPr>
            </w:pPr>
            <w:r w:rsidRPr="009D6BD0">
              <w:rPr>
                <w:lang w:eastAsia="en-AU"/>
              </w:rPr>
              <w:t>Not supported</w:t>
            </w:r>
          </w:p>
        </w:tc>
      </w:tr>
      <w:tr w:rsidR="00336554" w:rsidRPr="009D6BD0" w14:paraId="6139BA74" w14:textId="77777777" w:rsidTr="005F5DAB">
        <w:trPr>
          <w:cantSplit/>
          <w:trHeight w:val="651"/>
        </w:trPr>
        <w:tc>
          <w:tcPr>
            <w:tcW w:w="1662" w:type="dxa"/>
            <w:vMerge/>
            <w:tcBorders>
              <w:left w:val="single" w:sz="4" w:space="0" w:color="auto"/>
              <w:right w:val="single" w:sz="4" w:space="0" w:color="auto"/>
            </w:tcBorders>
            <w:vAlign w:val="center"/>
          </w:tcPr>
          <w:p w14:paraId="3F122085"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3576653C"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1A167D40" w14:textId="77777777" w:rsidR="009D6BD0" w:rsidRPr="009D6BD0" w:rsidRDefault="009D6BD0" w:rsidP="0082221E">
            <w:pPr>
              <w:pStyle w:val="TableText"/>
              <w:rPr>
                <w:lang w:eastAsia="en-AU"/>
              </w:rPr>
            </w:pPr>
            <w:r w:rsidRPr="009D6BD0">
              <w:rPr>
                <w:lang w:eastAsia="en-AU"/>
              </w:rPr>
              <w:t>Mid to fully tillered: 600-800 g acs/ha (Boomspray)</w:t>
            </w:r>
          </w:p>
        </w:tc>
        <w:tc>
          <w:tcPr>
            <w:tcW w:w="1548" w:type="dxa"/>
            <w:tcBorders>
              <w:top w:val="single" w:sz="4" w:space="0" w:color="auto"/>
              <w:left w:val="single" w:sz="4" w:space="0" w:color="auto"/>
              <w:bottom w:val="single" w:sz="4" w:space="0" w:color="auto"/>
              <w:right w:val="single" w:sz="4" w:space="0" w:color="auto"/>
            </w:tcBorders>
            <w:noWrap/>
            <w:vAlign w:val="center"/>
          </w:tcPr>
          <w:p w14:paraId="6BCFBA8B"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shd w:val="clear" w:color="auto" w:fill="FFFFFF"/>
            <w:vAlign w:val="center"/>
          </w:tcPr>
          <w:p w14:paraId="1B344C7A"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4066A00A"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3C16708E" w14:textId="77777777" w:rsidR="009D6BD0" w:rsidRPr="009D6BD0" w:rsidRDefault="009D6BD0" w:rsidP="0082221E">
            <w:pPr>
              <w:pStyle w:val="TableText"/>
              <w:rPr>
                <w:lang w:eastAsia="en-AU"/>
              </w:rPr>
            </w:pPr>
            <w:r w:rsidRPr="009D6BD0">
              <w:rPr>
                <w:lang w:eastAsia="en-AU"/>
              </w:rPr>
              <w:t>Not supported</w:t>
            </w:r>
          </w:p>
        </w:tc>
      </w:tr>
      <w:tr w:rsidR="00336554" w:rsidRPr="009D6BD0" w14:paraId="15849BB6" w14:textId="77777777" w:rsidTr="005F5DAB">
        <w:trPr>
          <w:cantSplit/>
          <w:trHeight w:val="302"/>
        </w:trPr>
        <w:tc>
          <w:tcPr>
            <w:tcW w:w="1662" w:type="dxa"/>
            <w:vMerge/>
            <w:tcBorders>
              <w:left w:val="single" w:sz="4" w:space="0" w:color="auto"/>
              <w:right w:val="single" w:sz="4" w:space="0" w:color="auto"/>
            </w:tcBorders>
            <w:vAlign w:val="center"/>
            <w:hideMark/>
          </w:tcPr>
          <w:p w14:paraId="56B408E3"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53C5DAD5" w14:textId="77777777" w:rsidR="009D6BD0" w:rsidRPr="009D6BD0" w:rsidRDefault="009D6BD0" w:rsidP="0082221E">
            <w:pPr>
              <w:pStyle w:val="TableText"/>
              <w:rPr>
                <w:lang w:eastAsia="en-AU"/>
              </w:rPr>
            </w:pPr>
            <w:r w:rsidRPr="009D6BD0">
              <w:rPr>
                <w:lang w:eastAsia="en-AU"/>
              </w:rPr>
              <w:t xml:space="preserve">Vulpia (Silver Grass, Sand Fescue) </w:t>
            </w:r>
            <w:r w:rsidRPr="009D6BD0">
              <w:rPr>
                <w:i/>
                <w:iCs/>
                <w:lang w:eastAsia="en-AU"/>
              </w:rPr>
              <w:t>(Vulpia spp.)</w:t>
            </w:r>
          </w:p>
        </w:tc>
        <w:tc>
          <w:tcPr>
            <w:tcW w:w="1334" w:type="dxa"/>
            <w:tcBorders>
              <w:top w:val="nil"/>
              <w:left w:val="single" w:sz="4" w:space="0" w:color="auto"/>
              <w:bottom w:val="single" w:sz="4" w:space="0" w:color="auto"/>
              <w:right w:val="single" w:sz="4" w:space="0" w:color="auto"/>
            </w:tcBorders>
            <w:shd w:val="clear" w:color="auto" w:fill="F2E18B"/>
            <w:vAlign w:val="center"/>
            <w:hideMark/>
          </w:tcPr>
          <w:p w14:paraId="68690C92" w14:textId="77777777" w:rsidR="009D6BD0" w:rsidRPr="009D6BD0" w:rsidRDefault="009D6BD0" w:rsidP="0082221E">
            <w:pPr>
              <w:pStyle w:val="TableText"/>
              <w:rPr>
                <w:lang w:eastAsia="en-AU"/>
              </w:rPr>
            </w:pPr>
            <w:r w:rsidRPr="009D6BD0">
              <w:rPr>
                <w:lang w:eastAsia="en-AU"/>
              </w:rPr>
              <w:t>2-3 leaf:  250-300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21142C29" w14:textId="77777777" w:rsidR="009D6BD0" w:rsidRPr="009D6BD0" w:rsidRDefault="009D6BD0" w:rsidP="0082221E">
            <w:pPr>
              <w:pStyle w:val="TableText"/>
              <w:rPr>
                <w:lang w:eastAsia="en-AU"/>
              </w:rPr>
            </w:pPr>
            <w:r w:rsidRPr="009D6BD0">
              <w:rPr>
                <w:lang w:eastAsia="en-AU"/>
              </w:rPr>
              <w:t>Supported (max. 251 g acs/ha)</w:t>
            </w:r>
            <w:r w:rsidRPr="009D6BD0" w:rsidDel="008B528B">
              <w:rPr>
                <w:lang w:eastAsia="en-AU"/>
              </w:rPr>
              <w:t xml:space="preserve"> </w:t>
            </w:r>
          </w:p>
        </w:tc>
        <w:tc>
          <w:tcPr>
            <w:tcW w:w="1485" w:type="dxa"/>
            <w:tcBorders>
              <w:top w:val="single" w:sz="4" w:space="0" w:color="auto"/>
              <w:bottom w:val="single" w:sz="4" w:space="0" w:color="auto"/>
              <w:right w:val="single" w:sz="4" w:space="0" w:color="auto"/>
            </w:tcBorders>
            <w:shd w:val="clear" w:color="auto" w:fill="F2E18B"/>
            <w:vAlign w:val="center"/>
          </w:tcPr>
          <w:p w14:paraId="1DEEE2AF"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707B197B"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3D8D6F95" w14:textId="5ABAB718"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w:instrText>
            </w:r>
            <w:r w:rsidR="0082221E">
              <w:rPr>
                <w:vertAlign w:val="superscript"/>
                <w:lang w:eastAsia="en-AU"/>
              </w:rPr>
              <w:instrText xml:space="preserve">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08952B30" w14:textId="77777777" w:rsidTr="005F5DAB">
        <w:trPr>
          <w:cantSplit/>
          <w:trHeight w:val="300"/>
        </w:trPr>
        <w:tc>
          <w:tcPr>
            <w:tcW w:w="1662" w:type="dxa"/>
            <w:vMerge/>
            <w:tcBorders>
              <w:left w:val="single" w:sz="4" w:space="0" w:color="auto"/>
              <w:right w:val="single" w:sz="4" w:space="0" w:color="auto"/>
            </w:tcBorders>
            <w:vAlign w:val="center"/>
          </w:tcPr>
          <w:p w14:paraId="3D2298BC"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734A403B"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028F12C5" w14:textId="77777777" w:rsidR="009D6BD0" w:rsidRPr="009D6BD0" w:rsidRDefault="009D6BD0" w:rsidP="0082221E">
            <w:pPr>
              <w:pStyle w:val="TableText"/>
              <w:rPr>
                <w:lang w:eastAsia="en-AU"/>
              </w:rPr>
            </w:pPr>
            <w:r w:rsidRPr="009D6BD0">
              <w:rPr>
                <w:lang w:eastAsia="en-AU"/>
              </w:rPr>
              <w:t>4 leaf to early tiller:  300-600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45CFC271"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4E634FB4"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52F59763"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32BD997E" w14:textId="77777777" w:rsidR="009D6BD0" w:rsidRPr="009D6BD0" w:rsidRDefault="009D6BD0" w:rsidP="0082221E">
            <w:pPr>
              <w:pStyle w:val="TableText"/>
              <w:rPr>
                <w:lang w:eastAsia="en-AU"/>
              </w:rPr>
            </w:pPr>
            <w:r w:rsidRPr="009D6BD0">
              <w:rPr>
                <w:lang w:eastAsia="en-AU"/>
              </w:rPr>
              <w:t>Not supported</w:t>
            </w:r>
          </w:p>
        </w:tc>
      </w:tr>
      <w:tr w:rsidR="00336554" w:rsidRPr="009D6BD0" w14:paraId="1BD119EA" w14:textId="77777777" w:rsidTr="005F5DAB">
        <w:trPr>
          <w:cantSplit/>
          <w:trHeight w:val="300"/>
        </w:trPr>
        <w:tc>
          <w:tcPr>
            <w:tcW w:w="1662" w:type="dxa"/>
            <w:vMerge/>
            <w:tcBorders>
              <w:left w:val="single" w:sz="4" w:space="0" w:color="auto"/>
              <w:right w:val="single" w:sz="4" w:space="0" w:color="auto"/>
            </w:tcBorders>
            <w:vAlign w:val="center"/>
          </w:tcPr>
          <w:p w14:paraId="1FBBB130"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7E89495D"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73D06733" w14:textId="77777777" w:rsidR="009D6BD0" w:rsidRPr="009D6BD0" w:rsidRDefault="009D6BD0" w:rsidP="0082221E">
            <w:pPr>
              <w:pStyle w:val="TableText"/>
              <w:rPr>
                <w:lang w:eastAsia="en-AU"/>
              </w:rPr>
            </w:pPr>
            <w:r w:rsidRPr="009D6BD0">
              <w:rPr>
                <w:lang w:eastAsia="en-AU"/>
              </w:rPr>
              <w:t>Mid to fully tillered: 600-800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1D13F775"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2208F496" w14:textId="77777777" w:rsidR="009D6BD0" w:rsidRPr="009D6BD0" w:rsidRDefault="009D6BD0" w:rsidP="0082221E">
            <w:pPr>
              <w:pStyle w:val="TableText"/>
              <w:rPr>
                <w:lang w:eastAsia="en-AU"/>
              </w:rPr>
            </w:pPr>
            <w:r w:rsidRPr="009D6BD0">
              <w:rPr>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4C9BD0FE"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10AD8A73" w14:textId="77777777" w:rsidR="009D6BD0" w:rsidRPr="009D6BD0" w:rsidRDefault="009D6BD0" w:rsidP="0082221E">
            <w:pPr>
              <w:pStyle w:val="TableText"/>
              <w:rPr>
                <w:lang w:eastAsia="en-AU"/>
              </w:rPr>
            </w:pPr>
            <w:r w:rsidRPr="009D6BD0">
              <w:rPr>
                <w:lang w:eastAsia="en-AU"/>
              </w:rPr>
              <w:t>Not supported</w:t>
            </w:r>
          </w:p>
        </w:tc>
      </w:tr>
      <w:tr w:rsidR="00336554" w:rsidRPr="009D6BD0" w14:paraId="5E932C43" w14:textId="77777777" w:rsidTr="005F5DAB">
        <w:trPr>
          <w:cantSplit/>
          <w:trHeight w:val="447"/>
        </w:trPr>
        <w:tc>
          <w:tcPr>
            <w:tcW w:w="1662" w:type="dxa"/>
            <w:vMerge/>
            <w:tcBorders>
              <w:left w:val="single" w:sz="4" w:space="0" w:color="auto"/>
              <w:right w:val="single" w:sz="4" w:space="0" w:color="auto"/>
            </w:tcBorders>
            <w:vAlign w:val="center"/>
            <w:hideMark/>
          </w:tcPr>
          <w:p w14:paraId="15CA02D0"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01DA9273" w14:textId="77777777" w:rsidR="009D6BD0" w:rsidRPr="009D6BD0" w:rsidRDefault="009D6BD0" w:rsidP="0082221E">
            <w:pPr>
              <w:pStyle w:val="TableText"/>
              <w:rPr>
                <w:lang w:eastAsia="en-AU"/>
              </w:rPr>
            </w:pPr>
            <w:r w:rsidRPr="009D6BD0">
              <w:rPr>
                <w:lang w:eastAsia="en-AU"/>
              </w:rPr>
              <w:t>Seedling Brassica Weeds</w:t>
            </w:r>
          </w:p>
        </w:tc>
        <w:tc>
          <w:tcPr>
            <w:tcW w:w="1334" w:type="dxa"/>
            <w:tcBorders>
              <w:top w:val="nil"/>
              <w:left w:val="single" w:sz="4" w:space="0" w:color="auto"/>
              <w:bottom w:val="single" w:sz="4" w:space="0" w:color="auto"/>
              <w:right w:val="single" w:sz="4" w:space="0" w:color="auto"/>
            </w:tcBorders>
            <w:vAlign w:val="center"/>
            <w:hideMark/>
          </w:tcPr>
          <w:p w14:paraId="3930F1B0" w14:textId="77777777" w:rsidR="009D6BD0" w:rsidRPr="009D6BD0" w:rsidRDefault="009D6BD0" w:rsidP="0082221E">
            <w:pPr>
              <w:pStyle w:val="TableText"/>
              <w:rPr>
                <w:lang w:eastAsia="en-AU"/>
              </w:rPr>
            </w:pPr>
            <w:r w:rsidRPr="009D6BD0">
              <w:rPr>
                <w:lang w:eastAsia="en-AU"/>
              </w:rPr>
              <w:t xml:space="preserve">1-5 cm diameter: 300-450 g acs/ha (boomspray) </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5B4B15A"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val="restart"/>
            <w:tcBorders>
              <w:top w:val="single" w:sz="4" w:space="0" w:color="auto"/>
              <w:right w:val="single" w:sz="4" w:space="0" w:color="auto"/>
            </w:tcBorders>
            <w:vAlign w:val="center"/>
          </w:tcPr>
          <w:p w14:paraId="20048DF5" w14:textId="77777777" w:rsidR="009D6BD0" w:rsidRPr="009D6BD0" w:rsidRDefault="009D6BD0" w:rsidP="0082221E">
            <w:pPr>
              <w:pStyle w:val="TableText"/>
              <w:rPr>
                <w:lang w:eastAsia="en-AU"/>
              </w:rPr>
            </w:pPr>
            <w:r w:rsidRPr="009D6BD0">
              <w:rPr>
                <w:color w:val="1A1B1A"/>
                <w:lang w:eastAsia="en-AU"/>
              </w:rPr>
              <w:t>Supported</w:t>
            </w:r>
          </w:p>
        </w:tc>
        <w:tc>
          <w:tcPr>
            <w:tcW w:w="1171" w:type="dxa"/>
            <w:vMerge w:val="restart"/>
            <w:tcBorders>
              <w:top w:val="single" w:sz="4" w:space="0" w:color="auto"/>
              <w:left w:val="single" w:sz="4" w:space="0" w:color="auto"/>
              <w:right w:val="single" w:sz="4" w:space="0" w:color="auto"/>
            </w:tcBorders>
            <w:vAlign w:val="center"/>
          </w:tcPr>
          <w:p w14:paraId="69C6B5AF" w14:textId="77777777" w:rsidR="009D6BD0" w:rsidRPr="009D6BD0" w:rsidRDefault="009D6BD0" w:rsidP="0082221E">
            <w:pPr>
              <w:pStyle w:val="TableText"/>
              <w:rPr>
                <w:lang w:eastAsia="en-AU"/>
              </w:rPr>
            </w:pPr>
            <w:r w:rsidRPr="009D6BD0">
              <w:rPr>
                <w:lang w:eastAsia="en-AU"/>
              </w:rPr>
              <w:t>Supported</w:t>
            </w:r>
          </w:p>
        </w:tc>
        <w:tc>
          <w:tcPr>
            <w:tcW w:w="1136" w:type="dxa"/>
            <w:vMerge w:val="restart"/>
            <w:tcBorders>
              <w:top w:val="single" w:sz="4" w:space="0" w:color="auto"/>
              <w:right w:val="single" w:sz="4" w:space="0" w:color="auto"/>
            </w:tcBorders>
            <w:vAlign w:val="center"/>
          </w:tcPr>
          <w:p w14:paraId="0734F7EF" w14:textId="77777777" w:rsidR="009D6BD0" w:rsidRPr="009D6BD0" w:rsidRDefault="009D6BD0" w:rsidP="0082221E">
            <w:pPr>
              <w:pStyle w:val="TableText"/>
              <w:rPr>
                <w:lang w:eastAsia="en-AU"/>
              </w:rPr>
            </w:pPr>
            <w:r w:rsidRPr="009D6BD0">
              <w:rPr>
                <w:lang w:eastAsia="en-AU"/>
              </w:rPr>
              <w:t>Not supported</w:t>
            </w:r>
          </w:p>
        </w:tc>
      </w:tr>
      <w:tr w:rsidR="00336554" w:rsidRPr="009D6BD0" w14:paraId="20675D08" w14:textId="77777777" w:rsidTr="005F5DAB">
        <w:trPr>
          <w:cantSplit/>
          <w:trHeight w:val="183"/>
        </w:trPr>
        <w:tc>
          <w:tcPr>
            <w:tcW w:w="1662" w:type="dxa"/>
            <w:vMerge/>
            <w:tcBorders>
              <w:left w:val="single" w:sz="4" w:space="0" w:color="auto"/>
              <w:right w:val="single" w:sz="4" w:space="0" w:color="auto"/>
            </w:tcBorders>
            <w:vAlign w:val="center"/>
          </w:tcPr>
          <w:p w14:paraId="3A97A646"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66D2B1C8"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3BFB2424" w14:textId="77777777" w:rsidR="009D6BD0" w:rsidRPr="009D6BD0" w:rsidRDefault="009D6BD0" w:rsidP="0082221E">
            <w:pPr>
              <w:pStyle w:val="TableText"/>
              <w:rPr>
                <w:lang w:eastAsia="en-AU"/>
              </w:rPr>
            </w:pPr>
            <w:r w:rsidRPr="009D6BD0">
              <w:rPr>
                <w:lang w:eastAsia="en-AU"/>
              </w:rPr>
              <w:t>5-10 cm diameter: 450-600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2CA654CB"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tcBorders>
              <w:right w:val="single" w:sz="4" w:space="0" w:color="auto"/>
            </w:tcBorders>
            <w:vAlign w:val="center"/>
          </w:tcPr>
          <w:p w14:paraId="040FAFD0" w14:textId="77777777" w:rsidR="009D6BD0" w:rsidRPr="009D6BD0" w:rsidRDefault="009D6BD0" w:rsidP="0082221E">
            <w:pPr>
              <w:pStyle w:val="TableText"/>
              <w:rPr>
                <w:lang w:eastAsia="en-AU"/>
              </w:rPr>
            </w:pPr>
          </w:p>
        </w:tc>
        <w:tc>
          <w:tcPr>
            <w:tcW w:w="1171" w:type="dxa"/>
            <w:vMerge/>
            <w:tcBorders>
              <w:left w:val="single" w:sz="4" w:space="0" w:color="auto"/>
              <w:right w:val="single" w:sz="4" w:space="0" w:color="auto"/>
            </w:tcBorders>
            <w:vAlign w:val="center"/>
          </w:tcPr>
          <w:p w14:paraId="68D87DA6" w14:textId="77777777" w:rsidR="009D6BD0" w:rsidRPr="009D6BD0" w:rsidRDefault="009D6BD0" w:rsidP="0082221E">
            <w:pPr>
              <w:pStyle w:val="TableText"/>
              <w:rPr>
                <w:lang w:eastAsia="en-AU"/>
              </w:rPr>
            </w:pPr>
          </w:p>
        </w:tc>
        <w:tc>
          <w:tcPr>
            <w:tcW w:w="1136" w:type="dxa"/>
            <w:vMerge/>
            <w:tcBorders>
              <w:right w:val="single" w:sz="4" w:space="0" w:color="auto"/>
            </w:tcBorders>
            <w:vAlign w:val="center"/>
          </w:tcPr>
          <w:p w14:paraId="54594742" w14:textId="77777777" w:rsidR="009D6BD0" w:rsidRPr="009D6BD0" w:rsidRDefault="009D6BD0" w:rsidP="0082221E">
            <w:pPr>
              <w:pStyle w:val="TableText"/>
              <w:rPr>
                <w:lang w:eastAsia="en-AU"/>
              </w:rPr>
            </w:pPr>
          </w:p>
        </w:tc>
      </w:tr>
      <w:tr w:rsidR="00336554" w:rsidRPr="009D6BD0" w14:paraId="18A0CFAE" w14:textId="77777777" w:rsidTr="005F5DAB">
        <w:trPr>
          <w:cantSplit/>
          <w:trHeight w:val="183"/>
        </w:trPr>
        <w:tc>
          <w:tcPr>
            <w:tcW w:w="1662" w:type="dxa"/>
            <w:vMerge/>
            <w:tcBorders>
              <w:left w:val="single" w:sz="4" w:space="0" w:color="auto"/>
              <w:right w:val="single" w:sz="4" w:space="0" w:color="auto"/>
            </w:tcBorders>
            <w:vAlign w:val="center"/>
          </w:tcPr>
          <w:p w14:paraId="70F1D539"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088DD510"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4433708C" w14:textId="77777777" w:rsidR="009D6BD0" w:rsidRPr="009D6BD0" w:rsidRDefault="009D6BD0" w:rsidP="0082221E">
            <w:pPr>
              <w:pStyle w:val="TableText"/>
              <w:rPr>
                <w:lang w:eastAsia="en-AU"/>
              </w:rPr>
            </w:pPr>
            <w:r w:rsidRPr="009D6BD0">
              <w:rPr>
                <w:lang w:eastAsia="en-AU"/>
              </w:rPr>
              <w:t>10-20 cm diameter: 600-800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04718B5F"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tcBorders>
              <w:bottom w:val="single" w:sz="4" w:space="0" w:color="auto"/>
              <w:right w:val="single" w:sz="4" w:space="0" w:color="auto"/>
            </w:tcBorders>
            <w:vAlign w:val="center"/>
          </w:tcPr>
          <w:p w14:paraId="12FC6D31" w14:textId="77777777" w:rsidR="009D6BD0" w:rsidRPr="009D6BD0" w:rsidRDefault="009D6BD0" w:rsidP="0082221E">
            <w:pPr>
              <w:pStyle w:val="TableText"/>
              <w:rPr>
                <w:lang w:eastAsia="en-AU"/>
              </w:rPr>
            </w:pPr>
          </w:p>
        </w:tc>
        <w:tc>
          <w:tcPr>
            <w:tcW w:w="1171" w:type="dxa"/>
            <w:vMerge/>
            <w:tcBorders>
              <w:left w:val="single" w:sz="4" w:space="0" w:color="auto"/>
              <w:bottom w:val="single" w:sz="4" w:space="0" w:color="auto"/>
              <w:right w:val="single" w:sz="4" w:space="0" w:color="auto"/>
            </w:tcBorders>
            <w:vAlign w:val="center"/>
          </w:tcPr>
          <w:p w14:paraId="78F5B4AF" w14:textId="77777777" w:rsidR="009D6BD0" w:rsidRPr="009D6BD0" w:rsidRDefault="009D6BD0" w:rsidP="0082221E">
            <w:pPr>
              <w:pStyle w:val="TableText"/>
              <w:rPr>
                <w:lang w:eastAsia="en-AU"/>
              </w:rPr>
            </w:pPr>
          </w:p>
        </w:tc>
        <w:tc>
          <w:tcPr>
            <w:tcW w:w="1136" w:type="dxa"/>
            <w:vMerge/>
            <w:tcBorders>
              <w:bottom w:val="single" w:sz="4" w:space="0" w:color="auto"/>
              <w:right w:val="single" w:sz="4" w:space="0" w:color="auto"/>
            </w:tcBorders>
            <w:vAlign w:val="center"/>
          </w:tcPr>
          <w:p w14:paraId="05218D25" w14:textId="77777777" w:rsidR="009D6BD0" w:rsidRPr="009D6BD0" w:rsidRDefault="009D6BD0" w:rsidP="0082221E">
            <w:pPr>
              <w:pStyle w:val="TableText"/>
              <w:rPr>
                <w:lang w:eastAsia="en-AU"/>
              </w:rPr>
            </w:pPr>
          </w:p>
        </w:tc>
      </w:tr>
      <w:tr w:rsidR="00336554" w:rsidRPr="009D6BD0" w14:paraId="49D22A15" w14:textId="77777777" w:rsidTr="005F5DAB">
        <w:trPr>
          <w:cantSplit/>
          <w:trHeight w:val="363"/>
        </w:trPr>
        <w:tc>
          <w:tcPr>
            <w:tcW w:w="1662" w:type="dxa"/>
            <w:vMerge/>
            <w:tcBorders>
              <w:left w:val="single" w:sz="4" w:space="0" w:color="auto"/>
              <w:right w:val="single" w:sz="4" w:space="0" w:color="auto"/>
            </w:tcBorders>
            <w:vAlign w:val="center"/>
            <w:hideMark/>
          </w:tcPr>
          <w:p w14:paraId="28216544"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2436A55E" w14:textId="77777777" w:rsidR="009D6BD0" w:rsidRPr="009D6BD0" w:rsidRDefault="009D6BD0" w:rsidP="0082221E">
            <w:pPr>
              <w:pStyle w:val="TableText"/>
              <w:rPr>
                <w:lang w:eastAsia="en-AU"/>
              </w:rPr>
            </w:pPr>
            <w:r w:rsidRPr="009D6BD0">
              <w:rPr>
                <w:lang w:eastAsia="en-AU"/>
              </w:rPr>
              <w:t>Other Seedling Broadleaved Weeds</w:t>
            </w:r>
          </w:p>
        </w:tc>
        <w:tc>
          <w:tcPr>
            <w:tcW w:w="1334" w:type="dxa"/>
            <w:tcBorders>
              <w:top w:val="nil"/>
              <w:left w:val="single" w:sz="4" w:space="0" w:color="auto"/>
              <w:bottom w:val="single" w:sz="4" w:space="0" w:color="auto"/>
              <w:right w:val="single" w:sz="4" w:space="0" w:color="auto"/>
            </w:tcBorders>
            <w:vAlign w:val="center"/>
            <w:hideMark/>
          </w:tcPr>
          <w:p w14:paraId="5F72BB72" w14:textId="77777777" w:rsidR="009D6BD0" w:rsidRPr="009D6BD0" w:rsidRDefault="009D6BD0" w:rsidP="0082221E">
            <w:pPr>
              <w:pStyle w:val="TableText"/>
              <w:rPr>
                <w:lang w:eastAsia="en-AU"/>
              </w:rPr>
            </w:pPr>
            <w:r w:rsidRPr="009D6BD0">
              <w:rPr>
                <w:lang w:eastAsia="en-AU"/>
              </w:rPr>
              <w:t>1 to 4 leaf or 1 to 4 cm diameter: 300-450 g acs/ha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F8DFC60"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val="restart"/>
            <w:tcBorders>
              <w:top w:val="single" w:sz="4" w:space="0" w:color="auto"/>
              <w:right w:val="single" w:sz="4" w:space="0" w:color="auto"/>
            </w:tcBorders>
            <w:vAlign w:val="center"/>
          </w:tcPr>
          <w:p w14:paraId="1517C14D"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4B5F52F5" w14:textId="77777777" w:rsidR="009D6BD0" w:rsidRPr="009D6BD0" w:rsidRDefault="009D6BD0" w:rsidP="0082221E">
            <w:pPr>
              <w:pStyle w:val="TableText"/>
              <w:rPr>
                <w:lang w:eastAsia="en-AU"/>
              </w:rPr>
            </w:pPr>
            <w:r w:rsidRPr="009D6BD0">
              <w:rPr>
                <w:lang w:eastAsia="en-AU"/>
              </w:rPr>
              <w:t>Supported</w:t>
            </w:r>
          </w:p>
        </w:tc>
        <w:tc>
          <w:tcPr>
            <w:tcW w:w="1136" w:type="dxa"/>
            <w:vMerge w:val="restart"/>
            <w:tcBorders>
              <w:top w:val="single" w:sz="4" w:space="0" w:color="auto"/>
              <w:right w:val="single" w:sz="4" w:space="0" w:color="auto"/>
            </w:tcBorders>
            <w:vAlign w:val="center"/>
          </w:tcPr>
          <w:p w14:paraId="22FE4C62" w14:textId="77777777" w:rsidR="009D6BD0" w:rsidRPr="009D6BD0" w:rsidRDefault="009D6BD0" w:rsidP="0082221E">
            <w:pPr>
              <w:pStyle w:val="TableText"/>
              <w:rPr>
                <w:lang w:eastAsia="en-AU"/>
              </w:rPr>
            </w:pPr>
            <w:r w:rsidRPr="009D6BD0">
              <w:rPr>
                <w:lang w:eastAsia="en-AU"/>
              </w:rPr>
              <w:t>Not supported</w:t>
            </w:r>
          </w:p>
        </w:tc>
      </w:tr>
      <w:tr w:rsidR="00336554" w:rsidRPr="009D6BD0" w14:paraId="738DA43E" w14:textId="77777777" w:rsidTr="005F5DAB">
        <w:trPr>
          <w:cantSplit/>
          <w:trHeight w:val="363"/>
        </w:trPr>
        <w:tc>
          <w:tcPr>
            <w:tcW w:w="1662" w:type="dxa"/>
            <w:vMerge/>
            <w:tcBorders>
              <w:left w:val="single" w:sz="4" w:space="0" w:color="auto"/>
              <w:right w:val="single" w:sz="4" w:space="0" w:color="auto"/>
            </w:tcBorders>
            <w:vAlign w:val="center"/>
          </w:tcPr>
          <w:p w14:paraId="74AD8391"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3F9D4AAF"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104702E7" w14:textId="77777777" w:rsidR="009D6BD0" w:rsidRPr="009D6BD0" w:rsidRDefault="009D6BD0" w:rsidP="0082221E">
            <w:pPr>
              <w:pStyle w:val="TableText"/>
              <w:rPr>
                <w:lang w:eastAsia="en-AU"/>
              </w:rPr>
            </w:pPr>
            <w:r w:rsidRPr="009D6BD0">
              <w:rPr>
                <w:lang w:eastAsia="en-AU"/>
              </w:rPr>
              <w:t>4-8 leaf or 4-8 cm diameter: 450-800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0F471DE7"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tcBorders>
              <w:bottom w:val="single" w:sz="4" w:space="0" w:color="auto"/>
              <w:right w:val="single" w:sz="4" w:space="0" w:color="auto"/>
            </w:tcBorders>
            <w:vAlign w:val="center"/>
          </w:tcPr>
          <w:p w14:paraId="3652F36C" w14:textId="77777777" w:rsidR="009D6BD0" w:rsidRPr="009D6BD0" w:rsidRDefault="009D6BD0" w:rsidP="0082221E">
            <w:pPr>
              <w:pStyle w:val="TableText"/>
              <w:rPr>
                <w:lang w:eastAsia="en-AU"/>
              </w:rPr>
            </w:pPr>
          </w:p>
        </w:tc>
        <w:tc>
          <w:tcPr>
            <w:tcW w:w="1171" w:type="dxa"/>
            <w:tcBorders>
              <w:top w:val="single" w:sz="4" w:space="0" w:color="auto"/>
              <w:left w:val="single" w:sz="4" w:space="0" w:color="auto"/>
              <w:bottom w:val="single" w:sz="4" w:space="0" w:color="auto"/>
              <w:right w:val="single" w:sz="4" w:space="0" w:color="auto"/>
            </w:tcBorders>
            <w:vAlign w:val="center"/>
          </w:tcPr>
          <w:p w14:paraId="27513B2C" w14:textId="77777777" w:rsidR="009D6BD0" w:rsidRPr="009D6BD0" w:rsidRDefault="009D6BD0" w:rsidP="0082221E">
            <w:pPr>
              <w:pStyle w:val="TableText"/>
              <w:rPr>
                <w:lang w:eastAsia="en-AU"/>
              </w:rPr>
            </w:pPr>
            <w:r w:rsidRPr="009D6BD0">
              <w:rPr>
                <w:lang w:eastAsia="en-AU"/>
              </w:rPr>
              <w:t>Supported</w:t>
            </w:r>
          </w:p>
        </w:tc>
        <w:tc>
          <w:tcPr>
            <w:tcW w:w="1136" w:type="dxa"/>
            <w:vMerge/>
            <w:tcBorders>
              <w:bottom w:val="single" w:sz="4" w:space="0" w:color="auto"/>
              <w:right w:val="single" w:sz="4" w:space="0" w:color="auto"/>
            </w:tcBorders>
            <w:vAlign w:val="center"/>
          </w:tcPr>
          <w:p w14:paraId="7257BEA7" w14:textId="77777777" w:rsidR="009D6BD0" w:rsidRPr="009D6BD0" w:rsidRDefault="009D6BD0" w:rsidP="0082221E">
            <w:pPr>
              <w:pStyle w:val="TableText"/>
              <w:rPr>
                <w:lang w:eastAsia="en-AU"/>
              </w:rPr>
            </w:pPr>
          </w:p>
        </w:tc>
      </w:tr>
      <w:tr w:rsidR="00336554" w:rsidRPr="009D6BD0" w14:paraId="43B51033" w14:textId="77777777" w:rsidTr="005F5DAB">
        <w:trPr>
          <w:cantSplit/>
          <w:trHeight w:val="864"/>
        </w:trPr>
        <w:tc>
          <w:tcPr>
            <w:tcW w:w="1662" w:type="dxa"/>
            <w:vMerge/>
            <w:tcBorders>
              <w:left w:val="single" w:sz="4" w:space="0" w:color="auto"/>
              <w:right w:val="single" w:sz="4" w:space="0" w:color="auto"/>
            </w:tcBorders>
            <w:vAlign w:val="center"/>
            <w:hideMark/>
          </w:tcPr>
          <w:p w14:paraId="6CD03B8C"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0B895B01" w14:textId="77777777" w:rsidR="009D6BD0" w:rsidRPr="009D6BD0" w:rsidRDefault="009D6BD0" w:rsidP="0082221E">
            <w:pPr>
              <w:pStyle w:val="TableText"/>
              <w:rPr>
                <w:lang w:eastAsia="en-AU"/>
              </w:rPr>
            </w:pPr>
            <w:r w:rsidRPr="009D6BD0">
              <w:rPr>
                <w:lang w:eastAsia="en-AU"/>
              </w:rPr>
              <w:t xml:space="preserve">Deadnettle </w:t>
            </w:r>
            <w:r w:rsidRPr="009D6BD0">
              <w:rPr>
                <w:i/>
                <w:iCs/>
                <w:lang w:eastAsia="en-AU"/>
              </w:rPr>
              <w:t>(Lamium amplexicaule)</w:t>
            </w:r>
            <w:r w:rsidRPr="009D6BD0">
              <w:rPr>
                <w:lang w:eastAsia="en-AU"/>
              </w:rPr>
              <w:t xml:space="preserve">, Fumitory </w:t>
            </w:r>
            <w:r w:rsidRPr="009D6BD0">
              <w:rPr>
                <w:i/>
                <w:iCs/>
                <w:lang w:eastAsia="en-AU"/>
              </w:rPr>
              <w:t>(Fumitory spp.)</w:t>
            </w:r>
            <w:r w:rsidRPr="009D6BD0">
              <w:rPr>
                <w:lang w:eastAsia="en-AU"/>
              </w:rPr>
              <w:t xml:space="preserve">, Melilotus </w:t>
            </w:r>
            <w:r w:rsidRPr="009D6BD0">
              <w:rPr>
                <w:i/>
                <w:iCs/>
                <w:lang w:eastAsia="en-AU"/>
              </w:rPr>
              <w:t>(Melilotus spp.)</w:t>
            </w:r>
            <w:r w:rsidRPr="009D6BD0">
              <w:rPr>
                <w:lang w:eastAsia="en-AU"/>
              </w:rPr>
              <w:t xml:space="preserve">, Pimpernel </w:t>
            </w:r>
            <w:r w:rsidRPr="009D6BD0">
              <w:rPr>
                <w:i/>
                <w:iCs/>
                <w:lang w:eastAsia="en-AU"/>
              </w:rPr>
              <w:t>(Anagallis spp.)</w:t>
            </w:r>
            <w:r w:rsidRPr="009D6BD0">
              <w:rPr>
                <w:lang w:eastAsia="en-AU"/>
              </w:rPr>
              <w:t xml:space="preserve">, Poppy </w:t>
            </w:r>
            <w:r w:rsidRPr="009D6BD0">
              <w:rPr>
                <w:i/>
                <w:iCs/>
                <w:lang w:eastAsia="en-AU"/>
              </w:rPr>
              <w:t>(Papaver spp.)</w:t>
            </w:r>
            <w:r w:rsidRPr="009D6BD0">
              <w:rPr>
                <w:lang w:eastAsia="en-AU"/>
              </w:rPr>
              <w:t xml:space="preserve">, Saffron Thistle </w:t>
            </w:r>
            <w:r w:rsidRPr="009D6BD0">
              <w:rPr>
                <w:i/>
                <w:iCs/>
                <w:lang w:eastAsia="en-AU"/>
              </w:rPr>
              <w:t>(Carthmus lanatus)</w:t>
            </w:r>
            <w:r w:rsidRPr="009D6BD0">
              <w:rPr>
                <w:lang w:eastAsia="en-AU"/>
              </w:rPr>
              <w:t xml:space="preserve">, Sheepweed </w:t>
            </w:r>
            <w:r w:rsidRPr="009D6BD0">
              <w:rPr>
                <w:i/>
                <w:iCs/>
                <w:lang w:eastAsia="en-AU"/>
              </w:rPr>
              <w:t>(Buglossoides arvensis)</w:t>
            </w:r>
          </w:p>
        </w:tc>
        <w:tc>
          <w:tcPr>
            <w:tcW w:w="1334" w:type="dxa"/>
            <w:tcBorders>
              <w:top w:val="nil"/>
              <w:left w:val="single" w:sz="4" w:space="0" w:color="auto"/>
              <w:bottom w:val="single" w:sz="4" w:space="0" w:color="auto"/>
              <w:right w:val="single" w:sz="4" w:space="0" w:color="auto"/>
            </w:tcBorders>
            <w:vAlign w:val="center"/>
            <w:hideMark/>
          </w:tcPr>
          <w:p w14:paraId="2F74F3A1" w14:textId="77777777" w:rsidR="009D6BD0" w:rsidRPr="009D6BD0" w:rsidRDefault="009D6BD0" w:rsidP="0082221E">
            <w:pPr>
              <w:pStyle w:val="TableText"/>
              <w:rPr>
                <w:lang w:eastAsia="en-AU"/>
              </w:rPr>
            </w:pPr>
            <w:r w:rsidRPr="009D6BD0">
              <w:rPr>
                <w:lang w:eastAsia="en-AU"/>
              </w:rPr>
              <w:t xml:space="preserve">1 to 10 leaf or 1 to 10 cm diameter: 300-800 g acs/ha (boomspray) </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4B33F28"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5B8AA8F0"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717FDCFF"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514E0C5C" w14:textId="77777777" w:rsidR="009D6BD0" w:rsidRPr="009D6BD0" w:rsidRDefault="009D6BD0" w:rsidP="0082221E">
            <w:pPr>
              <w:pStyle w:val="TableText"/>
              <w:rPr>
                <w:lang w:eastAsia="en-AU"/>
              </w:rPr>
            </w:pPr>
            <w:r w:rsidRPr="009D6BD0">
              <w:rPr>
                <w:lang w:eastAsia="en-AU"/>
              </w:rPr>
              <w:t>Not supported</w:t>
            </w:r>
          </w:p>
        </w:tc>
      </w:tr>
      <w:tr w:rsidR="00336554" w:rsidRPr="009D6BD0" w14:paraId="091BAB45" w14:textId="77777777" w:rsidTr="005F5DAB">
        <w:trPr>
          <w:cantSplit/>
          <w:trHeight w:val="612"/>
        </w:trPr>
        <w:tc>
          <w:tcPr>
            <w:tcW w:w="1662" w:type="dxa"/>
            <w:vMerge/>
            <w:tcBorders>
              <w:left w:val="single" w:sz="4" w:space="0" w:color="auto"/>
              <w:right w:val="single" w:sz="4" w:space="0" w:color="auto"/>
            </w:tcBorders>
            <w:vAlign w:val="center"/>
          </w:tcPr>
          <w:p w14:paraId="52CE6B5A"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tcPr>
          <w:p w14:paraId="53F94EDC" w14:textId="77777777" w:rsidR="009D6BD0" w:rsidRPr="009D6BD0" w:rsidRDefault="009D6BD0" w:rsidP="0082221E">
            <w:pPr>
              <w:pStyle w:val="TableText"/>
              <w:rPr>
                <w:lang w:eastAsia="en-AU"/>
              </w:rPr>
            </w:pPr>
            <w:r w:rsidRPr="009D6BD0">
              <w:rPr>
                <w:lang w:eastAsia="en-AU"/>
              </w:rPr>
              <w:t>Paterson’s curse</w:t>
            </w:r>
            <w:r w:rsidRPr="009D6BD0">
              <w:rPr>
                <w:i/>
                <w:iCs/>
                <w:lang w:eastAsia="en-AU"/>
              </w:rPr>
              <w:t xml:space="preserve"> (Echium plantagineum)</w:t>
            </w:r>
          </w:p>
        </w:tc>
        <w:tc>
          <w:tcPr>
            <w:tcW w:w="1334" w:type="dxa"/>
            <w:tcBorders>
              <w:top w:val="nil"/>
              <w:left w:val="single" w:sz="4" w:space="0" w:color="auto"/>
              <w:bottom w:val="single" w:sz="4" w:space="0" w:color="auto"/>
              <w:right w:val="single" w:sz="4" w:space="0" w:color="auto"/>
            </w:tcBorders>
            <w:vAlign w:val="center"/>
          </w:tcPr>
          <w:p w14:paraId="1E532EBB" w14:textId="77777777" w:rsidR="009D6BD0" w:rsidRPr="009D6BD0" w:rsidRDefault="009D6BD0" w:rsidP="0082221E">
            <w:pPr>
              <w:pStyle w:val="TableText"/>
              <w:rPr>
                <w:lang w:eastAsia="en-AU"/>
              </w:rPr>
            </w:pPr>
            <w:r w:rsidRPr="009D6BD0">
              <w:rPr>
                <w:lang w:eastAsia="en-AU"/>
              </w:rPr>
              <w:t>1 to 5 leaf 450-800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7834897B" w14:textId="77777777" w:rsidR="009D6BD0" w:rsidRPr="009D6BD0" w:rsidRDefault="009D6BD0" w:rsidP="0082221E">
            <w:pPr>
              <w:pStyle w:val="TableText"/>
              <w:rPr>
                <w:lang w:eastAsia="en-AU"/>
              </w:rPr>
            </w:pPr>
            <w:r w:rsidRPr="009D6BD0">
              <w:rPr>
                <w:lang w:eastAsia="en-AU"/>
              </w:rPr>
              <w:t>Not supported (max. 225 g acs/ha</w:t>
            </w:r>
          </w:p>
        </w:tc>
        <w:tc>
          <w:tcPr>
            <w:tcW w:w="1485" w:type="dxa"/>
            <w:tcBorders>
              <w:top w:val="single" w:sz="4" w:space="0" w:color="auto"/>
              <w:bottom w:val="single" w:sz="4" w:space="0" w:color="auto"/>
              <w:right w:val="single" w:sz="4" w:space="0" w:color="auto"/>
            </w:tcBorders>
            <w:vAlign w:val="center"/>
          </w:tcPr>
          <w:p w14:paraId="128B33D0"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014F7D6C"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618B36F4" w14:textId="77777777" w:rsidR="009D6BD0" w:rsidRPr="009D6BD0" w:rsidRDefault="009D6BD0" w:rsidP="0082221E">
            <w:pPr>
              <w:pStyle w:val="TableText"/>
              <w:rPr>
                <w:lang w:eastAsia="en-AU"/>
              </w:rPr>
            </w:pPr>
            <w:r w:rsidRPr="009D6BD0">
              <w:rPr>
                <w:lang w:eastAsia="en-AU"/>
              </w:rPr>
              <w:t>Not supported</w:t>
            </w:r>
          </w:p>
        </w:tc>
      </w:tr>
      <w:tr w:rsidR="00336554" w:rsidRPr="009D6BD0" w14:paraId="7515344A" w14:textId="77777777" w:rsidTr="005F5DAB">
        <w:trPr>
          <w:cantSplit/>
          <w:trHeight w:val="612"/>
        </w:trPr>
        <w:tc>
          <w:tcPr>
            <w:tcW w:w="1662" w:type="dxa"/>
            <w:vMerge/>
            <w:tcBorders>
              <w:left w:val="single" w:sz="4" w:space="0" w:color="auto"/>
              <w:right w:val="single" w:sz="4" w:space="0" w:color="auto"/>
            </w:tcBorders>
            <w:vAlign w:val="center"/>
            <w:hideMark/>
          </w:tcPr>
          <w:p w14:paraId="7BB1D485"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7032EA33" w14:textId="77777777" w:rsidR="009D6BD0" w:rsidRPr="009D6BD0" w:rsidRDefault="009D6BD0" w:rsidP="0082221E">
            <w:pPr>
              <w:pStyle w:val="TableText"/>
              <w:rPr>
                <w:lang w:eastAsia="en-AU"/>
              </w:rPr>
            </w:pPr>
            <w:r w:rsidRPr="009D6BD0">
              <w:rPr>
                <w:lang w:eastAsia="en-AU"/>
              </w:rPr>
              <w:t xml:space="preserve">Wireweed </w:t>
            </w:r>
            <w:r w:rsidRPr="009D6BD0">
              <w:rPr>
                <w:i/>
                <w:iCs/>
                <w:lang w:eastAsia="en-AU"/>
              </w:rPr>
              <w:t>(Polygonum aviculare)</w:t>
            </w:r>
          </w:p>
        </w:tc>
        <w:tc>
          <w:tcPr>
            <w:tcW w:w="1334" w:type="dxa"/>
            <w:tcBorders>
              <w:top w:val="nil"/>
              <w:left w:val="single" w:sz="4" w:space="0" w:color="auto"/>
              <w:bottom w:val="single" w:sz="4" w:space="0" w:color="auto"/>
              <w:right w:val="single" w:sz="4" w:space="0" w:color="auto"/>
            </w:tcBorders>
            <w:vAlign w:val="center"/>
            <w:hideMark/>
          </w:tcPr>
          <w:p w14:paraId="6C4F9857" w14:textId="77777777" w:rsidR="009D6BD0" w:rsidRPr="009D6BD0" w:rsidRDefault="009D6BD0" w:rsidP="0082221E">
            <w:pPr>
              <w:pStyle w:val="TableText"/>
              <w:rPr>
                <w:lang w:eastAsia="en-AU"/>
              </w:rPr>
            </w:pPr>
            <w:r w:rsidRPr="009D6BD0">
              <w:rPr>
                <w:lang w:eastAsia="en-AU"/>
              </w:rPr>
              <w:t>1 to 4 leaf: 300-800 g acs/ha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4943E83"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062EF9A4"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532BB815"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4F41DD9D" w14:textId="77777777" w:rsidR="009D6BD0" w:rsidRPr="009D6BD0" w:rsidRDefault="009D6BD0" w:rsidP="0082221E">
            <w:pPr>
              <w:pStyle w:val="TableText"/>
              <w:rPr>
                <w:lang w:eastAsia="en-AU"/>
              </w:rPr>
            </w:pPr>
            <w:r w:rsidRPr="009D6BD0">
              <w:rPr>
                <w:lang w:eastAsia="en-AU"/>
              </w:rPr>
              <w:t>Not supported</w:t>
            </w:r>
          </w:p>
        </w:tc>
      </w:tr>
      <w:tr w:rsidR="00336554" w:rsidRPr="009D6BD0" w14:paraId="3E055D46" w14:textId="77777777" w:rsidTr="005F5DAB">
        <w:trPr>
          <w:cantSplit/>
          <w:trHeight w:val="612"/>
        </w:trPr>
        <w:tc>
          <w:tcPr>
            <w:tcW w:w="1662" w:type="dxa"/>
            <w:vMerge/>
            <w:tcBorders>
              <w:left w:val="single" w:sz="4" w:space="0" w:color="auto"/>
              <w:right w:val="single" w:sz="4" w:space="0" w:color="auto"/>
            </w:tcBorders>
            <w:vAlign w:val="center"/>
            <w:hideMark/>
          </w:tcPr>
          <w:p w14:paraId="19B03D21"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1925E193" w14:textId="77777777" w:rsidR="009D6BD0" w:rsidRPr="009D6BD0" w:rsidRDefault="009D6BD0" w:rsidP="0082221E">
            <w:pPr>
              <w:pStyle w:val="TableText"/>
              <w:rPr>
                <w:lang w:eastAsia="en-AU"/>
              </w:rPr>
            </w:pPr>
            <w:r w:rsidRPr="009D6BD0">
              <w:rPr>
                <w:lang w:eastAsia="en-AU"/>
              </w:rPr>
              <w:t>Marshmallow</w:t>
            </w:r>
            <w:r w:rsidRPr="009D6BD0">
              <w:rPr>
                <w:i/>
                <w:iCs/>
                <w:lang w:eastAsia="en-AU"/>
              </w:rPr>
              <w:t xml:space="preserve"> (Malva parviflora)</w:t>
            </w:r>
          </w:p>
        </w:tc>
        <w:tc>
          <w:tcPr>
            <w:tcW w:w="1334" w:type="dxa"/>
            <w:tcBorders>
              <w:top w:val="nil"/>
              <w:left w:val="single" w:sz="4" w:space="0" w:color="auto"/>
              <w:bottom w:val="single" w:sz="4" w:space="0" w:color="auto"/>
              <w:right w:val="single" w:sz="4" w:space="0" w:color="auto"/>
            </w:tcBorders>
            <w:vAlign w:val="center"/>
            <w:hideMark/>
          </w:tcPr>
          <w:p w14:paraId="5D4B7BEC" w14:textId="77777777" w:rsidR="009D6BD0" w:rsidRPr="009D6BD0" w:rsidRDefault="009D6BD0" w:rsidP="0082221E">
            <w:pPr>
              <w:pStyle w:val="TableText"/>
              <w:rPr>
                <w:lang w:eastAsia="en-AU"/>
              </w:rPr>
            </w:pPr>
            <w:r w:rsidRPr="009D6BD0">
              <w:rPr>
                <w:lang w:eastAsia="en-AU"/>
              </w:rPr>
              <w:t>1 to 12 leaf: 300-450 g acs/ha plus Oxyfluorfen 75 mL/ha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3DDFD6D"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66501FA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2ADA45F2"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12BA2251" w14:textId="77777777" w:rsidR="009D6BD0" w:rsidRPr="009D6BD0" w:rsidRDefault="009D6BD0" w:rsidP="0082221E">
            <w:pPr>
              <w:pStyle w:val="TableText"/>
              <w:rPr>
                <w:lang w:eastAsia="en-AU"/>
              </w:rPr>
            </w:pPr>
            <w:r w:rsidRPr="009D6BD0">
              <w:rPr>
                <w:lang w:eastAsia="en-AU"/>
              </w:rPr>
              <w:t>Not supported</w:t>
            </w:r>
          </w:p>
        </w:tc>
      </w:tr>
      <w:tr w:rsidR="00336554" w:rsidRPr="009D6BD0" w14:paraId="42855F1D" w14:textId="77777777" w:rsidTr="005F5DAB">
        <w:trPr>
          <w:cantSplit/>
          <w:trHeight w:val="612"/>
        </w:trPr>
        <w:tc>
          <w:tcPr>
            <w:tcW w:w="1662" w:type="dxa"/>
            <w:vMerge/>
            <w:tcBorders>
              <w:left w:val="single" w:sz="4" w:space="0" w:color="auto"/>
              <w:right w:val="single" w:sz="4" w:space="0" w:color="auto"/>
            </w:tcBorders>
            <w:vAlign w:val="center"/>
            <w:hideMark/>
          </w:tcPr>
          <w:p w14:paraId="23DE1590"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19EDEBB7" w14:textId="77777777" w:rsidR="009D6BD0" w:rsidRPr="009D6BD0" w:rsidRDefault="009D6BD0" w:rsidP="0082221E">
            <w:pPr>
              <w:pStyle w:val="TableText"/>
              <w:rPr>
                <w:lang w:eastAsia="en-AU"/>
              </w:rPr>
            </w:pPr>
            <w:r w:rsidRPr="009D6BD0">
              <w:rPr>
                <w:lang w:eastAsia="en-AU"/>
              </w:rPr>
              <w:t>Volunteer Beans, Peas &amp; Lupins</w:t>
            </w:r>
          </w:p>
        </w:tc>
        <w:tc>
          <w:tcPr>
            <w:tcW w:w="1334" w:type="dxa"/>
            <w:tcBorders>
              <w:top w:val="nil"/>
              <w:left w:val="single" w:sz="4" w:space="0" w:color="auto"/>
              <w:bottom w:val="single" w:sz="4" w:space="0" w:color="auto"/>
              <w:right w:val="single" w:sz="4" w:space="0" w:color="auto"/>
            </w:tcBorders>
            <w:vAlign w:val="center"/>
            <w:hideMark/>
          </w:tcPr>
          <w:p w14:paraId="57787A03" w14:textId="77777777" w:rsidR="009D6BD0" w:rsidRPr="009D6BD0" w:rsidRDefault="009D6BD0" w:rsidP="0082221E">
            <w:pPr>
              <w:pStyle w:val="TableText"/>
              <w:rPr>
                <w:lang w:eastAsia="en-AU"/>
              </w:rPr>
            </w:pPr>
            <w:r w:rsidRPr="009D6BD0">
              <w:rPr>
                <w:lang w:eastAsia="en-AU"/>
              </w:rPr>
              <w:t>1 to 6 leaf: 300-450 g acs/ha plus Metsun 5g g/ha or Dicamba 100 g ac/ha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3ED9736"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vAlign w:val="center"/>
          </w:tcPr>
          <w:p w14:paraId="0CCECF75"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vAlign w:val="center"/>
          </w:tcPr>
          <w:p w14:paraId="74F97100"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vAlign w:val="center"/>
          </w:tcPr>
          <w:p w14:paraId="2071015E" w14:textId="77777777" w:rsidR="009D6BD0" w:rsidRPr="009D6BD0" w:rsidRDefault="009D6BD0" w:rsidP="0082221E">
            <w:pPr>
              <w:pStyle w:val="TableText"/>
              <w:rPr>
                <w:lang w:eastAsia="en-AU"/>
              </w:rPr>
            </w:pPr>
            <w:r w:rsidRPr="009D6BD0">
              <w:rPr>
                <w:lang w:eastAsia="en-AU"/>
              </w:rPr>
              <w:t>Not supported</w:t>
            </w:r>
          </w:p>
        </w:tc>
      </w:tr>
      <w:tr w:rsidR="00336554" w:rsidRPr="009D6BD0" w14:paraId="636FFB33" w14:textId="77777777" w:rsidTr="005F5DAB">
        <w:trPr>
          <w:cantSplit/>
          <w:trHeight w:val="451"/>
        </w:trPr>
        <w:tc>
          <w:tcPr>
            <w:tcW w:w="1662" w:type="dxa"/>
            <w:vMerge/>
            <w:tcBorders>
              <w:left w:val="single" w:sz="4" w:space="0" w:color="auto"/>
              <w:right w:val="single" w:sz="4" w:space="0" w:color="auto"/>
            </w:tcBorders>
            <w:vAlign w:val="center"/>
            <w:hideMark/>
          </w:tcPr>
          <w:p w14:paraId="13B0D3DA"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01BC0779" w14:textId="77777777" w:rsidR="009D6BD0" w:rsidRPr="009D6BD0" w:rsidRDefault="009D6BD0" w:rsidP="0082221E">
            <w:pPr>
              <w:pStyle w:val="TableText"/>
              <w:rPr>
                <w:lang w:eastAsia="en-AU"/>
              </w:rPr>
            </w:pPr>
            <w:r w:rsidRPr="009D6BD0">
              <w:rPr>
                <w:lang w:eastAsia="en-AU"/>
              </w:rPr>
              <w:t xml:space="preserve">Medic </w:t>
            </w:r>
            <w:r w:rsidRPr="009D6BD0">
              <w:rPr>
                <w:i/>
                <w:iCs/>
                <w:lang w:eastAsia="en-AU"/>
              </w:rPr>
              <w:t>(Medicago spp.)</w:t>
            </w:r>
            <w:r w:rsidRPr="009D6BD0">
              <w:rPr>
                <w:lang w:eastAsia="en-AU"/>
              </w:rPr>
              <w:t>, Sub-Clover</w:t>
            </w:r>
            <w:r w:rsidRPr="009D6BD0">
              <w:rPr>
                <w:i/>
                <w:iCs/>
                <w:lang w:eastAsia="en-AU"/>
              </w:rPr>
              <w:t xml:space="preserve"> (Trifolium subterraneum)</w:t>
            </w:r>
          </w:p>
        </w:tc>
        <w:tc>
          <w:tcPr>
            <w:tcW w:w="1334" w:type="dxa"/>
            <w:tcBorders>
              <w:top w:val="nil"/>
              <w:left w:val="single" w:sz="4" w:space="0" w:color="auto"/>
              <w:bottom w:val="single" w:sz="4" w:space="0" w:color="auto"/>
              <w:right w:val="single" w:sz="4" w:space="0" w:color="auto"/>
            </w:tcBorders>
            <w:vAlign w:val="center"/>
            <w:hideMark/>
          </w:tcPr>
          <w:p w14:paraId="2577660E" w14:textId="77777777" w:rsidR="009D6BD0" w:rsidRPr="009D6BD0" w:rsidRDefault="009D6BD0" w:rsidP="0082221E">
            <w:pPr>
              <w:pStyle w:val="TableText"/>
              <w:rPr>
                <w:lang w:eastAsia="en-AU"/>
              </w:rPr>
            </w:pPr>
            <w:r w:rsidRPr="009D6BD0">
              <w:rPr>
                <w:lang w:eastAsia="en-AU"/>
              </w:rPr>
              <w:t>1 to 4 leaf or 1 to 4 cm diameter: 300-450 g acs/ha plus Metsun 5 g/ha or Dicamba 100 g ac/ha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092EA4C"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val="restart"/>
            <w:tcBorders>
              <w:top w:val="single" w:sz="4" w:space="0" w:color="auto"/>
              <w:right w:val="single" w:sz="4" w:space="0" w:color="auto"/>
            </w:tcBorders>
            <w:vAlign w:val="center"/>
          </w:tcPr>
          <w:p w14:paraId="4F3353D4" w14:textId="77777777" w:rsidR="009D6BD0" w:rsidRPr="009D6BD0" w:rsidRDefault="009D6BD0" w:rsidP="0082221E">
            <w:pPr>
              <w:pStyle w:val="TableText"/>
              <w:rPr>
                <w:lang w:eastAsia="en-AU"/>
              </w:rPr>
            </w:pPr>
            <w:r w:rsidRPr="009D6BD0">
              <w:rPr>
                <w:color w:val="1A1B1A"/>
                <w:lang w:eastAsia="en-AU"/>
              </w:rPr>
              <w:t>Supported</w:t>
            </w:r>
          </w:p>
        </w:tc>
        <w:tc>
          <w:tcPr>
            <w:tcW w:w="1171" w:type="dxa"/>
            <w:vMerge w:val="restart"/>
            <w:tcBorders>
              <w:top w:val="single" w:sz="4" w:space="0" w:color="auto"/>
              <w:left w:val="single" w:sz="4" w:space="0" w:color="auto"/>
              <w:right w:val="single" w:sz="4" w:space="0" w:color="auto"/>
            </w:tcBorders>
            <w:vAlign w:val="center"/>
          </w:tcPr>
          <w:p w14:paraId="7F23CD58" w14:textId="77777777" w:rsidR="009D6BD0" w:rsidRPr="009D6BD0" w:rsidRDefault="009D6BD0" w:rsidP="0082221E">
            <w:pPr>
              <w:pStyle w:val="TableText"/>
              <w:rPr>
                <w:lang w:eastAsia="en-AU"/>
              </w:rPr>
            </w:pPr>
            <w:r w:rsidRPr="009D6BD0">
              <w:rPr>
                <w:lang w:eastAsia="en-AU"/>
              </w:rPr>
              <w:t>Supported</w:t>
            </w:r>
          </w:p>
        </w:tc>
        <w:tc>
          <w:tcPr>
            <w:tcW w:w="1136" w:type="dxa"/>
            <w:vMerge w:val="restart"/>
            <w:tcBorders>
              <w:top w:val="single" w:sz="4" w:space="0" w:color="auto"/>
              <w:right w:val="single" w:sz="4" w:space="0" w:color="auto"/>
            </w:tcBorders>
            <w:vAlign w:val="center"/>
          </w:tcPr>
          <w:p w14:paraId="1B89A74D" w14:textId="77777777" w:rsidR="009D6BD0" w:rsidRPr="009D6BD0" w:rsidRDefault="009D6BD0" w:rsidP="0082221E">
            <w:pPr>
              <w:pStyle w:val="TableText"/>
              <w:rPr>
                <w:lang w:eastAsia="en-AU"/>
              </w:rPr>
            </w:pPr>
            <w:r w:rsidRPr="009D6BD0">
              <w:rPr>
                <w:lang w:eastAsia="en-AU"/>
              </w:rPr>
              <w:t>Not supported</w:t>
            </w:r>
          </w:p>
        </w:tc>
      </w:tr>
      <w:tr w:rsidR="00336554" w:rsidRPr="009D6BD0" w14:paraId="77255A37" w14:textId="77777777" w:rsidTr="005F5DAB">
        <w:trPr>
          <w:cantSplit/>
          <w:trHeight w:val="451"/>
        </w:trPr>
        <w:tc>
          <w:tcPr>
            <w:tcW w:w="1662" w:type="dxa"/>
            <w:vMerge/>
            <w:tcBorders>
              <w:left w:val="single" w:sz="4" w:space="0" w:color="auto"/>
              <w:right w:val="single" w:sz="4" w:space="0" w:color="auto"/>
            </w:tcBorders>
            <w:vAlign w:val="center"/>
          </w:tcPr>
          <w:p w14:paraId="65C944E5"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7564E82B"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3B2BB7CD" w14:textId="77777777" w:rsidR="009D6BD0" w:rsidRPr="009D6BD0" w:rsidRDefault="009D6BD0" w:rsidP="0082221E">
            <w:pPr>
              <w:pStyle w:val="TableText"/>
              <w:rPr>
                <w:lang w:eastAsia="en-AU"/>
              </w:rPr>
            </w:pPr>
            <w:r w:rsidRPr="009D6BD0">
              <w:rPr>
                <w:lang w:eastAsia="en-AU"/>
              </w:rPr>
              <w:t>4 to 8 leaf or 4 to 8 cm diameter: 300-450 g acs/ha plus Dicamba 100 g ac/ha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173708D2"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tcBorders>
              <w:bottom w:val="single" w:sz="4" w:space="0" w:color="auto"/>
              <w:right w:val="single" w:sz="4" w:space="0" w:color="auto"/>
            </w:tcBorders>
            <w:vAlign w:val="center"/>
          </w:tcPr>
          <w:p w14:paraId="355A0F7F" w14:textId="77777777" w:rsidR="009D6BD0" w:rsidRPr="009D6BD0" w:rsidRDefault="009D6BD0" w:rsidP="0082221E">
            <w:pPr>
              <w:pStyle w:val="TableText"/>
              <w:rPr>
                <w:lang w:eastAsia="en-AU"/>
              </w:rPr>
            </w:pPr>
          </w:p>
        </w:tc>
        <w:tc>
          <w:tcPr>
            <w:tcW w:w="1171" w:type="dxa"/>
            <w:vMerge/>
            <w:tcBorders>
              <w:left w:val="single" w:sz="4" w:space="0" w:color="auto"/>
              <w:bottom w:val="single" w:sz="4" w:space="0" w:color="auto"/>
              <w:right w:val="single" w:sz="4" w:space="0" w:color="auto"/>
            </w:tcBorders>
            <w:vAlign w:val="center"/>
          </w:tcPr>
          <w:p w14:paraId="5B113F3F" w14:textId="77777777" w:rsidR="009D6BD0" w:rsidRPr="009D6BD0" w:rsidRDefault="009D6BD0" w:rsidP="0082221E">
            <w:pPr>
              <w:pStyle w:val="TableText"/>
              <w:rPr>
                <w:lang w:eastAsia="en-AU"/>
              </w:rPr>
            </w:pPr>
          </w:p>
        </w:tc>
        <w:tc>
          <w:tcPr>
            <w:tcW w:w="1136" w:type="dxa"/>
            <w:vMerge/>
            <w:tcBorders>
              <w:bottom w:val="single" w:sz="4" w:space="0" w:color="auto"/>
              <w:right w:val="single" w:sz="4" w:space="0" w:color="auto"/>
            </w:tcBorders>
            <w:vAlign w:val="center"/>
          </w:tcPr>
          <w:p w14:paraId="3FB431FF" w14:textId="77777777" w:rsidR="009D6BD0" w:rsidRPr="009D6BD0" w:rsidRDefault="009D6BD0" w:rsidP="0082221E">
            <w:pPr>
              <w:pStyle w:val="TableText"/>
              <w:rPr>
                <w:lang w:eastAsia="en-AU"/>
              </w:rPr>
            </w:pPr>
          </w:p>
        </w:tc>
      </w:tr>
      <w:tr w:rsidR="00336554" w:rsidRPr="009D6BD0" w14:paraId="0BE9E363" w14:textId="77777777" w:rsidTr="005F5DAB">
        <w:trPr>
          <w:cantSplit/>
          <w:trHeight w:val="382"/>
        </w:trPr>
        <w:tc>
          <w:tcPr>
            <w:tcW w:w="1662" w:type="dxa"/>
            <w:vMerge/>
            <w:tcBorders>
              <w:left w:val="single" w:sz="4" w:space="0" w:color="auto"/>
              <w:right w:val="single" w:sz="4" w:space="0" w:color="auto"/>
            </w:tcBorders>
            <w:vAlign w:val="center"/>
            <w:hideMark/>
          </w:tcPr>
          <w:p w14:paraId="2D8259AF"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7CB74BF0" w14:textId="77777777" w:rsidR="009D6BD0" w:rsidRPr="009D6BD0" w:rsidRDefault="009D6BD0" w:rsidP="0082221E">
            <w:pPr>
              <w:pStyle w:val="TableText"/>
              <w:rPr>
                <w:lang w:eastAsia="en-AU"/>
              </w:rPr>
            </w:pPr>
            <w:r w:rsidRPr="009D6BD0">
              <w:rPr>
                <w:lang w:eastAsia="en-AU"/>
              </w:rPr>
              <w:t>Split application for:</w:t>
            </w:r>
          </w:p>
          <w:p w14:paraId="1EE92D53" w14:textId="77777777" w:rsidR="009D6BD0" w:rsidRPr="009D6BD0" w:rsidRDefault="009D6BD0" w:rsidP="0082221E">
            <w:pPr>
              <w:pStyle w:val="TableText"/>
              <w:rPr>
                <w:lang w:eastAsia="en-AU"/>
              </w:rPr>
            </w:pPr>
            <w:r w:rsidRPr="009D6BD0">
              <w:rPr>
                <w:lang w:eastAsia="en-AU"/>
              </w:rPr>
              <w:t>Sub-Clover (</w:t>
            </w:r>
            <w:r w:rsidRPr="009D6BD0">
              <w:rPr>
                <w:i/>
                <w:iCs/>
                <w:lang w:eastAsia="en-AU"/>
              </w:rPr>
              <w:t xml:space="preserve">Trifolium subterraneum) </w:t>
            </w:r>
            <w:r w:rsidRPr="009D6BD0">
              <w:rPr>
                <w:lang w:eastAsia="en-AU"/>
              </w:rPr>
              <w:t>Perennial Ryegrass</w:t>
            </w:r>
            <w:r w:rsidRPr="009D6BD0">
              <w:rPr>
                <w:i/>
                <w:iCs/>
                <w:lang w:eastAsia="en-AU"/>
              </w:rPr>
              <w:t xml:space="preserve"> (Lolium perenne)</w:t>
            </w:r>
            <w:r w:rsidRPr="009D6BD0">
              <w:rPr>
                <w:lang w:eastAsia="en-AU"/>
              </w:rPr>
              <w:t xml:space="preserve"> Most Annual Weeds</w:t>
            </w:r>
          </w:p>
        </w:tc>
        <w:tc>
          <w:tcPr>
            <w:tcW w:w="1334" w:type="dxa"/>
            <w:tcBorders>
              <w:top w:val="nil"/>
              <w:left w:val="single" w:sz="4" w:space="0" w:color="auto"/>
              <w:bottom w:val="single" w:sz="4" w:space="0" w:color="auto"/>
              <w:right w:val="single" w:sz="4" w:space="0" w:color="auto"/>
            </w:tcBorders>
            <w:vAlign w:val="center"/>
            <w:hideMark/>
          </w:tcPr>
          <w:p w14:paraId="727C9BCC" w14:textId="77777777" w:rsidR="009D6BD0" w:rsidRPr="009D6BD0" w:rsidRDefault="009D6BD0" w:rsidP="0082221E">
            <w:pPr>
              <w:pStyle w:val="TableText"/>
              <w:rPr>
                <w:lang w:eastAsia="en-AU"/>
              </w:rPr>
            </w:pPr>
            <w:r w:rsidRPr="009D6BD0">
              <w:rPr>
                <w:lang w:eastAsia="en-AU"/>
              </w:rPr>
              <w:t>1 to 8 leaf: 2 times 300 g acs/ha (boomspray)</w:t>
            </w:r>
          </w:p>
        </w:tc>
        <w:tc>
          <w:tcPr>
            <w:tcW w:w="1548" w:type="dxa"/>
            <w:vMerge w:val="restart"/>
            <w:tcBorders>
              <w:top w:val="single" w:sz="4" w:space="0" w:color="auto"/>
              <w:left w:val="single" w:sz="4" w:space="0" w:color="auto"/>
              <w:right w:val="single" w:sz="4" w:space="0" w:color="auto"/>
            </w:tcBorders>
            <w:vAlign w:val="center"/>
            <w:hideMark/>
          </w:tcPr>
          <w:p w14:paraId="3171C85D"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val="restart"/>
            <w:tcBorders>
              <w:top w:val="single" w:sz="4" w:space="0" w:color="auto"/>
              <w:right w:val="single" w:sz="4" w:space="0" w:color="auto"/>
            </w:tcBorders>
            <w:vAlign w:val="center"/>
          </w:tcPr>
          <w:p w14:paraId="752056F2" w14:textId="77777777" w:rsidR="009D6BD0" w:rsidRPr="009D6BD0" w:rsidRDefault="009D6BD0" w:rsidP="0082221E">
            <w:pPr>
              <w:pStyle w:val="TableText"/>
              <w:rPr>
                <w:lang w:eastAsia="en-AU"/>
              </w:rPr>
            </w:pPr>
            <w:r w:rsidRPr="009D6BD0">
              <w:rPr>
                <w:color w:val="1A1B1A"/>
                <w:lang w:eastAsia="en-AU"/>
              </w:rPr>
              <w:t>Supported</w:t>
            </w:r>
          </w:p>
        </w:tc>
        <w:tc>
          <w:tcPr>
            <w:tcW w:w="1171" w:type="dxa"/>
            <w:vMerge w:val="restart"/>
            <w:tcBorders>
              <w:top w:val="single" w:sz="4" w:space="0" w:color="auto"/>
              <w:left w:val="single" w:sz="4" w:space="0" w:color="auto"/>
              <w:right w:val="single" w:sz="4" w:space="0" w:color="auto"/>
            </w:tcBorders>
            <w:vAlign w:val="center"/>
          </w:tcPr>
          <w:p w14:paraId="74B486D5" w14:textId="77777777" w:rsidR="009D6BD0" w:rsidRPr="009D6BD0" w:rsidRDefault="009D6BD0" w:rsidP="0082221E">
            <w:pPr>
              <w:pStyle w:val="TableText"/>
              <w:rPr>
                <w:lang w:eastAsia="en-AU"/>
              </w:rPr>
            </w:pPr>
            <w:r w:rsidRPr="009D6BD0">
              <w:rPr>
                <w:lang w:eastAsia="en-AU"/>
              </w:rPr>
              <w:t>Supported</w:t>
            </w:r>
          </w:p>
        </w:tc>
        <w:tc>
          <w:tcPr>
            <w:tcW w:w="1136" w:type="dxa"/>
            <w:vMerge w:val="restart"/>
            <w:tcBorders>
              <w:top w:val="single" w:sz="4" w:space="0" w:color="auto"/>
              <w:right w:val="single" w:sz="4" w:space="0" w:color="auto"/>
            </w:tcBorders>
            <w:vAlign w:val="center"/>
          </w:tcPr>
          <w:p w14:paraId="4CA5A292" w14:textId="77777777" w:rsidR="009D6BD0" w:rsidRPr="009D6BD0" w:rsidRDefault="009D6BD0" w:rsidP="0082221E">
            <w:pPr>
              <w:pStyle w:val="TableText"/>
              <w:rPr>
                <w:lang w:eastAsia="en-AU"/>
              </w:rPr>
            </w:pPr>
            <w:r w:rsidRPr="009D6BD0">
              <w:rPr>
                <w:lang w:eastAsia="en-AU"/>
              </w:rPr>
              <w:t>Not supported</w:t>
            </w:r>
          </w:p>
        </w:tc>
      </w:tr>
      <w:tr w:rsidR="00336554" w:rsidRPr="009D6BD0" w14:paraId="08F5A7C5" w14:textId="77777777" w:rsidTr="005F5DAB">
        <w:trPr>
          <w:cantSplit/>
          <w:trHeight w:val="382"/>
        </w:trPr>
        <w:tc>
          <w:tcPr>
            <w:tcW w:w="1662" w:type="dxa"/>
            <w:vMerge/>
            <w:tcBorders>
              <w:left w:val="single" w:sz="4" w:space="0" w:color="auto"/>
              <w:right w:val="single" w:sz="4" w:space="0" w:color="auto"/>
            </w:tcBorders>
            <w:vAlign w:val="center"/>
          </w:tcPr>
          <w:p w14:paraId="766CA69C"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4140A5BC"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6822E8E6" w14:textId="77777777" w:rsidR="009D6BD0" w:rsidRPr="009D6BD0" w:rsidRDefault="009D6BD0" w:rsidP="0082221E">
            <w:pPr>
              <w:pStyle w:val="TableText"/>
              <w:rPr>
                <w:lang w:eastAsia="en-AU"/>
              </w:rPr>
            </w:pPr>
            <w:r w:rsidRPr="009D6BD0">
              <w:rPr>
                <w:lang w:eastAsia="en-AU"/>
              </w:rPr>
              <w:t>4 leaf to early tiller: 2 times 300 g acs/ha (boomspray)</w:t>
            </w:r>
          </w:p>
        </w:tc>
        <w:tc>
          <w:tcPr>
            <w:tcW w:w="1548" w:type="dxa"/>
            <w:vMerge/>
            <w:tcBorders>
              <w:left w:val="single" w:sz="4" w:space="0" w:color="auto"/>
              <w:right w:val="single" w:sz="4" w:space="0" w:color="auto"/>
            </w:tcBorders>
            <w:vAlign w:val="center"/>
          </w:tcPr>
          <w:p w14:paraId="1E4DA3F6" w14:textId="77777777" w:rsidR="009D6BD0" w:rsidRPr="009D6BD0" w:rsidRDefault="009D6BD0" w:rsidP="0082221E">
            <w:pPr>
              <w:pStyle w:val="TableText"/>
              <w:rPr>
                <w:lang w:eastAsia="en-AU"/>
              </w:rPr>
            </w:pPr>
          </w:p>
        </w:tc>
        <w:tc>
          <w:tcPr>
            <w:tcW w:w="1485" w:type="dxa"/>
            <w:vMerge/>
            <w:tcBorders>
              <w:right w:val="single" w:sz="4" w:space="0" w:color="auto"/>
            </w:tcBorders>
            <w:vAlign w:val="center"/>
          </w:tcPr>
          <w:p w14:paraId="2397D721" w14:textId="77777777" w:rsidR="009D6BD0" w:rsidRPr="009D6BD0" w:rsidRDefault="009D6BD0" w:rsidP="0082221E">
            <w:pPr>
              <w:pStyle w:val="TableText"/>
              <w:rPr>
                <w:lang w:eastAsia="en-AU"/>
              </w:rPr>
            </w:pPr>
          </w:p>
        </w:tc>
        <w:tc>
          <w:tcPr>
            <w:tcW w:w="1171" w:type="dxa"/>
            <w:vMerge/>
            <w:tcBorders>
              <w:left w:val="single" w:sz="4" w:space="0" w:color="auto"/>
              <w:right w:val="single" w:sz="4" w:space="0" w:color="auto"/>
            </w:tcBorders>
            <w:vAlign w:val="center"/>
          </w:tcPr>
          <w:p w14:paraId="1324E0C3" w14:textId="77777777" w:rsidR="009D6BD0" w:rsidRPr="009D6BD0" w:rsidRDefault="009D6BD0" w:rsidP="0082221E">
            <w:pPr>
              <w:pStyle w:val="TableText"/>
              <w:rPr>
                <w:lang w:eastAsia="en-AU"/>
              </w:rPr>
            </w:pPr>
          </w:p>
        </w:tc>
        <w:tc>
          <w:tcPr>
            <w:tcW w:w="1136" w:type="dxa"/>
            <w:vMerge/>
            <w:tcBorders>
              <w:right w:val="single" w:sz="4" w:space="0" w:color="auto"/>
            </w:tcBorders>
            <w:vAlign w:val="center"/>
          </w:tcPr>
          <w:p w14:paraId="08CF4F2B" w14:textId="77777777" w:rsidR="009D6BD0" w:rsidRPr="009D6BD0" w:rsidRDefault="009D6BD0" w:rsidP="0082221E">
            <w:pPr>
              <w:pStyle w:val="TableText"/>
              <w:rPr>
                <w:lang w:eastAsia="en-AU"/>
              </w:rPr>
            </w:pPr>
          </w:p>
        </w:tc>
      </w:tr>
      <w:tr w:rsidR="00336554" w:rsidRPr="009D6BD0" w14:paraId="027E7262" w14:textId="77777777" w:rsidTr="005F5DAB">
        <w:trPr>
          <w:cantSplit/>
          <w:trHeight w:val="382"/>
        </w:trPr>
        <w:tc>
          <w:tcPr>
            <w:tcW w:w="1662" w:type="dxa"/>
            <w:vMerge/>
            <w:tcBorders>
              <w:left w:val="single" w:sz="4" w:space="0" w:color="auto"/>
              <w:right w:val="single" w:sz="4" w:space="0" w:color="auto"/>
            </w:tcBorders>
            <w:vAlign w:val="center"/>
          </w:tcPr>
          <w:p w14:paraId="2FD1FD51"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25EFE8E4"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7FC62BD8" w14:textId="77777777" w:rsidR="009D6BD0" w:rsidRPr="009D6BD0" w:rsidRDefault="009D6BD0" w:rsidP="0082221E">
            <w:pPr>
              <w:pStyle w:val="TableText"/>
              <w:rPr>
                <w:lang w:eastAsia="en-AU"/>
              </w:rPr>
            </w:pPr>
            <w:r w:rsidRPr="009D6BD0">
              <w:rPr>
                <w:lang w:eastAsia="en-AU"/>
              </w:rPr>
              <w:t>Mid to fully tillered: 2 times 400 g acs/ha (boomspray)</w:t>
            </w:r>
          </w:p>
        </w:tc>
        <w:tc>
          <w:tcPr>
            <w:tcW w:w="1548" w:type="dxa"/>
            <w:vMerge/>
            <w:tcBorders>
              <w:left w:val="single" w:sz="4" w:space="0" w:color="auto"/>
              <w:right w:val="single" w:sz="4" w:space="0" w:color="auto"/>
            </w:tcBorders>
            <w:vAlign w:val="center"/>
          </w:tcPr>
          <w:p w14:paraId="708D066F" w14:textId="77777777" w:rsidR="009D6BD0" w:rsidRPr="009D6BD0" w:rsidRDefault="009D6BD0" w:rsidP="0082221E">
            <w:pPr>
              <w:pStyle w:val="TableText"/>
              <w:rPr>
                <w:lang w:eastAsia="en-AU"/>
              </w:rPr>
            </w:pPr>
          </w:p>
        </w:tc>
        <w:tc>
          <w:tcPr>
            <w:tcW w:w="1485" w:type="dxa"/>
            <w:vMerge/>
            <w:tcBorders>
              <w:right w:val="single" w:sz="4" w:space="0" w:color="auto"/>
            </w:tcBorders>
            <w:vAlign w:val="center"/>
          </w:tcPr>
          <w:p w14:paraId="6D3CD206" w14:textId="77777777" w:rsidR="009D6BD0" w:rsidRPr="009D6BD0" w:rsidRDefault="009D6BD0" w:rsidP="0082221E">
            <w:pPr>
              <w:pStyle w:val="TableText"/>
              <w:rPr>
                <w:lang w:eastAsia="en-AU"/>
              </w:rPr>
            </w:pPr>
          </w:p>
        </w:tc>
        <w:tc>
          <w:tcPr>
            <w:tcW w:w="1171" w:type="dxa"/>
            <w:vMerge/>
            <w:tcBorders>
              <w:left w:val="single" w:sz="4" w:space="0" w:color="auto"/>
              <w:bottom w:val="single" w:sz="4" w:space="0" w:color="auto"/>
              <w:right w:val="single" w:sz="4" w:space="0" w:color="auto"/>
            </w:tcBorders>
            <w:vAlign w:val="center"/>
          </w:tcPr>
          <w:p w14:paraId="51521A34" w14:textId="77777777" w:rsidR="009D6BD0" w:rsidRPr="009D6BD0" w:rsidRDefault="009D6BD0" w:rsidP="0082221E">
            <w:pPr>
              <w:pStyle w:val="TableText"/>
              <w:rPr>
                <w:lang w:eastAsia="en-AU"/>
              </w:rPr>
            </w:pPr>
          </w:p>
        </w:tc>
        <w:tc>
          <w:tcPr>
            <w:tcW w:w="1136" w:type="dxa"/>
            <w:vMerge/>
            <w:tcBorders>
              <w:right w:val="single" w:sz="4" w:space="0" w:color="auto"/>
            </w:tcBorders>
            <w:vAlign w:val="center"/>
          </w:tcPr>
          <w:p w14:paraId="55C417A1" w14:textId="77777777" w:rsidR="009D6BD0" w:rsidRPr="009D6BD0" w:rsidRDefault="009D6BD0" w:rsidP="0082221E">
            <w:pPr>
              <w:pStyle w:val="TableText"/>
              <w:rPr>
                <w:lang w:eastAsia="en-AU"/>
              </w:rPr>
            </w:pPr>
          </w:p>
        </w:tc>
      </w:tr>
      <w:tr w:rsidR="00336554" w:rsidRPr="009D6BD0" w14:paraId="12B25D68" w14:textId="77777777" w:rsidTr="005F5DAB">
        <w:trPr>
          <w:cantSplit/>
          <w:trHeight w:val="382"/>
        </w:trPr>
        <w:tc>
          <w:tcPr>
            <w:tcW w:w="1662" w:type="dxa"/>
            <w:vMerge/>
            <w:tcBorders>
              <w:left w:val="single" w:sz="4" w:space="0" w:color="auto"/>
              <w:right w:val="single" w:sz="4" w:space="0" w:color="auto"/>
            </w:tcBorders>
            <w:vAlign w:val="center"/>
          </w:tcPr>
          <w:p w14:paraId="39646B63"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5C7887AF"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16FA32CC" w14:textId="77777777" w:rsidR="009D6BD0" w:rsidRPr="009D6BD0" w:rsidRDefault="009D6BD0" w:rsidP="0082221E">
            <w:pPr>
              <w:pStyle w:val="TableText"/>
              <w:rPr>
                <w:lang w:eastAsia="en-AU"/>
              </w:rPr>
            </w:pPr>
            <w:r w:rsidRPr="009D6BD0">
              <w:rPr>
                <w:lang w:eastAsia="en-AU"/>
              </w:rPr>
              <w:t>Weeds higher than 10cm: 600 to 800 g acs/ha in two applications (boomspray)</w:t>
            </w:r>
          </w:p>
        </w:tc>
        <w:tc>
          <w:tcPr>
            <w:tcW w:w="1548" w:type="dxa"/>
            <w:vMerge/>
            <w:tcBorders>
              <w:left w:val="single" w:sz="4" w:space="0" w:color="auto"/>
              <w:bottom w:val="single" w:sz="4" w:space="0" w:color="auto"/>
              <w:right w:val="single" w:sz="4" w:space="0" w:color="auto"/>
            </w:tcBorders>
            <w:vAlign w:val="center"/>
          </w:tcPr>
          <w:p w14:paraId="177B7701" w14:textId="77777777" w:rsidR="009D6BD0" w:rsidRPr="009D6BD0" w:rsidRDefault="009D6BD0" w:rsidP="0082221E">
            <w:pPr>
              <w:pStyle w:val="TableText"/>
              <w:rPr>
                <w:lang w:eastAsia="en-AU"/>
              </w:rPr>
            </w:pPr>
          </w:p>
        </w:tc>
        <w:tc>
          <w:tcPr>
            <w:tcW w:w="1485" w:type="dxa"/>
            <w:vMerge/>
            <w:tcBorders>
              <w:bottom w:val="single" w:sz="4" w:space="0" w:color="auto"/>
              <w:right w:val="single" w:sz="4" w:space="0" w:color="auto"/>
            </w:tcBorders>
            <w:vAlign w:val="center"/>
          </w:tcPr>
          <w:p w14:paraId="7691325C" w14:textId="77777777" w:rsidR="009D6BD0" w:rsidRPr="009D6BD0" w:rsidRDefault="009D6BD0" w:rsidP="0082221E">
            <w:pPr>
              <w:pStyle w:val="TableText"/>
              <w:rPr>
                <w:lang w:eastAsia="en-AU"/>
              </w:rPr>
            </w:pPr>
          </w:p>
        </w:tc>
        <w:tc>
          <w:tcPr>
            <w:tcW w:w="1171" w:type="dxa"/>
            <w:tcBorders>
              <w:left w:val="single" w:sz="4" w:space="0" w:color="auto"/>
              <w:bottom w:val="single" w:sz="4" w:space="0" w:color="auto"/>
              <w:right w:val="single" w:sz="4" w:space="0" w:color="auto"/>
            </w:tcBorders>
            <w:vAlign w:val="center"/>
          </w:tcPr>
          <w:p w14:paraId="3B45DAD3" w14:textId="77777777" w:rsidR="009D6BD0" w:rsidRPr="009D6BD0" w:rsidRDefault="009D6BD0" w:rsidP="0082221E">
            <w:pPr>
              <w:pStyle w:val="TableText"/>
              <w:rPr>
                <w:lang w:eastAsia="en-AU"/>
              </w:rPr>
            </w:pPr>
            <w:r w:rsidRPr="009D6BD0">
              <w:rPr>
                <w:lang w:eastAsia="en-AU"/>
              </w:rPr>
              <w:t>Supported</w:t>
            </w:r>
          </w:p>
        </w:tc>
        <w:tc>
          <w:tcPr>
            <w:tcW w:w="1136" w:type="dxa"/>
            <w:vMerge/>
            <w:tcBorders>
              <w:bottom w:val="single" w:sz="4" w:space="0" w:color="auto"/>
              <w:right w:val="single" w:sz="4" w:space="0" w:color="auto"/>
            </w:tcBorders>
            <w:vAlign w:val="center"/>
          </w:tcPr>
          <w:p w14:paraId="01E89D9C" w14:textId="77777777" w:rsidR="009D6BD0" w:rsidRPr="009D6BD0" w:rsidRDefault="009D6BD0" w:rsidP="0082221E">
            <w:pPr>
              <w:pStyle w:val="TableText"/>
              <w:rPr>
                <w:lang w:eastAsia="en-AU"/>
              </w:rPr>
            </w:pPr>
          </w:p>
        </w:tc>
      </w:tr>
      <w:tr w:rsidR="00336554" w:rsidRPr="009D6BD0" w14:paraId="72BC01FC" w14:textId="77777777" w:rsidTr="005F5DAB">
        <w:trPr>
          <w:cantSplit/>
          <w:trHeight w:val="363"/>
        </w:trPr>
        <w:tc>
          <w:tcPr>
            <w:tcW w:w="1662" w:type="dxa"/>
            <w:vMerge/>
            <w:tcBorders>
              <w:left w:val="single" w:sz="4" w:space="0" w:color="auto"/>
              <w:right w:val="single" w:sz="4" w:space="0" w:color="auto"/>
            </w:tcBorders>
            <w:vAlign w:val="center"/>
            <w:hideMark/>
          </w:tcPr>
          <w:p w14:paraId="2E144A9D"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5B7F3430" w14:textId="77777777" w:rsidR="009D6BD0" w:rsidRPr="009D6BD0" w:rsidRDefault="009D6BD0" w:rsidP="0082221E">
            <w:pPr>
              <w:pStyle w:val="TableText"/>
              <w:rPr>
                <w:lang w:eastAsia="en-AU"/>
              </w:rPr>
            </w:pPr>
            <w:r w:rsidRPr="009D6BD0">
              <w:rPr>
                <w:lang w:eastAsia="en-AU"/>
              </w:rPr>
              <w:t>Potato Weed</w:t>
            </w:r>
            <w:r w:rsidRPr="009D6BD0">
              <w:rPr>
                <w:i/>
                <w:iCs/>
                <w:lang w:eastAsia="en-AU"/>
              </w:rPr>
              <w:t xml:space="preserve"> (Heliotropium europaeum)</w:t>
            </w:r>
          </w:p>
        </w:tc>
        <w:tc>
          <w:tcPr>
            <w:tcW w:w="1334" w:type="dxa"/>
            <w:tcBorders>
              <w:top w:val="nil"/>
              <w:left w:val="single" w:sz="4" w:space="0" w:color="auto"/>
              <w:bottom w:val="single" w:sz="4" w:space="0" w:color="auto"/>
              <w:right w:val="single" w:sz="4" w:space="0" w:color="auto"/>
            </w:tcBorders>
            <w:vAlign w:val="center"/>
            <w:hideMark/>
          </w:tcPr>
          <w:p w14:paraId="3A01F665" w14:textId="77777777" w:rsidR="009D6BD0" w:rsidRPr="009D6BD0" w:rsidRDefault="009D6BD0" w:rsidP="0082221E">
            <w:pPr>
              <w:pStyle w:val="TableText"/>
              <w:rPr>
                <w:lang w:eastAsia="en-AU"/>
              </w:rPr>
            </w:pPr>
            <w:r w:rsidRPr="009D6BD0">
              <w:rPr>
                <w:lang w:eastAsia="en-AU"/>
              </w:rPr>
              <w:t>1 to 15 cm: 300 to 400 g acs/ha (boomspray)</w:t>
            </w:r>
          </w:p>
        </w:tc>
        <w:tc>
          <w:tcPr>
            <w:tcW w:w="1548" w:type="dxa"/>
            <w:vMerge w:val="restart"/>
            <w:tcBorders>
              <w:left w:val="single" w:sz="4" w:space="0" w:color="auto"/>
              <w:right w:val="single" w:sz="4" w:space="0" w:color="auto"/>
            </w:tcBorders>
            <w:vAlign w:val="center"/>
            <w:hideMark/>
          </w:tcPr>
          <w:p w14:paraId="78565C2D" w14:textId="77777777" w:rsidR="009D6BD0" w:rsidRPr="009D6BD0" w:rsidRDefault="009D6BD0" w:rsidP="0082221E">
            <w:pPr>
              <w:pStyle w:val="TableText"/>
              <w:rPr>
                <w:lang w:eastAsia="en-AU"/>
              </w:rPr>
            </w:pPr>
            <w:r w:rsidRPr="009D6BD0">
              <w:rPr>
                <w:lang w:eastAsia="en-AU"/>
              </w:rPr>
              <w:t>Not supported (max. 251 g acs/ha</w:t>
            </w:r>
          </w:p>
        </w:tc>
        <w:tc>
          <w:tcPr>
            <w:tcW w:w="1485" w:type="dxa"/>
            <w:vMerge w:val="restart"/>
            <w:tcBorders>
              <w:top w:val="single" w:sz="4" w:space="0" w:color="auto"/>
              <w:right w:val="single" w:sz="4" w:space="0" w:color="auto"/>
            </w:tcBorders>
          </w:tcPr>
          <w:p w14:paraId="241B223C" w14:textId="77777777" w:rsidR="009D6BD0" w:rsidRPr="009D6BD0" w:rsidRDefault="009D6BD0" w:rsidP="0082221E">
            <w:pPr>
              <w:pStyle w:val="TableText"/>
              <w:rPr>
                <w:lang w:eastAsia="en-AU"/>
              </w:rPr>
            </w:pPr>
            <w:r w:rsidRPr="009D6BD0">
              <w:rPr>
                <w:color w:val="1A1B1A"/>
                <w:lang w:eastAsia="en-AU"/>
              </w:rPr>
              <w:t>Supported</w:t>
            </w:r>
          </w:p>
        </w:tc>
        <w:tc>
          <w:tcPr>
            <w:tcW w:w="1171" w:type="dxa"/>
            <w:vMerge w:val="restart"/>
            <w:tcBorders>
              <w:top w:val="single" w:sz="4" w:space="0" w:color="auto"/>
              <w:left w:val="single" w:sz="4" w:space="0" w:color="auto"/>
              <w:right w:val="single" w:sz="4" w:space="0" w:color="auto"/>
            </w:tcBorders>
          </w:tcPr>
          <w:p w14:paraId="3FFD2340" w14:textId="77777777" w:rsidR="009D6BD0" w:rsidRPr="009D6BD0" w:rsidRDefault="009D6BD0" w:rsidP="0082221E">
            <w:pPr>
              <w:pStyle w:val="TableText"/>
              <w:rPr>
                <w:lang w:eastAsia="en-AU"/>
              </w:rPr>
            </w:pPr>
            <w:r w:rsidRPr="009D6BD0">
              <w:rPr>
                <w:lang w:eastAsia="en-AU"/>
              </w:rPr>
              <w:t>Supported</w:t>
            </w:r>
          </w:p>
        </w:tc>
        <w:tc>
          <w:tcPr>
            <w:tcW w:w="1136" w:type="dxa"/>
            <w:vMerge w:val="restart"/>
            <w:tcBorders>
              <w:top w:val="single" w:sz="4" w:space="0" w:color="auto"/>
              <w:right w:val="single" w:sz="4" w:space="0" w:color="auto"/>
            </w:tcBorders>
          </w:tcPr>
          <w:p w14:paraId="6D3E24B7" w14:textId="77777777" w:rsidR="009D6BD0" w:rsidRPr="009D6BD0" w:rsidRDefault="009D6BD0" w:rsidP="0082221E">
            <w:pPr>
              <w:pStyle w:val="TableText"/>
              <w:rPr>
                <w:lang w:eastAsia="en-AU"/>
              </w:rPr>
            </w:pPr>
            <w:r w:rsidRPr="009D6BD0">
              <w:rPr>
                <w:lang w:eastAsia="en-AU"/>
              </w:rPr>
              <w:t>Not supported</w:t>
            </w:r>
          </w:p>
        </w:tc>
      </w:tr>
      <w:tr w:rsidR="00336554" w:rsidRPr="009D6BD0" w14:paraId="0E23AEB1" w14:textId="77777777" w:rsidTr="005F5DAB">
        <w:trPr>
          <w:cantSplit/>
          <w:trHeight w:val="363"/>
        </w:trPr>
        <w:tc>
          <w:tcPr>
            <w:tcW w:w="1662" w:type="dxa"/>
            <w:vMerge/>
            <w:tcBorders>
              <w:left w:val="single" w:sz="4" w:space="0" w:color="auto"/>
              <w:bottom w:val="single" w:sz="4" w:space="0" w:color="auto"/>
              <w:right w:val="single" w:sz="4" w:space="0" w:color="auto"/>
            </w:tcBorders>
            <w:vAlign w:val="center"/>
          </w:tcPr>
          <w:p w14:paraId="790364ED"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1243C2CC" w14:textId="77777777" w:rsidR="009D6BD0" w:rsidRPr="009D6BD0" w:rsidRDefault="009D6BD0" w:rsidP="0082221E">
            <w:pPr>
              <w:pStyle w:val="TableText"/>
              <w:rPr>
                <w:lang w:eastAsia="en-AU"/>
              </w:rPr>
            </w:pPr>
          </w:p>
        </w:tc>
        <w:tc>
          <w:tcPr>
            <w:tcW w:w="1334" w:type="dxa"/>
            <w:tcBorders>
              <w:top w:val="nil"/>
              <w:left w:val="single" w:sz="4" w:space="0" w:color="auto"/>
              <w:bottom w:val="single" w:sz="4" w:space="0" w:color="auto"/>
              <w:right w:val="single" w:sz="4" w:space="0" w:color="auto"/>
            </w:tcBorders>
            <w:vAlign w:val="center"/>
          </w:tcPr>
          <w:p w14:paraId="4C94D8C3" w14:textId="77777777" w:rsidR="009D6BD0" w:rsidRPr="009D6BD0" w:rsidRDefault="009D6BD0" w:rsidP="0082221E">
            <w:pPr>
              <w:pStyle w:val="TableText"/>
              <w:rPr>
                <w:lang w:eastAsia="en-AU"/>
              </w:rPr>
            </w:pPr>
            <w:r w:rsidRPr="009D6BD0">
              <w:rPr>
                <w:lang w:eastAsia="en-AU"/>
              </w:rPr>
              <w:t>15 to 30 cm: 400-600 g acs/ha (boomspray)</w:t>
            </w:r>
          </w:p>
        </w:tc>
        <w:tc>
          <w:tcPr>
            <w:tcW w:w="1548" w:type="dxa"/>
            <w:vMerge/>
            <w:tcBorders>
              <w:left w:val="single" w:sz="4" w:space="0" w:color="auto"/>
              <w:bottom w:val="single" w:sz="4" w:space="0" w:color="auto"/>
              <w:right w:val="single" w:sz="4" w:space="0" w:color="auto"/>
            </w:tcBorders>
            <w:vAlign w:val="center"/>
          </w:tcPr>
          <w:p w14:paraId="054C83B7" w14:textId="77777777" w:rsidR="009D6BD0" w:rsidRPr="009D6BD0" w:rsidRDefault="009D6BD0" w:rsidP="0082221E">
            <w:pPr>
              <w:pStyle w:val="TableText"/>
              <w:rPr>
                <w:lang w:eastAsia="en-AU"/>
              </w:rPr>
            </w:pPr>
          </w:p>
        </w:tc>
        <w:tc>
          <w:tcPr>
            <w:tcW w:w="1485" w:type="dxa"/>
            <w:vMerge/>
            <w:tcBorders>
              <w:bottom w:val="single" w:sz="4" w:space="0" w:color="auto"/>
              <w:right w:val="single" w:sz="4" w:space="0" w:color="auto"/>
            </w:tcBorders>
          </w:tcPr>
          <w:p w14:paraId="6365B2E9" w14:textId="77777777" w:rsidR="009D6BD0" w:rsidRPr="009D6BD0" w:rsidRDefault="009D6BD0" w:rsidP="0082221E">
            <w:pPr>
              <w:pStyle w:val="TableText"/>
              <w:rPr>
                <w:lang w:eastAsia="en-AU"/>
              </w:rPr>
            </w:pPr>
          </w:p>
        </w:tc>
        <w:tc>
          <w:tcPr>
            <w:tcW w:w="1171" w:type="dxa"/>
            <w:vMerge/>
            <w:tcBorders>
              <w:left w:val="single" w:sz="4" w:space="0" w:color="auto"/>
              <w:bottom w:val="single" w:sz="4" w:space="0" w:color="auto"/>
              <w:right w:val="single" w:sz="4" w:space="0" w:color="auto"/>
            </w:tcBorders>
          </w:tcPr>
          <w:p w14:paraId="4F8D6DA9" w14:textId="77777777" w:rsidR="009D6BD0" w:rsidRPr="009D6BD0" w:rsidRDefault="009D6BD0" w:rsidP="0082221E">
            <w:pPr>
              <w:pStyle w:val="TableText"/>
              <w:rPr>
                <w:lang w:eastAsia="en-AU"/>
              </w:rPr>
            </w:pPr>
          </w:p>
        </w:tc>
        <w:tc>
          <w:tcPr>
            <w:tcW w:w="1136" w:type="dxa"/>
            <w:vMerge/>
            <w:tcBorders>
              <w:bottom w:val="single" w:sz="4" w:space="0" w:color="auto"/>
              <w:right w:val="single" w:sz="4" w:space="0" w:color="auto"/>
            </w:tcBorders>
          </w:tcPr>
          <w:p w14:paraId="7FB4BE23" w14:textId="77777777" w:rsidR="009D6BD0" w:rsidRPr="009D6BD0" w:rsidRDefault="009D6BD0" w:rsidP="0082221E">
            <w:pPr>
              <w:pStyle w:val="TableText"/>
              <w:rPr>
                <w:lang w:eastAsia="en-AU"/>
              </w:rPr>
            </w:pPr>
          </w:p>
        </w:tc>
      </w:tr>
      <w:tr w:rsidR="00336554" w:rsidRPr="009D6BD0" w14:paraId="0A4C29A9" w14:textId="77777777" w:rsidTr="005F5DAB">
        <w:trPr>
          <w:cantSplit/>
          <w:trHeight w:val="171"/>
        </w:trPr>
        <w:tc>
          <w:tcPr>
            <w:tcW w:w="1662" w:type="dxa"/>
            <w:vMerge w:val="restart"/>
            <w:tcBorders>
              <w:top w:val="nil"/>
              <w:left w:val="single" w:sz="4" w:space="0" w:color="auto"/>
              <w:right w:val="single" w:sz="4" w:space="0" w:color="auto"/>
            </w:tcBorders>
            <w:shd w:val="clear" w:color="auto" w:fill="F2E18B"/>
            <w:vAlign w:val="center"/>
            <w:hideMark/>
          </w:tcPr>
          <w:p w14:paraId="1E2DD1F2" w14:textId="77777777" w:rsidR="009D6BD0" w:rsidRPr="009D6BD0" w:rsidRDefault="009D6BD0" w:rsidP="0082221E">
            <w:pPr>
              <w:pStyle w:val="TableText"/>
              <w:rPr>
                <w:lang w:eastAsia="en-AU"/>
              </w:rPr>
            </w:pPr>
            <w:r w:rsidRPr="009D6BD0">
              <w:rPr>
                <w:lang w:eastAsia="en-AU"/>
              </w:rPr>
              <w:t xml:space="preserve">Aid </w:t>
            </w:r>
            <w:r w:rsidRPr="009D6BD0">
              <w:rPr>
                <w:shd w:val="clear" w:color="auto" w:fill="F2E18B"/>
                <w:lang w:eastAsia="en-AU"/>
              </w:rPr>
              <w:t>to cultivation (Northern Australia - full disturbance</w:t>
            </w:r>
            <w:r w:rsidRPr="009D6BD0">
              <w:rPr>
                <w:lang w:eastAsia="en-AU"/>
              </w:rPr>
              <w:t>)</w:t>
            </w:r>
          </w:p>
        </w:tc>
        <w:tc>
          <w:tcPr>
            <w:tcW w:w="1518" w:type="dxa"/>
            <w:vMerge w:val="restart"/>
            <w:tcBorders>
              <w:top w:val="nil"/>
              <w:left w:val="nil"/>
              <w:right w:val="single" w:sz="4" w:space="0" w:color="auto"/>
            </w:tcBorders>
            <w:shd w:val="clear" w:color="auto" w:fill="F2E18B"/>
            <w:vAlign w:val="center"/>
            <w:hideMark/>
          </w:tcPr>
          <w:p w14:paraId="5EDBE49D" w14:textId="77777777" w:rsidR="009D6BD0" w:rsidRPr="009D6BD0" w:rsidRDefault="009D6BD0" w:rsidP="0082221E">
            <w:pPr>
              <w:pStyle w:val="TableText"/>
              <w:rPr>
                <w:lang w:eastAsia="en-AU"/>
              </w:rPr>
            </w:pPr>
            <w:r w:rsidRPr="009D6BD0">
              <w:rPr>
                <w:lang w:eastAsia="en-AU"/>
              </w:rPr>
              <w:t>Seedling Grasses</w:t>
            </w:r>
          </w:p>
        </w:tc>
        <w:tc>
          <w:tcPr>
            <w:tcW w:w="1334"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34DE419D" w14:textId="77777777" w:rsidR="009D6BD0" w:rsidRPr="009D6BD0" w:rsidRDefault="009D6BD0" w:rsidP="0082221E">
            <w:pPr>
              <w:pStyle w:val="TableText"/>
              <w:rPr>
                <w:lang w:eastAsia="en-AU"/>
              </w:rPr>
            </w:pPr>
            <w:r w:rsidRPr="009D6BD0">
              <w:rPr>
                <w:lang w:eastAsia="en-AU"/>
              </w:rPr>
              <w:t>2 to 3 leaf: 200-300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noWrap/>
            <w:vAlign w:val="center"/>
            <w:hideMark/>
          </w:tcPr>
          <w:p w14:paraId="4D87F110" w14:textId="77777777" w:rsidR="009D6BD0" w:rsidRPr="009D6BD0" w:rsidRDefault="009D6BD0" w:rsidP="0082221E">
            <w:pPr>
              <w:pStyle w:val="TableText"/>
              <w:rPr>
                <w:lang w:eastAsia="en-AU"/>
              </w:rPr>
            </w:pP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vAlign w:val="center"/>
          </w:tcPr>
          <w:p w14:paraId="7337C229"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3D208672"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23D29E74" w14:textId="5AF244CB"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600BC5D3" w14:textId="77777777" w:rsidTr="005F5DAB">
        <w:trPr>
          <w:cantSplit/>
          <w:trHeight w:val="171"/>
        </w:trPr>
        <w:tc>
          <w:tcPr>
            <w:tcW w:w="1662" w:type="dxa"/>
            <w:vMerge/>
            <w:tcBorders>
              <w:left w:val="single" w:sz="4" w:space="0" w:color="auto"/>
              <w:right w:val="single" w:sz="4" w:space="0" w:color="auto"/>
            </w:tcBorders>
            <w:shd w:val="clear" w:color="auto" w:fill="F2E18B"/>
            <w:vAlign w:val="center"/>
          </w:tcPr>
          <w:p w14:paraId="7130A028"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717D191C" w14:textId="77777777" w:rsidR="009D6BD0" w:rsidRPr="009D6BD0" w:rsidRDefault="009D6BD0" w:rsidP="0082221E">
            <w:pPr>
              <w:pStyle w:val="TableText"/>
              <w:rPr>
                <w:lang w:eastAsia="en-AU"/>
              </w:rPr>
            </w:pPr>
          </w:p>
        </w:tc>
        <w:tc>
          <w:tcPr>
            <w:tcW w:w="1334" w:type="dxa"/>
            <w:tcBorders>
              <w:top w:val="single" w:sz="4" w:space="0" w:color="auto"/>
              <w:left w:val="single" w:sz="4" w:space="0" w:color="auto"/>
              <w:bottom w:val="single" w:sz="4" w:space="0" w:color="auto"/>
              <w:right w:val="single" w:sz="4" w:space="0" w:color="auto"/>
            </w:tcBorders>
            <w:vAlign w:val="center"/>
          </w:tcPr>
          <w:p w14:paraId="67394DAB" w14:textId="77777777" w:rsidR="009D6BD0" w:rsidRPr="009D6BD0" w:rsidRDefault="009D6BD0" w:rsidP="0082221E">
            <w:pPr>
              <w:pStyle w:val="TableText"/>
              <w:rPr>
                <w:lang w:eastAsia="en-AU"/>
              </w:rPr>
            </w:pPr>
            <w:r w:rsidRPr="009D6BD0">
              <w:rPr>
                <w:lang w:eastAsia="en-AU"/>
              </w:rPr>
              <w:t>4 leaf to early tiller: 300-400 g acs/ha (boomspray)</w:t>
            </w:r>
          </w:p>
        </w:tc>
        <w:tc>
          <w:tcPr>
            <w:tcW w:w="1548" w:type="dxa"/>
            <w:tcBorders>
              <w:top w:val="single" w:sz="4" w:space="0" w:color="auto"/>
              <w:left w:val="single" w:sz="4" w:space="0" w:color="auto"/>
              <w:bottom w:val="single" w:sz="4" w:space="0" w:color="auto"/>
              <w:right w:val="single" w:sz="4" w:space="0" w:color="auto"/>
            </w:tcBorders>
            <w:noWrap/>
            <w:vAlign w:val="center"/>
          </w:tcPr>
          <w:p w14:paraId="1C6574C3"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shd w:val="clear" w:color="auto" w:fill="FFFFFF"/>
            <w:vAlign w:val="center"/>
          </w:tcPr>
          <w:p w14:paraId="7B3D15EF"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717F5B65"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vAlign w:val="center"/>
          </w:tcPr>
          <w:p w14:paraId="3DE22F59" w14:textId="77777777" w:rsidR="009D6BD0" w:rsidRPr="009D6BD0" w:rsidRDefault="009D6BD0" w:rsidP="0082221E">
            <w:pPr>
              <w:pStyle w:val="TableText"/>
              <w:rPr>
                <w:lang w:eastAsia="en-AU"/>
              </w:rPr>
            </w:pPr>
            <w:r w:rsidRPr="009D6BD0">
              <w:rPr>
                <w:lang w:eastAsia="en-AU"/>
              </w:rPr>
              <w:t>Not supported</w:t>
            </w:r>
          </w:p>
        </w:tc>
      </w:tr>
      <w:tr w:rsidR="00336554" w:rsidRPr="009D6BD0" w14:paraId="68D2744A" w14:textId="77777777" w:rsidTr="005F5DAB">
        <w:trPr>
          <w:cantSplit/>
          <w:trHeight w:val="171"/>
        </w:trPr>
        <w:tc>
          <w:tcPr>
            <w:tcW w:w="1662" w:type="dxa"/>
            <w:vMerge/>
            <w:tcBorders>
              <w:left w:val="single" w:sz="4" w:space="0" w:color="auto"/>
              <w:right w:val="single" w:sz="4" w:space="0" w:color="auto"/>
            </w:tcBorders>
            <w:shd w:val="clear" w:color="auto" w:fill="F2E18B"/>
            <w:vAlign w:val="center"/>
          </w:tcPr>
          <w:p w14:paraId="78C79A42"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1C75E012" w14:textId="77777777" w:rsidR="009D6BD0" w:rsidRPr="009D6BD0" w:rsidRDefault="009D6BD0" w:rsidP="0082221E">
            <w:pPr>
              <w:pStyle w:val="TableText"/>
              <w:rPr>
                <w:lang w:eastAsia="en-AU"/>
              </w:rPr>
            </w:pPr>
          </w:p>
        </w:tc>
        <w:tc>
          <w:tcPr>
            <w:tcW w:w="1334" w:type="dxa"/>
            <w:tcBorders>
              <w:top w:val="single" w:sz="4" w:space="0" w:color="auto"/>
              <w:left w:val="single" w:sz="4" w:space="0" w:color="auto"/>
              <w:bottom w:val="single" w:sz="4" w:space="0" w:color="auto"/>
              <w:right w:val="single" w:sz="4" w:space="0" w:color="auto"/>
            </w:tcBorders>
            <w:vAlign w:val="center"/>
          </w:tcPr>
          <w:p w14:paraId="7121E362" w14:textId="77777777" w:rsidR="009D6BD0" w:rsidRPr="009D6BD0" w:rsidRDefault="009D6BD0" w:rsidP="0082221E">
            <w:pPr>
              <w:pStyle w:val="TableText"/>
              <w:rPr>
                <w:lang w:eastAsia="en-AU"/>
              </w:rPr>
            </w:pPr>
            <w:r w:rsidRPr="009D6BD0">
              <w:rPr>
                <w:lang w:eastAsia="en-AU"/>
              </w:rPr>
              <w:t>Mid to fully tillered: 400-800 g ac/ha (boomspray)</w:t>
            </w:r>
          </w:p>
        </w:tc>
        <w:tc>
          <w:tcPr>
            <w:tcW w:w="1548" w:type="dxa"/>
            <w:tcBorders>
              <w:top w:val="single" w:sz="4" w:space="0" w:color="auto"/>
              <w:left w:val="single" w:sz="4" w:space="0" w:color="auto"/>
              <w:bottom w:val="single" w:sz="4" w:space="0" w:color="auto"/>
              <w:right w:val="single" w:sz="4" w:space="0" w:color="auto"/>
            </w:tcBorders>
            <w:noWrap/>
            <w:vAlign w:val="center"/>
          </w:tcPr>
          <w:p w14:paraId="3C1D266E"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shd w:val="clear" w:color="auto" w:fill="FFFFFF"/>
            <w:vAlign w:val="center"/>
          </w:tcPr>
          <w:p w14:paraId="45581F4E"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60B5C8E7"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vAlign w:val="center"/>
          </w:tcPr>
          <w:p w14:paraId="38E93064" w14:textId="77777777" w:rsidR="009D6BD0" w:rsidRPr="009D6BD0" w:rsidRDefault="009D6BD0" w:rsidP="0082221E">
            <w:pPr>
              <w:pStyle w:val="TableText"/>
              <w:rPr>
                <w:lang w:eastAsia="en-AU"/>
              </w:rPr>
            </w:pPr>
            <w:r w:rsidRPr="009D6BD0">
              <w:rPr>
                <w:lang w:eastAsia="en-AU"/>
              </w:rPr>
              <w:t>Not supported</w:t>
            </w:r>
          </w:p>
        </w:tc>
      </w:tr>
      <w:tr w:rsidR="00336554" w:rsidRPr="009D6BD0" w14:paraId="3B97518D"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3E1E89EC"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shd w:val="clear" w:color="auto" w:fill="F2E18B"/>
            <w:vAlign w:val="center"/>
            <w:hideMark/>
          </w:tcPr>
          <w:p w14:paraId="349DF768" w14:textId="77777777" w:rsidR="009D6BD0" w:rsidRPr="009D6BD0" w:rsidRDefault="009D6BD0" w:rsidP="0082221E">
            <w:pPr>
              <w:pStyle w:val="TableText"/>
              <w:rPr>
                <w:lang w:eastAsia="en-AU"/>
              </w:rPr>
            </w:pPr>
            <w:r w:rsidRPr="009D6BD0">
              <w:rPr>
                <w:lang w:eastAsia="en-AU"/>
              </w:rPr>
              <w:t xml:space="preserve">Sorghum </w:t>
            </w:r>
            <w:r w:rsidRPr="009D6BD0">
              <w:rPr>
                <w:i/>
                <w:iCs/>
                <w:lang w:eastAsia="en-AU"/>
              </w:rPr>
              <w:t>(Sorghum bicolour)</w:t>
            </w:r>
            <w:r w:rsidRPr="009D6BD0">
              <w:rPr>
                <w:lang w:eastAsia="en-AU"/>
              </w:rPr>
              <w:t xml:space="preserve">, Stink Grass </w:t>
            </w:r>
            <w:r w:rsidRPr="009D6BD0">
              <w:rPr>
                <w:i/>
                <w:iCs/>
                <w:lang w:eastAsia="en-AU"/>
              </w:rPr>
              <w:t>(Eragrostis cilianensis)</w:t>
            </w:r>
          </w:p>
        </w:tc>
        <w:tc>
          <w:tcPr>
            <w:tcW w:w="1334"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2B290E00" w14:textId="77777777" w:rsidR="009D6BD0" w:rsidRPr="009D6BD0" w:rsidRDefault="009D6BD0" w:rsidP="0082221E">
            <w:pPr>
              <w:pStyle w:val="TableText"/>
              <w:rPr>
                <w:lang w:eastAsia="en-AU"/>
              </w:rPr>
            </w:pPr>
            <w:r w:rsidRPr="009D6BD0">
              <w:rPr>
                <w:lang w:eastAsia="en-AU"/>
              </w:rPr>
              <w:t>2-3 leaf only: 200-300 g ac/ha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610AD8D6" w14:textId="77777777" w:rsidR="009D6BD0" w:rsidRPr="009D6BD0" w:rsidRDefault="009D6BD0" w:rsidP="0082221E">
            <w:pPr>
              <w:pStyle w:val="TableText"/>
              <w:rPr>
                <w:lang w:eastAsia="en-AU"/>
              </w:rPr>
            </w:pP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tcPr>
          <w:p w14:paraId="782D647A"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tcPr>
          <w:p w14:paraId="00749B41"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tcPr>
          <w:p w14:paraId="1474B4B4" w14:textId="6623058F"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5A3D5E18" w14:textId="77777777" w:rsidTr="005F5DAB">
        <w:trPr>
          <w:cantSplit/>
          <w:trHeight w:val="242"/>
        </w:trPr>
        <w:tc>
          <w:tcPr>
            <w:tcW w:w="1662" w:type="dxa"/>
            <w:vMerge/>
            <w:tcBorders>
              <w:left w:val="single" w:sz="4" w:space="0" w:color="auto"/>
              <w:right w:val="single" w:sz="4" w:space="0" w:color="auto"/>
            </w:tcBorders>
            <w:shd w:val="clear" w:color="auto" w:fill="F2E18B"/>
            <w:vAlign w:val="center"/>
            <w:hideMark/>
          </w:tcPr>
          <w:p w14:paraId="61AA860D" w14:textId="77777777" w:rsidR="009D6BD0" w:rsidRPr="009D6BD0" w:rsidRDefault="009D6BD0" w:rsidP="0082221E">
            <w:pPr>
              <w:pStyle w:val="TableText"/>
              <w:rPr>
                <w:lang w:eastAsia="en-AU"/>
              </w:rPr>
            </w:pPr>
          </w:p>
        </w:tc>
        <w:tc>
          <w:tcPr>
            <w:tcW w:w="1518" w:type="dxa"/>
            <w:vMerge w:val="restart"/>
            <w:tcBorders>
              <w:top w:val="nil"/>
              <w:left w:val="nil"/>
              <w:right w:val="single" w:sz="4" w:space="0" w:color="auto"/>
            </w:tcBorders>
            <w:vAlign w:val="center"/>
            <w:hideMark/>
          </w:tcPr>
          <w:p w14:paraId="65E5916A" w14:textId="77777777" w:rsidR="009D6BD0" w:rsidRPr="009D6BD0" w:rsidRDefault="009D6BD0" w:rsidP="0082221E">
            <w:pPr>
              <w:pStyle w:val="TableText"/>
              <w:rPr>
                <w:lang w:eastAsia="en-AU"/>
              </w:rPr>
            </w:pPr>
            <w:r w:rsidRPr="009D6BD0">
              <w:rPr>
                <w:lang w:eastAsia="en-AU"/>
              </w:rPr>
              <w:t>Seedling Broadleaved Weeds</w:t>
            </w:r>
          </w:p>
        </w:tc>
        <w:tc>
          <w:tcPr>
            <w:tcW w:w="1334"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3308708B" w14:textId="77777777" w:rsidR="009D6BD0" w:rsidRPr="009D6BD0" w:rsidRDefault="009D6BD0" w:rsidP="0082221E">
            <w:pPr>
              <w:pStyle w:val="TableText"/>
              <w:rPr>
                <w:lang w:eastAsia="en-AU"/>
              </w:rPr>
            </w:pPr>
            <w:r w:rsidRPr="009D6BD0">
              <w:rPr>
                <w:lang w:eastAsia="en-AU"/>
              </w:rPr>
              <w:t>1 to 4 leaf: 200-400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65D24096" w14:textId="77777777" w:rsidR="009D6BD0" w:rsidRPr="009D6BD0" w:rsidRDefault="009D6BD0" w:rsidP="0082221E">
            <w:pPr>
              <w:pStyle w:val="TableText"/>
              <w:rPr>
                <w:lang w:eastAsia="en-AU"/>
              </w:rPr>
            </w:pP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vAlign w:val="center"/>
          </w:tcPr>
          <w:p w14:paraId="4E04AE42"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vAlign w:val="center"/>
          </w:tcPr>
          <w:p w14:paraId="249DE5CE"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vAlign w:val="center"/>
          </w:tcPr>
          <w:p w14:paraId="5885E2C8" w14:textId="480EEC35"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w:instrText>
            </w:r>
            <w:r w:rsidR="0082221E">
              <w:rPr>
                <w:vertAlign w:val="superscript"/>
                <w:lang w:eastAsia="en-AU"/>
              </w:rPr>
              <w:instrText xml:space="preserve">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2A28E5A9" w14:textId="77777777" w:rsidTr="005F5DAB">
        <w:trPr>
          <w:cantSplit/>
          <w:trHeight w:val="242"/>
        </w:trPr>
        <w:tc>
          <w:tcPr>
            <w:tcW w:w="1662" w:type="dxa"/>
            <w:vMerge/>
            <w:tcBorders>
              <w:left w:val="single" w:sz="4" w:space="0" w:color="auto"/>
              <w:right w:val="single" w:sz="4" w:space="0" w:color="auto"/>
            </w:tcBorders>
            <w:shd w:val="clear" w:color="auto" w:fill="F2E18B"/>
            <w:vAlign w:val="center"/>
          </w:tcPr>
          <w:p w14:paraId="4C42B0C4" w14:textId="77777777" w:rsidR="009D6BD0" w:rsidRPr="009D6BD0" w:rsidRDefault="009D6BD0" w:rsidP="0082221E">
            <w:pPr>
              <w:pStyle w:val="TableText"/>
              <w:rPr>
                <w:lang w:eastAsia="en-AU"/>
              </w:rPr>
            </w:pPr>
          </w:p>
        </w:tc>
        <w:tc>
          <w:tcPr>
            <w:tcW w:w="1518" w:type="dxa"/>
            <w:vMerge/>
            <w:tcBorders>
              <w:left w:val="nil"/>
              <w:right w:val="single" w:sz="4" w:space="0" w:color="auto"/>
            </w:tcBorders>
            <w:vAlign w:val="center"/>
          </w:tcPr>
          <w:p w14:paraId="35842153" w14:textId="77777777" w:rsidR="009D6BD0" w:rsidRPr="009D6BD0" w:rsidRDefault="009D6BD0" w:rsidP="0082221E">
            <w:pPr>
              <w:pStyle w:val="TableText"/>
              <w:rPr>
                <w:lang w:eastAsia="en-AU"/>
              </w:rPr>
            </w:pPr>
          </w:p>
        </w:tc>
        <w:tc>
          <w:tcPr>
            <w:tcW w:w="1334" w:type="dxa"/>
            <w:tcBorders>
              <w:top w:val="single" w:sz="4" w:space="0" w:color="auto"/>
              <w:left w:val="single" w:sz="4" w:space="0" w:color="auto"/>
              <w:bottom w:val="single" w:sz="4" w:space="0" w:color="auto"/>
              <w:right w:val="single" w:sz="4" w:space="0" w:color="auto"/>
            </w:tcBorders>
            <w:vAlign w:val="center"/>
          </w:tcPr>
          <w:p w14:paraId="28FF49FD" w14:textId="77777777" w:rsidR="009D6BD0" w:rsidRPr="009D6BD0" w:rsidRDefault="009D6BD0" w:rsidP="0082221E">
            <w:pPr>
              <w:pStyle w:val="TableText"/>
              <w:rPr>
                <w:lang w:eastAsia="en-AU"/>
              </w:rPr>
            </w:pPr>
            <w:r w:rsidRPr="009D6BD0">
              <w:rPr>
                <w:lang w:eastAsia="en-AU"/>
              </w:rPr>
              <w:t>4 to 8 leaf: 400-800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64C64AC5"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262F5BEF"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01E696AD"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062F1CD4" w14:textId="77777777" w:rsidR="009D6BD0" w:rsidRPr="009D6BD0" w:rsidRDefault="009D6BD0" w:rsidP="0082221E">
            <w:pPr>
              <w:pStyle w:val="TableText"/>
              <w:rPr>
                <w:lang w:eastAsia="en-AU"/>
              </w:rPr>
            </w:pPr>
            <w:r w:rsidRPr="009D6BD0">
              <w:rPr>
                <w:lang w:eastAsia="en-AU"/>
              </w:rPr>
              <w:t>Not supported</w:t>
            </w:r>
          </w:p>
        </w:tc>
      </w:tr>
      <w:tr w:rsidR="00336554" w:rsidRPr="009D6BD0" w14:paraId="17F2484A" w14:textId="77777777" w:rsidTr="005F5DAB">
        <w:trPr>
          <w:cantSplit/>
          <w:trHeight w:val="242"/>
        </w:trPr>
        <w:tc>
          <w:tcPr>
            <w:tcW w:w="1662" w:type="dxa"/>
            <w:vMerge/>
            <w:tcBorders>
              <w:left w:val="single" w:sz="4" w:space="0" w:color="auto"/>
              <w:right w:val="single" w:sz="4" w:space="0" w:color="auto"/>
            </w:tcBorders>
            <w:shd w:val="clear" w:color="auto" w:fill="F2E18B"/>
            <w:vAlign w:val="center"/>
          </w:tcPr>
          <w:p w14:paraId="1BA3743A"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68AE8373" w14:textId="77777777" w:rsidR="009D6BD0" w:rsidRPr="009D6BD0" w:rsidRDefault="009D6BD0" w:rsidP="0082221E">
            <w:pPr>
              <w:pStyle w:val="TableText"/>
              <w:rPr>
                <w:lang w:eastAsia="en-AU"/>
              </w:rPr>
            </w:pPr>
          </w:p>
        </w:tc>
        <w:tc>
          <w:tcPr>
            <w:tcW w:w="1334" w:type="dxa"/>
            <w:tcBorders>
              <w:top w:val="single" w:sz="4" w:space="0" w:color="auto"/>
              <w:left w:val="single" w:sz="4" w:space="0" w:color="auto"/>
              <w:bottom w:val="single" w:sz="4" w:space="0" w:color="auto"/>
              <w:right w:val="single" w:sz="4" w:space="0" w:color="auto"/>
            </w:tcBorders>
            <w:vAlign w:val="center"/>
          </w:tcPr>
          <w:p w14:paraId="09F5BD54" w14:textId="77777777" w:rsidR="009D6BD0" w:rsidRPr="009D6BD0" w:rsidRDefault="009D6BD0" w:rsidP="0082221E">
            <w:pPr>
              <w:pStyle w:val="TableText"/>
              <w:rPr>
                <w:lang w:eastAsia="en-AU"/>
              </w:rPr>
            </w:pPr>
            <w:r w:rsidRPr="009D6BD0">
              <w:rPr>
                <w:lang w:eastAsia="en-AU"/>
              </w:rPr>
              <w:t>8 to 12 leaf: 800 g acs/ha (boomspray)</w:t>
            </w:r>
          </w:p>
        </w:tc>
        <w:tc>
          <w:tcPr>
            <w:tcW w:w="1548" w:type="dxa"/>
            <w:tcBorders>
              <w:top w:val="single" w:sz="4" w:space="0" w:color="auto"/>
              <w:left w:val="single" w:sz="4" w:space="0" w:color="auto"/>
              <w:bottom w:val="single" w:sz="4" w:space="0" w:color="auto"/>
              <w:right w:val="single" w:sz="4" w:space="0" w:color="auto"/>
            </w:tcBorders>
            <w:vAlign w:val="center"/>
          </w:tcPr>
          <w:p w14:paraId="336CFE3B"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7761F88B"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0488E7E8"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1335690E" w14:textId="77777777" w:rsidR="009D6BD0" w:rsidRPr="009D6BD0" w:rsidRDefault="009D6BD0" w:rsidP="0082221E">
            <w:pPr>
              <w:pStyle w:val="TableText"/>
              <w:rPr>
                <w:lang w:eastAsia="en-AU"/>
              </w:rPr>
            </w:pPr>
            <w:r w:rsidRPr="009D6BD0">
              <w:rPr>
                <w:lang w:eastAsia="en-AU"/>
              </w:rPr>
              <w:t>Not supported</w:t>
            </w:r>
          </w:p>
        </w:tc>
      </w:tr>
      <w:tr w:rsidR="00336554" w:rsidRPr="009D6BD0" w14:paraId="7CC91E07"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7C811002"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7E500A6C" w14:textId="77777777" w:rsidR="009D6BD0" w:rsidRPr="009D6BD0" w:rsidRDefault="009D6BD0" w:rsidP="0082221E">
            <w:pPr>
              <w:pStyle w:val="TableText"/>
              <w:rPr>
                <w:lang w:eastAsia="en-AU"/>
              </w:rPr>
            </w:pPr>
            <w:r w:rsidRPr="009D6BD0">
              <w:rPr>
                <w:lang w:eastAsia="en-AU"/>
              </w:rPr>
              <w:t xml:space="preserve">Native Jute </w:t>
            </w:r>
            <w:r w:rsidRPr="009D6BD0">
              <w:rPr>
                <w:i/>
                <w:iCs/>
                <w:lang w:eastAsia="en-AU"/>
              </w:rPr>
              <w:t>(Corchorus trilocularis)</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FACBF27" w14:textId="77777777" w:rsidR="009D6BD0" w:rsidRPr="009D6BD0" w:rsidRDefault="009D6BD0" w:rsidP="0082221E">
            <w:pPr>
              <w:pStyle w:val="TableText"/>
              <w:rPr>
                <w:lang w:eastAsia="en-AU"/>
              </w:rPr>
            </w:pPr>
            <w:r w:rsidRPr="009D6BD0">
              <w:rPr>
                <w:lang w:eastAsia="en-AU"/>
              </w:rPr>
              <w:t>1 to 8 leaf: 300-400 g acs/ha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12E26FE"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629AA05C"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6106CB34"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5CAE70C4" w14:textId="77777777" w:rsidR="009D6BD0" w:rsidRPr="009D6BD0" w:rsidRDefault="009D6BD0" w:rsidP="0082221E">
            <w:pPr>
              <w:pStyle w:val="TableText"/>
              <w:rPr>
                <w:lang w:eastAsia="en-AU"/>
              </w:rPr>
            </w:pPr>
            <w:r w:rsidRPr="009D6BD0">
              <w:rPr>
                <w:lang w:eastAsia="en-AU"/>
              </w:rPr>
              <w:t>Not supported</w:t>
            </w:r>
          </w:p>
        </w:tc>
      </w:tr>
      <w:tr w:rsidR="00336554" w:rsidRPr="009D6BD0" w14:paraId="6A2B232A" w14:textId="77777777" w:rsidTr="005F5DAB">
        <w:trPr>
          <w:cantSplit/>
          <w:trHeight w:val="612"/>
        </w:trPr>
        <w:tc>
          <w:tcPr>
            <w:tcW w:w="1662" w:type="dxa"/>
            <w:vMerge/>
            <w:tcBorders>
              <w:left w:val="single" w:sz="4" w:space="0" w:color="auto"/>
              <w:right w:val="single" w:sz="4" w:space="0" w:color="auto"/>
            </w:tcBorders>
            <w:shd w:val="clear" w:color="auto" w:fill="F2E18B"/>
            <w:vAlign w:val="center"/>
            <w:hideMark/>
          </w:tcPr>
          <w:p w14:paraId="5DC2E2AC"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187EC989" w14:textId="77777777" w:rsidR="009D6BD0" w:rsidRPr="009D6BD0" w:rsidRDefault="009D6BD0" w:rsidP="0082221E">
            <w:pPr>
              <w:pStyle w:val="TableText"/>
              <w:rPr>
                <w:lang w:eastAsia="en-AU"/>
              </w:rPr>
            </w:pPr>
            <w:r w:rsidRPr="009D6BD0">
              <w:rPr>
                <w:lang w:eastAsia="en-AU"/>
              </w:rPr>
              <w:t>Annual Ground Cherry (</w:t>
            </w:r>
            <w:r w:rsidRPr="009D6BD0">
              <w:rPr>
                <w:i/>
                <w:iCs/>
                <w:lang w:eastAsia="en-AU"/>
              </w:rPr>
              <w:t>Physalis angulata</w:t>
            </w:r>
            <w:r w:rsidRPr="009D6BD0">
              <w:rPr>
                <w:lang w:eastAsia="en-AU"/>
              </w:rPr>
              <w:t xml:space="preserve">), Turnip Weed </w:t>
            </w:r>
            <w:r w:rsidRPr="009D6BD0">
              <w:rPr>
                <w:i/>
                <w:iCs/>
                <w:lang w:eastAsia="en-AU"/>
              </w:rPr>
              <w:t>(Rapistrum rugosum)</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3065992" w14:textId="77777777" w:rsidR="009D6BD0" w:rsidRPr="009D6BD0" w:rsidRDefault="009D6BD0" w:rsidP="0082221E">
            <w:pPr>
              <w:pStyle w:val="TableText"/>
              <w:rPr>
                <w:lang w:eastAsia="en-AU"/>
              </w:rPr>
            </w:pPr>
            <w:r w:rsidRPr="009D6BD0">
              <w:rPr>
                <w:lang w:eastAsia="en-AU"/>
              </w:rPr>
              <w:t>1 to 4 leaf: 300-400 g acs/ha (boomspray)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5A716D9"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6624506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1A2C995E"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3C0475DA" w14:textId="77777777" w:rsidR="009D6BD0" w:rsidRPr="009D6BD0" w:rsidRDefault="009D6BD0" w:rsidP="0082221E">
            <w:pPr>
              <w:pStyle w:val="TableText"/>
              <w:rPr>
                <w:lang w:eastAsia="en-AU"/>
              </w:rPr>
            </w:pPr>
            <w:r w:rsidRPr="009D6BD0">
              <w:rPr>
                <w:lang w:eastAsia="en-AU"/>
              </w:rPr>
              <w:t>Not supported</w:t>
            </w:r>
          </w:p>
        </w:tc>
      </w:tr>
      <w:tr w:rsidR="00336554" w:rsidRPr="009D6BD0" w14:paraId="76BD3706" w14:textId="77777777" w:rsidTr="005F5DAB">
        <w:trPr>
          <w:cantSplit/>
          <w:trHeight w:val="612"/>
        </w:trPr>
        <w:tc>
          <w:tcPr>
            <w:tcW w:w="1662" w:type="dxa"/>
            <w:vMerge/>
            <w:tcBorders>
              <w:left w:val="single" w:sz="4" w:space="0" w:color="auto"/>
              <w:bottom w:val="single" w:sz="4" w:space="0" w:color="auto"/>
              <w:right w:val="single" w:sz="4" w:space="0" w:color="auto"/>
            </w:tcBorders>
            <w:shd w:val="clear" w:color="auto" w:fill="F2E18B"/>
            <w:vAlign w:val="center"/>
            <w:hideMark/>
          </w:tcPr>
          <w:p w14:paraId="71C3329A"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shd w:val="clear" w:color="auto" w:fill="F2E18B"/>
            <w:vAlign w:val="center"/>
            <w:hideMark/>
          </w:tcPr>
          <w:p w14:paraId="68793395" w14:textId="77777777" w:rsidR="009D6BD0" w:rsidRPr="009D6BD0" w:rsidRDefault="009D6BD0" w:rsidP="0082221E">
            <w:pPr>
              <w:pStyle w:val="TableText"/>
              <w:rPr>
                <w:lang w:eastAsia="en-AU"/>
              </w:rPr>
            </w:pPr>
            <w:r w:rsidRPr="009D6BD0">
              <w:rPr>
                <w:lang w:eastAsia="en-AU"/>
              </w:rPr>
              <w:t xml:space="preserve">Boggabri </w:t>
            </w:r>
            <w:r w:rsidRPr="009D6BD0">
              <w:rPr>
                <w:i/>
                <w:iCs/>
                <w:lang w:eastAsia="en-AU"/>
              </w:rPr>
              <w:t>(Amaranthus mitchellii)</w:t>
            </w:r>
            <w:r w:rsidRPr="009D6BD0">
              <w:rPr>
                <w:lang w:eastAsia="en-AU"/>
              </w:rPr>
              <w:t xml:space="preserve">, Hexham Scent </w:t>
            </w:r>
            <w:r w:rsidRPr="009D6BD0">
              <w:rPr>
                <w:i/>
                <w:iCs/>
                <w:lang w:eastAsia="en-AU"/>
              </w:rPr>
              <w:t>(Melilotus indicus)</w:t>
            </w:r>
            <w:r w:rsidRPr="009D6BD0">
              <w:rPr>
                <w:lang w:eastAsia="en-AU"/>
              </w:rPr>
              <w:t xml:space="preserve">, Wild Carrot </w:t>
            </w:r>
            <w:r w:rsidRPr="009D6BD0">
              <w:rPr>
                <w:i/>
                <w:iCs/>
                <w:lang w:eastAsia="en-AU"/>
              </w:rPr>
              <w:t>(Daucus glochidiatus)</w:t>
            </w:r>
            <w:r w:rsidRPr="009D6BD0">
              <w:rPr>
                <w:lang w:eastAsia="en-AU"/>
              </w:rPr>
              <w:t xml:space="preserve">, Speedy Weed </w:t>
            </w:r>
            <w:r w:rsidRPr="009D6BD0">
              <w:rPr>
                <w:i/>
                <w:iCs/>
                <w:lang w:eastAsia="en-AU"/>
              </w:rPr>
              <w:t>(Flaveria australasica)</w:t>
            </w:r>
          </w:p>
        </w:tc>
        <w:tc>
          <w:tcPr>
            <w:tcW w:w="1334"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0CBCBBDD" w14:textId="77777777" w:rsidR="009D6BD0" w:rsidRPr="009D6BD0" w:rsidRDefault="009D6BD0" w:rsidP="0082221E">
            <w:pPr>
              <w:pStyle w:val="TableText"/>
              <w:rPr>
                <w:lang w:eastAsia="en-AU"/>
              </w:rPr>
            </w:pPr>
            <w:r w:rsidRPr="009D6BD0">
              <w:rPr>
                <w:lang w:eastAsia="en-AU"/>
              </w:rPr>
              <w:t>1 to 8 leaf: 200-300 g acs/ha (boomspray)</w:t>
            </w:r>
          </w:p>
        </w:tc>
        <w:tc>
          <w:tcPr>
            <w:tcW w:w="1548" w:type="dxa"/>
            <w:tcBorders>
              <w:top w:val="single" w:sz="4" w:space="0" w:color="auto"/>
              <w:left w:val="single" w:sz="4" w:space="0" w:color="auto"/>
              <w:bottom w:val="single" w:sz="4" w:space="0" w:color="auto"/>
              <w:right w:val="single" w:sz="4" w:space="0" w:color="auto"/>
            </w:tcBorders>
            <w:shd w:val="clear" w:color="auto" w:fill="F2E18B"/>
            <w:vAlign w:val="center"/>
            <w:hideMark/>
          </w:tcPr>
          <w:p w14:paraId="3F7FD3DE" w14:textId="77777777" w:rsidR="009D6BD0" w:rsidRPr="009D6BD0" w:rsidRDefault="009D6BD0" w:rsidP="0082221E">
            <w:pPr>
              <w:pStyle w:val="TableText"/>
              <w:rPr>
                <w:lang w:eastAsia="en-AU"/>
              </w:rPr>
            </w:pPr>
            <w:r w:rsidRPr="009D6BD0">
              <w:rPr>
                <w:lang w:eastAsia="en-AU"/>
              </w:rPr>
              <w:t>Supported up to 251 g acs/ha</w:t>
            </w:r>
          </w:p>
        </w:tc>
        <w:tc>
          <w:tcPr>
            <w:tcW w:w="1485" w:type="dxa"/>
            <w:tcBorders>
              <w:top w:val="single" w:sz="4" w:space="0" w:color="auto"/>
              <w:bottom w:val="single" w:sz="4" w:space="0" w:color="auto"/>
              <w:right w:val="single" w:sz="4" w:space="0" w:color="auto"/>
            </w:tcBorders>
            <w:shd w:val="clear" w:color="auto" w:fill="F2E18B"/>
          </w:tcPr>
          <w:p w14:paraId="25EFC989"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tcPr>
          <w:p w14:paraId="7B135718" w14:textId="77777777" w:rsidR="009D6BD0" w:rsidRPr="009D6BD0" w:rsidRDefault="009D6BD0" w:rsidP="0082221E">
            <w:pPr>
              <w:pStyle w:val="TableText"/>
              <w:rPr>
                <w:lang w:eastAsia="en-AU"/>
              </w:rPr>
            </w:pPr>
            <w:r w:rsidRPr="009D6BD0">
              <w:rPr>
                <w:color w:val="1A1B1A"/>
                <w:lang w:eastAsia="en-AU"/>
              </w:rPr>
              <w:t>Supported</w:t>
            </w:r>
          </w:p>
        </w:tc>
        <w:tc>
          <w:tcPr>
            <w:tcW w:w="1136" w:type="dxa"/>
            <w:tcBorders>
              <w:top w:val="single" w:sz="4" w:space="0" w:color="auto"/>
              <w:bottom w:val="single" w:sz="4" w:space="0" w:color="auto"/>
              <w:right w:val="single" w:sz="4" w:space="0" w:color="auto"/>
            </w:tcBorders>
            <w:shd w:val="clear" w:color="auto" w:fill="F2E18B"/>
          </w:tcPr>
          <w:p w14:paraId="30013B1E" w14:textId="1CCD4A0E" w:rsidR="009D6BD0" w:rsidRPr="009D6BD0" w:rsidRDefault="009D6BD0" w:rsidP="0082221E">
            <w:pPr>
              <w:pStyle w:val="TableText"/>
              <w:rPr>
                <w:lang w:eastAsia="en-AU"/>
              </w:rPr>
            </w:pPr>
            <w:r w:rsidRPr="009D6BD0">
              <w:rPr>
                <w:lang w:eastAsia="en-AU"/>
              </w:rPr>
              <w:t>Supported</w:t>
            </w:r>
            <w:r w:rsidRPr="009D6BD0">
              <w:rPr>
                <w:vertAlign w:val="superscript"/>
                <w:lang w:eastAsia="en-AU"/>
              </w:rPr>
              <w:fldChar w:fldCharType="begin"/>
            </w:r>
            <w:r w:rsidRPr="009D6BD0">
              <w:rPr>
                <w:vertAlign w:val="superscript"/>
                <w:lang w:eastAsia="en-AU"/>
              </w:rPr>
              <w:instrText xml:space="preserve"> NOTEREF _Ref222387482 \h  \* MERGEFORMAT </w:instrText>
            </w:r>
            <w:r w:rsidRPr="009D6BD0">
              <w:rPr>
                <w:vertAlign w:val="superscript"/>
                <w:lang w:eastAsia="en-AU"/>
              </w:rPr>
            </w:r>
            <w:r w:rsidRPr="009D6BD0">
              <w:rPr>
                <w:vertAlign w:val="superscript"/>
                <w:lang w:eastAsia="en-AU"/>
              </w:rPr>
              <w:fldChar w:fldCharType="separate"/>
            </w:r>
            <w:r w:rsidR="008A397D">
              <w:rPr>
                <w:vertAlign w:val="superscript"/>
                <w:lang w:eastAsia="en-AU"/>
              </w:rPr>
              <w:t>42</w:t>
            </w:r>
            <w:r w:rsidRPr="009D6BD0">
              <w:rPr>
                <w:vertAlign w:val="superscript"/>
                <w:lang w:eastAsia="en-AU"/>
              </w:rPr>
              <w:fldChar w:fldCharType="end"/>
            </w:r>
          </w:p>
        </w:tc>
      </w:tr>
      <w:tr w:rsidR="00336554" w:rsidRPr="009D6BD0" w14:paraId="3EA6726A" w14:textId="77777777" w:rsidTr="005F5DAB">
        <w:trPr>
          <w:cantSplit/>
          <w:trHeight w:val="612"/>
        </w:trPr>
        <w:tc>
          <w:tcPr>
            <w:tcW w:w="1662" w:type="dxa"/>
            <w:vMerge w:val="restart"/>
            <w:tcBorders>
              <w:top w:val="nil"/>
              <w:left w:val="single" w:sz="4" w:space="0" w:color="auto"/>
              <w:bottom w:val="single" w:sz="4" w:space="0" w:color="auto"/>
              <w:right w:val="single" w:sz="4" w:space="0" w:color="auto"/>
            </w:tcBorders>
            <w:vAlign w:val="center"/>
            <w:hideMark/>
          </w:tcPr>
          <w:p w14:paraId="1D9A228C" w14:textId="77777777" w:rsidR="009D6BD0" w:rsidRPr="009D6BD0" w:rsidRDefault="009D6BD0" w:rsidP="0082221E">
            <w:pPr>
              <w:pStyle w:val="TableText"/>
              <w:rPr>
                <w:lang w:eastAsia="en-AU"/>
              </w:rPr>
            </w:pPr>
            <w:r w:rsidRPr="009D6BD0">
              <w:rPr>
                <w:lang w:eastAsia="en-AU"/>
              </w:rPr>
              <w:t>Aid to cultivation (Northern Australia - fallow/minimum disturbance)</w:t>
            </w:r>
            <w:r w:rsidRPr="009D6BD0">
              <w:rPr>
                <w:vertAlign w:val="superscript"/>
                <w:lang w:eastAsia="en-AU"/>
              </w:rPr>
              <w:t>####</w:t>
            </w:r>
          </w:p>
        </w:tc>
        <w:tc>
          <w:tcPr>
            <w:tcW w:w="1518" w:type="dxa"/>
            <w:tcBorders>
              <w:top w:val="nil"/>
              <w:left w:val="nil"/>
              <w:bottom w:val="single" w:sz="4" w:space="0" w:color="auto"/>
              <w:right w:val="single" w:sz="4" w:space="0" w:color="auto"/>
            </w:tcBorders>
            <w:vAlign w:val="center"/>
            <w:hideMark/>
          </w:tcPr>
          <w:p w14:paraId="3D2C1C91" w14:textId="77777777" w:rsidR="009D6BD0" w:rsidRPr="009D6BD0" w:rsidRDefault="009D6BD0" w:rsidP="0082221E">
            <w:pPr>
              <w:pStyle w:val="TableText"/>
              <w:rPr>
                <w:lang w:eastAsia="en-AU"/>
              </w:rPr>
            </w:pPr>
            <w:r w:rsidRPr="009D6BD0">
              <w:rPr>
                <w:lang w:eastAsia="en-AU"/>
              </w:rPr>
              <w:t>Seedling Grasses</w:t>
            </w:r>
          </w:p>
        </w:tc>
        <w:tc>
          <w:tcPr>
            <w:tcW w:w="1334" w:type="dxa"/>
            <w:vMerge w:val="restart"/>
            <w:tcBorders>
              <w:top w:val="nil"/>
              <w:left w:val="single" w:sz="4" w:space="0" w:color="auto"/>
              <w:bottom w:val="single" w:sz="4" w:space="0" w:color="auto"/>
              <w:right w:val="single" w:sz="4" w:space="0" w:color="auto"/>
            </w:tcBorders>
            <w:vAlign w:val="center"/>
            <w:hideMark/>
          </w:tcPr>
          <w:p w14:paraId="6050B9FF" w14:textId="77777777" w:rsidR="009D6BD0" w:rsidRPr="009D6BD0" w:rsidRDefault="009D6BD0" w:rsidP="0082221E">
            <w:pPr>
              <w:pStyle w:val="TableText"/>
              <w:rPr>
                <w:lang w:eastAsia="en-AU"/>
              </w:rPr>
            </w:pPr>
            <w:r w:rsidRPr="009D6BD0">
              <w:rPr>
                <w:lang w:eastAsia="en-AU"/>
              </w:rPr>
              <w:t>300-800 g ac/ha (Boomspray)</w:t>
            </w:r>
          </w:p>
        </w:tc>
        <w:tc>
          <w:tcPr>
            <w:tcW w:w="1548" w:type="dxa"/>
            <w:vMerge w:val="restart"/>
            <w:tcBorders>
              <w:top w:val="nil"/>
              <w:left w:val="single" w:sz="4" w:space="0" w:color="auto"/>
              <w:bottom w:val="single" w:sz="4" w:space="0" w:color="auto"/>
              <w:right w:val="single" w:sz="4" w:space="0" w:color="auto"/>
            </w:tcBorders>
            <w:noWrap/>
            <w:vAlign w:val="center"/>
            <w:hideMark/>
          </w:tcPr>
          <w:p w14:paraId="13FC44E1"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4FEB2C07"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C04DC8B"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318D655D" w14:textId="77777777" w:rsidR="009D6BD0" w:rsidRPr="009D6BD0" w:rsidRDefault="009D6BD0" w:rsidP="0082221E">
            <w:pPr>
              <w:pStyle w:val="TableText"/>
              <w:rPr>
                <w:lang w:eastAsia="en-AU"/>
              </w:rPr>
            </w:pPr>
            <w:r w:rsidRPr="009D6BD0">
              <w:rPr>
                <w:lang w:eastAsia="en-AU"/>
              </w:rPr>
              <w:t>Not supported</w:t>
            </w:r>
          </w:p>
        </w:tc>
      </w:tr>
      <w:tr w:rsidR="00336554" w:rsidRPr="009D6BD0" w14:paraId="596FDF56" w14:textId="77777777" w:rsidTr="005F5DAB">
        <w:trPr>
          <w:cantSplit/>
          <w:trHeight w:val="612"/>
        </w:trPr>
        <w:tc>
          <w:tcPr>
            <w:tcW w:w="1662" w:type="dxa"/>
            <w:vMerge/>
            <w:tcBorders>
              <w:top w:val="nil"/>
              <w:left w:val="single" w:sz="4" w:space="0" w:color="auto"/>
              <w:bottom w:val="single" w:sz="4" w:space="0" w:color="auto"/>
              <w:right w:val="single" w:sz="4" w:space="0" w:color="auto"/>
            </w:tcBorders>
            <w:vAlign w:val="center"/>
            <w:hideMark/>
          </w:tcPr>
          <w:p w14:paraId="10A7C7B4"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0FA4EFED" w14:textId="77777777" w:rsidR="009D6BD0" w:rsidRPr="009D6BD0" w:rsidRDefault="009D6BD0" w:rsidP="0082221E">
            <w:pPr>
              <w:pStyle w:val="TableText"/>
              <w:rPr>
                <w:lang w:eastAsia="en-AU"/>
              </w:rPr>
            </w:pPr>
            <w:r w:rsidRPr="009D6BD0">
              <w:rPr>
                <w:lang w:eastAsia="en-AU"/>
              </w:rPr>
              <w:t>Seedling Broadleaved Weeds</w:t>
            </w:r>
          </w:p>
        </w:tc>
        <w:tc>
          <w:tcPr>
            <w:tcW w:w="1334" w:type="dxa"/>
            <w:vMerge/>
            <w:tcBorders>
              <w:top w:val="nil"/>
              <w:left w:val="single" w:sz="4" w:space="0" w:color="auto"/>
              <w:bottom w:val="single" w:sz="4" w:space="0" w:color="auto"/>
              <w:right w:val="single" w:sz="4" w:space="0" w:color="auto"/>
            </w:tcBorders>
            <w:vAlign w:val="center"/>
            <w:hideMark/>
          </w:tcPr>
          <w:p w14:paraId="45951F07" w14:textId="77777777" w:rsidR="009D6BD0" w:rsidRPr="009D6BD0" w:rsidRDefault="009D6BD0" w:rsidP="0082221E">
            <w:pPr>
              <w:pStyle w:val="TableText"/>
              <w:rPr>
                <w:lang w:eastAsia="en-AU"/>
              </w:rPr>
            </w:pPr>
          </w:p>
        </w:tc>
        <w:tc>
          <w:tcPr>
            <w:tcW w:w="1548" w:type="dxa"/>
            <w:vMerge/>
            <w:tcBorders>
              <w:top w:val="nil"/>
              <w:left w:val="single" w:sz="4" w:space="0" w:color="auto"/>
              <w:bottom w:val="single" w:sz="4" w:space="0" w:color="auto"/>
              <w:right w:val="single" w:sz="4" w:space="0" w:color="auto"/>
            </w:tcBorders>
            <w:vAlign w:val="center"/>
            <w:hideMark/>
          </w:tcPr>
          <w:p w14:paraId="04D437C6"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5C6C4D7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41E3CFD4"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5BA8C172" w14:textId="77777777" w:rsidR="009D6BD0" w:rsidRPr="009D6BD0" w:rsidRDefault="009D6BD0" w:rsidP="0082221E">
            <w:pPr>
              <w:pStyle w:val="TableText"/>
              <w:rPr>
                <w:lang w:eastAsia="en-AU"/>
              </w:rPr>
            </w:pPr>
            <w:r w:rsidRPr="009D6BD0">
              <w:rPr>
                <w:lang w:eastAsia="en-AU"/>
              </w:rPr>
              <w:t>Not supported</w:t>
            </w:r>
          </w:p>
        </w:tc>
      </w:tr>
      <w:tr w:rsidR="00336554" w:rsidRPr="009D6BD0" w14:paraId="6A018AA8" w14:textId="77777777" w:rsidTr="005F5DAB">
        <w:trPr>
          <w:cantSplit/>
          <w:trHeight w:val="612"/>
        </w:trPr>
        <w:tc>
          <w:tcPr>
            <w:tcW w:w="1662" w:type="dxa"/>
            <w:vMerge/>
            <w:tcBorders>
              <w:top w:val="nil"/>
              <w:left w:val="single" w:sz="4" w:space="0" w:color="auto"/>
              <w:bottom w:val="single" w:sz="4" w:space="0" w:color="auto"/>
              <w:right w:val="single" w:sz="4" w:space="0" w:color="auto"/>
            </w:tcBorders>
            <w:vAlign w:val="center"/>
            <w:hideMark/>
          </w:tcPr>
          <w:p w14:paraId="73786AC4"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6DA4D09E" w14:textId="77777777" w:rsidR="009D6BD0" w:rsidRPr="009D6BD0" w:rsidRDefault="009D6BD0" w:rsidP="0082221E">
            <w:pPr>
              <w:pStyle w:val="TableText"/>
              <w:rPr>
                <w:lang w:eastAsia="en-AU"/>
              </w:rPr>
            </w:pPr>
            <w:r w:rsidRPr="009D6BD0">
              <w:rPr>
                <w:lang w:eastAsia="en-AU"/>
              </w:rPr>
              <w:t xml:space="preserve">Volunteer Cotton (including Roundup® Ready Cotton) </w:t>
            </w:r>
            <w:r w:rsidRPr="009D6BD0">
              <w:rPr>
                <w:i/>
                <w:iCs/>
                <w:lang w:eastAsia="en-AU"/>
              </w:rPr>
              <w:t>(Gossypium hirsulum)</w:t>
            </w:r>
          </w:p>
        </w:tc>
        <w:tc>
          <w:tcPr>
            <w:tcW w:w="1334" w:type="dxa"/>
            <w:vMerge/>
            <w:tcBorders>
              <w:top w:val="nil"/>
              <w:left w:val="single" w:sz="4" w:space="0" w:color="auto"/>
              <w:bottom w:val="single" w:sz="4" w:space="0" w:color="auto"/>
              <w:right w:val="single" w:sz="4" w:space="0" w:color="auto"/>
            </w:tcBorders>
            <w:vAlign w:val="center"/>
            <w:hideMark/>
          </w:tcPr>
          <w:p w14:paraId="66E4417F" w14:textId="77777777" w:rsidR="009D6BD0" w:rsidRPr="009D6BD0" w:rsidRDefault="009D6BD0" w:rsidP="0082221E">
            <w:pPr>
              <w:pStyle w:val="TableText"/>
              <w:rPr>
                <w:lang w:eastAsia="en-AU"/>
              </w:rPr>
            </w:pPr>
          </w:p>
        </w:tc>
        <w:tc>
          <w:tcPr>
            <w:tcW w:w="1548" w:type="dxa"/>
            <w:vMerge/>
            <w:tcBorders>
              <w:top w:val="nil"/>
              <w:left w:val="single" w:sz="4" w:space="0" w:color="auto"/>
              <w:bottom w:val="single" w:sz="4" w:space="0" w:color="auto"/>
              <w:right w:val="single" w:sz="4" w:space="0" w:color="auto"/>
            </w:tcBorders>
            <w:vAlign w:val="center"/>
            <w:hideMark/>
          </w:tcPr>
          <w:p w14:paraId="5DB187F7"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7EB9FEF8"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4077740B"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41AB9EE4" w14:textId="77777777" w:rsidR="009D6BD0" w:rsidRPr="009D6BD0" w:rsidRDefault="009D6BD0" w:rsidP="0082221E">
            <w:pPr>
              <w:pStyle w:val="TableText"/>
              <w:rPr>
                <w:lang w:eastAsia="en-AU"/>
              </w:rPr>
            </w:pPr>
            <w:r w:rsidRPr="009D6BD0">
              <w:rPr>
                <w:lang w:eastAsia="en-AU"/>
              </w:rPr>
              <w:t>Not supported</w:t>
            </w:r>
          </w:p>
        </w:tc>
      </w:tr>
      <w:tr w:rsidR="00336554" w:rsidRPr="009D6BD0" w14:paraId="3372098A" w14:textId="77777777" w:rsidTr="005F5DAB">
        <w:trPr>
          <w:cantSplit/>
          <w:trHeight w:val="612"/>
        </w:trPr>
        <w:tc>
          <w:tcPr>
            <w:tcW w:w="1662" w:type="dxa"/>
            <w:vMerge/>
            <w:tcBorders>
              <w:top w:val="nil"/>
              <w:left w:val="single" w:sz="4" w:space="0" w:color="auto"/>
              <w:bottom w:val="single" w:sz="4" w:space="0" w:color="auto"/>
              <w:right w:val="single" w:sz="4" w:space="0" w:color="auto"/>
            </w:tcBorders>
            <w:vAlign w:val="center"/>
            <w:hideMark/>
          </w:tcPr>
          <w:p w14:paraId="1A0FE11E"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6E3BF178" w14:textId="77777777" w:rsidR="009D6BD0" w:rsidRPr="009D6BD0" w:rsidRDefault="009D6BD0" w:rsidP="0082221E">
            <w:pPr>
              <w:pStyle w:val="TableText"/>
              <w:rPr>
                <w:lang w:eastAsia="en-AU"/>
              </w:rPr>
            </w:pPr>
            <w:r w:rsidRPr="009D6BD0">
              <w:rPr>
                <w:lang w:eastAsia="en-AU"/>
              </w:rPr>
              <w:t xml:space="preserve">Boggabri </w:t>
            </w:r>
            <w:r w:rsidRPr="009D6BD0">
              <w:rPr>
                <w:i/>
                <w:iCs/>
                <w:lang w:eastAsia="en-AU"/>
              </w:rPr>
              <w:t>(Amaranthus mitchellii)</w:t>
            </w:r>
            <w:r w:rsidRPr="009D6BD0">
              <w:rPr>
                <w:lang w:eastAsia="en-AU"/>
              </w:rPr>
              <w:t xml:space="preserve">, Hexham Scent </w:t>
            </w:r>
            <w:r w:rsidRPr="009D6BD0">
              <w:rPr>
                <w:i/>
                <w:iCs/>
                <w:lang w:eastAsia="en-AU"/>
              </w:rPr>
              <w:t>(Melilotus indicus)</w:t>
            </w:r>
            <w:r w:rsidRPr="009D6BD0">
              <w:rPr>
                <w:lang w:eastAsia="en-AU"/>
              </w:rPr>
              <w:t xml:space="preserve">, Wild Carrot </w:t>
            </w:r>
            <w:r w:rsidRPr="009D6BD0">
              <w:rPr>
                <w:i/>
                <w:iCs/>
                <w:lang w:eastAsia="en-AU"/>
              </w:rPr>
              <w:t>(Daucus glodcidiatus),</w:t>
            </w:r>
            <w:r w:rsidRPr="009D6BD0">
              <w:rPr>
                <w:lang w:eastAsia="en-AU"/>
              </w:rPr>
              <w:t xml:space="preserve"> Phyllanthus</w:t>
            </w:r>
            <w:r w:rsidRPr="009D6BD0">
              <w:rPr>
                <w:i/>
                <w:iCs/>
                <w:lang w:eastAsia="en-AU"/>
              </w:rPr>
              <w:t xml:space="preserve"> (Phyllanthus spp.)</w:t>
            </w:r>
          </w:p>
        </w:tc>
        <w:tc>
          <w:tcPr>
            <w:tcW w:w="1334" w:type="dxa"/>
            <w:vMerge/>
            <w:tcBorders>
              <w:top w:val="nil"/>
              <w:left w:val="single" w:sz="4" w:space="0" w:color="auto"/>
              <w:bottom w:val="single" w:sz="4" w:space="0" w:color="auto"/>
              <w:right w:val="single" w:sz="4" w:space="0" w:color="auto"/>
            </w:tcBorders>
            <w:vAlign w:val="center"/>
            <w:hideMark/>
          </w:tcPr>
          <w:p w14:paraId="0CAB83EE" w14:textId="77777777" w:rsidR="009D6BD0" w:rsidRPr="009D6BD0" w:rsidRDefault="009D6BD0" w:rsidP="0082221E">
            <w:pPr>
              <w:pStyle w:val="TableText"/>
              <w:rPr>
                <w:lang w:eastAsia="en-AU"/>
              </w:rPr>
            </w:pPr>
          </w:p>
        </w:tc>
        <w:tc>
          <w:tcPr>
            <w:tcW w:w="1548" w:type="dxa"/>
            <w:vMerge/>
            <w:tcBorders>
              <w:top w:val="nil"/>
              <w:left w:val="single" w:sz="4" w:space="0" w:color="auto"/>
              <w:bottom w:val="single" w:sz="4" w:space="0" w:color="auto"/>
              <w:right w:val="single" w:sz="4" w:space="0" w:color="auto"/>
            </w:tcBorders>
            <w:vAlign w:val="center"/>
            <w:hideMark/>
          </w:tcPr>
          <w:p w14:paraId="2AF0F457"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78DA6DE4"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6EB6BE2F"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73AB02BD" w14:textId="77777777" w:rsidR="009D6BD0" w:rsidRPr="009D6BD0" w:rsidRDefault="009D6BD0" w:rsidP="0082221E">
            <w:pPr>
              <w:pStyle w:val="TableText"/>
              <w:rPr>
                <w:lang w:eastAsia="en-AU"/>
              </w:rPr>
            </w:pPr>
            <w:r w:rsidRPr="009D6BD0">
              <w:rPr>
                <w:lang w:eastAsia="en-AU"/>
              </w:rPr>
              <w:t>Not supported</w:t>
            </w:r>
          </w:p>
        </w:tc>
      </w:tr>
      <w:tr w:rsidR="00336554" w:rsidRPr="009D6BD0" w14:paraId="2C460435" w14:textId="77777777" w:rsidTr="005F5DAB">
        <w:trPr>
          <w:cantSplit/>
          <w:trHeight w:val="864"/>
        </w:trPr>
        <w:tc>
          <w:tcPr>
            <w:tcW w:w="1662" w:type="dxa"/>
            <w:tcBorders>
              <w:top w:val="nil"/>
              <w:left w:val="single" w:sz="4" w:space="0" w:color="auto"/>
              <w:bottom w:val="single" w:sz="4" w:space="0" w:color="auto"/>
              <w:right w:val="single" w:sz="4" w:space="0" w:color="auto"/>
            </w:tcBorders>
            <w:vAlign w:val="center"/>
            <w:hideMark/>
          </w:tcPr>
          <w:p w14:paraId="288629C7" w14:textId="77777777" w:rsidR="009D6BD0" w:rsidRPr="009D6BD0" w:rsidRDefault="009D6BD0" w:rsidP="0082221E">
            <w:pPr>
              <w:pStyle w:val="TableText"/>
              <w:rPr>
                <w:lang w:eastAsia="en-AU"/>
              </w:rPr>
            </w:pPr>
            <w:r w:rsidRPr="009D6BD0">
              <w:rPr>
                <w:lang w:eastAsia="en-AU"/>
              </w:rPr>
              <w:lastRenderedPageBreak/>
              <w:t>Aid in Post-Harvest weed control (Nothern Australia – after Winter Cereals)</w:t>
            </w:r>
          </w:p>
        </w:tc>
        <w:tc>
          <w:tcPr>
            <w:tcW w:w="1518" w:type="dxa"/>
            <w:tcBorders>
              <w:top w:val="nil"/>
              <w:left w:val="nil"/>
              <w:bottom w:val="single" w:sz="4" w:space="0" w:color="auto"/>
              <w:right w:val="single" w:sz="4" w:space="0" w:color="auto"/>
            </w:tcBorders>
            <w:vAlign w:val="center"/>
            <w:hideMark/>
          </w:tcPr>
          <w:p w14:paraId="3DFD8C6A" w14:textId="77777777" w:rsidR="009D6BD0" w:rsidRPr="009D6BD0" w:rsidRDefault="009D6BD0" w:rsidP="0082221E">
            <w:pPr>
              <w:pStyle w:val="TableText"/>
              <w:rPr>
                <w:lang w:eastAsia="en-AU"/>
              </w:rPr>
            </w:pPr>
            <w:r w:rsidRPr="009D6BD0">
              <w:rPr>
                <w:lang w:eastAsia="en-AU"/>
              </w:rPr>
              <w:t xml:space="preserve">Volunteer Barley </w:t>
            </w:r>
            <w:r w:rsidRPr="009D6BD0">
              <w:rPr>
                <w:i/>
                <w:iCs/>
                <w:lang w:eastAsia="en-AU"/>
              </w:rPr>
              <w:t>(Hordeum vulgare),</w:t>
            </w:r>
            <w:r w:rsidRPr="009D6BD0">
              <w:rPr>
                <w:lang w:eastAsia="en-AU"/>
              </w:rPr>
              <w:t xml:space="preserve"> Volunteer Wheat </w:t>
            </w:r>
            <w:r w:rsidRPr="009D6BD0">
              <w:rPr>
                <w:i/>
                <w:iCs/>
                <w:lang w:eastAsia="en-AU"/>
              </w:rPr>
              <w:t xml:space="preserve">(Triticum aestivum), </w:t>
            </w:r>
            <w:r w:rsidRPr="009D6BD0">
              <w:rPr>
                <w:lang w:eastAsia="en-AU"/>
              </w:rPr>
              <w:t xml:space="preserve">Bladder Ketmia </w:t>
            </w:r>
            <w:r w:rsidRPr="009D6BD0">
              <w:rPr>
                <w:i/>
                <w:iCs/>
                <w:lang w:eastAsia="en-AU"/>
              </w:rPr>
              <w:t>(Hibiscus trionum),</w:t>
            </w:r>
            <w:r w:rsidRPr="009D6BD0">
              <w:rPr>
                <w:lang w:eastAsia="en-AU"/>
              </w:rPr>
              <w:t xml:space="preserve"> Milk Thistle</w:t>
            </w:r>
            <w:r w:rsidRPr="009D6BD0">
              <w:rPr>
                <w:i/>
                <w:iCs/>
                <w:lang w:eastAsia="en-AU"/>
              </w:rPr>
              <w:t xml:space="preserve"> (Sonchus oleraceus), </w:t>
            </w:r>
            <w:r w:rsidRPr="009D6BD0">
              <w:rPr>
                <w:lang w:eastAsia="en-AU"/>
              </w:rPr>
              <w:t xml:space="preserve">New Zealand Spinach </w:t>
            </w:r>
            <w:r w:rsidRPr="009D6BD0">
              <w:rPr>
                <w:i/>
                <w:iCs/>
                <w:lang w:eastAsia="en-AU"/>
              </w:rPr>
              <w:t>(Tetragonia tetragonioides)</w:t>
            </w:r>
          </w:p>
        </w:tc>
        <w:tc>
          <w:tcPr>
            <w:tcW w:w="1334" w:type="dxa"/>
            <w:tcBorders>
              <w:top w:val="nil"/>
              <w:left w:val="nil"/>
              <w:bottom w:val="single" w:sz="4" w:space="0" w:color="auto"/>
              <w:right w:val="single" w:sz="4" w:space="0" w:color="auto"/>
            </w:tcBorders>
            <w:vAlign w:val="center"/>
            <w:hideMark/>
          </w:tcPr>
          <w:p w14:paraId="4300962D" w14:textId="77777777" w:rsidR="009D6BD0" w:rsidRPr="009D6BD0" w:rsidRDefault="009D6BD0" w:rsidP="0082221E">
            <w:pPr>
              <w:pStyle w:val="TableText"/>
              <w:rPr>
                <w:lang w:eastAsia="en-AU"/>
              </w:rPr>
            </w:pPr>
            <w:r w:rsidRPr="009D6BD0">
              <w:rPr>
                <w:lang w:eastAsia="en-AU"/>
              </w:rPr>
              <w:t>400-600 g ac/ha (boomspray)</w:t>
            </w:r>
          </w:p>
        </w:tc>
        <w:tc>
          <w:tcPr>
            <w:tcW w:w="1548" w:type="dxa"/>
            <w:tcBorders>
              <w:top w:val="nil"/>
              <w:left w:val="nil"/>
              <w:bottom w:val="single" w:sz="4" w:space="0" w:color="auto"/>
              <w:right w:val="single" w:sz="4" w:space="0" w:color="auto"/>
            </w:tcBorders>
            <w:noWrap/>
            <w:vAlign w:val="bottom"/>
            <w:hideMark/>
          </w:tcPr>
          <w:p w14:paraId="088E03C2"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4B32E0EC"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79EBA774"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608418A8" w14:textId="77777777" w:rsidR="009D6BD0" w:rsidRPr="009D6BD0" w:rsidRDefault="009D6BD0" w:rsidP="0082221E">
            <w:pPr>
              <w:pStyle w:val="TableText"/>
              <w:rPr>
                <w:lang w:eastAsia="en-AU"/>
              </w:rPr>
            </w:pPr>
            <w:r w:rsidRPr="009D6BD0">
              <w:rPr>
                <w:lang w:eastAsia="en-AU"/>
              </w:rPr>
              <w:t>Not supported</w:t>
            </w:r>
          </w:p>
        </w:tc>
      </w:tr>
      <w:tr w:rsidR="00336554" w:rsidRPr="009D6BD0" w14:paraId="730056A5" w14:textId="77777777" w:rsidTr="005F5DAB">
        <w:trPr>
          <w:cantSplit/>
          <w:trHeight w:val="864"/>
        </w:trPr>
        <w:tc>
          <w:tcPr>
            <w:tcW w:w="1662" w:type="dxa"/>
            <w:vMerge w:val="restart"/>
            <w:tcBorders>
              <w:top w:val="nil"/>
              <w:left w:val="single" w:sz="4" w:space="0" w:color="auto"/>
              <w:bottom w:val="single" w:sz="4" w:space="0" w:color="auto"/>
              <w:right w:val="single" w:sz="4" w:space="0" w:color="auto"/>
            </w:tcBorders>
            <w:vAlign w:val="center"/>
            <w:hideMark/>
          </w:tcPr>
          <w:p w14:paraId="53933433" w14:textId="77777777" w:rsidR="009D6BD0" w:rsidRPr="009D6BD0" w:rsidRDefault="009D6BD0" w:rsidP="0082221E">
            <w:pPr>
              <w:pStyle w:val="TableText"/>
              <w:rPr>
                <w:lang w:eastAsia="en-AU"/>
              </w:rPr>
            </w:pPr>
            <w:r w:rsidRPr="009D6BD0">
              <w:rPr>
                <w:lang w:eastAsia="en-AU"/>
              </w:rPr>
              <w:t>Sugarcane - establishment and fallows prior to planting</w:t>
            </w:r>
          </w:p>
        </w:tc>
        <w:tc>
          <w:tcPr>
            <w:tcW w:w="1518" w:type="dxa"/>
            <w:tcBorders>
              <w:top w:val="nil"/>
              <w:left w:val="nil"/>
              <w:bottom w:val="single" w:sz="4" w:space="0" w:color="auto"/>
              <w:right w:val="single" w:sz="4" w:space="0" w:color="auto"/>
            </w:tcBorders>
            <w:vAlign w:val="center"/>
            <w:hideMark/>
          </w:tcPr>
          <w:p w14:paraId="514660B8" w14:textId="77777777" w:rsidR="009D6BD0" w:rsidRPr="009D6BD0" w:rsidRDefault="009D6BD0" w:rsidP="0082221E">
            <w:pPr>
              <w:pStyle w:val="TableText"/>
              <w:rPr>
                <w:lang w:eastAsia="en-AU"/>
              </w:rPr>
            </w:pPr>
            <w:r w:rsidRPr="009D6BD0">
              <w:rPr>
                <w:lang w:eastAsia="en-AU"/>
              </w:rPr>
              <w:t>Seedling Grasses: (not regrowth or rhizomes) Barnyard Grass (</w:t>
            </w:r>
            <w:r w:rsidRPr="009D6BD0">
              <w:rPr>
                <w:i/>
                <w:iCs/>
                <w:lang w:eastAsia="en-AU"/>
              </w:rPr>
              <w:t>Echinochloa spp.)</w:t>
            </w:r>
            <w:r w:rsidRPr="009D6BD0">
              <w:rPr>
                <w:lang w:eastAsia="en-AU"/>
              </w:rPr>
              <w:t xml:space="preserve">, Liverseed Grass </w:t>
            </w:r>
            <w:r w:rsidRPr="009D6BD0">
              <w:rPr>
                <w:i/>
                <w:iCs/>
                <w:lang w:eastAsia="en-AU"/>
              </w:rPr>
              <w:t>(Urochloa panicoides)</w:t>
            </w:r>
            <w:r w:rsidRPr="009D6BD0">
              <w:rPr>
                <w:lang w:eastAsia="en-AU"/>
              </w:rPr>
              <w:t xml:space="preserve">, Stink Grass </w:t>
            </w:r>
            <w:r w:rsidRPr="009D6BD0">
              <w:rPr>
                <w:i/>
                <w:iCs/>
                <w:lang w:eastAsia="en-AU"/>
              </w:rPr>
              <w:t>(Eragrostis cilianensis)</w:t>
            </w:r>
          </w:p>
        </w:tc>
        <w:tc>
          <w:tcPr>
            <w:tcW w:w="1334" w:type="dxa"/>
            <w:vMerge w:val="restart"/>
            <w:tcBorders>
              <w:top w:val="nil"/>
              <w:left w:val="single" w:sz="4" w:space="0" w:color="auto"/>
              <w:bottom w:val="single" w:sz="4" w:space="0" w:color="auto"/>
              <w:right w:val="single" w:sz="4" w:space="0" w:color="auto"/>
            </w:tcBorders>
            <w:vAlign w:val="center"/>
            <w:hideMark/>
          </w:tcPr>
          <w:p w14:paraId="13F944AB" w14:textId="77777777" w:rsidR="009D6BD0" w:rsidRPr="009D6BD0" w:rsidRDefault="009D6BD0" w:rsidP="0082221E">
            <w:pPr>
              <w:pStyle w:val="TableText"/>
              <w:rPr>
                <w:lang w:eastAsia="en-AU"/>
              </w:rPr>
            </w:pPr>
            <w:r w:rsidRPr="009D6BD0">
              <w:rPr>
                <w:lang w:eastAsia="en-AU"/>
              </w:rPr>
              <w:t>300-800 g acs/ha (boomspray)</w:t>
            </w:r>
          </w:p>
        </w:tc>
        <w:tc>
          <w:tcPr>
            <w:tcW w:w="1548" w:type="dxa"/>
            <w:vMerge w:val="restart"/>
            <w:tcBorders>
              <w:top w:val="nil"/>
              <w:left w:val="nil"/>
              <w:right w:val="single" w:sz="4" w:space="0" w:color="auto"/>
            </w:tcBorders>
            <w:noWrap/>
            <w:hideMark/>
          </w:tcPr>
          <w:p w14:paraId="5CCC1515"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1C51B2FA"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54BED53" w14:textId="77777777" w:rsidR="009D6BD0" w:rsidRPr="009D6BD0" w:rsidRDefault="009D6BD0" w:rsidP="0082221E">
            <w:pPr>
              <w:pStyle w:val="TableText"/>
              <w:rPr>
                <w:lang w:eastAsia="en-AU"/>
              </w:rPr>
            </w:pPr>
            <w:r w:rsidRPr="009D6BD0">
              <w:rPr>
                <w:lang w:eastAsia="en-AU"/>
              </w:rPr>
              <w:t>Not supported</w:t>
            </w:r>
          </w:p>
        </w:tc>
        <w:tc>
          <w:tcPr>
            <w:tcW w:w="1136" w:type="dxa"/>
            <w:tcBorders>
              <w:top w:val="single" w:sz="4" w:space="0" w:color="auto"/>
              <w:bottom w:val="single" w:sz="4" w:space="0" w:color="auto"/>
              <w:right w:val="single" w:sz="4" w:space="0" w:color="auto"/>
            </w:tcBorders>
          </w:tcPr>
          <w:p w14:paraId="4CDC4E16" w14:textId="77777777" w:rsidR="009D6BD0" w:rsidRPr="009D6BD0" w:rsidRDefault="009D6BD0" w:rsidP="0082221E">
            <w:pPr>
              <w:pStyle w:val="TableText"/>
              <w:rPr>
                <w:lang w:eastAsia="en-AU"/>
              </w:rPr>
            </w:pPr>
            <w:r w:rsidRPr="009D6BD0">
              <w:rPr>
                <w:lang w:eastAsia="en-AU"/>
              </w:rPr>
              <w:t>Not supported</w:t>
            </w:r>
          </w:p>
        </w:tc>
      </w:tr>
      <w:tr w:rsidR="00336554" w:rsidRPr="009D6BD0" w14:paraId="7F88BAF4" w14:textId="77777777" w:rsidTr="005F5DAB">
        <w:trPr>
          <w:cantSplit/>
          <w:trHeight w:val="576"/>
        </w:trPr>
        <w:tc>
          <w:tcPr>
            <w:tcW w:w="1662" w:type="dxa"/>
            <w:vMerge/>
            <w:tcBorders>
              <w:top w:val="nil"/>
              <w:left w:val="single" w:sz="4" w:space="0" w:color="auto"/>
              <w:bottom w:val="single" w:sz="4" w:space="0" w:color="auto"/>
              <w:right w:val="single" w:sz="4" w:space="0" w:color="auto"/>
            </w:tcBorders>
            <w:vAlign w:val="center"/>
            <w:hideMark/>
          </w:tcPr>
          <w:p w14:paraId="06B864D0"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6B0031FD" w14:textId="77777777" w:rsidR="009D6BD0" w:rsidRPr="009D6BD0" w:rsidRDefault="009D6BD0" w:rsidP="0082221E">
            <w:pPr>
              <w:pStyle w:val="TableText"/>
              <w:rPr>
                <w:lang w:eastAsia="en-AU"/>
              </w:rPr>
            </w:pPr>
            <w:r w:rsidRPr="009D6BD0">
              <w:rPr>
                <w:lang w:eastAsia="en-AU"/>
              </w:rPr>
              <w:t>Seedling Broadleaved Weed</w:t>
            </w:r>
          </w:p>
        </w:tc>
        <w:tc>
          <w:tcPr>
            <w:tcW w:w="1334" w:type="dxa"/>
            <w:vMerge/>
            <w:tcBorders>
              <w:top w:val="nil"/>
              <w:left w:val="single" w:sz="4" w:space="0" w:color="auto"/>
              <w:bottom w:val="single" w:sz="4" w:space="0" w:color="auto"/>
              <w:right w:val="single" w:sz="4" w:space="0" w:color="auto"/>
            </w:tcBorders>
            <w:vAlign w:val="center"/>
            <w:hideMark/>
          </w:tcPr>
          <w:p w14:paraId="018A9A1F" w14:textId="77777777" w:rsidR="009D6BD0" w:rsidRPr="009D6BD0" w:rsidRDefault="009D6BD0" w:rsidP="0082221E">
            <w:pPr>
              <w:pStyle w:val="TableText"/>
              <w:rPr>
                <w:lang w:eastAsia="en-AU"/>
              </w:rPr>
            </w:pPr>
          </w:p>
        </w:tc>
        <w:tc>
          <w:tcPr>
            <w:tcW w:w="1548" w:type="dxa"/>
            <w:vMerge/>
            <w:tcBorders>
              <w:left w:val="nil"/>
              <w:right w:val="single" w:sz="4" w:space="0" w:color="auto"/>
            </w:tcBorders>
            <w:noWrap/>
            <w:hideMark/>
          </w:tcPr>
          <w:p w14:paraId="3D473742"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701FA7F5"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97B442A"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58F2B0EF" w14:textId="77777777" w:rsidR="009D6BD0" w:rsidRPr="009D6BD0" w:rsidRDefault="009D6BD0" w:rsidP="0082221E">
            <w:pPr>
              <w:pStyle w:val="TableText"/>
              <w:rPr>
                <w:lang w:eastAsia="en-AU"/>
              </w:rPr>
            </w:pPr>
            <w:r w:rsidRPr="009D6BD0">
              <w:rPr>
                <w:lang w:eastAsia="en-AU"/>
              </w:rPr>
              <w:t>Not supported</w:t>
            </w:r>
          </w:p>
        </w:tc>
      </w:tr>
      <w:tr w:rsidR="00336554" w:rsidRPr="009D6BD0" w14:paraId="1228A8AC" w14:textId="77777777" w:rsidTr="005F5DAB">
        <w:trPr>
          <w:cantSplit/>
          <w:trHeight w:val="576"/>
        </w:trPr>
        <w:tc>
          <w:tcPr>
            <w:tcW w:w="1662" w:type="dxa"/>
            <w:vMerge/>
            <w:tcBorders>
              <w:top w:val="nil"/>
              <w:left w:val="single" w:sz="4" w:space="0" w:color="auto"/>
              <w:bottom w:val="single" w:sz="4" w:space="0" w:color="auto"/>
              <w:right w:val="single" w:sz="4" w:space="0" w:color="auto"/>
            </w:tcBorders>
            <w:vAlign w:val="center"/>
            <w:hideMark/>
          </w:tcPr>
          <w:p w14:paraId="0A01C11C"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005A147C" w14:textId="77777777" w:rsidR="009D6BD0" w:rsidRPr="009D6BD0" w:rsidRDefault="009D6BD0" w:rsidP="0082221E">
            <w:pPr>
              <w:pStyle w:val="TableText"/>
              <w:rPr>
                <w:lang w:eastAsia="en-AU"/>
              </w:rPr>
            </w:pPr>
            <w:r w:rsidRPr="009D6BD0">
              <w:rPr>
                <w:lang w:eastAsia="en-AU"/>
              </w:rPr>
              <w:t xml:space="preserve">Seedling Phyllanthus </w:t>
            </w:r>
            <w:r w:rsidRPr="009D6BD0">
              <w:rPr>
                <w:i/>
                <w:iCs/>
                <w:lang w:eastAsia="en-AU"/>
              </w:rPr>
              <w:t>(Phylanthus spp.)</w:t>
            </w:r>
          </w:p>
        </w:tc>
        <w:tc>
          <w:tcPr>
            <w:tcW w:w="1334" w:type="dxa"/>
            <w:vMerge/>
            <w:tcBorders>
              <w:top w:val="nil"/>
              <w:left w:val="single" w:sz="4" w:space="0" w:color="auto"/>
              <w:bottom w:val="single" w:sz="4" w:space="0" w:color="auto"/>
              <w:right w:val="single" w:sz="4" w:space="0" w:color="auto"/>
            </w:tcBorders>
            <w:vAlign w:val="center"/>
            <w:hideMark/>
          </w:tcPr>
          <w:p w14:paraId="1AD08D33" w14:textId="77777777" w:rsidR="009D6BD0" w:rsidRPr="009D6BD0" w:rsidRDefault="009D6BD0" w:rsidP="0082221E">
            <w:pPr>
              <w:pStyle w:val="TableText"/>
              <w:rPr>
                <w:lang w:eastAsia="en-AU"/>
              </w:rPr>
            </w:pPr>
          </w:p>
        </w:tc>
        <w:tc>
          <w:tcPr>
            <w:tcW w:w="1548" w:type="dxa"/>
            <w:vMerge/>
            <w:tcBorders>
              <w:left w:val="nil"/>
              <w:bottom w:val="single" w:sz="4" w:space="0" w:color="auto"/>
              <w:right w:val="single" w:sz="4" w:space="0" w:color="auto"/>
            </w:tcBorders>
            <w:noWrap/>
            <w:hideMark/>
          </w:tcPr>
          <w:p w14:paraId="4DC5A130"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31C5977D"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4516337"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4157EF6D" w14:textId="77777777" w:rsidR="009D6BD0" w:rsidRPr="009D6BD0" w:rsidRDefault="009D6BD0" w:rsidP="0082221E">
            <w:pPr>
              <w:pStyle w:val="TableText"/>
              <w:rPr>
                <w:lang w:eastAsia="en-AU"/>
              </w:rPr>
            </w:pPr>
            <w:r w:rsidRPr="009D6BD0">
              <w:rPr>
                <w:lang w:eastAsia="en-AU"/>
              </w:rPr>
              <w:t>Not supported</w:t>
            </w:r>
          </w:p>
        </w:tc>
      </w:tr>
      <w:tr w:rsidR="00336554" w:rsidRPr="009D6BD0" w14:paraId="5D99A26E" w14:textId="77777777" w:rsidTr="005F5DAB">
        <w:trPr>
          <w:cantSplit/>
          <w:trHeight w:val="576"/>
        </w:trPr>
        <w:tc>
          <w:tcPr>
            <w:tcW w:w="1662" w:type="dxa"/>
            <w:vMerge/>
            <w:tcBorders>
              <w:top w:val="nil"/>
              <w:left w:val="single" w:sz="4" w:space="0" w:color="auto"/>
              <w:bottom w:val="single" w:sz="4" w:space="0" w:color="auto"/>
              <w:right w:val="single" w:sz="4" w:space="0" w:color="auto"/>
            </w:tcBorders>
            <w:vAlign w:val="center"/>
            <w:hideMark/>
          </w:tcPr>
          <w:p w14:paraId="5257E991"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11A850BF" w14:textId="77777777" w:rsidR="009D6BD0" w:rsidRPr="009D6BD0" w:rsidRDefault="009D6BD0" w:rsidP="0082221E">
            <w:pPr>
              <w:pStyle w:val="TableText"/>
              <w:rPr>
                <w:lang w:eastAsia="en-AU"/>
              </w:rPr>
            </w:pPr>
            <w:r w:rsidRPr="009D6BD0">
              <w:rPr>
                <w:lang w:eastAsia="en-AU"/>
              </w:rPr>
              <w:t>Mature grasses, broadleaf weeds and Phyllanthus (</w:t>
            </w:r>
            <w:r w:rsidRPr="009D6BD0">
              <w:rPr>
                <w:i/>
                <w:iCs/>
                <w:lang w:eastAsia="en-AU"/>
              </w:rPr>
              <w:t>Phylanthus spp</w:t>
            </w:r>
            <w:r w:rsidRPr="009D6BD0">
              <w:rPr>
                <w:lang w:eastAsia="en-AU"/>
              </w:rPr>
              <w:t>.)</w:t>
            </w:r>
          </w:p>
        </w:tc>
        <w:tc>
          <w:tcPr>
            <w:tcW w:w="1334" w:type="dxa"/>
            <w:tcBorders>
              <w:top w:val="nil"/>
              <w:left w:val="nil"/>
              <w:bottom w:val="single" w:sz="4" w:space="0" w:color="auto"/>
              <w:right w:val="single" w:sz="4" w:space="0" w:color="auto"/>
            </w:tcBorders>
            <w:vAlign w:val="center"/>
            <w:hideMark/>
          </w:tcPr>
          <w:p w14:paraId="012E668A" w14:textId="77777777" w:rsidR="009D6BD0" w:rsidRPr="009D6BD0" w:rsidRDefault="009D6BD0" w:rsidP="0082221E">
            <w:pPr>
              <w:pStyle w:val="TableText"/>
              <w:rPr>
                <w:lang w:eastAsia="en-AU"/>
              </w:rPr>
            </w:pPr>
            <w:r w:rsidRPr="009D6BD0">
              <w:rPr>
                <w:lang w:eastAsia="en-AU"/>
              </w:rPr>
              <w:t>800 g ac/ha (boomspray)</w:t>
            </w:r>
          </w:p>
        </w:tc>
        <w:tc>
          <w:tcPr>
            <w:tcW w:w="1548" w:type="dxa"/>
            <w:tcBorders>
              <w:top w:val="nil"/>
              <w:left w:val="nil"/>
              <w:bottom w:val="single" w:sz="4" w:space="0" w:color="auto"/>
              <w:right w:val="single" w:sz="4" w:space="0" w:color="auto"/>
            </w:tcBorders>
            <w:noWrap/>
            <w:hideMark/>
          </w:tcPr>
          <w:p w14:paraId="6C20639E"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319A9A0A"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13143765"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099DD54B" w14:textId="77777777" w:rsidR="009D6BD0" w:rsidRPr="009D6BD0" w:rsidRDefault="009D6BD0" w:rsidP="0082221E">
            <w:pPr>
              <w:pStyle w:val="TableText"/>
              <w:rPr>
                <w:lang w:eastAsia="en-AU"/>
              </w:rPr>
            </w:pPr>
            <w:r w:rsidRPr="009D6BD0">
              <w:rPr>
                <w:lang w:eastAsia="en-AU"/>
              </w:rPr>
              <w:t>Not supported</w:t>
            </w:r>
          </w:p>
        </w:tc>
      </w:tr>
      <w:tr w:rsidR="00336554" w:rsidRPr="009D6BD0" w14:paraId="2B2E16C6" w14:textId="77777777" w:rsidTr="005F5DAB">
        <w:trPr>
          <w:cantSplit/>
          <w:trHeight w:val="864"/>
        </w:trPr>
        <w:tc>
          <w:tcPr>
            <w:tcW w:w="1662" w:type="dxa"/>
            <w:vMerge w:val="restart"/>
            <w:tcBorders>
              <w:top w:val="nil"/>
              <w:left w:val="single" w:sz="4" w:space="0" w:color="auto"/>
              <w:bottom w:val="single" w:sz="4" w:space="0" w:color="auto"/>
              <w:right w:val="single" w:sz="4" w:space="0" w:color="auto"/>
            </w:tcBorders>
            <w:vAlign w:val="center"/>
            <w:hideMark/>
          </w:tcPr>
          <w:p w14:paraId="7D60469E" w14:textId="77777777" w:rsidR="009D6BD0" w:rsidRPr="009D6BD0" w:rsidRDefault="009D6BD0" w:rsidP="0082221E">
            <w:pPr>
              <w:pStyle w:val="TableText"/>
              <w:rPr>
                <w:lang w:eastAsia="en-AU"/>
              </w:rPr>
            </w:pPr>
            <w:r w:rsidRPr="009D6BD0">
              <w:rPr>
                <w:lang w:eastAsia="en-AU"/>
              </w:rPr>
              <w:lastRenderedPageBreak/>
              <w:t>Sugarcane - plant and ratoon</w:t>
            </w:r>
          </w:p>
        </w:tc>
        <w:tc>
          <w:tcPr>
            <w:tcW w:w="1518" w:type="dxa"/>
            <w:tcBorders>
              <w:top w:val="nil"/>
              <w:left w:val="nil"/>
              <w:bottom w:val="single" w:sz="4" w:space="0" w:color="auto"/>
              <w:right w:val="single" w:sz="4" w:space="0" w:color="auto"/>
            </w:tcBorders>
            <w:vAlign w:val="center"/>
            <w:hideMark/>
          </w:tcPr>
          <w:p w14:paraId="71822497" w14:textId="77777777" w:rsidR="009D6BD0" w:rsidRPr="009D6BD0" w:rsidRDefault="009D6BD0" w:rsidP="0082221E">
            <w:pPr>
              <w:pStyle w:val="TableText"/>
              <w:rPr>
                <w:lang w:eastAsia="en-AU"/>
              </w:rPr>
            </w:pPr>
            <w:r w:rsidRPr="009D6BD0">
              <w:rPr>
                <w:lang w:eastAsia="en-AU"/>
              </w:rPr>
              <w:t xml:space="preserve">Most Seedling Broadleaf Weeds including Sicklepod </w:t>
            </w:r>
            <w:r w:rsidRPr="009D6BD0">
              <w:rPr>
                <w:i/>
                <w:iCs/>
                <w:lang w:eastAsia="en-AU"/>
              </w:rPr>
              <w:t>(Senna (Cassia) obtusifolia),</w:t>
            </w:r>
            <w:r w:rsidRPr="009D6BD0">
              <w:rPr>
                <w:lang w:eastAsia="en-AU"/>
              </w:rPr>
              <w:t xml:space="preserve"> Bluetop </w:t>
            </w:r>
            <w:r w:rsidRPr="009D6BD0">
              <w:rPr>
                <w:i/>
                <w:iCs/>
                <w:lang w:eastAsia="en-AU"/>
              </w:rPr>
              <w:t xml:space="preserve">(Ageratum houstonianum), </w:t>
            </w:r>
            <w:r w:rsidRPr="009D6BD0">
              <w:rPr>
                <w:lang w:eastAsia="en-AU"/>
              </w:rPr>
              <w:t>Phyllanthus</w:t>
            </w:r>
            <w:r w:rsidRPr="009D6BD0">
              <w:rPr>
                <w:i/>
                <w:iCs/>
                <w:lang w:eastAsia="en-AU"/>
              </w:rPr>
              <w:t xml:space="preserve"> (Phyllanthus spp.), </w:t>
            </w:r>
            <w:r w:rsidRPr="009D6BD0">
              <w:rPr>
                <w:lang w:eastAsia="en-AU"/>
              </w:rPr>
              <w:t xml:space="preserve">Calopo </w:t>
            </w:r>
            <w:r w:rsidRPr="009D6BD0">
              <w:rPr>
                <w:i/>
                <w:iCs/>
                <w:lang w:eastAsia="en-AU"/>
              </w:rPr>
              <w:t>(Calapogonium muconoides)</w:t>
            </w:r>
          </w:p>
        </w:tc>
        <w:tc>
          <w:tcPr>
            <w:tcW w:w="1334" w:type="dxa"/>
            <w:vMerge w:val="restart"/>
            <w:tcBorders>
              <w:top w:val="nil"/>
              <w:left w:val="single" w:sz="4" w:space="0" w:color="auto"/>
              <w:bottom w:val="single" w:sz="4" w:space="0" w:color="auto"/>
              <w:right w:val="single" w:sz="4" w:space="0" w:color="auto"/>
            </w:tcBorders>
            <w:vAlign w:val="center"/>
            <w:hideMark/>
          </w:tcPr>
          <w:p w14:paraId="28C2A52D" w14:textId="77777777" w:rsidR="009D6BD0" w:rsidRPr="009D6BD0" w:rsidRDefault="009D6BD0" w:rsidP="0082221E">
            <w:pPr>
              <w:pStyle w:val="TableText"/>
              <w:rPr>
                <w:lang w:eastAsia="en-AU"/>
              </w:rPr>
            </w:pPr>
            <w:r w:rsidRPr="009D6BD0">
              <w:rPr>
                <w:lang w:eastAsia="en-AU"/>
              </w:rPr>
              <w:t>300-700 g acs/ha (boomspray or directed interrow spray)</w:t>
            </w:r>
          </w:p>
        </w:tc>
        <w:tc>
          <w:tcPr>
            <w:tcW w:w="1548" w:type="dxa"/>
            <w:vMerge w:val="restart"/>
            <w:tcBorders>
              <w:top w:val="nil"/>
              <w:left w:val="single" w:sz="4" w:space="0" w:color="auto"/>
              <w:bottom w:val="single" w:sz="4" w:space="0" w:color="auto"/>
              <w:right w:val="single" w:sz="4" w:space="0" w:color="auto"/>
            </w:tcBorders>
            <w:vAlign w:val="center"/>
            <w:hideMark/>
          </w:tcPr>
          <w:p w14:paraId="4E476D9D" w14:textId="77777777" w:rsidR="009D6BD0" w:rsidRPr="009D6BD0" w:rsidRDefault="009D6BD0" w:rsidP="0082221E">
            <w:pPr>
              <w:pStyle w:val="TableText"/>
              <w:rPr>
                <w:lang w:eastAsia="en-AU"/>
              </w:rPr>
            </w:pPr>
            <w:r w:rsidRPr="009D6BD0">
              <w:rPr>
                <w:lang w:eastAsia="en-AU"/>
              </w:rPr>
              <w:t>Not supported (max. 149 g acs/ha)</w:t>
            </w:r>
          </w:p>
        </w:tc>
        <w:tc>
          <w:tcPr>
            <w:tcW w:w="1485" w:type="dxa"/>
            <w:tcBorders>
              <w:top w:val="single" w:sz="4" w:space="0" w:color="auto"/>
              <w:bottom w:val="single" w:sz="4" w:space="0" w:color="auto"/>
              <w:right w:val="single" w:sz="4" w:space="0" w:color="auto"/>
            </w:tcBorders>
          </w:tcPr>
          <w:p w14:paraId="2544F7B4"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61DF7BCC"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559D1EEB" w14:textId="77777777" w:rsidR="009D6BD0" w:rsidRPr="009D6BD0" w:rsidRDefault="009D6BD0" w:rsidP="0082221E">
            <w:pPr>
              <w:pStyle w:val="TableText"/>
              <w:rPr>
                <w:lang w:eastAsia="en-AU"/>
              </w:rPr>
            </w:pPr>
            <w:r w:rsidRPr="009D6BD0">
              <w:rPr>
                <w:lang w:eastAsia="en-AU"/>
              </w:rPr>
              <w:t>Not supported</w:t>
            </w:r>
          </w:p>
        </w:tc>
      </w:tr>
      <w:tr w:rsidR="00336554" w:rsidRPr="009D6BD0" w14:paraId="0F23882E" w14:textId="77777777" w:rsidTr="005F5DAB">
        <w:trPr>
          <w:cantSplit/>
          <w:trHeight w:val="1152"/>
        </w:trPr>
        <w:tc>
          <w:tcPr>
            <w:tcW w:w="1662" w:type="dxa"/>
            <w:vMerge/>
            <w:tcBorders>
              <w:top w:val="nil"/>
              <w:left w:val="single" w:sz="4" w:space="0" w:color="auto"/>
              <w:bottom w:val="single" w:sz="4" w:space="0" w:color="auto"/>
              <w:right w:val="single" w:sz="4" w:space="0" w:color="auto"/>
            </w:tcBorders>
            <w:vAlign w:val="center"/>
            <w:hideMark/>
          </w:tcPr>
          <w:p w14:paraId="39F508DF"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08623519" w14:textId="77777777" w:rsidR="009D6BD0" w:rsidRPr="009D6BD0" w:rsidRDefault="009D6BD0" w:rsidP="0082221E">
            <w:pPr>
              <w:pStyle w:val="TableText"/>
              <w:rPr>
                <w:lang w:eastAsia="en-AU"/>
              </w:rPr>
            </w:pPr>
            <w:r w:rsidRPr="009D6BD0">
              <w:rPr>
                <w:lang w:eastAsia="en-AU"/>
              </w:rPr>
              <w:t xml:space="preserve">Most Seedling Grasses including Awnless Barnyard Grass </w:t>
            </w:r>
            <w:r w:rsidRPr="009D6BD0">
              <w:rPr>
                <w:i/>
                <w:iCs/>
                <w:lang w:eastAsia="en-AU"/>
              </w:rPr>
              <w:t>(Echinochloa colona)</w:t>
            </w:r>
            <w:r w:rsidRPr="009D6BD0">
              <w:rPr>
                <w:lang w:eastAsia="en-AU"/>
              </w:rPr>
              <w:t xml:space="preserve">, Summer Grass </w:t>
            </w:r>
            <w:r w:rsidRPr="009D6BD0">
              <w:rPr>
                <w:i/>
                <w:iCs/>
                <w:lang w:eastAsia="en-AU"/>
              </w:rPr>
              <w:t>(Digitaria ciliaris),</w:t>
            </w:r>
            <w:r w:rsidRPr="009D6BD0">
              <w:rPr>
                <w:lang w:eastAsia="en-AU"/>
              </w:rPr>
              <w:t>Guinea Grass</w:t>
            </w:r>
            <w:r w:rsidRPr="009D6BD0">
              <w:rPr>
                <w:i/>
                <w:iCs/>
                <w:lang w:eastAsia="en-AU"/>
              </w:rPr>
              <w:t xml:space="preserve"> (Panicum maximum),</w:t>
            </w:r>
            <w:r w:rsidRPr="009D6BD0">
              <w:rPr>
                <w:lang w:eastAsia="en-AU"/>
              </w:rPr>
              <w:t xml:space="preserve">Hamil Grass </w:t>
            </w:r>
            <w:r w:rsidRPr="009D6BD0">
              <w:rPr>
                <w:i/>
                <w:iCs/>
                <w:lang w:eastAsia="en-AU"/>
              </w:rPr>
              <w:t>(Panicum maximum cv Hamil),</w:t>
            </w:r>
            <w:r w:rsidRPr="009D6BD0">
              <w:rPr>
                <w:lang w:eastAsia="en-AU"/>
              </w:rPr>
              <w:t xml:space="preserve">Green Summer Grass </w:t>
            </w:r>
            <w:r w:rsidRPr="009D6BD0">
              <w:rPr>
                <w:i/>
                <w:iCs/>
                <w:lang w:eastAsia="en-AU"/>
              </w:rPr>
              <w:t>(Brachiaria miliiformis)</w:t>
            </w:r>
          </w:p>
        </w:tc>
        <w:tc>
          <w:tcPr>
            <w:tcW w:w="1334" w:type="dxa"/>
            <w:vMerge/>
            <w:tcBorders>
              <w:top w:val="nil"/>
              <w:left w:val="single" w:sz="4" w:space="0" w:color="auto"/>
              <w:bottom w:val="single" w:sz="4" w:space="0" w:color="auto"/>
              <w:right w:val="single" w:sz="4" w:space="0" w:color="auto"/>
            </w:tcBorders>
            <w:vAlign w:val="center"/>
            <w:hideMark/>
          </w:tcPr>
          <w:p w14:paraId="3A9BAAA4" w14:textId="77777777" w:rsidR="009D6BD0" w:rsidRPr="009D6BD0" w:rsidRDefault="009D6BD0" w:rsidP="0082221E">
            <w:pPr>
              <w:pStyle w:val="TableText"/>
              <w:rPr>
                <w:lang w:eastAsia="en-AU"/>
              </w:rPr>
            </w:pPr>
          </w:p>
        </w:tc>
        <w:tc>
          <w:tcPr>
            <w:tcW w:w="1548" w:type="dxa"/>
            <w:vMerge/>
            <w:tcBorders>
              <w:top w:val="nil"/>
              <w:left w:val="single" w:sz="4" w:space="0" w:color="auto"/>
              <w:bottom w:val="single" w:sz="4" w:space="0" w:color="auto"/>
              <w:right w:val="single" w:sz="4" w:space="0" w:color="auto"/>
            </w:tcBorders>
            <w:vAlign w:val="center"/>
            <w:hideMark/>
          </w:tcPr>
          <w:p w14:paraId="00EE3604"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4D9AE229"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49E32D44"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2B4C5E00" w14:textId="77777777" w:rsidR="009D6BD0" w:rsidRPr="009D6BD0" w:rsidRDefault="009D6BD0" w:rsidP="0082221E">
            <w:pPr>
              <w:pStyle w:val="TableText"/>
              <w:rPr>
                <w:lang w:eastAsia="en-AU"/>
              </w:rPr>
            </w:pPr>
            <w:r w:rsidRPr="009D6BD0">
              <w:rPr>
                <w:lang w:eastAsia="en-AU"/>
              </w:rPr>
              <w:t>Not supported</w:t>
            </w:r>
          </w:p>
        </w:tc>
      </w:tr>
      <w:tr w:rsidR="00336554" w:rsidRPr="009D6BD0" w14:paraId="759DB0B1" w14:textId="77777777" w:rsidTr="005F5DAB">
        <w:trPr>
          <w:cantSplit/>
          <w:trHeight w:val="288"/>
        </w:trPr>
        <w:tc>
          <w:tcPr>
            <w:tcW w:w="1662" w:type="dxa"/>
            <w:tcBorders>
              <w:top w:val="nil"/>
              <w:left w:val="single" w:sz="4" w:space="0" w:color="auto"/>
              <w:bottom w:val="single" w:sz="4" w:space="0" w:color="auto"/>
              <w:right w:val="single" w:sz="4" w:space="0" w:color="auto"/>
            </w:tcBorders>
            <w:vAlign w:val="center"/>
            <w:hideMark/>
          </w:tcPr>
          <w:p w14:paraId="55A6B81A" w14:textId="77777777" w:rsidR="009D6BD0" w:rsidRPr="009D6BD0" w:rsidRDefault="009D6BD0" w:rsidP="0082221E">
            <w:pPr>
              <w:pStyle w:val="TableText"/>
              <w:rPr>
                <w:lang w:eastAsia="en-AU"/>
              </w:rPr>
            </w:pPr>
            <w:r w:rsidRPr="009D6BD0">
              <w:rPr>
                <w:lang w:eastAsia="en-AU"/>
              </w:rPr>
              <w:t>Cotton</w:t>
            </w:r>
          </w:p>
        </w:tc>
        <w:tc>
          <w:tcPr>
            <w:tcW w:w="1518" w:type="dxa"/>
            <w:tcBorders>
              <w:top w:val="nil"/>
              <w:left w:val="nil"/>
              <w:bottom w:val="single" w:sz="4" w:space="0" w:color="auto"/>
              <w:right w:val="single" w:sz="4" w:space="0" w:color="auto"/>
            </w:tcBorders>
            <w:vAlign w:val="center"/>
            <w:hideMark/>
          </w:tcPr>
          <w:p w14:paraId="77F1964F" w14:textId="77777777" w:rsidR="009D6BD0" w:rsidRPr="009D6BD0" w:rsidRDefault="009D6BD0" w:rsidP="0082221E">
            <w:pPr>
              <w:pStyle w:val="TableText"/>
              <w:rPr>
                <w:lang w:eastAsia="en-AU"/>
              </w:rPr>
            </w:pPr>
            <w:r w:rsidRPr="009D6BD0">
              <w:rPr>
                <w:lang w:eastAsia="en-AU"/>
              </w:rPr>
              <w:t>Desiccant to aid harvest</w:t>
            </w:r>
          </w:p>
        </w:tc>
        <w:tc>
          <w:tcPr>
            <w:tcW w:w="1334" w:type="dxa"/>
            <w:tcBorders>
              <w:top w:val="nil"/>
              <w:left w:val="nil"/>
              <w:bottom w:val="single" w:sz="4" w:space="0" w:color="auto"/>
              <w:right w:val="single" w:sz="4" w:space="0" w:color="auto"/>
            </w:tcBorders>
            <w:vAlign w:val="center"/>
            <w:hideMark/>
          </w:tcPr>
          <w:p w14:paraId="0A203EE0" w14:textId="77777777" w:rsidR="009D6BD0" w:rsidRPr="009D6BD0" w:rsidRDefault="009D6BD0" w:rsidP="0082221E">
            <w:pPr>
              <w:pStyle w:val="TableText"/>
              <w:rPr>
                <w:lang w:eastAsia="en-AU"/>
              </w:rPr>
            </w:pPr>
            <w:r w:rsidRPr="009D6BD0">
              <w:rPr>
                <w:lang w:eastAsia="en-AU"/>
              </w:rPr>
              <w:t>300-400 g acs/ha (boomspray)</w:t>
            </w:r>
          </w:p>
        </w:tc>
        <w:tc>
          <w:tcPr>
            <w:tcW w:w="1548" w:type="dxa"/>
            <w:tcBorders>
              <w:top w:val="nil"/>
              <w:left w:val="nil"/>
              <w:bottom w:val="single" w:sz="4" w:space="0" w:color="auto"/>
              <w:right w:val="single" w:sz="4" w:space="0" w:color="auto"/>
            </w:tcBorders>
            <w:noWrap/>
            <w:vAlign w:val="bottom"/>
            <w:hideMark/>
          </w:tcPr>
          <w:p w14:paraId="1218D9B1" w14:textId="77777777" w:rsidR="009D6BD0" w:rsidRPr="009D6BD0" w:rsidRDefault="009D6BD0" w:rsidP="0082221E">
            <w:pPr>
              <w:pStyle w:val="TableText"/>
              <w:rPr>
                <w:lang w:eastAsia="en-AU"/>
              </w:rPr>
            </w:pPr>
            <w:r w:rsidRPr="009D6BD0">
              <w:rPr>
                <w:lang w:eastAsia="en-AU"/>
              </w:rPr>
              <w:t>Not supported (max. 271 g acs/ha)</w:t>
            </w:r>
          </w:p>
        </w:tc>
        <w:tc>
          <w:tcPr>
            <w:tcW w:w="1485" w:type="dxa"/>
            <w:tcBorders>
              <w:top w:val="single" w:sz="4" w:space="0" w:color="auto"/>
              <w:bottom w:val="single" w:sz="4" w:space="0" w:color="auto"/>
              <w:right w:val="single" w:sz="4" w:space="0" w:color="auto"/>
            </w:tcBorders>
          </w:tcPr>
          <w:p w14:paraId="5E640542"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3E2AAA64"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05D78A02" w14:textId="77777777" w:rsidR="009D6BD0" w:rsidRPr="009D6BD0" w:rsidRDefault="009D6BD0" w:rsidP="0082221E">
            <w:pPr>
              <w:pStyle w:val="TableText"/>
              <w:rPr>
                <w:lang w:eastAsia="en-AU"/>
              </w:rPr>
            </w:pPr>
            <w:r w:rsidRPr="009D6BD0">
              <w:rPr>
                <w:lang w:eastAsia="en-AU"/>
              </w:rPr>
              <w:t>Not supported</w:t>
            </w:r>
          </w:p>
        </w:tc>
      </w:tr>
      <w:tr w:rsidR="00336554" w:rsidRPr="009D6BD0" w14:paraId="5F23DE84" w14:textId="77777777" w:rsidTr="00A617AD">
        <w:trPr>
          <w:cantSplit/>
          <w:trHeight w:val="864"/>
        </w:trPr>
        <w:tc>
          <w:tcPr>
            <w:tcW w:w="1662" w:type="dxa"/>
            <w:tcBorders>
              <w:top w:val="nil"/>
              <w:left w:val="single" w:sz="4" w:space="0" w:color="auto"/>
              <w:bottom w:val="single" w:sz="4" w:space="0" w:color="auto"/>
              <w:right w:val="single" w:sz="4" w:space="0" w:color="auto"/>
            </w:tcBorders>
            <w:vAlign w:val="center"/>
            <w:hideMark/>
          </w:tcPr>
          <w:p w14:paraId="0C8B984E" w14:textId="77777777" w:rsidR="009D6BD0" w:rsidRPr="009D6BD0" w:rsidRDefault="009D6BD0" w:rsidP="0082221E">
            <w:pPr>
              <w:pStyle w:val="TableText"/>
              <w:rPr>
                <w:lang w:eastAsia="en-AU"/>
              </w:rPr>
            </w:pPr>
            <w:r w:rsidRPr="009D6BD0">
              <w:rPr>
                <w:lang w:eastAsia="en-AU"/>
              </w:rPr>
              <w:t>Lucerne (established at least 1 year old)</w:t>
            </w:r>
          </w:p>
        </w:tc>
        <w:tc>
          <w:tcPr>
            <w:tcW w:w="1518" w:type="dxa"/>
            <w:tcBorders>
              <w:top w:val="nil"/>
              <w:left w:val="nil"/>
              <w:bottom w:val="single" w:sz="4" w:space="0" w:color="auto"/>
              <w:right w:val="single" w:sz="4" w:space="0" w:color="auto"/>
            </w:tcBorders>
            <w:vAlign w:val="center"/>
            <w:hideMark/>
          </w:tcPr>
          <w:p w14:paraId="625E961E" w14:textId="77777777" w:rsidR="009D6BD0" w:rsidRPr="009D6BD0" w:rsidRDefault="009D6BD0" w:rsidP="0082221E">
            <w:pPr>
              <w:pStyle w:val="TableText"/>
              <w:rPr>
                <w:lang w:eastAsia="en-AU"/>
              </w:rPr>
            </w:pPr>
            <w:r w:rsidRPr="009D6BD0">
              <w:rPr>
                <w:lang w:eastAsia="en-AU"/>
              </w:rPr>
              <w:t xml:space="preserve">Most annual weeds including Capeweed and Erodium. For improved grazing, hay or seed production or over sowing, enhanced control of some broadleaf weeds, and short term residual weed control. </w:t>
            </w:r>
          </w:p>
        </w:tc>
        <w:tc>
          <w:tcPr>
            <w:tcW w:w="1334" w:type="dxa"/>
            <w:tcBorders>
              <w:top w:val="nil"/>
              <w:left w:val="nil"/>
              <w:bottom w:val="single" w:sz="4" w:space="0" w:color="auto"/>
              <w:right w:val="single" w:sz="4" w:space="0" w:color="auto"/>
            </w:tcBorders>
            <w:hideMark/>
          </w:tcPr>
          <w:p w14:paraId="61B1D610" w14:textId="77777777" w:rsidR="009D6BD0" w:rsidRPr="009D6BD0" w:rsidRDefault="009D6BD0" w:rsidP="0082221E">
            <w:pPr>
              <w:pStyle w:val="TableText"/>
              <w:rPr>
                <w:lang w:eastAsia="en-AU"/>
              </w:rPr>
            </w:pPr>
            <w:r w:rsidRPr="009D6BD0">
              <w:rPr>
                <w:lang w:eastAsia="en-AU"/>
              </w:rPr>
              <w:t>400-600 g acs/ha (boomspray)</w:t>
            </w:r>
          </w:p>
        </w:tc>
        <w:tc>
          <w:tcPr>
            <w:tcW w:w="1548" w:type="dxa"/>
            <w:tcBorders>
              <w:top w:val="nil"/>
              <w:left w:val="nil"/>
              <w:bottom w:val="single" w:sz="4" w:space="0" w:color="auto"/>
              <w:right w:val="single" w:sz="4" w:space="0" w:color="auto"/>
            </w:tcBorders>
            <w:noWrap/>
            <w:hideMark/>
          </w:tcPr>
          <w:p w14:paraId="7E6E037E" w14:textId="77777777" w:rsidR="009D6BD0" w:rsidRPr="009D6BD0" w:rsidRDefault="009D6BD0" w:rsidP="0082221E">
            <w:pPr>
              <w:pStyle w:val="TableText"/>
              <w:rPr>
                <w:lang w:eastAsia="en-AU"/>
              </w:rPr>
            </w:pPr>
            <w:r w:rsidRPr="009D6BD0">
              <w:rPr>
                <w:lang w:eastAsia="en-AU"/>
              </w:rPr>
              <w:t>Not supported (max. 231 g acs/ha)</w:t>
            </w:r>
          </w:p>
        </w:tc>
        <w:tc>
          <w:tcPr>
            <w:tcW w:w="1485" w:type="dxa"/>
            <w:tcBorders>
              <w:top w:val="single" w:sz="4" w:space="0" w:color="auto"/>
              <w:bottom w:val="single" w:sz="4" w:space="0" w:color="auto"/>
              <w:right w:val="single" w:sz="4" w:space="0" w:color="auto"/>
            </w:tcBorders>
          </w:tcPr>
          <w:p w14:paraId="5D88F740"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6A824377"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226317AE" w14:textId="77777777" w:rsidR="009D6BD0" w:rsidRPr="009D6BD0" w:rsidRDefault="009D6BD0" w:rsidP="0082221E">
            <w:pPr>
              <w:pStyle w:val="TableText"/>
              <w:rPr>
                <w:lang w:eastAsia="en-AU"/>
              </w:rPr>
            </w:pPr>
            <w:r w:rsidRPr="009D6BD0">
              <w:rPr>
                <w:lang w:eastAsia="en-AU"/>
              </w:rPr>
              <w:t>Not supported</w:t>
            </w:r>
          </w:p>
        </w:tc>
      </w:tr>
      <w:tr w:rsidR="00336554" w:rsidRPr="009D6BD0" w14:paraId="41EABE8F" w14:textId="77777777" w:rsidTr="00A617AD">
        <w:trPr>
          <w:cantSplit/>
          <w:trHeight w:val="1152"/>
        </w:trPr>
        <w:tc>
          <w:tcPr>
            <w:tcW w:w="1662" w:type="dxa"/>
            <w:vMerge w:val="restart"/>
            <w:tcBorders>
              <w:top w:val="nil"/>
              <w:left w:val="single" w:sz="4" w:space="0" w:color="auto"/>
              <w:right w:val="single" w:sz="4" w:space="0" w:color="auto"/>
            </w:tcBorders>
            <w:shd w:val="clear" w:color="auto" w:fill="F2E18B"/>
            <w:vAlign w:val="center"/>
            <w:hideMark/>
          </w:tcPr>
          <w:p w14:paraId="0D20CF51" w14:textId="77777777" w:rsidR="009D6BD0" w:rsidRPr="009D6BD0" w:rsidRDefault="009D6BD0" w:rsidP="0082221E">
            <w:pPr>
              <w:pStyle w:val="TableText"/>
              <w:rPr>
                <w:lang w:eastAsia="en-AU"/>
              </w:rPr>
            </w:pPr>
            <w:r w:rsidRPr="009D6BD0">
              <w:rPr>
                <w:lang w:eastAsia="en-AU"/>
              </w:rPr>
              <w:lastRenderedPageBreak/>
              <w:t>Public Service Areas, Rights-of-Way, Market Gardens and Nurseries, Orchards (including Bananas), Vineyards and Forests - ring weeding around trees with brown bark and strip spraying in Orchards and Vineyards</w:t>
            </w:r>
          </w:p>
        </w:tc>
        <w:tc>
          <w:tcPr>
            <w:tcW w:w="1518" w:type="dxa"/>
            <w:vMerge w:val="restart"/>
            <w:tcBorders>
              <w:top w:val="nil"/>
              <w:left w:val="nil"/>
              <w:right w:val="single" w:sz="4" w:space="0" w:color="auto"/>
            </w:tcBorders>
            <w:shd w:val="clear" w:color="auto" w:fill="F2E18B"/>
            <w:hideMark/>
          </w:tcPr>
          <w:p w14:paraId="68AD99C6" w14:textId="0E90E07E" w:rsidR="007D482F" w:rsidRDefault="009D6BD0" w:rsidP="0082221E">
            <w:pPr>
              <w:pStyle w:val="TableText"/>
              <w:rPr>
                <w:lang w:eastAsia="en-AU"/>
              </w:rPr>
            </w:pPr>
            <w:r w:rsidRPr="009D6BD0">
              <w:rPr>
                <w:lang w:eastAsia="en-AU"/>
              </w:rPr>
              <w:t>Most Annual Grasses and Broadleaved Weeds</w:t>
            </w:r>
          </w:p>
          <w:p w14:paraId="3EBE099A" w14:textId="4FAD2EE9" w:rsidR="009D6BD0" w:rsidRPr="009D6BD0" w:rsidRDefault="007D482F" w:rsidP="0082221E">
            <w:pPr>
              <w:pStyle w:val="TableText"/>
              <w:rPr>
                <w:lang w:eastAsia="en-AU"/>
              </w:rPr>
            </w:pPr>
            <w:r w:rsidRPr="009D6BD0">
              <w:rPr>
                <w:lang w:eastAsia="en-AU"/>
              </w:rPr>
              <w:t>Weed control prior to crop emergence</w:t>
            </w:r>
          </w:p>
        </w:tc>
        <w:tc>
          <w:tcPr>
            <w:tcW w:w="1334" w:type="dxa"/>
            <w:vMerge w:val="restart"/>
            <w:tcBorders>
              <w:top w:val="nil"/>
              <w:left w:val="nil"/>
              <w:right w:val="single" w:sz="4" w:space="0" w:color="auto"/>
            </w:tcBorders>
            <w:shd w:val="clear" w:color="auto" w:fill="F2E18B"/>
            <w:hideMark/>
          </w:tcPr>
          <w:p w14:paraId="1B83351C" w14:textId="6700EC7B" w:rsidR="009D6BD0" w:rsidRPr="009D6BD0" w:rsidRDefault="009D6BD0" w:rsidP="0082221E">
            <w:pPr>
              <w:pStyle w:val="TableText"/>
              <w:rPr>
                <w:lang w:eastAsia="en-AU"/>
              </w:rPr>
            </w:pPr>
            <w:r w:rsidRPr="009D6BD0">
              <w:rPr>
                <w:lang w:eastAsia="en-AU"/>
              </w:rPr>
              <w:t>600-800 g acs/ha (High Volume or Power Sprayer, spot spray)</w:t>
            </w:r>
          </w:p>
        </w:tc>
        <w:tc>
          <w:tcPr>
            <w:tcW w:w="1548" w:type="dxa"/>
            <w:tcBorders>
              <w:top w:val="nil"/>
              <w:left w:val="nil"/>
              <w:bottom w:val="single" w:sz="4" w:space="0" w:color="auto"/>
              <w:right w:val="single" w:sz="4" w:space="0" w:color="auto"/>
            </w:tcBorders>
            <w:shd w:val="clear" w:color="auto" w:fill="F2E18B"/>
            <w:noWrap/>
            <w:vAlign w:val="center"/>
            <w:hideMark/>
          </w:tcPr>
          <w:p w14:paraId="139936AF" w14:textId="77777777" w:rsidR="009D6BD0" w:rsidRPr="009D6BD0" w:rsidRDefault="009D6BD0" w:rsidP="0082221E">
            <w:pPr>
              <w:pStyle w:val="TableText"/>
              <w:rPr>
                <w:lang w:eastAsia="en-AU"/>
              </w:rPr>
            </w:pPr>
            <w:r w:rsidRPr="009D6BD0">
              <w:rPr>
                <w:lang w:eastAsia="en-AU"/>
              </w:rPr>
              <w:t>Supported for public Service Areas, and Rights-of-Way</w:t>
            </w:r>
          </w:p>
        </w:tc>
        <w:tc>
          <w:tcPr>
            <w:tcW w:w="1485" w:type="dxa"/>
            <w:tcBorders>
              <w:top w:val="single" w:sz="4" w:space="0" w:color="auto"/>
              <w:bottom w:val="single" w:sz="4" w:space="0" w:color="auto"/>
              <w:right w:val="single" w:sz="4" w:space="0" w:color="auto"/>
            </w:tcBorders>
            <w:shd w:val="clear" w:color="auto" w:fill="F2E18B"/>
          </w:tcPr>
          <w:p w14:paraId="77D3A44C"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tcPr>
          <w:p w14:paraId="0D52F7D1" w14:textId="77777777" w:rsidR="009D6BD0" w:rsidRPr="009D6BD0" w:rsidRDefault="009D6BD0" w:rsidP="0082221E">
            <w:pPr>
              <w:pStyle w:val="TableText"/>
              <w:rPr>
                <w:lang w:eastAsia="en-AU"/>
              </w:rPr>
            </w:pPr>
            <w:r w:rsidRPr="009D6BD0">
              <w:rPr>
                <w:color w:val="1A1B1A"/>
                <w:lang w:eastAsia="en-AU"/>
              </w:rPr>
              <w:t>Supported (</w:t>
            </w:r>
            <w:r w:rsidRPr="009D6BD0">
              <w:rPr>
                <w:lang w:eastAsia="en-AU"/>
              </w:rPr>
              <w:t>NOT for backpack sprayer)</w:t>
            </w:r>
          </w:p>
        </w:tc>
        <w:tc>
          <w:tcPr>
            <w:tcW w:w="1136" w:type="dxa"/>
            <w:tcBorders>
              <w:top w:val="single" w:sz="4" w:space="0" w:color="auto"/>
              <w:bottom w:val="single" w:sz="4" w:space="0" w:color="auto"/>
              <w:right w:val="single" w:sz="4" w:space="0" w:color="auto"/>
            </w:tcBorders>
            <w:shd w:val="clear" w:color="auto" w:fill="F2E18B"/>
          </w:tcPr>
          <w:p w14:paraId="42F9B84F" w14:textId="77777777" w:rsidR="009D6BD0" w:rsidRPr="009D6BD0" w:rsidRDefault="009D6BD0" w:rsidP="0082221E">
            <w:pPr>
              <w:pStyle w:val="TableText"/>
              <w:rPr>
                <w:lang w:eastAsia="en-AU"/>
              </w:rPr>
            </w:pPr>
            <w:r w:rsidRPr="009D6BD0">
              <w:rPr>
                <w:color w:val="1A1B1A"/>
                <w:lang w:eastAsia="en-AU"/>
              </w:rPr>
              <w:t>Supported</w:t>
            </w:r>
          </w:p>
        </w:tc>
      </w:tr>
      <w:tr w:rsidR="00336554" w:rsidRPr="009D6BD0" w14:paraId="111301C4" w14:textId="77777777" w:rsidTr="0055684F">
        <w:trPr>
          <w:cantSplit/>
          <w:trHeight w:val="670"/>
        </w:trPr>
        <w:tc>
          <w:tcPr>
            <w:tcW w:w="1662" w:type="dxa"/>
            <w:vMerge/>
            <w:tcBorders>
              <w:left w:val="single" w:sz="4" w:space="0" w:color="auto"/>
              <w:right w:val="single" w:sz="4" w:space="0" w:color="auto"/>
            </w:tcBorders>
            <w:shd w:val="clear" w:color="auto" w:fill="F2E18B"/>
            <w:vAlign w:val="center"/>
          </w:tcPr>
          <w:p w14:paraId="591CFC8D" w14:textId="77777777" w:rsidR="009D6BD0" w:rsidRPr="009D6BD0" w:rsidRDefault="009D6BD0" w:rsidP="0082221E">
            <w:pPr>
              <w:pStyle w:val="TableText"/>
              <w:rPr>
                <w:lang w:eastAsia="en-AU"/>
              </w:rPr>
            </w:pPr>
          </w:p>
        </w:tc>
        <w:tc>
          <w:tcPr>
            <w:tcW w:w="1518" w:type="dxa"/>
            <w:vMerge/>
            <w:tcBorders>
              <w:left w:val="nil"/>
              <w:right w:val="single" w:sz="4" w:space="0" w:color="auto"/>
            </w:tcBorders>
            <w:shd w:val="clear" w:color="auto" w:fill="F2E18B"/>
            <w:vAlign w:val="center"/>
          </w:tcPr>
          <w:p w14:paraId="48119FB7" w14:textId="77777777" w:rsidR="009D6BD0" w:rsidRPr="009D6BD0" w:rsidRDefault="009D6BD0" w:rsidP="0082221E">
            <w:pPr>
              <w:pStyle w:val="TableText"/>
              <w:rPr>
                <w:lang w:eastAsia="en-AU"/>
              </w:rPr>
            </w:pPr>
          </w:p>
        </w:tc>
        <w:tc>
          <w:tcPr>
            <w:tcW w:w="1334" w:type="dxa"/>
            <w:vMerge/>
            <w:tcBorders>
              <w:left w:val="nil"/>
              <w:right w:val="single" w:sz="4" w:space="0" w:color="auto"/>
            </w:tcBorders>
            <w:shd w:val="clear" w:color="auto" w:fill="F2E18B"/>
            <w:vAlign w:val="center"/>
          </w:tcPr>
          <w:p w14:paraId="67290366" w14:textId="77777777" w:rsidR="009D6BD0" w:rsidRPr="009D6BD0" w:rsidRDefault="009D6BD0" w:rsidP="0082221E">
            <w:pPr>
              <w:pStyle w:val="TableText"/>
              <w:rPr>
                <w:lang w:eastAsia="en-AU"/>
              </w:rPr>
            </w:pPr>
          </w:p>
        </w:tc>
        <w:tc>
          <w:tcPr>
            <w:tcW w:w="1548" w:type="dxa"/>
            <w:tcBorders>
              <w:top w:val="nil"/>
              <w:left w:val="nil"/>
              <w:bottom w:val="single" w:sz="4" w:space="0" w:color="auto"/>
              <w:right w:val="single" w:sz="4" w:space="0" w:color="auto"/>
            </w:tcBorders>
            <w:shd w:val="clear" w:color="auto" w:fill="F2E18B"/>
            <w:noWrap/>
            <w:vAlign w:val="center"/>
          </w:tcPr>
          <w:p w14:paraId="2B744AAE" w14:textId="2671FF55" w:rsidR="009D6BD0" w:rsidRPr="009D6BD0" w:rsidRDefault="006C6506" w:rsidP="0082221E">
            <w:pPr>
              <w:pStyle w:val="TableText"/>
              <w:rPr>
                <w:lang w:eastAsia="en-AU"/>
              </w:rPr>
            </w:pPr>
            <w:r w:rsidRPr="006C6506">
              <w:rPr>
                <w:b/>
                <w:bCs/>
              </w:rPr>
              <w:t xml:space="preserve">Spot spray only </w:t>
            </w:r>
            <w:r w:rsidR="00336554" w:rsidRPr="006C6506">
              <w:rPr>
                <w:b/>
                <w:bCs/>
              </w:rPr>
              <w:t>supported</w:t>
            </w:r>
            <w:r w:rsidR="00336554">
              <w:t xml:space="preserve"> Market gardens and nurseries (max. </w:t>
            </w:r>
            <w:r w:rsidR="009D6BD0" w:rsidRPr="009D6BD0">
              <w:t>251 g acs/ha</w:t>
            </w:r>
            <w:r w:rsidR="00336554">
              <w:t>)</w:t>
            </w:r>
          </w:p>
        </w:tc>
        <w:tc>
          <w:tcPr>
            <w:tcW w:w="1485" w:type="dxa"/>
            <w:tcBorders>
              <w:top w:val="single" w:sz="4" w:space="0" w:color="auto"/>
              <w:bottom w:val="single" w:sz="4" w:space="0" w:color="auto"/>
              <w:right w:val="single" w:sz="4" w:space="0" w:color="auto"/>
            </w:tcBorders>
            <w:shd w:val="clear" w:color="auto" w:fill="F2E18B"/>
          </w:tcPr>
          <w:p w14:paraId="2761BAE5" w14:textId="77777777" w:rsidR="009D6BD0" w:rsidRPr="009D6BD0" w:rsidRDefault="009D6BD0" w:rsidP="0082221E">
            <w:pPr>
              <w:pStyle w:val="TableText"/>
              <w:rPr>
                <w:color w:val="1A1B1A"/>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tcPr>
          <w:p w14:paraId="6B4BBA2E" w14:textId="77777777" w:rsidR="009D6BD0" w:rsidRPr="009D6BD0" w:rsidRDefault="009D6BD0" w:rsidP="0082221E">
            <w:pPr>
              <w:pStyle w:val="TableText"/>
              <w:rPr>
                <w:lang w:eastAsia="en-AU"/>
              </w:rPr>
            </w:pPr>
            <w:r w:rsidRPr="009D6BD0">
              <w:rPr>
                <w:color w:val="1A1B1A"/>
                <w:lang w:eastAsia="en-AU"/>
              </w:rPr>
              <w:t>Supported (NOT for backpack sprayer)</w:t>
            </w:r>
          </w:p>
        </w:tc>
        <w:tc>
          <w:tcPr>
            <w:tcW w:w="1136" w:type="dxa"/>
            <w:tcBorders>
              <w:top w:val="single" w:sz="4" w:space="0" w:color="auto"/>
              <w:bottom w:val="single" w:sz="4" w:space="0" w:color="auto"/>
              <w:right w:val="single" w:sz="4" w:space="0" w:color="auto"/>
            </w:tcBorders>
            <w:shd w:val="clear" w:color="auto" w:fill="F2E18B"/>
          </w:tcPr>
          <w:p w14:paraId="5332727E" w14:textId="2DEE8BC0" w:rsidR="009D6BD0" w:rsidRPr="009D6BD0" w:rsidRDefault="00AD6267" w:rsidP="0082221E">
            <w:pPr>
              <w:pStyle w:val="TableText"/>
              <w:rPr>
                <w:lang w:eastAsia="en-AU"/>
              </w:rPr>
            </w:pPr>
            <w:r w:rsidRPr="006C6506">
              <w:rPr>
                <w:b/>
                <w:bCs/>
              </w:rPr>
              <w:t>Spot spray only supported</w:t>
            </w:r>
          </w:p>
        </w:tc>
      </w:tr>
      <w:tr w:rsidR="00336554" w:rsidRPr="009D6BD0" w14:paraId="277DE063" w14:textId="77777777" w:rsidTr="005F5DAB">
        <w:trPr>
          <w:cantSplit/>
          <w:trHeight w:val="670"/>
        </w:trPr>
        <w:tc>
          <w:tcPr>
            <w:tcW w:w="1662" w:type="dxa"/>
            <w:vMerge/>
            <w:tcBorders>
              <w:left w:val="single" w:sz="4" w:space="0" w:color="auto"/>
              <w:bottom w:val="single" w:sz="4" w:space="0" w:color="auto"/>
              <w:right w:val="single" w:sz="4" w:space="0" w:color="auto"/>
            </w:tcBorders>
            <w:vAlign w:val="center"/>
          </w:tcPr>
          <w:p w14:paraId="4A9A450D" w14:textId="77777777" w:rsidR="009D6BD0" w:rsidRPr="009D6BD0" w:rsidRDefault="009D6BD0" w:rsidP="0082221E">
            <w:pPr>
              <w:pStyle w:val="TableText"/>
              <w:rPr>
                <w:lang w:eastAsia="en-AU"/>
              </w:rPr>
            </w:pPr>
          </w:p>
        </w:tc>
        <w:tc>
          <w:tcPr>
            <w:tcW w:w="1518" w:type="dxa"/>
            <w:vMerge/>
            <w:tcBorders>
              <w:left w:val="nil"/>
              <w:bottom w:val="single" w:sz="4" w:space="0" w:color="auto"/>
              <w:right w:val="single" w:sz="4" w:space="0" w:color="auto"/>
            </w:tcBorders>
            <w:vAlign w:val="center"/>
          </w:tcPr>
          <w:p w14:paraId="1B57E236" w14:textId="77777777" w:rsidR="009D6BD0" w:rsidRPr="009D6BD0" w:rsidRDefault="009D6BD0" w:rsidP="0082221E">
            <w:pPr>
              <w:pStyle w:val="TableText"/>
              <w:rPr>
                <w:lang w:eastAsia="en-AU"/>
              </w:rPr>
            </w:pPr>
          </w:p>
        </w:tc>
        <w:tc>
          <w:tcPr>
            <w:tcW w:w="1334" w:type="dxa"/>
            <w:vMerge/>
            <w:tcBorders>
              <w:left w:val="nil"/>
              <w:bottom w:val="single" w:sz="4" w:space="0" w:color="auto"/>
              <w:right w:val="single" w:sz="4" w:space="0" w:color="auto"/>
            </w:tcBorders>
            <w:vAlign w:val="center"/>
          </w:tcPr>
          <w:p w14:paraId="158DE6F8" w14:textId="77777777" w:rsidR="009D6BD0" w:rsidRPr="009D6BD0" w:rsidRDefault="009D6BD0" w:rsidP="0082221E">
            <w:pPr>
              <w:pStyle w:val="TableText"/>
              <w:rPr>
                <w:lang w:eastAsia="en-AU"/>
              </w:rPr>
            </w:pPr>
          </w:p>
        </w:tc>
        <w:tc>
          <w:tcPr>
            <w:tcW w:w="1548" w:type="dxa"/>
            <w:tcBorders>
              <w:top w:val="nil"/>
              <w:left w:val="nil"/>
              <w:bottom w:val="single" w:sz="4" w:space="0" w:color="auto"/>
              <w:right w:val="single" w:sz="4" w:space="0" w:color="auto"/>
            </w:tcBorders>
            <w:noWrap/>
            <w:vAlign w:val="center"/>
          </w:tcPr>
          <w:p w14:paraId="7FE27827" w14:textId="77777777" w:rsidR="009D6BD0" w:rsidRPr="009D6BD0" w:rsidRDefault="009D6BD0" w:rsidP="0082221E">
            <w:pPr>
              <w:pStyle w:val="TableText"/>
            </w:pPr>
            <w:r w:rsidRPr="009D6BD0">
              <w:t>Not supported Orchards (including bananas), vineyards. (max. 68 g acs/ha)</w:t>
            </w:r>
          </w:p>
        </w:tc>
        <w:tc>
          <w:tcPr>
            <w:tcW w:w="1485" w:type="dxa"/>
            <w:tcBorders>
              <w:top w:val="single" w:sz="4" w:space="0" w:color="auto"/>
              <w:bottom w:val="single" w:sz="4" w:space="0" w:color="auto"/>
              <w:right w:val="single" w:sz="4" w:space="0" w:color="auto"/>
            </w:tcBorders>
          </w:tcPr>
          <w:p w14:paraId="2E287BFC" w14:textId="77777777" w:rsidR="009D6BD0" w:rsidRPr="009D6BD0" w:rsidRDefault="009D6BD0" w:rsidP="0082221E">
            <w:pPr>
              <w:pStyle w:val="TableText"/>
              <w:rPr>
                <w:color w:val="1A1B1A"/>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62294A49" w14:textId="77777777" w:rsidR="009D6BD0" w:rsidRPr="009D6BD0" w:rsidRDefault="009D6BD0" w:rsidP="0082221E">
            <w:pPr>
              <w:pStyle w:val="TableText"/>
              <w:rPr>
                <w:lang w:eastAsia="en-AU"/>
              </w:rPr>
            </w:pPr>
            <w:r w:rsidRPr="009D6BD0">
              <w:rPr>
                <w:lang w:eastAsia="en-AU"/>
              </w:rPr>
              <w:t>Supported (NOT for backpack sprayer)</w:t>
            </w:r>
          </w:p>
        </w:tc>
        <w:tc>
          <w:tcPr>
            <w:tcW w:w="1136" w:type="dxa"/>
            <w:tcBorders>
              <w:top w:val="single" w:sz="4" w:space="0" w:color="auto"/>
              <w:bottom w:val="single" w:sz="4" w:space="0" w:color="auto"/>
              <w:right w:val="single" w:sz="4" w:space="0" w:color="auto"/>
            </w:tcBorders>
          </w:tcPr>
          <w:p w14:paraId="6513C742" w14:textId="77777777" w:rsidR="009D6BD0" w:rsidRPr="009D6BD0" w:rsidRDefault="009D6BD0" w:rsidP="0082221E">
            <w:pPr>
              <w:pStyle w:val="TableText"/>
              <w:rPr>
                <w:lang w:eastAsia="en-AU"/>
              </w:rPr>
            </w:pPr>
            <w:r w:rsidRPr="009D6BD0">
              <w:rPr>
                <w:lang w:eastAsia="en-AU"/>
              </w:rPr>
              <w:t>Not supported</w:t>
            </w:r>
          </w:p>
        </w:tc>
      </w:tr>
      <w:tr w:rsidR="00336554" w:rsidRPr="009D6BD0" w14:paraId="3CDEA5C4" w14:textId="77777777" w:rsidTr="000055DD">
        <w:trPr>
          <w:cantSplit/>
          <w:trHeight w:val="576"/>
        </w:trPr>
        <w:tc>
          <w:tcPr>
            <w:tcW w:w="1662" w:type="dxa"/>
            <w:tcBorders>
              <w:top w:val="nil"/>
              <w:left w:val="single" w:sz="4" w:space="0" w:color="auto"/>
              <w:bottom w:val="single" w:sz="4" w:space="0" w:color="auto"/>
              <w:right w:val="single" w:sz="4" w:space="0" w:color="auto"/>
            </w:tcBorders>
            <w:shd w:val="clear" w:color="auto" w:fill="F2E18B"/>
            <w:vAlign w:val="center"/>
            <w:hideMark/>
          </w:tcPr>
          <w:p w14:paraId="41E94BDB" w14:textId="77777777" w:rsidR="009D6BD0" w:rsidRPr="009D6BD0" w:rsidRDefault="009D6BD0" w:rsidP="0082221E">
            <w:pPr>
              <w:pStyle w:val="TableText"/>
              <w:rPr>
                <w:lang w:eastAsia="en-AU"/>
              </w:rPr>
            </w:pPr>
            <w:r w:rsidRPr="009D6BD0">
              <w:rPr>
                <w:lang w:eastAsia="en-AU"/>
              </w:rPr>
              <w:t>Vegetable crops</w:t>
            </w:r>
          </w:p>
        </w:tc>
        <w:tc>
          <w:tcPr>
            <w:tcW w:w="1518" w:type="dxa"/>
            <w:tcBorders>
              <w:top w:val="nil"/>
              <w:left w:val="nil"/>
              <w:bottom w:val="single" w:sz="4" w:space="0" w:color="auto"/>
              <w:right w:val="single" w:sz="4" w:space="0" w:color="auto"/>
            </w:tcBorders>
            <w:shd w:val="clear" w:color="auto" w:fill="F2E18B"/>
            <w:vAlign w:val="bottom"/>
            <w:hideMark/>
          </w:tcPr>
          <w:p w14:paraId="2E0FF231" w14:textId="77777777" w:rsidR="009D6BD0" w:rsidRPr="009D6BD0" w:rsidRDefault="009D6BD0" w:rsidP="0082221E">
            <w:pPr>
              <w:pStyle w:val="TableText"/>
              <w:rPr>
                <w:lang w:eastAsia="en-AU"/>
              </w:rPr>
            </w:pPr>
            <w:r w:rsidRPr="009D6BD0">
              <w:rPr>
                <w:lang w:eastAsia="en-AU"/>
              </w:rPr>
              <w:t>Weed control prior to crop emergence - most Annual Grasses and Broadleaved Weeds</w:t>
            </w:r>
          </w:p>
        </w:tc>
        <w:tc>
          <w:tcPr>
            <w:tcW w:w="1334" w:type="dxa"/>
            <w:tcBorders>
              <w:top w:val="nil"/>
              <w:left w:val="nil"/>
              <w:bottom w:val="single" w:sz="4" w:space="0" w:color="auto"/>
              <w:right w:val="single" w:sz="4" w:space="0" w:color="auto"/>
            </w:tcBorders>
            <w:shd w:val="clear" w:color="auto" w:fill="F2E18B"/>
            <w:vAlign w:val="center"/>
            <w:hideMark/>
          </w:tcPr>
          <w:p w14:paraId="34CB0F47" w14:textId="549C7C7E" w:rsidR="009D6BD0" w:rsidRPr="009D6BD0" w:rsidRDefault="009D6BD0" w:rsidP="0082221E">
            <w:pPr>
              <w:pStyle w:val="TableText"/>
              <w:rPr>
                <w:lang w:eastAsia="en-AU"/>
              </w:rPr>
            </w:pPr>
            <w:r w:rsidRPr="009D6BD0">
              <w:rPr>
                <w:lang w:eastAsia="en-AU"/>
              </w:rPr>
              <w:t>600-800 g acs/ha (High Volume or Power Sprayer</w:t>
            </w:r>
            <w:r w:rsidR="006C6506">
              <w:rPr>
                <w:lang w:eastAsia="en-AU"/>
              </w:rPr>
              <w:t>, spot spray</w:t>
            </w:r>
            <w:r w:rsidRPr="009D6BD0">
              <w:rPr>
                <w:lang w:eastAsia="en-AU"/>
              </w:rPr>
              <w:t>)</w:t>
            </w:r>
          </w:p>
        </w:tc>
        <w:tc>
          <w:tcPr>
            <w:tcW w:w="1548" w:type="dxa"/>
            <w:tcBorders>
              <w:top w:val="nil"/>
              <w:left w:val="nil"/>
              <w:bottom w:val="single" w:sz="4" w:space="0" w:color="auto"/>
              <w:right w:val="single" w:sz="4" w:space="0" w:color="auto"/>
            </w:tcBorders>
            <w:shd w:val="clear" w:color="auto" w:fill="F2E18B"/>
            <w:noWrap/>
            <w:hideMark/>
          </w:tcPr>
          <w:p w14:paraId="6D15E996" w14:textId="64AA9809" w:rsidR="009D6BD0" w:rsidRPr="009D6BD0" w:rsidRDefault="006C6506" w:rsidP="0082221E">
            <w:pPr>
              <w:pStyle w:val="TableText"/>
              <w:rPr>
                <w:lang w:eastAsia="en-AU"/>
              </w:rPr>
            </w:pPr>
            <w:r w:rsidRPr="006C6506">
              <w:rPr>
                <w:b/>
                <w:bCs/>
              </w:rPr>
              <w:t xml:space="preserve">Spot spray only </w:t>
            </w:r>
            <w:r w:rsidRPr="006C6506">
              <w:rPr>
                <w:b/>
                <w:bCs/>
                <w:lang w:eastAsia="en-AU"/>
              </w:rPr>
              <w:t>supported</w:t>
            </w:r>
            <w:r>
              <w:rPr>
                <w:lang w:eastAsia="en-AU"/>
              </w:rPr>
              <w:t xml:space="preserve"> </w:t>
            </w:r>
            <w:r w:rsidR="009D6BD0" w:rsidRPr="009D6BD0">
              <w:rPr>
                <w:lang w:eastAsia="en-AU"/>
              </w:rPr>
              <w:t>(max. 251 g acs/ha)</w:t>
            </w:r>
          </w:p>
        </w:tc>
        <w:tc>
          <w:tcPr>
            <w:tcW w:w="1485" w:type="dxa"/>
            <w:tcBorders>
              <w:top w:val="single" w:sz="4" w:space="0" w:color="auto"/>
              <w:bottom w:val="single" w:sz="4" w:space="0" w:color="auto"/>
              <w:right w:val="single" w:sz="4" w:space="0" w:color="auto"/>
            </w:tcBorders>
            <w:shd w:val="clear" w:color="auto" w:fill="F2E18B"/>
          </w:tcPr>
          <w:p w14:paraId="7CAF14AD"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tcPr>
          <w:p w14:paraId="63B93458" w14:textId="77777777" w:rsidR="009D6BD0" w:rsidRPr="009D6BD0" w:rsidRDefault="009D6BD0" w:rsidP="0082221E">
            <w:pPr>
              <w:pStyle w:val="TableText"/>
              <w:rPr>
                <w:lang w:eastAsia="en-AU"/>
              </w:rPr>
            </w:pPr>
            <w:r w:rsidRPr="009D6BD0">
              <w:rPr>
                <w:lang w:eastAsia="en-AU"/>
              </w:rPr>
              <w:t xml:space="preserve">Supported </w:t>
            </w:r>
          </w:p>
        </w:tc>
        <w:tc>
          <w:tcPr>
            <w:tcW w:w="1136" w:type="dxa"/>
            <w:tcBorders>
              <w:top w:val="single" w:sz="4" w:space="0" w:color="auto"/>
              <w:bottom w:val="single" w:sz="4" w:space="0" w:color="auto"/>
              <w:right w:val="single" w:sz="4" w:space="0" w:color="auto"/>
            </w:tcBorders>
            <w:shd w:val="clear" w:color="auto" w:fill="F2E18B"/>
          </w:tcPr>
          <w:p w14:paraId="531A0BC7" w14:textId="40B75BE6" w:rsidR="009D6BD0" w:rsidRPr="009D6BD0" w:rsidRDefault="00AD6267" w:rsidP="0082221E">
            <w:pPr>
              <w:pStyle w:val="TableText"/>
              <w:rPr>
                <w:lang w:eastAsia="en-AU"/>
              </w:rPr>
            </w:pPr>
            <w:r w:rsidRPr="006C6506">
              <w:rPr>
                <w:b/>
                <w:bCs/>
              </w:rPr>
              <w:t>Spot spray only supported</w:t>
            </w:r>
          </w:p>
        </w:tc>
      </w:tr>
      <w:tr w:rsidR="00336554" w:rsidRPr="009D6BD0" w14:paraId="5A1E5CC9" w14:textId="77777777" w:rsidTr="000055DD">
        <w:trPr>
          <w:cantSplit/>
          <w:trHeight w:val="576"/>
        </w:trPr>
        <w:tc>
          <w:tcPr>
            <w:tcW w:w="1662" w:type="dxa"/>
            <w:tcBorders>
              <w:top w:val="nil"/>
              <w:left w:val="single" w:sz="4" w:space="0" w:color="auto"/>
              <w:bottom w:val="single" w:sz="4" w:space="0" w:color="auto"/>
              <w:right w:val="single" w:sz="4" w:space="0" w:color="auto"/>
            </w:tcBorders>
            <w:shd w:val="clear" w:color="auto" w:fill="F2E18B"/>
            <w:noWrap/>
            <w:vAlign w:val="center"/>
            <w:hideMark/>
          </w:tcPr>
          <w:p w14:paraId="00388BAC" w14:textId="3B3AAA1D" w:rsidR="009D6BD0" w:rsidRPr="009D6BD0" w:rsidRDefault="009D6BD0" w:rsidP="0082221E">
            <w:pPr>
              <w:pStyle w:val="TableText"/>
              <w:rPr>
                <w:lang w:eastAsia="en-AU"/>
              </w:rPr>
            </w:pPr>
            <w:r w:rsidRPr="009D6BD0">
              <w:rPr>
                <w:lang w:eastAsia="en-AU"/>
              </w:rPr>
              <w:t>Potatoes</w:t>
            </w:r>
            <w:r w:rsidR="000055DD">
              <w:rPr>
                <w:lang w:eastAsia="en-AU"/>
              </w:rPr>
              <w:t xml:space="preserve"> (10-25% crop emergence)</w:t>
            </w:r>
          </w:p>
        </w:tc>
        <w:tc>
          <w:tcPr>
            <w:tcW w:w="1518" w:type="dxa"/>
            <w:tcBorders>
              <w:top w:val="nil"/>
              <w:left w:val="nil"/>
              <w:bottom w:val="single" w:sz="4" w:space="0" w:color="auto"/>
              <w:right w:val="single" w:sz="4" w:space="0" w:color="auto"/>
            </w:tcBorders>
            <w:shd w:val="clear" w:color="auto" w:fill="F2E18B"/>
            <w:vAlign w:val="center"/>
            <w:hideMark/>
          </w:tcPr>
          <w:p w14:paraId="1452E9C1" w14:textId="58B1CF6C" w:rsidR="009D6BD0" w:rsidRPr="009D6BD0" w:rsidRDefault="009D6BD0" w:rsidP="0082221E">
            <w:pPr>
              <w:pStyle w:val="TableText"/>
              <w:rPr>
                <w:lang w:eastAsia="en-AU"/>
              </w:rPr>
            </w:pPr>
            <w:r w:rsidRPr="009D6BD0">
              <w:rPr>
                <w:lang w:eastAsia="en-AU"/>
              </w:rPr>
              <w:t>General weed control - most Annual Grasses and Broadleaved Weeds</w:t>
            </w:r>
            <w:r w:rsidR="000055DD">
              <w:rPr>
                <w:lang w:eastAsia="en-AU"/>
              </w:rPr>
              <w:t xml:space="preserve"> </w:t>
            </w:r>
          </w:p>
        </w:tc>
        <w:tc>
          <w:tcPr>
            <w:tcW w:w="1334" w:type="dxa"/>
            <w:tcBorders>
              <w:top w:val="nil"/>
              <w:left w:val="nil"/>
              <w:bottom w:val="single" w:sz="4" w:space="0" w:color="auto"/>
              <w:right w:val="single" w:sz="4" w:space="0" w:color="auto"/>
            </w:tcBorders>
            <w:shd w:val="clear" w:color="auto" w:fill="F2E18B"/>
            <w:hideMark/>
          </w:tcPr>
          <w:p w14:paraId="4BDE414B" w14:textId="77777777" w:rsidR="009D6BD0" w:rsidRPr="009D6BD0" w:rsidRDefault="009D6BD0" w:rsidP="0082221E">
            <w:pPr>
              <w:pStyle w:val="TableText"/>
              <w:rPr>
                <w:lang w:eastAsia="en-AU"/>
              </w:rPr>
            </w:pPr>
            <w:r w:rsidRPr="009D6BD0">
              <w:rPr>
                <w:lang w:eastAsia="en-AU"/>
              </w:rPr>
              <w:t>600-800 g acs/ha (High Volume or Power Sprayer)</w:t>
            </w:r>
          </w:p>
        </w:tc>
        <w:tc>
          <w:tcPr>
            <w:tcW w:w="1548" w:type="dxa"/>
            <w:tcBorders>
              <w:top w:val="nil"/>
              <w:left w:val="single" w:sz="4" w:space="0" w:color="auto"/>
              <w:bottom w:val="single" w:sz="4" w:space="0" w:color="auto"/>
              <w:right w:val="single" w:sz="4" w:space="0" w:color="auto"/>
            </w:tcBorders>
            <w:shd w:val="clear" w:color="auto" w:fill="F2E18B"/>
            <w:noWrap/>
            <w:hideMark/>
          </w:tcPr>
          <w:p w14:paraId="287BBA96" w14:textId="7F1C47CD" w:rsidR="009D6BD0" w:rsidRPr="009D6BD0" w:rsidRDefault="000055DD" w:rsidP="0082221E">
            <w:pPr>
              <w:pStyle w:val="TableText"/>
              <w:rPr>
                <w:lang w:eastAsia="en-AU"/>
              </w:rPr>
            </w:pPr>
            <w:r w:rsidRPr="006C6506">
              <w:rPr>
                <w:b/>
                <w:bCs/>
              </w:rPr>
              <w:t xml:space="preserve">Spot spray only </w:t>
            </w:r>
            <w:r w:rsidRPr="006C6506">
              <w:rPr>
                <w:b/>
                <w:bCs/>
                <w:lang w:eastAsia="en-AU"/>
              </w:rPr>
              <w:t>supported</w:t>
            </w:r>
            <w:r w:rsidR="009D6BD0" w:rsidRPr="009D6BD0">
              <w:rPr>
                <w:lang w:eastAsia="en-AU"/>
              </w:rPr>
              <w:t xml:space="preserve"> (max. 251 g acs/ha)</w:t>
            </w:r>
          </w:p>
        </w:tc>
        <w:tc>
          <w:tcPr>
            <w:tcW w:w="1485" w:type="dxa"/>
            <w:tcBorders>
              <w:top w:val="single" w:sz="4" w:space="0" w:color="auto"/>
              <w:bottom w:val="single" w:sz="4" w:space="0" w:color="auto"/>
              <w:right w:val="single" w:sz="4" w:space="0" w:color="auto"/>
            </w:tcBorders>
            <w:shd w:val="clear" w:color="auto" w:fill="F2E18B"/>
          </w:tcPr>
          <w:p w14:paraId="2DB1DE77"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shd w:val="clear" w:color="auto" w:fill="F2E18B"/>
          </w:tcPr>
          <w:p w14:paraId="1BB04A22"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shd w:val="clear" w:color="auto" w:fill="F2E18B"/>
          </w:tcPr>
          <w:p w14:paraId="5518B817" w14:textId="645CC392" w:rsidR="009D6BD0" w:rsidRPr="009D6BD0" w:rsidRDefault="000055DD" w:rsidP="0082221E">
            <w:pPr>
              <w:pStyle w:val="TableText"/>
              <w:rPr>
                <w:lang w:eastAsia="en-AU"/>
              </w:rPr>
            </w:pPr>
            <w:r w:rsidRPr="006C6506">
              <w:rPr>
                <w:b/>
                <w:bCs/>
              </w:rPr>
              <w:t>Spot spray only supported</w:t>
            </w:r>
          </w:p>
        </w:tc>
      </w:tr>
      <w:tr w:rsidR="00336554" w:rsidRPr="009D6BD0" w14:paraId="466D40EA" w14:textId="77777777" w:rsidTr="007D482F">
        <w:trPr>
          <w:cantSplit/>
          <w:trHeight w:val="576"/>
        </w:trPr>
        <w:tc>
          <w:tcPr>
            <w:tcW w:w="1662" w:type="dxa"/>
            <w:tcBorders>
              <w:top w:val="nil"/>
              <w:left w:val="single" w:sz="4" w:space="0" w:color="auto"/>
              <w:bottom w:val="single" w:sz="4" w:space="0" w:color="auto"/>
              <w:right w:val="single" w:sz="4" w:space="0" w:color="auto"/>
            </w:tcBorders>
            <w:hideMark/>
          </w:tcPr>
          <w:p w14:paraId="37653759" w14:textId="4719ECC7" w:rsidR="009D6BD0" w:rsidRPr="009D6BD0" w:rsidRDefault="0055684F" w:rsidP="0082221E">
            <w:pPr>
              <w:pStyle w:val="TableText"/>
              <w:rPr>
                <w:lang w:eastAsia="en-AU"/>
              </w:rPr>
            </w:pPr>
            <w:r w:rsidRPr="009D6BD0">
              <w:rPr>
                <w:lang w:eastAsia="en-AU"/>
              </w:rPr>
              <w:t>Potatoes</w:t>
            </w:r>
          </w:p>
        </w:tc>
        <w:tc>
          <w:tcPr>
            <w:tcW w:w="1518" w:type="dxa"/>
            <w:tcBorders>
              <w:top w:val="nil"/>
              <w:left w:val="nil"/>
              <w:bottom w:val="single" w:sz="4" w:space="0" w:color="auto"/>
              <w:right w:val="single" w:sz="4" w:space="0" w:color="auto"/>
            </w:tcBorders>
            <w:hideMark/>
          </w:tcPr>
          <w:p w14:paraId="41092C85" w14:textId="77777777" w:rsidR="009D6BD0" w:rsidRPr="009D6BD0" w:rsidRDefault="009D6BD0" w:rsidP="0082221E">
            <w:pPr>
              <w:pStyle w:val="TableText"/>
              <w:rPr>
                <w:lang w:eastAsia="en-AU"/>
              </w:rPr>
            </w:pPr>
            <w:r w:rsidRPr="009D6BD0">
              <w:rPr>
                <w:lang w:eastAsia="en-AU"/>
              </w:rPr>
              <w:t>Weed destruction prior to</w:t>
            </w:r>
            <w:r w:rsidRPr="009D6BD0">
              <w:rPr>
                <w:lang w:eastAsia="en-AU"/>
              </w:rPr>
              <w:br/>
              <w:t>digging - most Annual Grasses and Broadleaved Weeds</w:t>
            </w:r>
          </w:p>
        </w:tc>
        <w:tc>
          <w:tcPr>
            <w:tcW w:w="1334" w:type="dxa"/>
            <w:tcBorders>
              <w:top w:val="nil"/>
              <w:left w:val="nil"/>
              <w:bottom w:val="single" w:sz="4" w:space="0" w:color="auto"/>
              <w:right w:val="single" w:sz="4" w:space="0" w:color="auto"/>
            </w:tcBorders>
            <w:hideMark/>
          </w:tcPr>
          <w:p w14:paraId="17FDC655" w14:textId="5683404B" w:rsidR="009D6BD0" w:rsidRPr="009D6BD0" w:rsidRDefault="009D6BD0" w:rsidP="0082221E">
            <w:pPr>
              <w:pStyle w:val="TableText"/>
              <w:rPr>
                <w:lang w:eastAsia="en-AU"/>
              </w:rPr>
            </w:pPr>
            <w:r w:rsidRPr="009D6BD0">
              <w:rPr>
                <w:lang w:eastAsia="en-AU"/>
              </w:rPr>
              <w:t>800 g acs/ha (High Volume or Power Sprayer</w:t>
            </w:r>
            <w:r w:rsidR="000055DD">
              <w:rPr>
                <w:lang w:eastAsia="en-AU"/>
              </w:rPr>
              <w:t>, spot spray</w:t>
            </w:r>
            <w:r w:rsidRPr="009D6BD0">
              <w:rPr>
                <w:lang w:eastAsia="en-AU"/>
              </w:rPr>
              <w:t>)</w:t>
            </w:r>
          </w:p>
        </w:tc>
        <w:tc>
          <w:tcPr>
            <w:tcW w:w="1548" w:type="dxa"/>
            <w:tcBorders>
              <w:top w:val="nil"/>
              <w:left w:val="single" w:sz="4" w:space="0" w:color="auto"/>
              <w:bottom w:val="single" w:sz="4" w:space="0" w:color="auto"/>
              <w:right w:val="single" w:sz="4" w:space="0" w:color="auto"/>
            </w:tcBorders>
            <w:hideMark/>
          </w:tcPr>
          <w:p w14:paraId="7DAE6073" w14:textId="77777777" w:rsidR="009D6BD0" w:rsidRPr="009D6BD0" w:rsidRDefault="009D6BD0" w:rsidP="0082221E">
            <w:pPr>
              <w:pStyle w:val="TableText"/>
              <w:rPr>
                <w:lang w:eastAsia="en-AU"/>
              </w:rPr>
            </w:pPr>
            <w:r w:rsidRPr="009D6BD0">
              <w:rPr>
                <w:lang w:eastAsia="en-AU"/>
              </w:rPr>
              <w:t>Not supported (max. 246 g acs/ha)</w:t>
            </w:r>
          </w:p>
        </w:tc>
        <w:tc>
          <w:tcPr>
            <w:tcW w:w="1485" w:type="dxa"/>
            <w:tcBorders>
              <w:top w:val="single" w:sz="4" w:space="0" w:color="auto"/>
              <w:bottom w:val="single" w:sz="4" w:space="0" w:color="auto"/>
              <w:right w:val="single" w:sz="4" w:space="0" w:color="auto"/>
            </w:tcBorders>
          </w:tcPr>
          <w:p w14:paraId="25B7171C" w14:textId="70CD027E" w:rsidR="009D6BD0" w:rsidRPr="009D6BD0" w:rsidRDefault="009D6BD0" w:rsidP="0082221E">
            <w:pPr>
              <w:pStyle w:val="TableText"/>
              <w:rPr>
                <w:lang w:eastAsia="en-AU"/>
              </w:rPr>
            </w:pPr>
            <w:r w:rsidRPr="009D6BD0">
              <w:rPr>
                <w:color w:val="1A1B1A"/>
                <w:lang w:eastAsia="en-AU"/>
              </w:rPr>
              <w:t>Supported</w:t>
            </w:r>
            <w:r w:rsidR="00E51489">
              <w:rPr>
                <w:color w:val="1A1B1A"/>
                <w:lang w:eastAsia="en-AU"/>
              </w:rPr>
              <w:t xml:space="preserve"> 4-5 week WHP</w:t>
            </w:r>
          </w:p>
        </w:tc>
        <w:tc>
          <w:tcPr>
            <w:tcW w:w="1171" w:type="dxa"/>
            <w:tcBorders>
              <w:top w:val="single" w:sz="4" w:space="0" w:color="auto"/>
              <w:left w:val="single" w:sz="4" w:space="0" w:color="auto"/>
              <w:bottom w:val="single" w:sz="4" w:space="0" w:color="auto"/>
              <w:right w:val="single" w:sz="4" w:space="0" w:color="auto"/>
            </w:tcBorders>
          </w:tcPr>
          <w:p w14:paraId="7BFE6668"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69ABB0CB" w14:textId="77777777" w:rsidR="009D6BD0" w:rsidRPr="009D6BD0" w:rsidRDefault="009D6BD0" w:rsidP="0082221E">
            <w:pPr>
              <w:pStyle w:val="TableText"/>
              <w:rPr>
                <w:lang w:eastAsia="en-AU"/>
              </w:rPr>
            </w:pPr>
            <w:r w:rsidRPr="009D6BD0">
              <w:rPr>
                <w:lang w:eastAsia="en-AU"/>
              </w:rPr>
              <w:t>Not supported</w:t>
            </w:r>
          </w:p>
        </w:tc>
      </w:tr>
      <w:tr w:rsidR="00336554" w:rsidRPr="009D6BD0" w14:paraId="389788D4" w14:textId="77777777" w:rsidTr="002C68CD">
        <w:trPr>
          <w:cantSplit/>
          <w:trHeight w:val="576"/>
        </w:trPr>
        <w:tc>
          <w:tcPr>
            <w:tcW w:w="1662" w:type="dxa"/>
            <w:tcBorders>
              <w:top w:val="nil"/>
              <w:left w:val="single" w:sz="4" w:space="0" w:color="auto"/>
              <w:bottom w:val="single" w:sz="4" w:space="0" w:color="auto"/>
              <w:right w:val="single" w:sz="4" w:space="0" w:color="auto"/>
            </w:tcBorders>
            <w:vAlign w:val="center"/>
            <w:hideMark/>
          </w:tcPr>
          <w:p w14:paraId="73BBD4C6" w14:textId="77777777" w:rsidR="009D6BD0" w:rsidRPr="009D6BD0" w:rsidRDefault="009D6BD0" w:rsidP="0082221E">
            <w:pPr>
              <w:pStyle w:val="TableText"/>
              <w:rPr>
                <w:lang w:eastAsia="en-AU"/>
              </w:rPr>
            </w:pPr>
            <w:r w:rsidRPr="009D6BD0">
              <w:rPr>
                <w:lang w:eastAsia="en-AU"/>
              </w:rPr>
              <w:t>Avocados, Custard Apples,</w:t>
            </w:r>
            <w:r w:rsidRPr="009D6BD0">
              <w:rPr>
                <w:lang w:eastAsia="en-AU"/>
              </w:rPr>
              <w:br/>
              <w:t>Lychees, Mangoes</w:t>
            </w:r>
          </w:p>
        </w:tc>
        <w:tc>
          <w:tcPr>
            <w:tcW w:w="1518" w:type="dxa"/>
            <w:tcBorders>
              <w:top w:val="nil"/>
              <w:left w:val="nil"/>
              <w:bottom w:val="single" w:sz="4" w:space="0" w:color="auto"/>
              <w:right w:val="single" w:sz="4" w:space="0" w:color="auto"/>
            </w:tcBorders>
            <w:vAlign w:val="center"/>
            <w:hideMark/>
          </w:tcPr>
          <w:p w14:paraId="07DEB621" w14:textId="77777777" w:rsidR="009D6BD0" w:rsidRPr="009D6BD0" w:rsidRDefault="009D6BD0" w:rsidP="0082221E">
            <w:pPr>
              <w:pStyle w:val="TableText"/>
              <w:rPr>
                <w:lang w:eastAsia="en-AU"/>
              </w:rPr>
            </w:pPr>
            <w:r w:rsidRPr="009D6BD0">
              <w:rPr>
                <w:lang w:eastAsia="en-AU"/>
              </w:rPr>
              <w:t>Most Annual and Perennial Broadleaf Weeds and Grasses</w:t>
            </w:r>
          </w:p>
        </w:tc>
        <w:tc>
          <w:tcPr>
            <w:tcW w:w="1334" w:type="dxa"/>
            <w:tcBorders>
              <w:top w:val="nil"/>
              <w:left w:val="nil"/>
              <w:bottom w:val="single" w:sz="4" w:space="0" w:color="auto"/>
              <w:right w:val="single" w:sz="4" w:space="0" w:color="auto"/>
            </w:tcBorders>
            <w:vAlign w:val="center"/>
            <w:hideMark/>
          </w:tcPr>
          <w:p w14:paraId="05FDCFC2" w14:textId="77777777" w:rsidR="009D6BD0" w:rsidRPr="009D6BD0" w:rsidRDefault="009D6BD0" w:rsidP="0082221E">
            <w:pPr>
              <w:pStyle w:val="TableText"/>
              <w:rPr>
                <w:lang w:eastAsia="en-AU"/>
              </w:rPr>
            </w:pPr>
            <w:r w:rsidRPr="009D6BD0">
              <w:rPr>
                <w:lang w:eastAsia="en-AU"/>
              </w:rPr>
              <w:t xml:space="preserve">300-600g acs/ha (High Volume or Power Sprayer) </w:t>
            </w:r>
          </w:p>
        </w:tc>
        <w:tc>
          <w:tcPr>
            <w:tcW w:w="1548" w:type="dxa"/>
            <w:tcBorders>
              <w:top w:val="nil"/>
              <w:left w:val="nil"/>
              <w:bottom w:val="single" w:sz="4" w:space="0" w:color="auto"/>
              <w:right w:val="single" w:sz="4" w:space="0" w:color="auto"/>
            </w:tcBorders>
            <w:noWrap/>
            <w:hideMark/>
          </w:tcPr>
          <w:p w14:paraId="7517E8B1"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3146B66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0CF6642"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2F929C3D" w14:textId="77777777" w:rsidR="009D6BD0" w:rsidRPr="009D6BD0" w:rsidRDefault="009D6BD0" w:rsidP="0082221E">
            <w:pPr>
              <w:pStyle w:val="TableText"/>
              <w:rPr>
                <w:lang w:eastAsia="en-AU"/>
              </w:rPr>
            </w:pPr>
            <w:r w:rsidRPr="009D6BD0">
              <w:rPr>
                <w:lang w:eastAsia="en-AU"/>
              </w:rPr>
              <w:t>Not supported</w:t>
            </w:r>
          </w:p>
        </w:tc>
      </w:tr>
      <w:tr w:rsidR="00336554" w:rsidRPr="009D6BD0" w14:paraId="6F13F064" w14:textId="77777777" w:rsidTr="005F5DAB">
        <w:trPr>
          <w:cantSplit/>
          <w:trHeight w:val="288"/>
        </w:trPr>
        <w:tc>
          <w:tcPr>
            <w:tcW w:w="1662" w:type="dxa"/>
            <w:vMerge w:val="restart"/>
            <w:tcBorders>
              <w:top w:val="nil"/>
              <w:left w:val="single" w:sz="4" w:space="0" w:color="auto"/>
              <w:bottom w:val="single" w:sz="4" w:space="0" w:color="auto"/>
              <w:right w:val="single" w:sz="4" w:space="0" w:color="auto"/>
            </w:tcBorders>
            <w:noWrap/>
            <w:vAlign w:val="center"/>
            <w:hideMark/>
          </w:tcPr>
          <w:p w14:paraId="2DD643E7" w14:textId="77777777" w:rsidR="009D6BD0" w:rsidRPr="009D6BD0" w:rsidRDefault="009D6BD0" w:rsidP="0082221E">
            <w:pPr>
              <w:pStyle w:val="TableText"/>
              <w:rPr>
                <w:lang w:eastAsia="en-AU"/>
              </w:rPr>
            </w:pPr>
            <w:r w:rsidRPr="009D6BD0">
              <w:rPr>
                <w:lang w:eastAsia="en-AU"/>
              </w:rPr>
              <w:lastRenderedPageBreak/>
              <w:t>Rice (pre-emergent use only)</w:t>
            </w:r>
          </w:p>
        </w:tc>
        <w:tc>
          <w:tcPr>
            <w:tcW w:w="1518" w:type="dxa"/>
            <w:tcBorders>
              <w:top w:val="nil"/>
              <w:left w:val="nil"/>
              <w:bottom w:val="single" w:sz="4" w:space="0" w:color="auto"/>
              <w:right w:val="single" w:sz="4" w:space="0" w:color="auto"/>
            </w:tcBorders>
            <w:vAlign w:val="center"/>
            <w:hideMark/>
          </w:tcPr>
          <w:p w14:paraId="0FF7CA14" w14:textId="77777777" w:rsidR="009D6BD0" w:rsidRPr="009D6BD0" w:rsidRDefault="009D6BD0" w:rsidP="0082221E">
            <w:pPr>
              <w:pStyle w:val="TableText"/>
              <w:rPr>
                <w:lang w:eastAsia="en-AU"/>
              </w:rPr>
            </w:pPr>
            <w:r w:rsidRPr="009D6BD0">
              <w:rPr>
                <w:lang w:eastAsia="en-AU"/>
              </w:rPr>
              <w:t>Annual Weeds including Barnyard Grass (on rice stubble after burning)</w:t>
            </w:r>
          </w:p>
        </w:tc>
        <w:tc>
          <w:tcPr>
            <w:tcW w:w="1334" w:type="dxa"/>
            <w:vMerge w:val="restart"/>
            <w:tcBorders>
              <w:top w:val="nil"/>
              <w:left w:val="single" w:sz="4" w:space="0" w:color="auto"/>
              <w:bottom w:val="single" w:sz="4" w:space="0" w:color="auto"/>
              <w:right w:val="single" w:sz="4" w:space="0" w:color="auto"/>
            </w:tcBorders>
            <w:vAlign w:val="center"/>
            <w:hideMark/>
          </w:tcPr>
          <w:p w14:paraId="3010123C" w14:textId="77777777" w:rsidR="009D6BD0" w:rsidRPr="009D6BD0" w:rsidRDefault="009D6BD0" w:rsidP="0082221E">
            <w:pPr>
              <w:pStyle w:val="TableText"/>
              <w:rPr>
                <w:lang w:eastAsia="en-AU"/>
              </w:rPr>
            </w:pPr>
            <w:r w:rsidRPr="009D6BD0">
              <w:rPr>
                <w:lang w:eastAsia="en-AU"/>
              </w:rPr>
              <w:t>400-800 g acs/ha (boomspray)</w:t>
            </w:r>
          </w:p>
        </w:tc>
        <w:tc>
          <w:tcPr>
            <w:tcW w:w="1548" w:type="dxa"/>
            <w:vMerge w:val="restart"/>
            <w:tcBorders>
              <w:top w:val="nil"/>
              <w:left w:val="single" w:sz="4" w:space="0" w:color="auto"/>
              <w:bottom w:val="single" w:sz="4" w:space="0" w:color="auto"/>
              <w:right w:val="single" w:sz="4" w:space="0" w:color="auto"/>
            </w:tcBorders>
            <w:noWrap/>
            <w:vAlign w:val="center"/>
            <w:hideMark/>
          </w:tcPr>
          <w:p w14:paraId="73984306" w14:textId="77777777" w:rsidR="009D6BD0" w:rsidRPr="009D6BD0" w:rsidRDefault="009D6BD0" w:rsidP="0082221E">
            <w:pPr>
              <w:pStyle w:val="TableText"/>
              <w:rPr>
                <w:lang w:eastAsia="en-AU"/>
              </w:rPr>
            </w:pPr>
            <w:r w:rsidRPr="009D6BD0">
              <w:rPr>
                <w:lang w:eastAsia="en-AU"/>
              </w:rPr>
              <w:t>Not supported (max. 251 g acs/ha)</w:t>
            </w:r>
          </w:p>
        </w:tc>
        <w:tc>
          <w:tcPr>
            <w:tcW w:w="1485" w:type="dxa"/>
            <w:tcBorders>
              <w:top w:val="single" w:sz="4" w:space="0" w:color="auto"/>
              <w:bottom w:val="single" w:sz="4" w:space="0" w:color="auto"/>
              <w:right w:val="single" w:sz="4" w:space="0" w:color="auto"/>
            </w:tcBorders>
          </w:tcPr>
          <w:p w14:paraId="335040B8"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28CF948F" w14:textId="77777777" w:rsidR="009D6BD0" w:rsidRPr="009D6BD0" w:rsidRDefault="009D6BD0" w:rsidP="0082221E">
            <w:pPr>
              <w:pStyle w:val="TableText"/>
              <w:rPr>
                <w:lang w:eastAsia="en-AU"/>
              </w:rPr>
            </w:pPr>
            <w:r w:rsidRPr="009D6BD0">
              <w:rPr>
                <w:lang w:eastAsia="en-AU"/>
              </w:rPr>
              <w:t>Not supported</w:t>
            </w:r>
          </w:p>
        </w:tc>
        <w:tc>
          <w:tcPr>
            <w:tcW w:w="1136" w:type="dxa"/>
            <w:tcBorders>
              <w:top w:val="single" w:sz="4" w:space="0" w:color="auto"/>
              <w:bottom w:val="single" w:sz="4" w:space="0" w:color="auto"/>
              <w:right w:val="single" w:sz="4" w:space="0" w:color="auto"/>
            </w:tcBorders>
          </w:tcPr>
          <w:p w14:paraId="3E82F0E4" w14:textId="77777777" w:rsidR="009D6BD0" w:rsidRPr="009D6BD0" w:rsidRDefault="009D6BD0" w:rsidP="0082221E">
            <w:pPr>
              <w:pStyle w:val="TableText"/>
              <w:rPr>
                <w:lang w:eastAsia="en-AU"/>
              </w:rPr>
            </w:pPr>
            <w:r w:rsidRPr="009D6BD0">
              <w:rPr>
                <w:lang w:eastAsia="en-AU"/>
              </w:rPr>
              <w:t>Not supported</w:t>
            </w:r>
          </w:p>
        </w:tc>
      </w:tr>
      <w:tr w:rsidR="00336554" w:rsidRPr="009D6BD0" w14:paraId="5675FD10" w14:textId="77777777" w:rsidTr="005F5DAB">
        <w:trPr>
          <w:cantSplit/>
          <w:trHeight w:val="288"/>
        </w:trPr>
        <w:tc>
          <w:tcPr>
            <w:tcW w:w="1662" w:type="dxa"/>
            <w:vMerge/>
            <w:tcBorders>
              <w:top w:val="nil"/>
              <w:left w:val="single" w:sz="4" w:space="0" w:color="auto"/>
              <w:bottom w:val="single" w:sz="4" w:space="0" w:color="auto"/>
              <w:right w:val="single" w:sz="4" w:space="0" w:color="auto"/>
            </w:tcBorders>
            <w:vAlign w:val="center"/>
            <w:hideMark/>
          </w:tcPr>
          <w:p w14:paraId="436471BA"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7F6BCDC0" w14:textId="77777777" w:rsidR="009D6BD0" w:rsidRPr="009D6BD0" w:rsidRDefault="009D6BD0" w:rsidP="0082221E">
            <w:pPr>
              <w:pStyle w:val="TableText"/>
              <w:rPr>
                <w:lang w:eastAsia="en-AU"/>
              </w:rPr>
            </w:pPr>
            <w:r w:rsidRPr="009D6BD0">
              <w:rPr>
                <w:lang w:eastAsia="en-AU"/>
              </w:rPr>
              <w:t>Clover control</w:t>
            </w:r>
          </w:p>
        </w:tc>
        <w:tc>
          <w:tcPr>
            <w:tcW w:w="1334" w:type="dxa"/>
            <w:vMerge/>
            <w:tcBorders>
              <w:top w:val="nil"/>
              <w:left w:val="single" w:sz="4" w:space="0" w:color="auto"/>
              <w:bottom w:val="single" w:sz="4" w:space="0" w:color="auto"/>
              <w:right w:val="single" w:sz="4" w:space="0" w:color="auto"/>
            </w:tcBorders>
            <w:vAlign w:val="center"/>
            <w:hideMark/>
          </w:tcPr>
          <w:p w14:paraId="65C12F24" w14:textId="77777777" w:rsidR="009D6BD0" w:rsidRPr="009D6BD0" w:rsidRDefault="009D6BD0" w:rsidP="0082221E">
            <w:pPr>
              <w:pStyle w:val="TableText"/>
              <w:rPr>
                <w:lang w:eastAsia="en-AU"/>
              </w:rPr>
            </w:pPr>
          </w:p>
        </w:tc>
        <w:tc>
          <w:tcPr>
            <w:tcW w:w="1548" w:type="dxa"/>
            <w:vMerge/>
            <w:tcBorders>
              <w:top w:val="nil"/>
              <w:left w:val="single" w:sz="4" w:space="0" w:color="auto"/>
              <w:bottom w:val="single" w:sz="4" w:space="0" w:color="auto"/>
              <w:right w:val="single" w:sz="4" w:space="0" w:color="auto"/>
            </w:tcBorders>
            <w:vAlign w:val="center"/>
            <w:hideMark/>
          </w:tcPr>
          <w:p w14:paraId="3F3A639A"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3E0BD786"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6757FB94" w14:textId="77777777" w:rsidR="009D6BD0" w:rsidRPr="009D6BD0" w:rsidRDefault="009D6BD0" w:rsidP="0082221E">
            <w:pPr>
              <w:pStyle w:val="TableText"/>
              <w:rPr>
                <w:lang w:eastAsia="en-AU"/>
              </w:rPr>
            </w:pPr>
            <w:r w:rsidRPr="009D6BD0">
              <w:rPr>
                <w:lang w:eastAsia="en-AU"/>
              </w:rPr>
              <w:t>Not supported</w:t>
            </w:r>
          </w:p>
        </w:tc>
        <w:tc>
          <w:tcPr>
            <w:tcW w:w="1136" w:type="dxa"/>
            <w:tcBorders>
              <w:top w:val="single" w:sz="4" w:space="0" w:color="auto"/>
              <w:bottom w:val="single" w:sz="4" w:space="0" w:color="auto"/>
              <w:right w:val="single" w:sz="4" w:space="0" w:color="auto"/>
            </w:tcBorders>
          </w:tcPr>
          <w:p w14:paraId="355B5D0B" w14:textId="77777777" w:rsidR="009D6BD0" w:rsidRPr="009D6BD0" w:rsidRDefault="009D6BD0" w:rsidP="0082221E">
            <w:pPr>
              <w:pStyle w:val="TableText"/>
              <w:rPr>
                <w:lang w:eastAsia="en-AU"/>
              </w:rPr>
            </w:pPr>
            <w:r w:rsidRPr="009D6BD0">
              <w:rPr>
                <w:lang w:eastAsia="en-AU"/>
              </w:rPr>
              <w:t>Not supported</w:t>
            </w:r>
          </w:p>
        </w:tc>
      </w:tr>
      <w:tr w:rsidR="00336554" w:rsidRPr="009D6BD0" w14:paraId="17BDEEBD" w14:textId="77777777" w:rsidTr="005F5DAB">
        <w:trPr>
          <w:cantSplit/>
          <w:trHeight w:val="288"/>
        </w:trPr>
        <w:tc>
          <w:tcPr>
            <w:tcW w:w="1662" w:type="dxa"/>
            <w:vMerge/>
            <w:tcBorders>
              <w:top w:val="nil"/>
              <w:left w:val="single" w:sz="4" w:space="0" w:color="auto"/>
              <w:bottom w:val="single" w:sz="4" w:space="0" w:color="auto"/>
              <w:right w:val="single" w:sz="4" w:space="0" w:color="auto"/>
            </w:tcBorders>
            <w:vAlign w:val="center"/>
            <w:hideMark/>
          </w:tcPr>
          <w:p w14:paraId="51820D7C" w14:textId="77777777" w:rsidR="009D6BD0" w:rsidRPr="009D6BD0" w:rsidRDefault="009D6BD0" w:rsidP="0082221E">
            <w:pPr>
              <w:pStyle w:val="TableText"/>
              <w:rPr>
                <w:lang w:eastAsia="en-AU"/>
              </w:rPr>
            </w:pPr>
          </w:p>
        </w:tc>
        <w:tc>
          <w:tcPr>
            <w:tcW w:w="1518" w:type="dxa"/>
            <w:tcBorders>
              <w:top w:val="nil"/>
              <w:left w:val="nil"/>
              <w:bottom w:val="single" w:sz="4" w:space="0" w:color="auto"/>
              <w:right w:val="single" w:sz="4" w:space="0" w:color="auto"/>
            </w:tcBorders>
            <w:vAlign w:val="center"/>
            <w:hideMark/>
          </w:tcPr>
          <w:p w14:paraId="054C1CA7" w14:textId="77777777" w:rsidR="009D6BD0" w:rsidRPr="009D6BD0" w:rsidRDefault="009D6BD0" w:rsidP="0082221E">
            <w:pPr>
              <w:pStyle w:val="TableText"/>
              <w:rPr>
                <w:lang w:eastAsia="en-AU"/>
              </w:rPr>
            </w:pPr>
            <w:r w:rsidRPr="009D6BD0">
              <w:rPr>
                <w:lang w:eastAsia="en-AU"/>
              </w:rPr>
              <w:t>Annual Pasture - not properly managed</w:t>
            </w:r>
          </w:p>
        </w:tc>
        <w:tc>
          <w:tcPr>
            <w:tcW w:w="1334" w:type="dxa"/>
            <w:vMerge/>
            <w:tcBorders>
              <w:top w:val="nil"/>
              <w:left w:val="single" w:sz="4" w:space="0" w:color="auto"/>
              <w:bottom w:val="single" w:sz="4" w:space="0" w:color="auto"/>
              <w:right w:val="single" w:sz="4" w:space="0" w:color="auto"/>
            </w:tcBorders>
            <w:vAlign w:val="center"/>
            <w:hideMark/>
          </w:tcPr>
          <w:p w14:paraId="53F3D489" w14:textId="77777777" w:rsidR="009D6BD0" w:rsidRPr="009D6BD0" w:rsidRDefault="009D6BD0" w:rsidP="0082221E">
            <w:pPr>
              <w:pStyle w:val="TableText"/>
              <w:rPr>
                <w:lang w:eastAsia="en-AU"/>
              </w:rPr>
            </w:pPr>
          </w:p>
        </w:tc>
        <w:tc>
          <w:tcPr>
            <w:tcW w:w="1548" w:type="dxa"/>
            <w:vMerge/>
            <w:tcBorders>
              <w:top w:val="nil"/>
              <w:left w:val="single" w:sz="4" w:space="0" w:color="auto"/>
              <w:bottom w:val="single" w:sz="4" w:space="0" w:color="auto"/>
              <w:right w:val="single" w:sz="4" w:space="0" w:color="auto"/>
            </w:tcBorders>
            <w:vAlign w:val="center"/>
            <w:hideMark/>
          </w:tcPr>
          <w:p w14:paraId="4C2D6981" w14:textId="77777777" w:rsidR="009D6BD0" w:rsidRPr="009D6BD0" w:rsidRDefault="009D6BD0" w:rsidP="0082221E">
            <w:pPr>
              <w:pStyle w:val="TableText"/>
              <w:rPr>
                <w:lang w:eastAsia="en-AU"/>
              </w:rPr>
            </w:pPr>
          </w:p>
        </w:tc>
        <w:tc>
          <w:tcPr>
            <w:tcW w:w="1485" w:type="dxa"/>
            <w:tcBorders>
              <w:top w:val="single" w:sz="4" w:space="0" w:color="auto"/>
              <w:bottom w:val="single" w:sz="4" w:space="0" w:color="auto"/>
              <w:right w:val="single" w:sz="4" w:space="0" w:color="auto"/>
            </w:tcBorders>
          </w:tcPr>
          <w:p w14:paraId="05355C9F"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6B2F02AC" w14:textId="77777777" w:rsidR="009D6BD0" w:rsidRPr="009D6BD0" w:rsidRDefault="009D6BD0" w:rsidP="0082221E">
            <w:pPr>
              <w:pStyle w:val="TableText"/>
              <w:rPr>
                <w:lang w:eastAsia="en-AU"/>
              </w:rPr>
            </w:pPr>
            <w:r w:rsidRPr="009D6BD0">
              <w:rPr>
                <w:lang w:eastAsia="en-AU"/>
              </w:rPr>
              <w:t>Not supported</w:t>
            </w:r>
          </w:p>
        </w:tc>
        <w:tc>
          <w:tcPr>
            <w:tcW w:w="1136" w:type="dxa"/>
            <w:tcBorders>
              <w:top w:val="single" w:sz="4" w:space="0" w:color="auto"/>
              <w:bottom w:val="single" w:sz="4" w:space="0" w:color="auto"/>
              <w:right w:val="single" w:sz="4" w:space="0" w:color="auto"/>
            </w:tcBorders>
          </w:tcPr>
          <w:p w14:paraId="05866232" w14:textId="77777777" w:rsidR="009D6BD0" w:rsidRPr="009D6BD0" w:rsidRDefault="009D6BD0" w:rsidP="0082221E">
            <w:pPr>
              <w:pStyle w:val="TableText"/>
              <w:rPr>
                <w:lang w:eastAsia="en-AU"/>
              </w:rPr>
            </w:pPr>
            <w:r w:rsidRPr="009D6BD0">
              <w:rPr>
                <w:lang w:eastAsia="en-AU"/>
              </w:rPr>
              <w:t>Not supported</w:t>
            </w:r>
          </w:p>
        </w:tc>
      </w:tr>
      <w:tr w:rsidR="00336554" w:rsidRPr="009D6BD0" w14:paraId="0A8B1A82" w14:textId="77777777" w:rsidTr="005F5DAB">
        <w:trPr>
          <w:cantSplit/>
          <w:trHeight w:val="288"/>
        </w:trPr>
        <w:tc>
          <w:tcPr>
            <w:tcW w:w="1662" w:type="dxa"/>
            <w:tcBorders>
              <w:top w:val="nil"/>
              <w:left w:val="single" w:sz="4" w:space="0" w:color="auto"/>
              <w:bottom w:val="single" w:sz="4" w:space="0" w:color="auto"/>
              <w:right w:val="single" w:sz="4" w:space="0" w:color="auto"/>
            </w:tcBorders>
            <w:vAlign w:val="center"/>
            <w:hideMark/>
          </w:tcPr>
          <w:p w14:paraId="1ACF2D90" w14:textId="77777777" w:rsidR="009D6BD0" w:rsidRPr="009D6BD0" w:rsidRDefault="009D6BD0" w:rsidP="0082221E">
            <w:pPr>
              <w:pStyle w:val="TableText"/>
              <w:rPr>
                <w:lang w:eastAsia="en-AU"/>
              </w:rPr>
            </w:pPr>
            <w:r w:rsidRPr="009D6BD0">
              <w:rPr>
                <w:lang w:eastAsia="en-AU"/>
              </w:rPr>
              <w:t>Pasture (Kikuyu/paspalum)</w:t>
            </w:r>
          </w:p>
        </w:tc>
        <w:tc>
          <w:tcPr>
            <w:tcW w:w="1518" w:type="dxa"/>
            <w:tcBorders>
              <w:top w:val="nil"/>
              <w:left w:val="nil"/>
              <w:bottom w:val="single" w:sz="4" w:space="0" w:color="auto"/>
              <w:right w:val="single" w:sz="4" w:space="0" w:color="auto"/>
            </w:tcBorders>
            <w:vAlign w:val="center"/>
            <w:hideMark/>
          </w:tcPr>
          <w:p w14:paraId="1913BC84" w14:textId="77777777" w:rsidR="009D6BD0" w:rsidRPr="009D6BD0" w:rsidRDefault="009D6BD0" w:rsidP="0082221E">
            <w:pPr>
              <w:pStyle w:val="TableText"/>
              <w:rPr>
                <w:lang w:eastAsia="en-AU"/>
              </w:rPr>
            </w:pPr>
            <w:r w:rsidRPr="009D6BD0">
              <w:rPr>
                <w:lang w:eastAsia="en-AU"/>
              </w:rPr>
              <w:t>To suppress growth to oversow winter feed</w:t>
            </w:r>
          </w:p>
        </w:tc>
        <w:tc>
          <w:tcPr>
            <w:tcW w:w="1334" w:type="dxa"/>
            <w:tcBorders>
              <w:top w:val="nil"/>
              <w:left w:val="nil"/>
              <w:bottom w:val="single" w:sz="4" w:space="0" w:color="auto"/>
              <w:right w:val="single" w:sz="4" w:space="0" w:color="auto"/>
            </w:tcBorders>
            <w:vAlign w:val="center"/>
            <w:hideMark/>
          </w:tcPr>
          <w:p w14:paraId="2533C735" w14:textId="77777777" w:rsidR="009D6BD0" w:rsidRPr="009D6BD0" w:rsidRDefault="009D6BD0" w:rsidP="0082221E">
            <w:pPr>
              <w:pStyle w:val="TableText"/>
              <w:rPr>
                <w:lang w:eastAsia="en-AU"/>
              </w:rPr>
            </w:pPr>
            <w:r w:rsidRPr="009D6BD0">
              <w:rPr>
                <w:lang w:eastAsia="en-AU"/>
              </w:rPr>
              <w:t>600-800 g acs/ha (boomspray)</w:t>
            </w:r>
          </w:p>
        </w:tc>
        <w:tc>
          <w:tcPr>
            <w:tcW w:w="1548" w:type="dxa"/>
            <w:tcBorders>
              <w:top w:val="nil"/>
              <w:left w:val="nil"/>
              <w:bottom w:val="single" w:sz="4" w:space="0" w:color="auto"/>
              <w:right w:val="single" w:sz="4" w:space="0" w:color="auto"/>
            </w:tcBorders>
            <w:noWrap/>
            <w:vAlign w:val="center"/>
            <w:hideMark/>
          </w:tcPr>
          <w:p w14:paraId="4E6DF905"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6BF71A9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1C32025" w14:textId="77777777" w:rsidR="009D6BD0" w:rsidRPr="009D6BD0" w:rsidRDefault="009D6BD0" w:rsidP="0082221E">
            <w:pPr>
              <w:pStyle w:val="TableText"/>
              <w:rPr>
                <w:lang w:eastAsia="en-AU"/>
              </w:rPr>
            </w:pPr>
            <w:r w:rsidRPr="009D6BD0">
              <w:rPr>
                <w:lang w:eastAsia="en-AU"/>
              </w:rPr>
              <w:t>Not supported</w:t>
            </w:r>
          </w:p>
        </w:tc>
        <w:tc>
          <w:tcPr>
            <w:tcW w:w="1136" w:type="dxa"/>
            <w:tcBorders>
              <w:top w:val="single" w:sz="4" w:space="0" w:color="auto"/>
              <w:bottom w:val="single" w:sz="4" w:space="0" w:color="auto"/>
              <w:right w:val="single" w:sz="4" w:space="0" w:color="auto"/>
            </w:tcBorders>
          </w:tcPr>
          <w:p w14:paraId="35B4DB79" w14:textId="77777777" w:rsidR="009D6BD0" w:rsidRPr="009D6BD0" w:rsidRDefault="009D6BD0" w:rsidP="0082221E">
            <w:pPr>
              <w:pStyle w:val="TableText"/>
              <w:rPr>
                <w:lang w:eastAsia="en-AU"/>
              </w:rPr>
            </w:pPr>
            <w:r w:rsidRPr="009D6BD0">
              <w:rPr>
                <w:lang w:eastAsia="en-AU"/>
              </w:rPr>
              <w:t>Not supported</w:t>
            </w:r>
          </w:p>
        </w:tc>
      </w:tr>
      <w:tr w:rsidR="00336554" w:rsidRPr="009D6BD0" w14:paraId="10592218" w14:textId="77777777" w:rsidTr="005F5DAB">
        <w:trPr>
          <w:cantSplit/>
          <w:trHeight w:val="864"/>
        </w:trPr>
        <w:tc>
          <w:tcPr>
            <w:tcW w:w="1662" w:type="dxa"/>
            <w:tcBorders>
              <w:top w:val="nil"/>
              <w:left w:val="single" w:sz="4" w:space="0" w:color="auto"/>
              <w:bottom w:val="single" w:sz="4" w:space="0" w:color="auto"/>
              <w:right w:val="single" w:sz="4" w:space="0" w:color="auto"/>
            </w:tcBorders>
            <w:vAlign w:val="center"/>
            <w:hideMark/>
          </w:tcPr>
          <w:p w14:paraId="2119226C" w14:textId="77777777" w:rsidR="009D6BD0" w:rsidRPr="009D6BD0" w:rsidRDefault="009D6BD0" w:rsidP="0082221E">
            <w:pPr>
              <w:pStyle w:val="TableText"/>
              <w:rPr>
                <w:lang w:eastAsia="en-AU"/>
              </w:rPr>
            </w:pPr>
            <w:r w:rsidRPr="009D6BD0">
              <w:rPr>
                <w:lang w:eastAsia="en-AU"/>
              </w:rPr>
              <w:t>Pasture (Established - Perennial Grass Crops, Cocksfoot, Perennial Ryegrass, Phalaris and Demeter Fescue)</w:t>
            </w:r>
          </w:p>
        </w:tc>
        <w:tc>
          <w:tcPr>
            <w:tcW w:w="1518" w:type="dxa"/>
            <w:tcBorders>
              <w:top w:val="nil"/>
              <w:left w:val="nil"/>
              <w:bottom w:val="single" w:sz="4" w:space="0" w:color="auto"/>
              <w:right w:val="single" w:sz="4" w:space="0" w:color="auto"/>
            </w:tcBorders>
            <w:vAlign w:val="center"/>
            <w:hideMark/>
          </w:tcPr>
          <w:p w14:paraId="5C4A3D4F" w14:textId="77777777" w:rsidR="009D6BD0" w:rsidRPr="009D6BD0" w:rsidRDefault="009D6BD0" w:rsidP="0082221E">
            <w:pPr>
              <w:pStyle w:val="TableText"/>
              <w:rPr>
                <w:lang w:eastAsia="en-AU"/>
              </w:rPr>
            </w:pPr>
            <w:r w:rsidRPr="009D6BD0">
              <w:rPr>
                <w:lang w:eastAsia="en-AU"/>
              </w:rPr>
              <w:t>Control of annual weeds including: capeweed and erodium for improved grazing, hay or seed production.</w:t>
            </w:r>
          </w:p>
        </w:tc>
        <w:tc>
          <w:tcPr>
            <w:tcW w:w="1334" w:type="dxa"/>
            <w:tcBorders>
              <w:top w:val="nil"/>
              <w:left w:val="nil"/>
              <w:bottom w:val="single" w:sz="4" w:space="0" w:color="auto"/>
              <w:right w:val="single" w:sz="4" w:space="0" w:color="auto"/>
            </w:tcBorders>
            <w:vAlign w:val="center"/>
            <w:hideMark/>
          </w:tcPr>
          <w:p w14:paraId="271EE2C2" w14:textId="77777777" w:rsidR="009D6BD0" w:rsidRPr="009D6BD0" w:rsidRDefault="009D6BD0" w:rsidP="0082221E">
            <w:pPr>
              <w:pStyle w:val="TableText"/>
              <w:rPr>
                <w:lang w:eastAsia="en-AU"/>
              </w:rPr>
            </w:pPr>
            <w:r w:rsidRPr="009D6BD0">
              <w:rPr>
                <w:lang w:eastAsia="en-AU"/>
              </w:rPr>
              <w:t>400-600 g acs/ha (boomspray)</w:t>
            </w:r>
          </w:p>
        </w:tc>
        <w:tc>
          <w:tcPr>
            <w:tcW w:w="1548" w:type="dxa"/>
            <w:tcBorders>
              <w:top w:val="nil"/>
              <w:left w:val="nil"/>
              <w:bottom w:val="single" w:sz="4" w:space="0" w:color="auto"/>
              <w:right w:val="single" w:sz="4" w:space="0" w:color="auto"/>
            </w:tcBorders>
            <w:noWrap/>
            <w:vAlign w:val="center"/>
            <w:hideMark/>
          </w:tcPr>
          <w:p w14:paraId="66EDE4E5"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4F731CC7"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0E23D43D"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0F91E8C0" w14:textId="77777777" w:rsidR="009D6BD0" w:rsidRPr="009D6BD0" w:rsidRDefault="009D6BD0" w:rsidP="0082221E">
            <w:pPr>
              <w:pStyle w:val="TableText"/>
              <w:rPr>
                <w:lang w:eastAsia="en-AU"/>
              </w:rPr>
            </w:pPr>
            <w:r w:rsidRPr="009D6BD0">
              <w:rPr>
                <w:lang w:eastAsia="en-AU"/>
              </w:rPr>
              <w:t>Not supported</w:t>
            </w:r>
          </w:p>
        </w:tc>
      </w:tr>
      <w:tr w:rsidR="00336554" w:rsidRPr="009D6BD0" w14:paraId="4A93937B" w14:textId="77777777" w:rsidTr="005F5DAB">
        <w:trPr>
          <w:cantSplit/>
          <w:trHeight w:val="576"/>
        </w:trPr>
        <w:tc>
          <w:tcPr>
            <w:tcW w:w="1662" w:type="dxa"/>
            <w:tcBorders>
              <w:top w:val="nil"/>
              <w:left w:val="single" w:sz="4" w:space="0" w:color="auto"/>
              <w:bottom w:val="single" w:sz="4" w:space="0" w:color="auto"/>
              <w:right w:val="single" w:sz="4" w:space="0" w:color="auto"/>
            </w:tcBorders>
            <w:vAlign w:val="center"/>
            <w:hideMark/>
          </w:tcPr>
          <w:p w14:paraId="2E40B9B9" w14:textId="77777777" w:rsidR="009D6BD0" w:rsidRPr="009D6BD0" w:rsidRDefault="009D6BD0" w:rsidP="0082221E">
            <w:pPr>
              <w:pStyle w:val="TableText"/>
              <w:rPr>
                <w:lang w:eastAsia="en-AU"/>
              </w:rPr>
            </w:pPr>
            <w:r w:rsidRPr="009D6BD0">
              <w:rPr>
                <w:lang w:eastAsia="en-AU"/>
              </w:rPr>
              <w:t>Pasture (Improvement)</w:t>
            </w:r>
          </w:p>
        </w:tc>
        <w:tc>
          <w:tcPr>
            <w:tcW w:w="1518" w:type="dxa"/>
            <w:tcBorders>
              <w:top w:val="nil"/>
              <w:left w:val="nil"/>
              <w:bottom w:val="single" w:sz="4" w:space="0" w:color="auto"/>
              <w:right w:val="single" w:sz="4" w:space="0" w:color="auto"/>
            </w:tcBorders>
            <w:vAlign w:val="center"/>
            <w:hideMark/>
          </w:tcPr>
          <w:p w14:paraId="0421B146" w14:textId="77777777" w:rsidR="009D6BD0" w:rsidRPr="009D6BD0" w:rsidRDefault="009D6BD0" w:rsidP="0082221E">
            <w:pPr>
              <w:pStyle w:val="TableText"/>
              <w:rPr>
                <w:lang w:eastAsia="en-AU"/>
              </w:rPr>
            </w:pPr>
            <w:r w:rsidRPr="009D6BD0">
              <w:rPr>
                <w:lang w:eastAsia="en-AU"/>
              </w:rPr>
              <w:t>To increase the perennial grass and/or the sub-clover or white clover content</w:t>
            </w:r>
          </w:p>
        </w:tc>
        <w:tc>
          <w:tcPr>
            <w:tcW w:w="1334" w:type="dxa"/>
            <w:tcBorders>
              <w:top w:val="nil"/>
              <w:left w:val="nil"/>
              <w:bottom w:val="single" w:sz="4" w:space="0" w:color="auto"/>
              <w:right w:val="single" w:sz="4" w:space="0" w:color="auto"/>
            </w:tcBorders>
            <w:vAlign w:val="center"/>
            <w:hideMark/>
          </w:tcPr>
          <w:p w14:paraId="1B9A6D59" w14:textId="77777777" w:rsidR="009D6BD0" w:rsidRPr="009D6BD0" w:rsidRDefault="009D6BD0" w:rsidP="0082221E">
            <w:pPr>
              <w:pStyle w:val="TableText"/>
              <w:rPr>
                <w:lang w:eastAsia="en-AU"/>
              </w:rPr>
            </w:pPr>
            <w:r w:rsidRPr="009D6BD0">
              <w:rPr>
                <w:lang w:eastAsia="en-AU"/>
              </w:rPr>
              <w:t>300 g acs/ha (boomspray)</w:t>
            </w:r>
          </w:p>
        </w:tc>
        <w:tc>
          <w:tcPr>
            <w:tcW w:w="1548" w:type="dxa"/>
            <w:tcBorders>
              <w:top w:val="nil"/>
              <w:left w:val="nil"/>
              <w:bottom w:val="single" w:sz="4" w:space="0" w:color="auto"/>
              <w:right w:val="single" w:sz="4" w:space="0" w:color="auto"/>
            </w:tcBorders>
            <w:noWrap/>
            <w:vAlign w:val="center"/>
            <w:hideMark/>
          </w:tcPr>
          <w:p w14:paraId="0E61BB8A"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56644631"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5FE5B452"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0A43848F" w14:textId="77777777" w:rsidR="009D6BD0" w:rsidRPr="009D6BD0" w:rsidRDefault="009D6BD0" w:rsidP="0082221E">
            <w:pPr>
              <w:pStyle w:val="TableText"/>
              <w:rPr>
                <w:lang w:eastAsia="en-AU"/>
              </w:rPr>
            </w:pPr>
            <w:r w:rsidRPr="009D6BD0">
              <w:rPr>
                <w:lang w:eastAsia="en-AU"/>
              </w:rPr>
              <w:t>Not supported</w:t>
            </w:r>
          </w:p>
        </w:tc>
      </w:tr>
      <w:tr w:rsidR="00336554" w:rsidRPr="009D6BD0" w14:paraId="611DAA53" w14:textId="77777777" w:rsidTr="005F5DAB">
        <w:trPr>
          <w:cantSplit/>
          <w:trHeight w:val="288"/>
        </w:trPr>
        <w:tc>
          <w:tcPr>
            <w:tcW w:w="1662" w:type="dxa"/>
            <w:tcBorders>
              <w:top w:val="nil"/>
              <w:left w:val="single" w:sz="4" w:space="0" w:color="auto"/>
              <w:bottom w:val="single" w:sz="4" w:space="0" w:color="auto"/>
              <w:right w:val="single" w:sz="4" w:space="0" w:color="auto"/>
            </w:tcBorders>
            <w:vAlign w:val="center"/>
            <w:hideMark/>
          </w:tcPr>
          <w:p w14:paraId="6CD3F1C4" w14:textId="77777777" w:rsidR="009D6BD0" w:rsidRPr="009D6BD0" w:rsidRDefault="009D6BD0" w:rsidP="0082221E">
            <w:pPr>
              <w:pStyle w:val="TableText"/>
              <w:rPr>
                <w:lang w:eastAsia="en-AU"/>
              </w:rPr>
            </w:pPr>
            <w:r w:rsidRPr="009D6BD0">
              <w:rPr>
                <w:lang w:eastAsia="en-AU"/>
              </w:rPr>
              <w:t>Grasses (particularly Annual Ryegrass)</w:t>
            </w:r>
          </w:p>
        </w:tc>
        <w:tc>
          <w:tcPr>
            <w:tcW w:w="1518" w:type="dxa"/>
            <w:tcBorders>
              <w:top w:val="nil"/>
              <w:left w:val="nil"/>
              <w:bottom w:val="single" w:sz="4" w:space="0" w:color="auto"/>
              <w:right w:val="single" w:sz="4" w:space="0" w:color="auto"/>
            </w:tcBorders>
            <w:vAlign w:val="center"/>
            <w:hideMark/>
          </w:tcPr>
          <w:p w14:paraId="19EED16F" w14:textId="77777777" w:rsidR="009D6BD0" w:rsidRPr="009D6BD0" w:rsidRDefault="009D6BD0" w:rsidP="0082221E">
            <w:pPr>
              <w:pStyle w:val="TableText"/>
              <w:rPr>
                <w:lang w:eastAsia="en-AU"/>
              </w:rPr>
            </w:pPr>
            <w:r w:rsidRPr="009D6BD0">
              <w:rPr>
                <w:lang w:eastAsia="en-AU"/>
              </w:rPr>
              <w:t>To control grass seed set (Spray Top technique)</w:t>
            </w:r>
          </w:p>
        </w:tc>
        <w:tc>
          <w:tcPr>
            <w:tcW w:w="1334" w:type="dxa"/>
            <w:tcBorders>
              <w:top w:val="nil"/>
              <w:left w:val="nil"/>
              <w:bottom w:val="single" w:sz="4" w:space="0" w:color="auto"/>
              <w:right w:val="single" w:sz="4" w:space="0" w:color="auto"/>
            </w:tcBorders>
            <w:vAlign w:val="center"/>
            <w:hideMark/>
          </w:tcPr>
          <w:p w14:paraId="79E55215" w14:textId="77777777" w:rsidR="009D6BD0" w:rsidRPr="009D6BD0" w:rsidRDefault="009D6BD0" w:rsidP="0082221E">
            <w:pPr>
              <w:pStyle w:val="TableText"/>
              <w:rPr>
                <w:lang w:eastAsia="en-AU"/>
              </w:rPr>
            </w:pPr>
            <w:r w:rsidRPr="009D6BD0">
              <w:rPr>
                <w:lang w:eastAsia="en-AU"/>
              </w:rPr>
              <w:t>200-375 g acs/ha (boomspray)</w:t>
            </w:r>
          </w:p>
        </w:tc>
        <w:tc>
          <w:tcPr>
            <w:tcW w:w="1548" w:type="dxa"/>
            <w:tcBorders>
              <w:top w:val="nil"/>
              <w:left w:val="nil"/>
              <w:bottom w:val="single" w:sz="4" w:space="0" w:color="auto"/>
              <w:right w:val="single" w:sz="4" w:space="0" w:color="auto"/>
            </w:tcBorders>
            <w:noWrap/>
            <w:vAlign w:val="center"/>
            <w:hideMark/>
          </w:tcPr>
          <w:p w14:paraId="6D8AE9C2"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0536BAAE"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1FA45AC9"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7F3BA5FC" w14:textId="77777777" w:rsidR="009D6BD0" w:rsidRPr="009D6BD0" w:rsidRDefault="009D6BD0" w:rsidP="0082221E">
            <w:pPr>
              <w:pStyle w:val="TableText"/>
              <w:rPr>
                <w:lang w:eastAsia="en-AU"/>
              </w:rPr>
            </w:pPr>
            <w:r w:rsidRPr="009D6BD0">
              <w:rPr>
                <w:lang w:eastAsia="en-AU"/>
              </w:rPr>
              <w:t>Not supported</w:t>
            </w:r>
          </w:p>
        </w:tc>
      </w:tr>
      <w:tr w:rsidR="00336554" w:rsidRPr="009D6BD0" w14:paraId="6C9DC340" w14:textId="77777777" w:rsidTr="005F5DAB">
        <w:trPr>
          <w:cantSplit/>
          <w:trHeight w:val="288"/>
        </w:trPr>
        <w:tc>
          <w:tcPr>
            <w:tcW w:w="1662" w:type="dxa"/>
            <w:vMerge w:val="restart"/>
            <w:tcBorders>
              <w:top w:val="nil"/>
              <w:left w:val="single" w:sz="4" w:space="0" w:color="auto"/>
              <w:bottom w:val="single" w:sz="4" w:space="0" w:color="auto"/>
              <w:right w:val="single" w:sz="4" w:space="0" w:color="auto"/>
            </w:tcBorders>
            <w:noWrap/>
            <w:vAlign w:val="center"/>
            <w:hideMark/>
          </w:tcPr>
          <w:p w14:paraId="0F153CCB" w14:textId="77777777" w:rsidR="009D6BD0" w:rsidRPr="009D6BD0" w:rsidRDefault="009D6BD0" w:rsidP="0082221E">
            <w:pPr>
              <w:pStyle w:val="TableText"/>
              <w:rPr>
                <w:lang w:eastAsia="en-AU"/>
              </w:rPr>
            </w:pPr>
            <w:r w:rsidRPr="009D6BD0">
              <w:rPr>
                <w:lang w:eastAsia="en-AU"/>
              </w:rPr>
              <w:t>Duboisia</w:t>
            </w:r>
          </w:p>
        </w:tc>
        <w:tc>
          <w:tcPr>
            <w:tcW w:w="1518" w:type="dxa"/>
            <w:vMerge w:val="restart"/>
            <w:tcBorders>
              <w:top w:val="nil"/>
              <w:left w:val="single" w:sz="4" w:space="0" w:color="auto"/>
              <w:bottom w:val="single" w:sz="4" w:space="0" w:color="auto"/>
              <w:right w:val="single" w:sz="4" w:space="0" w:color="auto"/>
            </w:tcBorders>
            <w:vAlign w:val="center"/>
            <w:hideMark/>
          </w:tcPr>
          <w:p w14:paraId="3CC9F497" w14:textId="77777777" w:rsidR="009D6BD0" w:rsidRPr="009D6BD0" w:rsidRDefault="009D6BD0" w:rsidP="0082221E">
            <w:pPr>
              <w:pStyle w:val="TableText"/>
              <w:rPr>
                <w:lang w:eastAsia="en-AU"/>
              </w:rPr>
            </w:pPr>
            <w:r w:rsidRPr="009D6BD0">
              <w:rPr>
                <w:lang w:eastAsia="en-AU"/>
              </w:rPr>
              <w:t>Annual weeds</w:t>
            </w:r>
          </w:p>
        </w:tc>
        <w:tc>
          <w:tcPr>
            <w:tcW w:w="1334" w:type="dxa"/>
            <w:tcBorders>
              <w:top w:val="nil"/>
              <w:left w:val="nil"/>
              <w:bottom w:val="single" w:sz="4" w:space="0" w:color="auto"/>
              <w:right w:val="single" w:sz="4" w:space="0" w:color="auto"/>
            </w:tcBorders>
            <w:vAlign w:val="center"/>
            <w:hideMark/>
          </w:tcPr>
          <w:p w14:paraId="2AB90B37" w14:textId="77777777" w:rsidR="009D6BD0" w:rsidRPr="009D6BD0" w:rsidRDefault="009D6BD0" w:rsidP="0082221E">
            <w:pPr>
              <w:pStyle w:val="TableText"/>
              <w:rPr>
                <w:lang w:eastAsia="en-AU"/>
              </w:rPr>
            </w:pPr>
            <w:r w:rsidRPr="009D6BD0">
              <w:rPr>
                <w:lang w:eastAsia="en-AU"/>
              </w:rPr>
              <w:t>600-800 g acs/ha (Directed spray)</w:t>
            </w:r>
          </w:p>
        </w:tc>
        <w:tc>
          <w:tcPr>
            <w:tcW w:w="1548" w:type="dxa"/>
            <w:tcBorders>
              <w:top w:val="nil"/>
              <w:left w:val="nil"/>
              <w:bottom w:val="single" w:sz="4" w:space="0" w:color="auto"/>
              <w:right w:val="single" w:sz="4" w:space="0" w:color="auto"/>
            </w:tcBorders>
            <w:noWrap/>
            <w:hideMark/>
          </w:tcPr>
          <w:p w14:paraId="17F005F7"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6E21850F"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16FA705C"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20B54015" w14:textId="77777777" w:rsidR="009D6BD0" w:rsidRPr="009D6BD0" w:rsidRDefault="009D6BD0" w:rsidP="0082221E">
            <w:pPr>
              <w:pStyle w:val="TableText"/>
              <w:rPr>
                <w:lang w:eastAsia="en-AU"/>
              </w:rPr>
            </w:pPr>
            <w:r w:rsidRPr="009D6BD0">
              <w:rPr>
                <w:lang w:eastAsia="en-AU"/>
              </w:rPr>
              <w:t>Not supported</w:t>
            </w:r>
          </w:p>
        </w:tc>
      </w:tr>
      <w:tr w:rsidR="00336554" w:rsidRPr="009D6BD0" w14:paraId="0BC6BA4A" w14:textId="77777777" w:rsidTr="005F5DAB">
        <w:trPr>
          <w:cantSplit/>
          <w:trHeight w:val="288"/>
        </w:trPr>
        <w:tc>
          <w:tcPr>
            <w:tcW w:w="1662" w:type="dxa"/>
            <w:vMerge/>
            <w:tcBorders>
              <w:top w:val="nil"/>
              <w:left w:val="single" w:sz="4" w:space="0" w:color="auto"/>
              <w:bottom w:val="single" w:sz="4" w:space="0" w:color="auto"/>
              <w:right w:val="single" w:sz="4" w:space="0" w:color="auto"/>
            </w:tcBorders>
            <w:vAlign w:val="center"/>
            <w:hideMark/>
          </w:tcPr>
          <w:p w14:paraId="0A3E7F79" w14:textId="77777777" w:rsidR="009D6BD0" w:rsidRPr="009D6BD0" w:rsidRDefault="009D6BD0" w:rsidP="0082221E">
            <w:pPr>
              <w:pStyle w:val="TableText"/>
              <w:rPr>
                <w:lang w:eastAsia="en-AU"/>
              </w:rPr>
            </w:pPr>
          </w:p>
        </w:tc>
        <w:tc>
          <w:tcPr>
            <w:tcW w:w="1518" w:type="dxa"/>
            <w:vMerge/>
            <w:tcBorders>
              <w:top w:val="nil"/>
              <w:left w:val="single" w:sz="4" w:space="0" w:color="auto"/>
              <w:bottom w:val="single" w:sz="4" w:space="0" w:color="auto"/>
              <w:right w:val="single" w:sz="4" w:space="0" w:color="auto"/>
            </w:tcBorders>
            <w:vAlign w:val="center"/>
            <w:hideMark/>
          </w:tcPr>
          <w:p w14:paraId="1AAD0001" w14:textId="77777777" w:rsidR="009D6BD0" w:rsidRPr="009D6BD0" w:rsidRDefault="009D6BD0" w:rsidP="0082221E">
            <w:pPr>
              <w:pStyle w:val="TableText"/>
              <w:rPr>
                <w:lang w:eastAsia="en-AU"/>
              </w:rPr>
            </w:pPr>
          </w:p>
        </w:tc>
        <w:tc>
          <w:tcPr>
            <w:tcW w:w="1334" w:type="dxa"/>
            <w:tcBorders>
              <w:top w:val="nil"/>
              <w:left w:val="nil"/>
              <w:bottom w:val="single" w:sz="4" w:space="0" w:color="auto"/>
              <w:right w:val="single" w:sz="4" w:space="0" w:color="auto"/>
            </w:tcBorders>
            <w:noWrap/>
            <w:vAlign w:val="center"/>
            <w:hideMark/>
          </w:tcPr>
          <w:p w14:paraId="79E5DEEE" w14:textId="77777777" w:rsidR="009D6BD0" w:rsidRPr="009D6BD0" w:rsidRDefault="009D6BD0" w:rsidP="0082221E">
            <w:pPr>
              <w:pStyle w:val="TableText"/>
              <w:rPr>
                <w:lang w:eastAsia="en-AU"/>
              </w:rPr>
            </w:pPr>
            <w:r w:rsidRPr="009D6BD0">
              <w:rPr>
                <w:lang w:eastAsia="en-AU"/>
              </w:rPr>
              <w:t>600-800 g acs/ha (Spot Spray)</w:t>
            </w:r>
          </w:p>
        </w:tc>
        <w:tc>
          <w:tcPr>
            <w:tcW w:w="1548" w:type="dxa"/>
            <w:tcBorders>
              <w:top w:val="nil"/>
              <w:left w:val="nil"/>
              <w:bottom w:val="single" w:sz="4" w:space="0" w:color="auto"/>
              <w:right w:val="single" w:sz="4" w:space="0" w:color="auto"/>
            </w:tcBorders>
            <w:noWrap/>
            <w:hideMark/>
          </w:tcPr>
          <w:p w14:paraId="02A655FD"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423D7266"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4A5A8255" w14:textId="77777777" w:rsidR="009D6BD0" w:rsidRPr="009D6BD0" w:rsidRDefault="009D6BD0" w:rsidP="0082221E">
            <w:pPr>
              <w:pStyle w:val="TableText"/>
              <w:rPr>
                <w:lang w:eastAsia="en-AU"/>
              </w:rPr>
            </w:pPr>
            <w:r w:rsidRPr="009D6BD0">
              <w:rPr>
                <w:lang w:eastAsia="en-AU"/>
              </w:rPr>
              <w:t>Supported</w:t>
            </w:r>
          </w:p>
        </w:tc>
        <w:tc>
          <w:tcPr>
            <w:tcW w:w="1136" w:type="dxa"/>
            <w:tcBorders>
              <w:top w:val="single" w:sz="4" w:space="0" w:color="auto"/>
              <w:bottom w:val="single" w:sz="4" w:space="0" w:color="auto"/>
              <w:right w:val="single" w:sz="4" w:space="0" w:color="auto"/>
            </w:tcBorders>
          </w:tcPr>
          <w:p w14:paraId="0D46C81B" w14:textId="77777777" w:rsidR="009D6BD0" w:rsidRPr="009D6BD0" w:rsidRDefault="009D6BD0" w:rsidP="0082221E">
            <w:pPr>
              <w:pStyle w:val="TableText"/>
              <w:rPr>
                <w:lang w:eastAsia="en-AU"/>
              </w:rPr>
            </w:pPr>
            <w:r w:rsidRPr="009D6BD0">
              <w:rPr>
                <w:lang w:eastAsia="en-AU"/>
              </w:rPr>
              <w:t>Not supported</w:t>
            </w:r>
          </w:p>
        </w:tc>
      </w:tr>
      <w:tr w:rsidR="00336554" w:rsidRPr="009D6BD0" w14:paraId="5F7005FB" w14:textId="77777777" w:rsidTr="005F5DAB">
        <w:trPr>
          <w:cantSplit/>
          <w:trHeight w:val="288"/>
        </w:trPr>
        <w:tc>
          <w:tcPr>
            <w:tcW w:w="1662" w:type="dxa"/>
            <w:tcBorders>
              <w:top w:val="nil"/>
              <w:left w:val="single" w:sz="4" w:space="0" w:color="auto"/>
              <w:bottom w:val="single" w:sz="4" w:space="0" w:color="auto"/>
              <w:right w:val="single" w:sz="4" w:space="0" w:color="auto"/>
            </w:tcBorders>
            <w:vAlign w:val="center"/>
            <w:hideMark/>
          </w:tcPr>
          <w:p w14:paraId="522CB3EA" w14:textId="77777777" w:rsidR="009D6BD0" w:rsidRPr="009D6BD0" w:rsidRDefault="009D6BD0" w:rsidP="0082221E">
            <w:pPr>
              <w:pStyle w:val="TableText"/>
              <w:rPr>
                <w:lang w:eastAsia="en-AU"/>
              </w:rPr>
            </w:pPr>
            <w:r w:rsidRPr="009D6BD0">
              <w:rPr>
                <w:lang w:eastAsia="en-AU"/>
              </w:rPr>
              <w:t xml:space="preserve">Tea Trees </w:t>
            </w:r>
            <w:r w:rsidRPr="009D6BD0">
              <w:rPr>
                <w:i/>
                <w:iCs/>
                <w:lang w:eastAsia="en-AU"/>
              </w:rPr>
              <w:t>(Melaleuca alternifolia)</w:t>
            </w:r>
          </w:p>
        </w:tc>
        <w:tc>
          <w:tcPr>
            <w:tcW w:w="1518" w:type="dxa"/>
            <w:tcBorders>
              <w:top w:val="nil"/>
              <w:left w:val="nil"/>
              <w:bottom w:val="single" w:sz="4" w:space="0" w:color="auto"/>
              <w:right w:val="single" w:sz="4" w:space="0" w:color="auto"/>
            </w:tcBorders>
            <w:vAlign w:val="center"/>
            <w:hideMark/>
          </w:tcPr>
          <w:p w14:paraId="17FF0807" w14:textId="77777777" w:rsidR="009D6BD0" w:rsidRPr="009D6BD0" w:rsidRDefault="009D6BD0" w:rsidP="0082221E">
            <w:pPr>
              <w:pStyle w:val="TableText"/>
              <w:rPr>
                <w:lang w:eastAsia="en-AU"/>
              </w:rPr>
            </w:pPr>
            <w:r w:rsidRPr="009D6BD0">
              <w:rPr>
                <w:lang w:eastAsia="en-AU"/>
              </w:rPr>
              <w:t>Grasses and broadleaf weeds</w:t>
            </w:r>
          </w:p>
        </w:tc>
        <w:tc>
          <w:tcPr>
            <w:tcW w:w="1334" w:type="dxa"/>
            <w:tcBorders>
              <w:top w:val="nil"/>
              <w:left w:val="nil"/>
              <w:bottom w:val="single" w:sz="4" w:space="0" w:color="auto"/>
              <w:right w:val="single" w:sz="4" w:space="0" w:color="auto"/>
            </w:tcBorders>
            <w:hideMark/>
          </w:tcPr>
          <w:p w14:paraId="2DE3BD3A" w14:textId="77777777" w:rsidR="009D6BD0" w:rsidRPr="009D6BD0" w:rsidRDefault="009D6BD0" w:rsidP="0082221E">
            <w:pPr>
              <w:pStyle w:val="TableText"/>
              <w:rPr>
                <w:lang w:eastAsia="en-AU"/>
              </w:rPr>
            </w:pPr>
            <w:r w:rsidRPr="009D6BD0">
              <w:rPr>
                <w:lang w:eastAsia="en-AU"/>
              </w:rPr>
              <w:t>400-800 g acs/ha (boomspray)</w:t>
            </w:r>
          </w:p>
        </w:tc>
        <w:tc>
          <w:tcPr>
            <w:tcW w:w="1548" w:type="dxa"/>
            <w:tcBorders>
              <w:top w:val="nil"/>
              <w:left w:val="nil"/>
              <w:bottom w:val="single" w:sz="4" w:space="0" w:color="auto"/>
              <w:right w:val="single" w:sz="4" w:space="0" w:color="auto"/>
            </w:tcBorders>
            <w:noWrap/>
            <w:hideMark/>
          </w:tcPr>
          <w:p w14:paraId="14DF14E4" w14:textId="77777777" w:rsidR="009D6BD0" w:rsidRPr="009D6BD0" w:rsidRDefault="009D6BD0" w:rsidP="0082221E">
            <w:pPr>
              <w:pStyle w:val="TableText"/>
              <w:rPr>
                <w:lang w:eastAsia="en-AU"/>
              </w:rPr>
            </w:pPr>
            <w:r w:rsidRPr="009D6BD0">
              <w:rPr>
                <w:lang w:eastAsia="en-AU"/>
              </w:rPr>
              <w:t>Not supported (max. 68 g acs/ha)</w:t>
            </w:r>
          </w:p>
        </w:tc>
        <w:tc>
          <w:tcPr>
            <w:tcW w:w="1485" w:type="dxa"/>
            <w:tcBorders>
              <w:top w:val="single" w:sz="4" w:space="0" w:color="auto"/>
              <w:bottom w:val="single" w:sz="4" w:space="0" w:color="auto"/>
              <w:right w:val="single" w:sz="4" w:space="0" w:color="auto"/>
            </w:tcBorders>
          </w:tcPr>
          <w:p w14:paraId="4D3138DB" w14:textId="77777777" w:rsidR="009D6BD0" w:rsidRPr="009D6BD0" w:rsidRDefault="009D6BD0" w:rsidP="0082221E">
            <w:pPr>
              <w:pStyle w:val="TableText"/>
              <w:rPr>
                <w:lang w:eastAsia="en-AU"/>
              </w:rPr>
            </w:pPr>
            <w:r w:rsidRPr="009D6BD0">
              <w:rPr>
                <w:color w:val="1A1B1A"/>
                <w:lang w:eastAsia="en-AU"/>
              </w:rPr>
              <w:t>Supported</w:t>
            </w:r>
          </w:p>
        </w:tc>
        <w:tc>
          <w:tcPr>
            <w:tcW w:w="1171" w:type="dxa"/>
            <w:tcBorders>
              <w:top w:val="single" w:sz="4" w:space="0" w:color="auto"/>
              <w:left w:val="single" w:sz="4" w:space="0" w:color="auto"/>
              <w:bottom w:val="single" w:sz="4" w:space="0" w:color="auto"/>
              <w:right w:val="single" w:sz="4" w:space="0" w:color="auto"/>
            </w:tcBorders>
          </w:tcPr>
          <w:p w14:paraId="745F1514" w14:textId="77777777" w:rsidR="009D6BD0" w:rsidRPr="009D6BD0" w:rsidRDefault="009D6BD0" w:rsidP="0082221E">
            <w:pPr>
              <w:pStyle w:val="TableText"/>
              <w:rPr>
                <w:lang w:eastAsia="en-AU"/>
              </w:rPr>
            </w:pPr>
            <w:r w:rsidRPr="009D6BD0">
              <w:rPr>
                <w:lang w:eastAsia="en-AU"/>
              </w:rPr>
              <w:t>Not supported</w:t>
            </w:r>
          </w:p>
        </w:tc>
        <w:tc>
          <w:tcPr>
            <w:tcW w:w="1136" w:type="dxa"/>
            <w:tcBorders>
              <w:top w:val="single" w:sz="4" w:space="0" w:color="auto"/>
              <w:bottom w:val="single" w:sz="4" w:space="0" w:color="auto"/>
              <w:right w:val="single" w:sz="4" w:space="0" w:color="auto"/>
            </w:tcBorders>
          </w:tcPr>
          <w:p w14:paraId="7EB89334" w14:textId="77777777" w:rsidR="009D6BD0" w:rsidRPr="009D6BD0" w:rsidRDefault="009D6BD0" w:rsidP="0082221E">
            <w:pPr>
              <w:pStyle w:val="TableText"/>
              <w:rPr>
                <w:lang w:eastAsia="en-AU"/>
              </w:rPr>
            </w:pPr>
            <w:r w:rsidRPr="009D6BD0">
              <w:rPr>
                <w:lang w:eastAsia="en-AU"/>
              </w:rPr>
              <w:t>Not supported</w:t>
            </w:r>
          </w:p>
        </w:tc>
      </w:tr>
    </w:tbl>
    <w:p w14:paraId="1370FC29" w14:textId="6DEF4881" w:rsidR="000200ED" w:rsidRPr="00D63217" w:rsidRDefault="000200ED" w:rsidP="0082221E">
      <w:pPr>
        <w:pStyle w:val="NormalText"/>
      </w:pPr>
    </w:p>
    <w:bookmarkEnd w:id="633"/>
    <w:p w14:paraId="4862ABBB" w14:textId="77777777" w:rsidR="00BD7589" w:rsidRPr="00D63217" w:rsidRDefault="00BD7589" w:rsidP="000200ED">
      <w:pPr>
        <w:pStyle w:val="NormalText"/>
        <w:sectPr w:rsidR="00BD7589" w:rsidRPr="00D63217" w:rsidSect="003023C5">
          <w:headerReference w:type="even" r:id="rId55"/>
          <w:headerReference w:type="default" r:id="rId56"/>
          <w:pgSz w:w="11906" w:h="16838" w:code="9"/>
          <w:pgMar w:top="2835" w:right="1134" w:bottom="1134" w:left="1134" w:header="1701" w:footer="680" w:gutter="0"/>
          <w:cols w:space="708"/>
          <w:docGrid w:linePitch="360"/>
        </w:sectPr>
      </w:pPr>
    </w:p>
    <w:p w14:paraId="39F45668" w14:textId="77777777" w:rsidR="009A7378" w:rsidRPr="0082221E" w:rsidRDefault="009A7378" w:rsidP="0082221E">
      <w:pPr>
        <w:pStyle w:val="AppendixH1"/>
      </w:pPr>
      <w:bookmarkStart w:id="635" w:name="_Toc156980642"/>
      <w:bookmarkStart w:id="636" w:name="_Toc157602774"/>
      <w:bookmarkStart w:id="637" w:name="_Toc231480930"/>
      <w:bookmarkStart w:id="638" w:name="_Toc233036482"/>
      <w:r w:rsidRPr="0082221E">
        <w:lastRenderedPageBreak/>
        <w:t>Appendix B – Listing of environmental endpoints</w:t>
      </w:r>
      <w:bookmarkEnd w:id="635"/>
      <w:bookmarkEnd w:id="636"/>
      <w:bookmarkEnd w:id="637"/>
      <w:bookmarkEnd w:id="638"/>
    </w:p>
    <w:p w14:paraId="32D41822" w14:textId="7573908E" w:rsidR="009A7378" w:rsidRPr="00DA137F" w:rsidRDefault="00F012C6" w:rsidP="00DA137F">
      <w:pPr>
        <w:pStyle w:val="Caption"/>
      </w:pPr>
      <w:bookmarkStart w:id="639" w:name="_Toc230692320"/>
      <w:bookmarkStart w:id="640" w:name="_Toc233036541"/>
      <w:bookmarkStart w:id="641" w:name="_Toc156383615"/>
      <w:r w:rsidRPr="00DA137F">
        <w:t xml:space="preserve">Table </w:t>
      </w:r>
      <w:fldSimple w:instr=" SEQ Table \* ARABIC ">
        <w:r w:rsidR="00DA137F">
          <w:rPr>
            <w:noProof/>
          </w:rPr>
          <w:t>54</w:t>
        </w:r>
      </w:fldSimple>
      <w:r w:rsidRPr="00DA137F">
        <w:t xml:space="preserve">: </w:t>
      </w:r>
      <w:r w:rsidR="00017CE7" w:rsidRPr="00DA137F">
        <w:t xml:space="preserve">Paraquat – </w:t>
      </w:r>
      <w:r w:rsidR="009A7378" w:rsidRPr="00DA137F">
        <w:t>Dissipation in animal food items</w:t>
      </w:r>
      <w:bookmarkEnd w:id="639"/>
      <w:bookmarkEnd w:id="640"/>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737"/>
        <w:gridCol w:w="1541"/>
        <w:gridCol w:w="4373"/>
        <w:gridCol w:w="1982"/>
      </w:tblGrid>
      <w:tr w:rsidR="009A7378" w:rsidRPr="00D63217" w14:paraId="29BA6F88" w14:textId="77777777" w:rsidTr="00E53283">
        <w:trPr>
          <w:tblHeader/>
        </w:trPr>
        <w:tc>
          <w:tcPr>
            <w:tcW w:w="901" w:type="pct"/>
            <w:tcBorders>
              <w:bottom w:val="single" w:sz="4" w:space="0" w:color="auto"/>
            </w:tcBorders>
            <w:shd w:val="clear" w:color="auto" w:fill="5C2946"/>
          </w:tcPr>
          <w:p w14:paraId="0DAEA639" w14:textId="77777777" w:rsidR="009A7378" w:rsidRPr="00D63217" w:rsidRDefault="009A7378" w:rsidP="00BD7589">
            <w:pPr>
              <w:pStyle w:val="TableHead"/>
            </w:pPr>
            <w:r w:rsidRPr="00D63217">
              <w:t>Substance</w:t>
            </w:r>
          </w:p>
        </w:tc>
        <w:tc>
          <w:tcPr>
            <w:tcW w:w="800" w:type="pct"/>
            <w:tcBorders>
              <w:bottom w:val="single" w:sz="4" w:space="0" w:color="auto"/>
            </w:tcBorders>
            <w:shd w:val="clear" w:color="auto" w:fill="5C2946"/>
          </w:tcPr>
          <w:p w14:paraId="002B9255" w14:textId="77777777" w:rsidR="009A7378" w:rsidRPr="00D63217" w:rsidRDefault="009A7378" w:rsidP="00BD7589">
            <w:pPr>
              <w:pStyle w:val="TableHead"/>
            </w:pPr>
            <w:r w:rsidRPr="00D63217">
              <w:t>Matrix</w:t>
            </w:r>
          </w:p>
        </w:tc>
        <w:tc>
          <w:tcPr>
            <w:tcW w:w="2270" w:type="pct"/>
            <w:tcBorders>
              <w:bottom w:val="single" w:sz="4" w:space="0" w:color="auto"/>
            </w:tcBorders>
            <w:shd w:val="clear" w:color="auto" w:fill="5C2946"/>
          </w:tcPr>
          <w:p w14:paraId="22996E25" w14:textId="77777777" w:rsidR="009A7378" w:rsidRPr="00D63217" w:rsidRDefault="009A7378" w:rsidP="00BD7589">
            <w:pPr>
              <w:pStyle w:val="TableHead"/>
            </w:pPr>
            <w:r w:rsidRPr="00D63217">
              <w:t>Result</w:t>
            </w:r>
          </w:p>
        </w:tc>
        <w:tc>
          <w:tcPr>
            <w:tcW w:w="1029" w:type="pct"/>
            <w:tcBorders>
              <w:bottom w:val="single" w:sz="4" w:space="0" w:color="auto"/>
            </w:tcBorders>
            <w:shd w:val="clear" w:color="auto" w:fill="5C2946"/>
          </w:tcPr>
          <w:p w14:paraId="73233BCF" w14:textId="77777777" w:rsidR="009A7378" w:rsidRPr="00D63217" w:rsidRDefault="009A7378" w:rsidP="00BD7589">
            <w:pPr>
              <w:pStyle w:val="TableHead"/>
            </w:pPr>
            <w:r w:rsidRPr="00D63217">
              <w:t>Reference</w:t>
            </w:r>
          </w:p>
        </w:tc>
      </w:tr>
      <w:tr w:rsidR="009A7378" w:rsidRPr="00D63217" w14:paraId="223F728F" w14:textId="77777777" w:rsidTr="00BF4B43">
        <w:tc>
          <w:tcPr>
            <w:tcW w:w="901" w:type="pct"/>
            <w:tcBorders>
              <w:left w:val="nil"/>
              <w:bottom w:val="nil"/>
            </w:tcBorders>
          </w:tcPr>
          <w:p w14:paraId="70558DA5" w14:textId="77777777" w:rsidR="009A7378" w:rsidRPr="00D63217" w:rsidRDefault="009A7378" w:rsidP="004808C6">
            <w:pPr>
              <w:pStyle w:val="TableText"/>
              <w:spacing w:before="0" w:after="0" w:line="240" w:lineRule="auto"/>
              <w:rPr>
                <w:szCs w:val="17"/>
              </w:rPr>
            </w:pPr>
            <w:r w:rsidRPr="00D63217">
              <w:rPr>
                <w:szCs w:val="17"/>
              </w:rPr>
              <w:t>Paraquat</w:t>
            </w:r>
          </w:p>
        </w:tc>
        <w:tc>
          <w:tcPr>
            <w:tcW w:w="800" w:type="pct"/>
            <w:tcBorders>
              <w:left w:val="nil"/>
              <w:bottom w:val="nil"/>
            </w:tcBorders>
          </w:tcPr>
          <w:p w14:paraId="1D27D998" w14:textId="77777777" w:rsidR="009A7378" w:rsidRPr="00D63217" w:rsidRDefault="009A7378" w:rsidP="004808C6">
            <w:pPr>
              <w:pStyle w:val="TableText"/>
              <w:spacing w:before="0" w:after="0" w:line="240" w:lineRule="auto"/>
              <w:rPr>
                <w:szCs w:val="17"/>
              </w:rPr>
            </w:pPr>
            <w:r w:rsidRPr="00D63217">
              <w:rPr>
                <w:szCs w:val="17"/>
              </w:rPr>
              <w:t>Insects</w:t>
            </w:r>
          </w:p>
        </w:tc>
        <w:tc>
          <w:tcPr>
            <w:tcW w:w="2270" w:type="pct"/>
            <w:tcBorders>
              <w:bottom w:val="nil"/>
            </w:tcBorders>
          </w:tcPr>
          <w:p w14:paraId="768A78F2" w14:textId="0C62F602" w:rsidR="009A7378" w:rsidRPr="00D63217" w:rsidRDefault="009A7378" w:rsidP="002B660F">
            <w:pPr>
              <w:pStyle w:val="TableText"/>
              <w:spacing w:before="0" w:after="0" w:line="240" w:lineRule="auto"/>
              <w:rPr>
                <w:szCs w:val="17"/>
              </w:rPr>
            </w:pPr>
            <w:r w:rsidRPr="00D63217">
              <w:rPr>
                <w:szCs w:val="17"/>
              </w:rPr>
              <w:t>Beetles:</w:t>
            </w:r>
            <w:r w:rsidRPr="00D63217">
              <w:rPr>
                <w:szCs w:val="17"/>
              </w:rPr>
              <w:tab/>
              <w:t>DT</w:t>
            </w:r>
            <w:r w:rsidRPr="00D63217">
              <w:rPr>
                <w:szCs w:val="17"/>
                <w:vertAlign w:val="subscript"/>
              </w:rPr>
              <w:t>50</w:t>
            </w:r>
            <w:r w:rsidRPr="00D63217">
              <w:rPr>
                <w:szCs w:val="17"/>
              </w:rPr>
              <w:t xml:space="preserve"> 4.1 d</w:t>
            </w:r>
            <w:r w:rsidR="002B660F" w:rsidRPr="00D63217">
              <w:rPr>
                <w:szCs w:val="17"/>
              </w:rPr>
              <w:br/>
            </w:r>
            <w:r w:rsidRPr="00D63217">
              <w:rPr>
                <w:szCs w:val="17"/>
              </w:rPr>
              <w:t>Spiders:</w:t>
            </w:r>
            <w:r w:rsidRPr="00D63217">
              <w:rPr>
                <w:szCs w:val="17"/>
              </w:rPr>
              <w:tab/>
              <w:t>DT</w:t>
            </w:r>
            <w:r w:rsidRPr="00D63217">
              <w:rPr>
                <w:szCs w:val="17"/>
                <w:vertAlign w:val="subscript"/>
              </w:rPr>
              <w:t>50</w:t>
            </w:r>
            <w:r w:rsidRPr="00D63217">
              <w:rPr>
                <w:szCs w:val="17"/>
              </w:rPr>
              <w:t xml:space="preserve"> 4.6 d</w:t>
            </w:r>
          </w:p>
        </w:tc>
        <w:tc>
          <w:tcPr>
            <w:tcW w:w="1029" w:type="pct"/>
            <w:tcBorders>
              <w:bottom w:val="nil"/>
            </w:tcBorders>
          </w:tcPr>
          <w:p w14:paraId="394EE1F6" w14:textId="77777777" w:rsidR="009A7378" w:rsidRPr="00D63217" w:rsidRDefault="009A7378" w:rsidP="004808C6">
            <w:pPr>
              <w:pStyle w:val="TableText"/>
              <w:spacing w:before="0" w:after="0" w:line="240" w:lineRule="auto"/>
              <w:rPr>
                <w:szCs w:val="17"/>
              </w:rPr>
            </w:pPr>
            <w:r w:rsidRPr="00D63217">
              <w:rPr>
                <w:szCs w:val="17"/>
              </w:rPr>
              <w:t>Bakker 2005a</w:t>
            </w:r>
          </w:p>
        </w:tc>
      </w:tr>
      <w:tr w:rsidR="009A7378" w:rsidRPr="00D63217" w14:paraId="1D7D3E3A" w14:textId="77777777" w:rsidTr="00BF4B43">
        <w:tc>
          <w:tcPr>
            <w:tcW w:w="901" w:type="pct"/>
            <w:tcBorders>
              <w:top w:val="nil"/>
              <w:left w:val="nil"/>
              <w:bottom w:val="nil"/>
            </w:tcBorders>
          </w:tcPr>
          <w:p w14:paraId="771AA9C5" w14:textId="77777777" w:rsidR="009A7378" w:rsidRPr="00D63217" w:rsidRDefault="009A7378" w:rsidP="004808C6">
            <w:pPr>
              <w:pStyle w:val="TableText"/>
              <w:spacing w:before="0" w:after="0" w:line="240" w:lineRule="auto"/>
              <w:rPr>
                <w:szCs w:val="17"/>
              </w:rPr>
            </w:pPr>
          </w:p>
        </w:tc>
        <w:tc>
          <w:tcPr>
            <w:tcW w:w="800" w:type="pct"/>
            <w:tcBorders>
              <w:top w:val="nil"/>
              <w:left w:val="nil"/>
              <w:bottom w:val="nil"/>
            </w:tcBorders>
          </w:tcPr>
          <w:p w14:paraId="54EFD1E4" w14:textId="77777777" w:rsidR="009A7378" w:rsidRPr="00D63217" w:rsidRDefault="009A7378" w:rsidP="004808C6">
            <w:pPr>
              <w:pStyle w:val="TableText"/>
              <w:spacing w:before="0" w:after="0" w:line="240" w:lineRule="auto"/>
              <w:rPr>
                <w:szCs w:val="17"/>
              </w:rPr>
            </w:pPr>
          </w:p>
        </w:tc>
        <w:tc>
          <w:tcPr>
            <w:tcW w:w="2270" w:type="pct"/>
            <w:tcBorders>
              <w:top w:val="nil"/>
              <w:bottom w:val="nil"/>
            </w:tcBorders>
          </w:tcPr>
          <w:p w14:paraId="2533DEB9" w14:textId="4B8472BB" w:rsidR="009A7378" w:rsidRPr="00D63217" w:rsidRDefault="009A7378" w:rsidP="002B660F">
            <w:pPr>
              <w:pStyle w:val="TableText"/>
              <w:spacing w:before="0" w:after="0" w:line="240" w:lineRule="auto"/>
              <w:rPr>
                <w:szCs w:val="17"/>
              </w:rPr>
            </w:pPr>
            <w:r w:rsidRPr="00D63217">
              <w:rPr>
                <w:szCs w:val="17"/>
              </w:rPr>
              <w:t>Spiders:</w:t>
            </w:r>
            <w:r w:rsidRPr="00D63217">
              <w:rPr>
                <w:szCs w:val="17"/>
              </w:rPr>
              <w:tab/>
              <w:t>DT</w:t>
            </w:r>
            <w:r w:rsidRPr="00D63217">
              <w:rPr>
                <w:szCs w:val="17"/>
                <w:vertAlign w:val="subscript"/>
              </w:rPr>
              <w:t>50</w:t>
            </w:r>
            <w:r w:rsidRPr="00D63217">
              <w:rPr>
                <w:szCs w:val="17"/>
              </w:rPr>
              <w:t xml:space="preserve"> 3.5 d</w:t>
            </w:r>
            <w:r w:rsidR="002B660F" w:rsidRPr="00D63217">
              <w:rPr>
                <w:szCs w:val="17"/>
              </w:rPr>
              <w:br/>
            </w:r>
            <w:r w:rsidRPr="00D63217">
              <w:rPr>
                <w:szCs w:val="17"/>
              </w:rPr>
              <w:t>Lepidoptera:</w:t>
            </w:r>
            <w:r w:rsidRPr="00D63217">
              <w:rPr>
                <w:szCs w:val="17"/>
              </w:rPr>
              <w:tab/>
              <w:t>DT</w:t>
            </w:r>
            <w:r w:rsidRPr="00D63217">
              <w:rPr>
                <w:szCs w:val="17"/>
                <w:vertAlign w:val="subscript"/>
              </w:rPr>
              <w:t>50</w:t>
            </w:r>
            <w:r w:rsidRPr="00D63217">
              <w:rPr>
                <w:szCs w:val="17"/>
              </w:rPr>
              <w:t xml:space="preserve"> 3.5 d</w:t>
            </w:r>
          </w:p>
        </w:tc>
        <w:tc>
          <w:tcPr>
            <w:tcW w:w="1029" w:type="pct"/>
            <w:tcBorders>
              <w:top w:val="nil"/>
              <w:bottom w:val="nil"/>
            </w:tcBorders>
          </w:tcPr>
          <w:p w14:paraId="51F42005" w14:textId="77777777" w:rsidR="009A7378" w:rsidRPr="00D63217" w:rsidRDefault="009A7378" w:rsidP="004808C6">
            <w:pPr>
              <w:pStyle w:val="TableText"/>
              <w:spacing w:before="0" w:after="0" w:line="240" w:lineRule="auto"/>
              <w:rPr>
                <w:szCs w:val="17"/>
              </w:rPr>
            </w:pPr>
            <w:r w:rsidRPr="00D63217">
              <w:rPr>
                <w:szCs w:val="17"/>
              </w:rPr>
              <w:t>Bakker 2005b</w:t>
            </w:r>
          </w:p>
        </w:tc>
      </w:tr>
      <w:tr w:rsidR="009A7378" w:rsidRPr="00D63217" w14:paraId="392FA6D4" w14:textId="77777777" w:rsidTr="00BF4B43">
        <w:tc>
          <w:tcPr>
            <w:tcW w:w="901" w:type="pct"/>
            <w:tcBorders>
              <w:top w:val="nil"/>
              <w:left w:val="nil"/>
              <w:bottom w:val="single" w:sz="4" w:space="0" w:color="auto"/>
            </w:tcBorders>
          </w:tcPr>
          <w:p w14:paraId="68C90BD0" w14:textId="77777777" w:rsidR="009A7378" w:rsidRPr="00D63217" w:rsidRDefault="009A7378" w:rsidP="004808C6">
            <w:pPr>
              <w:pStyle w:val="TableText"/>
              <w:spacing w:before="0" w:after="0" w:line="240" w:lineRule="auto"/>
              <w:rPr>
                <w:szCs w:val="17"/>
              </w:rPr>
            </w:pPr>
          </w:p>
        </w:tc>
        <w:tc>
          <w:tcPr>
            <w:tcW w:w="800" w:type="pct"/>
            <w:tcBorders>
              <w:top w:val="nil"/>
              <w:left w:val="nil"/>
              <w:bottom w:val="single" w:sz="4" w:space="0" w:color="auto"/>
            </w:tcBorders>
          </w:tcPr>
          <w:p w14:paraId="03D7151D" w14:textId="77777777" w:rsidR="009A7378" w:rsidRPr="00D63217" w:rsidRDefault="009A7378" w:rsidP="004808C6">
            <w:pPr>
              <w:pStyle w:val="TableText"/>
              <w:spacing w:before="0" w:after="0" w:line="240" w:lineRule="auto"/>
              <w:rPr>
                <w:szCs w:val="17"/>
              </w:rPr>
            </w:pPr>
          </w:p>
        </w:tc>
        <w:tc>
          <w:tcPr>
            <w:tcW w:w="2270" w:type="pct"/>
            <w:tcBorders>
              <w:top w:val="nil"/>
              <w:bottom w:val="single" w:sz="4" w:space="0" w:color="auto"/>
            </w:tcBorders>
          </w:tcPr>
          <w:p w14:paraId="6D51B83F" w14:textId="77777777" w:rsidR="009A7378" w:rsidRPr="00D63217" w:rsidRDefault="009A7378" w:rsidP="004808C6">
            <w:pPr>
              <w:pStyle w:val="TableText"/>
              <w:spacing w:before="0" w:after="0" w:line="240" w:lineRule="auto"/>
              <w:rPr>
                <w:szCs w:val="17"/>
              </w:rPr>
            </w:pPr>
            <w:r w:rsidRPr="00D63217">
              <w:rPr>
                <w:szCs w:val="17"/>
              </w:rPr>
              <w:t>Geomean DT</w:t>
            </w:r>
            <w:r w:rsidRPr="00D63217">
              <w:rPr>
                <w:szCs w:val="17"/>
                <w:vertAlign w:val="subscript"/>
              </w:rPr>
              <w:t>50</w:t>
            </w:r>
            <w:r w:rsidRPr="00D63217">
              <w:rPr>
                <w:szCs w:val="17"/>
              </w:rPr>
              <w:t xml:space="preserve"> 3.9 d</w:t>
            </w:r>
          </w:p>
        </w:tc>
        <w:tc>
          <w:tcPr>
            <w:tcW w:w="1029" w:type="pct"/>
            <w:tcBorders>
              <w:top w:val="nil"/>
              <w:bottom w:val="single" w:sz="4" w:space="0" w:color="auto"/>
            </w:tcBorders>
          </w:tcPr>
          <w:p w14:paraId="73164A5C" w14:textId="77777777" w:rsidR="009A7378" w:rsidRPr="00D63217" w:rsidRDefault="009A7378" w:rsidP="004808C6">
            <w:pPr>
              <w:pStyle w:val="TableText"/>
              <w:spacing w:before="0" w:after="0" w:line="240" w:lineRule="auto"/>
              <w:rPr>
                <w:szCs w:val="17"/>
              </w:rPr>
            </w:pPr>
          </w:p>
        </w:tc>
      </w:tr>
    </w:tbl>
    <w:p w14:paraId="741FF325" w14:textId="28D79015" w:rsidR="009A7378" w:rsidRPr="00DA137F" w:rsidRDefault="00F012C6" w:rsidP="00DA137F">
      <w:pPr>
        <w:pStyle w:val="Caption"/>
      </w:pPr>
      <w:bookmarkStart w:id="642" w:name="_Ref167303327"/>
      <w:bookmarkStart w:id="643" w:name="_Toc230692321"/>
      <w:bookmarkStart w:id="644" w:name="_Toc233036542"/>
      <w:bookmarkStart w:id="645" w:name="_Toc156383616"/>
      <w:bookmarkEnd w:id="641"/>
      <w:r w:rsidRPr="00DA137F">
        <w:t xml:space="preserve">Table </w:t>
      </w:r>
      <w:fldSimple w:instr=" SEQ Table \* ARABIC ">
        <w:r w:rsidR="00DA137F">
          <w:rPr>
            <w:noProof/>
          </w:rPr>
          <w:t>55</w:t>
        </w:r>
      </w:fldSimple>
      <w:bookmarkEnd w:id="642"/>
      <w:r w:rsidRPr="00DA137F">
        <w:t xml:space="preserve">: </w:t>
      </w:r>
      <w:r w:rsidR="00017CE7" w:rsidRPr="00DA137F">
        <w:t xml:space="preserve">Paraquat – </w:t>
      </w:r>
      <w:r w:rsidR="009A7378" w:rsidRPr="00DA137F">
        <w:t>Fate and behaviour in soil</w:t>
      </w:r>
      <w:bookmarkEnd w:id="643"/>
      <w:bookmarkEnd w:id="644"/>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1842"/>
        <w:gridCol w:w="4395"/>
        <w:gridCol w:w="2408"/>
      </w:tblGrid>
      <w:tr w:rsidR="009A7378" w:rsidRPr="00D63217" w14:paraId="30DBA44C" w14:textId="77777777" w:rsidTr="00E53283">
        <w:trPr>
          <w:tblHeader/>
        </w:trPr>
        <w:tc>
          <w:tcPr>
            <w:tcW w:w="513" w:type="pct"/>
            <w:tcBorders>
              <w:bottom w:val="single" w:sz="4" w:space="0" w:color="auto"/>
            </w:tcBorders>
            <w:shd w:val="clear" w:color="auto" w:fill="5C2946"/>
          </w:tcPr>
          <w:p w14:paraId="08BFD45F" w14:textId="77777777" w:rsidR="009A7378" w:rsidRPr="00D63217" w:rsidRDefault="009A7378" w:rsidP="00BD7589">
            <w:pPr>
              <w:pStyle w:val="TableHead"/>
            </w:pPr>
            <w:r w:rsidRPr="00D63217">
              <w:t>Substance</w:t>
            </w:r>
          </w:p>
        </w:tc>
        <w:tc>
          <w:tcPr>
            <w:tcW w:w="956" w:type="pct"/>
            <w:tcBorders>
              <w:bottom w:val="single" w:sz="4" w:space="0" w:color="auto"/>
            </w:tcBorders>
            <w:shd w:val="clear" w:color="auto" w:fill="5C2946"/>
          </w:tcPr>
          <w:p w14:paraId="4242F2CA" w14:textId="77777777" w:rsidR="009A7378" w:rsidRPr="00D63217" w:rsidRDefault="009A7378" w:rsidP="00BD7589">
            <w:pPr>
              <w:pStyle w:val="TableHead"/>
            </w:pPr>
            <w:r w:rsidRPr="00D63217">
              <w:t>Study</w:t>
            </w:r>
          </w:p>
        </w:tc>
        <w:tc>
          <w:tcPr>
            <w:tcW w:w="2281" w:type="pct"/>
            <w:tcBorders>
              <w:bottom w:val="single" w:sz="4" w:space="0" w:color="auto"/>
            </w:tcBorders>
            <w:shd w:val="clear" w:color="auto" w:fill="5C2946"/>
          </w:tcPr>
          <w:p w14:paraId="1D6904A7" w14:textId="77777777" w:rsidR="009A7378" w:rsidRPr="00D63217" w:rsidRDefault="009A7378" w:rsidP="00BD7589">
            <w:pPr>
              <w:pStyle w:val="TableHead"/>
            </w:pPr>
            <w:r w:rsidRPr="00D63217">
              <w:t>Result</w:t>
            </w:r>
          </w:p>
        </w:tc>
        <w:tc>
          <w:tcPr>
            <w:tcW w:w="1250" w:type="pct"/>
            <w:tcBorders>
              <w:bottom w:val="single" w:sz="4" w:space="0" w:color="auto"/>
            </w:tcBorders>
            <w:shd w:val="clear" w:color="auto" w:fill="5C2946"/>
          </w:tcPr>
          <w:p w14:paraId="60E44944" w14:textId="77777777" w:rsidR="009A7378" w:rsidRPr="00D63217" w:rsidRDefault="009A7378" w:rsidP="00BD7589">
            <w:pPr>
              <w:pStyle w:val="TableHead"/>
            </w:pPr>
            <w:r w:rsidRPr="00D63217">
              <w:t>Reference</w:t>
            </w:r>
          </w:p>
        </w:tc>
      </w:tr>
      <w:tr w:rsidR="009A7378" w:rsidRPr="00D63217" w14:paraId="64BA056C" w14:textId="77777777" w:rsidTr="00BF4B43">
        <w:tc>
          <w:tcPr>
            <w:tcW w:w="513" w:type="pct"/>
            <w:tcBorders>
              <w:left w:val="nil"/>
              <w:bottom w:val="nil"/>
            </w:tcBorders>
          </w:tcPr>
          <w:p w14:paraId="753AD557" w14:textId="77777777" w:rsidR="009A7378" w:rsidRPr="00D63217" w:rsidRDefault="009A7378" w:rsidP="004808C6">
            <w:pPr>
              <w:pStyle w:val="TableText"/>
              <w:spacing w:before="0" w:after="0" w:line="240" w:lineRule="auto"/>
              <w:rPr>
                <w:szCs w:val="17"/>
              </w:rPr>
            </w:pPr>
            <w:r w:rsidRPr="00D63217">
              <w:rPr>
                <w:szCs w:val="17"/>
              </w:rPr>
              <w:t>Paraquat</w:t>
            </w:r>
          </w:p>
        </w:tc>
        <w:tc>
          <w:tcPr>
            <w:tcW w:w="956" w:type="pct"/>
            <w:tcBorders>
              <w:left w:val="nil"/>
              <w:bottom w:val="nil"/>
            </w:tcBorders>
          </w:tcPr>
          <w:p w14:paraId="6D1773B9" w14:textId="77777777" w:rsidR="009A7378" w:rsidRPr="00D63217" w:rsidRDefault="009A7378" w:rsidP="004808C6">
            <w:pPr>
              <w:pStyle w:val="TableText"/>
              <w:spacing w:before="0" w:after="0" w:line="240" w:lineRule="auto"/>
              <w:rPr>
                <w:szCs w:val="17"/>
              </w:rPr>
            </w:pPr>
            <w:r w:rsidRPr="00D63217">
              <w:rPr>
                <w:szCs w:val="17"/>
              </w:rPr>
              <w:t>Soil photolysis</w:t>
            </w:r>
          </w:p>
        </w:tc>
        <w:tc>
          <w:tcPr>
            <w:tcW w:w="2281" w:type="pct"/>
            <w:tcBorders>
              <w:bottom w:val="nil"/>
            </w:tcBorders>
          </w:tcPr>
          <w:p w14:paraId="37BF69A2" w14:textId="77777777" w:rsidR="009A7378" w:rsidRPr="00D63217" w:rsidRDefault="009A7378" w:rsidP="004808C6">
            <w:pPr>
              <w:pStyle w:val="TableText"/>
              <w:spacing w:before="0" w:after="0" w:line="240" w:lineRule="auto"/>
              <w:rPr>
                <w:szCs w:val="17"/>
              </w:rPr>
            </w:pPr>
            <w:r w:rsidRPr="00D63217">
              <w:rPr>
                <w:szCs w:val="17"/>
              </w:rPr>
              <w:t>Stable</w:t>
            </w:r>
          </w:p>
        </w:tc>
        <w:tc>
          <w:tcPr>
            <w:tcW w:w="1250" w:type="pct"/>
            <w:tcBorders>
              <w:bottom w:val="nil"/>
            </w:tcBorders>
          </w:tcPr>
          <w:p w14:paraId="45443535" w14:textId="77777777" w:rsidR="009A7378" w:rsidRPr="00D63217" w:rsidRDefault="009A7378" w:rsidP="004808C6">
            <w:pPr>
              <w:pStyle w:val="TableText"/>
              <w:spacing w:before="0" w:after="0" w:line="240" w:lineRule="auto"/>
              <w:rPr>
                <w:szCs w:val="17"/>
              </w:rPr>
            </w:pPr>
            <w:r w:rsidRPr="00D63217">
              <w:rPr>
                <w:szCs w:val="17"/>
              </w:rPr>
              <w:t>Pack 1982</w:t>
            </w:r>
          </w:p>
        </w:tc>
      </w:tr>
      <w:tr w:rsidR="009A7378" w:rsidRPr="00D63217" w14:paraId="6340646B" w14:textId="77777777" w:rsidTr="00BF4B43">
        <w:tc>
          <w:tcPr>
            <w:tcW w:w="513" w:type="pct"/>
            <w:tcBorders>
              <w:top w:val="nil"/>
              <w:left w:val="nil"/>
              <w:bottom w:val="nil"/>
            </w:tcBorders>
          </w:tcPr>
          <w:p w14:paraId="4F6EF1E6" w14:textId="77777777" w:rsidR="009A7378" w:rsidRPr="00D63217" w:rsidRDefault="009A7378" w:rsidP="004808C6">
            <w:pPr>
              <w:pStyle w:val="TableText"/>
              <w:spacing w:before="0" w:after="0" w:line="240" w:lineRule="auto"/>
              <w:rPr>
                <w:szCs w:val="17"/>
              </w:rPr>
            </w:pPr>
          </w:p>
        </w:tc>
        <w:tc>
          <w:tcPr>
            <w:tcW w:w="956" w:type="pct"/>
            <w:tcBorders>
              <w:top w:val="nil"/>
              <w:left w:val="nil"/>
              <w:bottom w:val="nil"/>
            </w:tcBorders>
          </w:tcPr>
          <w:p w14:paraId="6E42F372" w14:textId="77777777" w:rsidR="009A7378" w:rsidRPr="00D63217" w:rsidRDefault="009A7378" w:rsidP="004808C6">
            <w:pPr>
              <w:pStyle w:val="TableText"/>
              <w:spacing w:before="0" w:after="0" w:line="240" w:lineRule="auto"/>
              <w:rPr>
                <w:szCs w:val="17"/>
              </w:rPr>
            </w:pPr>
            <w:r w:rsidRPr="00D63217">
              <w:rPr>
                <w:szCs w:val="17"/>
              </w:rPr>
              <w:t>Biodegradability</w:t>
            </w:r>
          </w:p>
        </w:tc>
        <w:tc>
          <w:tcPr>
            <w:tcW w:w="2281" w:type="pct"/>
            <w:tcBorders>
              <w:top w:val="nil"/>
              <w:bottom w:val="nil"/>
            </w:tcBorders>
          </w:tcPr>
          <w:p w14:paraId="19825606" w14:textId="77777777" w:rsidR="009A7378" w:rsidRPr="00D63217" w:rsidRDefault="009A7378" w:rsidP="004808C6">
            <w:pPr>
              <w:pStyle w:val="TableText"/>
              <w:spacing w:before="0" w:after="0" w:line="240" w:lineRule="auto"/>
              <w:rPr>
                <w:szCs w:val="17"/>
              </w:rPr>
            </w:pPr>
            <w:r w:rsidRPr="00D63217">
              <w:rPr>
                <w:szCs w:val="17"/>
              </w:rPr>
              <w:t>Intrinsically biodegradable in soil pore water</w:t>
            </w:r>
          </w:p>
        </w:tc>
        <w:tc>
          <w:tcPr>
            <w:tcW w:w="1250" w:type="pct"/>
            <w:tcBorders>
              <w:top w:val="nil"/>
              <w:bottom w:val="nil"/>
            </w:tcBorders>
          </w:tcPr>
          <w:p w14:paraId="382AF687" w14:textId="2671FECC" w:rsidR="009A7378" w:rsidRPr="00D63217" w:rsidRDefault="009A7378" w:rsidP="004808C6">
            <w:pPr>
              <w:pStyle w:val="TableText"/>
              <w:spacing w:before="0" w:after="0" w:line="240" w:lineRule="auto"/>
              <w:rPr>
                <w:szCs w:val="17"/>
              </w:rPr>
            </w:pPr>
            <w:r w:rsidRPr="00D63217">
              <w:rPr>
                <w:szCs w:val="17"/>
              </w:rPr>
              <w:t>Kuet et</w:t>
            </w:r>
            <w:r w:rsidR="00143F5A" w:rsidRPr="00D63217">
              <w:rPr>
                <w:szCs w:val="17"/>
              </w:rPr>
              <w:t xml:space="preserve"> al,</w:t>
            </w:r>
            <w:r w:rsidRPr="00D63217">
              <w:rPr>
                <w:szCs w:val="17"/>
              </w:rPr>
              <w:t xml:space="preserve"> 2001, Ricketts 1999</w:t>
            </w:r>
          </w:p>
        </w:tc>
      </w:tr>
      <w:tr w:rsidR="009A7378" w:rsidRPr="00D63217" w14:paraId="3740C23F" w14:textId="77777777" w:rsidTr="00BF4B43">
        <w:tc>
          <w:tcPr>
            <w:tcW w:w="513" w:type="pct"/>
            <w:tcBorders>
              <w:top w:val="nil"/>
              <w:left w:val="nil"/>
              <w:bottom w:val="nil"/>
            </w:tcBorders>
          </w:tcPr>
          <w:p w14:paraId="385952BC" w14:textId="77777777" w:rsidR="009A7378" w:rsidRPr="00D63217" w:rsidRDefault="009A7378" w:rsidP="004808C6">
            <w:pPr>
              <w:pStyle w:val="TableText"/>
              <w:spacing w:before="0" w:after="0" w:line="240" w:lineRule="auto"/>
              <w:rPr>
                <w:szCs w:val="17"/>
              </w:rPr>
            </w:pPr>
          </w:p>
        </w:tc>
        <w:tc>
          <w:tcPr>
            <w:tcW w:w="956" w:type="pct"/>
            <w:tcBorders>
              <w:top w:val="nil"/>
              <w:left w:val="nil"/>
              <w:bottom w:val="nil"/>
            </w:tcBorders>
          </w:tcPr>
          <w:p w14:paraId="55C7C56C" w14:textId="77777777" w:rsidR="009A7378" w:rsidRPr="00D63217" w:rsidRDefault="009A7378" w:rsidP="004808C6">
            <w:pPr>
              <w:pStyle w:val="TableText"/>
              <w:spacing w:before="0" w:after="0" w:line="240" w:lineRule="auto"/>
              <w:rPr>
                <w:szCs w:val="17"/>
              </w:rPr>
            </w:pPr>
            <w:r w:rsidRPr="00D63217">
              <w:rPr>
                <w:szCs w:val="17"/>
              </w:rPr>
              <w:t>Aerobic laboratory soil</w:t>
            </w:r>
          </w:p>
        </w:tc>
        <w:tc>
          <w:tcPr>
            <w:tcW w:w="2281" w:type="pct"/>
            <w:tcBorders>
              <w:top w:val="nil"/>
              <w:bottom w:val="nil"/>
            </w:tcBorders>
          </w:tcPr>
          <w:p w14:paraId="1428A8FE" w14:textId="12FFEC91" w:rsidR="009A7378" w:rsidRPr="00D63217" w:rsidRDefault="009A7378" w:rsidP="002B660F">
            <w:pPr>
              <w:pStyle w:val="TableText"/>
              <w:spacing w:before="0" w:after="0" w:line="240" w:lineRule="auto"/>
              <w:rPr>
                <w:szCs w:val="17"/>
              </w:rPr>
            </w:pPr>
            <w:r w:rsidRPr="00D63217">
              <w:rPr>
                <w:szCs w:val="17"/>
              </w:rPr>
              <w:t>Sandy loam: stable</w:t>
            </w:r>
            <w:r w:rsidR="002B660F" w:rsidRPr="00D63217">
              <w:rPr>
                <w:szCs w:val="17"/>
              </w:rPr>
              <w:br/>
            </w:r>
            <w:r w:rsidRPr="00D63217">
              <w:rPr>
                <w:szCs w:val="17"/>
              </w:rPr>
              <w:t xml:space="preserve">&lt;0.1% mineralisation after 180 d </w:t>
            </w:r>
            <w:r w:rsidRPr="00D63217">
              <w:rPr>
                <w:szCs w:val="17"/>
              </w:rPr>
              <w:br/>
              <w:t>0.7% bound residues after 180 d</w:t>
            </w:r>
          </w:p>
        </w:tc>
        <w:tc>
          <w:tcPr>
            <w:tcW w:w="1250" w:type="pct"/>
            <w:tcBorders>
              <w:top w:val="nil"/>
              <w:bottom w:val="nil"/>
            </w:tcBorders>
          </w:tcPr>
          <w:p w14:paraId="76E7D76F" w14:textId="2A8F4BC9" w:rsidR="009A7378" w:rsidRPr="00D63217" w:rsidRDefault="009A7378" w:rsidP="004808C6">
            <w:pPr>
              <w:pStyle w:val="TableText"/>
              <w:spacing w:before="0" w:after="0" w:line="240" w:lineRule="auto"/>
              <w:rPr>
                <w:szCs w:val="17"/>
              </w:rPr>
            </w:pPr>
            <w:r w:rsidRPr="00D63217">
              <w:rPr>
                <w:szCs w:val="17"/>
              </w:rPr>
              <w:t>Vickers et</w:t>
            </w:r>
            <w:r w:rsidR="00143F5A" w:rsidRPr="00D63217">
              <w:rPr>
                <w:szCs w:val="17"/>
              </w:rPr>
              <w:t xml:space="preserve"> al,</w:t>
            </w:r>
            <w:r w:rsidRPr="00D63217">
              <w:rPr>
                <w:szCs w:val="17"/>
              </w:rPr>
              <w:t xml:space="preserve"> 1989a</w:t>
            </w:r>
          </w:p>
        </w:tc>
      </w:tr>
      <w:tr w:rsidR="009A7378" w:rsidRPr="00D63217" w14:paraId="112E09FA" w14:textId="77777777" w:rsidTr="00BF4B43">
        <w:tc>
          <w:tcPr>
            <w:tcW w:w="513" w:type="pct"/>
            <w:tcBorders>
              <w:top w:val="nil"/>
              <w:left w:val="nil"/>
              <w:bottom w:val="nil"/>
            </w:tcBorders>
          </w:tcPr>
          <w:p w14:paraId="4A68CDB8" w14:textId="77777777" w:rsidR="009A7378" w:rsidRPr="00D63217" w:rsidRDefault="009A7378" w:rsidP="004808C6">
            <w:pPr>
              <w:pStyle w:val="TableText"/>
              <w:spacing w:before="0" w:after="0" w:line="240" w:lineRule="auto"/>
              <w:rPr>
                <w:szCs w:val="17"/>
              </w:rPr>
            </w:pPr>
          </w:p>
        </w:tc>
        <w:tc>
          <w:tcPr>
            <w:tcW w:w="956" w:type="pct"/>
            <w:tcBorders>
              <w:top w:val="nil"/>
              <w:left w:val="nil"/>
              <w:bottom w:val="single" w:sz="4" w:space="0" w:color="auto"/>
            </w:tcBorders>
          </w:tcPr>
          <w:p w14:paraId="31A8D5B9" w14:textId="77777777" w:rsidR="009A7378" w:rsidRPr="00D63217" w:rsidRDefault="009A7378" w:rsidP="004808C6">
            <w:pPr>
              <w:pStyle w:val="TableText"/>
              <w:spacing w:before="0" w:after="0" w:line="240" w:lineRule="auto"/>
              <w:rPr>
                <w:szCs w:val="17"/>
              </w:rPr>
            </w:pPr>
            <w:r w:rsidRPr="00D63217">
              <w:rPr>
                <w:szCs w:val="17"/>
              </w:rPr>
              <w:t xml:space="preserve">Anaerobic laboratory soil </w:t>
            </w:r>
          </w:p>
        </w:tc>
        <w:tc>
          <w:tcPr>
            <w:tcW w:w="2281" w:type="pct"/>
            <w:tcBorders>
              <w:top w:val="nil"/>
              <w:bottom w:val="single" w:sz="4" w:space="0" w:color="auto"/>
            </w:tcBorders>
          </w:tcPr>
          <w:p w14:paraId="0CFDFB92" w14:textId="7F234340" w:rsidR="009A7378" w:rsidRPr="00D63217" w:rsidRDefault="009A7378" w:rsidP="002B660F">
            <w:pPr>
              <w:pStyle w:val="TableText"/>
              <w:spacing w:before="0" w:after="0" w:line="240" w:lineRule="auto"/>
              <w:rPr>
                <w:szCs w:val="17"/>
              </w:rPr>
            </w:pPr>
            <w:r w:rsidRPr="00D63217">
              <w:rPr>
                <w:szCs w:val="17"/>
              </w:rPr>
              <w:t>Sandy loam: stable</w:t>
            </w:r>
            <w:r w:rsidR="002B660F" w:rsidRPr="00D63217">
              <w:rPr>
                <w:szCs w:val="17"/>
              </w:rPr>
              <w:br/>
            </w:r>
            <w:r w:rsidRPr="00D63217">
              <w:rPr>
                <w:szCs w:val="17"/>
              </w:rPr>
              <w:t xml:space="preserve">&lt;0.1% mineralisation after 90 d </w:t>
            </w:r>
            <w:r w:rsidRPr="00D63217">
              <w:rPr>
                <w:szCs w:val="17"/>
              </w:rPr>
              <w:br/>
              <w:t>0.75% bound residues after 90 d</w:t>
            </w:r>
          </w:p>
        </w:tc>
        <w:tc>
          <w:tcPr>
            <w:tcW w:w="1250" w:type="pct"/>
            <w:tcBorders>
              <w:top w:val="nil"/>
              <w:bottom w:val="single" w:sz="4" w:space="0" w:color="auto"/>
            </w:tcBorders>
          </w:tcPr>
          <w:p w14:paraId="06A8B4D5" w14:textId="565B32FD" w:rsidR="009A7378" w:rsidRPr="00D63217" w:rsidRDefault="009A7378" w:rsidP="004808C6">
            <w:pPr>
              <w:pStyle w:val="TableText"/>
              <w:spacing w:before="0" w:after="0" w:line="240" w:lineRule="auto"/>
              <w:rPr>
                <w:szCs w:val="17"/>
              </w:rPr>
            </w:pPr>
            <w:r w:rsidRPr="00D63217">
              <w:rPr>
                <w:szCs w:val="17"/>
              </w:rPr>
              <w:t>Vickers et</w:t>
            </w:r>
            <w:r w:rsidR="00143F5A" w:rsidRPr="00D63217">
              <w:rPr>
                <w:szCs w:val="17"/>
              </w:rPr>
              <w:t xml:space="preserve"> al,</w:t>
            </w:r>
            <w:r w:rsidRPr="00D63217">
              <w:rPr>
                <w:szCs w:val="17"/>
              </w:rPr>
              <w:t xml:space="preserve"> 1989b</w:t>
            </w:r>
          </w:p>
        </w:tc>
      </w:tr>
      <w:tr w:rsidR="009A7378" w:rsidRPr="00D63217" w14:paraId="37560B9B" w14:textId="77777777" w:rsidTr="001B5CA5">
        <w:tc>
          <w:tcPr>
            <w:tcW w:w="513" w:type="pct"/>
            <w:tcBorders>
              <w:top w:val="nil"/>
              <w:left w:val="nil"/>
              <w:bottom w:val="nil"/>
            </w:tcBorders>
          </w:tcPr>
          <w:p w14:paraId="2E4170F2" w14:textId="77777777" w:rsidR="009A7378" w:rsidRPr="00D63217" w:rsidRDefault="009A7378" w:rsidP="004808C6">
            <w:pPr>
              <w:pStyle w:val="TableText"/>
              <w:spacing w:before="0" w:after="0" w:line="240" w:lineRule="auto"/>
              <w:rPr>
                <w:szCs w:val="17"/>
              </w:rPr>
            </w:pPr>
          </w:p>
        </w:tc>
        <w:tc>
          <w:tcPr>
            <w:tcW w:w="956" w:type="pct"/>
            <w:tcBorders>
              <w:top w:val="single" w:sz="4" w:space="0" w:color="auto"/>
              <w:left w:val="nil"/>
              <w:bottom w:val="nil"/>
            </w:tcBorders>
          </w:tcPr>
          <w:p w14:paraId="1F96C570" w14:textId="77777777" w:rsidR="009A7378" w:rsidRPr="00D63217" w:rsidRDefault="009A7378" w:rsidP="004808C6">
            <w:pPr>
              <w:pStyle w:val="TableText"/>
              <w:spacing w:before="0" w:after="0" w:line="240" w:lineRule="auto"/>
              <w:rPr>
                <w:szCs w:val="17"/>
              </w:rPr>
            </w:pPr>
            <w:r w:rsidRPr="00D63217">
              <w:rPr>
                <w:szCs w:val="17"/>
              </w:rPr>
              <w:t>Adsorption/ desorption</w:t>
            </w:r>
          </w:p>
        </w:tc>
        <w:tc>
          <w:tcPr>
            <w:tcW w:w="2281" w:type="pct"/>
            <w:tcBorders>
              <w:top w:val="single" w:sz="4" w:space="0" w:color="auto"/>
              <w:bottom w:val="nil"/>
            </w:tcBorders>
          </w:tcPr>
          <w:p w14:paraId="2D78DDCB" w14:textId="543717EF" w:rsidR="009A7378" w:rsidRPr="00D63217" w:rsidRDefault="009A7378" w:rsidP="001B5CA5">
            <w:pPr>
              <w:pStyle w:val="TableText"/>
              <w:tabs>
                <w:tab w:val="left" w:pos="1358"/>
                <w:tab w:val="left" w:pos="2067"/>
              </w:tabs>
              <w:spacing w:before="0" w:after="0" w:line="240" w:lineRule="auto"/>
              <w:rPr>
                <w:szCs w:val="17"/>
              </w:rPr>
            </w:pPr>
            <w:r w:rsidRPr="00D63217">
              <w:rPr>
                <w:szCs w:val="17"/>
                <w:u w:val="single"/>
              </w:rPr>
              <w:t>Soil</w:t>
            </w:r>
            <w:r w:rsidRPr="00D63217">
              <w:rPr>
                <w:szCs w:val="17"/>
              </w:rPr>
              <w:tab/>
            </w:r>
            <w:r w:rsidRPr="00D63217">
              <w:rPr>
                <w:szCs w:val="17"/>
                <w:u w:val="single"/>
              </w:rPr>
              <w:t>% clay</w:t>
            </w:r>
            <w:r w:rsidRPr="00D63217">
              <w:rPr>
                <w:szCs w:val="17"/>
              </w:rPr>
              <w:tab/>
            </w:r>
            <w:r w:rsidRPr="00D63217">
              <w:rPr>
                <w:szCs w:val="17"/>
                <w:u w:val="single"/>
              </w:rPr>
              <w:t>Kd (mL/g)</w:t>
            </w:r>
            <w:r w:rsidR="002B660F" w:rsidRPr="00D63217">
              <w:rPr>
                <w:szCs w:val="17"/>
              </w:rPr>
              <w:br/>
            </w:r>
            <w:r w:rsidRPr="00D63217">
              <w:rPr>
                <w:szCs w:val="17"/>
              </w:rPr>
              <w:t>Loam</w:t>
            </w:r>
            <w:r w:rsidRPr="00D63217">
              <w:rPr>
                <w:szCs w:val="17"/>
              </w:rPr>
              <w:tab/>
              <w:t>21</w:t>
            </w:r>
            <w:r w:rsidRPr="00D63217">
              <w:rPr>
                <w:szCs w:val="17"/>
              </w:rPr>
              <w:tab/>
              <w:t>50000</w:t>
            </w:r>
            <w:r w:rsidR="002B660F" w:rsidRPr="00D63217">
              <w:rPr>
                <w:szCs w:val="17"/>
              </w:rPr>
              <w:br/>
            </w:r>
            <w:r w:rsidRPr="00D63217">
              <w:rPr>
                <w:szCs w:val="17"/>
              </w:rPr>
              <w:t>Loamy sand</w:t>
            </w:r>
            <w:r w:rsidRPr="00D63217">
              <w:rPr>
                <w:szCs w:val="17"/>
              </w:rPr>
              <w:tab/>
              <w:t>8</w:t>
            </w:r>
            <w:r w:rsidRPr="00D63217">
              <w:rPr>
                <w:szCs w:val="17"/>
              </w:rPr>
              <w:tab/>
              <w:t>5900</w:t>
            </w:r>
            <w:r w:rsidR="002B660F" w:rsidRPr="00D63217">
              <w:rPr>
                <w:szCs w:val="17"/>
              </w:rPr>
              <w:br/>
            </w:r>
            <w:r w:rsidRPr="00D63217">
              <w:rPr>
                <w:szCs w:val="17"/>
              </w:rPr>
              <w:t>Silty clay loam</w:t>
            </w:r>
            <w:r w:rsidRPr="00D63217">
              <w:rPr>
                <w:szCs w:val="17"/>
              </w:rPr>
              <w:tab/>
              <w:t>29</w:t>
            </w:r>
            <w:r w:rsidRPr="00D63217">
              <w:rPr>
                <w:szCs w:val="17"/>
              </w:rPr>
              <w:tab/>
              <w:t>9400</w:t>
            </w:r>
            <w:r w:rsidR="002B660F" w:rsidRPr="00D63217">
              <w:rPr>
                <w:szCs w:val="17"/>
              </w:rPr>
              <w:br/>
            </w:r>
            <w:r w:rsidRPr="00D63217">
              <w:rPr>
                <w:szCs w:val="17"/>
              </w:rPr>
              <w:t>Sand</w:t>
            </w:r>
            <w:r w:rsidRPr="00D63217">
              <w:rPr>
                <w:szCs w:val="17"/>
              </w:rPr>
              <w:tab/>
              <w:t>2</w:t>
            </w:r>
            <w:r w:rsidRPr="00D63217">
              <w:rPr>
                <w:szCs w:val="17"/>
              </w:rPr>
              <w:tab/>
              <w:t>480</w:t>
            </w:r>
          </w:p>
        </w:tc>
        <w:tc>
          <w:tcPr>
            <w:tcW w:w="1250" w:type="pct"/>
            <w:tcBorders>
              <w:top w:val="single" w:sz="4" w:space="0" w:color="auto"/>
              <w:bottom w:val="nil"/>
            </w:tcBorders>
          </w:tcPr>
          <w:p w14:paraId="10E1891E" w14:textId="03BFED01" w:rsidR="009A7378" w:rsidRPr="00D63217" w:rsidRDefault="009A7378" w:rsidP="004808C6">
            <w:pPr>
              <w:pStyle w:val="TableText"/>
              <w:spacing w:before="0" w:after="0" w:line="240" w:lineRule="auto"/>
              <w:rPr>
                <w:szCs w:val="17"/>
              </w:rPr>
            </w:pPr>
            <w:r w:rsidRPr="00D63217">
              <w:rPr>
                <w:szCs w:val="17"/>
              </w:rPr>
              <w:t>Robbins et</w:t>
            </w:r>
            <w:r w:rsidR="00143F5A" w:rsidRPr="00D63217">
              <w:rPr>
                <w:szCs w:val="17"/>
              </w:rPr>
              <w:t xml:space="preserve"> al,</w:t>
            </w:r>
            <w:r w:rsidRPr="00D63217">
              <w:rPr>
                <w:szCs w:val="17"/>
              </w:rPr>
              <w:t xml:space="preserve"> 1988</w:t>
            </w:r>
          </w:p>
        </w:tc>
      </w:tr>
      <w:tr w:rsidR="009A7378" w:rsidRPr="00D63217" w14:paraId="328E745D" w14:textId="77777777" w:rsidTr="001B5CA5">
        <w:tc>
          <w:tcPr>
            <w:tcW w:w="513" w:type="pct"/>
            <w:tcBorders>
              <w:top w:val="nil"/>
              <w:left w:val="nil"/>
              <w:bottom w:val="nil"/>
            </w:tcBorders>
          </w:tcPr>
          <w:p w14:paraId="7B080CA0" w14:textId="77777777" w:rsidR="009A7378" w:rsidRPr="00D63217" w:rsidRDefault="009A7378" w:rsidP="004808C6">
            <w:pPr>
              <w:pStyle w:val="TableText"/>
              <w:spacing w:before="0" w:after="0" w:line="240" w:lineRule="auto"/>
              <w:rPr>
                <w:szCs w:val="17"/>
              </w:rPr>
            </w:pPr>
          </w:p>
        </w:tc>
        <w:tc>
          <w:tcPr>
            <w:tcW w:w="956" w:type="pct"/>
            <w:tcBorders>
              <w:top w:val="nil"/>
              <w:left w:val="nil"/>
              <w:bottom w:val="nil"/>
            </w:tcBorders>
          </w:tcPr>
          <w:p w14:paraId="7ED955B9" w14:textId="77777777" w:rsidR="009A7378" w:rsidRPr="00D63217" w:rsidRDefault="009A7378" w:rsidP="004808C6">
            <w:pPr>
              <w:pStyle w:val="TableText"/>
              <w:spacing w:before="0" w:after="0" w:line="240" w:lineRule="auto"/>
              <w:rPr>
                <w:szCs w:val="17"/>
              </w:rPr>
            </w:pPr>
          </w:p>
        </w:tc>
        <w:tc>
          <w:tcPr>
            <w:tcW w:w="2281" w:type="pct"/>
            <w:tcBorders>
              <w:top w:val="nil"/>
              <w:bottom w:val="nil"/>
            </w:tcBorders>
          </w:tcPr>
          <w:p w14:paraId="7DB0E9A5" w14:textId="609E073C" w:rsidR="009A7378" w:rsidRPr="00D63217" w:rsidRDefault="009A7378" w:rsidP="002B660F">
            <w:pPr>
              <w:pStyle w:val="TableText"/>
              <w:spacing w:before="0" w:after="0" w:line="240" w:lineRule="auto"/>
              <w:rPr>
                <w:szCs w:val="17"/>
              </w:rPr>
            </w:pPr>
            <w:r w:rsidRPr="00D63217">
              <w:rPr>
                <w:szCs w:val="17"/>
              </w:rPr>
              <w:t>log</w:t>
            </w:r>
            <w:r w:rsidRPr="00D63217">
              <w:rPr>
                <w:szCs w:val="17"/>
                <w:vertAlign w:val="subscript"/>
              </w:rPr>
              <w:t>10</w:t>
            </w:r>
            <w:r w:rsidRPr="00D63217">
              <w:rPr>
                <w:szCs w:val="17"/>
              </w:rPr>
              <w:t xml:space="preserve"> Kd = (1.32 × log</w:t>
            </w:r>
            <w:r w:rsidRPr="00D63217">
              <w:rPr>
                <w:szCs w:val="17"/>
                <w:vertAlign w:val="subscript"/>
              </w:rPr>
              <w:t>10</w:t>
            </w:r>
            <w:r w:rsidRPr="00D63217">
              <w:rPr>
                <w:szCs w:val="17"/>
              </w:rPr>
              <w:t xml:space="preserve"> % clay) + 2.84</w:t>
            </w:r>
            <w:r w:rsidR="002B660F" w:rsidRPr="00D63217">
              <w:rPr>
                <w:szCs w:val="17"/>
              </w:rPr>
              <w:br/>
            </w:r>
            <w:r w:rsidRPr="00D63217">
              <w:rPr>
                <w:szCs w:val="17"/>
              </w:rPr>
              <w:t>at the SAC-WB concentration of the soil, based on data from 242 soils</w:t>
            </w:r>
          </w:p>
        </w:tc>
        <w:tc>
          <w:tcPr>
            <w:tcW w:w="1250" w:type="pct"/>
            <w:tcBorders>
              <w:top w:val="nil"/>
              <w:bottom w:val="nil"/>
            </w:tcBorders>
          </w:tcPr>
          <w:p w14:paraId="07005375" w14:textId="4D8CD5B7" w:rsidR="009A7378" w:rsidRPr="00D63217" w:rsidRDefault="009A7378" w:rsidP="004808C6">
            <w:pPr>
              <w:pStyle w:val="TableText"/>
              <w:spacing w:before="0" w:after="0" w:line="240" w:lineRule="auto"/>
              <w:rPr>
                <w:szCs w:val="17"/>
              </w:rPr>
            </w:pPr>
            <w:r w:rsidRPr="00D63217">
              <w:rPr>
                <w:szCs w:val="17"/>
              </w:rPr>
              <w:t>Dyson et</w:t>
            </w:r>
            <w:r w:rsidR="00143F5A" w:rsidRPr="00D63217">
              <w:rPr>
                <w:szCs w:val="17"/>
              </w:rPr>
              <w:t xml:space="preserve"> al,</w:t>
            </w:r>
            <w:r w:rsidRPr="00D63217">
              <w:rPr>
                <w:szCs w:val="17"/>
              </w:rPr>
              <w:t xml:space="preserve"> 1994</w:t>
            </w:r>
          </w:p>
        </w:tc>
      </w:tr>
      <w:tr w:rsidR="001B5CA5" w:rsidRPr="00D63217" w14:paraId="6FEA91B7" w14:textId="77777777" w:rsidTr="00911502">
        <w:tc>
          <w:tcPr>
            <w:tcW w:w="513" w:type="pct"/>
            <w:tcBorders>
              <w:top w:val="nil"/>
              <w:left w:val="nil"/>
              <w:bottom w:val="nil"/>
            </w:tcBorders>
          </w:tcPr>
          <w:p w14:paraId="1BE4FB7E" w14:textId="77777777" w:rsidR="001B5CA5" w:rsidRPr="00D63217" w:rsidRDefault="001B5CA5" w:rsidP="004808C6">
            <w:pPr>
              <w:pStyle w:val="TableText"/>
              <w:spacing w:before="0" w:after="0" w:line="240" w:lineRule="auto"/>
              <w:rPr>
                <w:szCs w:val="17"/>
              </w:rPr>
            </w:pPr>
          </w:p>
        </w:tc>
        <w:tc>
          <w:tcPr>
            <w:tcW w:w="956" w:type="pct"/>
            <w:tcBorders>
              <w:top w:val="nil"/>
              <w:left w:val="nil"/>
              <w:bottom w:val="single" w:sz="4" w:space="0" w:color="auto"/>
            </w:tcBorders>
          </w:tcPr>
          <w:p w14:paraId="3A90D64F" w14:textId="77777777" w:rsidR="001B5CA5" w:rsidRPr="00D63217" w:rsidRDefault="001B5CA5" w:rsidP="004808C6">
            <w:pPr>
              <w:pStyle w:val="TableText"/>
              <w:spacing w:before="0" w:after="0" w:line="240" w:lineRule="auto"/>
              <w:rPr>
                <w:szCs w:val="17"/>
              </w:rPr>
            </w:pPr>
          </w:p>
        </w:tc>
        <w:tc>
          <w:tcPr>
            <w:tcW w:w="2281" w:type="pct"/>
            <w:tcBorders>
              <w:top w:val="nil"/>
              <w:bottom w:val="single" w:sz="4" w:space="0" w:color="auto"/>
            </w:tcBorders>
          </w:tcPr>
          <w:p w14:paraId="538CA589" w14:textId="29981499" w:rsidR="001B5CA5" w:rsidRDefault="001B5CA5" w:rsidP="00ED406D">
            <w:pPr>
              <w:pStyle w:val="TableText"/>
              <w:tabs>
                <w:tab w:val="left" w:pos="1361"/>
                <w:tab w:val="left" w:pos="2070"/>
                <w:tab w:val="left" w:pos="2495"/>
              </w:tabs>
              <w:spacing w:before="0" w:after="0" w:line="240" w:lineRule="auto"/>
              <w:rPr>
                <w:szCs w:val="17"/>
              </w:rPr>
            </w:pPr>
            <w:r w:rsidRPr="001B5CA5">
              <w:rPr>
                <w:szCs w:val="17"/>
                <w:u w:val="single"/>
              </w:rPr>
              <w:t>Soil</w:t>
            </w:r>
            <w:r w:rsidR="00ED406D">
              <w:rPr>
                <w:szCs w:val="17"/>
                <w:u w:val="single"/>
              </w:rPr>
              <w:tab/>
            </w:r>
            <w:r w:rsidRPr="001B5CA5">
              <w:rPr>
                <w:szCs w:val="17"/>
                <w:u w:val="single"/>
              </w:rPr>
              <w:t>% clay</w:t>
            </w:r>
            <w:r w:rsidRPr="001B5CA5">
              <w:rPr>
                <w:szCs w:val="17"/>
              </w:rPr>
              <w:tab/>
            </w:r>
            <w:r w:rsidRPr="001B5CA5">
              <w:rPr>
                <w:szCs w:val="17"/>
                <w:u w:val="single"/>
              </w:rPr>
              <w:t>Kf (</w:t>
            </w:r>
            <w:r w:rsidRPr="001B5CA5">
              <w:rPr>
                <w:rFonts w:cstheme="minorHAnsi"/>
                <w:szCs w:val="17"/>
                <w:u w:val="single"/>
              </w:rPr>
              <w:t>µ</w:t>
            </w:r>
            <w:r w:rsidRPr="001B5CA5">
              <w:rPr>
                <w:szCs w:val="17"/>
                <w:u w:val="single"/>
              </w:rPr>
              <w:t>L/g)</w:t>
            </w:r>
            <w:r w:rsidR="00ED406D">
              <w:rPr>
                <w:szCs w:val="17"/>
                <w:u w:val="single"/>
              </w:rPr>
              <w:tab/>
            </w:r>
            <w:r w:rsidRPr="001B5CA5">
              <w:rPr>
                <w:szCs w:val="17"/>
                <w:u w:val="single"/>
              </w:rPr>
              <w:t>1/n</w:t>
            </w:r>
            <w:r w:rsidRPr="00D63217">
              <w:rPr>
                <w:szCs w:val="17"/>
              </w:rPr>
              <w:br/>
            </w:r>
            <w:r>
              <w:rPr>
                <w:szCs w:val="17"/>
              </w:rPr>
              <w:t>1</w:t>
            </w:r>
            <w:r w:rsidRPr="00D63217">
              <w:rPr>
                <w:szCs w:val="17"/>
              </w:rPr>
              <w:tab/>
            </w:r>
            <w:r>
              <w:rPr>
                <w:szCs w:val="17"/>
              </w:rPr>
              <w:t>46</w:t>
            </w:r>
            <w:r w:rsidRPr="00D63217">
              <w:rPr>
                <w:szCs w:val="17"/>
              </w:rPr>
              <w:tab/>
            </w:r>
            <w:r>
              <w:rPr>
                <w:szCs w:val="17"/>
              </w:rPr>
              <w:t>787</w:t>
            </w:r>
            <w:r>
              <w:rPr>
                <w:szCs w:val="17"/>
              </w:rPr>
              <w:tab/>
            </w:r>
            <w:r>
              <w:rPr>
                <w:szCs w:val="17"/>
              </w:rPr>
              <w:tab/>
              <w:t>0.247</w:t>
            </w:r>
            <w:r w:rsidRPr="00D63217">
              <w:rPr>
                <w:szCs w:val="17"/>
              </w:rPr>
              <w:br/>
            </w:r>
            <w:r>
              <w:rPr>
                <w:szCs w:val="17"/>
              </w:rPr>
              <w:t>2</w:t>
            </w:r>
            <w:r w:rsidRPr="00D63217">
              <w:rPr>
                <w:szCs w:val="17"/>
              </w:rPr>
              <w:tab/>
            </w:r>
            <w:r>
              <w:rPr>
                <w:szCs w:val="17"/>
              </w:rPr>
              <w:t>33</w:t>
            </w:r>
            <w:r w:rsidRPr="00D63217">
              <w:rPr>
                <w:szCs w:val="17"/>
              </w:rPr>
              <w:tab/>
            </w:r>
            <w:r>
              <w:rPr>
                <w:szCs w:val="17"/>
              </w:rPr>
              <w:t>844</w:t>
            </w:r>
            <w:r>
              <w:rPr>
                <w:szCs w:val="17"/>
              </w:rPr>
              <w:tab/>
            </w:r>
            <w:r>
              <w:rPr>
                <w:szCs w:val="17"/>
              </w:rPr>
              <w:tab/>
              <w:t>0.274</w:t>
            </w:r>
            <w:r w:rsidRPr="00D63217">
              <w:rPr>
                <w:szCs w:val="17"/>
              </w:rPr>
              <w:br/>
            </w:r>
            <w:r>
              <w:rPr>
                <w:szCs w:val="17"/>
              </w:rPr>
              <w:t>3</w:t>
            </w:r>
            <w:r w:rsidRPr="00D63217">
              <w:rPr>
                <w:szCs w:val="17"/>
              </w:rPr>
              <w:tab/>
            </w:r>
            <w:r>
              <w:rPr>
                <w:szCs w:val="17"/>
              </w:rPr>
              <w:t>59</w:t>
            </w:r>
            <w:r w:rsidRPr="00D63217">
              <w:rPr>
                <w:szCs w:val="17"/>
              </w:rPr>
              <w:tab/>
            </w:r>
            <w:r>
              <w:rPr>
                <w:szCs w:val="17"/>
              </w:rPr>
              <w:t>709</w:t>
            </w:r>
            <w:r>
              <w:rPr>
                <w:szCs w:val="17"/>
              </w:rPr>
              <w:tab/>
            </w:r>
            <w:r>
              <w:rPr>
                <w:szCs w:val="17"/>
              </w:rPr>
              <w:tab/>
              <w:t>0.261</w:t>
            </w:r>
          </w:p>
          <w:p w14:paraId="3BE14DB5" w14:textId="7EFABEA3" w:rsidR="001B5CA5" w:rsidRDefault="001B5CA5" w:rsidP="00ED406D">
            <w:pPr>
              <w:pStyle w:val="TableText"/>
              <w:tabs>
                <w:tab w:val="left" w:pos="1361"/>
                <w:tab w:val="left" w:pos="2070"/>
                <w:tab w:val="left" w:pos="2381"/>
              </w:tabs>
              <w:spacing w:before="0" w:after="0" w:line="240" w:lineRule="auto"/>
              <w:rPr>
                <w:szCs w:val="17"/>
              </w:rPr>
            </w:pPr>
            <w:r>
              <w:rPr>
                <w:szCs w:val="17"/>
              </w:rPr>
              <w:t>4</w:t>
            </w:r>
            <w:r>
              <w:rPr>
                <w:szCs w:val="17"/>
              </w:rPr>
              <w:tab/>
              <w:t>67</w:t>
            </w:r>
            <w:r>
              <w:rPr>
                <w:szCs w:val="17"/>
              </w:rPr>
              <w:tab/>
              <w:t>513</w:t>
            </w:r>
            <w:r>
              <w:rPr>
                <w:szCs w:val="17"/>
              </w:rPr>
              <w:tab/>
            </w:r>
            <w:r>
              <w:rPr>
                <w:szCs w:val="17"/>
              </w:rPr>
              <w:tab/>
              <w:t>0.281</w:t>
            </w:r>
          </w:p>
          <w:p w14:paraId="4D477E61" w14:textId="74093176" w:rsidR="001B5CA5" w:rsidRDefault="001B5CA5" w:rsidP="00ED406D">
            <w:pPr>
              <w:pStyle w:val="TableText"/>
              <w:tabs>
                <w:tab w:val="left" w:pos="1361"/>
                <w:tab w:val="left" w:pos="2070"/>
                <w:tab w:val="left" w:pos="2381"/>
              </w:tabs>
              <w:spacing w:before="0" w:after="0" w:line="240" w:lineRule="auto"/>
              <w:rPr>
                <w:szCs w:val="17"/>
              </w:rPr>
            </w:pPr>
            <w:r>
              <w:rPr>
                <w:szCs w:val="17"/>
              </w:rPr>
              <w:t>5</w:t>
            </w:r>
            <w:r>
              <w:rPr>
                <w:szCs w:val="17"/>
              </w:rPr>
              <w:tab/>
              <w:t>49</w:t>
            </w:r>
            <w:r>
              <w:rPr>
                <w:szCs w:val="17"/>
              </w:rPr>
              <w:tab/>
              <w:t>868</w:t>
            </w:r>
            <w:r>
              <w:rPr>
                <w:szCs w:val="17"/>
              </w:rPr>
              <w:tab/>
            </w:r>
            <w:r>
              <w:rPr>
                <w:szCs w:val="17"/>
              </w:rPr>
              <w:tab/>
              <w:t>0.193</w:t>
            </w:r>
          </w:p>
          <w:p w14:paraId="523E5885" w14:textId="2F5FCC44" w:rsidR="001B5CA5" w:rsidRDefault="001B5CA5" w:rsidP="00ED406D">
            <w:pPr>
              <w:pStyle w:val="TableText"/>
              <w:tabs>
                <w:tab w:val="left" w:pos="1361"/>
                <w:tab w:val="left" w:pos="2070"/>
                <w:tab w:val="left" w:pos="2381"/>
              </w:tabs>
              <w:spacing w:before="0" w:after="0" w:line="240" w:lineRule="auto"/>
              <w:rPr>
                <w:szCs w:val="17"/>
              </w:rPr>
            </w:pPr>
            <w:r>
              <w:rPr>
                <w:szCs w:val="17"/>
              </w:rPr>
              <w:t>6</w:t>
            </w:r>
            <w:r>
              <w:rPr>
                <w:szCs w:val="17"/>
              </w:rPr>
              <w:tab/>
              <w:t>8.7</w:t>
            </w:r>
            <w:r>
              <w:rPr>
                <w:szCs w:val="17"/>
              </w:rPr>
              <w:tab/>
              <w:t>17.9</w:t>
            </w:r>
            <w:r>
              <w:rPr>
                <w:szCs w:val="17"/>
              </w:rPr>
              <w:tab/>
              <w:t>0.412</w:t>
            </w:r>
          </w:p>
          <w:p w14:paraId="4C5166AF" w14:textId="5AAB79E0" w:rsidR="001B5CA5" w:rsidRDefault="001B5CA5" w:rsidP="00ED406D">
            <w:pPr>
              <w:pStyle w:val="TableText"/>
              <w:tabs>
                <w:tab w:val="left" w:pos="1361"/>
                <w:tab w:val="left" w:pos="2070"/>
                <w:tab w:val="left" w:pos="2381"/>
              </w:tabs>
              <w:spacing w:before="0" w:after="0" w:line="240" w:lineRule="auto"/>
              <w:rPr>
                <w:szCs w:val="17"/>
              </w:rPr>
            </w:pPr>
            <w:r>
              <w:rPr>
                <w:szCs w:val="17"/>
              </w:rPr>
              <w:t>7</w:t>
            </w:r>
            <w:r>
              <w:rPr>
                <w:szCs w:val="17"/>
              </w:rPr>
              <w:tab/>
              <w:t>31</w:t>
            </w:r>
            <w:r>
              <w:rPr>
                <w:szCs w:val="17"/>
              </w:rPr>
              <w:tab/>
              <w:t>337</w:t>
            </w:r>
            <w:r>
              <w:rPr>
                <w:szCs w:val="17"/>
              </w:rPr>
              <w:tab/>
            </w:r>
            <w:r>
              <w:rPr>
                <w:szCs w:val="17"/>
              </w:rPr>
              <w:tab/>
              <w:t>0.328</w:t>
            </w:r>
          </w:p>
          <w:p w14:paraId="617A5DC1" w14:textId="0568C878" w:rsidR="001B5CA5" w:rsidRPr="00D63217" w:rsidRDefault="001B5CA5" w:rsidP="00ED406D">
            <w:pPr>
              <w:pStyle w:val="TableText"/>
              <w:tabs>
                <w:tab w:val="left" w:pos="1361"/>
                <w:tab w:val="left" w:pos="2070"/>
                <w:tab w:val="left" w:pos="2381"/>
              </w:tabs>
              <w:spacing w:before="0" w:after="0" w:line="240" w:lineRule="auto"/>
              <w:rPr>
                <w:szCs w:val="17"/>
              </w:rPr>
            </w:pPr>
            <w:r>
              <w:rPr>
                <w:szCs w:val="17"/>
              </w:rPr>
              <w:t>8</w:t>
            </w:r>
            <w:r>
              <w:rPr>
                <w:szCs w:val="17"/>
              </w:rPr>
              <w:tab/>
              <w:t>29</w:t>
            </w:r>
            <w:r>
              <w:rPr>
                <w:szCs w:val="17"/>
              </w:rPr>
              <w:tab/>
              <w:t>1095</w:t>
            </w:r>
            <w:r>
              <w:rPr>
                <w:szCs w:val="17"/>
              </w:rPr>
              <w:tab/>
              <w:t>0.204</w:t>
            </w:r>
          </w:p>
        </w:tc>
        <w:tc>
          <w:tcPr>
            <w:tcW w:w="1250" w:type="pct"/>
            <w:tcBorders>
              <w:top w:val="nil"/>
              <w:bottom w:val="single" w:sz="4" w:space="0" w:color="auto"/>
            </w:tcBorders>
          </w:tcPr>
          <w:p w14:paraId="2E6B92C6" w14:textId="3C48BD03" w:rsidR="001B5CA5" w:rsidRPr="00D63217" w:rsidRDefault="001B5CA5" w:rsidP="004808C6">
            <w:pPr>
              <w:pStyle w:val="TableText"/>
              <w:spacing w:before="0" w:after="0" w:line="240" w:lineRule="auto"/>
              <w:rPr>
                <w:szCs w:val="17"/>
              </w:rPr>
            </w:pPr>
            <w:r>
              <w:rPr>
                <w:szCs w:val="17"/>
              </w:rPr>
              <w:t>Amondham et al, 2006</w:t>
            </w:r>
          </w:p>
        </w:tc>
      </w:tr>
      <w:tr w:rsidR="009A7378" w:rsidRPr="00D63217" w14:paraId="475BC697" w14:textId="77777777" w:rsidTr="00BF4B43">
        <w:tc>
          <w:tcPr>
            <w:tcW w:w="513" w:type="pct"/>
            <w:tcBorders>
              <w:top w:val="nil"/>
              <w:left w:val="nil"/>
              <w:bottom w:val="nil"/>
            </w:tcBorders>
          </w:tcPr>
          <w:p w14:paraId="1E12EADB" w14:textId="77777777" w:rsidR="009A7378" w:rsidRPr="00D63217" w:rsidRDefault="009A7378" w:rsidP="004808C6">
            <w:pPr>
              <w:pStyle w:val="TableText"/>
              <w:keepNext/>
              <w:keepLines/>
              <w:spacing w:before="0" w:after="0" w:line="240" w:lineRule="auto"/>
              <w:rPr>
                <w:szCs w:val="17"/>
              </w:rPr>
            </w:pPr>
            <w:r w:rsidRPr="00D63217">
              <w:rPr>
                <w:szCs w:val="17"/>
              </w:rPr>
              <w:lastRenderedPageBreak/>
              <w:t>Paraquat</w:t>
            </w:r>
          </w:p>
        </w:tc>
        <w:tc>
          <w:tcPr>
            <w:tcW w:w="956" w:type="pct"/>
            <w:vMerge w:val="restart"/>
            <w:tcBorders>
              <w:top w:val="single" w:sz="4" w:space="0" w:color="auto"/>
              <w:left w:val="nil"/>
            </w:tcBorders>
          </w:tcPr>
          <w:p w14:paraId="6652F18B" w14:textId="46683102" w:rsidR="009A7378" w:rsidRPr="00D63217" w:rsidRDefault="009A7378" w:rsidP="002B660F">
            <w:pPr>
              <w:pStyle w:val="TableText"/>
              <w:keepNext/>
              <w:keepLines/>
              <w:spacing w:before="0" w:after="0" w:line="240" w:lineRule="auto"/>
              <w:rPr>
                <w:szCs w:val="17"/>
              </w:rPr>
            </w:pPr>
            <w:r w:rsidRPr="00D63217">
              <w:rPr>
                <w:szCs w:val="17"/>
              </w:rPr>
              <w:t>Terrestrial field dissipation</w:t>
            </w:r>
          </w:p>
        </w:tc>
        <w:tc>
          <w:tcPr>
            <w:tcW w:w="2281" w:type="pct"/>
            <w:tcBorders>
              <w:top w:val="single" w:sz="4" w:space="0" w:color="auto"/>
              <w:bottom w:val="nil"/>
            </w:tcBorders>
          </w:tcPr>
          <w:p w14:paraId="1709483A"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AU-Western Australia</w:t>
            </w:r>
            <w:r w:rsidRPr="00D63217">
              <w:rPr>
                <w:szCs w:val="17"/>
              </w:rPr>
              <w:tab/>
              <w:t>DT</w:t>
            </w:r>
            <w:r w:rsidRPr="00D63217">
              <w:rPr>
                <w:szCs w:val="17"/>
                <w:vertAlign w:val="subscript"/>
              </w:rPr>
              <w:t>50</w:t>
            </w:r>
            <w:r w:rsidRPr="00D63217">
              <w:rPr>
                <w:szCs w:val="17"/>
              </w:rPr>
              <w:t xml:space="preserve"> &gt;10 years</w:t>
            </w:r>
          </w:p>
        </w:tc>
        <w:tc>
          <w:tcPr>
            <w:tcW w:w="1250" w:type="pct"/>
            <w:tcBorders>
              <w:top w:val="single" w:sz="4" w:space="0" w:color="auto"/>
              <w:bottom w:val="nil"/>
            </w:tcBorders>
          </w:tcPr>
          <w:p w14:paraId="5A248DAB" w14:textId="77777777" w:rsidR="009A7378" w:rsidRPr="00D63217" w:rsidRDefault="009A7378" w:rsidP="004808C6">
            <w:pPr>
              <w:pStyle w:val="TableText"/>
              <w:keepNext/>
              <w:keepLines/>
              <w:spacing w:before="0" w:after="0" w:line="240" w:lineRule="auto"/>
              <w:rPr>
                <w:szCs w:val="17"/>
              </w:rPr>
            </w:pPr>
            <w:r w:rsidRPr="00D63217">
              <w:rPr>
                <w:szCs w:val="17"/>
              </w:rPr>
              <w:t>Muller &amp; Roy 1997</w:t>
            </w:r>
          </w:p>
        </w:tc>
      </w:tr>
      <w:tr w:rsidR="009A7378" w:rsidRPr="00D63217" w14:paraId="7689C43B" w14:textId="77777777" w:rsidTr="00BF4B43">
        <w:tc>
          <w:tcPr>
            <w:tcW w:w="513" w:type="pct"/>
            <w:tcBorders>
              <w:top w:val="nil"/>
              <w:left w:val="nil"/>
              <w:bottom w:val="nil"/>
            </w:tcBorders>
          </w:tcPr>
          <w:p w14:paraId="26DE7728" w14:textId="77777777" w:rsidR="009A7378" w:rsidRPr="00D63217" w:rsidRDefault="009A7378" w:rsidP="004808C6">
            <w:pPr>
              <w:pStyle w:val="TableText"/>
              <w:keepNext/>
              <w:keepLines/>
              <w:spacing w:before="0" w:after="0" w:line="240" w:lineRule="auto"/>
              <w:rPr>
                <w:szCs w:val="17"/>
              </w:rPr>
            </w:pPr>
          </w:p>
        </w:tc>
        <w:tc>
          <w:tcPr>
            <w:tcW w:w="956" w:type="pct"/>
            <w:vMerge/>
            <w:tcBorders>
              <w:left w:val="nil"/>
            </w:tcBorders>
          </w:tcPr>
          <w:p w14:paraId="3F8E0D60" w14:textId="77777777" w:rsidR="009A7378" w:rsidRPr="00D63217" w:rsidRDefault="009A7378" w:rsidP="004808C6">
            <w:pPr>
              <w:pStyle w:val="TableText"/>
              <w:keepNext/>
              <w:keepLines/>
              <w:spacing w:before="0" w:after="0" w:line="240" w:lineRule="auto"/>
              <w:rPr>
                <w:color w:val="FF0000"/>
                <w:szCs w:val="17"/>
              </w:rPr>
            </w:pPr>
          </w:p>
        </w:tc>
        <w:tc>
          <w:tcPr>
            <w:tcW w:w="2281" w:type="pct"/>
            <w:tcBorders>
              <w:top w:val="nil"/>
              <w:bottom w:val="nil"/>
            </w:tcBorders>
          </w:tcPr>
          <w:p w14:paraId="47A3FF88"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US-North Carolina</w:t>
            </w:r>
            <w:r w:rsidRPr="00D63217">
              <w:rPr>
                <w:szCs w:val="17"/>
              </w:rPr>
              <w:tab/>
              <w:t>DT</w:t>
            </w:r>
            <w:r w:rsidRPr="00D63217">
              <w:rPr>
                <w:szCs w:val="17"/>
                <w:vertAlign w:val="subscript"/>
              </w:rPr>
              <w:t>50</w:t>
            </w:r>
            <w:r w:rsidRPr="00D63217">
              <w:rPr>
                <w:szCs w:val="17"/>
              </w:rPr>
              <w:t xml:space="preserve"> &gt;10 years</w:t>
            </w:r>
          </w:p>
        </w:tc>
        <w:tc>
          <w:tcPr>
            <w:tcW w:w="1250" w:type="pct"/>
            <w:tcBorders>
              <w:top w:val="nil"/>
              <w:bottom w:val="nil"/>
            </w:tcBorders>
          </w:tcPr>
          <w:p w14:paraId="798ECE35" w14:textId="3E681EA1" w:rsidR="009A7378" w:rsidRPr="00D63217" w:rsidRDefault="009A7378" w:rsidP="004808C6">
            <w:pPr>
              <w:pStyle w:val="TableText"/>
              <w:keepNext/>
              <w:keepLines/>
              <w:spacing w:before="0" w:after="0" w:line="240" w:lineRule="auto"/>
              <w:rPr>
                <w:szCs w:val="17"/>
              </w:rPr>
            </w:pPr>
            <w:r w:rsidRPr="00D63217">
              <w:rPr>
                <w:szCs w:val="17"/>
              </w:rPr>
              <w:t>Anderson et</w:t>
            </w:r>
            <w:r w:rsidR="00143F5A" w:rsidRPr="00D63217">
              <w:rPr>
                <w:szCs w:val="17"/>
              </w:rPr>
              <w:t xml:space="preserve"> al,</w:t>
            </w:r>
            <w:r w:rsidRPr="00D63217">
              <w:rPr>
                <w:szCs w:val="17"/>
              </w:rPr>
              <w:t xml:space="preserve"> 1992</w:t>
            </w:r>
            <w:r w:rsidR="00143F5A" w:rsidRPr="00D63217">
              <w:rPr>
                <w:szCs w:val="17"/>
              </w:rPr>
              <w:t>(</w:t>
            </w:r>
            <w:r w:rsidRPr="00D63217">
              <w:rPr>
                <w:szCs w:val="17"/>
              </w:rPr>
              <w:t>a</w:t>
            </w:r>
            <w:r w:rsidR="00143F5A" w:rsidRPr="00D63217">
              <w:rPr>
                <w:szCs w:val="17"/>
              </w:rPr>
              <w:t>)</w:t>
            </w:r>
            <w:r w:rsidRPr="00D63217">
              <w:rPr>
                <w:szCs w:val="17"/>
              </w:rPr>
              <w:t>, Dyson et</w:t>
            </w:r>
            <w:r w:rsidR="00143F5A" w:rsidRPr="00D63217">
              <w:rPr>
                <w:szCs w:val="17"/>
              </w:rPr>
              <w:t xml:space="preserve"> al,</w:t>
            </w:r>
            <w:r w:rsidRPr="00D63217">
              <w:rPr>
                <w:szCs w:val="17"/>
              </w:rPr>
              <w:t xml:space="preserve"> 1995</w:t>
            </w:r>
            <w:r w:rsidR="00143F5A" w:rsidRPr="00D63217">
              <w:rPr>
                <w:szCs w:val="17"/>
              </w:rPr>
              <w:t>(</w:t>
            </w:r>
            <w:r w:rsidRPr="00D63217">
              <w:rPr>
                <w:szCs w:val="17"/>
              </w:rPr>
              <w:t>a</w:t>
            </w:r>
            <w:r w:rsidR="00143F5A" w:rsidRPr="00D63217">
              <w:rPr>
                <w:szCs w:val="17"/>
              </w:rPr>
              <w:t>)</w:t>
            </w:r>
            <w:r w:rsidRPr="00D63217">
              <w:rPr>
                <w:szCs w:val="17"/>
              </w:rPr>
              <w:t>, 1995</w:t>
            </w:r>
            <w:r w:rsidR="00143F5A" w:rsidRPr="00D63217">
              <w:rPr>
                <w:szCs w:val="17"/>
              </w:rPr>
              <w:t>(</w:t>
            </w:r>
            <w:r w:rsidRPr="00D63217">
              <w:rPr>
                <w:szCs w:val="17"/>
              </w:rPr>
              <w:t>b</w:t>
            </w:r>
            <w:r w:rsidR="00143F5A" w:rsidRPr="00D63217">
              <w:rPr>
                <w:szCs w:val="17"/>
              </w:rPr>
              <w:t>)</w:t>
            </w:r>
          </w:p>
        </w:tc>
      </w:tr>
      <w:tr w:rsidR="009A7378" w:rsidRPr="00D63217" w14:paraId="6A089B8B" w14:textId="77777777" w:rsidTr="00BF4B43">
        <w:tc>
          <w:tcPr>
            <w:tcW w:w="513" w:type="pct"/>
            <w:tcBorders>
              <w:top w:val="nil"/>
              <w:left w:val="nil"/>
              <w:bottom w:val="nil"/>
            </w:tcBorders>
          </w:tcPr>
          <w:p w14:paraId="1E3A0ABD" w14:textId="77777777" w:rsidR="009A7378" w:rsidRPr="00D63217" w:rsidRDefault="009A7378" w:rsidP="004808C6">
            <w:pPr>
              <w:pStyle w:val="TableText"/>
              <w:keepNext/>
              <w:keepLines/>
              <w:spacing w:before="0" w:after="0" w:line="240" w:lineRule="auto"/>
              <w:rPr>
                <w:szCs w:val="17"/>
              </w:rPr>
            </w:pPr>
          </w:p>
        </w:tc>
        <w:tc>
          <w:tcPr>
            <w:tcW w:w="956" w:type="pct"/>
            <w:vMerge/>
            <w:tcBorders>
              <w:left w:val="nil"/>
              <w:bottom w:val="nil"/>
            </w:tcBorders>
          </w:tcPr>
          <w:p w14:paraId="33BABF84"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1E51F00A"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 xml:space="preserve">US-California </w:t>
            </w:r>
            <w:r w:rsidRPr="00D63217">
              <w:rPr>
                <w:szCs w:val="17"/>
              </w:rPr>
              <w:tab/>
              <w:t>DT</w:t>
            </w:r>
            <w:r w:rsidRPr="00D63217">
              <w:rPr>
                <w:szCs w:val="17"/>
                <w:vertAlign w:val="subscript"/>
              </w:rPr>
              <w:t>50</w:t>
            </w:r>
            <w:r w:rsidRPr="00D63217">
              <w:rPr>
                <w:szCs w:val="17"/>
              </w:rPr>
              <w:t xml:space="preserve"> &gt;10 years</w:t>
            </w:r>
          </w:p>
        </w:tc>
        <w:tc>
          <w:tcPr>
            <w:tcW w:w="1250" w:type="pct"/>
            <w:tcBorders>
              <w:top w:val="nil"/>
              <w:bottom w:val="nil"/>
            </w:tcBorders>
          </w:tcPr>
          <w:p w14:paraId="4872753E" w14:textId="3B6BDC95" w:rsidR="009A7378" w:rsidRPr="00D63217" w:rsidRDefault="009A7378" w:rsidP="004808C6">
            <w:pPr>
              <w:pStyle w:val="TableText"/>
              <w:keepNext/>
              <w:keepLines/>
              <w:spacing w:before="0" w:after="0" w:line="240" w:lineRule="auto"/>
              <w:rPr>
                <w:szCs w:val="17"/>
              </w:rPr>
            </w:pPr>
            <w:r w:rsidRPr="00D63217">
              <w:rPr>
                <w:szCs w:val="17"/>
              </w:rPr>
              <w:t>Anderson et</w:t>
            </w:r>
            <w:r w:rsidR="00143F5A" w:rsidRPr="00D63217">
              <w:rPr>
                <w:szCs w:val="17"/>
              </w:rPr>
              <w:t xml:space="preserve"> al,</w:t>
            </w:r>
            <w:r w:rsidRPr="00D63217">
              <w:rPr>
                <w:szCs w:val="17"/>
              </w:rPr>
              <w:t xml:space="preserve"> 1992</w:t>
            </w:r>
            <w:r w:rsidR="00143F5A" w:rsidRPr="00D63217">
              <w:rPr>
                <w:szCs w:val="17"/>
              </w:rPr>
              <w:t>(</w:t>
            </w:r>
            <w:r w:rsidRPr="00D63217">
              <w:rPr>
                <w:szCs w:val="17"/>
              </w:rPr>
              <w:t>b</w:t>
            </w:r>
            <w:r w:rsidR="00143F5A" w:rsidRPr="00D63217">
              <w:rPr>
                <w:szCs w:val="17"/>
              </w:rPr>
              <w:t>)</w:t>
            </w:r>
          </w:p>
        </w:tc>
      </w:tr>
      <w:tr w:rsidR="009A7378" w:rsidRPr="00D63217" w14:paraId="56AF1B5C" w14:textId="77777777" w:rsidTr="00BF4B43">
        <w:tc>
          <w:tcPr>
            <w:tcW w:w="513" w:type="pct"/>
            <w:tcBorders>
              <w:top w:val="nil"/>
              <w:left w:val="nil"/>
              <w:bottom w:val="nil"/>
            </w:tcBorders>
          </w:tcPr>
          <w:p w14:paraId="67442366"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nil"/>
            </w:tcBorders>
          </w:tcPr>
          <w:p w14:paraId="3C0EDC38"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212313DB"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 xml:space="preserve">US-Illinois </w:t>
            </w:r>
            <w:r w:rsidRPr="00D63217">
              <w:rPr>
                <w:szCs w:val="17"/>
              </w:rPr>
              <w:tab/>
              <w:t>DT</w:t>
            </w:r>
            <w:r w:rsidRPr="00D63217">
              <w:rPr>
                <w:szCs w:val="17"/>
                <w:vertAlign w:val="subscript"/>
              </w:rPr>
              <w:t>50</w:t>
            </w:r>
            <w:r w:rsidRPr="00D63217">
              <w:rPr>
                <w:szCs w:val="17"/>
              </w:rPr>
              <w:t xml:space="preserve"> &gt;10 years</w:t>
            </w:r>
          </w:p>
        </w:tc>
        <w:tc>
          <w:tcPr>
            <w:tcW w:w="1250" w:type="pct"/>
            <w:tcBorders>
              <w:top w:val="nil"/>
              <w:bottom w:val="nil"/>
            </w:tcBorders>
          </w:tcPr>
          <w:p w14:paraId="59BD8549" w14:textId="33FA0EA8" w:rsidR="009A7378" w:rsidRPr="00D63217" w:rsidRDefault="009A7378" w:rsidP="004808C6">
            <w:pPr>
              <w:pStyle w:val="TableText"/>
              <w:keepNext/>
              <w:keepLines/>
              <w:spacing w:before="0" w:after="0" w:line="240" w:lineRule="auto"/>
              <w:rPr>
                <w:szCs w:val="17"/>
              </w:rPr>
            </w:pPr>
            <w:r w:rsidRPr="00D63217">
              <w:rPr>
                <w:szCs w:val="17"/>
              </w:rPr>
              <w:t>Anderson et</w:t>
            </w:r>
            <w:r w:rsidR="00143F5A" w:rsidRPr="00D63217">
              <w:rPr>
                <w:szCs w:val="17"/>
              </w:rPr>
              <w:t xml:space="preserve"> al,</w:t>
            </w:r>
            <w:r w:rsidRPr="00D63217">
              <w:rPr>
                <w:szCs w:val="17"/>
              </w:rPr>
              <w:t xml:space="preserve"> 1992</w:t>
            </w:r>
            <w:r w:rsidR="00143F5A" w:rsidRPr="00D63217">
              <w:rPr>
                <w:szCs w:val="17"/>
              </w:rPr>
              <w:t>(</w:t>
            </w:r>
            <w:r w:rsidRPr="00D63217">
              <w:rPr>
                <w:szCs w:val="17"/>
              </w:rPr>
              <w:t>c</w:t>
            </w:r>
            <w:r w:rsidR="00143F5A" w:rsidRPr="00D63217">
              <w:rPr>
                <w:szCs w:val="17"/>
              </w:rPr>
              <w:t>)</w:t>
            </w:r>
          </w:p>
        </w:tc>
      </w:tr>
      <w:tr w:rsidR="009A7378" w:rsidRPr="00D63217" w14:paraId="2A17D92E" w14:textId="77777777" w:rsidTr="00BF4B43">
        <w:tc>
          <w:tcPr>
            <w:tcW w:w="513" w:type="pct"/>
            <w:tcBorders>
              <w:top w:val="nil"/>
              <w:left w:val="nil"/>
              <w:bottom w:val="nil"/>
            </w:tcBorders>
          </w:tcPr>
          <w:p w14:paraId="16B96A19"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nil"/>
            </w:tcBorders>
          </w:tcPr>
          <w:p w14:paraId="6227F41B"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31CCA466"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 xml:space="preserve">US-Mississipi </w:t>
            </w:r>
            <w:r w:rsidRPr="00D63217">
              <w:rPr>
                <w:szCs w:val="17"/>
              </w:rPr>
              <w:tab/>
              <w:t>DT</w:t>
            </w:r>
            <w:r w:rsidRPr="00D63217">
              <w:rPr>
                <w:szCs w:val="17"/>
                <w:vertAlign w:val="subscript"/>
              </w:rPr>
              <w:t>50</w:t>
            </w:r>
            <w:r w:rsidRPr="00D63217">
              <w:rPr>
                <w:szCs w:val="17"/>
              </w:rPr>
              <w:t xml:space="preserve"> &gt;10 years</w:t>
            </w:r>
          </w:p>
        </w:tc>
        <w:tc>
          <w:tcPr>
            <w:tcW w:w="1250" w:type="pct"/>
            <w:tcBorders>
              <w:top w:val="nil"/>
              <w:bottom w:val="nil"/>
            </w:tcBorders>
          </w:tcPr>
          <w:p w14:paraId="12CBA8CF" w14:textId="1B11044C" w:rsidR="009A7378" w:rsidRPr="00D63217" w:rsidRDefault="009A7378" w:rsidP="004808C6">
            <w:pPr>
              <w:pStyle w:val="TableText"/>
              <w:keepNext/>
              <w:keepLines/>
              <w:spacing w:before="0" w:after="0" w:line="240" w:lineRule="auto"/>
              <w:rPr>
                <w:szCs w:val="17"/>
              </w:rPr>
            </w:pPr>
            <w:r w:rsidRPr="00D63217">
              <w:rPr>
                <w:szCs w:val="17"/>
              </w:rPr>
              <w:t>Anderson et</w:t>
            </w:r>
            <w:r w:rsidR="00143F5A" w:rsidRPr="00D63217">
              <w:rPr>
                <w:szCs w:val="17"/>
              </w:rPr>
              <w:t xml:space="preserve"> al,</w:t>
            </w:r>
            <w:r w:rsidRPr="00D63217">
              <w:rPr>
                <w:szCs w:val="17"/>
              </w:rPr>
              <w:t xml:space="preserve"> 1992</w:t>
            </w:r>
            <w:r w:rsidR="00143F5A" w:rsidRPr="00D63217">
              <w:rPr>
                <w:szCs w:val="17"/>
              </w:rPr>
              <w:t>(</w:t>
            </w:r>
            <w:r w:rsidRPr="00D63217">
              <w:rPr>
                <w:szCs w:val="17"/>
              </w:rPr>
              <w:t>d</w:t>
            </w:r>
            <w:r w:rsidR="00143F5A" w:rsidRPr="00D63217">
              <w:rPr>
                <w:szCs w:val="17"/>
              </w:rPr>
              <w:t>)</w:t>
            </w:r>
          </w:p>
        </w:tc>
      </w:tr>
      <w:tr w:rsidR="009A7378" w:rsidRPr="00D63217" w14:paraId="240DD793" w14:textId="77777777" w:rsidTr="00BF4B43">
        <w:tc>
          <w:tcPr>
            <w:tcW w:w="513" w:type="pct"/>
            <w:tcBorders>
              <w:top w:val="nil"/>
              <w:left w:val="nil"/>
              <w:bottom w:val="nil"/>
            </w:tcBorders>
          </w:tcPr>
          <w:p w14:paraId="6FF3743A"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nil"/>
            </w:tcBorders>
          </w:tcPr>
          <w:p w14:paraId="69BECFF3"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583C9948"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 xml:space="preserve">US-Delaware </w:t>
            </w:r>
            <w:r w:rsidRPr="00D63217">
              <w:rPr>
                <w:szCs w:val="17"/>
              </w:rPr>
              <w:tab/>
              <w:t>DT</w:t>
            </w:r>
            <w:r w:rsidRPr="00D63217">
              <w:rPr>
                <w:szCs w:val="17"/>
                <w:vertAlign w:val="subscript"/>
              </w:rPr>
              <w:t>50</w:t>
            </w:r>
            <w:r w:rsidRPr="00D63217">
              <w:rPr>
                <w:szCs w:val="17"/>
              </w:rPr>
              <w:t xml:space="preserve"> &gt;10 years</w:t>
            </w:r>
          </w:p>
        </w:tc>
        <w:tc>
          <w:tcPr>
            <w:tcW w:w="1250" w:type="pct"/>
            <w:tcBorders>
              <w:top w:val="nil"/>
              <w:bottom w:val="nil"/>
            </w:tcBorders>
          </w:tcPr>
          <w:p w14:paraId="27D15099" w14:textId="76DE9319" w:rsidR="009A7378" w:rsidRPr="00D63217" w:rsidRDefault="009A7378" w:rsidP="004808C6">
            <w:pPr>
              <w:pStyle w:val="TableText"/>
              <w:keepNext/>
              <w:keepLines/>
              <w:spacing w:before="0" w:after="0" w:line="240" w:lineRule="auto"/>
              <w:rPr>
                <w:szCs w:val="17"/>
              </w:rPr>
            </w:pPr>
            <w:r w:rsidRPr="00D63217">
              <w:rPr>
                <w:szCs w:val="17"/>
              </w:rPr>
              <w:t>Earl et</w:t>
            </w:r>
            <w:r w:rsidR="00143F5A" w:rsidRPr="00D63217">
              <w:rPr>
                <w:szCs w:val="17"/>
              </w:rPr>
              <w:t xml:space="preserve"> al,</w:t>
            </w:r>
            <w:r w:rsidRPr="00D63217">
              <w:rPr>
                <w:szCs w:val="17"/>
              </w:rPr>
              <w:t xml:space="preserve"> 1989</w:t>
            </w:r>
          </w:p>
        </w:tc>
      </w:tr>
      <w:tr w:rsidR="009A7378" w:rsidRPr="00D63217" w14:paraId="509439E0" w14:textId="77777777" w:rsidTr="00BF4B43">
        <w:tc>
          <w:tcPr>
            <w:tcW w:w="513" w:type="pct"/>
            <w:tcBorders>
              <w:top w:val="nil"/>
              <w:left w:val="nil"/>
              <w:bottom w:val="nil"/>
            </w:tcBorders>
          </w:tcPr>
          <w:p w14:paraId="4213DBA6"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nil"/>
            </w:tcBorders>
          </w:tcPr>
          <w:p w14:paraId="0EDE4075"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7F5B711D"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UK-Frenshem</w:t>
            </w:r>
            <w:r w:rsidRPr="00D63217">
              <w:rPr>
                <w:szCs w:val="17"/>
              </w:rPr>
              <w:tab/>
              <w:t>DT</w:t>
            </w:r>
            <w:r w:rsidRPr="00D63217">
              <w:rPr>
                <w:szCs w:val="17"/>
                <w:vertAlign w:val="subscript"/>
              </w:rPr>
              <w:t>50</w:t>
            </w:r>
            <w:r w:rsidRPr="00D63217">
              <w:rPr>
                <w:szCs w:val="17"/>
              </w:rPr>
              <w:t xml:space="preserve"> 20 years</w:t>
            </w:r>
          </w:p>
        </w:tc>
        <w:tc>
          <w:tcPr>
            <w:tcW w:w="1250" w:type="pct"/>
            <w:tcBorders>
              <w:top w:val="nil"/>
              <w:bottom w:val="nil"/>
            </w:tcBorders>
          </w:tcPr>
          <w:p w14:paraId="720F509B" w14:textId="77777777" w:rsidR="009A7378" w:rsidRPr="00D63217" w:rsidRDefault="009A7378" w:rsidP="004808C6">
            <w:pPr>
              <w:pStyle w:val="TableText"/>
              <w:keepNext/>
              <w:keepLines/>
              <w:spacing w:before="0" w:after="0" w:line="240" w:lineRule="auto"/>
              <w:rPr>
                <w:szCs w:val="17"/>
              </w:rPr>
            </w:pPr>
            <w:r w:rsidRPr="00D63217">
              <w:rPr>
                <w:szCs w:val="17"/>
              </w:rPr>
              <w:t>Dyson &amp; Chapman 1995</w:t>
            </w:r>
          </w:p>
        </w:tc>
      </w:tr>
      <w:tr w:rsidR="009A7378" w:rsidRPr="00D63217" w14:paraId="0359F66D" w14:textId="77777777" w:rsidTr="00BF4B43">
        <w:tc>
          <w:tcPr>
            <w:tcW w:w="513" w:type="pct"/>
            <w:tcBorders>
              <w:top w:val="nil"/>
              <w:left w:val="nil"/>
              <w:bottom w:val="nil"/>
            </w:tcBorders>
          </w:tcPr>
          <w:p w14:paraId="617D320C"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nil"/>
            </w:tcBorders>
          </w:tcPr>
          <w:p w14:paraId="1AF5D0E0"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635AE509"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UK-Yarnton</w:t>
            </w:r>
            <w:r w:rsidRPr="00D63217">
              <w:rPr>
                <w:szCs w:val="17"/>
              </w:rPr>
              <w:tab/>
              <w:t>DT</w:t>
            </w:r>
            <w:r w:rsidRPr="00D63217">
              <w:rPr>
                <w:szCs w:val="17"/>
                <w:vertAlign w:val="subscript"/>
              </w:rPr>
              <w:t>50</w:t>
            </w:r>
            <w:r w:rsidRPr="00D63217">
              <w:rPr>
                <w:szCs w:val="17"/>
              </w:rPr>
              <w:t xml:space="preserve"> 6.6 years</w:t>
            </w:r>
          </w:p>
        </w:tc>
        <w:tc>
          <w:tcPr>
            <w:tcW w:w="1250" w:type="pct"/>
            <w:tcBorders>
              <w:top w:val="nil"/>
              <w:bottom w:val="nil"/>
            </w:tcBorders>
          </w:tcPr>
          <w:p w14:paraId="311164EF" w14:textId="0010E9E5" w:rsidR="009A7378" w:rsidRPr="00D63217" w:rsidRDefault="009A7378" w:rsidP="004808C6">
            <w:pPr>
              <w:pStyle w:val="TableText"/>
              <w:keepNext/>
              <w:keepLines/>
              <w:spacing w:before="0" w:after="0" w:line="240" w:lineRule="auto"/>
              <w:rPr>
                <w:szCs w:val="17"/>
              </w:rPr>
            </w:pPr>
            <w:r w:rsidRPr="00D63217">
              <w:rPr>
                <w:szCs w:val="17"/>
              </w:rPr>
              <w:t>Hance et</w:t>
            </w:r>
            <w:r w:rsidR="00143F5A" w:rsidRPr="00D63217">
              <w:rPr>
                <w:szCs w:val="17"/>
              </w:rPr>
              <w:t xml:space="preserve"> al,</w:t>
            </w:r>
            <w:r w:rsidRPr="00D63217">
              <w:rPr>
                <w:szCs w:val="17"/>
              </w:rPr>
              <w:t xml:space="preserve"> 1980</w:t>
            </w:r>
          </w:p>
        </w:tc>
      </w:tr>
      <w:tr w:rsidR="009A7378" w:rsidRPr="00D63217" w14:paraId="344CD0AE" w14:textId="77777777" w:rsidTr="00BF4B43">
        <w:tc>
          <w:tcPr>
            <w:tcW w:w="513" w:type="pct"/>
            <w:tcBorders>
              <w:top w:val="nil"/>
              <w:left w:val="nil"/>
              <w:bottom w:val="nil"/>
            </w:tcBorders>
          </w:tcPr>
          <w:p w14:paraId="2D4F5FA8"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nil"/>
            </w:tcBorders>
          </w:tcPr>
          <w:p w14:paraId="59158260"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nil"/>
            </w:tcBorders>
          </w:tcPr>
          <w:p w14:paraId="29378E9E"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 xml:space="preserve">Malaysia </w:t>
            </w:r>
            <w:r w:rsidRPr="00D63217">
              <w:rPr>
                <w:szCs w:val="17"/>
              </w:rPr>
              <w:tab/>
              <w:t>DT</w:t>
            </w:r>
            <w:r w:rsidRPr="00D63217">
              <w:rPr>
                <w:szCs w:val="17"/>
                <w:vertAlign w:val="subscript"/>
              </w:rPr>
              <w:t>50</w:t>
            </w:r>
            <w:r w:rsidRPr="00D63217">
              <w:rPr>
                <w:szCs w:val="17"/>
              </w:rPr>
              <w:t xml:space="preserve"> &gt;10 years</w:t>
            </w:r>
          </w:p>
        </w:tc>
        <w:tc>
          <w:tcPr>
            <w:tcW w:w="1250" w:type="pct"/>
            <w:tcBorders>
              <w:top w:val="nil"/>
              <w:bottom w:val="nil"/>
            </w:tcBorders>
          </w:tcPr>
          <w:p w14:paraId="536712E6" w14:textId="77777777" w:rsidR="009A7378" w:rsidRPr="00D63217" w:rsidRDefault="009A7378" w:rsidP="004808C6">
            <w:pPr>
              <w:pStyle w:val="TableText"/>
              <w:keepNext/>
              <w:keepLines/>
              <w:spacing w:before="0" w:after="0" w:line="240" w:lineRule="auto"/>
              <w:rPr>
                <w:szCs w:val="17"/>
              </w:rPr>
            </w:pPr>
            <w:r w:rsidRPr="00D63217">
              <w:rPr>
                <w:szCs w:val="17"/>
              </w:rPr>
              <w:t>Lane &amp; Ngim 2000</w:t>
            </w:r>
          </w:p>
        </w:tc>
      </w:tr>
      <w:tr w:rsidR="009A7378" w:rsidRPr="00D63217" w14:paraId="0F9A5630" w14:textId="77777777" w:rsidTr="00BF4B43">
        <w:tc>
          <w:tcPr>
            <w:tcW w:w="513" w:type="pct"/>
            <w:tcBorders>
              <w:top w:val="nil"/>
              <w:left w:val="nil"/>
              <w:bottom w:val="single" w:sz="4" w:space="0" w:color="auto"/>
            </w:tcBorders>
          </w:tcPr>
          <w:p w14:paraId="01EE75DC" w14:textId="77777777" w:rsidR="009A7378" w:rsidRPr="00D63217" w:rsidRDefault="009A7378" w:rsidP="004808C6">
            <w:pPr>
              <w:pStyle w:val="TableText"/>
              <w:keepNext/>
              <w:keepLines/>
              <w:spacing w:before="0" w:after="0" w:line="240" w:lineRule="auto"/>
              <w:rPr>
                <w:szCs w:val="17"/>
              </w:rPr>
            </w:pPr>
          </w:p>
        </w:tc>
        <w:tc>
          <w:tcPr>
            <w:tcW w:w="956" w:type="pct"/>
            <w:tcBorders>
              <w:top w:val="nil"/>
              <w:left w:val="nil"/>
              <w:bottom w:val="single" w:sz="4" w:space="0" w:color="auto"/>
            </w:tcBorders>
          </w:tcPr>
          <w:p w14:paraId="342C39D0" w14:textId="77777777" w:rsidR="009A7378" w:rsidRPr="00D63217" w:rsidRDefault="009A7378" w:rsidP="004808C6">
            <w:pPr>
              <w:pStyle w:val="TableText"/>
              <w:keepNext/>
              <w:keepLines/>
              <w:spacing w:before="0" w:after="0" w:line="240" w:lineRule="auto"/>
              <w:rPr>
                <w:szCs w:val="17"/>
              </w:rPr>
            </w:pPr>
          </w:p>
        </w:tc>
        <w:tc>
          <w:tcPr>
            <w:tcW w:w="2281" w:type="pct"/>
            <w:tcBorders>
              <w:top w:val="nil"/>
              <w:bottom w:val="single" w:sz="4" w:space="0" w:color="auto"/>
            </w:tcBorders>
          </w:tcPr>
          <w:p w14:paraId="1FB29F95" w14:textId="77777777" w:rsidR="009A7378" w:rsidRPr="00D63217" w:rsidRDefault="009A7378" w:rsidP="00017CE7">
            <w:pPr>
              <w:pStyle w:val="TableText"/>
              <w:keepNext/>
              <w:keepLines/>
              <w:tabs>
                <w:tab w:val="left" w:pos="1925"/>
              </w:tabs>
              <w:spacing w:before="0" w:after="0" w:line="240" w:lineRule="auto"/>
              <w:rPr>
                <w:szCs w:val="17"/>
              </w:rPr>
            </w:pPr>
            <w:r w:rsidRPr="00D63217">
              <w:rPr>
                <w:szCs w:val="17"/>
              </w:rPr>
              <w:t xml:space="preserve">Thailand </w:t>
            </w:r>
            <w:r w:rsidRPr="00D63217">
              <w:rPr>
                <w:szCs w:val="17"/>
              </w:rPr>
              <w:tab/>
              <w:t>DT</w:t>
            </w:r>
            <w:r w:rsidRPr="00D63217">
              <w:rPr>
                <w:szCs w:val="17"/>
                <w:vertAlign w:val="subscript"/>
              </w:rPr>
              <w:t>50</w:t>
            </w:r>
            <w:r w:rsidRPr="00D63217">
              <w:rPr>
                <w:szCs w:val="17"/>
              </w:rPr>
              <w:t xml:space="preserve"> 41 days</w:t>
            </w:r>
          </w:p>
        </w:tc>
        <w:tc>
          <w:tcPr>
            <w:tcW w:w="1250" w:type="pct"/>
            <w:tcBorders>
              <w:top w:val="nil"/>
              <w:bottom w:val="single" w:sz="4" w:space="0" w:color="auto"/>
            </w:tcBorders>
          </w:tcPr>
          <w:p w14:paraId="22A0D865" w14:textId="0D875079" w:rsidR="009A7378" w:rsidRPr="00D63217" w:rsidRDefault="009A7378" w:rsidP="004808C6">
            <w:pPr>
              <w:pStyle w:val="TableText"/>
              <w:keepNext/>
              <w:keepLines/>
              <w:spacing w:before="0" w:after="0" w:line="240" w:lineRule="auto"/>
              <w:rPr>
                <w:szCs w:val="17"/>
              </w:rPr>
            </w:pPr>
            <w:r w:rsidRPr="00D63217">
              <w:rPr>
                <w:szCs w:val="17"/>
              </w:rPr>
              <w:t>Amondham et</w:t>
            </w:r>
            <w:r w:rsidR="00143F5A" w:rsidRPr="00D63217">
              <w:rPr>
                <w:szCs w:val="17"/>
              </w:rPr>
              <w:t xml:space="preserve"> al,</w:t>
            </w:r>
            <w:r w:rsidRPr="00D63217">
              <w:rPr>
                <w:szCs w:val="17"/>
              </w:rPr>
              <w:t xml:space="preserve"> 2006</w:t>
            </w:r>
          </w:p>
        </w:tc>
      </w:tr>
    </w:tbl>
    <w:p w14:paraId="2EE92B75" w14:textId="1E463985" w:rsidR="009A7378" w:rsidRPr="00DA137F" w:rsidRDefault="00F012C6" w:rsidP="00DA137F">
      <w:pPr>
        <w:pStyle w:val="Caption"/>
      </w:pPr>
      <w:bookmarkStart w:id="646" w:name="_Toc230692322"/>
      <w:bookmarkStart w:id="647" w:name="_Toc233036543"/>
      <w:r w:rsidRPr="00DA137F">
        <w:t xml:space="preserve">Table </w:t>
      </w:r>
      <w:fldSimple w:instr=" SEQ Table \* ARABIC ">
        <w:r w:rsidR="00DA137F">
          <w:rPr>
            <w:noProof/>
          </w:rPr>
          <w:t>56</w:t>
        </w:r>
      </w:fldSimple>
      <w:r w:rsidRPr="00DA137F">
        <w:t xml:space="preserve">: </w:t>
      </w:r>
      <w:bookmarkStart w:id="648" w:name="_Toc156383617"/>
      <w:bookmarkEnd w:id="645"/>
      <w:r w:rsidR="00017CE7" w:rsidRPr="00DA137F">
        <w:t xml:space="preserve">Paraquat – </w:t>
      </w:r>
      <w:r w:rsidR="009A7378" w:rsidRPr="00DA137F">
        <w:t>Fate and behaviour in water and sediment</w:t>
      </w:r>
      <w:bookmarkEnd w:id="646"/>
      <w:bookmarkEnd w:id="64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9"/>
        <w:gridCol w:w="2125"/>
        <w:gridCol w:w="4678"/>
        <w:gridCol w:w="1842"/>
      </w:tblGrid>
      <w:tr w:rsidR="009A7378" w:rsidRPr="00D63217" w14:paraId="636AEAF8" w14:textId="77777777" w:rsidTr="005C1E35">
        <w:trPr>
          <w:tblHeader/>
        </w:trPr>
        <w:tc>
          <w:tcPr>
            <w:tcW w:w="513" w:type="pct"/>
            <w:tcBorders>
              <w:bottom w:val="single" w:sz="4" w:space="0" w:color="auto"/>
            </w:tcBorders>
            <w:shd w:val="clear" w:color="auto" w:fill="5C2946"/>
          </w:tcPr>
          <w:p w14:paraId="4234EDF0" w14:textId="77777777" w:rsidR="009A7378" w:rsidRPr="00D63217" w:rsidRDefault="009A7378" w:rsidP="005C1E35">
            <w:pPr>
              <w:pStyle w:val="TableHead"/>
            </w:pPr>
            <w:r w:rsidRPr="00D63217">
              <w:t>Substance</w:t>
            </w:r>
          </w:p>
        </w:tc>
        <w:tc>
          <w:tcPr>
            <w:tcW w:w="1103" w:type="pct"/>
            <w:tcBorders>
              <w:bottom w:val="single" w:sz="4" w:space="0" w:color="auto"/>
            </w:tcBorders>
            <w:shd w:val="clear" w:color="auto" w:fill="5C2946"/>
          </w:tcPr>
          <w:p w14:paraId="0398E024" w14:textId="77777777" w:rsidR="009A7378" w:rsidRPr="00D63217" w:rsidRDefault="009A7378" w:rsidP="005C1E35">
            <w:pPr>
              <w:pStyle w:val="TableHead"/>
            </w:pPr>
            <w:r w:rsidRPr="00D63217">
              <w:t>Study</w:t>
            </w:r>
          </w:p>
        </w:tc>
        <w:tc>
          <w:tcPr>
            <w:tcW w:w="2428" w:type="pct"/>
            <w:tcBorders>
              <w:bottom w:val="single" w:sz="4" w:space="0" w:color="auto"/>
            </w:tcBorders>
            <w:shd w:val="clear" w:color="auto" w:fill="5C2946"/>
          </w:tcPr>
          <w:p w14:paraId="1ADB714A" w14:textId="77777777" w:rsidR="009A7378" w:rsidRPr="00D63217" w:rsidRDefault="009A7378" w:rsidP="005C1E35">
            <w:pPr>
              <w:pStyle w:val="TableHead"/>
            </w:pPr>
            <w:r w:rsidRPr="00D63217">
              <w:t>Result</w:t>
            </w:r>
          </w:p>
        </w:tc>
        <w:tc>
          <w:tcPr>
            <w:tcW w:w="956" w:type="pct"/>
            <w:tcBorders>
              <w:bottom w:val="single" w:sz="4" w:space="0" w:color="auto"/>
            </w:tcBorders>
            <w:shd w:val="clear" w:color="auto" w:fill="5C2946"/>
          </w:tcPr>
          <w:p w14:paraId="6F95DDCD" w14:textId="77777777" w:rsidR="009A7378" w:rsidRPr="00D63217" w:rsidRDefault="009A7378" w:rsidP="005C1E35">
            <w:pPr>
              <w:pStyle w:val="TableHead"/>
            </w:pPr>
            <w:r w:rsidRPr="00D63217">
              <w:t>Reference</w:t>
            </w:r>
          </w:p>
        </w:tc>
      </w:tr>
      <w:tr w:rsidR="009A7378" w:rsidRPr="00D63217" w14:paraId="1189BB10" w14:textId="77777777" w:rsidTr="00BF4B43">
        <w:tc>
          <w:tcPr>
            <w:tcW w:w="513" w:type="pct"/>
            <w:tcBorders>
              <w:top w:val="single" w:sz="4" w:space="0" w:color="auto"/>
              <w:left w:val="nil"/>
              <w:bottom w:val="nil"/>
              <w:right w:val="nil"/>
            </w:tcBorders>
          </w:tcPr>
          <w:p w14:paraId="17C522B5" w14:textId="77777777" w:rsidR="009A7378" w:rsidRPr="00D63217" w:rsidRDefault="009A7378" w:rsidP="004808C6">
            <w:pPr>
              <w:pStyle w:val="TableText"/>
              <w:spacing w:before="0" w:after="0" w:line="240" w:lineRule="auto"/>
              <w:rPr>
                <w:szCs w:val="17"/>
              </w:rPr>
            </w:pPr>
            <w:r w:rsidRPr="00D63217">
              <w:rPr>
                <w:szCs w:val="17"/>
              </w:rPr>
              <w:t>Paraquat</w:t>
            </w:r>
          </w:p>
        </w:tc>
        <w:tc>
          <w:tcPr>
            <w:tcW w:w="1103" w:type="pct"/>
            <w:tcBorders>
              <w:top w:val="single" w:sz="4" w:space="0" w:color="auto"/>
              <w:left w:val="nil"/>
              <w:bottom w:val="nil"/>
              <w:right w:val="nil"/>
            </w:tcBorders>
          </w:tcPr>
          <w:p w14:paraId="00D141D7" w14:textId="77777777" w:rsidR="009A7378" w:rsidRPr="00D63217" w:rsidRDefault="009A7378" w:rsidP="004808C6">
            <w:pPr>
              <w:pStyle w:val="TableText"/>
              <w:spacing w:before="0" w:after="0" w:line="240" w:lineRule="auto"/>
              <w:rPr>
                <w:szCs w:val="17"/>
              </w:rPr>
            </w:pPr>
            <w:r w:rsidRPr="00D63217">
              <w:rPr>
                <w:szCs w:val="17"/>
              </w:rPr>
              <w:t>Hydrolysis</w:t>
            </w:r>
          </w:p>
        </w:tc>
        <w:tc>
          <w:tcPr>
            <w:tcW w:w="2428" w:type="pct"/>
            <w:tcBorders>
              <w:top w:val="single" w:sz="4" w:space="0" w:color="auto"/>
              <w:left w:val="nil"/>
              <w:bottom w:val="nil"/>
              <w:right w:val="nil"/>
            </w:tcBorders>
          </w:tcPr>
          <w:p w14:paraId="5C34690D" w14:textId="0CAE50ED" w:rsidR="009A7378" w:rsidRPr="00D63217" w:rsidRDefault="009A7378" w:rsidP="002B660F">
            <w:pPr>
              <w:pStyle w:val="TableText"/>
              <w:spacing w:before="0" w:after="0" w:line="240" w:lineRule="auto"/>
              <w:rPr>
                <w:szCs w:val="17"/>
              </w:rPr>
            </w:pPr>
            <w:r w:rsidRPr="00D63217">
              <w:rPr>
                <w:szCs w:val="17"/>
              </w:rPr>
              <w:t>pH 4, 50°C: stable</w:t>
            </w:r>
            <w:r w:rsidR="002B660F" w:rsidRPr="00D63217">
              <w:rPr>
                <w:szCs w:val="17"/>
              </w:rPr>
              <w:br/>
            </w:r>
            <w:r w:rsidRPr="00D63217">
              <w:rPr>
                <w:szCs w:val="17"/>
              </w:rPr>
              <w:t>pH 7, 50°C: stable</w:t>
            </w:r>
            <w:r w:rsidR="002B660F" w:rsidRPr="00D63217">
              <w:rPr>
                <w:szCs w:val="17"/>
              </w:rPr>
              <w:br/>
            </w:r>
            <w:r w:rsidRPr="00D63217">
              <w:rPr>
                <w:szCs w:val="17"/>
              </w:rPr>
              <w:t xml:space="preserve">pH 10, 50°C: stable </w:t>
            </w:r>
          </w:p>
        </w:tc>
        <w:tc>
          <w:tcPr>
            <w:tcW w:w="956" w:type="pct"/>
            <w:tcBorders>
              <w:top w:val="single" w:sz="4" w:space="0" w:color="auto"/>
              <w:left w:val="nil"/>
              <w:bottom w:val="nil"/>
              <w:right w:val="nil"/>
            </w:tcBorders>
          </w:tcPr>
          <w:p w14:paraId="61AEFF6C" w14:textId="77777777" w:rsidR="009A7378" w:rsidRPr="00D63217" w:rsidRDefault="009A7378" w:rsidP="004808C6">
            <w:pPr>
              <w:pStyle w:val="TableText"/>
              <w:spacing w:before="0" w:after="0" w:line="240" w:lineRule="auto"/>
              <w:rPr>
                <w:szCs w:val="17"/>
              </w:rPr>
            </w:pPr>
            <w:r w:rsidRPr="00D63217">
              <w:rPr>
                <w:szCs w:val="17"/>
              </w:rPr>
              <w:t>White 2010</w:t>
            </w:r>
          </w:p>
        </w:tc>
      </w:tr>
      <w:tr w:rsidR="009A7378" w:rsidRPr="00D63217" w14:paraId="129F574B" w14:textId="77777777" w:rsidTr="00BF4B43">
        <w:tc>
          <w:tcPr>
            <w:tcW w:w="513" w:type="pct"/>
            <w:tcBorders>
              <w:top w:val="nil"/>
              <w:left w:val="nil"/>
              <w:bottom w:val="nil"/>
              <w:right w:val="nil"/>
            </w:tcBorders>
          </w:tcPr>
          <w:p w14:paraId="6BDA0CB5" w14:textId="77777777" w:rsidR="009A7378" w:rsidRPr="00D63217" w:rsidRDefault="009A7378" w:rsidP="004808C6">
            <w:pPr>
              <w:pStyle w:val="TableText"/>
              <w:spacing w:before="0" w:after="0" w:line="240" w:lineRule="auto"/>
              <w:rPr>
                <w:szCs w:val="17"/>
              </w:rPr>
            </w:pPr>
          </w:p>
        </w:tc>
        <w:tc>
          <w:tcPr>
            <w:tcW w:w="1103" w:type="pct"/>
            <w:tcBorders>
              <w:top w:val="nil"/>
              <w:left w:val="nil"/>
              <w:bottom w:val="single" w:sz="4" w:space="0" w:color="auto"/>
              <w:right w:val="nil"/>
            </w:tcBorders>
          </w:tcPr>
          <w:p w14:paraId="272668ED" w14:textId="77777777" w:rsidR="009A7378" w:rsidRPr="00D63217" w:rsidRDefault="009A7378" w:rsidP="004808C6">
            <w:pPr>
              <w:pStyle w:val="TableText"/>
              <w:spacing w:before="0" w:after="0" w:line="240" w:lineRule="auto"/>
              <w:rPr>
                <w:szCs w:val="17"/>
              </w:rPr>
            </w:pPr>
          </w:p>
        </w:tc>
        <w:tc>
          <w:tcPr>
            <w:tcW w:w="2428" w:type="pct"/>
            <w:tcBorders>
              <w:top w:val="nil"/>
              <w:left w:val="nil"/>
              <w:bottom w:val="single" w:sz="4" w:space="0" w:color="auto"/>
              <w:right w:val="nil"/>
            </w:tcBorders>
          </w:tcPr>
          <w:p w14:paraId="05EFD4D8" w14:textId="751190A6" w:rsidR="009A7378" w:rsidRPr="00D63217" w:rsidRDefault="009A7378" w:rsidP="002B660F">
            <w:pPr>
              <w:pStyle w:val="TableText"/>
              <w:spacing w:before="0" w:after="0" w:line="240" w:lineRule="auto"/>
              <w:rPr>
                <w:szCs w:val="17"/>
              </w:rPr>
            </w:pPr>
            <w:r w:rsidRPr="00D63217">
              <w:rPr>
                <w:szCs w:val="17"/>
              </w:rPr>
              <w:t>pH 5, 25°C: stable</w:t>
            </w:r>
            <w:r w:rsidR="002B660F" w:rsidRPr="00D63217">
              <w:rPr>
                <w:szCs w:val="17"/>
              </w:rPr>
              <w:br/>
            </w:r>
            <w:r w:rsidRPr="00D63217">
              <w:rPr>
                <w:szCs w:val="17"/>
              </w:rPr>
              <w:t>pH 7, 25°C: stable</w:t>
            </w:r>
            <w:r w:rsidR="002B660F" w:rsidRPr="00D63217">
              <w:rPr>
                <w:szCs w:val="17"/>
              </w:rPr>
              <w:br/>
            </w:r>
            <w:r w:rsidRPr="00D63217">
              <w:rPr>
                <w:szCs w:val="17"/>
              </w:rPr>
              <w:t>pH 9, 25°C: stable</w:t>
            </w:r>
            <w:r w:rsidR="002B660F" w:rsidRPr="00D63217">
              <w:rPr>
                <w:szCs w:val="17"/>
              </w:rPr>
              <w:br/>
            </w:r>
            <w:r w:rsidRPr="00D63217">
              <w:rPr>
                <w:szCs w:val="17"/>
              </w:rPr>
              <w:t>pH 5, 40°C: stable</w:t>
            </w:r>
            <w:r w:rsidR="002B660F" w:rsidRPr="00D63217">
              <w:rPr>
                <w:szCs w:val="17"/>
              </w:rPr>
              <w:br/>
            </w:r>
            <w:r w:rsidRPr="00D63217">
              <w:rPr>
                <w:szCs w:val="17"/>
              </w:rPr>
              <w:t>pH 7, 40°C: stable</w:t>
            </w:r>
            <w:r w:rsidR="002B660F" w:rsidRPr="00D63217">
              <w:rPr>
                <w:szCs w:val="17"/>
              </w:rPr>
              <w:br/>
            </w:r>
            <w:r w:rsidRPr="00D63217">
              <w:rPr>
                <w:szCs w:val="17"/>
              </w:rPr>
              <w:t>pH 9, 40°C: stable</w:t>
            </w:r>
          </w:p>
        </w:tc>
        <w:tc>
          <w:tcPr>
            <w:tcW w:w="956" w:type="pct"/>
            <w:tcBorders>
              <w:top w:val="nil"/>
              <w:left w:val="nil"/>
              <w:bottom w:val="single" w:sz="4" w:space="0" w:color="auto"/>
              <w:right w:val="nil"/>
            </w:tcBorders>
          </w:tcPr>
          <w:p w14:paraId="5CC52813" w14:textId="6FAF3AB4" w:rsidR="009A7378" w:rsidRPr="00D63217" w:rsidRDefault="009A7378" w:rsidP="004808C6">
            <w:pPr>
              <w:pStyle w:val="TableText"/>
              <w:spacing w:before="0" w:after="0" w:line="240" w:lineRule="auto"/>
              <w:rPr>
                <w:szCs w:val="17"/>
              </w:rPr>
            </w:pPr>
            <w:r w:rsidRPr="00D63217">
              <w:rPr>
                <w:szCs w:val="17"/>
              </w:rPr>
              <w:t>Upton et</w:t>
            </w:r>
            <w:r w:rsidR="00143F5A" w:rsidRPr="00D63217">
              <w:rPr>
                <w:szCs w:val="17"/>
              </w:rPr>
              <w:t xml:space="preserve"> al,</w:t>
            </w:r>
            <w:r w:rsidRPr="00D63217">
              <w:rPr>
                <w:szCs w:val="17"/>
              </w:rPr>
              <w:t xml:space="preserve"> 1985</w:t>
            </w:r>
          </w:p>
        </w:tc>
      </w:tr>
      <w:tr w:rsidR="009A7378" w:rsidRPr="00D63217" w14:paraId="753E7241" w14:textId="77777777" w:rsidTr="00BF4B43">
        <w:tc>
          <w:tcPr>
            <w:tcW w:w="513" w:type="pct"/>
            <w:tcBorders>
              <w:top w:val="nil"/>
              <w:left w:val="nil"/>
              <w:bottom w:val="nil"/>
              <w:right w:val="nil"/>
            </w:tcBorders>
          </w:tcPr>
          <w:p w14:paraId="05E48B6D" w14:textId="77777777" w:rsidR="009A7378" w:rsidRPr="00D63217" w:rsidRDefault="009A7378" w:rsidP="004808C6">
            <w:pPr>
              <w:pStyle w:val="TableText"/>
              <w:spacing w:before="0" w:after="0" w:line="240" w:lineRule="auto"/>
              <w:rPr>
                <w:szCs w:val="17"/>
              </w:rPr>
            </w:pPr>
          </w:p>
        </w:tc>
        <w:tc>
          <w:tcPr>
            <w:tcW w:w="1103" w:type="pct"/>
            <w:tcBorders>
              <w:top w:val="single" w:sz="4" w:space="0" w:color="auto"/>
              <w:left w:val="nil"/>
              <w:bottom w:val="nil"/>
              <w:right w:val="nil"/>
            </w:tcBorders>
          </w:tcPr>
          <w:p w14:paraId="2BC58A66" w14:textId="77777777" w:rsidR="009A7378" w:rsidRPr="00D63217" w:rsidRDefault="009A7378" w:rsidP="004808C6">
            <w:pPr>
              <w:pStyle w:val="TableText"/>
              <w:spacing w:before="0" w:after="0" w:line="240" w:lineRule="auto"/>
              <w:rPr>
                <w:szCs w:val="17"/>
              </w:rPr>
            </w:pPr>
            <w:r w:rsidRPr="00D63217">
              <w:rPr>
                <w:szCs w:val="17"/>
              </w:rPr>
              <w:t>Aqueous photolysis</w:t>
            </w:r>
          </w:p>
        </w:tc>
        <w:tc>
          <w:tcPr>
            <w:tcW w:w="2428" w:type="pct"/>
            <w:tcBorders>
              <w:top w:val="single" w:sz="4" w:space="0" w:color="auto"/>
              <w:left w:val="nil"/>
              <w:bottom w:val="nil"/>
              <w:right w:val="nil"/>
            </w:tcBorders>
          </w:tcPr>
          <w:p w14:paraId="545B2E90" w14:textId="77777777" w:rsidR="009A7378" w:rsidRPr="00D63217" w:rsidRDefault="009A7378" w:rsidP="004808C6">
            <w:pPr>
              <w:pStyle w:val="TableText"/>
              <w:spacing w:before="0" w:after="0" w:line="240" w:lineRule="auto"/>
              <w:rPr>
                <w:szCs w:val="17"/>
              </w:rPr>
            </w:pPr>
            <w:r w:rsidRPr="00D63217">
              <w:rPr>
                <w:szCs w:val="17"/>
              </w:rPr>
              <w:t>Stable (pH 7 buffer)</w:t>
            </w:r>
          </w:p>
        </w:tc>
        <w:tc>
          <w:tcPr>
            <w:tcW w:w="956" w:type="pct"/>
            <w:tcBorders>
              <w:top w:val="single" w:sz="4" w:space="0" w:color="auto"/>
              <w:left w:val="nil"/>
              <w:bottom w:val="nil"/>
              <w:right w:val="nil"/>
            </w:tcBorders>
          </w:tcPr>
          <w:p w14:paraId="49163D67" w14:textId="77777777" w:rsidR="009A7378" w:rsidRPr="00D63217" w:rsidRDefault="009A7378" w:rsidP="004808C6">
            <w:pPr>
              <w:pStyle w:val="TableText"/>
              <w:spacing w:before="0" w:after="0" w:line="240" w:lineRule="auto"/>
              <w:rPr>
                <w:szCs w:val="17"/>
              </w:rPr>
            </w:pPr>
            <w:r w:rsidRPr="00D63217">
              <w:rPr>
                <w:szCs w:val="17"/>
              </w:rPr>
              <w:t>Parker &amp; Leahey 1988</w:t>
            </w:r>
          </w:p>
        </w:tc>
      </w:tr>
      <w:tr w:rsidR="009A7378" w:rsidRPr="00D63217" w14:paraId="23CF3E68" w14:textId="77777777" w:rsidTr="00BF4B43">
        <w:tc>
          <w:tcPr>
            <w:tcW w:w="513" w:type="pct"/>
            <w:tcBorders>
              <w:top w:val="nil"/>
              <w:left w:val="nil"/>
              <w:bottom w:val="nil"/>
              <w:right w:val="nil"/>
            </w:tcBorders>
          </w:tcPr>
          <w:p w14:paraId="77B21FA5" w14:textId="77777777" w:rsidR="009A7378" w:rsidRPr="00D63217" w:rsidRDefault="009A7378" w:rsidP="004808C6">
            <w:pPr>
              <w:pStyle w:val="TableText"/>
              <w:spacing w:before="0" w:after="0" w:line="240" w:lineRule="auto"/>
              <w:rPr>
                <w:szCs w:val="17"/>
              </w:rPr>
            </w:pPr>
          </w:p>
        </w:tc>
        <w:tc>
          <w:tcPr>
            <w:tcW w:w="1103" w:type="pct"/>
            <w:tcBorders>
              <w:top w:val="nil"/>
              <w:left w:val="nil"/>
              <w:bottom w:val="single" w:sz="4" w:space="0" w:color="auto"/>
              <w:right w:val="nil"/>
            </w:tcBorders>
          </w:tcPr>
          <w:p w14:paraId="0774FCD9" w14:textId="77777777" w:rsidR="009A7378" w:rsidRPr="00D63217" w:rsidRDefault="009A7378" w:rsidP="004808C6">
            <w:pPr>
              <w:pStyle w:val="TableText"/>
              <w:spacing w:before="0" w:after="0" w:line="240" w:lineRule="auto"/>
              <w:rPr>
                <w:szCs w:val="17"/>
              </w:rPr>
            </w:pPr>
          </w:p>
        </w:tc>
        <w:tc>
          <w:tcPr>
            <w:tcW w:w="2428" w:type="pct"/>
            <w:tcBorders>
              <w:top w:val="nil"/>
              <w:left w:val="nil"/>
              <w:bottom w:val="single" w:sz="4" w:space="0" w:color="auto"/>
              <w:right w:val="nil"/>
            </w:tcBorders>
          </w:tcPr>
          <w:p w14:paraId="2E14C6B5" w14:textId="77777777" w:rsidR="009A7378" w:rsidRPr="00D63217" w:rsidRDefault="009A7378" w:rsidP="004808C6">
            <w:pPr>
              <w:pStyle w:val="TableText"/>
              <w:spacing w:before="0" w:after="0" w:line="240" w:lineRule="auto"/>
              <w:rPr>
                <w:szCs w:val="17"/>
              </w:rPr>
            </w:pPr>
            <w:r w:rsidRPr="00D63217">
              <w:rPr>
                <w:szCs w:val="17"/>
              </w:rPr>
              <w:t>Stable (natural river water)</w:t>
            </w:r>
          </w:p>
        </w:tc>
        <w:tc>
          <w:tcPr>
            <w:tcW w:w="956" w:type="pct"/>
            <w:tcBorders>
              <w:top w:val="nil"/>
              <w:left w:val="nil"/>
              <w:bottom w:val="single" w:sz="4" w:space="0" w:color="auto"/>
              <w:right w:val="nil"/>
            </w:tcBorders>
          </w:tcPr>
          <w:p w14:paraId="6E17D83B" w14:textId="77777777" w:rsidR="009A7378" w:rsidRPr="00D63217" w:rsidRDefault="009A7378" w:rsidP="004808C6">
            <w:pPr>
              <w:pStyle w:val="TableText"/>
              <w:spacing w:before="0" w:after="0" w:line="240" w:lineRule="auto"/>
              <w:rPr>
                <w:szCs w:val="17"/>
              </w:rPr>
            </w:pPr>
            <w:r w:rsidRPr="00D63217">
              <w:rPr>
                <w:szCs w:val="17"/>
              </w:rPr>
              <w:t>Dean 2000</w:t>
            </w:r>
          </w:p>
        </w:tc>
      </w:tr>
      <w:tr w:rsidR="009A7378" w:rsidRPr="00D63217" w14:paraId="13C52FB9" w14:textId="77777777" w:rsidTr="00BF4B43">
        <w:tc>
          <w:tcPr>
            <w:tcW w:w="513" w:type="pct"/>
            <w:tcBorders>
              <w:top w:val="nil"/>
              <w:left w:val="nil"/>
              <w:bottom w:val="single" w:sz="4" w:space="0" w:color="auto"/>
              <w:right w:val="nil"/>
            </w:tcBorders>
          </w:tcPr>
          <w:p w14:paraId="6099CFB4" w14:textId="77777777" w:rsidR="009A7378" w:rsidRPr="00D63217" w:rsidRDefault="009A7378" w:rsidP="004808C6">
            <w:pPr>
              <w:pStyle w:val="TableText"/>
              <w:spacing w:before="0" w:after="0" w:line="240" w:lineRule="auto"/>
              <w:rPr>
                <w:szCs w:val="17"/>
              </w:rPr>
            </w:pPr>
          </w:p>
        </w:tc>
        <w:tc>
          <w:tcPr>
            <w:tcW w:w="1103" w:type="pct"/>
            <w:tcBorders>
              <w:top w:val="single" w:sz="4" w:space="0" w:color="auto"/>
              <w:left w:val="nil"/>
              <w:bottom w:val="single" w:sz="4" w:space="0" w:color="auto"/>
              <w:right w:val="nil"/>
            </w:tcBorders>
          </w:tcPr>
          <w:p w14:paraId="07C227E0" w14:textId="77777777" w:rsidR="009A7378" w:rsidRPr="00D63217" w:rsidRDefault="009A7378" w:rsidP="004808C6">
            <w:pPr>
              <w:pStyle w:val="TableText"/>
              <w:spacing w:before="0" w:after="0" w:line="240" w:lineRule="auto"/>
              <w:rPr>
                <w:szCs w:val="17"/>
              </w:rPr>
            </w:pPr>
            <w:r w:rsidRPr="00D63217">
              <w:rPr>
                <w:szCs w:val="17"/>
              </w:rPr>
              <w:t>Degradation in water/sediment</w:t>
            </w:r>
          </w:p>
        </w:tc>
        <w:tc>
          <w:tcPr>
            <w:tcW w:w="2428" w:type="pct"/>
            <w:tcBorders>
              <w:top w:val="single" w:sz="4" w:space="0" w:color="auto"/>
              <w:left w:val="nil"/>
              <w:bottom w:val="single" w:sz="4" w:space="0" w:color="auto"/>
              <w:right w:val="nil"/>
            </w:tcBorders>
          </w:tcPr>
          <w:p w14:paraId="3B04669E" w14:textId="668BB3BF" w:rsidR="009A7378" w:rsidRPr="00D63217" w:rsidRDefault="004128B4" w:rsidP="002B660F">
            <w:pPr>
              <w:pStyle w:val="TableText"/>
              <w:spacing w:before="0" w:after="0" w:line="240" w:lineRule="auto"/>
              <w:rPr>
                <w:szCs w:val="17"/>
              </w:rPr>
            </w:pPr>
            <w:r w:rsidRPr="00D63217">
              <w:t>2</w:t>
            </w:r>
            <w:r w:rsidR="009A7378" w:rsidRPr="00D63217">
              <w:rPr>
                <w:szCs w:val="17"/>
              </w:rPr>
              <w:t>systems: Virginia Water, Old Basing</w:t>
            </w:r>
            <w:r w:rsidR="002B660F" w:rsidRPr="00D63217">
              <w:rPr>
                <w:szCs w:val="17"/>
              </w:rPr>
              <w:br/>
            </w:r>
            <w:r w:rsidR="009A7378" w:rsidRPr="00D63217">
              <w:rPr>
                <w:szCs w:val="17"/>
              </w:rPr>
              <w:t>Max 91% paraquat in sediment (time 0)</w:t>
            </w:r>
            <w:r w:rsidR="002B660F" w:rsidRPr="00D63217">
              <w:rPr>
                <w:szCs w:val="17"/>
              </w:rPr>
              <w:br/>
            </w:r>
            <w:r w:rsidR="009A7378" w:rsidRPr="00D63217">
              <w:rPr>
                <w:szCs w:val="17"/>
              </w:rPr>
              <w:t>Stable in sediment</w:t>
            </w:r>
            <w:r w:rsidR="002B660F" w:rsidRPr="00D63217">
              <w:rPr>
                <w:szCs w:val="17"/>
              </w:rPr>
              <w:br/>
            </w:r>
            <w:r w:rsidR="009A7378" w:rsidRPr="00D63217">
              <w:rPr>
                <w:szCs w:val="17"/>
              </w:rPr>
              <w:t>&lt;0.1% mineralisation after 100d</w:t>
            </w:r>
            <w:r w:rsidR="002B660F" w:rsidRPr="00D63217">
              <w:rPr>
                <w:szCs w:val="17"/>
              </w:rPr>
              <w:br/>
            </w:r>
            <w:r w:rsidR="009A7378" w:rsidRPr="00D63217">
              <w:rPr>
                <w:szCs w:val="17"/>
              </w:rPr>
              <w:t>4.2-4.5% bound residues after 100d</w:t>
            </w:r>
            <w:r w:rsidR="009A7378" w:rsidRPr="00D63217" w:rsidDel="007A08FF">
              <w:rPr>
                <w:szCs w:val="17"/>
              </w:rPr>
              <w:t xml:space="preserve"> </w:t>
            </w:r>
          </w:p>
        </w:tc>
        <w:tc>
          <w:tcPr>
            <w:tcW w:w="956" w:type="pct"/>
            <w:tcBorders>
              <w:top w:val="single" w:sz="4" w:space="0" w:color="auto"/>
              <w:left w:val="nil"/>
              <w:bottom w:val="single" w:sz="4" w:space="0" w:color="auto"/>
              <w:right w:val="nil"/>
            </w:tcBorders>
          </w:tcPr>
          <w:p w14:paraId="32E1995C" w14:textId="306C0FF1" w:rsidR="009A7378" w:rsidRPr="00D63217" w:rsidRDefault="009A7378" w:rsidP="004808C6">
            <w:pPr>
              <w:pStyle w:val="TableText"/>
              <w:spacing w:before="0" w:after="0" w:line="240" w:lineRule="auto"/>
              <w:rPr>
                <w:szCs w:val="17"/>
              </w:rPr>
            </w:pPr>
            <w:r w:rsidRPr="00D63217">
              <w:rPr>
                <w:szCs w:val="17"/>
              </w:rPr>
              <w:t>Long et</w:t>
            </w:r>
            <w:r w:rsidR="00143F5A" w:rsidRPr="00D63217">
              <w:rPr>
                <w:szCs w:val="17"/>
              </w:rPr>
              <w:t xml:space="preserve"> al,</w:t>
            </w:r>
            <w:r w:rsidRPr="00D63217">
              <w:rPr>
                <w:szCs w:val="17"/>
              </w:rPr>
              <w:t xml:space="preserve"> 1996</w:t>
            </w:r>
          </w:p>
        </w:tc>
      </w:tr>
    </w:tbl>
    <w:p w14:paraId="0EC482C2" w14:textId="79E867CB" w:rsidR="009A7378" w:rsidRPr="00A70C86" w:rsidRDefault="00F012C6" w:rsidP="00A70C86">
      <w:pPr>
        <w:pStyle w:val="Caption"/>
      </w:pPr>
      <w:bookmarkStart w:id="649" w:name="_Toc230692323"/>
      <w:bookmarkStart w:id="650" w:name="_Toc233036544"/>
      <w:r w:rsidRPr="00A70C86">
        <w:t xml:space="preserve">Table </w:t>
      </w:r>
      <w:fldSimple w:instr=" SEQ Table \* ARABIC ">
        <w:r w:rsidR="00A70C86">
          <w:rPr>
            <w:noProof/>
          </w:rPr>
          <w:t>57</w:t>
        </w:r>
      </w:fldSimple>
      <w:r w:rsidRPr="00A70C86">
        <w:t>:</w:t>
      </w:r>
      <w:bookmarkStart w:id="651" w:name="_Toc156383618"/>
      <w:bookmarkEnd w:id="648"/>
      <w:r w:rsidRPr="00A70C86">
        <w:t xml:space="preserve"> </w:t>
      </w:r>
      <w:r w:rsidR="00017CE7" w:rsidRPr="00A70C86">
        <w:t xml:space="preserve">Paraquat – </w:t>
      </w:r>
      <w:r w:rsidR="009A7378" w:rsidRPr="00A70C86">
        <w:t>Fate and behaviour in air</w:t>
      </w:r>
      <w:bookmarkEnd w:id="649"/>
      <w:bookmarkEnd w:id="650"/>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3686"/>
        <w:gridCol w:w="2977"/>
        <w:gridCol w:w="1982"/>
      </w:tblGrid>
      <w:tr w:rsidR="009A7378" w:rsidRPr="00D63217" w14:paraId="275D652F" w14:textId="77777777" w:rsidTr="00E53283">
        <w:trPr>
          <w:tblHeader/>
        </w:trPr>
        <w:tc>
          <w:tcPr>
            <w:tcW w:w="513" w:type="pct"/>
            <w:tcBorders>
              <w:bottom w:val="single" w:sz="4" w:space="0" w:color="auto"/>
            </w:tcBorders>
            <w:shd w:val="clear" w:color="auto" w:fill="5C2946"/>
          </w:tcPr>
          <w:p w14:paraId="23D908F2" w14:textId="77777777" w:rsidR="009A7378" w:rsidRPr="00D63217" w:rsidRDefault="009A7378" w:rsidP="005C1E35">
            <w:pPr>
              <w:pStyle w:val="TableHead"/>
            </w:pPr>
            <w:r w:rsidRPr="00D63217">
              <w:t>Substance</w:t>
            </w:r>
          </w:p>
        </w:tc>
        <w:tc>
          <w:tcPr>
            <w:tcW w:w="1913" w:type="pct"/>
            <w:tcBorders>
              <w:bottom w:val="single" w:sz="4" w:space="0" w:color="auto"/>
            </w:tcBorders>
            <w:shd w:val="clear" w:color="auto" w:fill="5C2946"/>
          </w:tcPr>
          <w:p w14:paraId="5838F5CB" w14:textId="77777777" w:rsidR="009A7378" w:rsidRPr="00D63217" w:rsidRDefault="009A7378" w:rsidP="005C1E35">
            <w:pPr>
              <w:pStyle w:val="TableHead"/>
            </w:pPr>
            <w:r w:rsidRPr="00D63217">
              <w:t>Study</w:t>
            </w:r>
          </w:p>
        </w:tc>
        <w:tc>
          <w:tcPr>
            <w:tcW w:w="1545" w:type="pct"/>
            <w:shd w:val="clear" w:color="auto" w:fill="5C2946"/>
          </w:tcPr>
          <w:p w14:paraId="1C3A4A56" w14:textId="77777777" w:rsidR="009A7378" w:rsidRPr="00D63217" w:rsidRDefault="009A7378" w:rsidP="005C1E35">
            <w:pPr>
              <w:pStyle w:val="TableHead"/>
            </w:pPr>
            <w:r w:rsidRPr="00D63217">
              <w:t>Result</w:t>
            </w:r>
          </w:p>
        </w:tc>
        <w:tc>
          <w:tcPr>
            <w:tcW w:w="1029" w:type="pct"/>
            <w:shd w:val="clear" w:color="auto" w:fill="5C2946"/>
          </w:tcPr>
          <w:p w14:paraId="034273B4" w14:textId="77777777" w:rsidR="009A7378" w:rsidRPr="00D63217" w:rsidRDefault="009A7378" w:rsidP="005C1E35">
            <w:pPr>
              <w:pStyle w:val="TableHead"/>
            </w:pPr>
            <w:r w:rsidRPr="00D63217">
              <w:t>Reference</w:t>
            </w:r>
          </w:p>
        </w:tc>
      </w:tr>
      <w:tr w:rsidR="009A7378" w:rsidRPr="00D63217" w14:paraId="1514361F" w14:textId="77777777" w:rsidTr="00BF4B43">
        <w:tc>
          <w:tcPr>
            <w:tcW w:w="513" w:type="pct"/>
            <w:tcBorders>
              <w:left w:val="nil"/>
              <w:bottom w:val="single" w:sz="4" w:space="0" w:color="auto"/>
            </w:tcBorders>
          </w:tcPr>
          <w:p w14:paraId="44FF76AC" w14:textId="77777777" w:rsidR="009A7378" w:rsidRPr="00D63217" w:rsidRDefault="009A7378" w:rsidP="004808C6">
            <w:pPr>
              <w:pStyle w:val="TableText"/>
              <w:spacing w:before="0" w:after="0" w:line="240" w:lineRule="auto"/>
              <w:rPr>
                <w:szCs w:val="17"/>
              </w:rPr>
            </w:pPr>
            <w:r w:rsidRPr="00D63217">
              <w:rPr>
                <w:szCs w:val="17"/>
              </w:rPr>
              <w:t>Paraquat</w:t>
            </w:r>
          </w:p>
        </w:tc>
        <w:tc>
          <w:tcPr>
            <w:tcW w:w="1913" w:type="pct"/>
            <w:tcBorders>
              <w:left w:val="nil"/>
              <w:bottom w:val="single" w:sz="4" w:space="0" w:color="auto"/>
            </w:tcBorders>
          </w:tcPr>
          <w:p w14:paraId="1778709D" w14:textId="77777777" w:rsidR="009A7378" w:rsidRPr="00D63217" w:rsidRDefault="009A7378" w:rsidP="004808C6">
            <w:pPr>
              <w:pStyle w:val="TableText"/>
              <w:spacing w:before="0" w:after="0" w:line="240" w:lineRule="auto"/>
              <w:rPr>
                <w:szCs w:val="17"/>
              </w:rPr>
            </w:pPr>
            <w:r w:rsidRPr="00D63217">
              <w:rPr>
                <w:szCs w:val="17"/>
              </w:rPr>
              <w:t>Photochemical oxidative degradation</w:t>
            </w:r>
          </w:p>
        </w:tc>
        <w:tc>
          <w:tcPr>
            <w:tcW w:w="1545" w:type="pct"/>
          </w:tcPr>
          <w:p w14:paraId="0284FF7F" w14:textId="77777777" w:rsidR="009A7378" w:rsidRPr="00D63217" w:rsidRDefault="009A7378" w:rsidP="004808C6">
            <w:pPr>
              <w:pStyle w:val="TableText"/>
              <w:spacing w:before="0" w:after="0" w:line="240" w:lineRule="auto"/>
              <w:rPr>
                <w:szCs w:val="17"/>
              </w:rPr>
            </w:pPr>
            <w:r w:rsidRPr="00D63217">
              <w:rPr>
                <w:szCs w:val="17"/>
              </w:rPr>
              <w:t>DT</w:t>
            </w:r>
            <w:r w:rsidRPr="00D63217">
              <w:rPr>
                <w:szCs w:val="17"/>
                <w:vertAlign w:val="subscript"/>
              </w:rPr>
              <w:t>50</w:t>
            </w:r>
            <w:r w:rsidRPr="00D63217">
              <w:rPr>
                <w:szCs w:val="17"/>
              </w:rPr>
              <w:t xml:space="preserve"> 6.0 h</w:t>
            </w:r>
          </w:p>
        </w:tc>
        <w:tc>
          <w:tcPr>
            <w:tcW w:w="1029" w:type="pct"/>
          </w:tcPr>
          <w:p w14:paraId="434A510D" w14:textId="77777777" w:rsidR="009A7378" w:rsidRPr="00D63217" w:rsidRDefault="009A7378" w:rsidP="004808C6">
            <w:pPr>
              <w:pStyle w:val="TableText"/>
              <w:spacing w:before="0" w:after="0" w:line="240" w:lineRule="auto"/>
              <w:rPr>
                <w:szCs w:val="17"/>
              </w:rPr>
            </w:pPr>
            <w:r w:rsidRPr="00D63217">
              <w:rPr>
                <w:szCs w:val="17"/>
              </w:rPr>
              <w:t>Hayes 2006</w:t>
            </w:r>
          </w:p>
        </w:tc>
      </w:tr>
    </w:tbl>
    <w:p w14:paraId="436CF7F0" w14:textId="6E0AB529" w:rsidR="009A7378" w:rsidRPr="00A70C86" w:rsidRDefault="00F012C6" w:rsidP="00A70C86">
      <w:pPr>
        <w:pStyle w:val="Caption"/>
      </w:pPr>
      <w:bookmarkStart w:id="652" w:name="_Toc230692324"/>
      <w:bookmarkStart w:id="653" w:name="_Toc233036545"/>
      <w:r w:rsidRPr="00A70C86">
        <w:t xml:space="preserve">Table </w:t>
      </w:r>
      <w:fldSimple w:instr=" SEQ Table \* ARABIC ">
        <w:r w:rsidR="00A70C86">
          <w:rPr>
            <w:noProof/>
          </w:rPr>
          <w:t>58</w:t>
        </w:r>
      </w:fldSimple>
      <w:r w:rsidRPr="00A70C86">
        <w:t>:</w:t>
      </w:r>
      <w:bookmarkStart w:id="654" w:name="_Toc156383619"/>
      <w:bookmarkEnd w:id="651"/>
      <w:r w:rsidRPr="00A70C86">
        <w:t xml:space="preserve"> </w:t>
      </w:r>
      <w:r w:rsidR="00017CE7" w:rsidRPr="00A70C86">
        <w:t xml:space="preserve">Paraquat – </w:t>
      </w:r>
      <w:r w:rsidR="009A7378" w:rsidRPr="00A70C86">
        <w:t>Monitoring data</w:t>
      </w:r>
      <w:bookmarkEnd w:id="652"/>
      <w:bookmarkEnd w:id="653"/>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978"/>
        <w:gridCol w:w="1288"/>
        <w:gridCol w:w="5385"/>
        <w:gridCol w:w="1982"/>
      </w:tblGrid>
      <w:tr w:rsidR="009A7378" w:rsidRPr="00D63217" w14:paraId="06495C7C" w14:textId="77777777" w:rsidTr="00E53283">
        <w:trPr>
          <w:tblHeader/>
        </w:trPr>
        <w:tc>
          <w:tcPr>
            <w:tcW w:w="0" w:type="auto"/>
            <w:tcBorders>
              <w:bottom w:val="single" w:sz="4" w:space="0" w:color="auto"/>
            </w:tcBorders>
            <w:shd w:val="clear" w:color="auto" w:fill="5C2946"/>
          </w:tcPr>
          <w:p w14:paraId="46708043" w14:textId="77777777" w:rsidR="009A7378" w:rsidRPr="00D63217" w:rsidRDefault="009A7378" w:rsidP="005C1E35">
            <w:pPr>
              <w:pStyle w:val="TableHead"/>
            </w:pPr>
            <w:r w:rsidRPr="00D63217">
              <w:t>Substance</w:t>
            </w:r>
          </w:p>
        </w:tc>
        <w:tc>
          <w:tcPr>
            <w:tcW w:w="669" w:type="pct"/>
            <w:tcBorders>
              <w:bottom w:val="single" w:sz="4" w:space="0" w:color="auto"/>
            </w:tcBorders>
            <w:shd w:val="clear" w:color="auto" w:fill="5C2946"/>
          </w:tcPr>
          <w:p w14:paraId="64F56E84" w14:textId="77777777" w:rsidR="009A7378" w:rsidRPr="00D63217" w:rsidRDefault="009A7378" w:rsidP="005C1E35">
            <w:pPr>
              <w:pStyle w:val="TableHead"/>
            </w:pPr>
            <w:r w:rsidRPr="00D63217">
              <w:t>Medium</w:t>
            </w:r>
          </w:p>
        </w:tc>
        <w:tc>
          <w:tcPr>
            <w:tcW w:w="2796" w:type="pct"/>
            <w:tcBorders>
              <w:bottom w:val="single" w:sz="4" w:space="0" w:color="auto"/>
            </w:tcBorders>
            <w:shd w:val="clear" w:color="auto" w:fill="5C2946"/>
          </w:tcPr>
          <w:p w14:paraId="369DB889" w14:textId="77777777" w:rsidR="009A7378" w:rsidRPr="00D63217" w:rsidRDefault="009A7378" w:rsidP="005C1E35">
            <w:pPr>
              <w:pStyle w:val="TableHead"/>
            </w:pPr>
            <w:r w:rsidRPr="00D63217">
              <w:t>Result</w:t>
            </w:r>
          </w:p>
        </w:tc>
        <w:tc>
          <w:tcPr>
            <w:tcW w:w="1029" w:type="pct"/>
            <w:tcBorders>
              <w:bottom w:val="single" w:sz="4" w:space="0" w:color="auto"/>
            </w:tcBorders>
            <w:shd w:val="clear" w:color="auto" w:fill="5C2946"/>
          </w:tcPr>
          <w:p w14:paraId="5BBD3FE7" w14:textId="77777777" w:rsidR="009A7378" w:rsidRPr="00D63217" w:rsidRDefault="009A7378" w:rsidP="005C1E35">
            <w:pPr>
              <w:pStyle w:val="TableHead"/>
            </w:pPr>
            <w:r w:rsidRPr="00D63217">
              <w:t>Reference</w:t>
            </w:r>
          </w:p>
        </w:tc>
      </w:tr>
      <w:tr w:rsidR="009A7378" w:rsidRPr="00D63217" w14:paraId="00F7759C" w14:textId="77777777" w:rsidTr="00BF4B43">
        <w:tc>
          <w:tcPr>
            <w:tcW w:w="0" w:type="auto"/>
            <w:tcBorders>
              <w:top w:val="nil"/>
              <w:left w:val="nil"/>
              <w:bottom w:val="nil"/>
            </w:tcBorders>
          </w:tcPr>
          <w:p w14:paraId="476DB32C" w14:textId="77777777" w:rsidR="009A7378" w:rsidRPr="00D63217" w:rsidRDefault="009A7378" w:rsidP="004808C6">
            <w:pPr>
              <w:pStyle w:val="TableText"/>
              <w:spacing w:before="0" w:after="0" w:line="240" w:lineRule="auto"/>
              <w:rPr>
                <w:szCs w:val="17"/>
              </w:rPr>
            </w:pPr>
            <w:r w:rsidRPr="00D63217">
              <w:rPr>
                <w:szCs w:val="17"/>
              </w:rPr>
              <w:t>Paraquat</w:t>
            </w:r>
          </w:p>
        </w:tc>
        <w:tc>
          <w:tcPr>
            <w:tcW w:w="0" w:type="auto"/>
            <w:tcBorders>
              <w:top w:val="single" w:sz="4" w:space="0" w:color="auto"/>
              <w:left w:val="nil"/>
              <w:bottom w:val="single" w:sz="4" w:space="0" w:color="auto"/>
            </w:tcBorders>
          </w:tcPr>
          <w:p w14:paraId="567F8CAE" w14:textId="77777777" w:rsidR="009A7378" w:rsidRPr="00D63217" w:rsidRDefault="009A7378" w:rsidP="004808C6">
            <w:pPr>
              <w:pStyle w:val="TableText"/>
              <w:spacing w:before="0" w:after="0" w:line="240" w:lineRule="auto"/>
              <w:rPr>
                <w:szCs w:val="17"/>
              </w:rPr>
            </w:pPr>
            <w:r w:rsidRPr="00D63217">
              <w:rPr>
                <w:szCs w:val="17"/>
              </w:rPr>
              <w:t>Vegetation</w:t>
            </w:r>
          </w:p>
        </w:tc>
        <w:tc>
          <w:tcPr>
            <w:tcW w:w="2796" w:type="pct"/>
            <w:tcBorders>
              <w:top w:val="single" w:sz="4" w:space="0" w:color="auto"/>
              <w:bottom w:val="single" w:sz="4" w:space="0" w:color="auto"/>
            </w:tcBorders>
          </w:tcPr>
          <w:p w14:paraId="7644C60D" w14:textId="77777777" w:rsidR="009A7378" w:rsidRPr="00D63217" w:rsidRDefault="009A7378" w:rsidP="004808C6">
            <w:pPr>
              <w:pStyle w:val="TableText"/>
              <w:spacing w:before="0" w:after="0" w:line="240" w:lineRule="auto"/>
              <w:rPr>
                <w:szCs w:val="17"/>
              </w:rPr>
            </w:pPr>
            <w:r w:rsidRPr="00D63217">
              <w:rPr>
                <w:szCs w:val="17"/>
              </w:rPr>
              <w:t>No detectable uptake of paraquat residues from soil into the grain of wheat, corn or soybeans following annual applications of 1 kg ac/ha or one application up to 114 kg ac/ha</w:t>
            </w:r>
          </w:p>
        </w:tc>
        <w:tc>
          <w:tcPr>
            <w:tcW w:w="1029" w:type="pct"/>
            <w:tcBorders>
              <w:top w:val="single" w:sz="4" w:space="0" w:color="auto"/>
              <w:bottom w:val="single" w:sz="4" w:space="0" w:color="auto"/>
            </w:tcBorders>
          </w:tcPr>
          <w:p w14:paraId="476ECE91" w14:textId="3CAC5077" w:rsidR="009A7378" w:rsidRPr="00D63217" w:rsidRDefault="009A7378" w:rsidP="004808C6">
            <w:pPr>
              <w:pStyle w:val="TableText"/>
              <w:spacing w:before="0" w:after="0" w:line="240" w:lineRule="auto"/>
              <w:rPr>
                <w:szCs w:val="17"/>
              </w:rPr>
            </w:pPr>
            <w:r w:rsidRPr="00D63217">
              <w:rPr>
                <w:szCs w:val="17"/>
              </w:rPr>
              <w:t>Dyson et</w:t>
            </w:r>
            <w:r w:rsidR="00143F5A" w:rsidRPr="00D63217">
              <w:rPr>
                <w:szCs w:val="17"/>
              </w:rPr>
              <w:t xml:space="preserve"> al,</w:t>
            </w:r>
            <w:r w:rsidRPr="00D63217">
              <w:rPr>
                <w:szCs w:val="17"/>
              </w:rPr>
              <w:t xml:space="preserve"> 1995</w:t>
            </w:r>
          </w:p>
        </w:tc>
      </w:tr>
      <w:tr w:rsidR="009A7378" w:rsidRPr="00D63217" w14:paraId="58B1AD94" w14:textId="77777777" w:rsidTr="00BF4B43">
        <w:tc>
          <w:tcPr>
            <w:tcW w:w="0" w:type="auto"/>
            <w:tcBorders>
              <w:top w:val="nil"/>
              <w:left w:val="nil"/>
              <w:bottom w:val="nil"/>
            </w:tcBorders>
          </w:tcPr>
          <w:p w14:paraId="3067887C" w14:textId="77777777" w:rsidR="009A7378" w:rsidRPr="00D63217" w:rsidRDefault="009A7378" w:rsidP="004808C6">
            <w:pPr>
              <w:pStyle w:val="TableText"/>
              <w:keepNext/>
              <w:keepLines/>
              <w:spacing w:before="0" w:after="0" w:line="240" w:lineRule="auto"/>
              <w:rPr>
                <w:szCs w:val="17"/>
              </w:rPr>
            </w:pPr>
            <w:r w:rsidRPr="00D63217">
              <w:rPr>
                <w:szCs w:val="17"/>
              </w:rPr>
              <w:lastRenderedPageBreak/>
              <w:t>Paraquat</w:t>
            </w:r>
          </w:p>
        </w:tc>
        <w:tc>
          <w:tcPr>
            <w:tcW w:w="0" w:type="auto"/>
            <w:tcBorders>
              <w:top w:val="single" w:sz="4" w:space="0" w:color="auto"/>
              <w:left w:val="nil"/>
              <w:bottom w:val="nil"/>
            </w:tcBorders>
          </w:tcPr>
          <w:p w14:paraId="0EEBDA56" w14:textId="77777777" w:rsidR="009A7378" w:rsidRPr="00D63217" w:rsidRDefault="009A7378" w:rsidP="004808C6">
            <w:pPr>
              <w:pStyle w:val="TableText"/>
              <w:keepNext/>
              <w:keepLines/>
              <w:spacing w:before="0" w:after="0" w:line="240" w:lineRule="auto"/>
              <w:rPr>
                <w:szCs w:val="17"/>
              </w:rPr>
            </w:pPr>
            <w:r w:rsidRPr="00D63217">
              <w:rPr>
                <w:szCs w:val="17"/>
              </w:rPr>
              <w:t>Soil</w:t>
            </w:r>
          </w:p>
        </w:tc>
        <w:tc>
          <w:tcPr>
            <w:tcW w:w="2796" w:type="pct"/>
            <w:tcBorders>
              <w:top w:val="single" w:sz="4" w:space="0" w:color="auto"/>
              <w:bottom w:val="nil"/>
            </w:tcBorders>
          </w:tcPr>
          <w:p w14:paraId="0923D9B1" w14:textId="77777777" w:rsidR="009A7378" w:rsidRPr="00D63217" w:rsidRDefault="009A7378" w:rsidP="004808C6">
            <w:pPr>
              <w:pStyle w:val="TableText"/>
              <w:keepNext/>
              <w:keepLines/>
              <w:spacing w:before="0" w:after="0" w:line="240" w:lineRule="auto"/>
              <w:rPr>
                <w:szCs w:val="17"/>
              </w:rPr>
            </w:pPr>
            <w:r w:rsidRPr="00D63217">
              <w:rPr>
                <w:szCs w:val="17"/>
              </w:rPr>
              <w:t>Max 4.7 mg/kg in 10 soils following cumulative exposure up to 13 kg ac/ha after 10 years</w:t>
            </w:r>
          </w:p>
        </w:tc>
        <w:tc>
          <w:tcPr>
            <w:tcW w:w="1029" w:type="pct"/>
            <w:tcBorders>
              <w:top w:val="single" w:sz="4" w:space="0" w:color="auto"/>
              <w:bottom w:val="nil"/>
            </w:tcBorders>
          </w:tcPr>
          <w:p w14:paraId="3F631F39" w14:textId="3997BCBF" w:rsidR="009A7378" w:rsidRPr="00D63217" w:rsidRDefault="009A7378" w:rsidP="004808C6">
            <w:pPr>
              <w:pStyle w:val="TableText"/>
              <w:keepNext/>
              <w:keepLines/>
              <w:spacing w:before="0" w:after="0" w:line="240" w:lineRule="auto"/>
              <w:rPr>
                <w:szCs w:val="17"/>
              </w:rPr>
            </w:pPr>
            <w:r w:rsidRPr="00D63217">
              <w:rPr>
                <w:szCs w:val="17"/>
              </w:rPr>
              <w:t>Stevens et</w:t>
            </w:r>
            <w:r w:rsidR="00143F5A" w:rsidRPr="00D63217">
              <w:rPr>
                <w:szCs w:val="17"/>
              </w:rPr>
              <w:t xml:space="preserve"> al,</w:t>
            </w:r>
            <w:r w:rsidRPr="00D63217">
              <w:rPr>
                <w:szCs w:val="17"/>
              </w:rPr>
              <w:t xml:space="preserve"> 1988</w:t>
            </w:r>
          </w:p>
        </w:tc>
      </w:tr>
      <w:tr w:rsidR="009A7378" w:rsidRPr="00D63217" w14:paraId="1EDE7FE6" w14:textId="77777777" w:rsidTr="00BF4B43">
        <w:tc>
          <w:tcPr>
            <w:tcW w:w="0" w:type="auto"/>
            <w:tcBorders>
              <w:top w:val="nil"/>
              <w:left w:val="nil"/>
              <w:bottom w:val="nil"/>
            </w:tcBorders>
          </w:tcPr>
          <w:p w14:paraId="335CDD16" w14:textId="77777777" w:rsidR="009A7378" w:rsidRPr="00D63217" w:rsidRDefault="009A7378" w:rsidP="004808C6">
            <w:pPr>
              <w:pStyle w:val="TableText"/>
              <w:keepNext/>
              <w:keepLines/>
              <w:spacing w:before="0" w:after="0" w:line="240" w:lineRule="auto"/>
              <w:rPr>
                <w:szCs w:val="17"/>
              </w:rPr>
            </w:pPr>
          </w:p>
        </w:tc>
        <w:tc>
          <w:tcPr>
            <w:tcW w:w="0" w:type="auto"/>
            <w:tcBorders>
              <w:top w:val="nil"/>
              <w:left w:val="nil"/>
              <w:bottom w:val="nil"/>
            </w:tcBorders>
          </w:tcPr>
          <w:p w14:paraId="0C9A5210" w14:textId="77777777" w:rsidR="009A7378" w:rsidRPr="00D63217" w:rsidRDefault="009A7378" w:rsidP="004808C6">
            <w:pPr>
              <w:pStyle w:val="TableText"/>
              <w:keepNext/>
              <w:keepLines/>
              <w:spacing w:before="0" w:after="0" w:line="240" w:lineRule="auto"/>
              <w:rPr>
                <w:szCs w:val="17"/>
              </w:rPr>
            </w:pPr>
          </w:p>
        </w:tc>
        <w:tc>
          <w:tcPr>
            <w:tcW w:w="2796" w:type="pct"/>
            <w:tcBorders>
              <w:top w:val="nil"/>
              <w:bottom w:val="nil"/>
            </w:tcBorders>
          </w:tcPr>
          <w:p w14:paraId="174AE4B7" w14:textId="77777777" w:rsidR="009A7378" w:rsidRPr="00D63217" w:rsidRDefault="009A7378" w:rsidP="004808C6">
            <w:pPr>
              <w:pStyle w:val="TableText"/>
              <w:keepNext/>
              <w:keepLines/>
              <w:spacing w:before="0" w:after="0" w:line="240" w:lineRule="auto"/>
              <w:rPr>
                <w:szCs w:val="17"/>
              </w:rPr>
            </w:pPr>
            <w:r w:rsidRPr="00D63217">
              <w:rPr>
                <w:szCs w:val="17"/>
              </w:rPr>
              <w:t>Max 3.3 mg/kg in 31 soils following cumulative exposure up to 50 kg ac/ha over many years. One soil contained 38 mg/kg following cumulative exposure of 24 kg ac/ha.</w:t>
            </w:r>
          </w:p>
        </w:tc>
        <w:tc>
          <w:tcPr>
            <w:tcW w:w="1029" w:type="pct"/>
            <w:tcBorders>
              <w:top w:val="nil"/>
              <w:bottom w:val="nil"/>
            </w:tcBorders>
          </w:tcPr>
          <w:p w14:paraId="2F34FD19" w14:textId="77777777" w:rsidR="009A7378" w:rsidRPr="00D63217" w:rsidRDefault="009A7378" w:rsidP="004808C6">
            <w:pPr>
              <w:pStyle w:val="TableText"/>
              <w:keepNext/>
              <w:keepLines/>
              <w:spacing w:before="0" w:after="0" w:line="240" w:lineRule="auto"/>
              <w:rPr>
                <w:szCs w:val="17"/>
              </w:rPr>
            </w:pPr>
            <w:r w:rsidRPr="00D63217">
              <w:rPr>
                <w:szCs w:val="17"/>
              </w:rPr>
              <w:t>Stevens &amp; Bewick 1991</w:t>
            </w:r>
          </w:p>
        </w:tc>
      </w:tr>
      <w:tr w:rsidR="009A7378" w:rsidRPr="00D63217" w14:paraId="70627E03" w14:textId="77777777" w:rsidTr="00BF4B43">
        <w:tc>
          <w:tcPr>
            <w:tcW w:w="0" w:type="auto"/>
            <w:tcBorders>
              <w:top w:val="nil"/>
              <w:left w:val="nil"/>
              <w:bottom w:val="nil"/>
            </w:tcBorders>
          </w:tcPr>
          <w:p w14:paraId="58DD6FE6" w14:textId="77777777" w:rsidR="009A7378" w:rsidRPr="00D63217" w:rsidRDefault="009A7378" w:rsidP="004808C6">
            <w:pPr>
              <w:pStyle w:val="TableText"/>
              <w:keepNext/>
              <w:keepLines/>
              <w:spacing w:before="0" w:after="0" w:line="240" w:lineRule="auto"/>
              <w:rPr>
                <w:szCs w:val="17"/>
              </w:rPr>
            </w:pPr>
          </w:p>
        </w:tc>
        <w:tc>
          <w:tcPr>
            <w:tcW w:w="0" w:type="auto"/>
            <w:tcBorders>
              <w:top w:val="nil"/>
              <w:left w:val="nil"/>
              <w:bottom w:val="single" w:sz="4" w:space="0" w:color="auto"/>
            </w:tcBorders>
          </w:tcPr>
          <w:p w14:paraId="421AA01F" w14:textId="77777777" w:rsidR="009A7378" w:rsidRPr="00D63217" w:rsidRDefault="009A7378" w:rsidP="004808C6">
            <w:pPr>
              <w:pStyle w:val="TableText"/>
              <w:keepNext/>
              <w:keepLines/>
              <w:spacing w:before="0" w:after="0" w:line="240" w:lineRule="auto"/>
              <w:rPr>
                <w:szCs w:val="17"/>
              </w:rPr>
            </w:pPr>
          </w:p>
        </w:tc>
        <w:tc>
          <w:tcPr>
            <w:tcW w:w="2796" w:type="pct"/>
            <w:tcBorders>
              <w:top w:val="nil"/>
              <w:bottom w:val="single" w:sz="4" w:space="0" w:color="auto"/>
            </w:tcBorders>
          </w:tcPr>
          <w:p w14:paraId="127DAFBD" w14:textId="6D8E2C89" w:rsidR="009A7378" w:rsidRPr="00D63217" w:rsidRDefault="009A7378" w:rsidP="004808C6">
            <w:pPr>
              <w:pStyle w:val="TableText"/>
              <w:keepNext/>
              <w:keepLines/>
              <w:spacing w:before="0" w:after="0" w:line="240" w:lineRule="auto"/>
              <w:rPr>
                <w:szCs w:val="17"/>
              </w:rPr>
            </w:pPr>
            <w:r w:rsidRPr="00D63217">
              <w:rPr>
                <w:szCs w:val="17"/>
              </w:rPr>
              <w:t xml:space="preserve">&lt;40% residue decline was observed within 6 years of treatments ranging 0-120% SAC-WB in </w:t>
            </w:r>
            <w:r w:rsidR="004128B4" w:rsidRPr="00D63217">
              <w:rPr>
                <w:szCs w:val="17"/>
              </w:rPr>
              <w:t>3</w:t>
            </w:r>
            <w:r w:rsidRPr="00D63217">
              <w:rPr>
                <w:szCs w:val="17"/>
              </w:rPr>
              <w:t xml:space="preserve"> soils (SAC-WB 65, 80 and 300</w:t>
            </w:r>
            <w:r w:rsidR="002B660F" w:rsidRPr="00D63217">
              <w:rPr>
                <w:szCs w:val="17"/>
              </w:rPr>
              <w:t> </w:t>
            </w:r>
            <w:r w:rsidRPr="00D63217">
              <w:rPr>
                <w:szCs w:val="17"/>
              </w:rPr>
              <w:t>mg/kg)</w:t>
            </w:r>
          </w:p>
        </w:tc>
        <w:tc>
          <w:tcPr>
            <w:tcW w:w="1029" w:type="pct"/>
            <w:tcBorders>
              <w:top w:val="nil"/>
              <w:bottom w:val="single" w:sz="4" w:space="0" w:color="auto"/>
            </w:tcBorders>
          </w:tcPr>
          <w:p w14:paraId="7ACB9D67" w14:textId="0D30CB39" w:rsidR="009A7378" w:rsidRPr="00D63217" w:rsidRDefault="009A7378" w:rsidP="004808C6">
            <w:pPr>
              <w:pStyle w:val="TableText"/>
              <w:keepNext/>
              <w:keepLines/>
              <w:spacing w:before="0" w:after="0" w:line="240" w:lineRule="auto"/>
              <w:rPr>
                <w:szCs w:val="17"/>
              </w:rPr>
            </w:pPr>
            <w:r w:rsidRPr="00D63217">
              <w:rPr>
                <w:szCs w:val="17"/>
              </w:rPr>
              <w:t>Lane et</w:t>
            </w:r>
            <w:r w:rsidR="00143F5A" w:rsidRPr="00D63217">
              <w:rPr>
                <w:szCs w:val="17"/>
              </w:rPr>
              <w:t xml:space="preserve"> al,</w:t>
            </w:r>
            <w:r w:rsidRPr="00D63217">
              <w:rPr>
                <w:szCs w:val="17"/>
              </w:rPr>
              <w:t xml:space="preserve"> 1992, Lane &amp; Bouwman 2000</w:t>
            </w:r>
          </w:p>
        </w:tc>
      </w:tr>
      <w:tr w:rsidR="009A7378" w:rsidRPr="00D63217" w14:paraId="7ADC5D09" w14:textId="77777777" w:rsidTr="00BF4B43">
        <w:tc>
          <w:tcPr>
            <w:tcW w:w="0" w:type="auto"/>
            <w:tcBorders>
              <w:top w:val="nil"/>
              <w:left w:val="nil"/>
              <w:bottom w:val="single" w:sz="4" w:space="0" w:color="auto"/>
            </w:tcBorders>
          </w:tcPr>
          <w:p w14:paraId="0D893433" w14:textId="77777777" w:rsidR="009A7378" w:rsidRPr="00D63217" w:rsidRDefault="009A7378" w:rsidP="004808C6">
            <w:pPr>
              <w:pStyle w:val="TableText"/>
              <w:spacing w:before="0" w:after="0" w:line="240" w:lineRule="auto"/>
              <w:rPr>
                <w:szCs w:val="17"/>
              </w:rPr>
            </w:pPr>
          </w:p>
        </w:tc>
        <w:tc>
          <w:tcPr>
            <w:tcW w:w="0" w:type="auto"/>
            <w:tcBorders>
              <w:top w:val="single" w:sz="4" w:space="0" w:color="auto"/>
              <w:left w:val="nil"/>
              <w:bottom w:val="single" w:sz="4" w:space="0" w:color="auto"/>
            </w:tcBorders>
          </w:tcPr>
          <w:p w14:paraId="63A44CC9" w14:textId="77777777" w:rsidR="009A7378" w:rsidRPr="00D63217" w:rsidRDefault="009A7378" w:rsidP="004808C6">
            <w:pPr>
              <w:pStyle w:val="TableText"/>
              <w:spacing w:before="0" w:after="0" w:line="240" w:lineRule="auto"/>
              <w:rPr>
                <w:szCs w:val="17"/>
              </w:rPr>
            </w:pPr>
            <w:r w:rsidRPr="00D63217">
              <w:rPr>
                <w:szCs w:val="17"/>
              </w:rPr>
              <w:t>Water</w:t>
            </w:r>
          </w:p>
        </w:tc>
        <w:tc>
          <w:tcPr>
            <w:tcW w:w="2796" w:type="pct"/>
            <w:tcBorders>
              <w:top w:val="single" w:sz="4" w:space="0" w:color="auto"/>
              <w:bottom w:val="single" w:sz="4" w:space="0" w:color="auto"/>
            </w:tcBorders>
          </w:tcPr>
          <w:p w14:paraId="3122A711" w14:textId="77777777" w:rsidR="009A7378" w:rsidRPr="00D63217" w:rsidRDefault="009A7378" w:rsidP="004808C6">
            <w:pPr>
              <w:pStyle w:val="TableText"/>
              <w:spacing w:before="0" w:after="0" w:line="240" w:lineRule="auto"/>
              <w:rPr>
                <w:szCs w:val="17"/>
              </w:rPr>
            </w:pPr>
            <w:r w:rsidRPr="00D63217">
              <w:rPr>
                <w:szCs w:val="17"/>
              </w:rPr>
              <w:t xml:space="preserve">No detectable residues in water from a furrow irrigation system following application of SL 276 g/L formulation in sweet corn up to 1725 g ac/ha </w:t>
            </w:r>
          </w:p>
        </w:tc>
        <w:tc>
          <w:tcPr>
            <w:tcW w:w="1029" w:type="pct"/>
            <w:tcBorders>
              <w:top w:val="single" w:sz="4" w:space="0" w:color="auto"/>
              <w:bottom w:val="single" w:sz="4" w:space="0" w:color="auto"/>
            </w:tcBorders>
          </w:tcPr>
          <w:p w14:paraId="19700E2C" w14:textId="77777777" w:rsidR="009A7378" w:rsidRPr="00D63217" w:rsidRDefault="009A7378" w:rsidP="004808C6">
            <w:pPr>
              <w:pStyle w:val="TableText"/>
              <w:spacing w:before="0" w:after="0" w:line="240" w:lineRule="auto"/>
              <w:rPr>
                <w:szCs w:val="17"/>
              </w:rPr>
            </w:pPr>
            <w:r w:rsidRPr="00D63217">
              <w:rPr>
                <w:szCs w:val="17"/>
              </w:rPr>
              <w:t>Evans 2006</w:t>
            </w:r>
          </w:p>
        </w:tc>
      </w:tr>
    </w:tbl>
    <w:p w14:paraId="72EA252B" w14:textId="01163141" w:rsidR="009A7378" w:rsidRPr="00A70C86" w:rsidRDefault="00F012C6" w:rsidP="00A70C86">
      <w:pPr>
        <w:pStyle w:val="Caption"/>
      </w:pPr>
      <w:bookmarkStart w:id="655" w:name="_Toc230692325"/>
      <w:bookmarkStart w:id="656" w:name="_Toc233036546"/>
      <w:bookmarkStart w:id="657" w:name="_Toc156383620"/>
      <w:bookmarkEnd w:id="654"/>
      <w:r w:rsidRPr="00A70C86">
        <w:t xml:space="preserve">Table </w:t>
      </w:r>
      <w:fldSimple w:instr=" SEQ Table \* ARABIC ">
        <w:r w:rsidR="00A70C86">
          <w:rPr>
            <w:noProof/>
          </w:rPr>
          <w:t>59</w:t>
        </w:r>
      </w:fldSimple>
      <w:r w:rsidRPr="00A70C86">
        <w:t xml:space="preserve">: </w:t>
      </w:r>
      <w:r w:rsidR="00017CE7" w:rsidRPr="00A70C86">
        <w:t xml:space="preserve">Paraquat – </w:t>
      </w:r>
      <w:r w:rsidR="009A7378" w:rsidRPr="00A70C86">
        <w:t>Laboratory studies on terrestrial vertebrates</w:t>
      </w:r>
      <w:bookmarkEnd w:id="655"/>
      <w:bookmarkEnd w:id="6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1"/>
        <w:gridCol w:w="893"/>
        <w:gridCol w:w="867"/>
        <w:gridCol w:w="1883"/>
        <w:gridCol w:w="2551"/>
        <w:gridCol w:w="2403"/>
      </w:tblGrid>
      <w:tr w:rsidR="009A7378" w:rsidRPr="00D63217" w14:paraId="3568A90F" w14:textId="77777777" w:rsidTr="00A70C86">
        <w:trPr>
          <w:tblHeader/>
        </w:trPr>
        <w:tc>
          <w:tcPr>
            <w:tcW w:w="0" w:type="auto"/>
            <w:tcBorders>
              <w:bottom w:val="single" w:sz="4" w:space="0" w:color="auto"/>
            </w:tcBorders>
            <w:shd w:val="clear" w:color="auto" w:fill="5C2946"/>
          </w:tcPr>
          <w:p w14:paraId="1BA0C90D" w14:textId="77777777" w:rsidR="009A7378" w:rsidRPr="00D63217" w:rsidRDefault="009A7378" w:rsidP="004808C6">
            <w:pPr>
              <w:pStyle w:val="TableHead"/>
              <w:spacing w:before="0" w:after="0" w:line="240" w:lineRule="auto"/>
            </w:pPr>
            <w:bookmarkStart w:id="658" w:name="_Hlk155256600"/>
            <w:r w:rsidRPr="00D63217">
              <w:t>Substance</w:t>
            </w:r>
          </w:p>
        </w:tc>
        <w:tc>
          <w:tcPr>
            <w:tcW w:w="464" w:type="pct"/>
            <w:tcBorders>
              <w:bottom w:val="single" w:sz="4" w:space="0" w:color="auto"/>
            </w:tcBorders>
            <w:shd w:val="clear" w:color="auto" w:fill="5C2946"/>
          </w:tcPr>
          <w:p w14:paraId="024DB6E4" w14:textId="77777777" w:rsidR="009A7378" w:rsidRPr="00D63217" w:rsidRDefault="009A7378" w:rsidP="004808C6">
            <w:pPr>
              <w:pStyle w:val="TableHead"/>
              <w:spacing w:before="0" w:after="0" w:line="240" w:lineRule="auto"/>
            </w:pPr>
            <w:r w:rsidRPr="00D63217">
              <w:t>Group</w:t>
            </w:r>
          </w:p>
        </w:tc>
        <w:tc>
          <w:tcPr>
            <w:tcW w:w="450" w:type="pct"/>
            <w:tcBorders>
              <w:bottom w:val="single" w:sz="4" w:space="0" w:color="auto"/>
            </w:tcBorders>
            <w:shd w:val="clear" w:color="auto" w:fill="5C2946"/>
          </w:tcPr>
          <w:p w14:paraId="7A6E0105" w14:textId="77777777" w:rsidR="009A7378" w:rsidRPr="00D63217" w:rsidRDefault="009A7378" w:rsidP="004808C6">
            <w:pPr>
              <w:pStyle w:val="TableHead"/>
              <w:spacing w:before="0" w:after="0" w:line="240" w:lineRule="auto"/>
            </w:pPr>
            <w:r w:rsidRPr="00D63217">
              <w:t>Exposure</w:t>
            </w:r>
          </w:p>
        </w:tc>
        <w:tc>
          <w:tcPr>
            <w:tcW w:w="978" w:type="pct"/>
            <w:tcBorders>
              <w:bottom w:val="single" w:sz="4" w:space="0" w:color="auto"/>
            </w:tcBorders>
            <w:shd w:val="clear" w:color="auto" w:fill="5C2946"/>
          </w:tcPr>
          <w:p w14:paraId="692A25DC" w14:textId="77777777" w:rsidR="009A7378" w:rsidRPr="00D63217" w:rsidRDefault="009A7378" w:rsidP="004808C6">
            <w:pPr>
              <w:pStyle w:val="TableHead"/>
              <w:spacing w:before="0" w:after="0" w:line="240" w:lineRule="auto"/>
            </w:pPr>
            <w:r w:rsidRPr="00D63217">
              <w:t>Species</w:t>
            </w:r>
          </w:p>
        </w:tc>
        <w:tc>
          <w:tcPr>
            <w:tcW w:w="1325" w:type="pct"/>
            <w:tcBorders>
              <w:bottom w:val="single" w:sz="4" w:space="0" w:color="auto"/>
            </w:tcBorders>
            <w:shd w:val="clear" w:color="auto" w:fill="5C2946"/>
          </w:tcPr>
          <w:p w14:paraId="10FB623C" w14:textId="77777777" w:rsidR="009A7378" w:rsidRPr="00D63217" w:rsidRDefault="009A7378" w:rsidP="004808C6">
            <w:pPr>
              <w:pStyle w:val="TableHead"/>
              <w:spacing w:before="0" w:after="0" w:line="240" w:lineRule="auto"/>
            </w:pPr>
            <w:r w:rsidRPr="00D63217">
              <w:t>Toxicity value</w:t>
            </w:r>
            <w:r w:rsidRPr="00D63217">
              <w:rPr>
                <w:rStyle w:val="FootnoteReference"/>
                <w:b/>
                <w:sz w:val="17"/>
                <w:szCs w:val="17"/>
              </w:rPr>
              <w:footnoteReference w:id="43"/>
            </w:r>
          </w:p>
        </w:tc>
        <w:tc>
          <w:tcPr>
            <w:tcW w:w="1248" w:type="pct"/>
            <w:tcBorders>
              <w:bottom w:val="single" w:sz="4" w:space="0" w:color="auto"/>
            </w:tcBorders>
            <w:shd w:val="clear" w:color="auto" w:fill="5C2946"/>
          </w:tcPr>
          <w:p w14:paraId="16F44E33" w14:textId="77777777" w:rsidR="009A7378" w:rsidRPr="00D63217" w:rsidRDefault="009A7378" w:rsidP="004808C6">
            <w:pPr>
              <w:pStyle w:val="TableHead"/>
              <w:spacing w:before="0" w:after="0" w:line="240" w:lineRule="auto"/>
            </w:pPr>
            <w:r w:rsidRPr="00D63217">
              <w:t>Reference</w:t>
            </w:r>
          </w:p>
        </w:tc>
      </w:tr>
      <w:tr w:rsidR="009A7378" w:rsidRPr="00D63217" w14:paraId="5F4C8DB5" w14:textId="77777777" w:rsidTr="00017CE7">
        <w:tc>
          <w:tcPr>
            <w:tcW w:w="0" w:type="auto"/>
            <w:tcBorders>
              <w:top w:val="single" w:sz="4" w:space="0" w:color="auto"/>
              <w:left w:val="nil"/>
              <w:bottom w:val="nil"/>
              <w:right w:val="nil"/>
            </w:tcBorders>
          </w:tcPr>
          <w:p w14:paraId="0B2A7693" w14:textId="77777777" w:rsidR="009A7378" w:rsidRPr="00D63217" w:rsidRDefault="009A7378" w:rsidP="004808C6">
            <w:pPr>
              <w:pStyle w:val="TableText"/>
              <w:spacing w:before="0" w:after="0" w:line="240" w:lineRule="auto"/>
              <w:rPr>
                <w:szCs w:val="17"/>
              </w:rPr>
            </w:pPr>
            <w:bookmarkStart w:id="660" w:name="_Hlk153972425"/>
            <w:r w:rsidRPr="00D63217">
              <w:rPr>
                <w:szCs w:val="17"/>
              </w:rPr>
              <w:t>Paraquat</w:t>
            </w:r>
          </w:p>
        </w:tc>
        <w:tc>
          <w:tcPr>
            <w:tcW w:w="464" w:type="pct"/>
            <w:tcBorders>
              <w:top w:val="single" w:sz="4" w:space="0" w:color="auto"/>
              <w:left w:val="nil"/>
              <w:bottom w:val="nil"/>
              <w:right w:val="nil"/>
            </w:tcBorders>
          </w:tcPr>
          <w:p w14:paraId="77139BDF" w14:textId="77777777" w:rsidR="009A7378" w:rsidRPr="00D63217" w:rsidRDefault="009A7378" w:rsidP="004808C6">
            <w:pPr>
              <w:pStyle w:val="TableText"/>
              <w:spacing w:before="0" w:after="0" w:line="240" w:lineRule="auto"/>
              <w:rPr>
                <w:szCs w:val="17"/>
              </w:rPr>
            </w:pPr>
            <w:r w:rsidRPr="00D63217">
              <w:rPr>
                <w:szCs w:val="17"/>
              </w:rPr>
              <w:t>Mammals</w:t>
            </w:r>
          </w:p>
        </w:tc>
        <w:tc>
          <w:tcPr>
            <w:tcW w:w="450" w:type="pct"/>
            <w:tcBorders>
              <w:top w:val="single" w:sz="4" w:space="0" w:color="auto"/>
              <w:left w:val="nil"/>
              <w:bottom w:val="nil"/>
              <w:right w:val="nil"/>
            </w:tcBorders>
          </w:tcPr>
          <w:p w14:paraId="464FBC3D" w14:textId="77777777" w:rsidR="009A7378" w:rsidRPr="00D63217" w:rsidRDefault="009A7378" w:rsidP="004808C6">
            <w:pPr>
              <w:pStyle w:val="TableText"/>
              <w:spacing w:before="0" w:after="0" w:line="240" w:lineRule="auto"/>
              <w:rPr>
                <w:szCs w:val="17"/>
              </w:rPr>
            </w:pPr>
            <w:r w:rsidRPr="00D63217">
              <w:rPr>
                <w:szCs w:val="17"/>
              </w:rPr>
              <w:t>Acute</w:t>
            </w:r>
          </w:p>
        </w:tc>
        <w:tc>
          <w:tcPr>
            <w:tcW w:w="978" w:type="pct"/>
            <w:tcBorders>
              <w:top w:val="single" w:sz="4" w:space="0" w:color="auto"/>
              <w:left w:val="nil"/>
              <w:bottom w:val="nil"/>
              <w:right w:val="nil"/>
            </w:tcBorders>
          </w:tcPr>
          <w:p w14:paraId="7BF53E4F" w14:textId="77777777" w:rsidR="009A7378" w:rsidRPr="00D63217" w:rsidRDefault="009A7378" w:rsidP="004808C6">
            <w:pPr>
              <w:pStyle w:val="TableText"/>
              <w:spacing w:before="0" w:after="0" w:line="240" w:lineRule="auto"/>
              <w:rPr>
                <w:szCs w:val="17"/>
              </w:rPr>
            </w:pPr>
            <w:r w:rsidRPr="00D63217">
              <w:rPr>
                <w:i/>
                <w:iCs/>
                <w:szCs w:val="17"/>
              </w:rPr>
              <w:t>Rattus norvegicus</w:t>
            </w:r>
          </w:p>
        </w:tc>
        <w:tc>
          <w:tcPr>
            <w:tcW w:w="1325" w:type="pct"/>
            <w:tcBorders>
              <w:top w:val="single" w:sz="4" w:space="0" w:color="auto"/>
              <w:left w:val="nil"/>
              <w:bottom w:val="nil"/>
              <w:right w:val="nil"/>
            </w:tcBorders>
          </w:tcPr>
          <w:p w14:paraId="0A6447DA"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103 mg ac/kg bw</w:t>
            </w:r>
          </w:p>
        </w:tc>
        <w:tc>
          <w:tcPr>
            <w:tcW w:w="1248" w:type="pct"/>
            <w:tcBorders>
              <w:top w:val="single" w:sz="4" w:space="0" w:color="auto"/>
              <w:left w:val="nil"/>
              <w:bottom w:val="nil"/>
              <w:right w:val="nil"/>
            </w:tcBorders>
          </w:tcPr>
          <w:p w14:paraId="44252015" w14:textId="77777777" w:rsidR="009A7378" w:rsidRPr="00D63217" w:rsidRDefault="009A7378" w:rsidP="004808C6">
            <w:pPr>
              <w:pStyle w:val="TableText"/>
              <w:spacing w:before="0" w:after="0" w:line="240" w:lineRule="auto"/>
              <w:rPr>
                <w:szCs w:val="17"/>
              </w:rPr>
            </w:pPr>
            <w:r w:rsidRPr="00D63217">
              <w:rPr>
                <w:szCs w:val="17"/>
              </w:rPr>
              <w:t>Duerden 1994</w:t>
            </w:r>
          </w:p>
        </w:tc>
      </w:tr>
      <w:tr w:rsidR="009A7378" w:rsidRPr="00D63217" w14:paraId="4A3883AD" w14:textId="77777777" w:rsidTr="00017CE7">
        <w:tc>
          <w:tcPr>
            <w:tcW w:w="0" w:type="auto"/>
            <w:tcBorders>
              <w:top w:val="nil"/>
              <w:left w:val="nil"/>
              <w:bottom w:val="nil"/>
              <w:right w:val="nil"/>
            </w:tcBorders>
          </w:tcPr>
          <w:p w14:paraId="16E54EEB"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76115201"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1183D8E4" w14:textId="77777777" w:rsidR="009A7378" w:rsidRPr="00D63217" w:rsidRDefault="009A7378" w:rsidP="004808C6">
            <w:pPr>
              <w:pStyle w:val="TableText"/>
              <w:spacing w:before="0" w:after="0" w:line="240" w:lineRule="auto"/>
              <w:rPr>
                <w:szCs w:val="17"/>
              </w:rPr>
            </w:pPr>
          </w:p>
        </w:tc>
        <w:tc>
          <w:tcPr>
            <w:tcW w:w="978" w:type="pct"/>
            <w:tcBorders>
              <w:top w:val="nil"/>
              <w:left w:val="nil"/>
              <w:bottom w:val="nil"/>
              <w:right w:val="nil"/>
            </w:tcBorders>
          </w:tcPr>
          <w:p w14:paraId="0A24654B" w14:textId="77777777" w:rsidR="009A7378" w:rsidRPr="00D63217" w:rsidRDefault="009A7378" w:rsidP="004808C6">
            <w:pPr>
              <w:pStyle w:val="TableText"/>
              <w:spacing w:before="0" w:after="0" w:line="240" w:lineRule="auto"/>
              <w:rPr>
                <w:i/>
                <w:iCs/>
                <w:szCs w:val="17"/>
              </w:rPr>
            </w:pPr>
          </w:p>
        </w:tc>
        <w:tc>
          <w:tcPr>
            <w:tcW w:w="1325" w:type="pct"/>
            <w:tcBorders>
              <w:top w:val="nil"/>
              <w:left w:val="nil"/>
              <w:bottom w:val="nil"/>
              <w:right w:val="nil"/>
            </w:tcBorders>
          </w:tcPr>
          <w:p w14:paraId="314EA625"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105 mg ac/kg bw</w:t>
            </w:r>
          </w:p>
        </w:tc>
        <w:tc>
          <w:tcPr>
            <w:tcW w:w="1248" w:type="pct"/>
            <w:tcBorders>
              <w:top w:val="nil"/>
              <w:left w:val="nil"/>
              <w:bottom w:val="nil"/>
              <w:right w:val="nil"/>
            </w:tcBorders>
          </w:tcPr>
          <w:p w14:paraId="3148A040" w14:textId="77777777" w:rsidR="009A7378" w:rsidRPr="00D63217" w:rsidRDefault="009A7378" w:rsidP="004808C6">
            <w:pPr>
              <w:pStyle w:val="TableText"/>
              <w:spacing w:before="0" w:after="0" w:line="240" w:lineRule="auto"/>
              <w:rPr>
                <w:szCs w:val="17"/>
              </w:rPr>
            </w:pPr>
            <w:r w:rsidRPr="00D63217">
              <w:rPr>
                <w:szCs w:val="17"/>
              </w:rPr>
              <w:t>Kimbrough &amp; Gaines 1970</w:t>
            </w:r>
          </w:p>
        </w:tc>
      </w:tr>
      <w:tr w:rsidR="009A7378" w:rsidRPr="00D63217" w14:paraId="34724300" w14:textId="77777777" w:rsidTr="00017CE7">
        <w:tc>
          <w:tcPr>
            <w:tcW w:w="0" w:type="auto"/>
            <w:tcBorders>
              <w:top w:val="nil"/>
              <w:left w:val="nil"/>
              <w:bottom w:val="nil"/>
              <w:right w:val="nil"/>
            </w:tcBorders>
          </w:tcPr>
          <w:p w14:paraId="7520682C"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77496880"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563AF4E7" w14:textId="77777777" w:rsidR="009A7378" w:rsidRPr="00D63217" w:rsidRDefault="009A7378" w:rsidP="004808C6">
            <w:pPr>
              <w:pStyle w:val="TableText"/>
              <w:spacing w:before="0" w:after="0" w:line="240" w:lineRule="auto"/>
              <w:rPr>
                <w:szCs w:val="17"/>
              </w:rPr>
            </w:pPr>
          </w:p>
        </w:tc>
        <w:tc>
          <w:tcPr>
            <w:tcW w:w="978" w:type="pct"/>
            <w:tcBorders>
              <w:top w:val="nil"/>
              <w:left w:val="nil"/>
              <w:bottom w:val="nil"/>
              <w:right w:val="nil"/>
            </w:tcBorders>
          </w:tcPr>
          <w:p w14:paraId="2ED22C3E" w14:textId="77777777" w:rsidR="009A7378" w:rsidRPr="00D63217" w:rsidRDefault="009A7378" w:rsidP="004808C6">
            <w:pPr>
              <w:pStyle w:val="TableText"/>
              <w:spacing w:before="0" w:after="0" w:line="240" w:lineRule="auto"/>
              <w:rPr>
                <w:i/>
                <w:iCs/>
                <w:szCs w:val="17"/>
              </w:rPr>
            </w:pPr>
          </w:p>
        </w:tc>
        <w:tc>
          <w:tcPr>
            <w:tcW w:w="1325" w:type="pct"/>
            <w:tcBorders>
              <w:top w:val="nil"/>
              <w:left w:val="nil"/>
              <w:bottom w:val="nil"/>
              <w:right w:val="nil"/>
            </w:tcBorders>
          </w:tcPr>
          <w:p w14:paraId="4FF816B2"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126 mg ac/kg bw</w:t>
            </w:r>
          </w:p>
        </w:tc>
        <w:tc>
          <w:tcPr>
            <w:tcW w:w="1248" w:type="pct"/>
            <w:tcBorders>
              <w:top w:val="nil"/>
              <w:left w:val="nil"/>
              <w:bottom w:val="nil"/>
              <w:right w:val="nil"/>
            </w:tcBorders>
          </w:tcPr>
          <w:p w14:paraId="7B8B9223" w14:textId="77777777" w:rsidR="009A7378" w:rsidRPr="00D63217" w:rsidRDefault="009A7378" w:rsidP="004808C6">
            <w:pPr>
              <w:pStyle w:val="TableText"/>
              <w:spacing w:before="0" w:after="0" w:line="240" w:lineRule="auto"/>
              <w:rPr>
                <w:szCs w:val="17"/>
              </w:rPr>
            </w:pPr>
            <w:r w:rsidRPr="00D63217">
              <w:rPr>
                <w:szCs w:val="17"/>
              </w:rPr>
              <w:t>Murray &amp; Gibson 1972</w:t>
            </w:r>
          </w:p>
        </w:tc>
      </w:tr>
      <w:tr w:rsidR="009A7378" w:rsidRPr="00D63217" w14:paraId="50EACB11" w14:textId="77777777" w:rsidTr="00017CE7">
        <w:tc>
          <w:tcPr>
            <w:tcW w:w="0" w:type="auto"/>
            <w:tcBorders>
              <w:top w:val="nil"/>
              <w:left w:val="nil"/>
              <w:bottom w:val="nil"/>
              <w:right w:val="nil"/>
            </w:tcBorders>
          </w:tcPr>
          <w:p w14:paraId="1E811B43"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59FF9F06"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3E84802C" w14:textId="77777777" w:rsidR="009A7378" w:rsidRPr="00D63217" w:rsidRDefault="009A7378" w:rsidP="004808C6">
            <w:pPr>
              <w:pStyle w:val="TableText"/>
              <w:spacing w:before="0" w:after="0" w:line="240" w:lineRule="auto"/>
              <w:rPr>
                <w:szCs w:val="17"/>
              </w:rPr>
            </w:pPr>
          </w:p>
        </w:tc>
        <w:tc>
          <w:tcPr>
            <w:tcW w:w="2303" w:type="pct"/>
            <w:gridSpan w:val="2"/>
            <w:tcBorders>
              <w:top w:val="nil"/>
              <w:left w:val="nil"/>
              <w:bottom w:val="single" w:sz="4" w:space="0" w:color="auto"/>
              <w:right w:val="nil"/>
            </w:tcBorders>
          </w:tcPr>
          <w:p w14:paraId="7C35ED66" w14:textId="77777777" w:rsidR="009A7378" w:rsidRPr="00D63217" w:rsidRDefault="009A7378" w:rsidP="004808C6">
            <w:pPr>
              <w:pStyle w:val="TableText"/>
              <w:spacing w:before="0" w:after="0" w:line="240" w:lineRule="auto"/>
              <w:rPr>
                <w:szCs w:val="17"/>
              </w:rPr>
            </w:pPr>
            <w:r w:rsidRPr="00D63217">
              <w:rPr>
                <w:szCs w:val="17"/>
              </w:rPr>
              <w:t>Geomean LD</w:t>
            </w:r>
            <w:r w:rsidRPr="00D63217">
              <w:rPr>
                <w:szCs w:val="17"/>
                <w:vertAlign w:val="subscript"/>
              </w:rPr>
              <w:t>50</w:t>
            </w:r>
            <w:r w:rsidRPr="00D63217">
              <w:rPr>
                <w:szCs w:val="17"/>
              </w:rPr>
              <w:t xml:space="preserve"> 111 mg ac/kg bw</w:t>
            </w:r>
          </w:p>
        </w:tc>
        <w:tc>
          <w:tcPr>
            <w:tcW w:w="1248" w:type="pct"/>
            <w:tcBorders>
              <w:top w:val="nil"/>
              <w:left w:val="nil"/>
              <w:bottom w:val="single" w:sz="4" w:space="0" w:color="auto"/>
              <w:right w:val="nil"/>
            </w:tcBorders>
          </w:tcPr>
          <w:p w14:paraId="3BE164F4" w14:textId="77777777" w:rsidR="009A7378" w:rsidRPr="00D63217" w:rsidRDefault="009A7378" w:rsidP="004808C6">
            <w:pPr>
              <w:pStyle w:val="TableText"/>
              <w:spacing w:before="0" w:after="0" w:line="240" w:lineRule="auto"/>
              <w:rPr>
                <w:szCs w:val="17"/>
              </w:rPr>
            </w:pPr>
          </w:p>
        </w:tc>
      </w:tr>
      <w:tr w:rsidR="009A7378" w:rsidRPr="00D63217" w14:paraId="20C33D94" w14:textId="77777777" w:rsidTr="00017CE7">
        <w:tc>
          <w:tcPr>
            <w:tcW w:w="0" w:type="auto"/>
            <w:tcBorders>
              <w:top w:val="nil"/>
              <w:left w:val="nil"/>
              <w:bottom w:val="nil"/>
              <w:right w:val="nil"/>
            </w:tcBorders>
          </w:tcPr>
          <w:p w14:paraId="5A7D30A1"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0FBF6815"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3D08AE11" w14:textId="77777777" w:rsidR="009A7378" w:rsidRPr="00D63217" w:rsidRDefault="009A7378" w:rsidP="004808C6">
            <w:pPr>
              <w:pStyle w:val="TableText"/>
              <w:spacing w:before="0" w:after="0" w:line="240" w:lineRule="auto"/>
              <w:rPr>
                <w:szCs w:val="17"/>
              </w:rPr>
            </w:pPr>
          </w:p>
        </w:tc>
        <w:tc>
          <w:tcPr>
            <w:tcW w:w="978" w:type="pct"/>
            <w:tcBorders>
              <w:top w:val="single" w:sz="4" w:space="0" w:color="auto"/>
              <w:left w:val="nil"/>
              <w:bottom w:val="nil"/>
              <w:right w:val="nil"/>
            </w:tcBorders>
          </w:tcPr>
          <w:p w14:paraId="110AA41C" w14:textId="77777777" w:rsidR="009A7378" w:rsidRPr="00D63217" w:rsidRDefault="009A7378" w:rsidP="004808C6">
            <w:pPr>
              <w:pStyle w:val="TableText"/>
              <w:spacing w:before="0" w:after="0" w:line="240" w:lineRule="auto"/>
              <w:rPr>
                <w:i/>
                <w:iCs/>
                <w:szCs w:val="17"/>
              </w:rPr>
            </w:pPr>
            <w:r w:rsidRPr="00D63217">
              <w:rPr>
                <w:i/>
                <w:iCs/>
                <w:szCs w:val="17"/>
              </w:rPr>
              <w:t>Mus musculus</w:t>
            </w:r>
          </w:p>
        </w:tc>
        <w:tc>
          <w:tcPr>
            <w:tcW w:w="1325" w:type="pct"/>
            <w:tcBorders>
              <w:top w:val="single" w:sz="4" w:space="0" w:color="auto"/>
              <w:left w:val="nil"/>
              <w:bottom w:val="nil"/>
              <w:right w:val="nil"/>
            </w:tcBorders>
          </w:tcPr>
          <w:p w14:paraId="60468928"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102 mg ac/kg bw</w:t>
            </w:r>
          </w:p>
        </w:tc>
        <w:tc>
          <w:tcPr>
            <w:tcW w:w="1248" w:type="pct"/>
            <w:tcBorders>
              <w:top w:val="single" w:sz="4" w:space="0" w:color="auto"/>
              <w:left w:val="nil"/>
              <w:bottom w:val="nil"/>
              <w:right w:val="nil"/>
            </w:tcBorders>
          </w:tcPr>
          <w:p w14:paraId="0D08AC36" w14:textId="77777777" w:rsidR="009A7378" w:rsidRPr="00D63217" w:rsidRDefault="009A7378" w:rsidP="004808C6">
            <w:pPr>
              <w:pStyle w:val="TableText"/>
              <w:spacing w:before="0" w:after="0" w:line="240" w:lineRule="auto"/>
              <w:rPr>
                <w:szCs w:val="17"/>
              </w:rPr>
            </w:pPr>
            <w:r w:rsidRPr="00D63217">
              <w:rPr>
                <w:szCs w:val="17"/>
              </w:rPr>
              <w:t>Fletcher 1967</w:t>
            </w:r>
          </w:p>
        </w:tc>
      </w:tr>
      <w:tr w:rsidR="009A7378" w:rsidRPr="00D63217" w14:paraId="01604FE2" w14:textId="77777777" w:rsidTr="00017CE7">
        <w:tc>
          <w:tcPr>
            <w:tcW w:w="0" w:type="auto"/>
            <w:tcBorders>
              <w:top w:val="nil"/>
              <w:left w:val="nil"/>
              <w:bottom w:val="nil"/>
              <w:right w:val="nil"/>
            </w:tcBorders>
          </w:tcPr>
          <w:p w14:paraId="7D1E25D0"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089D8E9B"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1F749578" w14:textId="77777777" w:rsidR="009A7378" w:rsidRPr="00D63217" w:rsidRDefault="009A7378" w:rsidP="004808C6">
            <w:pPr>
              <w:pStyle w:val="TableText"/>
              <w:spacing w:before="0" w:after="0" w:line="240" w:lineRule="auto"/>
              <w:rPr>
                <w:szCs w:val="17"/>
              </w:rPr>
            </w:pPr>
          </w:p>
        </w:tc>
        <w:tc>
          <w:tcPr>
            <w:tcW w:w="978" w:type="pct"/>
            <w:tcBorders>
              <w:top w:val="nil"/>
              <w:left w:val="nil"/>
              <w:bottom w:val="nil"/>
              <w:right w:val="nil"/>
            </w:tcBorders>
          </w:tcPr>
          <w:p w14:paraId="5696E92B" w14:textId="77777777" w:rsidR="009A7378" w:rsidRPr="00D63217" w:rsidRDefault="009A7378" w:rsidP="004808C6">
            <w:pPr>
              <w:pStyle w:val="TableText"/>
              <w:spacing w:before="0" w:after="0" w:line="240" w:lineRule="auto"/>
              <w:rPr>
                <w:i/>
                <w:iCs/>
                <w:szCs w:val="17"/>
              </w:rPr>
            </w:pPr>
          </w:p>
        </w:tc>
        <w:tc>
          <w:tcPr>
            <w:tcW w:w="1325" w:type="pct"/>
            <w:tcBorders>
              <w:top w:val="nil"/>
              <w:left w:val="nil"/>
              <w:bottom w:val="nil"/>
              <w:right w:val="nil"/>
            </w:tcBorders>
          </w:tcPr>
          <w:p w14:paraId="767C08E2"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166 mg ac/kg bw</w:t>
            </w:r>
          </w:p>
        </w:tc>
        <w:tc>
          <w:tcPr>
            <w:tcW w:w="1248" w:type="pct"/>
            <w:tcBorders>
              <w:top w:val="nil"/>
              <w:left w:val="nil"/>
              <w:bottom w:val="nil"/>
              <w:right w:val="nil"/>
            </w:tcBorders>
          </w:tcPr>
          <w:p w14:paraId="0F6DC662" w14:textId="77777777" w:rsidR="009A7378" w:rsidRPr="00D63217" w:rsidRDefault="009A7378" w:rsidP="004808C6">
            <w:pPr>
              <w:pStyle w:val="TableText"/>
              <w:spacing w:before="0" w:after="0" w:line="240" w:lineRule="auto"/>
              <w:rPr>
                <w:szCs w:val="17"/>
              </w:rPr>
            </w:pPr>
            <w:r w:rsidRPr="00D63217">
              <w:rPr>
                <w:szCs w:val="17"/>
              </w:rPr>
              <w:t>Heylings &amp; Farnworth 1992</w:t>
            </w:r>
          </w:p>
        </w:tc>
      </w:tr>
      <w:bookmarkEnd w:id="660"/>
      <w:tr w:rsidR="009A7378" w:rsidRPr="00D63217" w14:paraId="3301E8E2" w14:textId="77777777" w:rsidTr="00017CE7">
        <w:tc>
          <w:tcPr>
            <w:tcW w:w="0" w:type="auto"/>
            <w:tcBorders>
              <w:top w:val="nil"/>
              <w:left w:val="nil"/>
              <w:bottom w:val="nil"/>
              <w:right w:val="nil"/>
            </w:tcBorders>
          </w:tcPr>
          <w:p w14:paraId="66E54001"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03D55B55"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2B1D7936" w14:textId="77777777" w:rsidR="009A7378" w:rsidRPr="00D63217" w:rsidRDefault="009A7378" w:rsidP="004808C6">
            <w:pPr>
              <w:pStyle w:val="TableText"/>
              <w:spacing w:before="0" w:after="0" w:line="240" w:lineRule="auto"/>
              <w:rPr>
                <w:szCs w:val="17"/>
              </w:rPr>
            </w:pPr>
          </w:p>
        </w:tc>
        <w:tc>
          <w:tcPr>
            <w:tcW w:w="978" w:type="pct"/>
            <w:tcBorders>
              <w:top w:val="nil"/>
              <w:left w:val="nil"/>
              <w:bottom w:val="nil"/>
              <w:right w:val="nil"/>
            </w:tcBorders>
          </w:tcPr>
          <w:p w14:paraId="24BFE256" w14:textId="77777777" w:rsidR="009A7378" w:rsidRPr="00D63217" w:rsidRDefault="009A7378" w:rsidP="004808C6">
            <w:pPr>
              <w:pStyle w:val="TableText"/>
              <w:spacing w:before="0" w:after="0" w:line="240" w:lineRule="auto"/>
              <w:rPr>
                <w:i/>
                <w:iCs/>
                <w:szCs w:val="17"/>
              </w:rPr>
            </w:pPr>
          </w:p>
        </w:tc>
        <w:tc>
          <w:tcPr>
            <w:tcW w:w="1325" w:type="pct"/>
            <w:tcBorders>
              <w:top w:val="nil"/>
              <w:left w:val="nil"/>
              <w:bottom w:val="nil"/>
              <w:right w:val="nil"/>
            </w:tcBorders>
          </w:tcPr>
          <w:p w14:paraId="705ACF49"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203 mg ac/kg bw</w:t>
            </w:r>
          </w:p>
        </w:tc>
        <w:tc>
          <w:tcPr>
            <w:tcW w:w="1248" w:type="pct"/>
            <w:tcBorders>
              <w:top w:val="nil"/>
              <w:left w:val="nil"/>
              <w:bottom w:val="nil"/>
              <w:right w:val="nil"/>
            </w:tcBorders>
          </w:tcPr>
          <w:p w14:paraId="66CF1FC0" w14:textId="77777777" w:rsidR="009A7378" w:rsidRPr="00D63217" w:rsidRDefault="009A7378" w:rsidP="004808C6">
            <w:pPr>
              <w:pStyle w:val="TableText"/>
              <w:spacing w:before="0" w:after="0" w:line="240" w:lineRule="auto"/>
              <w:rPr>
                <w:szCs w:val="17"/>
              </w:rPr>
            </w:pPr>
            <w:r w:rsidRPr="00D63217">
              <w:rPr>
                <w:szCs w:val="17"/>
              </w:rPr>
              <w:t>Heylings &amp; Farnworth 1992</w:t>
            </w:r>
          </w:p>
        </w:tc>
      </w:tr>
      <w:tr w:rsidR="009A7378" w:rsidRPr="00D63217" w14:paraId="0FF1A010" w14:textId="77777777" w:rsidTr="00017CE7">
        <w:tc>
          <w:tcPr>
            <w:tcW w:w="0" w:type="auto"/>
            <w:tcBorders>
              <w:top w:val="nil"/>
              <w:left w:val="nil"/>
              <w:bottom w:val="nil"/>
              <w:right w:val="nil"/>
            </w:tcBorders>
          </w:tcPr>
          <w:p w14:paraId="6B5001A9"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775CAF3F"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39BBF1A8" w14:textId="77777777" w:rsidR="009A7378" w:rsidRPr="00D63217" w:rsidRDefault="009A7378" w:rsidP="004808C6">
            <w:pPr>
              <w:pStyle w:val="TableText"/>
              <w:spacing w:before="0" w:after="0" w:line="240" w:lineRule="auto"/>
              <w:rPr>
                <w:szCs w:val="17"/>
              </w:rPr>
            </w:pPr>
          </w:p>
        </w:tc>
        <w:tc>
          <w:tcPr>
            <w:tcW w:w="2303" w:type="pct"/>
            <w:gridSpan w:val="2"/>
            <w:tcBorders>
              <w:top w:val="nil"/>
              <w:left w:val="nil"/>
              <w:bottom w:val="single" w:sz="4" w:space="0" w:color="auto"/>
              <w:right w:val="nil"/>
            </w:tcBorders>
          </w:tcPr>
          <w:p w14:paraId="7A3297EA" w14:textId="77777777" w:rsidR="009A7378" w:rsidRPr="00D63217" w:rsidRDefault="009A7378" w:rsidP="004808C6">
            <w:pPr>
              <w:pStyle w:val="TableText"/>
              <w:spacing w:before="0" w:after="0" w:line="240" w:lineRule="auto"/>
              <w:rPr>
                <w:szCs w:val="17"/>
              </w:rPr>
            </w:pPr>
            <w:r w:rsidRPr="00D63217">
              <w:rPr>
                <w:szCs w:val="17"/>
              </w:rPr>
              <w:t>Geomean LD</w:t>
            </w:r>
            <w:r w:rsidRPr="00D63217">
              <w:rPr>
                <w:szCs w:val="17"/>
                <w:vertAlign w:val="subscript"/>
              </w:rPr>
              <w:t>50</w:t>
            </w:r>
            <w:r w:rsidRPr="00D63217">
              <w:rPr>
                <w:szCs w:val="17"/>
              </w:rPr>
              <w:t xml:space="preserve"> 151 mg ac/kg bw</w:t>
            </w:r>
          </w:p>
        </w:tc>
        <w:tc>
          <w:tcPr>
            <w:tcW w:w="1248" w:type="pct"/>
            <w:tcBorders>
              <w:top w:val="nil"/>
              <w:left w:val="nil"/>
              <w:bottom w:val="single" w:sz="4" w:space="0" w:color="auto"/>
              <w:right w:val="nil"/>
            </w:tcBorders>
          </w:tcPr>
          <w:p w14:paraId="01FADCB4" w14:textId="77777777" w:rsidR="009A7378" w:rsidRPr="00D63217" w:rsidRDefault="009A7378" w:rsidP="004808C6">
            <w:pPr>
              <w:pStyle w:val="TableText"/>
              <w:spacing w:before="0" w:after="0" w:line="240" w:lineRule="auto"/>
              <w:rPr>
                <w:szCs w:val="17"/>
              </w:rPr>
            </w:pPr>
          </w:p>
        </w:tc>
      </w:tr>
      <w:tr w:rsidR="009A7378" w:rsidRPr="00D63217" w14:paraId="2FC35E88" w14:textId="77777777" w:rsidTr="00017CE7">
        <w:tc>
          <w:tcPr>
            <w:tcW w:w="0" w:type="auto"/>
            <w:tcBorders>
              <w:top w:val="nil"/>
              <w:left w:val="nil"/>
              <w:bottom w:val="nil"/>
              <w:right w:val="nil"/>
            </w:tcBorders>
          </w:tcPr>
          <w:p w14:paraId="439641E8"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766B45AF"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0C5D33B4" w14:textId="77777777" w:rsidR="009A7378" w:rsidRPr="00D63217" w:rsidRDefault="009A7378" w:rsidP="004808C6">
            <w:pPr>
              <w:pStyle w:val="TableText"/>
              <w:spacing w:before="0" w:after="0" w:line="240" w:lineRule="auto"/>
              <w:rPr>
                <w:szCs w:val="17"/>
              </w:rPr>
            </w:pPr>
          </w:p>
        </w:tc>
        <w:tc>
          <w:tcPr>
            <w:tcW w:w="978" w:type="pct"/>
            <w:tcBorders>
              <w:top w:val="single" w:sz="4" w:space="0" w:color="auto"/>
              <w:left w:val="nil"/>
              <w:bottom w:val="nil"/>
              <w:right w:val="nil"/>
            </w:tcBorders>
          </w:tcPr>
          <w:p w14:paraId="6E952DDF" w14:textId="77777777" w:rsidR="009A7378" w:rsidRPr="00D63217" w:rsidRDefault="009A7378" w:rsidP="004808C6">
            <w:pPr>
              <w:pStyle w:val="TableText"/>
              <w:spacing w:before="0" w:after="0" w:line="240" w:lineRule="auto"/>
              <w:rPr>
                <w:i/>
                <w:iCs/>
                <w:szCs w:val="17"/>
              </w:rPr>
            </w:pPr>
            <w:r w:rsidRPr="00D63217">
              <w:rPr>
                <w:i/>
                <w:iCs/>
                <w:szCs w:val="17"/>
              </w:rPr>
              <w:t>Cavia porcellus</w:t>
            </w:r>
          </w:p>
        </w:tc>
        <w:tc>
          <w:tcPr>
            <w:tcW w:w="1325" w:type="pct"/>
            <w:tcBorders>
              <w:top w:val="single" w:sz="4" w:space="0" w:color="auto"/>
              <w:left w:val="nil"/>
              <w:bottom w:val="nil"/>
              <w:right w:val="nil"/>
            </w:tcBorders>
          </w:tcPr>
          <w:p w14:paraId="6C0DA7AA"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22 mg ac/kg bw</w:t>
            </w:r>
          </w:p>
        </w:tc>
        <w:tc>
          <w:tcPr>
            <w:tcW w:w="1248" w:type="pct"/>
            <w:tcBorders>
              <w:top w:val="single" w:sz="4" w:space="0" w:color="auto"/>
              <w:left w:val="nil"/>
              <w:bottom w:val="nil"/>
              <w:right w:val="nil"/>
            </w:tcBorders>
          </w:tcPr>
          <w:p w14:paraId="62E61513" w14:textId="77777777" w:rsidR="009A7378" w:rsidRPr="00D63217" w:rsidRDefault="009A7378" w:rsidP="004808C6">
            <w:pPr>
              <w:pStyle w:val="TableText"/>
              <w:spacing w:before="0" w:after="0" w:line="240" w:lineRule="auto"/>
              <w:rPr>
                <w:szCs w:val="17"/>
              </w:rPr>
            </w:pPr>
            <w:r w:rsidRPr="00D63217">
              <w:rPr>
                <w:szCs w:val="17"/>
              </w:rPr>
              <w:t>Murray &amp; Gibson 1972</w:t>
            </w:r>
          </w:p>
        </w:tc>
      </w:tr>
      <w:tr w:rsidR="009A7378" w:rsidRPr="00D63217" w14:paraId="183FCA4A" w14:textId="77777777" w:rsidTr="00017CE7">
        <w:tc>
          <w:tcPr>
            <w:tcW w:w="0" w:type="auto"/>
            <w:tcBorders>
              <w:top w:val="nil"/>
              <w:left w:val="nil"/>
              <w:bottom w:val="nil"/>
              <w:right w:val="nil"/>
            </w:tcBorders>
          </w:tcPr>
          <w:p w14:paraId="750E5F12"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4362234F"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26F16B96" w14:textId="77777777" w:rsidR="009A7378" w:rsidRPr="00D63217" w:rsidRDefault="009A7378" w:rsidP="004808C6">
            <w:pPr>
              <w:pStyle w:val="TableText"/>
              <w:spacing w:before="0" w:after="0" w:line="240" w:lineRule="auto"/>
              <w:rPr>
                <w:szCs w:val="17"/>
              </w:rPr>
            </w:pPr>
          </w:p>
        </w:tc>
        <w:tc>
          <w:tcPr>
            <w:tcW w:w="978" w:type="pct"/>
            <w:tcBorders>
              <w:top w:val="nil"/>
              <w:left w:val="nil"/>
              <w:bottom w:val="nil"/>
              <w:right w:val="nil"/>
            </w:tcBorders>
          </w:tcPr>
          <w:p w14:paraId="16B923D3" w14:textId="77777777" w:rsidR="009A7378" w:rsidRPr="00D63217" w:rsidRDefault="009A7378" w:rsidP="004808C6">
            <w:pPr>
              <w:pStyle w:val="TableText"/>
              <w:spacing w:before="0" w:after="0" w:line="240" w:lineRule="auto"/>
              <w:rPr>
                <w:i/>
                <w:iCs/>
                <w:szCs w:val="17"/>
              </w:rPr>
            </w:pPr>
            <w:r w:rsidRPr="00D63217">
              <w:rPr>
                <w:i/>
                <w:iCs/>
                <w:szCs w:val="17"/>
              </w:rPr>
              <w:t>Oryctolagus cuniculus</w:t>
            </w:r>
          </w:p>
        </w:tc>
        <w:tc>
          <w:tcPr>
            <w:tcW w:w="1325" w:type="pct"/>
            <w:tcBorders>
              <w:top w:val="nil"/>
              <w:left w:val="nil"/>
              <w:bottom w:val="nil"/>
              <w:right w:val="nil"/>
            </w:tcBorders>
          </w:tcPr>
          <w:p w14:paraId="57A01052"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45 mg ac/kg bw</w:t>
            </w:r>
          </w:p>
        </w:tc>
        <w:tc>
          <w:tcPr>
            <w:tcW w:w="1248" w:type="pct"/>
            <w:tcBorders>
              <w:top w:val="nil"/>
              <w:left w:val="nil"/>
              <w:bottom w:val="nil"/>
              <w:right w:val="nil"/>
            </w:tcBorders>
          </w:tcPr>
          <w:p w14:paraId="329EFC3F" w14:textId="23F10966" w:rsidR="009A7378" w:rsidRPr="00D63217" w:rsidRDefault="009A7378" w:rsidP="004808C6">
            <w:pPr>
              <w:pStyle w:val="TableText"/>
              <w:spacing w:before="0" w:after="0" w:line="240" w:lineRule="auto"/>
              <w:rPr>
                <w:szCs w:val="17"/>
              </w:rPr>
            </w:pPr>
            <w:r w:rsidRPr="00D63217">
              <w:rPr>
                <w:szCs w:val="17"/>
              </w:rPr>
              <w:t>Farnworth et</w:t>
            </w:r>
            <w:r w:rsidR="00143F5A" w:rsidRPr="00D63217">
              <w:rPr>
                <w:szCs w:val="17"/>
              </w:rPr>
              <w:t xml:space="preserve"> al,</w:t>
            </w:r>
            <w:r w:rsidRPr="00D63217">
              <w:rPr>
                <w:szCs w:val="17"/>
              </w:rPr>
              <w:t xml:space="preserve"> 1993</w:t>
            </w:r>
          </w:p>
        </w:tc>
      </w:tr>
      <w:tr w:rsidR="009A7378" w:rsidRPr="00D63217" w14:paraId="05460F82" w14:textId="77777777" w:rsidTr="00017CE7">
        <w:tc>
          <w:tcPr>
            <w:tcW w:w="0" w:type="auto"/>
            <w:tcBorders>
              <w:top w:val="nil"/>
              <w:left w:val="nil"/>
              <w:bottom w:val="nil"/>
              <w:right w:val="nil"/>
            </w:tcBorders>
          </w:tcPr>
          <w:p w14:paraId="624044B5"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5698CD10" w14:textId="77777777" w:rsidR="009A7378" w:rsidRPr="00D63217" w:rsidRDefault="009A7378" w:rsidP="004808C6">
            <w:pPr>
              <w:pStyle w:val="TableText"/>
              <w:spacing w:before="0" w:after="0" w:line="240" w:lineRule="auto"/>
              <w:rPr>
                <w:szCs w:val="17"/>
              </w:rPr>
            </w:pPr>
          </w:p>
        </w:tc>
        <w:tc>
          <w:tcPr>
            <w:tcW w:w="450" w:type="pct"/>
            <w:tcBorders>
              <w:top w:val="nil"/>
              <w:left w:val="nil"/>
              <w:bottom w:val="nil"/>
              <w:right w:val="nil"/>
            </w:tcBorders>
          </w:tcPr>
          <w:p w14:paraId="3EFFBB93" w14:textId="77777777" w:rsidR="009A7378" w:rsidRPr="00D63217" w:rsidRDefault="009A7378" w:rsidP="004808C6">
            <w:pPr>
              <w:pStyle w:val="TableText"/>
              <w:spacing w:before="0" w:after="0" w:line="240" w:lineRule="auto"/>
              <w:rPr>
                <w:szCs w:val="17"/>
              </w:rPr>
            </w:pPr>
          </w:p>
        </w:tc>
        <w:tc>
          <w:tcPr>
            <w:tcW w:w="978" w:type="pct"/>
            <w:tcBorders>
              <w:top w:val="nil"/>
              <w:left w:val="nil"/>
              <w:bottom w:val="single" w:sz="4" w:space="0" w:color="auto"/>
              <w:right w:val="nil"/>
            </w:tcBorders>
          </w:tcPr>
          <w:p w14:paraId="73CBCB4B" w14:textId="77777777" w:rsidR="009A7378" w:rsidRPr="00D63217" w:rsidRDefault="009A7378" w:rsidP="004808C6">
            <w:pPr>
              <w:pStyle w:val="TableText"/>
              <w:spacing w:before="0" w:after="0" w:line="240" w:lineRule="auto"/>
              <w:rPr>
                <w:i/>
                <w:iCs/>
                <w:szCs w:val="17"/>
              </w:rPr>
            </w:pPr>
            <w:r w:rsidRPr="00D63217">
              <w:rPr>
                <w:i/>
                <w:iCs/>
                <w:szCs w:val="17"/>
              </w:rPr>
              <w:t>Macaca fascicularis</w:t>
            </w:r>
          </w:p>
        </w:tc>
        <w:tc>
          <w:tcPr>
            <w:tcW w:w="1325" w:type="pct"/>
            <w:tcBorders>
              <w:top w:val="nil"/>
              <w:left w:val="nil"/>
              <w:bottom w:val="single" w:sz="4" w:space="0" w:color="auto"/>
              <w:right w:val="nil"/>
            </w:tcBorders>
          </w:tcPr>
          <w:p w14:paraId="6C42F4BA" w14:textId="77777777" w:rsidR="009A7378" w:rsidRPr="00D63217" w:rsidRDefault="009A7378" w:rsidP="004808C6">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50 mg ac/kg bw</w:t>
            </w:r>
          </w:p>
        </w:tc>
        <w:tc>
          <w:tcPr>
            <w:tcW w:w="1248" w:type="pct"/>
            <w:tcBorders>
              <w:top w:val="nil"/>
              <w:left w:val="nil"/>
              <w:bottom w:val="single" w:sz="4" w:space="0" w:color="auto"/>
              <w:right w:val="nil"/>
            </w:tcBorders>
          </w:tcPr>
          <w:p w14:paraId="5FB386C5" w14:textId="77777777" w:rsidR="009A7378" w:rsidRPr="00D63217" w:rsidRDefault="009A7378" w:rsidP="004808C6">
            <w:pPr>
              <w:pStyle w:val="TableText"/>
              <w:spacing w:before="0" w:after="0" w:line="240" w:lineRule="auto"/>
              <w:rPr>
                <w:szCs w:val="17"/>
              </w:rPr>
            </w:pPr>
            <w:r w:rsidRPr="00D63217">
              <w:rPr>
                <w:szCs w:val="17"/>
              </w:rPr>
              <w:t>Murray &amp; Gibson 1972</w:t>
            </w:r>
          </w:p>
        </w:tc>
      </w:tr>
      <w:tr w:rsidR="009A7378" w:rsidRPr="00D63217" w14:paraId="6B282C01" w14:textId="77777777" w:rsidTr="00017CE7">
        <w:tc>
          <w:tcPr>
            <w:tcW w:w="0" w:type="auto"/>
            <w:tcBorders>
              <w:top w:val="nil"/>
              <w:left w:val="nil"/>
              <w:bottom w:val="nil"/>
              <w:right w:val="nil"/>
            </w:tcBorders>
          </w:tcPr>
          <w:p w14:paraId="6BCD9CD4"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4A067078" w14:textId="77777777" w:rsidR="009A7378" w:rsidRPr="00D63217" w:rsidRDefault="009A7378" w:rsidP="004808C6">
            <w:pPr>
              <w:pStyle w:val="TableText"/>
              <w:spacing w:before="0" w:after="0" w:line="240" w:lineRule="auto"/>
              <w:rPr>
                <w:szCs w:val="17"/>
              </w:rPr>
            </w:pPr>
          </w:p>
        </w:tc>
        <w:tc>
          <w:tcPr>
            <w:tcW w:w="450" w:type="pct"/>
            <w:tcBorders>
              <w:top w:val="nil"/>
              <w:left w:val="nil"/>
              <w:bottom w:val="single" w:sz="4" w:space="0" w:color="auto"/>
              <w:right w:val="nil"/>
            </w:tcBorders>
          </w:tcPr>
          <w:p w14:paraId="74158462" w14:textId="77777777" w:rsidR="009A7378" w:rsidRPr="00D63217" w:rsidRDefault="009A7378" w:rsidP="004808C6">
            <w:pPr>
              <w:pStyle w:val="TableText"/>
              <w:spacing w:before="0" w:after="0" w:line="240" w:lineRule="auto"/>
              <w:rPr>
                <w:szCs w:val="17"/>
              </w:rPr>
            </w:pPr>
          </w:p>
        </w:tc>
        <w:tc>
          <w:tcPr>
            <w:tcW w:w="2303" w:type="pct"/>
            <w:gridSpan w:val="2"/>
            <w:tcBorders>
              <w:top w:val="single" w:sz="4" w:space="0" w:color="auto"/>
              <w:left w:val="nil"/>
              <w:bottom w:val="single" w:sz="4" w:space="0" w:color="auto"/>
              <w:right w:val="nil"/>
            </w:tcBorders>
          </w:tcPr>
          <w:p w14:paraId="788486CE" w14:textId="77777777" w:rsidR="009A7378" w:rsidRPr="00D63217" w:rsidRDefault="009A7378" w:rsidP="004808C6">
            <w:pPr>
              <w:pStyle w:val="TableText"/>
              <w:spacing w:before="0" w:after="0" w:line="240" w:lineRule="auto"/>
              <w:rPr>
                <w:szCs w:val="17"/>
              </w:rPr>
            </w:pPr>
            <w:r w:rsidRPr="00D63217">
              <w:rPr>
                <w:szCs w:val="17"/>
              </w:rPr>
              <w:t>Geomean LD</w:t>
            </w:r>
            <w:r w:rsidRPr="00D63217">
              <w:rPr>
                <w:szCs w:val="17"/>
                <w:vertAlign w:val="subscript"/>
              </w:rPr>
              <w:t>50</w:t>
            </w:r>
            <w:r w:rsidRPr="00D63217">
              <w:rPr>
                <w:szCs w:val="17"/>
              </w:rPr>
              <w:t xml:space="preserve"> 61 mg ac/kg bw (5 mammal species)</w:t>
            </w:r>
          </w:p>
        </w:tc>
        <w:tc>
          <w:tcPr>
            <w:tcW w:w="1248" w:type="pct"/>
            <w:tcBorders>
              <w:top w:val="single" w:sz="4" w:space="0" w:color="auto"/>
              <w:left w:val="nil"/>
              <w:bottom w:val="single" w:sz="4" w:space="0" w:color="auto"/>
              <w:right w:val="nil"/>
            </w:tcBorders>
          </w:tcPr>
          <w:p w14:paraId="0F34798F" w14:textId="77777777" w:rsidR="009A7378" w:rsidRPr="00D63217" w:rsidRDefault="009A7378" w:rsidP="004808C6">
            <w:pPr>
              <w:pStyle w:val="TableText"/>
              <w:spacing w:before="0" w:after="0" w:line="240" w:lineRule="auto"/>
              <w:rPr>
                <w:szCs w:val="17"/>
              </w:rPr>
            </w:pPr>
          </w:p>
        </w:tc>
      </w:tr>
      <w:tr w:rsidR="009A7378" w:rsidRPr="00D63217" w14:paraId="3B01DE96" w14:textId="77777777" w:rsidTr="00017CE7">
        <w:tc>
          <w:tcPr>
            <w:tcW w:w="0" w:type="auto"/>
            <w:tcBorders>
              <w:top w:val="nil"/>
              <w:left w:val="nil"/>
              <w:bottom w:val="nil"/>
              <w:right w:val="nil"/>
            </w:tcBorders>
          </w:tcPr>
          <w:p w14:paraId="7F2D0005"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7C66C21D" w14:textId="77777777" w:rsidR="009A7378" w:rsidRPr="00D63217" w:rsidRDefault="009A7378" w:rsidP="004808C6">
            <w:pPr>
              <w:pStyle w:val="TableText"/>
              <w:spacing w:before="0" w:after="0" w:line="240" w:lineRule="auto"/>
              <w:rPr>
                <w:szCs w:val="17"/>
              </w:rPr>
            </w:pPr>
          </w:p>
        </w:tc>
        <w:tc>
          <w:tcPr>
            <w:tcW w:w="450" w:type="pct"/>
            <w:tcBorders>
              <w:top w:val="single" w:sz="4" w:space="0" w:color="auto"/>
              <w:left w:val="nil"/>
              <w:bottom w:val="nil"/>
              <w:right w:val="nil"/>
            </w:tcBorders>
          </w:tcPr>
          <w:p w14:paraId="0D31CDF2" w14:textId="77777777" w:rsidR="009A7378" w:rsidRPr="00D63217" w:rsidRDefault="009A7378" w:rsidP="004808C6">
            <w:pPr>
              <w:pStyle w:val="TableText"/>
              <w:spacing w:before="0" w:after="0" w:line="240" w:lineRule="auto"/>
              <w:rPr>
                <w:i/>
                <w:iCs/>
                <w:szCs w:val="17"/>
              </w:rPr>
            </w:pPr>
            <w:r w:rsidRPr="00D63217">
              <w:rPr>
                <w:szCs w:val="17"/>
              </w:rPr>
              <w:t>Chronic</w:t>
            </w:r>
          </w:p>
        </w:tc>
        <w:tc>
          <w:tcPr>
            <w:tcW w:w="978" w:type="pct"/>
            <w:tcBorders>
              <w:top w:val="single" w:sz="4" w:space="0" w:color="auto"/>
              <w:left w:val="nil"/>
              <w:bottom w:val="nil"/>
              <w:right w:val="nil"/>
            </w:tcBorders>
          </w:tcPr>
          <w:p w14:paraId="4AB676AF" w14:textId="77777777" w:rsidR="009A7378" w:rsidRPr="00D63217" w:rsidRDefault="009A7378" w:rsidP="004808C6">
            <w:pPr>
              <w:pStyle w:val="TableText"/>
              <w:spacing w:before="0" w:after="0" w:line="240" w:lineRule="auto"/>
              <w:rPr>
                <w:i/>
                <w:iCs/>
                <w:szCs w:val="17"/>
              </w:rPr>
            </w:pPr>
            <w:r w:rsidRPr="00D63217">
              <w:rPr>
                <w:i/>
                <w:iCs/>
                <w:szCs w:val="17"/>
              </w:rPr>
              <w:t>Rattus norvegicus</w:t>
            </w:r>
          </w:p>
        </w:tc>
        <w:tc>
          <w:tcPr>
            <w:tcW w:w="1325" w:type="pct"/>
            <w:tcBorders>
              <w:top w:val="single" w:sz="4" w:space="0" w:color="auto"/>
              <w:left w:val="nil"/>
              <w:bottom w:val="nil"/>
              <w:right w:val="nil"/>
            </w:tcBorders>
          </w:tcPr>
          <w:p w14:paraId="54F3F323" w14:textId="77777777" w:rsidR="009A7378" w:rsidRPr="00D63217" w:rsidRDefault="009A7378" w:rsidP="004808C6">
            <w:pPr>
              <w:pStyle w:val="TableText"/>
              <w:spacing w:before="0" w:after="0" w:line="240" w:lineRule="auto"/>
              <w:rPr>
                <w:strike/>
                <w:szCs w:val="17"/>
              </w:rPr>
            </w:pPr>
            <w:r w:rsidRPr="00D63217">
              <w:rPr>
                <w:szCs w:val="17"/>
              </w:rPr>
              <w:t>NOAEL 7.2 mg ac/kg bw/d</w:t>
            </w:r>
          </w:p>
        </w:tc>
        <w:tc>
          <w:tcPr>
            <w:tcW w:w="1248" w:type="pct"/>
            <w:tcBorders>
              <w:top w:val="single" w:sz="4" w:space="0" w:color="auto"/>
              <w:left w:val="nil"/>
              <w:bottom w:val="nil"/>
              <w:right w:val="nil"/>
            </w:tcBorders>
          </w:tcPr>
          <w:p w14:paraId="2DC35E35" w14:textId="77777777" w:rsidR="009A7378" w:rsidRPr="00D63217" w:rsidRDefault="009A7378" w:rsidP="004808C6">
            <w:pPr>
              <w:pStyle w:val="TableText"/>
              <w:spacing w:before="0" w:after="0" w:line="240" w:lineRule="auto"/>
              <w:rPr>
                <w:strike/>
                <w:szCs w:val="17"/>
              </w:rPr>
            </w:pPr>
            <w:r w:rsidRPr="00D63217">
              <w:rPr>
                <w:szCs w:val="17"/>
              </w:rPr>
              <w:t>Igarashi 1980</w:t>
            </w:r>
          </w:p>
        </w:tc>
      </w:tr>
      <w:tr w:rsidR="009A7378" w:rsidRPr="00D63217" w14:paraId="425F845E" w14:textId="77777777" w:rsidTr="00017CE7">
        <w:tc>
          <w:tcPr>
            <w:tcW w:w="0" w:type="auto"/>
            <w:tcBorders>
              <w:top w:val="nil"/>
              <w:left w:val="nil"/>
              <w:bottom w:val="nil"/>
              <w:right w:val="nil"/>
            </w:tcBorders>
          </w:tcPr>
          <w:p w14:paraId="51C4F755" w14:textId="77777777" w:rsidR="009A7378" w:rsidRPr="00D63217" w:rsidRDefault="009A7378" w:rsidP="004808C6">
            <w:pPr>
              <w:pStyle w:val="TableText"/>
              <w:spacing w:before="0" w:after="0" w:line="240" w:lineRule="auto"/>
              <w:rPr>
                <w:szCs w:val="17"/>
              </w:rPr>
            </w:pPr>
          </w:p>
        </w:tc>
        <w:tc>
          <w:tcPr>
            <w:tcW w:w="464" w:type="pct"/>
            <w:tcBorders>
              <w:top w:val="nil"/>
              <w:left w:val="nil"/>
              <w:bottom w:val="nil"/>
              <w:right w:val="nil"/>
            </w:tcBorders>
          </w:tcPr>
          <w:p w14:paraId="0C5165BA" w14:textId="77777777" w:rsidR="009A7378" w:rsidRPr="00D63217" w:rsidRDefault="009A7378" w:rsidP="004808C6">
            <w:pPr>
              <w:pStyle w:val="TableText"/>
              <w:spacing w:before="0" w:after="0" w:line="240" w:lineRule="auto"/>
              <w:rPr>
                <w:szCs w:val="17"/>
              </w:rPr>
            </w:pPr>
          </w:p>
        </w:tc>
        <w:tc>
          <w:tcPr>
            <w:tcW w:w="450" w:type="pct"/>
            <w:tcBorders>
              <w:top w:val="nil"/>
              <w:left w:val="nil"/>
              <w:bottom w:val="single" w:sz="4" w:space="0" w:color="auto"/>
              <w:right w:val="nil"/>
            </w:tcBorders>
          </w:tcPr>
          <w:p w14:paraId="29B84EFD" w14:textId="77777777" w:rsidR="009A7378" w:rsidRPr="00D63217" w:rsidRDefault="009A7378" w:rsidP="004808C6">
            <w:pPr>
              <w:pStyle w:val="TableText"/>
              <w:spacing w:before="0" w:after="0" w:line="240" w:lineRule="auto"/>
              <w:rPr>
                <w:szCs w:val="17"/>
              </w:rPr>
            </w:pPr>
          </w:p>
        </w:tc>
        <w:tc>
          <w:tcPr>
            <w:tcW w:w="978" w:type="pct"/>
            <w:tcBorders>
              <w:top w:val="nil"/>
              <w:left w:val="nil"/>
              <w:bottom w:val="single" w:sz="4" w:space="0" w:color="auto"/>
              <w:right w:val="nil"/>
            </w:tcBorders>
          </w:tcPr>
          <w:p w14:paraId="1EBAFF27" w14:textId="77777777" w:rsidR="009A7378" w:rsidRPr="00D63217" w:rsidRDefault="009A7378" w:rsidP="004808C6">
            <w:pPr>
              <w:pStyle w:val="TableText"/>
              <w:spacing w:before="0" w:after="0" w:line="240" w:lineRule="auto"/>
              <w:rPr>
                <w:i/>
                <w:iCs/>
                <w:szCs w:val="17"/>
              </w:rPr>
            </w:pPr>
          </w:p>
        </w:tc>
        <w:tc>
          <w:tcPr>
            <w:tcW w:w="1325" w:type="pct"/>
            <w:tcBorders>
              <w:top w:val="nil"/>
              <w:left w:val="nil"/>
              <w:bottom w:val="single" w:sz="4" w:space="0" w:color="auto"/>
              <w:right w:val="nil"/>
            </w:tcBorders>
          </w:tcPr>
          <w:p w14:paraId="06DB3A56" w14:textId="77777777" w:rsidR="009A7378" w:rsidRPr="00D63217" w:rsidRDefault="009A7378" w:rsidP="004808C6">
            <w:pPr>
              <w:pStyle w:val="TableText"/>
              <w:spacing w:before="0" w:after="0" w:line="240" w:lineRule="auto"/>
              <w:rPr>
                <w:szCs w:val="17"/>
              </w:rPr>
            </w:pPr>
            <w:r w:rsidRPr="00D63217">
              <w:rPr>
                <w:szCs w:val="17"/>
              </w:rPr>
              <w:t>NOAEL 3.8 mg ac/kg bw/d</w:t>
            </w:r>
          </w:p>
        </w:tc>
        <w:tc>
          <w:tcPr>
            <w:tcW w:w="1248" w:type="pct"/>
            <w:tcBorders>
              <w:top w:val="nil"/>
              <w:left w:val="nil"/>
              <w:bottom w:val="single" w:sz="4" w:space="0" w:color="auto"/>
              <w:right w:val="nil"/>
            </w:tcBorders>
          </w:tcPr>
          <w:p w14:paraId="2359AD71" w14:textId="70B131BC" w:rsidR="009A7378" w:rsidRPr="00D63217" w:rsidRDefault="009A7378" w:rsidP="004808C6">
            <w:pPr>
              <w:pStyle w:val="TableText"/>
              <w:spacing w:before="0" w:after="0" w:line="240" w:lineRule="auto"/>
              <w:rPr>
                <w:szCs w:val="17"/>
              </w:rPr>
            </w:pPr>
            <w:r w:rsidRPr="00D63217">
              <w:rPr>
                <w:szCs w:val="17"/>
              </w:rPr>
              <w:t>Lindsay 1982</w:t>
            </w:r>
            <w:r w:rsidR="00143F5A" w:rsidRPr="00D63217">
              <w:rPr>
                <w:szCs w:val="17"/>
              </w:rPr>
              <w:t>(</w:t>
            </w:r>
            <w:r w:rsidRPr="00D63217">
              <w:rPr>
                <w:szCs w:val="17"/>
              </w:rPr>
              <w:t>a</w:t>
            </w:r>
            <w:r w:rsidR="00143F5A" w:rsidRPr="00D63217">
              <w:rPr>
                <w:szCs w:val="17"/>
              </w:rPr>
              <w:t>)</w:t>
            </w:r>
            <w:r w:rsidRPr="00D63217">
              <w:rPr>
                <w:szCs w:val="17"/>
              </w:rPr>
              <w:t>,1982</w:t>
            </w:r>
            <w:r w:rsidR="00143F5A" w:rsidRPr="00D63217">
              <w:rPr>
                <w:szCs w:val="17"/>
              </w:rPr>
              <w:t>(</w:t>
            </w:r>
            <w:r w:rsidRPr="00D63217">
              <w:rPr>
                <w:szCs w:val="17"/>
              </w:rPr>
              <w:t>b</w:t>
            </w:r>
            <w:r w:rsidR="00143F5A" w:rsidRPr="00D63217">
              <w:rPr>
                <w:szCs w:val="17"/>
              </w:rPr>
              <w:t>)</w:t>
            </w:r>
          </w:p>
        </w:tc>
      </w:tr>
      <w:tr w:rsidR="009A7378" w:rsidRPr="00D63217" w14:paraId="3E9DAD68" w14:textId="77777777" w:rsidTr="00017CE7">
        <w:tc>
          <w:tcPr>
            <w:tcW w:w="0" w:type="auto"/>
            <w:tcBorders>
              <w:top w:val="nil"/>
              <w:left w:val="nil"/>
              <w:bottom w:val="nil"/>
              <w:right w:val="nil"/>
            </w:tcBorders>
          </w:tcPr>
          <w:p w14:paraId="6565EC74" w14:textId="7186981B" w:rsidR="009A7378" w:rsidRPr="00D63217" w:rsidRDefault="009A7378" w:rsidP="004808C6">
            <w:pPr>
              <w:pStyle w:val="TableText"/>
              <w:widowControl w:val="0"/>
              <w:suppressAutoHyphens w:val="0"/>
              <w:spacing w:before="0" w:after="0" w:line="240" w:lineRule="auto"/>
              <w:rPr>
                <w:szCs w:val="17"/>
              </w:rPr>
            </w:pPr>
          </w:p>
        </w:tc>
        <w:tc>
          <w:tcPr>
            <w:tcW w:w="464" w:type="pct"/>
            <w:tcBorders>
              <w:top w:val="single" w:sz="4" w:space="0" w:color="auto"/>
              <w:left w:val="nil"/>
              <w:bottom w:val="nil"/>
              <w:right w:val="nil"/>
            </w:tcBorders>
          </w:tcPr>
          <w:p w14:paraId="122D03F9"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Birds</w:t>
            </w:r>
          </w:p>
        </w:tc>
        <w:tc>
          <w:tcPr>
            <w:tcW w:w="450" w:type="pct"/>
            <w:tcBorders>
              <w:top w:val="single" w:sz="4" w:space="0" w:color="auto"/>
              <w:left w:val="nil"/>
              <w:bottom w:val="nil"/>
              <w:right w:val="nil"/>
            </w:tcBorders>
          </w:tcPr>
          <w:p w14:paraId="63FE1529"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Acute</w:t>
            </w:r>
          </w:p>
        </w:tc>
        <w:tc>
          <w:tcPr>
            <w:tcW w:w="978" w:type="pct"/>
            <w:tcBorders>
              <w:top w:val="single" w:sz="4" w:space="0" w:color="auto"/>
              <w:left w:val="nil"/>
              <w:bottom w:val="nil"/>
              <w:right w:val="nil"/>
            </w:tcBorders>
          </w:tcPr>
          <w:p w14:paraId="257EBE75" w14:textId="77777777" w:rsidR="009A7378" w:rsidRPr="00D63217" w:rsidRDefault="009A7378" w:rsidP="004808C6">
            <w:pPr>
              <w:pStyle w:val="TableText"/>
              <w:widowControl w:val="0"/>
              <w:suppressAutoHyphens w:val="0"/>
              <w:spacing w:before="0" w:after="0" w:line="240" w:lineRule="auto"/>
              <w:rPr>
                <w:i/>
                <w:iCs/>
                <w:szCs w:val="17"/>
              </w:rPr>
            </w:pPr>
            <w:r w:rsidRPr="00D63217">
              <w:rPr>
                <w:i/>
                <w:iCs/>
                <w:szCs w:val="17"/>
              </w:rPr>
              <w:t>Anas platyrhynchos</w:t>
            </w:r>
          </w:p>
        </w:tc>
        <w:tc>
          <w:tcPr>
            <w:tcW w:w="1325" w:type="pct"/>
            <w:tcBorders>
              <w:top w:val="single" w:sz="4" w:space="0" w:color="auto"/>
              <w:left w:val="nil"/>
              <w:bottom w:val="nil"/>
              <w:right w:val="nil"/>
            </w:tcBorders>
          </w:tcPr>
          <w:p w14:paraId="0A5D4BF3"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LD</w:t>
            </w:r>
            <w:r w:rsidRPr="00D63217">
              <w:rPr>
                <w:szCs w:val="17"/>
                <w:vertAlign w:val="subscript"/>
              </w:rPr>
              <w:t>50</w:t>
            </w:r>
            <w:r w:rsidRPr="00D63217">
              <w:rPr>
                <w:szCs w:val="17"/>
              </w:rPr>
              <w:t xml:space="preserve"> 54 mg ac/kg bw</w:t>
            </w:r>
          </w:p>
        </w:tc>
        <w:tc>
          <w:tcPr>
            <w:tcW w:w="1248" w:type="pct"/>
            <w:tcBorders>
              <w:top w:val="single" w:sz="4" w:space="0" w:color="auto"/>
              <w:left w:val="nil"/>
              <w:bottom w:val="nil"/>
              <w:right w:val="nil"/>
            </w:tcBorders>
          </w:tcPr>
          <w:p w14:paraId="38375AA8"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Johnson 1998</w:t>
            </w:r>
          </w:p>
        </w:tc>
      </w:tr>
      <w:tr w:rsidR="009A7378" w:rsidRPr="00D63217" w14:paraId="730ECF76" w14:textId="77777777" w:rsidTr="00017CE7">
        <w:tc>
          <w:tcPr>
            <w:tcW w:w="0" w:type="auto"/>
            <w:tcBorders>
              <w:top w:val="nil"/>
              <w:left w:val="nil"/>
              <w:bottom w:val="nil"/>
              <w:right w:val="nil"/>
            </w:tcBorders>
          </w:tcPr>
          <w:p w14:paraId="42124878"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52730DB1"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nil"/>
              <w:left w:val="nil"/>
              <w:bottom w:val="nil"/>
              <w:right w:val="nil"/>
            </w:tcBorders>
          </w:tcPr>
          <w:p w14:paraId="22E120EF" w14:textId="77777777" w:rsidR="009A7378" w:rsidRPr="00D63217" w:rsidRDefault="009A7378" w:rsidP="004808C6">
            <w:pPr>
              <w:pStyle w:val="TableText"/>
              <w:widowControl w:val="0"/>
              <w:suppressAutoHyphens w:val="0"/>
              <w:spacing w:before="0" w:after="0" w:line="240" w:lineRule="auto"/>
              <w:rPr>
                <w:szCs w:val="17"/>
              </w:rPr>
            </w:pPr>
          </w:p>
        </w:tc>
        <w:tc>
          <w:tcPr>
            <w:tcW w:w="978" w:type="pct"/>
            <w:tcBorders>
              <w:top w:val="nil"/>
              <w:left w:val="nil"/>
              <w:bottom w:val="nil"/>
              <w:right w:val="nil"/>
            </w:tcBorders>
          </w:tcPr>
          <w:p w14:paraId="31B93E4D" w14:textId="77777777" w:rsidR="009A7378" w:rsidRPr="00D63217" w:rsidRDefault="009A7378" w:rsidP="004808C6">
            <w:pPr>
              <w:pStyle w:val="TableText"/>
              <w:widowControl w:val="0"/>
              <w:suppressAutoHyphens w:val="0"/>
              <w:spacing w:before="0" w:after="0" w:line="240" w:lineRule="auto"/>
              <w:rPr>
                <w:i/>
                <w:iCs/>
                <w:szCs w:val="17"/>
              </w:rPr>
            </w:pPr>
            <w:r w:rsidRPr="00D63217">
              <w:rPr>
                <w:i/>
                <w:iCs/>
                <w:szCs w:val="17"/>
              </w:rPr>
              <w:t>Colinus virginianus</w:t>
            </w:r>
          </w:p>
        </w:tc>
        <w:tc>
          <w:tcPr>
            <w:tcW w:w="1325" w:type="pct"/>
            <w:tcBorders>
              <w:top w:val="nil"/>
              <w:left w:val="nil"/>
              <w:bottom w:val="nil"/>
              <w:right w:val="nil"/>
            </w:tcBorders>
          </w:tcPr>
          <w:p w14:paraId="2A97E2C5"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LD</w:t>
            </w:r>
            <w:r w:rsidRPr="00D63217">
              <w:rPr>
                <w:szCs w:val="17"/>
                <w:vertAlign w:val="subscript"/>
              </w:rPr>
              <w:t>50</w:t>
            </w:r>
            <w:r w:rsidRPr="00D63217">
              <w:rPr>
                <w:szCs w:val="17"/>
              </w:rPr>
              <w:t xml:space="preserve"> 124 mg ac/kg bw</w:t>
            </w:r>
          </w:p>
        </w:tc>
        <w:tc>
          <w:tcPr>
            <w:tcW w:w="1248" w:type="pct"/>
            <w:tcBorders>
              <w:top w:val="nil"/>
              <w:left w:val="nil"/>
              <w:bottom w:val="nil"/>
              <w:right w:val="nil"/>
            </w:tcBorders>
          </w:tcPr>
          <w:p w14:paraId="1FE36E65" w14:textId="710250AA" w:rsidR="009A7378" w:rsidRPr="00D63217" w:rsidRDefault="009A7378" w:rsidP="004808C6">
            <w:pPr>
              <w:pStyle w:val="TableText"/>
              <w:widowControl w:val="0"/>
              <w:suppressAutoHyphens w:val="0"/>
              <w:spacing w:before="0" w:after="0" w:line="240" w:lineRule="auto"/>
              <w:rPr>
                <w:szCs w:val="17"/>
              </w:rPr>
            </w:pPr>
            <w:r w:rsidRPr="00D63217">
              <w:rPr>
                <w:szCs w:val="17"/>
              </w:rPr>
              <w:t>Fink et</w:t>
            </w:r>
            <w:r w:rsidR="00143F5A" w:rsidRPr="00D63217">
              <w:rPr>
                <w:szCs w:val="17"/>
              </w:rPr>
              <w:t xml:space="preserve"> al,</w:t>
            </w:r>
            <w:r w:rsidRPr="00D63217">
              <w:rPr>
                <w:szCs w:val="17"/>
              </w:rPr>
              <w:t xml:space="preserve"> 1979</w:t>
            </w:r>
          </w:p>
        </w:tc>
      </w:tr>
      <w:tr w:rsidR="009A7378" w:rsidRPr="00D63217" w14:paraId="4CDFAC8C" w14:textId="77777777" w:rsidTr="00017CE7">
        <w:tc>
          <w:tcPr>
            <w:tcW w:w="0" w:type="auto"/>
            <w:tcBorders>
              <w:top w:val="nil"/>
              <w:left w:val="nil"/>
              <w:bottom w:val="nil"/>
              <w:right w:val="nil"/>
            </w:tcBorders>
          </w:tcPr>
          <w:p w14:paraId="1A39D99B"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385DCCFA"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nil"/>
              <w:left w:val="nil"/>
              <w:bottom w:val="nil"/>
              <w:right w:val="nil"/>
            </w:tcBorders>
          </w:tcPr>
          <w:p w14:paraId="018D591B" w14:textId="77777777" w:rsidR="009A7378" w:rsidRPr="00D63217" w:rsidRDefault="009A7378" w:rsidP="004808C6">
            <w:pPr>
              <w:pStyle w:val="TableText"/>
              <w:widowControl w:val="0"/>
              <w:suppressAutoHyphens w:val="0"/>
              <w:spacing w:before="0" w:after="0" w:line="240" w:lineRule="auto"/>
              <w:rPr>
                <w:szCs w:val="17"/>
              </w:rPr>
            </w:pPr>
          </w:p>
        </w:tc>
        <w:tc>
          <w:tcPr>
            <w:tcW w:w="978" w:type="pct"/>
            <w:tcBorders>
              <w:top w:val="nil"/>
              <w:left w:val="nil"/>
              <w:bottom w:val="nil"/>
              <w:right w:val="nil"/>
            </w:tcBorders>
          </w:tcPr>
          <w:p w14:paraId="26A022D3" w14:textId="77777777" w:rsidR="009A7378" w:rsidRPr="00D63217" w:rsidRDefault="009A7378" w:rsidP="004808C6">
            <w:pPr>
              <w:pStyle w:val="TableText"/>
              <w:widowControl w:val="0"/>
              <w:suppressAutoHyphens w:val="0"/>
              <w:spacing w:before="0" w:after="0" w:line="240" w:lineRule="auto"/>
              <w:rPr>
                <w:i/>
                <w:iCs/>
                <w:szCs w:val="17"/>
              </w:rPr>
            </w:pPr>
            <w:r w:rsidRPr="00D63217">
              <w:rPr>
                <w:i/>
                <w:iCs/>
                <w:szCs w:val="17"/>
              </w:rPr>
              <w:t>Taeniopygia guttata</w:t>
            </w:r>
          </w:p>
        </w:tc>
        <w:tc>
          <w:tcPr>
            <w:tcW w:w="1325" w:type="pct"/>
            <w:tcBorders>
              <w:top w:val="nil"/>
              <w:left w:val="nil"/>
              <w:bottom w:val="nil"/>
              <w:right w:val="nil"/>
            </w:tcBorders>
          </w:tcPr>
          <w:p w14:paraId="6864AD1A"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LD</w:t>
            </w:r>
            <w:r w:rsidRPr="00D63217">
              <w:rPr>
                <w:szCs w:val="17"/>
                <w:vertAlign w:val="subscript"/>
              </w:rPr>
              <w:t>50</w:t>
            </w:r>
            <w:r w:rsidRPr="00D63217">
              <w:rPr>
                <w:szCs w:val="17"/>
              </w:rPr>
              <w:t xml:space="preserve"> 27 mg ac/kg bw</w:t>
            </w:r>
          </w:p>
        </w:tc>
        <w:tc>
          <w:tcPr>
            <w:tcW w:w="1248" w:type="pct"/>
            <w:tcBorders>
              <w:top w:val="nil"/>
              <w:left w:val="nil"/>
              <w:bottom w:val="nil"/>
              <w:right w:val="nil"/>
            </w:tcBorders>
          </w:tcPr>
          <w:p w14:paraId="7951A97A" w14:textId="00DD75F5" w:rsidR="009A7378" w:rsidRPr="00D63217" w:rsidRDefault="009A7378" w:rsidP="004808C6">
            <w:pPr>
              <w:pStyle w:val="TableText"/>
              <w:widowControl w:val="0"/>
              <w:suppressAutoHyphens w:val="0"/>
              <w:spacing w:before="0" w:after="0" w:line="240" w:lineRule="auto"/>
              <w:rPr>
                <w:szCs w:val="17"/>
              </w:rPr>
            </w:pPr>
            <w:r w:rsidRPr="00D63217">
              <w:rPr>
                <w:szCs w:val="17"/>
              </w:rPr>
              <w:t>Hubbard et</w:t>
            </w:r>
            <w:r w:rsidR="00143F5A" w:rsidRPr="00D63217">
              <w:rPr>
                <w:szCs w:val="17"/>
              </w:rPr>
              <w:t xml:space="preserve"> al,</w:t>
            </w:r>
            <w:r w:rsidRPr="00D63217">
              <w:rPr>
                <w:szCs w:val="17"/>
              </w:rPr>
              <w:t xml:space="preserve"> 2014</w:t>
            </w:r>
          </w:p>
        </w:tc>
      </w:tr>
      <w:tr w:rsidR="009A7378" w:rsidRPr="00D63217" w14:paraId="2A049E23" w14:textId="77777777" w:rsidTr="00017CE7">
        <w:tc>
          <w:tcPr>
            <w:tcW w:w="0" w:type="auto"/>
            <w:tcBorders>
              <w:top w:val="nil"/>
              <w:left w:val="nil"/>
              <w:bottom w:val="nil"/>
              <w:right w:val="nil"/>
            </w:tcBorders>
          </w:tcPr>
          <w:p w14:paraId="3BEB612F"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4FFC183F"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nil"/>
              <w:left w:val="nil"/>
              <w:bottom w:val="single" w:sz="4" w:space="0" w:color="auto"/>
              <w:right w:val="nil"/>
            </w:tcBorders>
          </w:tcPr>
          <w:p w14:paraId="153B105E" w14:textId="77777777" w:rsidR="009A7378" w:rsidRPr="00D63217" w:rsidRDefault="009A7378" w:rsidP="004808C6">
            <w:pPr>
              <w:pStyle w:val="TableText"/>
              <w:widowControl w:val="0"/>
              <w:suppressAutoHyphens w:val="0"/>
              <w:spacing w:before="0" w:after="0" w:line="240" w:lineRule="auto"/>
              <w:rPr>
                <w:szCs w:val="17"/>
              </w:rPr>
            </w:pPr>
          </w:p>
        </w:tc>
        <w:tc>
          <w:tcPr>
            <w:tcW w:w="2303" w:type="pct"/>
            <w:gridSpan w:val="2"/>
            <w:tcBorders>
              <w:top w:val="nil"/>
              <w:left w:val="nil"/>
              <w:bottom w:val="single" w:sz="4" w:space="0" w:color="auto"/>
              <w:right w:val="nil"/>
            </w:tcBorders>
          </w:tcPr>
          <w:p w14:paraId="15EF93B5"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Geomean LD</w:t>
            </w:r>
            <w:r w:rsidRPr="00D63217">
              <w:rPr>
                <w:szCs w:val="17"/>
                <w:vertAlign w:val="subscript"/>
              </w:rPr>
              <w:t>50</w:t>
            </w:r>
            <w:r w:rsidRPr="00D63217">
              <w:rPr>
                <w:szCs w:val="17"/>
              </w:rPr>
              <w:t xml:space="preserve"> 57 mg ac/kg bw (3 bird species)</w:t>
            </w:r>
          </w:p>
        </w:tc>
        <w:tc>
          <w:tcPr>
            <w:tcW w:w="1248" w:type="pct"/>
            <w:tcBorders>
              <w:top w:val="nil"/>
              <w:left w:val="nil"/>
              <w:bottom w:val="single" w:sz="4" w:space="0" w:color="auto"/>
              <w:right w:val="nil"/>
            </w:tcBorders>
          </w:tcPr>
          <w:p w14:paraId="23024B04" w14:textId="77777777" w:rsidR="009A7378" w:rsidRPr="00D63217" w:rsidRDefault="009A7378" w:rsidP="004808C6">
            <w:pPr>
              <w:pStyle w:val="TableText"/>
              <w:widowControl w:val="0"/>
              <w:suppressAutoHyphens w:val="0"/>
              <w:spacing w:before="0" w:after="0" w:line="240" w:lineRule="auto"/>
              <w:rPr>
                <w:szCs w:val="17"/>
              </w:rPr>
            </w:pPr>
          </w:p>
        </w:tc>
      </w:tr>
      <w:tr w:rsidR="009A7378" w:rsidRPr="00D63217" w14:paraId="085F3E3F" w14:textId="77777777" w:rsidTr="00017CE7">
        <w:tc>
          <w:tcPr>
            <w:tcW w:w="0" w:type="auto"/>
            <w:tcBorders>
              <w:top w:val="nil"/>
              <w:left w:val="nil"/>
              <w:bottom w:val="nil"/>
              <w:right w:val="nil"/>
            </w:tcBorders>
          </w:tcPr>
          <w:p w14:paraId="0E337BB6"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681DA42C"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single" w:sz="4" w:space="0" w:color="auto"/>
              <w:left w:val="nil"/>
              <w:bottom w:val="nil"/>
              <w:right w:val="nil"/>
            </w:tcBorders>
          </w:tcPr>
          <w:p w14:paraId="54300885"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Dietary</w:t>
            </w:r>
          </w:p>
        </w:tc>
        <w:tc>
          <w:tcPr>
            <w:tcW w:w="978" w:type="pct"/>
            <w:tcBorders>
              <w:top w:val="single" w:sz="4" w:space="0" w:color="auto"/>
              <w:left w:val="nil"/>
              <w:bottom w:val="nil"/>
              <w:right w:val="nil"/>
            </w:tcBorders>
          </w:tcPr>
          <w:p w14:paraId="51C3BCAB" w14:textId="77777777" w:rsidR="009A7378" w:rsidRPr="00911502" w:rsidRDefault="009A7378" w:rsidP="004808C6">
            <w:pPr>
              <w:pStyle w:val="TableText"/>
              <w:widowControl w:val="0"/>
              <w:suppressAutoHyphens w:val="0"/>
              <w:spacing w:before="0" w:after="0" w:line="240" w:lineRule="auto"/>
              <w:rPr>
                <w:i/>
                <w:iCs/>
                <w:szCs w:val="17"/>
              </w:rPr>
            </w:pPr>
            <w:r w:rsidRPr="00911502">
              <w:rPr>
                <w:i/>
                <w:iCs/>
                <w:szCs w:val="17"/>
              </w:rPr>
              <w:t>Anas platyrhynchos</w:t>
            </w:r>
          </w:p>
        </w:tc>
        <w:tc>
          <w:tcPr>
            <w:tcW w:w="1325" w:type="pct"/>
            <w:tcBorders>
              <w:top w:val="single" w:sz="4" w:space="0" w:color="auto"/>
              <w:left w:val="nil"/>
              <w:bottom w:val="nil"/>
              <w:right w:val="nil"/>
            </w:tcBorders>
          </w:tcPr>
          <w:p w14:paraId="5D29CA9B" w14:textId="2B3590EB" w:rsidR="009A7378" w:rsidRPr="00911502" w:rsidRDefault="00B86312" w:rsidP="004808C6">
            <w:pPr>
              <w:pStyle w:val="TableText"/>
              <w:widowControl w:val="0"/>
              <w:suppressAutoHyphens w:val="0"/>
              <w:spacing w:before="0" w:after="0" w:line="240" w:lineRule="auto"/>
              <w:rPr>
                <w:szCs w:val="17"/>
              </w:rPr>
            </w:pPr>
            <w:r w:rsidRPr="00911502">
              <w:rPr>
                <w:szCs w:val="17"/>
              </w:rPr>
              <w:t>LC</w:t>
            </w:r>
            <w:r w:rsidRPr="00911502">
              <w:rPr>
                <w:szCs w:val="17"/>
                <w:vertAlign w:val="subscript"/>
              </w:rPr>
              <w:t>50</w:t>
            </w:r>
            <w:r w:rsidRPr="00911502">
              <w:rPr>
                <w:szCs w:val="17"/>
              </w:rPr>
              <w:t xml:space="preserve"> 2920 mg ac/kg feed</w:t>
            </w:r>
          </w:p>
        </w:tc>
        <w:tc>
          <w:tcPr>
            <w:tcW w:w="1248" w:type="pct"/>
            <w:tcBorders>
              <w:top w:val="single" w:sz="4" w:space="0" w:color="auto"/>
              <w:left w:val="nil"/>
              <w:bottom w:val="nil"/>
              <w:right w:val="nil"/>
            </w:tcBorders>
          </w:tcPr>
          <w:p w14:paraId="274E7806" w14:textId="4B02F692" w:rsidR="009A7378" w:rsidRPr="00911502" w:rsidRDefault="009A7378" w:rsidP="004808C6">
            <w:pPr>
              <w:pStyle w:val="TableText"/>
              <w:widowControl w:val="0"/>
              <w:suppressAutoHyphens w:val="0"/>
              <w:spacing w:before="0" w:after="0" w:line="240" w:lineRule="auto"/>
              <w:rPr>
                <w:szCs w:val="17"/>
              </w:rPr>
            </w:pPr>
            <w:r w:rsidRPr="00911502">
              <w:rPr>
                <w:szCs w:val="17"/>
              </w:rPr>
              <w:t>Hill et</w:t>
            </w:r>
            <w:r w:rsidR="00143F5A" w:rsidRPr="00911502">
              <w:rPr>
                <w:szCs w:val="17"/>
              </w:rPr>
              <w:t xml:space="preserve"> al,</w:t>
            </w:r>
            <w:r w:rsidRPr="00911502">
              <w:rPr>
                <w:szCs w:val="17"/>
              </w:rPr>
              <w:t xml:space="preserve"> 1975</w:t>
            </w:r>
          </w:p>
        </w:tc>
      </w:tr>
      <w:tr w:rsidR="009A7378" w:rsidRPr="00D63217" w14:paraId="685B9357" w14:textId="77777777" w:rsidTr="00017CE7">
        <w:tc>
          <w:tcPr>
            <w:tcW w:w="0" w:type="auto"/>
            <w:tcBorders>
              <w:top w:val="nil"/>
              <w:left w:val="nil"/>
              <w:bottom w:val="nil"/>
              <w:right w:val="nil"/>
            </w:tcBorders>
          </w:tcPr>
          <w:p w14:paraId="48E3B5FA"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62C90F69"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nil"/>
              <w:left w:val="nil"/>
              <w:bottom w:val="nil"/>
              <w:right w:val="nil"/>
            </w:tcBorders>
          </w:tcPr>
          <w:p w14:paraId="566115F2" w14:textId="77777777" w:rsidR="009A7378" w:rsidRPr="00D63217" w:rsidRDefault="009A7378" w:rsidP="004808C6">
            <w:pPr>
              <w:pStyle w:val="TableText"/>
              <w:widowControl w:val="0"/>
              <w:suppressAutoHyphens w:val="0"/>
              <w:spacing w:before="0" w:after="0" w:line="240" w:lineRule="auto"/>
              <w:rPr>
                <w:szCs w:val="17"/>
              </w:rPr>
            </w:pPr>
          </w:p>
        </w:tc>
        <w:tc>
          <w:tcPr>
            <w:tcW w:w="978" w:type="pct"/>
            <w:tcBorders>
              <w:top w:val="nil"/>
              <w:left w:val="nil"/>
              <w:bottom w:val="nil"/>
              <w:right w:val="nil"/>
            </w:tcBorders>
          </w:tcPr>
          <w:p w14:paraId="6593C6D8" w14:textId="77777777" w:rsidR="009A7378" w:rsidRPr="00911502" w:rsidRDefault="009A7378" w:rsidP="004808C6">
            <w:pPr>
              <w:pStyle w:val="TableText"/>
              <w:widowControl w:val="0"/>
              <w:suppressAutoHyphens w:val="0"/>
              <w:spacing w:before="0" w:after="0" w:line="240" w:lineRule="auto"/>
              <w:rPr>
                <w:i/>
                <w:iCs/>
                <w:szCs w:val="17"/>
              </w:rPr>
            </w:pPr>
            <w:r w:rsidRPr="00911502">
              <w:rPr>
                <w:i/>
                <w:iCs/>
                <w:szCs w:val="17"/>
              </w:rPr>
              <w:t>Colinus virginianus</w:t>
            </w:r>
          </w:p>
        </w:tc>
        <w:tc>
          <w:tcPr>
            <w:tcW w:w="1325" w:type="pct"/>
            <w:tcBorders>
              <w:top w:val="nil"/>
              <w:left w:val="nil"/>
              <w:bottom w:val="nil"/>
              <w:right w:val="nil"/>
            </w:tcBorders>
          </w:tcPr>
          <w:p w14:paraId="714035D1" w14:textId="12C82389" w:rsidR="009A7378" w:rsidRPr="00911502" w:rsidRDefault="00B86312" w:rsidP="004808C6">
            <w:pPr>
              <w:pStyle w:val="TableText"/>
              <w:widowControl w:val="0"/>
              <w:suppressAutoHyphens w:val="0"/>
              <w:spacing w:before="0" w:after="0" w:line="240" w:lineRule="auto"/>
              <w:rPr>
                <w:szCs w:val="17"/>
              </w:rPr>
            </w:pPr>
            <w:r w:rsidRPr="00911502">
              <w:rPr>
                <w:szCs w:val="17"/>
              </w:rPr>
              <w:t>LC</w:t>
            </w:r>
            <w:r w:rsidRPr="00911502">
              <w:rPr>
                <w:szCs w:val="17"/>
                <w:vertAlign w:val="subscript"/>
              </w:rPr>
              <w:t>50</w:t>
            </w:r>
            <w:r w:rsidRPr="00911502">
              <w:rPr>
                <w:szCs w:val="17"/>
              </w:rPr>
              <w:t xml:space="preserve"> 706 mg ac/kg feed</w:t>
            </w:r>
            <w:r w:rsidR="009A7378" w:rsidRPr="00911502">
              <w:rPr>
                <w:szCs w:val="17"/>
              </w:rPr>
              <w:t xml:space="preserve"> </w:t>
            </w:r>
          </w:p>
        </w:tc>
        <w:tc>
          <w:tcPr>
            <w:tcW w:w="1248" w:type="pct"/>
            <w:tcBorders>
              <w:top w:val="nil"/>
              <w:left w:val="nil"/>
              <w:bottom w:val="nil"/>
              <w:right w:val="nil"/>
            </w:tcBorders>
          </w:tcPr>
          <w:p w14:paraId="475D7B9A" w14:textId="3B7382BB" w:rsidR="009A7378" w:rsidRPr="00911502" w:rsidRDefault="009A7378" w:rsidP="004808C6">
            <w:pPr>
              <w:pStyle w:val="TableText"/>
              <w:widowControl w:val="0"/>
              <w:suppressAutoHyphens w:val="0"/>
              <w:spacing w:before="0" w:after="0" w:line="240" w:lineRule="auto"/>
              <w:rPr>
                <w:szCs w:val="17"/>
              </w:rPr>
            </w:pPr>
            <w:r w:rsidRPr="00911502">
              <w:rPr>
                <w:szCs w:val="17"/>
              </w:rPr>
              <w:t>Hill et</w:t>
            </w:r>
            <w:r w:rsidR="00143F5A" w:rsidRPr="00911502">
              <w:rPr>
                <w:szCs w:val="17"/>
              </w:rPr>
              <w:t xml:space="preserve"> al,</w:t>
            </w:r>
            <w:r w:rsidRPr="00911502">
              <w:rPr>
                <w:szCs w:val="17"/>
              </w:rPr>
              <w:t xml:space="preserve"> 1975</w:t>
            </w:r>
          </w:p>
        </w:tc>
      </w:tr>
      <w:tr w:rsidR="009A7378" w:rsidRPr="00D63217" w14:paraId="40E55E79" w14:textId="77777777" w:rsidTr="00017CE7">
        <w:tc>
          <w:tcPr>
            <w:tcW w:w="0" w:type="auto"/>
            <w:tcBorders>
              <w:top w:val="nil"/>
              <w:left w:val="nil"/>
              <w:bottom w:val="nil"/>
              <w:right w:val="nil"/>
            </w:tcBorders>
          </w:tcPr>
          <w:p w14:paraId="1C306CFD"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08D1ED78"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nil"/>
              <w:left w:val="nil"/>
              <w:bottom w:val="nil"/>
              <w:right w:val="nil"/>
            </w:tcBorders>
          </w:tcPr>
          <w:p w14:paraId="788FD9F9" w14:textId="77777777" w:rsidR="009A7378" w:rsidRPr="00D63217" w:rsidRDefault="009A7378" w:rsidP="004808C6">
            <w:pPr>
              <w:pStyle w:val="TableText"/>
              <w:widowControl w:val="0"/>
              <w:suppressAutoHyphens w:val="0"/>
              <w:spacing w:before="0" w:after="0" w:line="240" w:lineRule="auto"/>
              <w:rPr>
                <w:szCs w:val="17"/>
              </w:rPr>
            </w:pPr>
          </w:p>
        </w:tc>
        <w:tc>
          <w:tcPr>
            <w:tcW w:w="978" w:type="pct"/>
            <w:tcBorders>
              <w:top w:val="nil"/>
              <w:left w:val="nil"/>
              <w:bottom w:val="nil"/>
              <w:right w:val="nil"/>
            </w:tcBorders>
          </w:tcPr>
          <w:p w14:paraId="41AA2D4D" w14:textId="77777777" w:rsidR="009A7378" w:rsidRPr="00911502" w:rsidRDefault="009A7378" w:rsidP="004808C6">
            <w:pPr>
              <w:pStyle w:val="TableText"/>
              <w:widowControl w:val="0"/>
              <w:suppressAutoHyphens w:val="0"/>
              <w:spacing w:before="0" w:after="0" w:line="240" w:lineRule="auto"/>
              <w:rPr>
                <w:i/>
                <w:iCs/>
                <w:szCs w:val="17"/>
              </w:rPr>
            </w:pPr>
            <w:r w:rsidRPr="00911502">
              <w:rPr>
                <w:i/>
                <w:iCs/>
                <w:szCs w:val="17"/>
              </w:rPr>
              <w:t>Coturnix coturnix</w:t>
            </w:r>
          </w:p>
        </w:tc>
        <w:tc>
          <w:tcPr>
            <w:tcW w:w="1325" w:type="pct"/>
            <w:tcBorders>
              <w:top w:val="nil"/>
              <w:left w:val="nil"/>
              <w:bottom w:val="nil"/>
              <w:right w:val="nil"/>
            </w:tcBorders>
          </w:tcPr>
          <w:p w14:paraId="3898C8F3" w14:textId="2A49B0A3" w:rsidR="009A7378" w:rsidRPr="00911502" w:rsidRDefault="00B86312" w:rsidP="004808C6">
            <w:pPr>
              <w:pStyle w:val="TableText"/>
              <w:widowControl w:val="0"/>
              <w:suppressAutoHyphens w:val="0"/>
              <w:spacing w:before="0" w:after="0" w:line="240" w:lineRule="auto"/>
              <w:rPr>
                <w:szCs w:val="17"/>
              </w:rPr>
            </w:pPr>
            <w:r w:rsidRPr="00911502">
              <w:rPr>
                <w:szCs w:val="17"/>
              </w:rPr>
              <w:t>LC</w:t>
            </w:r>
            <w:r w:rsidRPr="00911502">
              <w:rPr>
                <w:szCs w:val="17"/>
                <w:vertAlign w:val="subscript"/>
              </w:rPr>
              <w:t>50</w:t>
            </w:r>
            <w:r w:rsidRPr="00911502">
              <w:rPr>
                <w:szCs w:val="17"/>
              </w:rPr>
              <w:t xml:space="preserve"> 698 mg ac/kg feed</w:t>
            </w:r>
          </w:p>
        </w:tc>
        <w:tc>
          <w:tcPr>
            <w:tcW w:w="1248" w:type="pct"/>
            <w:tcBorders>
              <w:top w:val="nil"/>
              <w:left w:val="nil"/>
              <w:bottom w:val="nil"/>
              <w:right w:val="nil"/>
            </w:tcBorders>
          </w:tcPr>
          <w:p w14:paraId="5861F448" w14:textId="7C66D6FF" w:rsidR="009A7378" w:rsidRPr="00911502" w:rsidRDefault="009A7378" w:rsidP="004808C6">
            <w:pPr>
              <w:pStyle w:val="TableText"/>
              <w:widowControl w:val="0"/>
              <w:suppressAutoHyphens w:val="0"/>
              <w:spacing w:before="0" w:after="0" w:line="240" w:lineRule="auto"/>
              <w:rPr>
                <w:szCs w:val="17"/>
              </w:rPr>
            </w:pPr>
            <w:r w:rsidRPr="00911502">
              <w:rPr>
                <w:szCs w:val="17"/>
              </w:rPr>
              <w:t>Hill et</w:t>
            </w:r>
            <w:r w:rsidR="00143F5A" w:rsidRPr="00911502">
              <w:rPr>
                <w:szCs w:val="17"/>
              </w:rPr>
              <w:t xml:space="preserve"> al,</w:t>
            </w:r>
            <w:r w:rsidRPr="00911502">
              <w:rPr>
                <w:szCs w:val="17"/>
              </w:rPr>
              <w:t xml:space="preserve"> 1975</w:t>
            </w:r>
          </w:p>
        </w:tc>
      </w:tr>
      <w:tr w:rsidR="009A7378" w:rsidRPr="00D63217" w14:paraId="3AD56B41" w14:textId="77777777" w:rsidTr="00017CE7">
        <w:tc>
          <w:tcPr>
            <w:tcW w:w="0" w:type="auto"/>
            <w:tcBorders>
              <w:top w:val="nil"/>
              <w:left w:val="nil"/>
              <w:bottom w:val="nil"/>
              <w:right w:val="nil"/>
            </w:tcBorders>
          </w:tcPr>
          <w:p w14:paraId="3A662C83" w14:textId="77777777"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nil"/>
              <w:right w:val="nil"/>
            </w:tcBorders>
          </w:tcPr>
          <w:p w14:paraId="7CC66E49" w14:textId="77777777" w:rsidR="009A7378" w:rsidRPr="00D63217" w:rsidRDefault="009A7378" w:rsidP="004808C6">
            <w:pPr>
              <w:pStyle w:val="TableText"/>
              <w:widowControl w:val="0"/>
              <w:suppressAutoHyphens w:val="0"/>
              <w:spacing w:before="0" w:after="0" w:line="240" w:lineRule="auto"/>
              <w:rPr>
                <w:szCs w:val="17"/>
              </w:rPr>
            </w:pPr>
          </w:p>
        </w:tc>
        <w:tc>
          <w:tcPr>
            <w:tcW w:w="450" w:type="pct"/>
            <w:tcBorders>
              <w:top w:val="nil"/>
              <w:left w:val="nil"/>
              <w:bottom w:val="single" w:sz="4" w:space="0" w:color="auto"/>
              <w:right w:val="nil"/>
            </w:tcBorders>
          </w:tcPr>
          <w:p w14:paraId="6381D869" w14:textId="77777777" w:rsidR="009A7378" w:rsidRPr="00D63217" w:rsidRDefault="009A7378" w:rsidP="004808C6">
            <w:pPr>
              <w:pStyle w:val="TableText"/>
              <w:widowControl w:val="0"/>
              <w:suppressAutoHyphens w:val="0"/>
              <w:spacing w:before="0" w:after="0" w:line="240" w:lineRule="auto"/>
              <w:rPr>
                <w:szCs w:val="17"/>
              </w:rPr>
            </w:pPr>
          </w:p>
        </w:tc>
        <w:tc>
          <w:tcPr>
            <w:tcW w:w="978" w:type="pct"/>
            <w:tcBorders>
              <w:top w:val="nil"/>
              <w:left w:val="nil"/>
              <w:bottom w:val="single" w:sz="4" w:space="0" w:color="auto"/>
              <w:right w:val="nil"/>
            </w:tcBorders>
          </w:tcPr>
          <w:p w14:paraId="07581195" w14:textId="77777777" w:rsidR="009A7378" w:rsidRPr="00911502" w:rsidRDefault="009A7378" w:rsidP="004808C6">
            <w:pPr>
              <w:pStyle w:val="TableText"/>
              <w:widowControl w:val="0"/>
              <w:suppressAutoHyphens w:val="0"/>
              <w:spacing w:before="0" w:after="0" w:line="240" w:lineRule="auto"/>
              <w:rPr>
                <w:i/>
                <w:iCs/>
                <w:szCs w:val="17"/>
              </w:rPr>
            </w:pPr>
            <w:r w:rsidRPr="00911502">
              <w:rPr>
                <w:i/>
                <w:iCs/>
                <w:szCs w:val="17"/>
              </w:rPr>
              <w:t>Phasianus colchicus</w:t>
            </w:r>
          </w:p>
        </w:tc>
        <w:tc>
          <w:tcPr>
            <w:tcW w:w="1325" w:type="pct"/>
            <w:tcBorders>
              <w:top w:val="nil"/>
              <w:left w:val="nil"/>
              <w:bottom w:val="single" w:sz="4" w:space="0" w:color="auto"/>
              <w:right w:val="nil"/>
            </w:tcBorders>
          </w:tcPr>
          <w:p w14:paraId="58A74803" w14:textId="64D80235" w:rsidR="009A7378" w:rsidRPr="00911502" w:rsidRDefault="00B86312" w:rsidP="004808C6">
            <w:pPr>
              <w:pStyle w:val="TableText"/>
              <w:widowControl w:val="0"/>
              <w:suppressAutoHyphens w:val="0"/>
              <w:spacing w:before="0" w:after="0" w:line="240" w:lineRule="auto"/>
              <w:rPr>
                <w:szCs w:val="17"/>
              </w:rPr>
            </w:pPr>
            <w:r w:rsidRPr="00911502">
              <w:rPr>
                <w:szCs w:val="17"/>
              </w:rPr>
              <w:t>LC</w:t>
            </w:r>
            <w:r w:rsidRPr="00911502">
              <w:rPr>
                <w:szCs w:val="17"/>
                <w:vertAlign w:val="subscript"/>
              </w:rPr>
              <w:t>50</w:t>
            </w:r>
            <w:r w:rsidRPr="00911502">
              <w:rPr>
                <w:szCs w:val="17"/>
              </w:rPr>
              <w:t xml:space="preserve"> 1060 mg ac/kg feed</w:t>
            </w:r>
          </w:p>
        </w:tc>
        <w:tc>
          <w:tcPr>
            <w:tcW w:w="1248" w:type="pct"/>
            <w:tcBorders>
              <w:top w:val="nil"/>
              <w:left w:val="nil"/>
              <w:bottom w:val="single" w:sz="4" w:space="0" w:color="auto"/>
              <w:right w:val="nil"/>
            </w:tcBorders>
          </w:tcPr>
          <w:p w14:paraId="24826E7D" w14:textId="5776C5A6" w:rsidR="009A7378" w:rsidRPr="00911502" w:rsidRDefault="009A7378" w:rsidP="004808C6">
            <w:pPr>
              <w:pStyle w:val="TableText"/>
              <w:widowControl w:val="0"/>
              <w:suppressAutoHyphens w:val="0"/>
              <w:spacing w:before="0" w:after="0" w:line="240" w:lineRule="auto"/>
              <w:rPr>
                <w:szCs w:val="17"/>
              </w:rPr>
            </w:pPr>
            <w:r w:rsidRPr="00911502">
              <w:rPr>
                <w:szCs w:val="17"/>
              </w:rPr>
              <w:t>Hill et</w:t>
            </w:r>
            <w:r w:rsidR="00143F5A" w:rsidRPr="00911502">
              <w:rPr>
                <w:szCs w:val="17"/>
              </w:rPr>
              <w:t xml:space="preserve"> al,</w:t>
            </w:r>
            <w:r w:rsidRPr="00911502">
              <w:rPr>
                <w:szCs w:val="17"/>
              </w:rPr>
              <w:t xml:space="preserve"> 1975</w:t>
            </w:r>
          </w:p>
        </w:tc>
      </w:tr>
      <w:tr w:rsidR="009A7378" w:rsidRPr="00D63217" w14:paraId="4047EB7E" w14:textId="77777777" w:rsidTr="00017CE7">
        <w:tc>
          <w:tcPr>
            <w:tcW w:w="0" w:type="auto"/>
            <w:tcBorders>
              <w:top w:val="nil"/>
              <w:left w:val="nil"/>
              <w:bottom w:val="single" w:sz="4" w:space="0" w:color="auto"/>
              <w:right w:val="nil"/>
            </w:tcBorders>
          </w:tcPr>
          <w:p w14:paraId="28807F25" w14:textId="2A0EBACF" w:rsidR="009A7378" w:rsidRPr="00D63217" w:rsidRDefault="009A7378" w:rsidP="004808C6">
            <w:pPr>
              <w:pStyle w:val="TableText"/>
              <w:widowControl w:val="0"/>
              <w:suppressAutoHyphens w:val="0"/>
              <w:spacing w:before="0" w:after="0" w:line="240" w:lineRule="auto"/>
              <w:rPr>
                <w:szCs w:val="17"/>
              </w:rPr>
            </w:pPr>
          </w:p>
        </w:tc>
        <w:tc>
          <w:tcPr>
            <w:tcW w:w="464" w:type="pct"/>
            <w:tcBorders>
              <w:top w:val="nil"/>
              <w:left w:val="nil"/>
              <w:bottom w:val="single" w:sz="4" w:space="0" w:color="auto"/>
              <w:right w:val="nil"/>
            </w:tcBorders>
          </w:tcPr>
          <w:p w14:paraId="649A82CF" w14:textId="122154DE" w:rsidR="009A7378" w:rsidRPr="00D63217" w:rsidRDefault="009A7378" w:rsidP="004808C6">
            <w:pPr>
              <w:pStyle w:val="TableText"/>
              <w:widowControl w:val="0"/>
              <w:suppressAutoHyphens w:val="0"/>
              <w:spacing w:before="0" w:after="0" w:line="240" w:lineRule="auto"/>
              <w:rPr>
                <w:szCs w:val="17"/>
              </w:rPr>
            </w:pPr>
          </w:p>
        </w:tc>
        <w:tc>
          <w:tcPr>
            <w:tcW w:w="450" w:type="pct"/>
            <w:tcBorders>
              <w:top w:val="single" w:sz="4" w:space="0" w:color="auto"/>
              <w:left w:val="nil"/>
              <w:bottom w:val="single" w:sz="4" w:space="0" w:color="auto"/>
              <w:right w:val="nil"/>
            </w:tcBorders>
          </w:tcPr>
          <w:p w14:paraId="16992D46"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Chronic</w:t>
            </w:r>
          </w:p>
        </w:tc>
        <w:tc>
          <w:tcPr>
            <w:tcW w:w="978" w:type="pct"/>
            <w:tcBorders>
              <w:top w:val="single" w:sz="4" w:space="0" w:color="auto"/>
              <w:left w:val="nil"/>
              <w:bottom w:val="single" w:sz="4" w:space="0" w:color="auto"/>
              <w:right w:val="nil"/>
            </w:tcBorders>
          </w:tcPr>
          <w:p w14:paraId="0D6A8364" w14:textId="77777777" w:rsidR="009A7378" w:rsidRPr="00D63217" w:rsidRDefault="009A7378" w:rsidP="004808C6">
            <w:pPr>
              <w:pStyle w:val="TableText"/>
              <w:widowControl w:val="0"/>
              <w:suppressAutoHyphens w:val="0"/>
              <w:spacing w:before="0" w:after="0" w:line="240" w:lineRule="auto"/>
              <w:rPr>
                <w:i/>
                <w:iCs/>
                <w:szCs w:val="17"/>
              </w:rPr>
            </w:pPr>
            <w:r w:rsidRPr="00D63217">
              <w:rPr>
                <w:i/>
                <w:iCs/>
                <w:szCs w:val="17"/>
              </w:rPr>
              <w:t>Anas platyrhynchos</w:t>
            </w:r>
          </w:p>
        </w:tc>
        <w:tc>
          <w:tcPr>
            <w:tcW w:w="1325" w:type="pct"/>
            <w:tcBorders>
              <w:top w:val="single" w:sz="4" w:space="0" w:color="auto"/>
              <w:left w:val="nil"/>
              <w:bottom w:val="single" w:sz="4" w:space="0" w:color="auto"/>
              <w:right w:val="nil"/>
            </w:tcBorders>
          </w:tcPr>
          <w:p w14:paraId="4A3F4634" w14:textId="77777777" w:rsidR="009A7378" w:rsidRPr="00D63217" w:rsidRDefault="009A7378" w:rsidP="004808C6">
            <w:pPr>
              <w:pStyle w:val="TableText"/>
              <w:widowControl w:val="0"/>
              <w:suppressAutoHyphens w:val="0"/>
              <w:spacing w:before="0" w:after="0" w:line="240" w:lineRule="auto"/>
              <w:rPr>
                <w:szCs w:val="17"/>
              </w:rPr>
            </w:pPr>
            <w:r w:rsidRPr="00D63217">
              <w:rPr>
                <w:szCs w:val="17"/>
              </w:rPr>
              <w:t>NOAEL 2.7 mg ac/kg bw/d</w:t>
            </w:r>
          </w:p>
        </w:tc>
        <w:tc>
          <w:tcPr>
            <w:tcW w:w="1248" w:type="pct"/>
            <w:tcBorders>
              <w:top w:val="single" w:sz="4" w:space="0" w:color="auto"/>
              <w:left w:val="nil"/>
              <w:bottom w:val="single" w:sz="4" w:space="0" w:color="auto"/>
              <w:right w:val="nil"/>
            </w:tcBorders>
          </w:tcPr>
          <w:p w14:paraId="78751F8A" w14:textId="028948AD" w:rsidR="009A7378" w:rsidRPr="00D63217" w:rsidRDefault="009A7378" w:rsidP="004808C6">
            <w:pPr>
              <w:pStyle w:val="TableText"/>
              <w:widowControl w:val="0"/>
              <w:suppressAutoHyphens w:val="0"/>
              <w:spacing w:before="0" w:after="0" w:line="240" w:lineRule="auto"/>
              <w:rPr>
                <w:szCs w:val="17"/>
              </w:rPr>
            </w:pPr>
            <w:r w:rsidRPr="00D63217">
              <w:rPr>
                <w:szCs w:val="17"/>
              </w:rPr>
              <w:t>Fink et</w:t>
            </w:r>
            <w:r w:rsidR="00143F5A" w:rsidRPr="00D63217">
              <w:rPr>
                <w:szCs w:val="17"/>
              </w:rPr>
              <w:t xml:space="preserve"> al,</w:t>
            </w:r>
            <w:r w:rsidRPr="00D63217">
              <w:rPr>
                <w:szCs w:val="17"/>
              </w:rPr>
              <w:t xml:space="preserve"> 1982</w:t>
            </w:r>
            <w:r w:rsidR="00143F5A" w:rsidRPr="00D63217">
              <w:rPr>
                <w:szCs w:val="17"/>
              </w:rPr>
              <w:t>(</w:t>
            </w:r>
            <w:r w:rsidR="00187029" w:rsidRPr="00D63217">
              <w:rPr>
                <w:szCs w:val="17"/>
              </w:rPr>
              <w:t>a</w:t>
            </w:r>
            <w:r w:rsidR="00143F5A" w:rsidRPr="00D63217">
              <w:rPr>
                <w:szCs w:val="17"/>
              </w:rPr>
              <w:t>)</w:t>
            </w:r>
          </w:p>
        </w:tc>
      </w:tr>
    </w:tbl>
    <w:p w14:paraId="22220C14" w14:textId="30E7ED01" w:rsidR="009A7378" w:rsidRPr="00A70C86" w:rsidRDefault="00F012C6" w:rsidP="00A70C86">
      <w:pPr>
        <w:pStyle w:val="Caption"/>
      </w:pPr>
      <w:bookmarkStart w:id="661" w:name="_Toc230692326"/>
      <w:bookmarkStart w:id="662" w:name="_Toc233036547"/>
      <w:bookmarkStart w:id="663" w:name="_Toc156383622"/>
      <w:bookmarkEnd w:id="657"/>
      <w:bookmarkEnd w:id="658"/>
      <w:r w:rsidRPr="00A70C86">
        <w:lastRenderedPageBreak/>
        <w:t xml:space="preserve">Table </w:t>
      </w:r>
      <w:fldSimple w:instr=" SEQ Table \* ARABIC ">
        <w:r w:rsidR="00A70C86">
          <w:rPr>
            <w:noProof/>
          </w:rPr>
          <w:t>60</w:t>
        </w:r>
      </w:fldSimple>
      <w:r w:rsidRPr="00A70C86">
        <w:t xml:space="preserve">: </w:t>
      </w:r>
      <w:r w:rsidR="00017CE7" w:rsidRPr="00A70C86">
        <w:t xml:space="preserve">Paraquat – </w:t>
      </w:r>
      <w:r w:rsidR="009A7378" w:rsidRPr="00A70C86">
        <w:t>Monitoring data on terrestrial vertebrates</w:t>
      </w:r>
      <w:bookmarkEnd w:id="661"/>
      <w:bookmarkEnd w:id="6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8"/>
        <w:gridCol w:w="1330"/>
        <w:gridCol w:w="1115"/>
        <w:gridCol w:w="4540"/>
        <w:gridCol w:w="1665"/>
      </w:tblGrid>
      <w:tr w:rsidR="009A7378" w:rsidRPr="00D63217" w14:paraId="60A1737B" w14:textId="77777777" w:rsidTr="00E53283">
        <w:trPr>
          <w:trHeight w:val="13"/>
          <w:tblHeader/>
        </w:trPr>
        <w:tc>
          <w:tcPr>
            <w:tcW w:w="499" w:type="pct"/>
            <w:tcBorders>
              <w:bottom w:val="single" w:sz="4" w:space="0" w:color="auto"/>
            </w:tcBorders>
            <w:shd w:val="clear" w:color="auto" w:fill="5C2946"/>
          </w:tcPr>
          <w:p w14:paraId="0F3623CD" w14:textId="77777777" w:rsidR="009A7378" w:rsidRPr="00D63217" w:rsidRDefault="009A7378" w:rsidP="005C1E35">
            <w:pPr>
              <w:pStyle w:val="TableHead"/>
            </w:pPr>
            <w:r w:rsidRPr="00D63217">
              <w:t>Substance</w:t>
            </w:r>
          </w:p>
        </w:tc>
        <w:tc>
          <w:tcPr>
            <w:tcW w:w="693" w:type="pct"/>
            <w:tcBorders>
              <w:bottom w:val="single" w:sz="4" w:space="0" w:color="auto"/>
            </w:tcBorders>
            <w:shd w:val="clear" w:color="auto" w:fill="5C2946"/>
          </w:tcPr>
          <w:p w14:paraId="2B081C5B" w14:textId="77777777" w:rsidR="009A7378" w:rsidRPr="00D63217" w:rsidRDefault="009A7378" w:rsidP="005C1E35">
            <w:pPr>
              <w:pStyle w:val="TableHead"/>
            </w:pPr>
            <w:r w:rsidRPr="00D63217">
              <w:t>Crop</w:t>
            </w:r>
          </w:p>
        </w:tc>
        <w:tc>
          <w:tcPr>
            <w:tcW w:w="581" w:type="pct"/>
            <w:tcBorders>
              <w:bottom w:val="single" w:sz="4" w:space="0" w:color="auto"/>
            </w:tcBorders>
            <w:shd w:val="clear" w:color="auto" w:fill="5C2946"/>
          </w:tcPr>
          <w:p w14:paraId="7134A154" w14:textId="77777777" w:rsidR="009A7378" w:rsidRPr="00D63217" w:rsidRDefault="009A7378" w:rsidP="005C1E35">
            <w:pPr>
              <w:pStyle w:val="TableHead"/>
            </w:pPr>
            <w:r w:rsidRPr="00D63217">
              <w:t>Exposure</w:t>
            </w:r>
          </w:p>
        </w:tc>
        <w:tc>
          <w:tcPr>
            <w:tcW w:w="2360" w:type="pct"/>
            <w:tcBorders>
              <w:bottom w:val="single" w:sz="4" w:space="0" w:color="auto"/>
            </w:tcBorders>
            <w:shd w:val="clear" w:color="auto" w:fill="5C2946"/>
          </w:tcPr>
          <w:p w14:paraId="0B1DFE4B" w14:textId="77777777" w:rsidR="009A7378" w:rsidRPr="00D63217" w:rsidRDefault="009A7378" w:rsidP="005C1E35">
            <w:pPr>
              <w:pStyle w:val="TableHead"/>
            </w:pPr>
            <w:r w:rsidRPr="00D63217">
              <w:t>Effect</w:t>
            </w:r>
          </w:p>
        </w:tc>
        <w:tc>
          <w:tcPr>
            <w:tcW w:w="867" w:type="pct"/>
            <w:tcBorders>
              <w:bottom w:val="single" w:sz="4" w:space="0" w:color="auto"/>
            </w:tcBorders>
            <w:shd w:val="clear" w:color="auto" w:fill="5C2946"/>
          </w:tcPr>
          <w:p w14:paraId="18B13095" w14:textId="77777777" w:rsidR="009A7378" w:rsidRPr="00D63217" w:rsidRDefault="009A7378" w:rsidP="005C1E35">
            <w:pPr>
              <w:pStyle w:val="TableHead"/>
            </w:pPr>
            <w:r w:rsidRPr="00D63217">
              <w:t>Reference</w:t>
            </w:r>
          </w:p>
        </w:tc>
      </w:tr>
      <w:tr w:rsidR="009A7378" w:rsidRPr="00D63217" w14:paraId="711DDEC7" w14:textId="77777777" w:rsidTr="00BF4B43">
        <w:tc>
          <w:tcPr>
            <w:tcW w:w="499" w:type="pct"/>
            <w:tcBorders>
              <w:top w:val="single" w:sz="4" w:space="0" w:color="auto"/>
              <w:left w:val="nil"/>
              <w:bottom w:val="nil"/>
              <w:right w:val="nil"/>
            </w:tcBorders>
          </w:tcPr>
          <w:p w14:paraId="2CD82E18" w14:textId="77777777" w:rsidR="009A7378" w:rsidRPr="00D63217" w:rsidRDefault="009A7378" w:rsidP="004808C6">
            <w:pPr>
              <w:pStyle w:val="TableText"/>
              <w:spacing w:before="0" w:after="0" w:line="240" w:lineRule="auto"/>
              <w:rPr>
                <w:szCs w:val="17"/>
              </w:rPr>
            </w:pPr>
            <w:r w:rsidRPr="00D63217">
              <w:rPr>
                <w:szCs w:val="17"/>
              </w:rPr>
              <w:t>Paraquat</w:t>
            </w:r>
          </w:p>
        </w:tc>
        <w:tc>
          <w:tcPr>
            <w:tcW w:w="693" w:type="pct"/>
            <w:tcBorders>
              <w:top w:val="single" w:sz="4" w:space="0" w:color="auto"/>
              <w:left w:val="nil"/>
              <w:bottom w:val="nil"/>
              <w:right w:val="nil"/>
            </w:tcBorders>
          </w:tcPr>
          <w:p w14:paraId="7C6D2495" w14:textId="77777777" w:rsidR="009A7378" w:rsidRPr="00D63217" w:rsidRDefault="009A7378" w:rsidP="004808C6">
            <w:pPr>
              <w:pStyle w:val="TableText"/>
              <w:spacing w:before="0" w:after="0" w:line="240" w:lineRule="auto"/>
              <w:rPr>
                <w:szCs w:val="17"/>
              </w:rPr>
            </w:pPr>
            <w:r w:rsidRPr="00D63217">
              <w:rPr>
                <w:szCs w:val="17"/>
              </w:rPr>
              <w:t>Various</w:t>
            </w:r>
          </w:p>
        </w:tc>
        <w:tc>
          <w:tcPr>
            <w:tcW w:w="581" w:type="pct"/>
            <w:tcBorders>
              <w:top w:val="single" w:sz="4" w:space="0" w:color="auto"/>
              <w:left w:val="nil"/>
              <w:bottom w:val="nil"/>
              <w:right w:val="nil"/>
            </w:tcBorders>
          </w:tcPr>
          <w:p w14:paraId="02216E7B" w14:textId="77777777" w:rsidR="009A7378" w:rsidRPr="00D63217" w:rsidRDefault="009A7378" w:rsidP="004808C6">
            <w:pPr>
              <w:pStyle w:val="TableText"/>
              <w:spacing w:before="0" w:after="0" w:line="240" w:lineRule="auto"/>
              <w:rPr>
                <w:szCs w:val="17"/>
              </w:rPr>
            </w:pPr>
            <w:r w:rsidRPr="00D63217">
              <w:rPr>
                <w:szCs w:val="17"/>
              </w:rPr>
              <w:t>Various</w:t>
            </w:r>
          </w:p>
        </w:tc>
        <w:tc>
          <w:tcPr>
            <w:tcW w:w="2360" w:type="pct"/>
            <w:tcBorders>
              <w:top w:val="single" w:sz="4" w:space="0" w:color="auto"/>
              <w:left w:val="nil"/>
              <w:bottom w:val="nil"/>
              <w:right w:val="nil"/>
            </w:tcBorders>
          </w:tcPr>
          <w:p w14:paraId="57980C05" w14:textId="17BB6D6F" w:rsidR="009A7378" w:rsidRPr="00D63217" w:rsidRDefault="009A7378" w:rsidP="004808C6">
            <w:pPr>
              <w:pStyle w:val="TableText"/>
              <w:spacing w:before="0" w:after="0" w:line="240" w:lineRule="auto"/>
              <w:rPr>
                <w:szCs w:val="17"/>
              </w:rPr>
            </w:pPr>
            <w:r w:rsidRPr="00D63217">
              <w:rPr>
                <w:szCs w:val="17"/>
              </w:rPr>
              <w:t>Deaths attributed to paraquat include 1 hedgehog, 1</w:t>
            </w:r>
            <w:r w:rsidR="002B660F" w:rsidRPr="00D63217">
              <w:rPr>
                <w:szCs w:val="17"/>
              </w:rPr>
              <w:t> </w:t>
            </w:r>
            <w:r w:rsidRPr="00D63217">
              <w:rPr>
                <w:szCs w:val="17"/>
              </w:rPr>
              <w:t>hare and no birds in UK (1990-94); no vertebrate deaths attributed to paraquat in France (1994-95) or the Netherlands (1990-94)</w:t>
            </w:r>
          </w:p>
        </w:tc>
        <w:tc>
          <w:tcPr>
            <w:tcW w:w="867" w:type="pct"/>
            <w:tcBorders>
              <w:top w:val="single" w:sz="4" w:space="0" w:color="auto"/>
              <w:left w:val="nil"/>
              <w:bottom w:val="nil"/>
              <w:right w:val="nil"/>
            </w:tcBorders>
          </w:tcPr>
          <w:p w14:paraId="7F120384" w14:textId="67B5C061" w:rsidR="009A7378" w:rsidRPr="00D63217" w:rsidRDefault="009A7378" w:rsidP="004808C6">
            <w:pPr>
              <w:pStyle w:val="TableText"/>
              <w:spacing w:before="0" w:after="0" w:line="240" w:lineRule="auto"/>
              <w:rPr>
                <w:szCs w:val="17"/>
              </w:rPr>
            </w:pPr>
            <w:r w:rsidRPr="00D63217">
              <w:rPr>
                <w:szCs w:val="17"/>
              </w:rPr>
              <w:t>de Snoo et</w:t>
            </w:r>
            <w:r w:rsidR="00143F5A" w:rsidRPr="00D63217">
              <w:rPr>
                <w:szCs w:val="17"/>
              </w:rPr>
              <w:t xml:space="preserve"> al,</w:t>
            </w:r>
            <w:r w:rsidRPr="00D63217">
              <w:rPr>
                <w:szCs w:val="17"/>
              </w:rPr>
              <w:t xml:space="preserve"> 1999</w:t>
            </w:r>
          </w:p>
        </w:tc>
      </w:tr>
      <w:tr w:rsidR="009A7378" w:rsidRPr="00D63217" w14:paraId="7CDECF6E" w14:textId="77777777" w:rsidTr="00BF4B43">
        <w:tc>
          <w:tcPr>
            <w:tcW w:w="499" w:type="pct"/>
            <w:tcBorders>
              <w:top w:val="nil"/>
              <w:left w:val="nil"/>
              <w:bottom w:val="nil"/>
              <w:right w:val="nil"/>
            </w:tcBorders>
          </w:tcPr>
          <w:p w14:paraId="21F87400" w14:textId="77777777" w:rsidR="009A7378" w:rsidRPr="00D63217" w:rsidRDefault="009A7378" w:rsidP="004808C6">
            <w:pPr>
              <w:pStyle w:val="TableText"/>
              <w:spacing w:before="0" w:after="0" w:line="240" w:lineRule="auto"/>
              <w:rPr>
                <w:szCs w:val="17"/>
              </w:rPr>
            </w:pPr>
          </w:p>
        </w:tc>
        <w:tc>
          <w:tcPr>
            <w:tcW w:w="693" w:type="pct"/>
            <w:tcBorders>
              <w:top w:val="nil"/>
              <w:left w:val="nil"/>
              <w:bottom w:val="nil"/>
              <w:right w:val="nil"/>
            </w:tcBorders>
          </w:tcPr>
          <w:p w14:paraId="5386F9A4" w14:textId="77777777" w:rsidR="009A7378" w:rsidRPr="00D63217" w:rsidRDefault="009A7378" w:rsidP="004808C6">
            <w:pPr>
              <w:pStyle w:val="TableText"/>
              <w:spacing w:before="0" w:after="0" w:line="240" w:lineRule="auto"/>
              <w:rPr>
                <w:szCs w:val="17"/>
              </w:rPr>
            </w:pPr>
          </w:p>
        </w:tc>
        <w:tc>
          <w:tcPr>
            <w:tcW w:w="581" w:type="pct"/>
            <w:tcBorders>
              <w:top w:val="nil"/>
              <w:left w:val="nil"/>
              <w:bottom w:val="nil"/>
              <w:right w:val="nil"/>
            </w:tcBorders>
          </w:tcPr>
          <w:p w14:paraId="7C23FA04" w14:textId="77777777" w:rsidR="009A7378" w:rsidRPr="00D63217" w:rsidRDefault="009A7378" w:rsidP="004808C6">
            <w:pPr>
              <w:pStyle w:val="TableText"/>
              <w:spacing w:before="0" w:after="0" w:line="240" w:lineRule="auto"/>
              <w:rPr>
                <w:szCs w:val="17"/>
              </w:rPr>
            </w:pPr>
          </w:p>
        </w:tc>
        <w:tc>
          <w:tcPr>
            <w:tcW w:w="2360" w:type="pct"/>
            <w:tcBorders>
              <w:top w:val="nil"/>
              <w:left w:val="nil"/>
              <w:bottom w:val="nil"/>
              <w:right w:val="nil"/>
            </w:tcBorders>
          </w:tcPr>
          <w:p w14:paraId="0B3B6BCF" w14:textId="77777777" w:rsidR="009A7378" w:rsidRPr="00D63217" w:rsidRDefault="009A7378" w:rsidP="004808C6">
            <w:pPr>
              <w:pStyle w:val="TableText"/>
              <w:spacing w:before="0" w:after="0" w:line="240" w:lineRule="auto"/>
              <w:rPr>
                <w:szCs w:val="17"/>
              </w:rPr>
            </w:pPr>
            <w:r w:rsidRPr="00D63217">
              <w:rPr>
                <w:szCs w:val="17"/>
              </w:rPr>
              <w:t>Hare deaths attributed to paraquat were 2/104 in UK (1974-97) and 8/13588 in France (1986-96)</w:t>
            </w:r>
          </w:p>
        </w:tc>
        <w:tc>
          <w:tcPr>
            <w:tcW w:w="867" w:type="pct"/>
            <w:tcBorders>
              <w:top w:val="nil"/>
              <w:left w:val="nil"/>
              <w:bottom w:val="nil"/>
              <w:right w:val="nil"/>
            </w:tcBorders>
          </w:tcPr>
          <w:p w14:paraId="01A39D86" w14:textId="2752BB84" w:rsidR="009A7378" w:rsidRPr="00D63217" w:rsidRDefault="009A7378" w:rsidP="004808C6">
            <w:pPr>
              <w:pStyle w:val="TableText"/>
              <w:spacing w:before="0" w:after="0" w:line="240" w:lineRule="auto"/>
              <w:rPr>
                <w:szCs w:val="17"/>
              </w:rPr>
            </w:pPr>
            <w:r w:rsidRPr="00D63217">
              <w:rPr>
                <w:szCs w:val="17"/>
              </w:rPr>
              <w:t>Edwards et</w:t>
            </w:r>
            <w:r w:rsidR="00143F5A" w:rsidRPr="00D63217">
              <w:rPr>
                <w:szCs w:val="17"/>
              </w:rPr>
              <w:t xml:space="preserve"> al,</w:t>
            </w:r>
            <w:r w:rsidRPr="00D63217">
              <w:rPr>
                <w:szCs w:val="17"/>
              </w:rPr>
              <w:t xml:space="preserve"> 2000</w:t>
            </w:r>
          </w:p>
        </w:tc>
      </w:tr>
      <w:tr w:rsidR="009A7378" w:rsidRPr="00D63217" w14:paraId="65D317CB" w14:textId="77777777" w:rsidTr="00BF4B43">
        <w:tc>
          <w:tcPr>
            <w:tcW w:w="499" w:type="pct"/>
            <w:tcBorders>
              <w:top w:val="nil"/>
              <w:left w:val="nil"/>
              <w:bottom w:val="single" w:sz="4" w:space="0" w:color="auto"/>
              <w:right w:val="nil"/>
            </w:tcBorders>
          </w:tcPr>
          <w:p w14:paraId="0AC8A02F" w14:textId="77777777" w:rsidR="009A7378" w:rsidRPr="00D63217" w:rsidRDefault="009A7378" w:rsidP="004808C6">
            <w:pPr>
              <w:pStyle w:val="TableText"/>
              <w:spacing w:before="0" w:after="0" w:line="240" w:lineRule="auto"/>
              <w:rPr>
                <w:szCs w:val="17"/>
              </w:rPr>
            </w:pPr>
          </w:p>
        </w:tc>
        <w:tc>
          <w:tcPr>
            <w:tcW w:w="693" w:type="pct"/>
            <w:tcBorders>
              <w:top w:val="nil"/>
              <w:left w:val="nil"/>
              <w:bottom w:val="single" w:sz="4" w:space="0" w:color="auto"/>
              <w:right w:val="nil"/>
            </w:tcBorders>
          </w:tcPr>
          <w:p w14:paraId="4DB5D568" w14:textId="77777777" w:rsidR="009A7378" w:rsidRPr="00D63217" w:rsidRDefault="009A7378" w:rsidP="004808C6">
            <w:pPr>
              <w:pStyle w:val="TableText"/>
              <w:spacing w:before="0" w:after="0" w:line="240" w:lineRule="auto"/>
              <w:rPr>
                <w:szCs w:val="17"/>
              </w:rPr>
            </w:pPr>
          </w:p>
        </w:tc>
        <w:tc>
          <w:tcPr>
            <w:tcW w:w="581" w:type="pct"/>
            <w:tcBorders>
              <w:top w:val="nil"/>
              <w:left w:val="nil"/>
              <w:bottom w:val="single" w:sz="4" w:space="0" w:color="auto"/>
              <w:right w:val="nil"/>
            </w:tcBorders>
          </w:tcPr>
          <w:p w14:paraId="53C8E8AC" w14:textId="77777777" w:rsidR="009A7378" w:rsidRPr="00D63217" w:rsidRDefault="009A7378" w:rsidP="004808C6">
            <w:pPr>
              <w:pStyle w:val="TableText"/>
              <w:spacing w:before="0" w:after="0" w:line="240" w:lineRule="auto"/>
              <w:rPr>
                <w:szCs w:val="17"/>
              </w:rPr>
            </w:pPr>
          </w:p>
        </w:tc>
        <w:tc>
          <w:tcPr>
            <w:tcW w:w="2360" w:type="pct"/>
            <w:tcBorders>
              <w:top w:val="nil"/>
              <w:left w:val="nil"/>
              <w:bottom w:val="single" w:sz="4" w:space="0" w:color="auto"/>
              <w:right w:val="nil"/>
            </w:tcBorders>
          </w:tcPr>
          <w:p w14:paraId="5D92EBEB" w14:textId="26FB7EA7" w:rsidR="009A7378" w:rsidRPr="00D63217" w:rsidRDefault="009A7378" w:rsidP="004808C6">
            <w:pPr>
              <w:pStyle w:val="TableText"/>
              <w:spacing w:before="0" w:after="0" w:line="240" w:lineRule="auto"/>
              <w:rPr>
                <w:szCs w:val="17"/>
              </w:rPr>
            </w:pPr>
            <w:r w:rsidRPr="00D63217">
              <w:rPr>
                <w:szCs w:val="17"/>
              </w:rPr>
              <w:t>Hare deaths attributed to paraquat were 3/112 in UK (1974-2002) and 9/21999 in France (1986-99); no deaths were attributed to paraquat in 216 bird and 8</w:t>
            </w:r>
            <w:r w:rsidR="002B660F" w:rsidRPr="00D63217">
              <w:rPr>
                <w:szCs w:val="17"/>
              </w:rPr>
              <w:t> </w:t>
            </w:r>
            <w:r w:rsidRPr="00D63217">
              <w:rPr>
                <w:szCs w:val="17"/>
              </w:rPr>
              <w:t>mammal deaths in the Netherlands (1990-94)</w:t>
            </w:r>
          </w:p>
        </w:tc>
        <w:tc>
          <w:tcPr>
            <w:tcW w:w="867" w:type="pct"/>
            <w:tcBorders>
              <w:top w:val="nil"/>
              <w:left w:val="nil"/>
              <w:bottom w:val="single" w:sz="4" w:space="0" w:color="auto"/>
              <w:right w:val="nil"/>
            </w:tcBorders>
          </w:tcPr>
          <w:p w14:paraId="6871839D" w14:textId="2BF07B5D" w:rsidR="009A7378" w:rsidRPr="00D63217" w:rsidRDefault="009A7378" w:rsidP="004808C6">
            <w:pPr>
              <w:pStyle w:val="TableText"/>
              <w:spacing w:before="0" w:after="0" w:line="240" w:lineRule="auto"/>
              <w:rPr>
                <w:szCs w:val="17"/>
              </w:rPr>
            </w:pPr>
            <w:r w:rsidRPr="00D63217">
              <w:rPr>
                <w:szCs w:val="17"/>
              </w:rPr>
              <w:t>Sutton et</w:t>
            </w:r>
            <w:r w:rsidR="00143F5A" w:rsidRPr="00D63217">
              <w:rPr>
                <w:szCs w:val="17"/>
              </w:rPr>
              <w:t xml:space="preserve"> al,</w:t>
            </w:r>
            <w:r w:rsidRPr="00D63217">
              <w:rPr>
                <w:szCs w:val="17"/>
              </w:rPr>
              <w:t xml:space="preserve"> 2004</w:t>
            </w:r>
          </w:p>
        </w:tc>
      </w:tr>
    </w:tbl>
    <w:p w14:paraId="6E44A6F4" w14:textId="6A1DEA81" w:rsidR="009A7378" w:rsidRPr="00A70C86" w:rsidRDefault="00F012C6" w:rsidP="00A70C86">
      <w:pPr>
        <w:pStyle w:val="Caption"/>
      </w:pPr>
      <w:bookmarkStart w:id="664" w:name="_Ref167303369"/>
      <w:bookmarkStart w:id="665" w:name="_Toc230692327"/>
      <w:bookmarkStart w:id="666" w:name="_Toc233036548"/>
      <w:r w:rsidRPr="00A70C86">
        <w:t xml:space="preserve">Table </w:t>
      </w:r>
      <w:fldSimple w:instr=" SEQ Table \* ARABIC ">
        <w:r w:rsidR="00A70C86">
          <w:rPr>
            <w:noProof/>
          </w:rPr>
          <w:t>61</w:t>
        </w:r>
      </w:fldSimple>
      <w:bookmarkStart w:id="667" w:name="_Toc156383623"/>
      <w:bookmarkEnd w:id="663"/>
      <w:bookmarkEnd w:id="664"/>
      <w:r w:rsidRPr="00A70C86">
        <w:t xml:space="preserve">: </w:t>
      </w:r>
      <w:r w:rsidR="00017CE7" w:rsidRPr="00A70C86">
        <w:t xml:space="preserve">Paraquat – </w:t>
      </w:r>
      <w:r w:rsidR="009A7378" w:rsidRPr="00A70C86">
        <w:t>Effects on aquatic species</w:t>
      </w:r>
      <w:bookmarkEnd w:id="665"/>
      <w:bookmarkEnd w:id="6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3"/>
        <w:gridCol w:w="1207"/>
        <w:gridCol w:w="878"/>
        <w:gridCol w:w="2222"/>
        <w:gridCol w:w="1945"/>
        <w:gridCol w:w="2201"/>
        <w:gridCol w:w="52"/>
      </w:tblGrid>
      <w:tr w:rsidR="00E53283" w:rsidRPr="00D63217" w14:paraId="1F52F17D" w14:textId="77777777" w:rsidTr="00B257F2">
        <w:trPr>
          <w:tblHeader/>
        </w:trPr>
        <w:tc>
          <w:tcPr>
            <w:tcW w:w="583" w:type="pct"/>
            <w:tcBorders>
              <w:bottom w:val="single" w:sz="4" w:space="0" w:color="auto"/>
            </w:tcBorders>
            <w:shd w:val="clear" w:color="auto" w:fill="5C2946"/>
          </w:tcPr>
          <w:p w14:paraId="5AC5C12C" w14:textId="77777777" w:rsidR="009A7378" w:rsidRPr="00D63217" w:rsidRDefault="009A7378" w:rsidP="005C1E35">
            <w:pPr>
              <w:pStyle w:val="TableHead"/>
            </w:pPr>
            <w:r w:rsidRPr="00D63217">
              <w:t>Substance</w:t>
            </w:r>
          </w:p>
        </w:tc>
        <w:tc>
          <w:tcPr>
            <w:tcW w:w="627" w:type="pct"/>
            <w:tcBorders>
              <w:bottom w:val="single" w:sz="4" w:space="0" w:color="auto"/>
            </w:tcBorders>
            <w:shd w:val="clear" w:color="auto" w:fill="5C2946"/>
          </w:tcPr>
          <w:p w14:paraId="6F90896D" w14:textId="77777777" w:rsidR="009A7378" w:rsidRPr="00D63217" w:rsidRDefault="009A7378" w:rsidP="005C1E35">
            <w:pPr>
              <w:pStyle w:val="TableHead"/>
            </w:pPr>
            <w:r w:rsidRPr="00D63217">
              <w:t>Group</w:t>
            </w:r>
          </w:p>
        </w:tc>
        <w:tc>
          <w:tcPr>
            <w:tcW w:w="456" w:type="pct"/>
            <w:tcBorders>
              <w:bottom w:val="single" w:sz="4" w:space="0" w:color="auto"/>
            </w:tcBorders>
            <w:shd w:val="clear" w:color="auto" w:fill="5C2946"/>
          </w:tcPr>
          <w:p w14:paraId="16F50FA3" w14:textId="77777777" w:rsidR="009A7378" w:rsidRPr="00D63217" w:rsidRDefault="009A7378" w:rsidP="005C1E35">
            <w:pPr>
              <w:pStyle w:val="TableHead"/>
            </w:pPr>
            <w:r w:rsidRPr="00D63217">
              <w:t>Exposure</w:t>
            </w:r>
          </w:p>
        </w:tc>
        <w:tc>
          <w:tcPr>
            <w:tcW w:w="1154" w:type="pct"/>
            <w:tcBorders>
              <w:bottom w:val="single" w:sz="4" w:space="0" w:color="auto"/>
            </w:tcBorders>
            <w:shd w:val="clear" w:color="auto" w:fill="5C2946"/>
          </w:tcPr>
          <w:p w14:paraId="5265AF90" w14:textId="77777777" w:rsidR="009A7378" w:rsidRPr="00D63217" w:rsidRDefault="009A7378" w:rsidP="005C1E35">
            <w:pPr>
              <w:pStyle w:val="TableHead"/>
            </w:pPr>
            <w:r w:rsidRPr="00D63217">
              <w:t>Species</w:t>
            </w:r>
          </w:p>
        </w:tc>
        <w:tc>
          <w:tcPr>
            <w:tcW w:w="1010" w:type="pct"/>
            <w:tcBorders>
              <w:bottom w:val="single" w:sz="4" w:space="0" w:color="auto"/>
            </w:tcBorders>
            <w:shd w:val="clear" w:color="auto" w:fill="5C2946"/>
          </w:tcPr>
          <w:p w14:paraId="220D0EDE" w14:textId="77777777" w:rsidR="009A7378" w:rsidRPr="00D63217" w:rsidRDefault="009A7378" w:rsidP="005C1E35">
            <w:pPr>
              <w:pStyle w:val="TableHead"/>
            </w:pPr>
            <w:r w:rsidRPr="00D63217">
              <w:t>Toxicity value</w:t>
            </w:r>
          </w:p>
        </w:tc>
        <w:tc>
          <w:tcPr>
            <w:tcW w:w="1170" w:type="pct"/>
            <w:gridSpan w:val="2"/>
            <w:tcBorders>
              <w:bottom w:val="single" w:sz="4" w:space="0" w:color="auto"/>
            </w:tcBorders>
            <w:shd w:val="clear" w:color="auto" w:fill="5C2946"/>
          </w:tcPr>
          <w:p w14:paraId="6A000F2C" w14:textId="77777777" w:rsidR="009A7378" w:rsidRPr="00D63217" w:rsidRDefault="009A7378" w:rsidP="005C1E35">
            <w:pPr>
              <w:pStyle w:val="TableHead"/>
            </w:pPr>
            <w:r w:rsidRPr="00D63217">
              <w:t>Reference</w:t>
            </w:r>
          </w:p>
        </w:tc>
      </w:tr>
      <w:tr w:rsidR="009A7378" w:rsidRPr="00D63217" w14:paraId="423337B8" w14:textId="77777777" w:rsidTr="00B257F2">
        <w:trPr>
          <w:trHeight w:val="13"/>
        </w:trPr>
        <w:tc>
          <w:tcPr>
            <w:tcW w:w="583" w:type="pct"/>
            <w:tcBorders>
              <w:top w:val="single" w:sz="4" w:space="0" w:color="auto"/>
              <w:left w:val="nil"/>
              <w:bottom w:val="nil"/>
              <w:right w:val="nil"/>
            </w:tcBorders>
          </w:tcPr>
          <w:p w14:paraId="4C070E78" w14:textId="77777777" w:rsidR="009A7378" w:rsidRPr="00D63217" w:rsidRDefault="009A7378" w:rsidP="004808C6">
            <w:pPr>
              <w:pStyle w:val="TableText"/>
              <w:spacing w:before="0" w:after="0" w:line="240" w:lineRule="auto"/>
              <w:rPr>
                <w:szCs w:val="17"/>
              </w:rPr>
            </w:pPr>
            <w:r w:rsidRPr="00D63217">
              <w:rPr>
                <w:szCs w:val="17"/>
              </w:rPr>
              <w:t>Paraquat</w:t>
            </w:r>
          </w:p>
        </w:tc>
        <w:tc>
          <w:tcPr>
            <w:tcW w:w="627" w:type="pct"/>
            <w:tcBorders>
              <w:top w:val="single" w:sz="4" w:space="0" w:color="auto"/>
              <w:left w:val="nil"/>
              <w:bottom w:val="nil"/>
              <w:right w:val="nil"/>
            </w:tcBorders>
          </w:tcPr>
          <w:p w14:paraId="45C2E510" w14:textId="77777777" w:rsidR="009A7378" w:rsidRPr="00D63217" w:rsidRDefault="009A7378" w:rsidP="004808C6">
            <w:pPr>
              <w:pStyle w:val="TableText"/>
              <w:spacing w:before="0" w:after="0" w:line="240" w:lineRule="auto"/>
              <w:rPr>
                <w:szCs w:val="17"/>
              </w:rPr>
            </w:pPr>
            <w:r w:rsidRPr="00D63217">
              <w:rPr>
                <w:szCs w:val="17"/>
              </w:rPr>
              <w:t>Fish</w:t>
            </w:r>
          </w:p>
        </w:tc>
        <w:tc>
          <w:tcPr>
            <w:tcW w:w="456" w:type="pct"/>
            <w:tcBorders>
              <w:top w:val="single" w:sz="4" w:space="0" w:color="auto"/>
              <w:left w:val="nil"/>
              <w:bottom w:val="nil"/>
              <w:right w:val="nil"/>
            </w:tcBorders>
          </w:tcPr>
          <w:p w14:paraId="60DA7DFD" w14:textId="77777777" w:rsidR="009A7378" w:rsidRPr="00D63217" w:rsidRDefault="009A7378" w:rsidP="004808C6">
            <w:pPr>
              <w:pStyle w:val="TableText"/>
              <w:spacing w:before="0" w:after="0" w:line="240" w:lineRule="auto"/>
              <w:rPr>
                <w:szCs w:val="17"/>
              </w:rPr>
            </w:pPr>
            <w:r w:rsidRPr="00D63217">
              <w:rPr>
                <w:szCs w:val="17"/>
              </w:rPr>
              <w:t>Acute</w:t>
            </w:r>
          </w:p>
        </w:tc>
        <w:tc>
          <w:tcPr>
            <w:tcW w:w="1154" w:type="pct"/>
            <w:tcBorders>
              <w:top w:val="single" w:sz="4" w:space="0" w:color="auto"/>
              <w:left w:val="nil"/>
              <w:bottom w:val="nil"/>
              <w:right w:val="nil"/>
            </w:tcBorders>
          </w:tcPr>
          <w:p w14:paraId="39203152" w14:textId="77777777" w:rsidR="009A7378" w:rsidRPr="00D63217" w:rsidRDefault="009A7378" w:rsidP="004808C6">
            <w:pPr>
              <w:pStyle w:val="TableText"/>
              <w:spacing w:before="0" w:after="0" w:line="240" w:lineRule="auto"/>
              <w:rPr>
                <w:i/>
                <w:iCs/>
                <w:szCs w:val="17"/>
              </w:rPr>
            </w:pPr>
            <w:r w:rsidRPr="00D63217">
              <w:rPr>
                <w:i/>
                <w:iCs/>
                <w:szCs w:val="17"/>
              </w:rPr>
              <w:t>Oncorhynchus mykiss</w:t>
            </w:r>
          </w:p>
        </w:tc>
        <w:tc>
          <w:tcPr>
            <w:tcW w:w="1010" w:type="pct"/>
            <w:tcBorders>
              <w:top w:val="single" w:sz="4" w:space="0" w:color="auto"/>
              <w:left w:val="nil"/>
              <w:bottom w:val="nil"/>
              <w:right w:val="nil"/>
            </w:tcBorders>
          </w:tcPr>
          <w:p w14:paraId="2310EB89"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19 mg ac/L</w:t>
            </w:r>
          </w:p>
        </w:tc>
        <w:tc>
          <w:tcPr>
            <w:tcW w:w="1170" w:type="pct"/>
            <w:gridSpan w:val="2"/>
            <w:tcBorders>
              <w:top w:val="single" w:sz="4" w:space="0" w:color="auto"/>
              <w:left w:val="nil"/>
              <w:bottom w:val="nil"/>
              <w:right w:val="nil"/>
            </w:tcBorders>
          </w:tcPr>
          <w:p w14:paraId="5B28AAF4" w14:textId="3E57830D" w:rsidR="009A7378" w:rsidRPr="00D63217" w:rsidRDefault="009A7378" w:rsidP="004808C6">
            <w:pPr>
              <w:pStyle w:val="TableText"/>
              <w:spacing w:before="0" w:after="0" w:line="240" w:lineRule="auto"/>
              <w:rPr>
                <w:szCs w:val="17"/>
              </w:rPr>
            </w:pPr>
            <w:r w:rsidRPr="00D63217">
              <w:rPr>
                <w:szCs w:val="17"/>
              </w:rPr>
              <w:t>Tapp et</w:t>
            </w:r>
            <w:r w:rsidR="00143F5A" w:rsidRPr="00D63217">
              <w:rPr>
                <w:szCs w:val="17"/>
              </w:rPr>
              <w:t xml:space="preserve"> al,</w:t>
            </w:r>
            <w:r w:rsidRPr="00D63217">
              <w:rPr>
                <w:szCs w:val="17"/>
              </w:rPr>
              <w:t xml:space="preserve"> 1990</w:t>
            </w:r>
            <w:r w:rsidR="00143F5A" w:rsidRPr="00D63217">
              <w:rPr>
                <w:szCs w:val="17"/>
              </w:rPr>
              <w:t>(</w:t>
            </w:r>
            <w:r w:rsidRPr="00D63217">
              <w:rPr>
                <w:szCs w:val="17"/>
              </w:rPr>
              <w:t>a</w:t>
            </w:r>
            <w:r w:rsidR="00143F5A" w:rsidRPr="00D63217">
              <w:rPr>
                <w:szCs w:val="17"/>
              </w:rPr>
              <w:t>)</w:t>
            </w:r>
          </w:p>
        </w:tc>
      </w:tr>
      <w:tr w:rsidR="009A7378" w:rsidRPr="00D63217" w14:paraId="6CD564B8" w14:textId="77777777" w:rsidTr="00B257F2">
        <w:trPr>
          <w:trHeight w:val="13"/>
        </w:trPr>
        <w:tc>
          <w:tcPr>
            <w:tcW w:w="583" w:type="pct"/>
            <w:tcBorders>
              <w:top w:val="nil"/>
              <w:left w:val="nil"/>
              <w:bottom w:val="nil"/>
              <w:right w:val="nil"/>
            </w:tcBorders>
          </w:tcPr>
          <w:p w14:paraId="41ED68F5"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4BE0540C"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7805306A"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7A1F4D76" w14:textId="77777777" w:rsidR="009A7378" w:rsidRPr="00D63217" w:rsidRDefault="009A7378" w:rsidP="004808C6">
            <w:pPr>
              <w:pStyle w:val="TableText"/>
              <w:spacing w:before="0" w:after="0" w:line="240" w:lineRule="auto"/>
              <w:rPr>
                <w:i/>
                <w:iCs/>
                <w:szCs w:val="17"/>
              </w:rPr>
            </w:pPr>
          </w:p>
        </w:tc>
        <w:tc>
          <w:tcPr>
            <w:tcW w:w="1010" w:type="pct"/>
            <w:tcBorders>
              <w:top w:val="nil"/>
              <w:left w:val="nil"/>
              <w:bottom w:val="nil"/>
              <w:right w:val="nil"/>
            </w:tcBorders>
          </w:tcPr>
          <w:p w14:paraId="1DEBAAEB"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18 mg ac/L</w:t>
            </w:r>
          </w:p>
        </w:tc>
        <w:tc>
          <w:tcPr>
            <w:tcW w:w="1170" w:type="pct"/>
            <w:gridSpan w:val="2"/>
            <w:tcBorders>
              <w:top w:val="nil"/>
              <w:left w:val="nil"/>
              <w:bottom w:val="nil"/>
              <w:right w:val="nil"/>
            </w:tcBorders>
          </w:tcPr>
          <w:p w14:paraId="7508C75E" w14:textId="6B6E4DED" w:rsidR="009A7378" w:rsidRPr="00D63217" w:rsidRDefault="009A7378" w:rsidP="004808C6">
            <w:pPr>
              <w:pStyle w:val="TableText"/>
              <w:spacing w:before="0" w:after="0" w:line="240" w:lineRule="auto"/>
              <w:rPr>
                <w:szCs w:val="17"/>
              </w:rPr>
            </w:pPr>
            <w:r w:rsidRPr="00D63217">
              <w:rPr>
                <w:szCs w:val="17"/>
              </w:rPr>
              <w:t>Tapp et</w:t>
            </w:r>
            <w:r w:rsidR="00143F5A" w:rsidRPr="00D63217">
              <w:rPr>
                <w:szCs w:val="17"/>
              </w:rPr>
              <w:t xml:space="preserve"> al,</w:t>
            </w:r>
            <w:r w:rsidRPr="00D63217">
              <w:rPr>
                <w:szCs w:val="17"/>
              </w:rPr>
              <w:t xml:space="preserve"> 1990</w:t>
            </w:r>
            <w:r w:rsidR="00143F5A" w:rsidRPr="00D63217">
              <w:rPr>
                <w:szCs w:val="17"/>
              </w:rPr>
              <w:t>(</w:t>
            </w:r>
            <w:r w:rsidRPr="00D63217">
              <w:rPr>
                <w:szCs w:val="17"/>
              </w:rPr>
              <w:t>b</w:t>
            </w:r>
            <w:r w:rsidR="00143F5A" w:rsidRPr="00D63217">
              <w:rPr>
                <w:szCs w:val="17"/>
              </w:rPr>
              <w:t>)</w:t>
            </w:r>
          </w:p>
        </w:tc>
      </w:tr>
      <w:tr w:rsidR="009A7378" w:rsidRPr="00D63217" w14:paraId="31A3983C" w14:textId="77777777" w:rsidTr="00B257F2">
        <w:trPr>
          <w:trHeight w:val="13"/>
        </w:trPr>
        <w:tc>
          <w:tcPr>
            <w:tcW w:w="583" w:type="pct"/>
            <w:tcBorders>
              <w:top w:val="nil"/>
              <w:left w:val="nil"/>
              <w:bottom w:val="nil"/>
              <w:right w:val="nil"/>
            </w:tcBorders>
          </w:tcPr>
          <w:p w14:paraId="5185E58C"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18C40BB2"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34016B5B"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358044AC" w14:textId="77777777" w:rsidR="009A7378" w:rsidRPr="00D63217" w:rsidRDefault="009A7378" w:rsidP="004808C6">
            <w:pPr>
              <w:pStyle w:val="TableText"/>
              <w:spacing w:before="0" w:after="0" w:line="240" w:lineRule="auto"/>
              <w:rPr>
                <w:i/>
                <w:iCs/>
                <w:szCs w:val="17"/>
              </w:rPr>
            </w:pPr>
          </w:p>
        </w:tc>
        <w:tc>
          <w:tcPr>
            <w:tcW w:w="1010" w:type="pct"/>
            <w:tcBorders>
              <w:top w:val="nil"/>
              <w:left w:val="nil"/>
              <w:bottom w:val="nil"/>
              <w:right w:val="nil"/>
            </w:tcBorders>
          </w:tcPr>
          <w:p w14:paraId="14D74052"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&gt;33 mg ac/L</w:t>
            </w:r>
          </w:p>
        </w:tc>
        <w:tc>
          <w:tcPr>
            <w:tcW w:w="1170" w:type="pct"/>
            <w:gridSpan w:val="2"/>
            <w:tcBorders>
              <w:top w:val="nil"/>
              <w:left w:val="nil"/>
              <w:bottom w:val="nil"/>
              <w:right w:val="nil"/>
            </w:tcBorders>
          </w:tcPr>
          <w:p w14:paraId="20CB485B" w14:textId="19D78F71" w:rsidR="009A7378" w:rsidRPr="00D63217" w:rsidRDefault="009A7378" w:rsidP="004808C6">
            <w:pPr>
              <w:pStyle w:val="TableText"/>
              <w:spacing w:before="0" w:after="0" w:line="240" w:lineRule="auto"/>
              <w:rPr>
                <w:szCs w:val="17"/>
              </w:rPr>
            </w:pPr>
            <w:r w:rsidRPr="00D63217">
              <w:rPr>
                <w:szCs w:val="17"/>
              </w:rPr>
              <w:t>Scheerbaum 2007</w:t>
            </w:r>
            <w:r w:rsidR="00143F5A" w:rsidRPr="00D63217">
              <w:rPr>
                <w:szCs w:val="17"/>
              </w:rPr>
              <w:t>(</w:t>
            </w:r>
            <w:r w:rsidRPr="00D63217">
              <w:rPr>
                <w:szCs w:val="17"/>
              </w:rPr>
              <w:t>a</w:t>
            </w:r>
            <w:r w:rsidR="00143F5A" w:rsidRPr="00D63217">
              <w:rPr>
                <w:szCs w:val="17"/>
              </w:rPr>
              <w:t>)</w:t>
            </w:r>
          </w:p>
        </w:tc>
      </w:tr>
      <w:tr w:rsidR="009A7378" w:rsidRPr="00D63217" w14:paraId="27E68645" w14:textId="77777777" w:rsidTr="00B257F2">
        <w:trPr>
          <w:trHeight w:val="13"/>
        </w:trPr>
        <w:tc>
          <w:tcPr>
            <w:tcW w:w="583" w:type="pct"/>
            <w:tcBorders>
              <w:top w:val="nil"/>
              <w:left w:val="nil"/>
              <w:bottom w:val="nil"/>
              <w:right w:val="nil"/>
            </w:tcBorders>
          </w:tcPr>
          <w:p w14:paraId="6C141315"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592CEBF0"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2B6431D4" w14:textId="77777777" w:rsidR="009A7378" w:rsidRPr="00D63217" w:rsidRDefault="009A7378" w:rsidP="004808C6">
            <w:pPr>
              <w:pStyle w:val="TableText"/>
              <w:spacing w:before="0" w:after="0" w:line="240" w:lineRule="auto"/>
              <w:rPr>
                <w:szCs w:val="17"/>
              </w:rPr>
            </w:pPr>
          </w:p>
        </w:tc>
        <w:tc>
          <w:tcPr>
            <w:tcW w:w="1154" w:type="pct"/>
            <w:tcBorders>
              <w:top w:val="single" w:sz="4" w:space="0" w:color="auto"/>
              <w:left w:val="nil"/>
              <w:bottom w:val="nil"/>
              <w:right w:val="nil"/>
            </w:tcBorders>
          </w:tcPr>
          <w:p w14:paraId="3DD84B1D" w14:textId="77777777" w:rsidR="009A7378" w:rsidRPr="00D63217" w:rsidRDefault="009A7378" w:rsidP="004808C6">
            <w:pPr>
              <w:pStyle w:val="TableText"/>
              <w:spacing w:before="0" w:after="0" w:line="240" w:lineRule="auto"/>
              <w:rPr>
                <w:i/>
                <w:iCs/>
                <w:szCs w:val="17"/>
              </w:rPr>
            </w:pPr>
            <w:r w:rsidRPr="00D63217">
              <w:rPr>
                <w:i/>
                <w:iCs/>
                <w:szCs w:val="17"/>
              </w:rPr>
              <w:t>Cyprinodon variegatus</w:t>
            </w:r>
          </w:p>
        </w:tc>
        <w:tc>
          <w:tcPr>
            <w:tcW w:w="1010" w:type="pct"/>
            <w:tcBorders>
              <w:top w:val="single" w:sz="4" w:space="0" w:color="auto"/>
              <w:left w:val="nil"/>
              <w:bottom w:val="nil"/>
              <w:right w:val="nil"/>
            </w:tcBorders>
          </w:tcPr>
          <w:p w14:paraId="2DC65ABF"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&gt;41 mg ac/L</w:t>
            </w:r>
          </w:p>
        </w:tc>
        <w:tc>
          <w:tcPr>
            <w:tcW w:w="1170" w:type="pct"/>
            <w:gridSpan w:val="2"/>
            <w:tcBorders>
              <w:top w:val="single" w:sz="4" w:space="0" w:color="auto"/>
              <w:left w:val="nil"/>
              <w:bottom w:val="nil"/>
              <w:right w:val="nil"/>
            </w:tcBorders>
          </w:tcPr>
          <w:p w14:paraId="2D94289B" w14:textId="01B076EF"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a</w:t>
            </w:r>
            <w:r w:rsidR="00143F5A" w:rsidRPr="00D63217">
              <w:rPr>
                <w:szCs w:val="17"/>
              </w:rPr>
              <w:t>)</w:t>
            </w:r>
          </w:p>
        </w:tc>
      </w:tr>
      <w:tr w:rsidR="009A7378" w:rsidRPr="00D63217" w14:paraId="436FE2DE" w14:textId="77777777" w:rsidTr="00B257F2">
        <w:trPr>
          <w:trHeight w:val="13"/>
        </w:trPr>
        <w:tc>
          <w:tcPr>
            <w:tcW w:w="583" w:type="pct"/>
            <w:tcBorders>
              <w:top w:val="nil"/>
              <w:left w:val="nil"/>
              <w:bottom w:val="nil"/>
              <w:right w:val="nil"/>
            </w:tcBorders>
          </w:tcPr>
          <w:p w14:paraId="51B9D53D"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61366CA2"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7FF27D22"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14B76BFA" w14:textId="77777777" w:rsidR="009A7378" w:rsidRPr="00D63217" w:rsidRDefault="009A7378" w:rsidP="004808C6">
            <w:pPr>
              <w:pStyle w:val="TableText"/>
              <w:spacing w:before="0" w:after="0" w:line="240" w:lineRule="auto"/>
              <w:rPr>
                <w:i/>
                <w:iCs/>
                <w:szCs w:val="17"/>
              </w:rPr>
            </w:pPr>
            <w:r w:rsidRPr="00D63217">
              <w:rPr>
                <w:i/>
                <w:iCs/>
                <w:szCs w:val="17"/>
              </w:rPr>
              <w:t>Pimephales promelas</w:t>
            </w:r>
          </w:p>
        </w:tc>
        <w:tc>
          <w:tcPr>
            <w:tcW w:w="1010" w:type="pct"/>
            <w:tcBorders>
              <w:top w:val="nil"/>
              <w:left w:val="nil"/>
              <w:bottom w:val="nil"/>
              <w:right w:val="nil"/>
            </w:tcBorders>
          </w:tcPr>
          <w:p w14:paraId="5BB61B94"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4.7 mg ac/L</w:t>
            </w:r>
          </w:p>
        </w:tc>
        <w:tc>
          <w:tcPr>
            <w:tcW w:w="1170" w:type="pct"/>
            <w:gridSpan w:val="2"/>
            <w:tcBorders>
              <w:top w:val="nil"/>
              <w:left w:val="nil"/>
              <w:bottom w:val="nil"/>
              <w:right w:val="nil"/>
            </w:tcBorders>
          </w:tcPr>
          <w:p w14:paraId="744CDAB9" w14:textId="6C6C93D9"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b</w:t>
            </w:r>
            <w:r w:rsidR="00143F5A" w:rsidRPr="00D63217">
              <w:rPr>
                <w:szCs w:val="17"/>
              </w:rPr>
              <w:t>)</w:t>
            </w:r>
          </w:p>
        </w:tc>
      </w:tr>
      <w:tr w:rsidR="002B660F" w:rsidRPr="00D63217" w14:paraId="0461BF82" w14:textId="77777777" w:rsidTr="00B257F2">
        <w:tc>
          <w:tcPr>
            <w:tcW w:w="583" w:type="pct"/>
            <w:tcBorders>
              <w:top w:val="nil"/>
              <w:left w:val="nil"/>
              <w:bottom w:val="nil"/>
              <w:right w:val="nil"/>
            </w:tcBorders>
          </w:tcPr>
          <w:p w14:paraId="365F3BA3"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7E7F9FA6"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011C8F6E"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3FB726A2" w14:textId="77777777" w:rsidR="009A7378" w:rsidRPr="00D63217" w:rsidRDefault="009A7378" w:rsidP="004808C6">
            <w:pPr>
              <w:pStyle w:val="TableText"/>
              <w:spacing w:before="0" w:after="0" w:line="240" w:lineRule="auto"/>
              <w:rPr>
                <w:i/>
                <w:iCs/>
                <w:color w:val="FF0000"/>
                <w:szCs w:val="17"/>
              </w:rPr>
            </w:pPr>
            <w:r w:rsidRPr="00D63217">
              <w:rPr>
                <w:i/>
                <w:iCs/>
                <w:szCs w:val="17"/>
              </w:rPr>
              <w:t>Cyprinus carpio</w:t>
            </w:r>
          </w:p>
        </w:tc>
        <w:tc>
          <w:tcPr>
            <w:tcW w:w="1010" w:type="pct"/>
            <w:tcBorders>
              <w:top w:val="nil"/>
              <w:left w:val="nil"/>
              <w:bottom w:val="nil"/>
              <w:right w:val="nil"/>
            </w:tcBorders>
          </w:tcPr>
          <w:p w14:paraId="7051ED1E"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98 mg ac/L</w:t>
            </w:r>
          </w:p>
        </w:tc>
        <w:tc>
          <w:tcPr>
            <w:tcW w:w="1170" w:type="pct"/>
            <w:gridSpan w:val="2"/>
            <w:tcBorders>
              <w:top w:val="nil"/>
              <w:left w:val="nil"/>
              <w:bottom w:val="nil"/>
              <w:right w:val="nil"/>
            </w:tcBorders>
          </w:tcPr>
          <w:p w14:paraId="12027C28" w14:textId="0B142714" w:rsidR="009A7378" w:rsidRPr="00D63217" w:rsidRDefault="009A7378" w:rsidP="004808C6">
            <w:pPr>
              <w:pStyle w:val="TableText"/>
              <w:spacing w:before="0" w:after="0" w:line="240" w:lineRule="auto"/>
              <w:rPr>
                <w:szCs w:val="17"/>
              </w:rPr>
            </w:pPr>
            <w:r w:rsidRPr="00D63217">
              <w:rPr>
                <w:szCs w:val="17"/>
              </w:rPr>
              <w:t>Tapp et</w:t>
            </w:r>
            <w:r w:rsidR="00143F5A" w:rsidRPr="00D63217">
              <w:rPr>
                <w:szCs w:val="17"/>
              </w:rPr>
              <w:t xml:space="preserve"> al,</w:t>
            </w:r>
            <w:r w:rsidRPr="00D63217">
              <w:rPr>
                <w:szCs w:val="17"/>
              </w:rPr>
              <w:t xml:space="preserve"> 1990</w:t>
            </w:r>
            <w:r w:rsidR="00143F5A" w:rsidRPr="00D63217">
              <w:rPr>
                <w:szCs w:val="17"/>
              </w:rPr>
              <w:t>(</w:t>
            </w:r>
            <w:r w:rsidRPr="00D63217">
              <w:rPr>
                <w:szCs w:val="17"/>
              </w:rPr>
              <w:t>c</w:t>
            </w:r>
            <w:r w:rsidR="00143F5A" w:rsidRPr="00D63217">
              <w:rPr>
                <w:szCs w:val="17"/>
              </w:rPr>
              <w:t>)</w:t>
            </w:r>
          </w:p>
        </w:tc>
      </w:tr>
      <w:tr w:rsidR="009A7378" w:rsidRPr="00D63217" w14:paraId="0FD6A3C7" w14:textId="77777777" w:rsidTr="00B257F2">
        <w:tc>
          <w:tcPr>
            <w:tcW w:w="583" w:type="pct"/>
            <w:tcBorders>
              <w:top w:val="nil"/>
              <w:left w:val="nil"/>
              <w:bottom w:val="nil"/>
              <w:right w:val="nil"/>
            </w:tcBorders>
          </w:tcPr>
          <w:p w14:paraId="34FCA1D0"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5AD87C42" w14:textId="77777777" w:rsidR="009A7378" w:rsidRPr="00D63217" w:rsidRDefault="009A7378" w:rsidP="004808C6">
            <w:pPr>
              <w:pStyle w:val="TableText"/>
              <w:spacing w:before="0" w:after="0" w:line="240" w:lineRule="auto"/>
              <w:rPr>
                <w:szCs w:val="17"/>
              </w:rPr>
            </w:pPr>
          </w:p>
        </w:tc>
        <w:tc>
          <w:tcPr>
            <w:tcW w:w="456" w:type="pct"/>
            <w:tcBorders>
              <w:top w:val="single" w:sz="4" w:space="0" w:color="auto"/>
              <w:left w:val="nil"/>
              <w:bottom w:val="nil"/>
              <w:right w:val="nil"/>
            </w:tcBorders>
          </w:tcPr>
          <w:p w14:paraId="3E23C5B2" w14:textId="77777777" w:rsidR="009A7378" w:rsidRPr="00D63217" w:rsidRDefault="009A7378" w:rsidP="004808C6">
            <w:pPr>
              <w:pStyle w:val="TableText"/>
              <w:spacing w:before="0" w:after="0" w:line="240" w:lineRule="auto"/>
              <w:rPr>
                <w:szCs w:val="17"/>
              </w:rPr>
            </w:pPr>
            <w:r w:rsidRPr="00D63217">
              <w:rPr>
                <w:szCs w:val="17"/>
              </w:rPr>
              <w:t>Chronic</w:t>
            </w:r>
          </w:p>
        </w:tc>
        <w:tc>
          <w:tcPr>
            <w:tcW w:w="1154" w:type="pct"/>
            <w:tcBorders>
              <w:top w:val="single" w:sz="4" w:space="0" w:color="auto"/>
              <w:left w:val="nil"/>
              <w:bottom w:val="nil"/>
              <w:right w:val="nil"/>
            </w:tcBorders>
          </w:tcPr>
          <w:p w14:paraId="7D640FB5" w14:textId="77777777" w:rsidR="009A7378" w:rsidRPr="00D63217" w:rsidRDefault="009A7378" w:rsidP="004808C6">
            <w:pPr>
              <w:pStyle w:val="TableText"/>
              <w:spacing w:before="0" w:after="0" w:line="240" w:lineRule="auto"/>
              <w:rPr>
                <w:i/>
                <w:iCs/>
                <w:szCs w:val="17"/>
              </w:rPr>
            </w:pPr>
            <w:r w:rsidRPr="00D63217">
              <w:rPr>
                <w:i/>
                <w:iCs/>
                <w:szCs w:val="17"/>
              </w:rPr>
              <w:t>Pimephales promelas</w:t>
            </w:r>
          </w:p>
        </w:tc>
        <w:tc>
          <w:tcPr>
            <w:tcW w:w="1010" w:type="pct"/>
            <w:tcBorders>
              <w:top w:val="single" w:sz="4" w:space="0" w:color="auto"/>
              <w:left w:val="nil"/>
              <w:bottom w:val="nil"/>
              <w:right w:val="nil"/>
            </w:tcBorders>
          </w:tcPr>
          <w:p w14:paraId="02BB8EFD" w14:textId="77777777" w:rsidR="009A7378" w:rsidRPr="00D63217" w:rsidRDefault="009A7378" w:rsidP="004808C6">
            <w:pPr>
              <w:pStyle w:val="TableText"/>
              <w:spacing w:before="0" w:after="0" w:line="240" w:lineRule="auto"/>
              <w:rPr>
                <w:szCs w:val="17"/>
              </w:rPr>
            </w:pPr>
            <w:r w:rsidRPr="00D63217">
              <w:rPr>
                <w:szCs w:val="17"/>
              </w:rPr>
              <w:t>NOEC 0.74 mg ac/L</w:t>
            </w:r>
          </w:p>
        </w:tc>
        <w:tc>
          <w:tcPr>
            <w:tcW w:w="1170" w:type="pct"/>
            <w:gridSpan w:val="2"/>
            <w:tcBorders>
              <w:top w:val="single" w:sz="4" w:space="0" w:color="auto"/>
              <w:left w:val="nil"/>
              <w:bottom w:val="nil"/>
              <w:right w:val="nil"/>
            </w:tcBorders>
          </w:tcPr>
          <w:p w14:paraId="706939AD" w14:textId="248D6C2F"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c</w:t>
            </w:r>
            <w:r w:rsidR="00143F5A" w:rsidRPr="00D63217">
              <w:rPr>
                <w:szCs w:val="17"/>
              </w:rPr>
              <w:t>)</w:t>
            </w:r>
          </w:p>
        </w:tc>
      </w:tr>
      <w:tr w:rsidR="009A7378" w:rsidRPr="00D63217" w14:paraId="2DFCE7EE" w14:textId="77777777" w:rsidTr="00B257F2">
        <w:tc>
          <w:tcPr>
            <w:tcW w:w="583" w:type="pct"/>
            <w:tcBorders>
              <w:top w:val="nil"/>
              <w:left w:val="nil"/>
              <w:bottom w:val="nil"/>
              <w:right w:val="nil"/>
            </w:tcBorders>
          </w:tcPr>
          <w:p w14:paraId="3855D280"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4F793DBC"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794228D7"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7A25AE3F" w14:textId="77777777" w:rsidR="009A7378" w:rsidRPr="00D63217" w:rsidRDefault="009A7378" w:rsidP="004808C6">
            <w:pPr>
              <w:pStyle w:val="TableText"/>
              <w:spacing w:before="0" w:after="0" w:line="240" w:lineRule="auto"/>
              <w:rPr>
                <w:i/>
                <w:iCs/>
                <w:szCs w:val="17"/>
              </w:rPr>
            </w:pPr>
            <w:r w:rsidRPr="00D63217">
              <w:rPr>
                <w:i/>
                <w:iCs/>
                <w:szCs w:val="17"/>
              </w:rPr>
              <w:t>Cyprinodon variegatus</w:t>
            </w:r>
          </w:p>
        </w:tc>
        <w:tc>
          <w:tcPr>
            <w:tcW w:w="1010" w:type="pct"/>
            <w:tcBorders>
              <w:top w:val="nil"/>
              <w:left w:val="nil"/>
              <w:bottom w:val="nil"/>
              <w:right w:val="nil"/>
            </w:tcBorders>
          </w:tcPr>
          <w:p w14:paraId="129AA7B1" w14:textId="77777777" w:rsidR="009A7378" w:rsidRPr="00D63217" w:rsidRDefault="009A7378" w:rsidP="004808C6">
            <w:pPr>
              <w:pStyle w:val="TableText"/>
              <w:spacing w:before="0" w:after="0" w:line="240" w:lineRule="auto"/>
              <w:rPr>
                <w:szCs w:val="17"/>
              </w:rPr>
            </w:pPr>
            <w:r w:rsidRPr="00D63217">
              <w:rPr>
                <w:szCs w:val="17"/>
              </w:rPr>
              <w:t>NOEC 1.8 mg ac/L</w:t>
            </w:r>
          </w:p>
        </w:tc>
        <w:tc>
          <w:tcPr>
            <w:tcW w:w="1170" w:type="pct"/>
            <w:gridSpan w:val="2"/>
            <w:tcBorders>
              <w:top w:val="nil"/>
              <w:left w:val="nil"/>
              <w:bottom w:val="nil"/>
              <w:right w:val="nil"/>
            </w:tcBorders>
          </w:tcPr>
          <w:p w14:paraId="521FEE11" w14:textId="607C1C7E"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d</w:t>
            </w:r>
            <w:r w:rsidR="00143F5A" w:rsidRPr="00D63217">
              <w:rPr>
                <w:szCs w:val="17"/>
              </w:rPr>
              <w:t>)</w:t>
            </w:r>
          </w:p>
        </w:tc>
      </w:tr>
      <w:tr w:rsidR="009A7378" w:rsidRPr="00D63217" w14:paraId="6C4FDC81" w14:textId="77777777" w:rsidTr="00B257F2">
        <w:tc>
          <w:tcPr>
            <w:tcW w:w="583" w:type="pct"/>
            <w:tcBorders>
              <w:top w:val="nil"/>
              <w:left w:val="nil"/>
              <w:bottom w:val="nil"/>
              <w:right w:val="nil"/>
            </w:tcBorders>
          </w:tcPr>
          <w:p w14:paraId="5A5A6290"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588404A1"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5BB277EB"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68AF4DA2" w14:textId="77777777" w:rsidR="009A7378" w:rsidRPr="00D63217" w:rsidRDefault="009A7378" w:rsidP="004808C6">
            <w:pPr>
              <w:pStyle w:val="TableText"/>
              <w:spacing w:before="0" w:after="0" w:line="240" w:lineRule="auto"/>
              <w:rPr>
                <w:i/>
                <w:iCs/>
                <w:szCs w:val="17"/>
              </w:rPr>
            </w:pPr>
            <w:r w:rsidRPr="00D63217">
              <w:rPr>
                <w:i/>
                <w:iCs/>
                <w:szCs w:val="17"/>
              </w:rPr>
              <w:t>Oncorhynchus mykiss</w:t>
            </w:r>
          </w:p>
        </w:tc>
        <w:tc>
          <w:tcPr>
            <w:tcW w:w="1010" w:type="pct"/>
            <w:tcBorders>
              <w:top w:val="nil"/>
              <w:left w:val="nil"/>
              <w:bottom w:val="nil"/>
              <w:right w:val="nil"/>
            </w:tcBorders>
          </w:tcPr>
          <w:p w14:paraId="284222D5" w14:textId="77777777" w:rsidR="009A7378" w:rsidRPr="00D63217" w:rsidRDefault="009A7378" w:rsidP="004808C6">
            <w:pPr>
              <w:pStyle w:val="TableText"/>
              <w:spacing w:before="0" w:after="0" w:line="240" w:lineRule="auto"/>
              <w:rPr>
                <w:szCs w:val="17"/>
              </w:rPr>
            </w:pPr>
            <w:r w:rsidRPr="00D63217">
              <w:rPr>
                <w:szCs w:val="17"/>
              </w:rPr>
              <w:t>NOEC 8.5 mg ac/L</w:t>
            </w:r>
          </w:p>
        </w:tc>
        <w:tc>
          <w:tcPr>
            <w:tcW w:w="1170" w:type="pct"/>
            <w:gridSpan w:val="2"/>
            <w:tcBorders>
              <w:top w:val="nil"/>
              <w:left w:val="nil"/>
              <w:bottom w:val="nil"/>
              <w:right w:val="nil"/>
            </w:tcBorders>
          </w:tcPr>
          <w:p w14:paraId="0C3F1D33" w14:textId="145DEA50" w:rsidR="009A7378" w:rsidRPr="00D63217" w:rsidRDefault="009A7378" w:rsidP="004808C6">
            <w:pPr>
              <w:pStyle w:val="TableText"/>
              <w:spacing w:before="0" w:after="0" w:line="240" w:lineRule="auto"/>
              <w:rPr>
                <w:szCs w:val="17"/>
              </w:rPr>
            </w:pPr>
            <w:r w:rsidRPr="00D63217">
              <w:rPr>
                <w:szCs w:val="17"/>
              </w:rPr>
              <w:t>Tapp et</w:t>
            </w:r>
            <w:r w:rsidR="00143F5A" w:rsidRPr="00D63217">
              <w:rPr>
                <w:szCs w:val="17"/>
              </w:rPr>
              <w:t xml:space="preserve"> al,</w:t>
            </w:r>
            <w:r w:rsidRPr="00D63217">
              <w:rPr>
                <w:szCs w:val="17"/>
              </w:rPr>
              <w:t xml:space="preserve"> 1990</w:t>
            </w:r>
            <w:r w:rsidR="00143F5A" w:rsidRPr="00D63217">
              <w:rPr>
                <w:szCs w:val="17"/>
              </w:rPr>
              <w:t>(</w:t>
            </w:r>
            <w:r w:rsidRPr="00D63217">
              <w:rPr>
                <w:szCs w:val="17"/>
              </w:rPr>
              <w:t>d</w:t>
            </w:r>
            <w:r w:rsidR="00143F5A" w:rsidRPr="00D63217">
              <w:rPr>
                <w:szCs w:val="17"/>
              </w:rPr>
              <w:t>)</w:t>
            </w:r>
          </w:p>
        </w:tc>
      </w:tr>
      <w:tr w:rsidR="009A7378" w:rsidRPr="00D63217" w14:paraId="058CEFEB" w14:textId="77777777" w:rsidTr="00B257F2">
        <w:tc>
          <w:tcPr>
            <w:tcW w:w="583" w:type="pct"/>
            <w:tcBorders>
              <w:top w:val="nil"/>
              <w:left w:val="nil"/>
              <w:bottom w:val="nil"/>
              <w:right w:val="nil"/>
            </w:tcBorders>
          </w:tcPr>
          <w:p w14:paraId="4ECB3CCB" w14:textId="77777777" w:rsidR="009A7378" w:rsidRPr="00D63217" w:rsidRDefault="009A7378" w:rsidP="004808C6">
            <w:pPr>
              <w:pStyle w:val="TableText"/>
              <w:spacing w:before="0" w:after="0" w:line="240" w:lineRule="auto"/>
              <w:rPr>
                <w:szCs w:val="17"/>
              </w:rPr>
            </w:pPr>
          </w:p>
        </w:tc>
        <w:tc>
          <w:tcPr>
            <w:tcW w:w="627" w:type="pct"/>
            <w:tcBorders>
              <w:top w:val="single" w:sz="4" w:space="0" w:color="auto"/>
              <w:left w:val="nil"/>
              <w:bottom w:val="nil"/>
              <w:right w:val="nil"/>
            </w:tcBorders>
          </w:tcPr>
          <w:p w14:paraId="65E8225E" w14:textId="77777777" w:rsidR="009A7378" w:rsidRPr="00D63217" w:rsidRDefault="009A7378" w:rsidP="004808C6">
            <w:pPr>
              <w:pStyle w:val="TableText"/>
              <w:spacing w:before="0" w:after="0" w:line="240" w:lineRule="auto"/>
              <w:rPr>
                <w:szCs w:val="17"/>
              </w:rPr>
            </w:pPr>
            <w:r w:rsidRPr="00D63217">
              <w:rPr>
                <w:szCs w:val="17"/>
              </w:rPr>
              <w:t>Invertebrates</w:t>
            </w:r>
          </w:p>
        </w:tc>
        <w:tc>
          <w:tcPr>
            <w:tcW w:w="456" w:type="pct"/>
            <w:tcBorders>
              <w:top w:val="single" w:sz="4" w:space="0" w:color="auto"/>
              <w:left w:val="nil"/>
              <w:bottom w:val="nil"/>
              <w:right w:val="nil"/>
            </w:tcBorders>
          </w:tcPr>
          <w:p w14:paraId="157B5C33" w14:textId="77777777" w:rsidR="009A7378" w:rsidRPr="00D63217" w:rsidRDefault="009A7378" w:rsidP="004808C6">
            <w:pPr>
              <w:pStyle w:val="TableText"/>
              <w:spacing w:before="0" w:after="0" w:line="240" w:lineRule="auto"/>
              <w:rPr>
                <w:szCs w:val="17"/>
              </w:rPr>
            </w:pPr>
            <w:r w:rsidRPr="00D63217">
              <w:rPr>
                <w:szCs w:val="17"/>
              </w:rPr>
              <w:t>Acute</w:t>
            </w:r>
          </w:p>
        </w:tc>
        <w:tc>
          <w:tcPr>
            <w:tcW w:w="1154" w:type="pct"/>
            <w:tcBorders>
              <w:top w:val="single" w:sz="4" w:space="0" w:color="auto"/>
              <w:left w:val="nil"/>
              <w:bottom w:val="nil"/>
              <w:right w:val="nil"/>
            </w:tcBorders>
          </w:tcPr>
          <w:p w14:paraId="388CC128" w14:textId="77777777" w:rsidR="009A7378" w:rsidRPr="00D63217" w:rsidRDefault="009A7378" w:rsidP="004808C6">
            <w:pPr>
              <w:pStyle w:val="TableText"/>
              <w:spacing w:before="0" w:after="0" w:line="240" w:lineRule="auto"/>
              <w:rPr>
                <w:i/>
                <w:iCs/>
                <w:szCs w:val="17"/>
              </w:rPr>
            </w:pPr>
            <w:r w:rsidRPr="00D63217">
              <w:rPr>
                <w:i/>
                <w:iCs/>
                <w:szCs w:val="17"/>
              </w:rPr>
              <w:t>Daphnia magna</w:t>
            </w:r>
          </w:p>
        </w:tc>
        <w:tc>
          <w:tcPr>
            <w:tcW w:w="1010" w:type="pct"/>
            <w:tcBorders>
              <w:top w:val="single" w:sz="4" w:space="0" w:color="auto"/>
              <w:left w:val="nil"/>
              <w:bottom w:val="nil"/>
              <w:right w:val="nil"/>
            </w:tcBorders>
          </w:tcPr>
          <w:p w14:paraId="0ADAF0F4" w14:textId="77777777" w:rsidR="009A7378" w:rsidRPr="00D63217" w:rsidRDefault="009A7378" w:rsidP="004808C6">
            <w:pPr>
              <w:pStyle w:val="TableText"/>
              <w:spacing w:before="0" w:after="0" w:line="240" w:lineRule="auto"/>
              <w:rPr>
                <w:szCs w:val="17"/>
              </w:rPr>
            </w:pPr>
            <w:r w:rsidRPr="00D63217">
              <w:rPr>
                <w:szCs w:val="17"/>
              </w:rPr>
              <w:t>EC</w:t>
            </w:r>
            <w:r w:rsidRPr="00D63217">
              <w:rPr>
                <w:szCs w:val="17"/>
                <w:vertAlign w:val="subscript"/>
              </w:rPr>
              <w:t>50</w:t>
            </w:r>
            <w:r w:rsidRPr="00D63217">
              <w:rPr>
                <w:szCs w:val="17"/>
              </w:rPr>
              <w:t xml:space="preserve"> 4.4 mg ac/L</w:t>
            </w:r>
          </w:p>
        </w:tc>
        <w:tc>
          <w:tcPr>
            <w:tcW w:w="1170" w:type="pct"/>
            <w:gridSpan w:val="2"/>
            <w:tcBorders>
              <w:top w:val="single" w:sz="4" w:space="0" w:color="auto"/>
              <w:left w:val="nil"/>
              <w:bottom w:val="nil"/>
              <w:right w:val="nil"/>
            </w:tcBorders>
          </w:tcPr>
          <w:p w14:paraId="0C5A76D1" w14:textId="77777777" w:rsidR="009A7378" w:rsidRPr="00D63217" w:rsidRDefault="009A7378" w:rsidP="004808C6">
            <w:pPr>
              <w:pStyle w:val="TableText"/>
              <w:spacing w:before="0" w:after="0" w:line="240" w:lineRule="auto"/>
              <w:rPr>
                <w:szCs w:val="17"/>
              </w:rPr>
            </w:pPr>
            <w:r w:rsidRPr="00D63217">
              <w:rPr>
                <w:szCs w:val="17"/>
              </w:rPr>
              <w:t>Allison &amp; Hamer 1990</w:t>
            </w:r>
          </w:p>
        </w:tc>
      </w:tr>
      <w:tr w:rsidR="009A7378" w:rsidRPr="00D63217" w14:paraId="4EF51FAA" w14:textId="77777777" w:rsidTr="00B257F2">
        <w:tc>
          <w:tcPr>
            <w:tcW w:w="583" w:type="pct"/>
            <w:tcBorders>
              <w:top w:val="nil"/>
              <w:left w:val="nil"/>
              <w:bottom w:val="nil"/>
              <w:right w:val="nil"/>
            </w:tcBorders>
          </w:tcPr>
          <w:p w14:paraId="0ADCC27F"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521E377C"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6C437679"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7324E568" w14:textId="77777777" w:rsidR="009A7378" w:rsidRPr="00D63217" w:rsidRDefault="009A7378" w:rsidP="004808C6">
            <w:pPr>
              <w:pStyle w:val="TableText"/>
              <w:spacing w:before="0" w:after="0" w:line="240" w:lineRule="auto"/>
              <w:rPr>
                <w:i/>
                <w:iCs/>
                <w:szCs w:val="17"/>
              </w:rPr>
            </w:pPr>
          </w:p>
        </w:tc>
        <w:tc>
          <w:tcPr>
            <w:tcW w:w="1010" w:type="pct"/>
            <w:tcBorders>
              <w:top w:val="nil"/>
              <w:left w:val="nil"/>
              <w:bottom w:val="nil"/>
              <w:right w:val="nil"/>
            </w:tcBorders>
          </w:tcPr>
          <w:p w14:paraId="6981C4E2" w14:textId="77777777" w:rsidR="009A7378" w:rsidRPr="00D63217" w:rsidRDefault="009A7378" w:rsidP="004808C6">
            <w:pPr>
              <w:pStyle w:val="TableText"/>
              <w:spacing w:before="0" w:after="0" w:line="240" w:lineRule="auto"/>
              <w:rPr>
                <w:szCs w:val="17"/>
              </w:rPr>
            </w:pPr>
            <w:r w:rsidRPr="00D63217">
              <w:rPr>
                <w:szCs w:val="17"/>
              </w:rPr>
              <w:t>EC</w:t>
            </w:r>
            <w:r w:rsidRPr="00D63217">
              <w:rPr>
                <w:szCs w:val="17"/>
                <w:vertAlign w:val="subscript"/>
              </w:rPr>
              <w:t>50</w:t>
            </w:r>
            <w:r w:rsidRPr="00D63217">
              <w:rPr>
                <w:szCs w:val="17"/>
              </w:rPr>
              <w:t xml:space="preserve"> 4.3 mg ac/L</w:t>
            </w:r>
          </w:p>
        </w:tc>
        <w:tc>
          <w:tcPr>
            <w:tcW w:w="1170" w:type="pct"/>
            <w:gridSpan w:val="2"/>
            <w:tcBorders>
              <w:top w:val="nil"/>
              <w:left w:val="nil"/>
              <w:bottom w:val="nil"/>
              <w:right w:val="nil"/>
            </w:tcBorders>
          </w:tcPr>
          <w:p w14:paraId="326B06EA" w14:textId="77777777" w:rsidR="009A7378" w:rsidRPr="00D63217" w:rsidRDefault="009A7378" w:rsidP="004808C6">
            <w:pPr>
              <w:pStyle w:val="TableText"/>
              <w:spacing w:before="0" w:after="0" w:line="240" w:lineRule="auto"/>
              <w:rPr>
                <w:szCs w:val="17"/>
              </w:rPr>
            </w:pPr>
            <w:r w:rsidRPr="00D63217">
              <w:rPr>
                <w:szCs w:val="17"/>
              </w:rPr>
              <w:t>Noack 2007</w:t>
            </w:r>
          </w:p>
        </w:tc>
      </w:tr>
      <w:tr w:rsidR="009A7378" w:rsidRPr="00D63217" w14:paraId="1B101392" w14:textId="77777777" w:rsidTr="00B257F2">
        <w:trPr>
          <w:gridAfter w:val="1"/>
          <w:wAfter w:w="27" w:type="pct"/>
        </w:trPr>
        <w:tc>
          <w:tcPr>
            <w:tcW w:w="583" w:type="pct"/>
            <w:tcBorders>
              <w:top w:val="nil"/>
              <w:left w:val="nil"/>
              <w:bottom w:val="nil"/>
              <w:right w:val="nil"/>
            </w:tcBorders>
          </w:tcPr>
          <w:p w14:paraId="2CCCA2BD"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418BE84E"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2F5BC24B" w14:textId="77777777" w:rsidR="009A7378" w:rsidRPr="00D63217" w:rsidRDefault="009A7378" w:rsidP="004808C6">
            <w:pPr>
              <w:pStyle w:val="TableText"/>
              <w:spacing w:before="0" w:after="0" w:line="240" w:lineRule="auto"/>
              <w:rPr>
                <w:szCs w:val="17"/>
              </w:rPr>
            </w:pPr>
          </w:p>
        </w:tc>
        <w:tc>
          <w:tcPr>
            <w:tcW w:w="2164" w:type="pct"/>
            <w:gridSpan w:val="2"/>
            <w:tcBorders>
              <w:top w:val="nil"/>
              <w:left w:val="nil"/>
              <w:bottom w:val="single" w:sz="4" w:space="0" w:color="auto"/>
              <w:right w:val="nil"/>
            </w:tcBorders>
          </w:tcPr>
          <w:p w14:paraId="6E39756F" w14:textId="77777777" w:rsidR="009A7378" w:rsidRPr="00D63217" w:rsidRDefault="009A7378" w:rsidP="004808C6">
            <w:pPr>
              <w:pStyle w:val="TableText"/>
              <w:spacing w:before="0" w:after="0" w:line="240" w:lineRule="auto"/>
              <w:rPr>
                <w:szCs w:val="17"/>
              </w:rPr>
            </w:pPr>
            <w:r w:rsidRPr="00D63217">
              <w:rPr>
                <w:szCs w:val="17"/>
              </w:rPr>
              <w:t>Geomean EC</w:t>
            </w:r>
            <w:r w:rsidRPr="00D63217">
              <w:rPr>
                <w:szCs w:val="17"/>
                <w:vertAlign w:val="subscript"/>
              </w:rPr>
              <w:t>50</w:t>
            </w:r>
            <w:r w:rsidRPr="00D63217">
              <w:rPr>
                <w:szCs w:val="17"/>
              </w:rPr>
              <w:t xml:space="preserve"> 4.3 mg ac/L</w:t>
            </w:r>
          </w:p>
        </w:tc>
        <w:tc>
          <w:tcPr>
            <w:tcW w:w="1143" w:type="pct"/>
            <w:tcBorders>
              <w:top w:val="nil"/>
              <w:left w:val="nil"/>
              <w:bottom w:val="single" w:sz="4" w:space="0" w:color="auto"/>
              <w:right w:val="nil"/>
            </w:tcBorders>
          </w:tcPr>
          <w:p w14:paraId="2D5B1A63" w14:textId="77777777" w:rsidR="009A7378" w:rsidRPr="00D63217" w:rsidRDefault="009A7378" w:rsidP="004808C6">
            <w:pPr>
              <w:pStyle w:val="TableText"/>
              <w:spacing w:before="0" w:after="0" w:line="240" w:lineRule="auto"/>
              <w:rPr>
                <w:szCs w:val="17"/>
              </w:rPr>
            </w:pPr>
          </w:p>
        </w:tc>
      </w:tr>
      <w:tr w:rsidR="009A7378" w:rsidRPr="00D63217" w14:paraId="3C0F2DEA" w14:textId="77777777" w:rsidTr="00B257F2">
        <w:tc>
          <w:tcPr>
            <w:tcW w:w="583" w:type="pct"/>
            <w:tcBorders>
              <w:top w:val="nil"/>
              <w:left w:val="nil"/>
              <w:bottom w:val="nil"/>
              <w:right w:val="nil"/>
            </w:tcBorders>
          </w:tcPr>
          <w:p w14:paraId="52CB8614"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64E39663"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0A0D4E1A" w14:textId="77777777" w:rsidR="009A7378" w:rsidRPr="00D63217" w:rsidRDefault="009A7378" w:rsidP="004808C6">
            <w:pPr>
              <w:pStyle w:val="TableText"/>
              <w:spacing w:before="0" w:after="0" w:line="240" w:lineRule="auto"/>
              <w:rPr>
                <w:szCs w:val="17"/>
              </w:rPr>
            </w:pPr>
          </w:p>
        </w:tc>
        <w:tc>
          <w:tcPr>
            <w:tcW w:w="1154" w:type="pct"/>
            <w:tcBorders>
              <w:top w:val="single" w:sz="4" w:space="0" w:color="auto"/>
              <w:left w:val="nil"/>
              <w:bottom w:val="nil"/>
              <w:right w:val="nil"/>
            </w:tcBorders>
          </w:tcPr>
          <w:p w14:paraId="3B79F1C5" w14:textId="77777777" w:rsidR="009A7378" w:rsidRPr="00D63217" w:rsidRDefault="009A7378" w:rsidP="004808C6">
            <w:pPr>
              <w:pStyle w:val="TableText"/>
              <w:spacing w:before="0" w:after="0" w:line="240" w:lineRule="auto"/>
              <w:rPr>
                <w:i/>
                <w:iCs/>
                <w:szCs w:val="17"/>
              </w:rPr>
            </w:pPr>
            <w:r w:rsidRPr="00D63217">
              <w:rPr>
                <w:i/>
                <w:iCs/>
                <w:szCs w:val="17"/>
              </w:rPr>
              <w:t>Americamysis bahia</w:t>
            </w:r>
          </w:p>
        </w:tc>
        <w:tc>
          <w:tcPr>
            <w:tcW w:w="1010" w:type="pct"/>
            <w:tcBorders>
              <w:top w:val="single" w:sz="4" w:space="0" w:color="auto"/>
              <w:left w:val="nil"/>
              <w:bottom w:val="nil"/>
              <w:right w:val="nil"/>
            </w:tcBorders>
          </w:tcPr>
          <w:p w14:paraId="503CE07E"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0.23 mg ac/L</w:t>
            </w:r>
          </w:p>
        </w:tc>
        <w:tc>
          <w:tcPr>
            <w:tcW w:w="1170" w:type="pct"/>
            <w:gridSpan w:val="2"/>
            <w:tcBorders>
              <w:top w:val="single" w:sz="4" w:space="0" w:color="auto"/>
              <w:left w:val="nil"/>
              <w:bottom w:val="nil"/>
              <w:right w:val="nil"/>
            </w:tcBorders>
          </w:tcPr>
          <w:p w14:paraId="4A7D1804" w14:textId="71F2BF0C"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e</w:t>
            </w:r>
            <w:r w:rsidR="00143F5A" w:rsidRPr="00D63217">
              <w:rPr>
                <w:szCs w:val="17"/>
              </w:rPr>
              <w:t>)</w:t>
            </w:r>
          </w:p>
        </w:tc>
      </w:tr>
      <w:tr w:rsidR="009A7378" w:rsidRPr="00D63217" w14:paraId="64A1FC3D" w14:textId="77777777" w:rsidTr="00B257F2">
        <w:tc>
          <w:tcPr>
            <w:tcW w:w="583" w:type="pct"/>
            <w:tcBorders>
              <w:top w:val="nil"/>
              <w:left w:val="nil"/>
              <w:bottom w:val="nil"/>
              <w:right w:val="nil"/>
            </w:tcBorders>
          </w:tcPr>
          <w:p w14:paraId="2D614965"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084963F0" w14:textId="77777777" w:rsidR="009A7378" w:rsidRPr="00D63217" w:rsidRDefault="009A7378" w:rsidP="004808C6">
            <w:pPr>
              <w:pStyle w:val="TableText"/>
              <w:spacing w:before="0" w:after="0" w:line="240" w:lineRule="auto"/>
              <w:rPr>
                <w:szCs w:val="17"/>
              </w:rPr>
            </w:pPr>
          </w:p>
        </w:tc>
        <w:tc>
          <w:tcPr>
            <w:tcW w:w="456" w:type="pct"/>
            <w:tcBorders>
              <w:top w:val="nil"/>
              <w:left w:val="nil"/>
              <w:bottom w:val="single" w:sz="4" w:space="0" w:color="auto"/>
              <w:right w:val="nil"/>
            </w:tcBorders>
          </w:tcPr>
          <w:p w14:paraId="028BA32A"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single" w:sz="4" w:space="0" w:color="auto"/>
              <w:right w:val="nil"/>
            </w:tcBorders>
          </w:tcPr>
          <w:p w14:paraId="41FF45D8" w14:textId="77777777" w:rsidR="009A7378" w:rsidRPr="00D63217" w:rsidRDefault="009A7378" w:rsidP="004808C6">
            <w:pPr>
              <w:pStyle w:val="TableText"/>
              <w:spacing w:before="0" w:after="0" w:line="240" w:lineRule="auto"/>
              <w:rPr>
                <w:i/>
                <w:iCs/>
                <w:szCs w:val="17"/>
              </w:rPr>
            </w:pPr>
            <w:r w:rsidRPr="00D63217">
              <w:rPr>
                <w:i/>
                <w:iCs/>
                <w:szCs w:val="17"/>
              </w:rPr>
              <w:t>Crassostrea virginica</w:t>
            </w:r>
          </w:p>
        </w:tc>
        <w:tc>
          <w:tcPr>
            <w:tcW w:w="1010" w:type="pct"/>
            <w:tcBorders>
              <w:top w:val="nil"/>
              <w:left w:val="nil"/>
              <w:bottom w:val="single" w:sz="4" w:space="0" w:color="auto"/>
              <w:right w:val="nil"/>
            </w:tcBorders>
          </w:tcPr>
          <w:p w14:paraId="7927432A" w14:textId="77777777" w:rsidR="009A7378" w:rsidRPr="00D63217" w:rsidRDefault="009A7378" w:rsidP="004808C6">
            <w:pPr>
              <w:pStyle w:val="TableText"/>
              <w:spacing w:before="0" w:after="0" w:line="240" w:lineRule="auto"/>
              <w:rPr>
                <w:szCs w:val="17"/>
              </w:rPr>
            </w:pPr>
            <w:r w:rsidRPr="00D63217">
              <w:rPr>
                <w:szCs w:val="17"/>
              </w:rPr>
              <w:t>EC</w:t>
            </w:r>
            <w:r w:rsidRPr="00D63217">
              <w:rPr>
                <w:szCs w:val="17"/>
                <w:vertAlign w:val="subscript"/>
              </w:rPr>
              <w:t>50</w:t>
            </w:r>
            <w:r w:rsidRPr="00D63217">
              <w:rPr>
                <w:szCs w:val="17"/>
              </w:rPr>
              <w:t xml:space="preserve"> 23 mg ac/L</w:t>
            </w:r>
          </w:p>
        </w:tc>
        <w:tc>
          <w:tcPr>
            <w:tcW w:w="1170" w:type="pct"/>
            <w:gridSpan w:val="2"/>
            <w:tcBorders>
              <w:top w:val="nil"/>
              <w:left w:val="nil"/>
              <w:bottom w:val="single" w:sz="4" w:space="0" w:color="auto"/>
              <w:right w:val="nil"/>
            </w:tcBorders>
          </w:tcPr>
          <w:p w14:paraId="72488EFA" w14:textId="08983436"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f</w:t>
            </w:r>
            <w:r w:rsidR="00143F5A" w:rsidRPr="00D63217">
              <w:rPr>
                <w:szCs w:val="17"/>
              </w:rPr>
              <w:t>)</w:t>
            </w:r>
          </w:p>
        </w:tc>
      </w:tr>
      <w:tr w:rsidR="009A7378" w:rsidRPr="00D63217" w14:paraId="639D8A47" w14:textId="77777777" w:rsidTr="00B257F2">
        <w:tc>
          <w:tcPr>
            <w:tcW w:w="583" w:type="pct"/>
            <w:tcBorders>
              <w:top w:val="nil"/>
              <w:left w:val="nil"/>
              <w:bottom w:val="nil"/>
              <w:right w:val="nil"/>
            </w:tcBorders>
          </w:tcPr>
          <w:p w14:paraId="35568DE5"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548E6CF2" w14:textId="77777777" w:rsidR="009A7378" w:rsidRPr="00D63217" w:rsidRDefault="009A7378" w:rsidP="004808C6">
            <w:pPr>
              <w:pStyle w:val="TableText"/>
              <w:spacing w:before="0" w:after="0" w:line="240" w:lineRule="auto"/>
              <w:rPr>
                <w:szCs w:val="17"/>
              </w:rPr>
            </w:pPr>
          </w:p>
        </w:tc>
        <w:tc>
          <w:tcPr>
            <w:tcW w:w="456" w:type="pct"/>
            <w:tcBorders>
              <w:top w:val="single" w:sz="4" w:space="0" w:color="auto"/>
              <w:left w:val="nil"/>
              <w:bottom w:val="nil"/>
              <w:right w:val="nil"/>
            </w:tcBorders>
          </w:tcPr>
          <w:p w14:paraId="76F6692F" w14:textId="77777777" w:rsidR="009A7378" w:rsidRPr="00D63217" w:rsidRDefault="009A7378" w:rsidP="004808C6">
            <w:pPr>
              <w:pStyle w:val="TableText"/>
              <w:spacing w:before="0" w:after="0" w:line="240" w:lineRule="auto"/>
              <w:rPr>
                <w:szCs w:val="17"/>
              </w:rPr>
            </w:pPr>
            <w:r w:rsidRPr="00D63217">
              <w:rPr>
                <w:szCs w:val="17"/>
              </w:rPr>
              <w:t>Chronic</w:t>
            </w:r>
          </w:p>
        </w:tc>
        <w:tc>
          <w:tcPr>
            <w:tcW w:w="1154" w:type="pct"/>
            <w:tcBorders>
              <w:top w:val="single" w:sz="4" w:space="0" w:color="auto"/>
              <w:left w:val="nil"/>
              <w:bottom w:val="nil"/>
              <w:right w:val="nil"/>
            </w:tcBorders>
          </w:tcPr>
          <w:p w14:paraId="662E3824" w14:textId="77777777" w:rsidR="009A7378" w:rsidRPr="00D63217" w:rsidRDefault="009A7378" w:rsidP="004808C6">
            <w:pPr>
              <w:pStyle w:val="TableText"/>
              <w:spacing w:before="0" w:after="0" w:line="240" w:lineRule="auto"/>
              <w:rPr>
                <w:i/>
                <w:iCs/>
                <w:szCs w:val="17"/>
              </w:rPr>
            </w:pPr>
            <w:r w:rsidRPr="00D63217">
              <w:rPr>
                <w:i/>
                <w:iCs/>
                <w:szCs w:val="17"/>
              </w:rPr>
              <w:t>Daphnia magna</w:t>
            </w:r>
          </w:p>
        </w:tc>
        <w:tc>
          <w:tcPr>
            <w:tcW w:w="1010" w:type="pct"/>
            <w:tcBorders>
              <w:top w:val="single" w:sz="4" w:space="0" w:color="auto"/>
              <w:left w:val="nil"/>
              <w:bottom w:val="nil"/>
              <w:right w:val="nil"/>
            </w:tcBorders>
          </w:tcPr>
          <w:p w14:paraId="162CB7E3" w14:textId="77777777" w:rsidR="009A7378" w:rsidRPr="00D63217" w:rsidRDefault="009A7378" w:rsidP="004808C6">
            <w:pPr>
              <w:pStyle w:val="TableText"/>
              <w:spacing w:before="0" w:after="0" w:line="240" w:lineRule="auto"/>
              <w:rPr>
                <w:szCs w:val="17"/>
              </w:rPr>
            </w:pPr>
            <w:r w:rsidRPr="00D63217">
              <w:rPr>
                <w:szCs w:val="17"/>
              </w:rPr>
              <w:t>NOEC 0.097 mg ac/L</w:t>
            </w:r>
          </w:p>
        </w:tc>
        <w:tc>
          <w:tcPr>
            <w:tcW w:w="1170" w:type="pct"/>
            <w:gridSpan w:val="2"/>
            <w:tcBorders>
              <w:top w:val="single" w:sz="4" w:space="0" w:color="auto"/>
              <w:left w:val="nil"/>
              <w:bottom w:val="nil"/>
              <w:right w:val="nil"/>
            </w:tcBorders>
          </w:tcPr>
          <w:p w14:paraId="4C974E24" w14:textId="5217B10A"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g</w:t>
            </w:r>
            <w:r w:rsidR="00143F5A" w:rsidRPr="00D63217">
              <w:rPr>
                <w:szCs w:val="17"/>
              </w:rPr>
              <w:t>)</w:t>
            </w:r>
          </w:p>
        </w:tc>
      </w:tr>
      <w:tr w:rsidR="009A7378" w:rsidRPr="00D63217" w14:paraId="23389F03" w14:textId="77777777" w:rsidTr="00B257F2">
        <w:tc>
          <w:tcPr>
            <w:tcW w:w="583" w:type="pct"/>
            <w:tcBorders>
              <w:top w:val="nil"/>
              <w:left w:val="nil"/>
              <w:bottom w:val="nil"/>
              <w:right w:val="nil"/>
            </w:tcBorders>
          </w:tcPr>
          <w:p w14:paraId="2DCE9F69" w14:textId="77777777" w:rsidR="009A7378" w:rsidRPr="00D63217" w:rsidRDefault="009A7378" w:rsidP="004808C6">
            <w:pPr>
              <w:pStyle w:val="TableText"/>
              <w:spacing w:before="0" w:after="0" w:line="240" w:lineRule="auto"/>
              <w:rPr>
                <w:szCs w:val="17"/>
              </w:rPr>
            </w:pPr>
          </w:p>
        </w:tc>
        <w:tc>
          <w:tcPr>
            <w:tcW w:w="627" w:type="pct"/>
            <w:tcBorders>
              <w:top w:val="nil"/>
              <w:left w:val="nil"/>
              <w:bottom w:val="single" w:sz="4" w:space="0" w:color="auto"/>
              <w:right w:val="nil"/>
            </w:tcBorders>
          </w:tcPr>
          <w:p w14:paraId="6AC63BE9" w14:textId="77777777" w:rsidR="009A7378" w:rsidRPr="00D63217" w:rsidRDefault="009A7378" w:rsidP="004808C6">
            <w:pPr>
              <w:pStyle w:val="TableText"/>
              <w:spacing w:before="0" w:after="0" w:line="240" w:lineRule="auto"/>
              <w:rPr>
                <w:szCs w:val="17"/>
              </w:rPr>
            </w:pPr>
          </w:p>
        </w:tc>
        <w:tc>
          <w:tcPr>
            <w:tcW w:w="456" w:type="pct"/>
            <w:tcBorders>
              <w:top w:val="nil"/>
              <w:left w:val="nil"/>
              <w:bottom w:val="single" w:sz="4" w:space="0" w:color="auto"/>
              <w:right w:val="nil"/>
            </w:tcBorders>
          </w:tcPr>
          <w:p w14:paraId="51F53F65"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single" w:sz="4" w:space="0" w:color="auto"/>
              <w:right w:val="nil"/>
            </w:tcBorders>
          </w:tcPr>
          <w:p w14:paraId="488DF94E" w14:textId="77777777" w:rsidR="009A7378" w:rsidRPr="00D63217" w:rsidRDefault="009A7378" w:rsidP="004808C6">
            <w:pPr>
              <w:pStyle w:val="TableText"/>
              <w:spacing w:before="0" w:after="0" w:line="240" w:lineRule="auto"/>
              <w:rPr>
                <w:i/>
                <w:iCs/>
                <w:color w:val="FF0000"/>
                <w:szCs w:val="17"/>
              </w:rPr>
            </w:pPr>
            <w:r w:rsidRPr="00D63217">
              <w:rPr>
                <w:i/>
                <w:iCs/>
                <w:szCs w:val="17"/>
              </w:rPr>
              <w:t>Americamysis bahia</w:t>
            </w:r>
          </w:p>
        </w:tc>
        <w:tc>
          <w:tcPr>
            <w:tcW w:w="1010" w:type="pct"/>
            <w:tcBorders>
              <w:top w:val="nil"/>
              <w:left w:val="nil"/>
              <w:bottom w:val="single" w:sz="4" w:space="0" w:color="auto"/>
              <w:right w:val="nil"/>
            </w:tcBorders>
          </w:tcPr>
          <w:p w14:paraId="09A20998" w14:textId="77777777" w:rsidR="009A7378" w:rsidRPr="00D63217" w:rsidRDefault="009A7378" w:rsidP="004808C6">
            <w:pPr>
              <w:pStyle w:val="TableText"/>
              <w:spacing w:before="0" w:after="0" w:line="240" w:lineRule="auto"/>
              <w:rPr>
                <w:szCs w:val="17"/>
              </w:rPr>
            </w:pPr>
            <w:r w:rsidRPr="00D63217">
              <w:rPr>
                <w:szCs w:val="17"/>
              </w:rPr>
              <w:t>NOEC 0.038 mg ac/L</w:t>
            </w:r>
          </w:p>
        </w:tc>
        <w:tc>
          <w:tcPr>
            <w:tcW w:w="1170" w:type="pct"/>
            <w:gridSpan w:val="2"/>
            <w:tcBorders>
              <w:top w:val="nil"/>
              <w:left w:val="nil"/>
              <w:bottom w:val="single" w:sz="4" w:space="0" w:color="auto"/>
              <w:right w:val="nil"/>
            </w:tcBorders>
          </w:tcPr>
          <w:p w14:paraId="2856C10C" w14:textId="71EFBA07" w:rsidR="009A7378" w:rsidRPr="00D63217" w:rsidRDefault="009A7378" w:rsidP="004808C6">
            <w:pPr>
              <w:pStyle w:val="TableText"/>
              <w:spacing w:before="0" w:after="0" w:line="240" w:lineRule="auto"/>
              <w:rPr>
                <w:szCs w:val="17"/>
              </w:rPr>
            </w:pPr>
            <w:r w:rsidRPr="00D63217">
              <w:rPr>
                <w:szCs w:val="17"/>
              </w:rPr>
              <w:t>Claude et</w:t>
            </w:r>
            <w:r w:rsidR="00143F5A" w:rsidRPr="00D63217">
              <w:rPr>
                <w:szCs w:val="17"/>
              </w:rPr>
              <w:t xml:space="preserve"> al,</w:t>
            </w:r>
            <w:r w:rsidRPr="00D63217">
              <w:rPr>
                <w:szCs w:val="17"/>
              </w:rPr>
              <w:t xml:space="preserve"> 2014</w:t>
            </w:r>
            <w:r w:rsidR="00143F5A" w:rsidRPr="00D63217">
              <w:rPr>
                <w:szCs w:val="17"/>
              </w:rPr>
              <w:t>(</w:t>
            </w:r>
            <w:r w:rsidRPr="00D63217">
              <w:rPr>
                <w:szCs w:val="17"/>
              </w:rPr>
              <w:t>h</w:t>
            </w:r>
            <w:r w:rsidR="00143F5A" w:rsidRPr="00D63217">
              <w:rPr>
                <w:szCs w:val="17"/>
              </w:rPr>
              <w:t>)</w:t>
            </w:r>
          </w:p>
        </w:tc>
      </w:tr>
      <w:tr w:rsidR="009A7378" w:rsidRPr="00D63217" w14:paraId="595745B2" w14:textId="77777777" w:rsidTr="00B257F2">
        <w:tc>
          <w:tcPr>
            <w:tcW w:w="583" w:type="pct"/>
            <w:tcBorders>
              <w:top w:val="nil"/>
              <w:left w:val="nil"/>
              <w:bottom w:val="nil"/>
              <w:right w:val="nil"/>
            </w:tcBorders>
          </w:tcPr>
          <w:p w14:paraId="4E38EBAA" w14:textId="177AF22A" w:rsidR="009A7378" w:rsidRPr="00D63217" w:rsidRDefault="009A7378" w:rsidP="004808C6">
            <w:pPr>
              <w:pStyle w:val="TableText"/>
              <w:spacing w:before="0" w:after="0" w:line="240" w:lineRule="auto"/>
              <w:rPr>
                <w:szCs w:val="17"/>
              </w:rPr>
            </w:pPr>
          </w:p>
        </w:tc>
        <w:tc>
          <w:tcPr>
            <w:tcW w:w="627" w:type="pct"/>
            <w:vMerge w:val="restart"/>
            <w:tcBorders>
              <w:top w:val="single" w:sz="4" w:space="0" w:color="auto"/>
              <w:left w:val="nil"/>
              <w:right w:val="nil"/>
            </w:tcBorders>
          </w:tcPr>
          <w:p w14:paraId="78B5ADB9" w14:textId="77777777" w:rsidR="009A7378" w:rsidRPr="00D63217" w:rsidRDefault="009A7378" w:rsidP="004808C6">
            <w:pPr>
              <w:pStyle w:val="TableText"/>
              <w:spacing w:before="0" w:after="0" w:line="240" w:lineRule="auto"/>
              <w:rPr>
                <w:szCs w:val="17"/>
              </w:rPr>
            </w:pPr>
            <w:r w:rsidRPr="00D63217">
              <w:rPr>
                <w:szCs w:val="17"/>
              </w:rPr>
              <w:t>Sediment-dwellers</w:t>
            </w:r>
          </w:p>
        </w:tc>
        <w:tc>
          <w:tcPr>
            <w:tcW w:w="456" w:type="pct"/>
            <w:tcBorders>
              <w:top w:val="single" w:sz="4" w:space="0" w:color="auto"/>
              <w:left w:val="nil"/>
              <w:bottom w:val="nil"/>
              <w:right w:val="nil"/>
            </w:tcBorders>
          </w:tcPr>
          <w:p w14:paraId="6CD691A8" w14:textId="77777777" w:rsidR="009A7378" w:rsidRPr="00D63217" w:rsidRDefault="009A7378" w:rsidP="004808C6">
            <w:pPr>
              <w:pStyle w:val="TableText"/>
              <w:spacing w:before="0" w:after="0" w:line="240" w:lineRule="auto"/>
              <w:rPr>
                <w:szCs w:val="17"/>
              </w:rPr>
            </w:pPr>
            <w:r w:rsidRPr="00D63217">
              <w:rPr>
                <w:szCs w:val="17"/>
              </w:rPr>
              <w:t>Acute</w:t>
            </w:r>
          </w:p>
        </w:tc>
        <w:tc>
          <w:tcPr>
            <w:tcW w:w="1154" w:type="pct"/>
            <w:tcBorders>
              <w:top w:val="single" w:sz="4" w:space="0" w:color="auto"/>
              <w:left w:val="nil"/>
              <w:bottom w:val="nil"/>
              <w:right w:val="nil"/>
            </w:tcBorders>
          </w:tcPr>
          <w:p w14:paraId="7E9ED92E" w14:textId="77777777" w:rsidR="009A7378" w:rsidRPr="00D63217" w:rsidRDefault="009A7378" w:rsidP="004808C6">
            <w:pPr>
              <w:pStyle w:val="TableText"/>
              <w:spacing w:before="0" w:after="0" w:line="240" w:lineRule="auto"/>
              <w:rPr>
                <w:i/>
                <w:iCs/>
                <w:szCs w:val="17"/>
              </w:rPr>
            </w:pPr>
            <w:r w:rsidRPr="00D63217">
              <w:rPr>
                <w:i/>
                <w:iCs/>
                <w:szCs w:val="17"/>
              </w:rPr>
              <w:t>Hyalella azteca</w:t>
            </w:r>
          </w:p>
        </w:tc>
        <w:tc>
          <w:tcPr>
            <w:tcW w:w="1010" w:type="pct"/>
            <w:tcBorders>
              <w:top w:val="single" w:sz="4" w:space="0" w:color="auto"/>
              <w:left w:val="nil"/>
              <w:bottom w:val="nil"/>
              <w:right w:val="nil"/>
            </w:tcBorders>
          </w:tcPr>
          <w:p w14:paraId="2EFEC35B"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39 mg ac/kg ds</w:t>
            </w:r>
          </w:p>
        </w:tc>
        <w:tc>
          <w:tcPr>
            <w:tcW w:w="1170" w:type="pct"/>
            <w:gridSpan w:val="2"/>
            <w:tcBorders>
              <w:top w:val="single" w:sz="4" w:space="0" w:color="auto"/>
              <w:left w:val="nil"/>
              <w:bottom w:val="nil"/>
              <w:right w:val="nil"/>
            </w:tcBorders>
          </w:tcPr>
          <w:p w14:paraId="7E994775" w14:textId="639CFBCB" w:rsidR="009A7378" w:rsidRPr="00D63217" w:rsidRDefault="009A7378" w:rsidP="004808C6">
            <w:pPr>
              <w:pStyle w:val="TableText"/>
              <w:spacing w:before="0" w:after="0" w:line="240" w:lineRule="auto"/>
              <w:rPr>
                <w:szCs w:val="17"/>
              </w:rPr>
            </w:pPr>
            <w:r w:rsidRPr="00D63217">
              <w:rPr>
                <w:szCs w:val="17"/>
              </w:rPr>
              <w:t>Bradley 2015</w:t>
            </w:r>
            <w:r w:rsidR="00143F5A" w:rsidRPr="00D63217">
              <w:rPr>
                <w:szCs w:val="17"/>
              </w:rPr>
              <w:t>(</w:t>
            </w:r>
            <w:r w:rsidRPr="00D63217">
              <w:rPr>
                <w:szCs w:val="17"/>
              </w:rPr>
              <w:t>a</w:t>
            </w:r>
            <w:r w:rsidR="00143F5A" w:rsidRPr="00D63217">
              <w:rPr>
                <w:szCs w:val="17"/>
              </w:rPr>
              <w:t>)</w:t>
            </w:r>
          </w:p>
        </w:tc>
      </w:tr>
      <w:tr w:rsidR="009A7378" w:rsidRPr="00D63217" w14:paraId="23FB95A3" w14:textId="77777777" w:rsidTr="00B257F2">
        <w:tc>
          <w:tcPr>
            <w:tcW w:w="583" w:type="pct"/>
            <w:tcBorders>
              <w:top w:val="nil"/>
              <w:left w:val="nil"/>
              <w:bottom w:val="nil"/>
              <w:right w:val="nil"/>
            </w:tcBorders>
          </w:tcPr>
          <w:p w14:paraId="0419909D" w14:textId="77777777" w:rsidR="009A7378" w:rsidRPr="00D63217" w:rsidRDefault="009A7378" w:rsidP="004808C6">
            <w:pPr>
              <w:pStyle w:val="TableText"/>
              <w:spacing w:before="0" w:after="0" w:line="240" w:lineRule="auto"/>
              <w:rPr>
                <w:szCs w:val="17"/>
              </w:rPr>
            </w:pPr>
          </w:p>
        </w:tc>
        <w:tc>
          <w:tcPr>
            <w:tcW w:w="627" w:type="pct"/>
            <w:vMerge/>
            <w:tcBorders>
              <w:left w:val="nil"/>
              <w:bottom w:val="nil"/>
              <w:right w:val="nil"/>
            </w:tcBorders>
          </w:tcPr>
          <w:p w14:paraId="63CD8D6E"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5FB7B037"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24F02678" w14:textId="77777777" w:rsidR="009A7378" w:rsidRPr="00D63217" w:rsidRDefault="009A7378" w:rsidP="004808C6">
            <w:pPr>
              <w:pStyle w:val="TableText"/>
              <w:spacing w:before="0" w:after="0" w:line="240" w:lineRule="auto"/>
              <w:rPr>
                <w:i/>
                <w:iCs/>
                <w:szCs w:val="17"/>
              </w:rPr>
            </w:pPr>
            <w:r w:rsidRPr="00D63217">
              <w:rPr>
                <w:i/>
                <w:iCs/>
                <w:szCs w:val="17"/>
              </w:rPr>
              <w:t>Leptocheirus plumulosus</w:t>
            </w:r>
          </w:p>
        </w:tc>
        <w:tc>
          <w:tcPr>
            <w:tcW w:w="1010" w:type="pct"/>
            <w:tcBorders>
              <w:top w:val="nil"/>
              <w:left w:val="nil"/>
              <w:bottom w:val="nil"/>
              <w:right w:val="nil"/>
            </w:tcBorders>
          </w:tcPr>
          <w:p w14:paraId="2C008011"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&gt;100 mg ac/kg ds</w:t>
            </w:r>
          </w:p>
        </w:tc>
        <w:tc>
          <w:tcPr>
            <w:tcW w:w="1170" w:type="pct"/>
            <w:gridSpan w:val="2"/>
            <w:tcBorders>
              <w:top w:val="nil"/>
              <w:left w:val="nil"/>
              <w:bottom w:val="nil"/>
              <w:right w:val="nil"/>
            </w:tcBorders>
          </w:tcPr>
          <w:p w14:paraId="2A3DE80A" w14:textId="79E6C8EA" w:rsidR="009A7378" w:rsidRPr="00D63217" w:rsidRDefault="009A7378" w:rsidP="004808C6">
            <w:pPr>
              <w:pStyle w:val="TableText"/>
              <w:spacing w:before="0" w:after="0" w:line="240" w:lineRule="auto"/>
              <w:rPr>
                <w:szCs w:val="17"/>
              </w:rPr>
            </w:pPr>
            <w:r w:rsidRPr="00D63217">
              <w:rPr>
                <w:szCs w:val="17"/>
              </w:rPr>
              <w:t>Bradley 2015</w:t>
            </w:r>
            <w:r w:rsidR="00143F5A" w:rsidRPr="00D63217">
              <w:rPr>
                <w:szCs w:val="17"/>
              </w:rPr>
              <w:t>(</w:t>
            </w:r>
            <w:r w:rsidRPr="00D63217">
              <w:rPr>
                <w:szCs w:val="17"/>
              </w:rPr>
              <w:t>b</w:t>
            </w:r>
            <w:r w:rsidR="00143F5A" w:rsidRPr="00D63217">
              <w:rPr>
                <w:szCs w:val="17"/>
              </w:rPr>
              <w:t>)</w:t>
            </w:r>
          </w:p>
        </w:tc>
      </w:tr>
      <w:tr w:rsidR="009A7378" w:rsidRPr="00D63217" w14:paraId="3E3C097B" w14:textId="77777777" w:rsidTr="00B257F2">
        <w:tc>
          <w:tcPr>
            <w:tcW w:w="583" w:type="pct"/>
            <w:tcBorders>
              <w:top w:val="nil"/>
              <w:left w:val="nil"/>
              <w:bottom w:val="nil"/>
              <w:right w:val="nil"/>
            </w:tcBorders>
          </w:tcPr>
          <w:p w14:paraId="05A84511"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236E4F28" w14:textId="77777777" w:rsidR="009A7378" w:rsidRPr="00D63217" w:rsidRDefault="009A7378" w:rsidP="004808C6">
            <w:pPr>
              <w:pStyle w:val="TableText"/>
              <w:spacing w:before="0" w:after="0" w:line="240" w:lineRule="auto"/>
              <w:rPr>
                <w:szCs w:val="17"/>
              </w:rPr>
            </w:pPr>
          </w:p>
        </w:tc>
        <w:tc>
          <w:tcPr>
            <w:tcW w:w="456" w:type="pct"/>
            <w:tcBorders>
              <w:top w:val="nil"/>
              <w:left w:val="nil"/>
              <w:bottom w:val="single" w:sz="4" w:space="0" w:color="auto"/>
              <w:right w:val="nil"/>
            </w:tcBorders>
          </w:tcPr>
          <w:p w14:paraId="59DF6AED"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single" w:sz="4" w:space="0" w:color="auto"/>
              <w:right w:val="nil"/>
            </w:tcBorders>
          </w:tcPr>
          <w:p w14:paraId="6B15E52E" w14:textId="77777777" w:rsidR="009A7378" w:rsidRPr="00D63217" w:rsidRDefault="009A7378" w:rsidP="004808C6">
            <w:pPr>
              <w:pStyle w:val="TableText"/>
              <w:spacing w:before="0" w:after="0" w:line="240" w:lineRule="auto"/>
              <w:rPr>
                <w:i/>
                <w:iCs/>
                <w:szCs w:val="17"/>
              </w:rPr>
            </w:pPr>
            <w:r w:rsidRPr="00D63217">
              <w:rPr>
                <w:i/>
                <w:iCs/>
                <w:szCs w:val="17"/>
              </w:rPr>
              <w:t>Chironomus dilutus</w:t>
            </w:r>
          </w:p>
        </w:tc>
        <w:tc>
          <w:tcPr>
            <w:tcW w:w="1010" w:type="pct"/>
            <w:tcBorders>
              <w:top w:val="nil"/>
              <w:left w:val="nil"/>
              <w:bottom w:val="single" w:sz="4" w:space="0" w:color="auto"/>
              <w:right w:val="nil"/>
            </w:tcBorders>
          </w:tcPr>
          <w:p w14:paraId="420602CF" w14:textId="77777777" w:rsidR="009A7378" w:rsidRPr="00D63217" w:rsidRDefault="009A7378" w:rsidP="004808C6">
            <w:pPr>
              <w:pStyle w:val="TableText"/>
              <w:spacing w:before="0" w:after="0" w:line="240" w:lineRule="auto"/>
              <w:rPr>
                <w:szCs w:val="17"/>
              </w:rPr>
            </w:pPr>
            <w:r w:rsidRPr="00D63217">
              <w:rPr>
                <w:szCs w:val="17"/>
              </w:rPr>
              <w:t>LC</w:t>
            </w:r>
            <w:r w:rsidRPr="00D63217">
              <w:rPr>
                <w:szCs w:val="17"/>
                <w:vertAlign w:val="subscript"/>
              </w:rPr>
              <w:t>50</w:t>
            </w:r>
            <w:r w:rsidRPr="00D63217">
              <w:rPr>
                <w:szCs w:val="17"/>
              </w:rPr>
              <w:t xml:space="preserve"> &gt;100 mg ac/kg ds</w:t>
            </w:r>
          </w:p>
        </w:tc>
        <w:tc>
          <w:tcPr>
            <w:tcW w:w="1170" w:type="pct"/>
            <w:gridSpan w:val="2"/>
            <w:tcBorders>
              <w:top w:val="nil"/>
              <w:left w:val="nil"/>
              <w:bottom w:val="single" w:sz="4" w:space="0" w:color="auto"/>
              <w:right w:val="nil"/>
            </w:tcBorders>
          </w:tcPr>
          <w:p w14:paraId="7BA684A8" w14:textId="30033D1B" w:rsidR="009A7378" w:rsidRPr="00D63217" w:rsidRDefault="009A7378" w:rsidP="004808C6">
            <w:pPr>
              <w:pStyle w:val="TableText"/>
              <w:spacing w:before="0" w:after="0" w:line="240" w:lineRule="auto"/>
              <w:rPr>
                <w:szCs w:val="17"/>
              </w:rPr>
            </w:pPr>
            <w:r w:rsidRPr="00D63217">
              <w:rPr>
                <w:szCs w:val="17"/>
              </w:rPr>
              <w:t>Bradley 2015</w:t>
            </w:r>
            <w:r w:rsidR="00143F5A" w:rsidRPr="00D63217">
              <w:rPr>
                <w:szCs w:val="17"/>
              </w:rPr>
              <w:t>(</w:t>
            </w:r>
            <w:r w:rsidRPr="00D63217">
              <w:rPr>
                <w:szCs w:val="17"/>
              </w:rPr>
              <w:t>c</w:t>
            </w:r>
            <w:r w:rsidR="00143F5A" w:rsidRPr="00D63217">
              <w:rPr>
                <w:szCs w:val="17"/>
              </w:rPr>
              <w:t>)</w:t>
            </w:r>
          </w:p>
        </w:tc>
      </w:tr>
      <w:tr w:rsidR="009A7378" w:rsidRPr="00D63217" w14:paraId="786CD6D9" w14:textId="77777777" w:rsidTr="00B257F2">
        <w:tc>
          <w:tcPr>
            <w:tcW w:w="583" w:type="pct"/>
            <w:tcBorders>
              <w:top w:val="nil"/>
              <w:left w:val="nil"/>
              <w:bottom w:val="nil"/>
              <w:right w:val="nil"/>
            </w:tcBorders>
          </w:tcPr>
          <w:p w14:paraId="2044959E"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022C9163"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02D24548" w14:textId="77777777" w:rsidR="009A7378" w:rsidRPr="00D63217" w:rsidRDefault="009A7378" w:rsidP="004808C6">
            <w:pPr>
              <w:pStyle w:val="TableText"/>
              <w:spacing w:before="0" w:after="0" w:line="240" w:lineRule="auto"/>
              <w:rPr>
                <w:szCs w:val="17"/>
              </w:rPr>
            </w:pPr>
            <w:r w:rsidRPr="00D63217">
              <w:rPr>
                <w:szCs w:val="17"/>
              </w:rPr>
              <w:t>Chronic</w:t>
            </w:r>
          </w:p>
        </w:tc>
        <w:tc>
          <w:tcPr>
            <w:tcW w:w="1154" w:type="pct"/>
            <w:tcBorders>
              <w:top w:val="nil"/>
              <w:left w:val="nil"/>
              <w:bottom w:val="nil"/>
              <w:right w:val="nil"/>
            </w:tcBorders>
          </w:tcPr>
          <w:p w14:paraId="57B8851E" w14:textId="77777777" w:rsidR="009A7378" w:rsidRPr="00D63217" w:rsidRDefault="009A7378" w:rsidP="004808C6">
            <w:pPr>
              <w:pStyle w:val="TableText"/>
              <w:spacing w:before="0" w:after="0" w:line="240" w:lineRule="auto"/>
              <w:rPr>
                <w:i/>
                <w:iCs/>
                <w:szCs w:val="17"/>
              </w:rPr>
            </w:pPr>
            <w:r w:rsidRPr="00D63217">
              <w:rPr>
                <w:i/>
                <w:iCs/>
                <w:szCs w:val="17"/>
              </w:rPr>
              <w:t>Chironomus riparius</w:t>
            </w:r>
          </w:p>
        </w:tc>
        <w:tc>
          <w:tcPr>
            <w:tcW w:w="1010" w:type="pct"/>
            <w:tcBorders>
              <w:top w:val="nil"/>
              <w:left w:val="nil"/>
              <w:bottom w:val="nil"/>
              <w:right w:val="nil"/>
            </w:tcBorders>
          </w:tcPr>
          <w:p w14:paraId="5CD7B5F2" w14:textId="77777777" w:rsidR="009A7378" w:rsidRPr="00D63217" w:rsidRDefault="009A7378" w:rsidP="004808C6">
            <w:pPr>
              <w:pStyle w:val="TableText"/>
              <w:spacing w:before="0" w:after="0" w:line="240" w:lineRule="auto"/>
              <w:rPr>
                <w:szCs w:val="17"/>
              </w:rPr>
            </w:pPr>
            <w:r w:rsidRPr="00D63217">
              <w:rPr>
                <w:szCs w:val="17"/>
              </w:rPr>
              <w:t>NOEC 0.37 mg ac/L</w:t>
            </w:r>
          </w:p>
        </w:tc>
        <w:tc>
          <w:tcPr>
            <w:tcW w:w="1170" w:type="pct"/>
            <w:gridSpan w:val="2"/>
            <w:tcBorders>
              <w:top w:val="nil"/>
              <w:left w:val="nil"/>
              <w:bottom w:val="nil"/>
              <w:right w:val="nil"/>
            </w:tcBorders>
          </w:tcPr>
          <w:p w14:paraId="5A6BE63F" w14:textId="77777777" w:rsidR="009A7378" w:rsidRPr="00D63217" w:rsidRDefault="009A7378" w:rsidP="004808C6">
            <w:pPr>
              <w:pStyle w:val="TableText"/>
              <w:spacing w:before="0" w:after="0" w:line="240" w:lineRule="auto"/>
              <w:rPr>
                <w:szCs w:val="17"/>
              </w:rPr>
            </w:pPr>
            <w:r w:rsidRPr="00D63217">
              <w:rPr>
                <w:szCs w:val="17"/>
              </w:rPr>
              <w:t>Hamer &amp; Ashwell 1997</w:t>
            </w:r>
          </w:p>
        </w:tc>
      </w:tr>
      <w:tr w:rsidR="009A7378" w:rsidRPr="00D63217" w14:paraId="6121E8BD" w14:textId="77777777" w:rsidTr="00B257F2">
        <w:tc>
          <w:tcPr>
            <w:tcW w:w="583" w:type="pct"/>
            <w:tcBorders>
              <w:top w:val="nil"/>
              <w:left w:val="nil"/>
              <w:bottom w:val="nil"/>
              <w:right w:val="nil"/>
            </w:tcBorders>
          </w:tcPr>
          <w:p w14:paraId="027B4C7B" w14:textId="77777777" w:rsidR="009A7378" w:rsidRPr="00D63217" w:rsidRDefault="009A7378" w:rsidP="004808C6">
            <w:pPr>
              <w:pStyle w:val="TableText"/>
              <w:spacing w:before="0" w:after="0" w:line="240" w:lineRule="auto"/>
              <w:rPr>
                <w:szCs w:val="17"/>
              </w:rPr>
            </w:pPr>
          </w:p>
        </w:tc>
        <w:tc>
          <w:tcPr>
            <w:tcW w:w="627" w:type="pct"/>
            <w:tcBorders>
              <w:top w:val="nil"/>
              <w:left w:val="nil"/>
              <w:bottom w:val="single" w:sz="4" w:space="0" w:color="auto"/>
              <w:right w:val="nil"/>
            </w:tcBorders>
          </w:tcPr>
          <w:p w14:paraId="4F31B1B8" w14:textId="77777777" w:rsidR="009A7378" w:rsidRPr="00D63217" w:rsidRDefault="009A7378" w:rsidP="004808C6">
            <w:pPr>
              <w:pStyle w:val="TableText"/>
              <w:spacing w:before="0" w:after="0" w:line="240" w:lineRule="auto"/>
              <w:rPr>
                <w:szCs w:val="17"/>
              </w:rPr>
            </w:pPr>
          </w:p>
        </w:tc>
        <w:tc>
          <w:tcPr>
            <w:tcW w:w="456" w:type="pct"/>
            <w:tcBorders>
              <w:top w:val="nil"/>
              <w:left w:val="nil"/>
              <w:bottom w:val="single" w:sz="4" w:space="0" w:color="auto"/>
              <w:right w:val="nil"/>
            </w:tcBorders>
          </w:tcPr>
          <w:p w14:paraId="407BD209"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single" w:sz="4" w:space="0" w:color="auto"/>
              <w:right w:val="nil"/>
            </w:tcBorders>
          </w:tcPr>
          <w:p w14:paraId="69358D37" w14:textId="77777777" w:rsidR="009A7378" w:rsidRPr="00D63217" w:rsidRDefault="009A7378" w:rsidP="004808C6">
            <w:pPr>
              <w:pStyle w:val="TableText"/>
              <w:spacing w:before="0" w:after="0" w:line="240" w:lineRule="auto"/>
              <w:rPr>
                <w:i/>
                <w:iCs/>
                <w:szCs w:val="17"/>
              </w:rPr>
            </w:pPr>
          </w:p>
        </w:tc>
        <w:tc>
          <w:tcPr>
            <w:tcW w:w="1010" w:type="pct"/>
            <w:tcBorders>
              <w:top w:val="nil"/>
              <w:left w:val="nil"/>
              <w:bottom w:val="single" w:sz="4" w:space="0" w:color="auto"/>
              <w:right w:val="nil"/>
            </w:tcBorders>
          </w:tcPr>
          <w:p w14:paraId="4677710A" w14:textId="77777777" w:rsidR="009A7378" w:rsidRPr="00D63217" w:rsidRDefault="009A7378" w:rsidP="004808C6">
            <w:pPr>
              <w:pStyle w:val="TableText"/>
              <w:spacing w:before="0" w:after="0" w:line="240" w:lineRule="auto"/>
              <w:rPr>
                <w:szCs w:val="17"/>
              </w:rPr>
            </w:pPr>
            <w:r w:rsidRPr="00D63217">
              <w:rPr>
                <w:szCs w:val="17"/>
              </w:rPr>
              <w:t>NOEC 100 mg ac/kg ds</w:t>
            </w:r>
          </w:p>
        </w:tc>
        <w:tc>
          <w:tcPr>
            <w:tcW w:w="1170" w:type="pct"/>
            <w:gridSpan w:val="2"/>
            <w:tcBorders>
              <w:top w:val="nil"/>
              <w:left w:val="nil"/>
              <w:bottom w:val="single" w:sz="4" w:space="0" w:color="auto"/>
              <w:right w:val="nil"/>
            </w:tcBorders>
          </w:tcPr>
          <w:p w14:paraId="6F386259" w14:textId="77777777" w:rsidR="009A7378" w:rsidRPr="00D63217" w:rsidRDefault="009A7378" w:rsidP="004808C6">
            <w:pPr>
              <w:pStyle w:val="TableText"/>
              <w:spacing w:before="0" w:after="0" w:line="240" w:lineRule="auto"/>
              <w:rPr>
                <w:szCs w:val="17"/>
              </w:rPr>
            </w:pPr>
            <w:r w:rsidRPr="00D63217">
              <w:rPr>
                <w:szCs w:val="17"/>
              </w:rPr>
              <w:t>Hamer 1998</w:t>
            </w:r>
          </w:p>
        </w:tc>
      </w:tr>
      <w:tr w:rsidR="009A7378" w:rsidRPr="00D63217" w14:paraId="0DB7AED1" w14:textId="77777777" w:rsidTr="00B257F2">
        <w:tc>
          <w:tcPr>
            <w:tcW w:w="583" w:type="pct"/>
            <w:tcBorders>
              <w:top w:val="nil"/>
              <w:left w:val="nil"/>
              <w:bottom w:val="nil"/>
              <w:right w:val="nil"/>
            </w:tcBorders>
          </w:tcPr>
          <w:p w14:paraId="6CEA96F7" w14:textId="52217FD3" w:rsidR="009A7378" w:rsidRPr="00D63217" w:rsidRDefault="002C3D34" w:rsidP="002C3D34">
            <w:pPr>
              <w:pStyle w:val="TableText"/>
              <w:keepNext/>
              <w:keepLines/>
              <w:spacing w:before="0" w:after="0" w:line="240" w:lineRule="auto"/>
              <w:rPr>
                <w:szCs w:val="17"/>
              </w:rPr>
            </w:pPr>
            <w:r w:rsidRPr="00D63217">
              <w:rPr>
                <w:szCs w:val="17"/>
              </w:rPr>
              <w:lastRenderedPageBreak/>
              <w:t>Paraquat</w:t>
            </w:r>
          </w:p>
        </w:tc>
        <w:tc>
          <w:tcPr>
            <w:tcW w:w="627" w:type="pct"/>
            <w:tcBorders>
              <w:top w:val="nil"/>
              <w:left w:val="nil"/>
              <w:bottom w:val="nil"/>
              <w:right w:val="nil"/>
            </w:tcBorders>
          </w:tcPr>
          <w:p w14:paraId="7EAE68AE" w14:textId="77777777" w:rsidR="009A7378" w:rsidRPr="00D63217" w:rsidRDefault="009A7378" w:rsidP="002C3D34">
            <w:pPr>
              <w:pStyle w:val="TableText"/>
              <w:keepNext/>
              <w:keepLines/>
              <w:spacing w:before="0" w:after="0" w:line="240" w:lineRule="auto"/>
              <w:rPr>
                <w:szCs w:val="17"/>
              </w:rPr>
            </w:pPr>
            <w:r w:rsidRPr="00D63217">
              <w:rPr>
                <w:szCs w:val="17"/>
              </w:rPr>
              <w:t>Algae</w:t>
            </w:r>
          </w:p>
        </w:tc>
        <w:tc>
          <w:tcPr>
            <w:tcW w:w="456" w:type="pct"/>
            <w:tcBorders>
              <w:top w:val="nil"/>
              <w:left w:val="nil"/>
              <w:bottom w:val="nil"/>
              <w:right w:val="nil"/>
            </w:tcBorders>
          </w:tcPr>
          <w:p w14:paraId="03F2CB3C" w14:textId="77777777" w:rsidR="009A7378" w:rsidRPr="00D63217" w:rsidRDefault="009A7378" w:rsidP="002C3D34">
            <w:pPr>
              <w:pStyle w:val="TableText"/>
              <w:keepNext/>
              <w:keepLines/>
              <w:spacing w:before="0" w:after="0" w:line="240" w:lineRule="auto"/>
              <w:rPr>
                <w:szCs w:val="17"/>
              </w:rPr>
            </w:pPr>
            <w:r w:rsidRPr="00D63217">
              <w:rPr>
                <w:szCs w:val="17"/>
              </w:rPr>
              <w:t>Chronic</w:t>
            </w:r>
          </w:p>
        </w:tc>
        <w:tc>
          <w:tcPr>
            <w:tcW w:w="1154" w:type="pct"/>
            <w:tcBorders>
              <w:top w:val="single" w:sz="4" w:space="0" w:color="auto"/>
              <w:left w:val="nil"/>
              <w:bottom w:val="nil"/>
              <w:right w:val="nil"/>
            </w:tcBorders>
          </w:tcPr>
          <w:p w14:paraId="146B5F31" w14:textId="77777777" w:rsidR="009A7378" w:rsidRPr="00D63217" w:rsidRDefault="009A7378" w:rsidP="002C3D34">
            <w:pPr>
              <w:pStyle w:val="TableText"/>
              <w:keepNext/>
              <w:keepLines/>
              <w:spacing w:before="0" w:after="0" w:line="240" w:lineRule="auto"/>
              <w:rPr>
                <w:i/>
                <w:iCs/>
                <w:szCs w:val="17"/>
              </w:rPr>
            </w:pPr>
            <w:r w:rsidRPr="00D63217">
              <w:rPr>
                <w:i/>
                <w:iCs/>
                <w:szCs w:val="17"/>
              </w:rPr>
              <w:t>Navicula pelliculosa</w:t>
            </w:r>
          </w:p>
        </w:tc>
        <w:tc>
          <w:tcPr>
            <w:tcW w:w="1010" w:type="pct"/>
            <w:tcBorders>
              <w:top w:val="single" w:sz="4" w:space="0" w:color="auto"/>
              <w:left w:val="nil"/>
              <w:bottom w:val="nil"/>
              <w:right w:val="nil"/>
            </w:tcBorders>
          </w:tcPr>
          <w:p w14:paraId="762F9C96" w14:textId="77777777" w:rsidR="009A7378" w:rsidRPr="00D63217" w:rsidRDefault="009A7378" w:rsidP="002C3D34">
            <w:pPr>
              <w:pStyle w:val="TableText"/>
              <w:keepNext/>
              <w:keepLines/>
              <w:spacing w:before="0" w:after="0" w:line="240" w:lineRule="auto"/>
              <w:rPr>
                <w:szCs w:val="17"/>
              </w:rPr>
            </w:pPr>
            <w:r w:rsidRPr="00D63217">
              <w:rPr>
                <w:szCs w:val="17"/>
              </w:rPr>
              <w:t>E</w:t>
            </w:r>
            <w:r w:rsidRPr="00D63217">
              <w:rPr>
                <w:szCs w:val="17"/>
                <w:vertAlign w:val="subscript"/>
              </w:rPr>
              <w:t>r</w:t>
            </w:r>
            <w:r w:rsidRPr="00D63217">
              <w:rPr>
                <w:szCs w:val="17"/>
              </w:rPr>
              <w:t>C</w:t>
            </w:r>
            <w:r w:rsidRPr="00D63217">
              <w:rPr>
                <w:szCs w:val="17"/>
                <w:vertAlign w:val="subscript"/>
              </w:rPr>
              <w:t>50</w:t>
            </w:r>
            <w:r w:rsidRPr="00D63217">
              <w:rPr>
                <w:szCs w:val="17"/>
              </w:rPr>
              <w:t xml:space="preserve"> 0.00034 mg ac/L</w:t>
            </w:r>
          </w:p>
        </w:tc>
        <w:tc>
          <w:tcPr>
            <w:tcW w:w="1170" w:type="pct"/>
            <w:gridSpan w:val="2"/>
            <w:tcBorders>
              <w:top w:val="single" w:sz="4" w:space="0" w:color="auto"/>
              <w:left w:val="nil"/>
              <w:bottom w:val="nil"/>
              <w:right w:val="nil"/>
            </w:tcBorders>
          </w:tcPr>
          <w:p w14:paraId="1B9712C4" w14:textId="148CE288" w:rsidR="009A7378" w:rsidRPr="00D63217" w:rsidRDefault="009A7378" w:rsidP="002C3D34">
            <w:pPr>
              <w:pStyle w:val="TableText"/>
              <w:keepNext/>
              <w:keepLines/>
              <w:spacing w:before="0" w:after="0" w:line="240" w:lineRule="auto"/>
              <w:rPr>
                <w:szCs w:val="17"/>
              </w:rPr>
            </w:pPr>
            <w:r w:rsidRPr="00D63217">
              <w:rPr>
                <w:szCs w:val="17"/>
              </w:rPr>
              <w:t>Smyth et</w:t>
            </w:r>
            <w:r w:rsidR="00143F5A" w:rsidRPr="00D63217">
              <w:rPr>
                <w:szCs w:val="17"/>
              </w:rPr>
              <w:t xml:space="preserve"> al,</w:t>
            </w:r>
            <w:r w:rsidRPr="00D63217">
              <w:rPr>
                <w:szCs w:val="17"/>
              </w:rPr>
              <w:t xml:space="preserve"> 1992</w:t>
            </w:r>
            <w:r w:rsidR="00C0077E" w:rsidRPr="00D63217">
              <w:rPr>
                <w:szCs w:val="17"/>
              </w:rPr>
              <w:t>(</w:t>
            </w:r>
            <w:r w:rsidRPr="00D63217">
              <w:rPr>
                <w:szCs w:val="17"/>
              </w:rPr>
              <w:t>b</w:t>
            </w:r>
            <w:r w:rsidR="00C0077E" w:rsidRPr="00D63217">
              <w:rPr>
                <w:szCs w:val="17"/>
              </w:rPr>
              <w:t>)</w:t>
            </w:r>
          </w:p>
        </w:tc>
      </w:tr>
      <w:tr w:rsidR="009A7378" w:rsidRPr="00D63217" w14:paraId="3B719AF6" w14:textId="77777777" w:rsidTr="00B257F2">
        <w:tc>
          <w:tcPr>
            <w:tcW w:w="583" w:type="pct"/>
            <w:tcBorders>
              <w:top w:val="nil"/>
              <w:left w:val="nil"/>
              <w:bottom w:val="nil"/>
              <w:right w:val="nil"/>
            </w:tcBorders>
          </w:tcPr>
          <w:p w14:paraId="5ABA3196"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340D2108"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76B90C11" w14:textId="77777777" w:rsidR="009A7378" w:rsidRPr="00D63217" w:rsidRDefault="009A7378" w:rsidP="002C3D34">
            <w:pPr>
              <w:pStyle w:val="TableText"/>
              <w:keepNext/>
              <w:keepLines/>
              <w:spacing w:before="0" w:after="0" w:line="240" w:lineRule="auto"/>
              <w:rPr>
                <w:szCs w:val="17"/>
              </w:rPr>
            </w:pPr>
          </w:p>
        </w:tc>
        <w:tc>
          <w:tcPr>
            <w:tcW w:w="1154" w:type="pct"/>
            <w:tcBorders>
              <w:top w:val="nil"/>
              <w:left w:val="nil"/>
              <w:bottom w:val="single" w:sz="4" w:space="0" w:color="auto"/>
              <w:right w:val="nil"/>
            </w:tcBorders>
          </w:tcPr>
          <w:p w14:paraId="3410D20D" w14:textId="77777777" w:rsidR="009A7378" w:rsidRPr="00D63217" w:rsidRDefault="009A7378" w:rsidP="002C3D34">
            <w:pPr>
              <w:pStyle w:val="TableText"/>
              <w:keepNext/>
              <w:keepLines/>
              <w:spacing w:before="0" w:after="0" w:line="240" w:lineRule="auto"/>
              <w:rPr>
                <w:i/>
                <w:iCs/>
                <w:szCs w:val="17"/>
              </w:rPr>
            </w:pPr>
            <w:r w:rsidRPr="00D63217">
              <w:rPr>
                <w:i/>
                <w:iCs/>
                <w:szCs w:val="17"/>
              </w:rPr>
              <w:t>Anabaena flos-aquae</w:t>
            </w:r>
          </w:p>
        </w:tc>
        <w:tc>
          <w:tcPr>
            <w:tcW w:w="1010" w:type="pct"/>
            <w:tcBorders>
              <w:top w:val="nil"/>
              <w:left w:val="nil"/>
              <w:bottom w:val="single" w:sz="4" w:space="0" w:color="auto"/>
              <w:right w:val="nil"/>
            </w:tcBorders>
          </w:tcPr>
          <w:p w14:paraId="04570987" w14:textId="77777777" w:rsidR="009A7378" w:rsidRPr="00D63217" w:rsidRDefault="009A7378" w:rsidP="002C3D34">
            <w:pPr>
              <w:pStyle w:val="TableText"/>
              <w:keepNext/>
              <w:keepLines/>
              <w:spacing w:before="0" w:after="0" w:line="240" w:lineRule="auto"/>
              <w:rPr>
                <w:szCs w:val="17"/>
              </w:rPr>
            </w:pPr>
            <w:r w:rsidRPr="00D63217">
              <w:rPr>
                <w:szCs w:val="17"/>
              </w:rPr>
              <w:t>EC</w:t>
            </w:r>
            <w:r w:rsidRPr="00D63217">
              <w:rPr>
                <w:szCs w:val="17"/>
                <w:vertAlign w:val="subscript"/>
              </w:rPr>
              <w:t>50</w:t>
            </w:r>
            <w:r w:rsidRPr="00D63217">
              <w:rPr>
                <w:szCs w:val="17"/>
              </w:rPr>
              <w:t xml:space="preserve"> 0.0078 mg ac/L</w:t>
            </w:r>
          </w:p>
        </w:tc>
        <w:tc>
          <w:tcPr>
            <w:tcW w:w="1170" w:type="pct"/>
            <w:gridSpan w:val="2"/>
            <w:tcBorders>
              <w:top w:val="nil"/>
              <w:left w:val="nil"/>
              <w:bottom w:val="single" w:sz="4" w:space="0" w:color="auto"/>
              <w:right w:val="nil"/>
            </w:tcBorders>
          </w:tcPr>
          <w:p w14:paraId="1A153A7D" w14:textId="37F68C6B" w:rsidR="009A7378" w:rsidRPr="00D63217" w:rsidRDefault="009A7378" w:rsidP="002C3D34">
            <w:pPr>
              <w:pStyle w:val="TableText"/>
              <w:keepNext/>
              <w:keepLines/>
              <w:spacing w:before="0" w:after="0" w:line="240" w:lineRule="auto"/>
              <w:rPr>
                <w:szCs w:val="17"/>
              </w:rPr>
            </w:pPr>
            <w:r w:rsidRPr="00D63217">
              <w:rPr>
                <w:szCs w:val="17"/>
              </w:rPr>
              <w:t>Smyth et</w:t>
            </w:r>
            <w:r w:rsidR="00143F5A" w:rsidRPr="00D63217">
              <w:rPr>
                <w:szCs w:val="17"/>
              </w:rPr>
              <w:t xml:space="preserve"> al,</w:t>
            </w:r>
            <w:r w:rsidRPr="00D63217">
              <w:rPr>
                <w:szCs w:val="17"/>
              </w:rPr>
              <w:t xml:space="preserve"> 1992</w:t>
            </w:r>
            <w:r w:rsidR="00143F5A" w:rsidRPr="00D63217">
              <w:rPr>
                <w:szCs w:val="17"/>
              </w:rPr>
              <w:t>(</w:t>
            </w:r>
            <w:r w:rsidRPr="00D63217">
              <w:rPr>
                <w:szCs w:val="17"/>
              </w:rPr>
              <w:t>c</w:t>
            </w:r>
            <w:r w:rsidR="00143F5A" w:rsidRPr="00D63217">
              <w:rPr>
                <w:szCs w:val="17"/>
              </w:rPr>
              <w:t>)</w:t>
            </w:r>
          </w:p>
        </w:tc>
      </w:tr>
      <w:tr w:rsidR="009A7378" w:rsidRPr="00D63217" w14:paraId="3E5FFDE4" w14:textId="77777777" w:rsidTr="00B257F2">
        <w:tc>
          <w:tcPr>
            <w:tcW w:w="583" w:type="pct"/>
            <w:tcBorders>
              <w:top w:val="nil"/>
              <w:left w:val="nil"/>
              <w:bottom w:val="nil"/>
              <w:right w:val="nil"/>
            </w:tcBorders>
          </w:tcPr>
          <w:p w14:paraId="7F5FBCD4"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16DC00F6"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111D9F3B" w14:textId="77777777" w:rsidR="009A7378" w:rsidRPr="00D63217" w:rsidRDefault="009A7378" w:rsidP="002C3D34">
            <w:pPr>
              <w:pStyle w:val="TableText"/>
              <w:keepNext/>
              <w:keepLines/>
              <w:spacing w:before="0" w:after="0" w:line="240" w:lineRule="auto"/>
              <w:rPr>
                <w:szCs w:val="17"/>
              </w:rPr>
            </w:pPr>
          </w:p>
        </w:tc>
        <w:tc>
          <w:tcPr>
            <w:tcW w:w="1154" w:type="pct"/>
            <w:tcBorders>
              <w:top w:val="single" w:sz="4" w:space="0" w:color="auto"/>
              <w:left w:val="nil"/>
              <w:bottom w:val="nil"/>
              <w:right w:val="nil"/>
            </w:tcBorders>
          </w:tcPr>
          <w:p w14:paraId="38726750" w14:textId="078FF87D" w:rsidR="009A7378" w:rsidRPr="00911502" w:rsidRDefault="00B257F2" w:rsidP="002C3D34">
            <w:pPr>
              <w:pStyle w:val="TableText"/>
              <w:keepNext/>
              <w:keepLines/>
              <w:spacing w:before="0" w:after="0" w:line="240" w:lineRule="auto"/>
              <w:rPr>
                <w:i/>
                <w:iCs/>
                <w:szCs w:val="17"/>
              </w:rPr>
            </w:pPr>
            <w:r w:rsidRPr="00911502">
              <w:rPr>
                <w:i/>
                <w:iCs/>
                <w:szCs w:val="17"/>
              </w:rPr>
              <w:t>Chlamydomonas reinhardtii</w:t>
            </w:r>
          </w:p>
        </w:tc>
        <w:tc>
          <w:tcPr>
            <w:tcW w:w="1010" w:type="pct"/>
            <w:tcBorders>
              <w:top w:val="single" w:sz="4" w:space="0" w:color="auto"/>
              <w:left w:val="nil"/>
              <w:bottom w:val="nil"/>
              <w:right w:val="nil"/>
            </w:tcBorders>
          </w:tcPr>
          <w:p w14:paraId="17F2297A" w14:textId="77777777"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0.043 mg ac/L</w:t>
            </w:r>
          </w:p>
        </w:tc>
        <w:tc>
          <w:tcPr>
            <w:tcW w:w="1170" w:type="pct"/>
            <w:gridSpan w:val="2"/>
            <w:tcBorders>
              <w:top w:val="single" w:sz="4" w:space="0" w:color="auto"/>
              <w:left w:val="nil"/>
              <w:bottom w:val="nil"/>
              <w:right w:val="nil"/>
            </w:tcBorders>
          </w:tcPr>
          <w:p w14:paraId="402DF6C0" w14:textId="77777777" w:rsidR="009A7378" w:rsidRPr="00911502" w:rsidRDefault="009A7378" w:rsidP="002C3D34">
            <w:pPr>
              <w:pStyle w:val="TableText"/>
              <w:keepNext/>
              <w:keepLines/>
              <w:spacing w:before="0" w:after="0" w:line="240" w:lineRule="auto"/>
              <w:rPr>
                <w:szCs w:val="17"/>
              </w:rPr>
            </w:pPr>
            <w:r w:rsidRPr="00911502">
              <w:rPr>
                <w:szCs w:val="17"/>
              </w:rPr>
              <w:t>Cheloni &amp; Slaveykova 2021</w:t>
            </w:r>
          </w:p>
        </w:tc>
      </w:tr>
      <w:tr w:rsidR="009A7378" w:rsidRPr="00D63217" w14:paraId="3DD6074D" w14:textId="77777777" w:rsidTr="00B257F2">
        <w:trPr>
          <w:trHeight w:val="23"/>
        </w:trPr>
        <w:tc>
          <w:tcPr>
            <w:tcW w:w="583" w:type="pct"/>
            <w:tcBorders>
              <w:top w:val="nil"/>
              <w:left w:val="nil"/>
              <w:bottom w:val="nil"/>
              <w:right w:val="nil"/>
            </w:tcBorders>
          </w:tcPr>
          <w:p w14:paraId="039BDB04"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0D2DCB00"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30D1685D" w14:textId="77777777" w:rsidR="009A7378" w:rsidRPr="00D63217" w:rsidRDefault="009A7378" w:rsidP="002C3D34">
            <w:pPr>
              <w:pStyle w:val="TableText"/>
              <w:keepNext/>
              <w:keepLines/>
              <w:spacing w:before="0" w:after="0" w:line="240" w:lineRule="auto"/>
              <w:rPr>
                <w:szCs w:val="17"/>
              </w:rPr>
            </w:pPr>
          </w:p>
        </w:tc>
        <w:tc>
          <w:tcPr>
            <w:tcW w:w="1154" w:type="pct"/>
            <w:tcBorders>
              <w:top w:val="nil"/>
              <w:left w:val="nil"/>
              <w:bottom w:val="nil"/>
              <w:right w:val="nil"/>
            </w:tcBorders>
          </w:tcPr>
          <w:p w14:paraId="6C9D7573" w14:textId="77777777" w:rsidR="009A7378" w:rsidRPr="00911502" w:rsidRDefault="009A7378" w:rsidP="002C3D34">
            <w:pPr>
              <w:pStyle w:val="TableText"/>
              <w:keepNext/>
              <w:keepLines/>
              <w:spacing w:before="0" w:after="0" w:line="240" w:lineRule="auto"/>
              <w:rPr>
                <w:i/>
                <w:iCs/>
                <w:szCs w:val="17"/>
              </w:rPr>
            </w:pPr>
          </w:p>
        </w:tc>
        <w:tc>
          <w:tcPr>
            <w:tcW w:w="1010" w:type="pct"/>
            <w:tcBorders>
              <w:top w:val="nil"/>
              <w:left w:val="nil"/>
              <w:bottom w:val="nil"/>
              <w:right w:val="nil"/>
            </w:tcBorders>
          </w:tcPr>
          <w:p w14:paraId="6FAFA96C" w14:textId="4DD99713"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w:t>
            </w:r>
            <w:r w:rsidR="00B86312" w:rsidRPr="00911502">
              <w:rPr>
                <w:szCs w:val="17"/>
              </w:rPr>
              <w:t>0.048</w:t>
            </w:r>
            <w:r w:rsidRPr="00911502">
              <w:rPr>
                <w:szCs w:val="17"/>
              </w:rPr>
              <w:t xml:space="preserve"> mg ac/L</w:t>
            </w:r>
          </w:p>
        </w:tc>
        <w:tc>
          <w:tcPr>
            <w:tcW w:w="1170" w:type="pct"/>
            <w:gridSpan w:val="2"/>
            <w:tcBorders>
              <w:top w:val="nil"/>
              <w:left w:val="nil"/>
              <w:bottom w:val="nil"/>
              <w:right w:val="nil"/>
            </w:tcBorders>
          </w:tcPr>
          <w:p w14:paraId="41037CC2" w14:textId="77777777" w:rsidR="009A7378" w:rsidRPr="00911502" w:rsidRDefault="009A7378" w:rsidP="002C3D34">
            <w:pPr>
              <w:pStyle w:val="TableText"/>
              <w:keepNext/>
              <w:keepLines/>
              <w:spacing w:before="0" w:after="0" w:line="240" w:lineRule="auto"/>
              <w:rPr>
                <w:szCs w:val="17"/>
              </w:rPr>
            </w:pPr>
            <w:r w:rsidRPr="00911502">
              <w:rPr>
                <w:szCs w:val="17"/>
              </w:rPr>
              <w:t>Jamers &amp; de Coen 2010</w:t>
            </w:r>
          </w:p>
        </w:tc>
      </w:tr>
      <w:tr w:rsidR="009A7378" w:rsidRPr="00D63217" w14:paraId="45C5370C" w14:textId="77777777" w:rsidTr="00B257F2">
        <w:trPr>
          <w:gridAfter w:val="1"/>
          <w:wAfter w:w="27" w:type="pct"/>
        </w:trPr>
        <w:tc>
          <w:tcPr>
            <w:tcW w:w="583" w:type="pct"/>
            <w:tcBorders>
              <w:top w:val="nil"/>
              <w:left w:val="nil"/>
              <w:bottom w:val="nil"/>
              <w:right w:val="nil"/>
            </w:tcBorders>
          </w:tcPr>
          <w:p w14:paraId="56E2F33B"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5B9A0B9A"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3FBC05BC" w14:textId="77777777" w:rsidR="009A7378" w:rsidRPr="00D63217" w:rsidRDefault="009A7378" w:rsidP="002C3D34">
            <w:pPr>
              <w:pStyle w:val="TableText"/>
              <w:keepNext/>
              <w:keepLines/>
              <w:spacing w:before="0" w:after="0" w:line="240" w:lineRule="auto"/>
              <w:rPr>
                <w:szCs w:val="17"/>
              </w:rPr>
            </w:pPr>
          </w:p>
        </w:tc>
        <w:tc>
          <w:tcPr>
            <w:tcW w:w="2164" w:type="pct"/>
            <w:gridSpan w:val="2"/>
            <w:tcBorders>
              <w:top w:val="nil"/>
              <w:left w:val="nil"/>
              <w:bottom w:val="single" w:sz="4" w:space="0" w:color="auto"/>
              <w:right w:val="nil"/>
            </w:tcBorders>
          </w:tcPr>
          <w:p w14:paraId="2B34E1A1" w14:textId="2F859C5B" w:rsidR="009A7378" w:rsidRPr="00911502" w:rsidRDefault="009A7378" w:rsidP="002C3D34">
            <w:pPr>
              <w:pStyle w:val="TableText"/>
              <w:keepNext/>
              <w:keepLines/>
              <w:spacing w:before="0" w:after="0" w:line="240" w:lineRule="auto"/>
              <w:rPr>
                <w:szCs w:val="17"/>
              </w:rPr>
            </w:pPr>
            <w:r w:rsidRPr="00911502">
              <w:rPr>
                <w:szCs w:val="17"/>
              </w:rPr>
              <w:t>Geomean E</w:t>
            </w:r>
            <w:r w:rsidRPr="00911502">
              <w:rPr>
                <w:szCs w:val="17"/>
                <w:vertAlign w:val="subscript"/>
              </w:rPr>
              <w:t>r</w:t>
            </w:r>
            <w:r w:rsidRPr="00911502">
              <w:rPr>
                <w:szCs w:val="17"/>
              </w:rPr>
              <w:t>C</w:t>
            </w:r>
            <w:r w:rsidRPr="00911502">
              <w:rPr>
                <w:szCs w:val="17"/>
                <w:vertAlign w:val="subscript"/>
              </w:rPr>
              <w:t>50</w:t>
            </w:r>
            <w:r w:rsidRPr="00911502">
              <w:rPr>
                <w:szCs w:val="17"/>
              </w:rPr>
              <w:t xml:space="preserve"> </w:t>
            </w:r>
            <w:r w:rsidR="00B86312" w:rsidRPr="00911502">
              <w:rPr>
                <w:szCs w:val="17"/>
              </w:rPr>
              <w:t>0.045</w:t>
            </w:r>
            <w:r w:rsidRPr="00911502">
              <w:rPr>
                <w:szCs w:val="17"/>
              </w:rPr>
              <w:t xml:space="preserve"> mg ac/L</w:t>
            </w:r>
          </w:p>
        </w:tc>
        <w:tc>
          <w:tcPr>
            <w:tcW w:w="1143" w:type="pct"/>
            <w:tcBorders>
              <w:top w:val="nil"/>
              <w:left w:val="nil"/>
              <w:bottom w:val="single" w:sz="4" w:space="0" w:color="auto"/>
              <w:right w:val="nil"/>
            </w:tcBorders>
          </w:tcPr>
          <w:p w14:paraId="26C09948" w14:textId="77777777" w:rsidR="009A7378" w:rsidRPr="00911502" w:rsidRDefault="009A7378" w:rsidP="002C3D34">
            <w:pPr>
              <w:pStyle w:val="TableText"/>
              <w:keepNext/>
              <w:keepLines/>
              <w:spacing w:before="0" w:after="0" w:line="240" w:lineRule="auto"/>
              <w:rPr>
                <w:szCs w:val="17"/>
              </w:rPr>
            </w:pPr>
          </w:p>
        </w:tc>
      </w:tr>
      <w:tr w:rsidR="009A7378" w:rsidRPr="00D63217" w14:paraId="269CFB66" w14:textId="77777777" w:rsidTr="00B257F2">
        <w:trPr>
          <w:cantSplit/>
        </w:trPr>
        <w:tc>
          <w:tcPr>
            <w:tcW w:w="583" w:type="pct"/>
            <w:tcBorders>
              <w:top w:val="nil"/>
              <w:left w:val="nil"/>
              <w:bottom w:val="nil"/>
              <w:right w:val="nil"/>
            </w:tcBorders>
          </w:tcPr>
          <w:p w14:paraId="39DDA3AC" w14:textId="2BDDD6B4"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06DCCEEF" w14:textId="1772D83A"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5FFB6B4F" w14:textId="77777777" w:rsidR="009A7378" w:rsidRPr="00D63217" w:rsidRDefault="009A7378" w:rsidP="002C3D34">
            <w:pPr>
              <w:pStyle w:val="TableText"/>
              <w:keepNext/>
              <w:keepLines/>
              <w:spacing w:before="0" w:after="0" w:line="240" w:lineRule="auto"/>
              <w:rPr>
                <w:szCs w:val="17"/>
              </w:rPr>
            </w:pPr>
            <w:r w:rsidRPr="00D63217">
              <w:rPr>
                <w:szCs w:val="17"/>
              </w:rPr>
              <w:t>Chronic</w:t>
            </w:r>
          </w:p>
        </w:tc>
        <w:tc>
          <w:tcPr>
            <w:tcW w:w="1154" w:type="pct"/>
            <w:tcBorders>
              <w:top w:val="single" w:sz="4" w:space="0" w:color="auto"/>
              <w:left w:val="nil"/>
              <w:bottom w:val="nil"/>
              <w:right w:val="nil"/>
            </w:tcBorders>
          </w:tcPr>
          <w:p w14:paraId="4B50904A" w14:textId="77777777" w:rsidR="009A7378" w:rsidRPr="00911502" w:rsidRDefault="009A7378" w:rsidP="002C3D34">
            <w:pPr>
              <w:pStyle w:val="TableText"/>
              <w:keepNext/>
              <w:keepLines/>
              <w:spacing w:before="0" w:after="0" w:line="240" w:lineRule="auto"/>
              <w:rPr>
                <w:i/>
                <w:iCs/>
                <w:szCs w:val="17"/>
              </w:rPr>
            </w:pPr>
            <w:r w:rsidRPr="00911502">
              <w:rPr>
                <w:i/>
                <w:iCs/>
                <w:szCs w:val="17"/>
              </w:rPr>
              <w:t>Raphidocelis subcapitata</w:t>
            </w:r>
          </w:p>
        </w:tc>
        <w:tc>
          <w:tcPr>
            <w:tcW w:w="1010" w:type="pct"/>
            <w:tcBorders>
              <w:top w:val="single" w:sz="4" w:space="0" w:color="auto"/>
              <w:left w:val="nil"/>
              <w:bottom w:val="nil"/>
              <w:right w:val="nil"/>
            </w:tcBorders>
          </w:tcPr>
          <w:p w14:paraId="6CBC3182" w14:textId="2E6F4798"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0.20 mg ac/L</w:t>
            </w:r>
          </w:p>
        </w:tc>
        <w:tc>
          <w:tcPr>
            <w:tcW w:w="1170" w:type="pct"/>
            <w:gridSpan w:val="2"/>
            <w:tcBorders>
              <w:top w:val="single" w:sz="4" w:space="0" w:color="auto"/>
              <w:left w:val="nil"/>
              <w:bottom w:val="nil"/>
              <w:right w:val="nil"/>
            </w:tcBorders>
          </w:tcPr>
          <w:p w14:paraId="0AC44523" w14:textId="77777777" w:rsidR="009A7378" w:rsidRPr="00911502" w:rsidRDefault="009A7378" w:rsidP="002C3D34">
            <w:pPr>
              <w:pStyle w:val="TableText"/>
              <w:keepNext/>
              <w:keepLines/>
              <w:spacing w:before="0" w:after="0" w:line="240" w:lineRule="auto"/>
              <w:rPr>
                <w:szCs w:val="17"/>
              </w:rPr>
            </w:pPr>
            <w:r w:rsidRPr="00911502">
              <w:rPr>
                <w:szCs w:val="17"/>
              </w:rPr>
              <w:t>Smyth et al 1990a</w:t>
            </w:r>
          </w:p>
        </w:tc>
      </w:tr>
      <w:tr w:rsidR="009A7378" w:rsidRPr="00D63217" w14:paraId="729026CA" w14:textId="77777777" w:rsidTr="00B257F2">
        <w:trPr>
          <w:cantSplit/>
        </w:trPr>
        <w:tc>
          <w:tcPr>
            <w:tcW w:w="583" w:type="pct"/>
            <w:tcBorders>
              <w:top w:val="nil"/>
              <w:left w:val="nil"/>
              <w:bottom w:val="nil"/>
              <w:right w:val="nil"/>
            </w:tcBorders>
          </w:tcPr>
          <w:p w14:paraId="6F654DEC"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1C6B36B8"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581EFE8B" w14:textId="77777777" w:rsidR="009A7378" w:rsidRPr="00D63217" w:rsidRDefault="009A7378" w:rsidP="002C3D34">
            <w:pPr>
              <w:pStyle w:val="TableText"/>
              <w:keepNext/>
              <w:keepLines/>
              <w:spacing w:before="0" w:after="0" w:line="240" w:lineRule="auto"/>
              <w:rPr>
                <w:szCs w:val="17"/>
              </w:rPr>
            </w:pPr>
          </w:p>
        </w:tc>
        <w:tc>
          <w:tcPr>
            <w:tcW w:w="1154" w:type="pct"/>
            <w:tcBorders>
              <w:top w:val="nil"/>
              <w:left w:val="nil"/>
              <w:bottom w:val="nil"/>
              <w:right w:val="nil"/>
            </w:tcBorders>
          </w:tcPr>
          <w:p w14:paraId="38180233" w14:textId="77777777" w:rsidR="009A7378" w:rsidRPr="00911502" w:rsidRDefault="009A7378" w:rsidP="002C3D34">
            <w:pPr>
              <w:pStyle w:val="TableText"/>
              <w:keepNext/>
              <w:keepLines/>
              <w:spacing w:before="0" w:after="0" w:line="240" w:lineRule="auto"/>
              <w:rPr>
                <w:i/>
                <w:iCs/>
                <w:szCs w:val="17"/>
              </w:rPr>
            </w:pPr>
          </w:p>
        </w:tc>
        <w:tc>
          <w:tcPr>
            <w:tcW w:w="1010" w:type="pct"/>
            <w:tcBorders>
              <w:top w:val="nil"/>
              <w:left w:val="nil"/>
              <w:bottom w:val="nil"/>
              <w:right w:val="nil"/>
            </w:tcBorders>
          </w:tcPr>
          <w:p w14:paraId="0C1920FE" w14:textId="77777777"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0.23 mg ac/L</w:t>
            </w:r>
          </w:p>
        </w:tc>
        <w:tc>
          <w:tcPr>
            <w:tcW w:w="1170" w:type="pct"/>
            <w:gridSpan w:val="2"/>
            <w:tcBorders>
              <w:top w:val="nil"/>
              <w:left w:val="nil"/>
              <w:bottom w:val="nil"/>
              <w:right w:val="nil"/>
            </w:tcBorders>
          </w:tcPr>
          <w:p w14:paraId="3B13682C" w14:textId="7BDB2AFB" w:rsidR="009A7378" w:rsidRPr="00911502" w:rsidRDefault="009A7378" w:rsidP="002C3D34">
            <w:pPr>
              <w:pStyle w:val="TableText"/>
              <w:keepNext/>
              <w:keepLines/>
              <w:spacing w:before="0" w:after="0" w:line="240" w:lineRule="auto"/>
              <w:rPr>
                <w:szCs w:val="17"/>
              </w:rPr>
            </w:pPr>
            <w:r w:rsidRPr="00911502">
              <w:rPr>
                <w:szCs w:val="17"/>
              </w:rPr>
              <w:t>Smyth et</w:t>
            </w:r>
            <w:r w:rsidR="00143F5A" w:rsidRPr="00911502">
              <w:rPr>
                <w:szCs w:val="17"/>
              </w:rPr>
              <w:t xml:space="preserve"> al,</w:t>
            </w:r>
            <w:r w:rsidRPr="00911502">
              <w:rPr>
                <w:szCs w:val="17"/>
              </w:rPr>
              <w:t xml:space="preserve"> 1992</w:t>
            </w:r>
            <w:r w:rsidR="00143F5A" w:rsidRPr="00911502">
              <w:rPr>
                <w:szCs w:val="17"/>
              </w:rPr>
              <w:t>(</w:t>
            </w:r>
            <w:r w:rsidRPr="00911502">
              <w:rPr>
                <w:szCs w:val="17"/>
              </w:rPr>
              <w:t>a</w:t>
            </w:r>
            <w:r w:rsidR="00143F5A" w:rsidRPr="00911502">
              <w:rPr>
                <w:szCs w:val="17"/>
              </w:rPr>
              <w:t>)</w:t>
            </w:r>
          </w:p>
        </w:tc>
      </w:tr>
      <w:tr w:rsidR="009A7378" w:rsidRPr="00D63217" w14:paraId="7C8F763E" w14:textId="77777777" w:rsidTr="00B257F2">
        <w:trPr>
          <w:cantSplit/>
        </w:trPr>
        <w:tc>
          <w:tcPr>
            <w:tcW w:w="583" w:type="pct"/>
            <w:tcBorders>
              <w:top w:val="nil"/>
              <w:left w:val="nil"/>
              <w:bottom w:val="nil"/>
              <w:right w:val="nil"/>
            </w:tcBorders>
          </w:tcPr>
          <w:p w14:paraId="1F2D062D"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1D52AA51"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075CA139" w14:textId="77777777" w:rsidR="009A7378" w:rsidRPr="00D63217" w:rsidRDefault="009A7378" w:rsidP="002C3D34">
            <w:pPr>
              <w:pStyle w:val="TableText"/>
              <w:keepNext/>
              <w:keepLines/>
              <w:spacing w:before="0" w:after="0" w:line="240" w:lineRule="auto"/>
              <w:rPr>
                <w:szCs w:val="17"/>
              </w:rPr>
            </w:pPr>
          </w:p>
        </w:tc>
        <w:tc>
          <w:tcPr>
            <w:tcW w:w="1154" w:type="pct"/>
            <w:tcBorders>
              <w:top w:val="nil"/>
              <w:left w:val="nil"/>
              <w:bottom w:val="nil"/>
              <w:right w:val="nil"/>
            </w:tcBorders>
          </w:tcPr>
          <w:p w14:paraId="07A1B93D" w14:textId="77777777" w:rsidR="009A7378" w:rsidRPr="00911502" w:rsidRDefault="009A7378" w:rsidP="002C3D34">
            <w:pPr>
              <w:pStyle w:val="TableText"/>
              <w:keepNext/>
              <w:keepLines/>
              <w:spacing w:before="0" w:after="0" w:line="240" w:lineRule="auto"/>
              <w:rPr>
                <w:i/>
                <w:iCs/>
                <w:szCs w:val="17"/>
              </w:rPr>
            </w:pPr>
          </w:p>
        </w:tc>
        <w:tc>
          <w:tcPr>
            <w:tcW w:w="1010" w:type="pct"/>
            <w:tcBorders>
              <w:top w:val="nil"/>
              <w:left w:val="nil"/>
              <w:bottom w:val="nil"/>
              <w:right w:val="nil"/>
            </w:tcBorders>
          </w:tcPr>
          <w:p w14:paraId="624C0F1B" w14:textId="77777777"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0.20 mg ac/L</w:t>
            </w:r>
          </w:p>
        </w:tc>
        <w:tc>
          <w:tcPr>
            <w:tcW w:w="1170" w:type="pct"/>
            <w:gridSpan w:val="2"/>
            <w:tcBorders>
              <w:top w:val="nil"/>
              <w:left w:val="nil"/>
              <w:bottom w:val="nil"/>
              <w:right w:val="nil"/>
            </w:tcBorders>
          </w:tcPr>
          <w:p w14:paraId="1AEC769F" w14:textId="630DAD8C" w:rsidR="009A7378" w:rsidRPr="00911502" w:rsidRDefault="009A7378" w:rsidP="002C3D34">
            <w:pPr>
              <w:pStyle w:val="TableText"/>
              <w:keepNext/>
              <w:keepLines/>
              <w:spacing w:before="0" w:after="0" w:line="240" w:lineRule="auto"/>
              <w:rPr>
                <w:szCs w:val="17"/>
              </w:rPr>
            </w:pPr>
            <w:r w:rsidRPr="00911502">
              <w:rPr>
                <w:szCs w:val="17"/>
              </w:rPr>
              <w:t>Scheerbaum 2007</w:t>
            </w:r>
            <w:r w:rsidR="00143F5A" w:rsidRPr="00911502">
              <w:rPr>
                <w:szCs w:val="17"/>
              </w:rPr>
              <w:t>(</w:t>
            </w:r>
            <w:r w:rsidRPr="00911502">
              <w:rPr>
                <w:szCs w:val="17"/>
              </w:rPr>
              <w:t>b</w:t>
            </w:r>
            <w:r w:rsidR="00143F5A" w:rsidRPr="00911502">
              <w:rPr>
                <w:szCs w:val="17"/>
              </w:rPr>
              <w:t>)</w:t>
            </w:r>
          </w:p>
        </w:tc>
      </w:tr>
      <w:tr w:rsidR="009A7378" w:rsidRPr="00D63217" w14:paraId="0DDAD1D7" w14:textId="77777777" w:rsidTr="00B257F2">
        <w:trPr>
          <w:cantSplit/>
        </w:trPr>
        <w:tc>
          <w:tcPr>
            <w:tcW w:w="583" w:type="pct"/>
            <w:tcBorders>
              <w:top w:val="nil"/>
              <w:left w:val="nil"/>
              <w:bottom w:val="nil"/>
              <w:right w:val="nil"/>
            </w:tcBorders>
          </w:tcPr>
          <w:p w14:paraId="670EA890"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38658596"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29C2AD33" w14:textId="77777777" w:rsidR="009A7378" w:rsidRPr="00D63217" w:rsidRDefault="009A7378" w:rsidP="002C3D34">
            <w:pPr>
              <w:pStyle w:val="TableText"/>
              <w:keepNext/>
              <w:keepLines/>
              <w:spacing w:before="0" w:after="0" w:line="240" w:lineRule="auto"/>
              <w:rPr>
                <w:szCs w:val="17"/>
              </w:rPr>
            </w:pPr>
          </w:p>
        </w:tc>
        <w:tc>
          <w:tcPr>
            <w:tcW w:w="1154" w:type="pct"/>
            <w:tcBorders>
              <w:top w:val="nil"/>
              <w:left w:val="nil"/>
              <w:bottom w:val="nil"/>
              <w:right w:val="nil"/>
            </w:tcBorders>
          </w:tcPr>
          <w:p w14:paraId="2C7B51F9" w14:textId="77777777" w:rsidR="009A7378" w:rsidRPr="00911502" w:rsidRDefault="009A7378" w:rsidP="002C3D34">
            <w:pPr>
              <w:pStyle w:val="TableText"/>
              <w:keepNext/>
              <w:keepLines/>
              <w:spacing w:before="0" w:after="0" w:line="240" w:lineRule="auto"/>
              <w:rPr>
                <w:i/>
                <w:iCs/>
                <w:szCs w:val="17"/>
              </w:rPr>
            </w:pPr>
          </w:p>
        </w:tc>
        <w:tc>
          <w:tcPr>
            <w:tcW w:w="1010" w:type="pct"/>
            <w:tcBorders>
              <w:top w:val="nil"/>
              <w:left w:val="nil"/>
              <w:bottom w:val="nil"/>
              <w:right w:val="nil"/>
            </w:tcBorders>
          </w:tcPr>
          <w:p w14:paraId="12048C23" w14:textId="77777777"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0.26 mg ac/L </w:t>
            </w:r>
          </w:p>
        </w:tc>
        <w:tc>
          <w:tcPr>
            <w:tcW w:w="1170" w:type="pct"/>
            <w:gridSpan w:val="2"/>
            <w:tcBorders>
              <w:top w:val="nil"/>
              <w:left w:val="nil"/>
              <w:bottom w:val="nil"/>
              <w:right w:val="nil"/>
            </w:tcBorders>
          </w:tcPr>
          <w:p w14:paraId="5380C38D" w14:textId="0B98AC6E" w:rsidR="009A7378" w:rsidRPr="00911502" w:rsidRDefault="009A7378" w:rsidP="002C3D34">
            <w:pPr>
              <w:pStyle w:val="TableText"/>
              <w:keepNext/>
              <w:keepLines/>
              <w:spacing w:before="0" w:after="0" w:line="240" w:lineRule="auto"/>
              <w:rPr>
                <w:szCs w:val="17"/>
              </w:rPr>
            </w:pPr>
            <w:r w:rsidRPr="00911502">
              <w:rPr>
                <w:szCs w:val="17"/>
              </w:rPr>
              <w:t>Smyth et</w:t>
            </w:r>
            <w:r w:rsidR="00143F5A" w:rsidRPr="00911502">
              <w:rPr>
                <w:szCs w:val="17"/>
              </w:rPr>
              <w:t xml:space="preserve"> al,</w:t>
            </w:r>
            <w:r w:rsidRPr="00911502">
              <w:rPr>
                <w:szCs w:val="17"/>
              </w:rPr>
              <w:t xml:space="preserve"> 1990</w:t>
            </w:r>
            <w:r w:rsidR="00143F5A" w:rsidRPr="00911502">
              <w:rPr>
                <w:szCs w:val="17"/>
              </w:rPr>
              <w:t>(</w:t>
            </w:r>
            <w:r w:rsidRPr="00911502">
              <w:rPr>
                <w:szCs w:val="17"/>
              </w:rPr>
              <w:t>b</w:t>
            </w:r>
            <w:r w:rsidR="00143F5A" w:rsidRPr="00911502">
              <w:rPr>
                <w:szCs w:val="17"/>
              </w:rPr>
              <w:t>)</w:t>
            </w:r>
          </w:p>
        </w:tc>
      </w:tr>
      <w:tr w:rsidR="009A7378" w:rsidRPr="00D63217" w14:paraId="4562C3A4" w14:textId="77777777" w:rsidTr="00B257F2">
        <w:trPr>
          <w:gridAfter w:val="1"/>
          <w:wAfter w:w="27" w:type="pct"/>
          <w:cantSplit/>
        </w:trPr>
        <w:tc>
          <w:tcPr>
            <w:tcW w:w="583" w:type="pct"/>
            <w:tcBorders>
              <w:top w:val="nil"/>
              <w:left w:val="nil"/>
              <w:bottom w:val="nil"/>
              <w:right w:val="nil"/>
            </w:tcBorders>
          </w:tcPr>
          <w:p w14:paraId="1EB0E1E0"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02D60DC5"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68DAE54D" w14:textId="77777777" w:rsidR="009A7378" w:rsidRPr="00D63217" w:rsidRDefault="009A7378" w:rsidP="002C3D34">
            <w:pPr>
              <w:pStyle w:val="TableText"/>
              <w:keepNext/>
              <w:keepLines/>
              <w:spacing w:before="0" w:after="0" w:line="240" w:lineRule="auto"/>
              <w:rPr>
                <w:szCs w:val="17"/>
              </w:rPr>
            </w:pPr>
          </w:p>
        </w:tc>
        <w:tc>
          <w:tcPr>
            <w:tcW w:w="2164" w:type="pct"/>
            <w:gridSpan w:val="2"/>
            <w:tcBorders>
              <w:top w:val="nil"/>
              <w:left w:val="nil"/>
              <w:bottom w:val="nil"/>
              <w:right w:val="nil"/>
            </w:tcBorders>
          </w:tcPr>
          <w:p w14:paraId="309BB7A8" w14:textId="33CC0A7A" w:rsidR="009A7378" w:rsidRPr="00911502" w:rsidRDefault="009A7378" w:rsidP="002C3D34">
            <w:pPr>
              <w:pStyle w:val="TableText"/>
              <w:keepNext/>
              <w:keepLines/>
              <w:spacing w:before="0" w:after="0" w:line="240" w:lineRule="auto"/>
              <w:rPr>
                <w:szCs w:val="17"/>
              </w:rPr>
            </w:pPr>
            <w:r w:rsidRPr="00911502">
              <w:rPr>
                <w:szCs w:val="17"/>
              </w:rPr>
              <w:t>Geomean E</w:t>
            </w:r>
            <w:r w:rsidRPr="00911502">
              <w:rPr>
                <w:szCs w:val="17"/>
                <w:vertAlign w:val="subscript"/>
              </w:rPr>
              <w:t>r</w:t>
            </w:r>
            <w:r w:rsidRPr="00911502">
              <w:rPr>
                <w:szCs w:val="17"/>
              </w:rPr>
              <w:t>C</w:t>
            </w:r>
            <w:r w:rsidRPr="00911502">
              <w:rPr>
                <w:szCs w:val="17"/>
                <w:vertAlign w:val="subscript"/>
              </w:rPr>
              <w:t>50</w:t>
            </w:r>
            <w:r w:rsidRPr="00911502">
              <w:rPr>
                <w:szCs w:val="17"/>
              </w:rPr>
              <w:t xml:space="preserve"> </w:t>
            </w:r>
            <w:r w:rsidR="00B86312" w:rsidRPr="00911502">
              <w:rPr>
                <w:szCs w:val="17"/>
              </w:rPr>
              <w:t>0.22</w:t>
            </w:r>
            <w:r w:rsidRPr="00911502">
              <w:rPr>
                <w:szCs w:val="17"/>
              </w:rPr>
              <w:t xml:space="preserve"> mg ac/L</w:t>
            </w:r>
          </w:p>
        </w:tc>
        <w:tc>
          <w:tcPr>
            <w:tcW w:w="1143" w:type="pct"/>
            <w:tcBorders>
              <w:top w:val="nil"/>
              <w:left w:val="nil"/>
              <w:bottom w:val="nil"/>
              <w:right w:val="nil"/>
            </w:tcBorders>
          </w:tcPr>
          <w:p w14:paraId="60E17C19" w14:textId="77777777" w:rsidR="009A7378" w:rsidRPr="00911502" w:rsidRDefault="009A7378" w:rsidP="002C3D34">
            <w:pPr>
              <w:pStyle w:val="TableText"/>
              <w:keepNext/>
              <w:keepLines/>
              <w:spacing w:before="0" w:after="0" w:line="240" w:lineRule="auto"/>
              <w:rPr>
                <w:szCs w:val="17"/>
              </w:rPr>
            </w:pPr>
          </w:p>
        </w:tc>
      </w:tr>
      <w:tr w:rsidR="009A7378" w:rsidRPr="00D63217" w14:paraId="7BA8529A" w14:textId="77777777" w:rsidTr="00B257F2">
        <w:tc>
          <w:tcPr>
            <w:tcW w:w="583" w:type="pct"/>
            <w:tcBorders>
              <w:top w:val="nil"/>
              <w:left w:val="nil"/>
              <w:bottom w:val="nil"/>
              <w:right w:val="nil"/>
            </w:tcBorders>
          </w:tcPr>
          <w:p w14:paraId="78F84E61"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68E3DD57"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08AF476C" w14:textId="77777777" w:rsidR="009A7378" w:rsidRPr="00D63217" w:rsidRDefault="009A7378" w:rsidP="002C3D34">
            <w:pPr>
              <w:pStyle w:val="TableText"/>
              <w:keepNext/>
              <w:keepLines/>
              <w:spacing w:before="0" w:after="0" w:line="240" w:lineRule="auto"/>
              <w:rPr>
                <w:szCs w:val="17"/>
              </w:rPr>
            </w:pPr>
          </w:p>
        </w:tc>
        <w:tc>
          <w:tcPr>
            <w:tcW w:w="1154" w:type="pct"/>
            <w:tcBorders>
              <w:top w:val="single" w:sz="4" w:space="0" w:color="auto"/>
              <w:left w:val="nil"/>
              <w:bottom w:val="nil"/>
              <w:right w:val="nil"/>
            </w:tcBorders>
          </w:tcPr>
          <w:p w14:paraId="4753B487" w14:textId="77777777" w:rsidR="009A7378" w:rsidRPr="00911502" w:rsidRDefault="009A7378" w:rsidP="002C3D34">
            <w:pPr>
              <w:pStyle w:val="TableText"/>
              <w:keepNext/>
              <w:keepLines/>
              <w:spacing w:before="0" w:after="0" w:line="240" w:lineRule="auto"/>
              <w:rPr>
                <w:i/>
                <w:iCs/>
                <w:szCs w:val="17"/>
              </w:rPr>
            </w:pPr>
            <w:r w:rsidRPr="00911502">
              <w:rPr>
                <w:i/>
                <w:iCs/>
                <w:szCs w:val="17"/>
              </w:rPr>
              <w:t>Chlorella vulgaris</w:t>
            </w:r>
          </w:p>
        </w:tc>
        <w:tc>
          <w:tcPr>
            <w:tcW w:w="1010" w:type="pct"/>
            <w:tcBorders>
              <w:top w:val="single" w:sz="4" w:space="0" w:color="auto"/>
              <w:left w:val="nil"/>
              <w:bottom w:val="nil"/>
              <w:right w:val="nil"/>
            </w:tcBorders>
          </w:tcPr>
          <w:p w14:paraId="71418505" w14:textId="77777777"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0.53 mg ac/L</w:t>
            </w:r>
          </w:p>
        </w:tc>
        <w:tc>
          <w:tcPr>
            <w:tcW w:w="1170" w:type="pct"/>
            <w:gridSpan w:val="2"/>
            <w:tcBorders>
              <w:top w:val="single" w:sz="4" w:space="0" w:color="auto"/>
              <w:left w:val="nil"/>
              <w:bottom w:val="nil"/>
              <w:right w:val="nil"/>
            </w:tcBorders>
          </w:tcPr>
          <w:p w14:paraId="7998F2D2" w14:textId="7B1BB46D" w:rsidR="009A7378" w:rsidRPr="00911502" w:rsidRDefault="009A7378" w:rsidP="002C3D34">
            <w:pPr>
              <w:pStyle w:val="TableText"/>
              <w:keepNext/>
              <w:keepLines/>
              <w:spacing w:before="0" w:after="0" w:line="240" w:lineRule="auto"/>
              <w:rPr>
                <w:szCs w:val="17"/>
              </w:rPr>
            </w:pPr>
            <w:r w:rsidRPr="00911502">
              <w:rPr>
                <w:szCs w:val="17"/>
              </w:rPr>
              <w:t>Baltazar et</w:t>
            </w:r>
            <w:r w:rsidR="00143F5A" w:rsidRPr="00911502">
              <w:rPr>
                <w:szCs w:val="17"/>
              </w:rPr>
              <w:t xml:space="preserve"> al,</w:t>
            </w:r>
            <w:r w:rsidRPr="00911502">
              <w:rPr>
                <w:szCs w:val="17"/>
              </w:rPr>
              <w:t xml:space="preserve"> 2014</w:t>
            </w:r>
          </w:p>
        </w:tc>
      </w:tr>
      <w:tr w:rsidR="009A7378" w:rsidRPr="00D63217" w14:paraId="7CA4F31A" w14:textId="77777777" w:rsidTr="00B257F2">
        <w:tc>
          <w:tcPr>
            <w:tcW w:w="583" w:type="pct"/>
            <w:tcBorders>
              <w:top w:val="nil"/>
              <w:left w:val="nil"/>
              <w:bottom w:val="nil"/>
              <w:right w:val="nil"/>
            </w:tcBorders>
          </w:tcPr>
          <w:p w14:paraId="0375E8F1" w14:textId="77777777" w:rsidR="009A7378" w:rsidRPr="00D63217" w:rsidRDefault="009A7378" w:rsidP="002C3D34">
            <w:pPr>
              <w:pStyle w:val="TableText"/>
              <w:keepNext/>
              <w:keepLines/>
              <w:spacing w:before="0" w:after="0" w:line="240" w:lineRule="auto"/>
              <w:rPr>
                <w:szCs w:val="17"/>
              </w:rPr>
            </w:pPr>
          </w:p>
        </w:tc>
        <w:tc>
          <w:tcPr>
            <w:tcW w:w="627" w:type="pct"/>
            <w:tcBorders>
              <w:top w:val="nil"/>
              <w:left w:val="nil"/>
              <w:bottom w:val="nil"/>
              <w:right w:val="nil"/>
            </w:tcBorders>
          </w:tcPr>
          <w:p w14:paraId="5D7616ED" w14:textId="77777777" w:rsidR="009A7378" w:rsidRPr="00D63217" w:rsidRDefault="009A7378" w:rsidP="002C3D34">
            <w:pPr>
              <w:pStyle w:val="TableText"/>
              <w:keepNext/>
              <w:keepLines/>
              <w:spacing w:before="0" w:after="0" w:line="240" w:lineRule="auto"/>
              <w:rPr>
                <w:szCs w:val="17"/>
              </w:rPr>
            </w:pPr>
          </w:p>
        </w:tc>
        <w:tc>
          <w:tcPr>
            <w:tcW w:w="456" w:type="pct"/>
            <w:tcBorders>
              <w:top w:val="nil"/>
              <w:left w:val="nil"/>
              <w:bottom w:val="nil"/>
              <w:right w:val="nil"/>
            </w:tcBorders>
          </w:tcPr>
          <w:p w14:paraId="165A76D7" w14:textId="77777777" w:rsidR="009A7378" w:rsidRPr="00D63217" w:rsidRDefault="009A7378" w:rsidP="002C3D34">
            <w:pPr>
              <w:pStyle w:val="TableText"/>
              <w:keepNext/>
              <w:keepLines/>
              <w:spacing w:before="0" w:after="0" w:line="240" w:lineRule="auto"/>
              <w:rPr>
                <w:szCs w:val="17"/>
              </w:rPr>
            </w:pPr>
          </w:p>
        </w:tc>
        <w:tc>
          <w:tcPr>
            <w:tcW w:w="1154" w:type="pct"/>
            <w:tcBorders>
              <w:top w:val="nil"/>
              <w:left w:val="nil"/>
              <w:bottom w:val="single" w:sz="4" w:space="0" w:color="auto"/>
              <w:right w:val="nil"/>
            </w:tcBorders>
          </w:tcPr>
          <w:p w14:paraId="278DC96F" w14:textId="77777777" w:rsidR="009A7378" w:rsidRPr="00911502" w:rsidRDefault="009A7378" w:rsidP="002C3D34">
            <w:pPr>
              <w:pStyle w:val="TableText"/>
              <w:keepNext/>
              <w:keepLines/>
              <w:spacing w:before="0" w:after="0" w:line="240" w:lineRule="auto"/>
              <w:rPr>
                <w:i/>
                <w:iCs/>
                <w:szCs w:val="17"/>
              </w:rPr>
            </w:pPr>
            <w:r w:rsidRPr="00911502">
              <w:rPr>
                <w:i/>
                <w:iCs/>
                <w:szCs w:val="17"/>
              </w:rPr>
              <w:t>Skeletonema costatum</w:t>
            </w:r>
          </w:p>
        </w:tc>
        <w:tc>
          <w:tcPr>
            <w:tcW w:w="1010" w:type="pct"/>
            <w:tcBorders>
              <w:top w:val="nil"/>
              <w:left w:val="nil"/>
              <w:bottom w:val="single" w:sz="4" w:space="0" w:color="auto"/>
              <w:right w:val="nil"/>
            </w:tcBorders>
          </w:tcPr>
          <w:p w14:paraId="05756B10" w14:textId="77777777" w:rsidR="009A7378" w:rsidRPr="00911502" w:rsidRDefault="009A7378" w:rsidP="002C3D34">
            <w:pPr>
              <w:pStyle w:val="TableText"/>
              <w:keepNext/>
              <w:keepLines/>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5.9 mg ac/L</w:t>
            </w:r>
          </w:p>
        </w:tc>
        <w:tc>
          <w:tcPr>
            <w:tcW w:w="1170" w:type="pct"/>
            <w:gridSpan w:val="2"/>
            <w:tcBorders>
              <w:top w:val="nil"/>
              <w:left w:val="nil"/>
              <w:bottom w:val="single" w:sz="4" w:space="0" w:color="auto"/>
              <w:right w:val="nil"/>
            </w:tcBorders>
          </w:tcPr>
          <w:p w14:paraId="04990016" w14:textId="48700D55" w:rsidR="009A7378" w:rsidRPr="00911502" w:rsidRDefault="009A7378" w:rsidP="002C3D34">
            <w:pPr>
              <w:pStyle w:val="TableText"/>
              <w:keepNext/>
              <w:keepLines/>
              <w:spacing w:before="0" w:after="0" w:line="240" w:lineRule="auto"/>
              <w:rPr>
                <w:szCs w:val="17"/>
              </w:rPr>
            </w:pPr>
            <w:r w:rsidRPr="00911502">
              <w:rPr>
                <w:szCs w:val="17"/>
              </w:rPr>
              <w:t>Smyth et</w:t>
            </w:r>
            <w:r w:rsidR="00143F5A" w:rsidRPr="00911502">
              <w:rPr>
                <w:szCs w:val="17"/>
              </w:rPr>
              <w:t xml:space="preserve"> al,</w:t>
            </w:r>
            <w:r w:rsidRPr="00911502">
              <w:rPr>
                <w:szCs w:val="17"/>
              </w:rPr>
              <w:t xml:space="preserve"> 1992</w:t>
            </w:r>
            <w:r w:rsidR="00143F5A" w:rsidRPr="00911502">
              <w:rPr>
                <w:szCs w:val="17"/>
              </w:rPr>
              <w:t>(</w:t>
            </w:r>
            <w:r w:rsidRPr="00911502">
              <w:rPr>
                <w:szCs w:val="17"/>
              </w:rPr>
              <w:t>d</w:t>
            </w:r>
            <w:r w:rsidR="00143F5A" w:rsidRPr="00911502">
              <w:rPr>
                <w:szCs w:val="17"/>
              </w:rPr>
              <w:t>)</w:t>
            </w:r>
          </w:p>
        </w:tc>
      </w:tr>
      <w:tr w:rsidR="009A7378" w:rsidRPr="00D63217" w14:paraId="599AF8D8" w14:textId="77777777" w:rsidTr="00B257F2">
        <w:tc>
          <w:tcPr>
            <w:tcW w:w="583" w:type="pct"/>
            <w:tcBorders>
              <w:top w:val="nil"/>
              <w:left w:val="nil"/>
              <w:bottom w:val="nil"/>
              <w:right w:val="nil"/>
            </w:tcBorders>
          </w:tcPr>
          <w:p w14:paraId="5F0F259A" w14:textId="77777777" w:rsidR="009A7378" w:rsidRPr="00D63217" w:rsidRDefault="009A7378" w:rsidP="004808C6">
            <w:pPr>
              <w:pStyle w:val="TableText"/>
              <w:spacing w:before="0" w:after="0" w:line="240" w:lineRule="auto"/>
              <w:rPr>
                <w:szCs w:val="17"/>
              </w:rPr>
            </w:pPr>
          </w:p>
        </w:tc>
        <w:tc>
          <w:tcPr>
            <w:tcW w:w="627" w:type="pct"/>
            <w:tcBorders>
              <w:top w:val="single" w:sz="4" w:space="0" w:color="auto"/>
              <w:left w:val="nil"/>
              <w:bottom w:val="nil"/>
              <w:right w:val="nil"/>
            </w:tcBorders>
          </w:tcPr>
          <w:p w14:paraId="63227A35" w14:textId="77777777" w:rsidR="009A7378" w:rsidRPr="00D63217" w:rsidRDefault="009A7378" w:rsidP="004808C6">
            <w:pPr>
              <w:pStyle w:val="TableText"/>
              <w:spacing w:before="0" w:after="0" w:line="240" w:lineRule="auto"/>
              <w:rPr>
                <w:szCs w:val="17"/>
              </w:rPr>
            </w:pPr>
            <w:r w:rsidRPr="00D63217">
              <w:rPr>
                <w:szCs w:val="17"/>
              </w:rPr>
              <w:t>Aquatic plants</w:t>
            </w:r>
          </w:p>
        </w:tc>
        <w:tc>
          <w:tcPr>
            <w:tcW w:w="456" w:type="pct"/>
            <w:tcBorders>
              <w:top w:val="single" w:sz="4" w:space="0" w:color="auto"/>
              <w:left w:val="nil"/>
              <w:bottom w:val="nil"/>
              <w:right w:val="nil"/>
            </w:tcBorders>
          </w:tcPr>
          <w:p w14:paraId="3CB7275C" w14:textId="77777777" w:rsidR="009A7378" w:rsidRPr="00D63217" w:rsidRDefault="009A7378" w:rsidP="004808C6">
            <w:pPr>
              <w:pStyle w:val="TableText"/>
              <w:spacing w:before="0" w:after="0" w:line="240" w:lineRule="auto"/>
              <w:rPr>
                <w:szCs w:val="17"/>
              </w:rPr>
            </w:pPr>
            <w:r w:rsidRPr="00D63217">
              <w:rPr>
                <w:szCs w:val="17"/>
              </w:rPr>
              <w:t>Chronic</w:t>
            </w:r>
          </w:p>
        </w:tc>
        <w:tc>
          <w:tcPr>
            <w:tcW w:w="1154" w:type="pct"/>
            <w:tcBorders>
              <w:top w:val="single" w:sz="4" w:space="0" w:color="auto"/>
              <w:left w:val="nil"/>
              <w:bottom w:val="nil"/>
              <w:right w:val="nil"/>
            </w:tcBorders>
          </w:tcPr>
          <w:p w14:paraId="596DC1AC" w14:textId="77777777" w:rsidR="009A7378" w:rsidRPr="00911502" w:rsidRDefault="009A7378" w:rsidP="004808C6">
            <w:pPr>
              <w:pStyle w:val="TableText"/>
              <w:spacing w:before="0" w:after="0" w:line="240" w:lineRule="auto"/>
              <w:rPr>
                <w:i/>
                <w:iCs/>
                <w:szCs w:val="17"/>
              </w:rPr>
            </w:pPr>
            <w:r w:rsidRPr="00911502">
              <w:rPr>
                <w:i/>
                <w:iCs/>
                <w:szCs w:val="17"/>
              </w:rPr>
              <w:t>Lemna minor</w:t>
            </w:r>
          </w:p>
        </w:tc>
        <w:tc>
          <w:tcPr>
            <w:tcW w:w="1010" w:type="pct"/>
            <w:tcBorders>
              <w:top w:val="single" w:sz="4" w:space="0" w:color="auto"/>
              <w:left w:val="nil"/>
              <w:bottom w:val="nil"/>
              <w:right w:val="nil"/>
            </w:tcBorders>
          </w:tcPr>
          <w:p w14:paraId="62ABC7BD" w14:textId="1997D83A" w:rsidR="009A7378" w:rsidRPr="00911502" w:rsidRDefault="009A7378" w:rsidP="004808C6">
            <w:pPr>
              <w:pStyle w:val="TableText"/>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0.015 mg ac/L</w:t>
            </w:r>
          </w:p>
        </w:tc>
        <w:tc>
          <w:tcPr>
            <w:tcW w:w="1170" w:type="pct"/>
            <w:gridSpan w:val="2"/>
            <w:tcBorders>
              <w:top w:val="single" w:sz="4" w:space="0" w:color="auto"/>
              <w:left w:val="nil"/>
              <w:bottom w:val="nil"/>
              <w:right w:val="nil"/>
            </w:tcBorders>
          </w:tcPr>
          <w:p w14:paraId="731A78D8" w14:textId="77777777" w:rsidR="009A7378" w:rsidRPr="00911502" w:rsidRDefault="009A7378" w:rsidP="004808C6">
            <w:pPr>
              <w:pStyle w:val="TableText"/>
              <w:spacing w:before="0" w:after="0" w:line="240" w:lineRule="auto"/>
              <w:rPr>
                <w:szCs w:val="17"/>
              </w:rPr>
            </w:pPr>
            <w:r w:rsidRPr="00911502">
              <w:rPr>
                <w:szCs w:val="17"/>
              </w:rPr>
              <w:t>Tagun &amp; Boxall 2018</w:t>
            </w:r>
          </w:p>
        </w:tc>
      </w:tr>
      <w:tr w:rsidR="009A7378" w:rsidRPr="00D63217" w14:paraId="6BD8647C" w14:textId="77777777" w:rsidTr="00B257F2">
        <w:tc>
          <w:tcPr>
            <w:tcW w:w="583" w:type="pct"/>
            <w:tcBorders>
              <w:top w:val="nil"/>
              <w:left w:val="nil"/>
              <w:bottom w:val="nil"/>
              <w:right w:val="nil"/>
            </w:tcBorders>
          </w:tcPr>
          <w:p w14:paraId="29495268"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7CEB34BF"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665382D6" w14:textId="77777777" w:rsidR="009A7378" w:rsidRPr="00D63217" w:rsidRDefault="009A7378" w:rsidP="004808C6">
            <w:pPr>
              <w:pStyle w:val="TableText"/>
              <w:spacing w:before="0" w:after="0" w:line="240" w:lineRule="auto"/>
              <w:rPr>
                <w:szCs w:val="17"/>
              </w:rPr>
            </w:pPr>
          </w:p>
        </w:tc>
        <w:tc>
          <w:tcPr>
            <w:tcW w:w="1154" w:type="pct"/>
            <w:tcBorders>
              <w:top w:val="single" w:sz="4" w:space="0" w:color="auto"/>
              <w:left w:val="nil"/>
              <w:bottom w:val="nil"/>
              <w:right w:val="nil"/>
            </w:tcBorders>
          </w:tcPr>
          <w:p w14:paraId="2CCF4AE6" w14:textId="77777777" w:rsidR="009A7378" w:rsidRPr="00911502" w:rsidRDefault="009A7378" w:rsidP="004808C6">
            <w:pPr>
              <w:pStyle w:val="TableText"/>
              <w:spacing w:before="0" w:after="0" w:line="240" w:lineRule="auto"/>
              <w:rPr>
                <w:i/>
                <w:iCs/>
                <w:szCs w:val="17"/>
              </w:rPr>
            </w:pPr>
            <w:r w:rsidRPr="00911502">
              <w:rPr>
                <w:i/>
                <w:iCs/>
                <w:szCs w:val="17"/>
              </w:rPr>
              <w:t>Lemna gibba</w:t>
            </w:r>
          </w:p>
        </w:tc>
        <w:tc>
          <w:tcPr>
            <w:tcW w:w="1010" w:type="pct"/>
            <w:tcBorders>
              <w:top w:val="single" w:sz="4" w:space="0" w:color="auto"/>
              <w:left w:val="nil"/>
              <w:bottom w:val="nil"/>
              <w:right w:val="nil"/>
            </w:tcBorders>
          </w:tcPr>
          <w:p w14:paraId="27791666" w14:textId="15DB3D7A" w:rsidR="009A7378" w:rsidRPr="00911502" w:rsidRDefault="009A7378" w:rsidP="004808C6">
            <w:pPr>
              <w:pStyle w:val="TableText"/>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0.031 mg ac/L</w:t>
            </w:r>
          </w:p>
        </w:tc>
        <w:tc>
          <w:tcPr>
            <w:tcW w:w="1170" w:type="pct"/>
            <w:gridSpan w:val="2"/>
            <w:tcBorders>
              <w:top w:val="single" w:sz="4" w:space="0" w:color="auto"/>
              <w:left w:val="nil"/>
              <w:bottom w:val="nil"/>
              <w:right w:val="nil"/>
            </w:tcBorders>
          </w:tcPr>
          <w:p w14:paraId="6B5D0D69" w14:textId="0DBC483A" w:rsidR="009A7378" w:rsidRPr="00911502" w:rsidRDefault="009A7378" w:rsidP="004808C6">
            <w:pPr>
              <w:pStyle w:val="TableText"/>
              <w:spacing w:before="0" w:after="0" w:line="240" w:lineRule="auto"/>
              <w:rPr>
                <w:szCs w:val="17"/>
              </w:rPr>
            </w:pPr>
            <w:r w:rsidRPr="00911502">
              <w:rPr>
                <w:szCs w:val="17"/>
              </w:rPr>
              <w:t>Mohammad et</w:t>
            </w:r>
            <w:r w:rsidR="00143F5A" w:rsidRPr="00911502">
              <w:rPr>
                <w:szCs w:val="17"/>
              </w:rPr>
              <w:t xml:space="preserve"> al,</w:t>
            </w:r>
            <w:r w:rsidRPr="00911502">
              <w:rPr>
                <w:szCs w:val="17"/>
              </w:rPr>
              <w:t xml:space="preserve"> 2010</w:t>
            </w:r>
          </w:p>
        </w:tc>
      </w:tr>
      <w:tr w:rsidR="009A7378" w:rsidRPr="00D63217" w14:paraId="32310C4D" w14:textId="77777777" w:rsidTr="00B257F2">
        <w:tc>
          <w:tcPr>
            <w:tcW w:w="583" w:type="pct"/>
            <w:tcBorders>
              <w:top w:val="nil"/>
              <w:left w:val="nil"/>
              <w:bottom w:val="nil"/>
              <w:right w:val="nil"/>
            </w:tcBorders>
          </w:tcPr>
          <w:p w14:paraId="6793E640" w14:textId="77777777" w:rsidR="009A7378" w:rsidRPr="00D63217" w:rsidRDefault="009A7378" w:rsidP="004808C6">
            <w:pPr>
              <w:pStyle w:val="TableText"/>
              <w:spacing w:before="0" w:after="0" w:line="240" w:lineRule="auto"/>
              <w:rPr>
                <w:szCs w:val="17"/>
              </w:rPr>
            </w:pPr>
          </w:p>
        </w:tc>
        <w:tc>
          <w:tcPr>
            <w:tcW w:w="627" w:type="pct"/>
            <w:tcBorders>
              <w:top w:val="nil"/>
              <w:left w:val="nil"/>
              <w:bottom w:val="nil"/>
              <w:right w:val="nil"/>
            </w:tcBorders>
          </w:tcPr>
          <w:p w14:paraId="2FF5132C" w14:textId="77777777" w:rsidR="009A7378" w:rsidRPr="00D63217" w:rsidRDefault="009A7378" w:rsidP="004808C6">
            <w:pPr>
              <w:pStyle w:val="TableText"/>
              <w:spacing w:before="0" w:after="0" w:line="240" w:lineRule="auto"/>
              <w:rPr>
                <w:szCs w:val="17"/>
              </w:rPr>
            </w:pPr>
          </w:p>
        </w:tc>
        <w:tc>
          <w:tcPr>
            <w:tcW w:w="456" w:type="pct"/>
            <w:tcBorders>
              <w:top w:val="nil"/>
              <w:left w:val="nil"/>
              <w:bottom w:val="nil"/>
              <w:right w:val="nil"/>
            </w:tcBorders>
          </w:tcPr>
          <w:p w14:paraId="67ED445E" w14:textId="77777777" w:rsidR="009A7378" w:rsidRPr="00D63217" w:rsidRDefault="009A7378" w:rsidP="004808C6">
            <w:pPr>
              <w:pStyle w:val="TableText"/>
              <w:spacing w:before="0" w:after="0" w:line="240" w:lineRule="auto"/>
              <w:rPr>
                <w:szCs w:val="17"/>
              </w:rPr>
            </w:pPr>
          </w:p>
        </w:tc>
        <w:tc>
          <w:tcPr>
            <w:tcW w:w="1154" w:type="pct"/>
            <w:tcBorders>
              <w:top w:val="nil"/>
              <w:left w:val="nil"/>
              <w:bottom w:val="nil"/>
              <w:right w:val="nil"/>
            </w:tcBorders>
          </w:tcPr>
          <w:p w14:paraId="1464ABA2" w14:textId="77777777" w:rsidR="009A7378" w:rsidRPr="00911502" w:rsidRDefault="009A7378" w:rsidP="004808C6">
            <w:pPr>
              <w:pStyle w:val="TableText"/>
              <w:spacing w:before="0" w:after="0" w:line="240" w:lineRule="auto"/>
              <w:rPr>
                <w:i/>
                <w:iCs/>
                <w:szCs w:val="17"/>
              </w:rPr>
            </w:pPr>
          </w:p>
        </w:tc>
        <w:tc>
          <w:tcPr>
            <w:tcW w:w="1010" w:type="pct"/>
            <w:tcBorders>
              <w:top w:val="nil"/>
              <w:left w:val="nil"/>
              <w:bottom w:val="nil"/>
              <w:right w:val="nil"/>
            </w:tcBorders>
          </w:tcPr>
          <w:p w14:paraId="5440E787" w14:textId="77777777" w:rsidR="009A7378" w:rsidRPr="00911502" w:rsidRDefault="009A7378" w:rsidP="004808C6">
            <w:pPr>
              <w:pStyle w:val="TableText"/>
              <w:spacing w:before="0" w:after="0" w:line="240" w:lineRule="auto"/>
              <w:rPr>
                <w:szCs w:val="17"/>
              </w:rPr>
            </w:pPr>
            <w:r w:rsidRPr="00911502">
              <w:rPr>
                <w:szCs w:val="17"/>
              </w:rPr>
              <w:t>EC</w:t>
            </w:r>
            <w:r w:rsidRPr="00911502">
              <w:rPr>
                <w:szCs w:val="17"/>
                <w:vertAlign w:val="subscript"/>
              </w:rPr>
              <w:t>50</w:t>
            </w:r>
            <w:r w:rsidRPr="00911502">
              <w:rPr>
                <w:szCs w:val="17"/>
              </w:rPr>
              <w:t xml:space="preserve"> 0.037 mg ac/L</w:t>
            </w:r>
          </w:p>
          <w:p w14:paraId="75192563" w14:textId="4D07178A" w:rsidR="00B86312" w:rsidRPr="00911502" w:rsidRDefault="00B86312" w:rsidP="004808C6">
            <w:pPr>
              <w:pStyle w:val="TableText"/>
              <w:spacing w:before="0" w:after="0" w:line="240" w:lineRule="auto"/>
              <w:rPr>
                <w:szCs w:val="17"/>
              </w:rPr>
            </w:pPr>
            <w:r w:rsidRPr="00911502">
              <w:rPr>
                <w:szCs w:val="17"/>
              </w:rPr>
              <w:t>E</w:t>
            </w:r>
            <w:r w:rsidRPr="00911502">
              <w:rPr>
                <w:szCs w:val="17"/>
                <w:vertAlign w:val="subscript"/>
              </w:rPr>
              <w:t>r</w:t>
            </w:r>
            <w:r w:rsidRPr="00911502">
              <w:rPr>
                <w:szCs w:val="17"/>
              </w:rPr>
              <w:t>C</w:t>
            </w:r>
            <w:r w:rsidRPr="00911502">
              <w:rPr>
                <w:szCs w:val="17"/>
                <w:vertAlign w:val="subscript"/>
              </w:rPr>
              <w:t>50</w:t>
            </w:r>
            <w:r w:rsidRPr="00911502">
              <w:rPr>
                <w:szCs w:val="17"/>
              </w:rPr>
              <w:t xml:space="preserve"> 0.047 mg ac/L</w:t>
            </w:r>
          </w:p>
        </w:tc>
        <w:tc>
          <w:tcPr>
            <w:tcW w:w="1170" w:type="pct"/>
            <w:gridSpan w:val="2"/>
            <w:tcBorders>
              <w:top w:val="nil"/>
              <w:left w:val="nil"/>
              <w:bottom w:val="nil"/>
              <w:right w:val="nil"/>
            </w:tcBorders>
          </w:tcPr>
          <w:p w14:paraId="60BC485D" w14:textId="0B2BA474" w:rsidR="009A7378" w:rsidRPr="00911502" w:rsidRDefault="009A7378" w:rsidP="004808C6">
            <w:pPr>
              <w:pStyle w:val="TableText"/>
              <w:spacing w:before="0" w:after="0" w:line="240" w:lineRule="auto"/>
              <w:rPr>
                <w:szCs w:val="17"/>
              </w:rPr>
            </w:pPr>
            <w:r w:rsidRPr="00911502">
              <w:rPr>
                <w:szCs w:val="17"/>
              </w:rPr>
              <w:t>Smyth et</w:t>
            </w:r>
            <w:r w:rsidR="00143F5A" w:rsidRPr="00911502">
              <w:rPr>
                <w:szCs w:val="17"/>
              </w:rPr>
              <w:t xml:space="preserve"> al,</w:t>
            </w:r>
            <w:r w:rsidRPr="00911502">
              <w:rPr>
                <w:szCs w:val="17"/>
              </w:rPr>
              <w:t xml:space="preserve"> 1992e</w:t>
            </w:r>
          </w:p>
        </w:tc>
      </w:tr>
      <w:tr w:rsidR="009A7378" w:rsidRPr="00D63217" w14:paraId="07E7D7DC" w14:textId="77777777" w:rsidTr="00B257F2">
        <w:trPr>
          <w:gridAfter w:val="1"/>
          <w:wAfter w:w="27" w:type="pct"/>
        </w:trPr>
        <w:tc>
          <w:tcPr>
            <w:tcW w:w="583" w:type="pct"/>
            <w:tcBorders>
              <w:top w:val="nil"/>
              <w:left w:val="nil"/>
              <w:bottom w:val="single" w:sz="4" w:space="0" w:color="auto"/>
              <w:right w:val="nil"/>
            </w:tcBorders>
          </w:tcPr>
          <w:p w14:paraId="1EB1AAC2" w14:textId="77777777" w:rsidR="009A7378" w:rsidRPr="00D63217" w:rsidRDefault="009A7378" w:rsidP="004808C6">
            <w:pPr>
              <w:pStyle w:val="TableText"/>
              <w:spacing w:before="0" w:after="0" w:line="240" w:lineRule="auto"/>
              <w:rPr>
                <w:szCs w:val="17"/>
              </w:rPr>
            </w:pPr>
          </w:p>
        </w:tc>
        <w:tc>
          <w:tcPr>
            <w:tcW w:w="627" w:type="pct"/>
            <w:tcBorders>
              <w:top w:val="nil"/>
              <w:left w:val="nil"/>
              <w:bottom w:val="single" w:sz="4" w:space="0" w:color="auto"/>
              <w:right w:val="nil"/>
            </w:tcBorders>
          </w:tcPr>
          <w:p w14:paraId="20F0A494" w14:textId="77777777" w:rsidR="009A7378" w:rsidRPr="00D63217" w:rsidRDefault="009A7378" w:rsidP="004808C6">
            <w:pPr>
              <w:pStyle w:val="TableText"/>
              <w:spacing w:before="0" w:after="0" w:line="240" w:lineRule="auto"/>
              <w:rPr>
                <w:szCs w:val="17"/>
              </w:rPr>
            </w:pPr>
          </w:p>
        </w:tc>
        <w:tc>
          <w:tcPr>
            <w:tcW w:w="456" w:type="pct"/>
            <w:tcBorders>
              <w:top w:val="nil"/>
              <w:left w:val="nil"/>
              <w:bottom w:val="single" w:sz="4" w:space="0" w:color="auto"/>
              <w:right w:val="nil"/>
            </w:tcBorders>
          </w:tcPr>
          <w:p w14:paraId="4AE67BE9" w14:textId="77777777" w:rsidR="009A7378" w:rsidRPr="00D63217" w:rsidRDefault="009A7378" w:rsidP="004808C6">
            <w:pPr>
              <w:pStyle w:val="TableText"/>
              <w:spacing w:before="0" w:after="0" w:line="240" w:lineRule="auto"/>
              <w:rPr>
                <w:szCs w:val="17"/>
              </w:rPr>
            </w:pPr>
          </w:p>
        </w:tc>
        <w:tc>
          <w:tcPr>
            <w:tcW w:w="2164" w:type="pct"/>
            <w:gridSpan w:val="2"/>
            <w:tcBorders>
              <w:top w:val="nil"/>
              <w:left w:val="nil"/>
              <w:bottom w:val="single" w:sz="4" w:space="0" w:color="auto"/>
              <w:right w:val="nil"/>
            </w:tcBorders>
          </w:tcPr>
          <w:p w14:paraId="072C71B0" w14:textId="35BAC5BC" w:rsidR="009A7378" w:rsidRPr="00911502" w:rsidRDefault="009A7378" w:rsidP="004808C6">
            <w:pPr>
              <w:pStyle w:val="TableText"/>
              <w:spacing w:before="0" w:after="0" w:line="240" w:lineRule="auto"/>
              <w:rPr>
                <w:szCs w:val="17"/>
              </w:rPr>
            </w:pPr>
            <w:r w:rsidRPr="00911502">
              <w:rPr>
                <w:szCs w:val="17"/>
              </w:rPr>
              <w:t>Geomean E</w:t>
            </w:r>
            <w:r w:rsidRPr="00911502">
              <w:rPr>
                <w:szCs w:val="17"/>
                <w:vertAlign w:val="subscript"/>
              </w:rPr>
              <w:t>r</w:t>
            </w:r>
            <w:r w:rsidRPr="00911502">
              <w:rPr>
                <w:szCs w:val="17"/>
              </w:rPr>
              <w:t>C</w:t>
            </w:r>
            <w:r w:rsidRPr="00911502">
              <w:rPr>
                <w:szCs w:val="17"/>
                <w:vertAlign w:val="subscript"/>
              </w:rPr>
              <w:t>50</w:t>
            </w:r>
            <w:r w:rsidRPr="00911502">
              <w:rPr>
                <w:szCs w:val="17"/>
              </w:rPr>
              <w:t xml:space="preserve"> </w:t>
            </w:r>
            <w:r w:rsidR="00B86312" w:rsidRPr="00911502">
              <w:rPr>
                <w:szCs w:val="17"/>
              </w:rPr>
              <w:t>0.038</w:t>
            </w:r>
            <w:r w:rsidRPr="00911502">
              <w:rPr>
                <w:szCs w:val="17"/>
              </w:rPr>
              <w:t xml:space="preserve"> mg ac/L</w:t>
            </w:r>
          </w:p>
        </w:tc>
        <w:tc>
          <w:tcPr>
            <w:tcW w:w="1143" w:type="pct"/>
            <w:tcBorders>
              <w:top w:val="nil"/>
              <w:left w:val="nil"/>
              <w:bottom w:val="single" w:sz="4" w:space="0" w:color="auto"/>
              <w:right w:val="nil"/>
            </w:tcBorders>
          </w:tcPr>
          <w:p w14:paraId="4F1230D2" w14:textId="77777777" w:rsidR="009A7378" w:rsidRPr="00911502" w:rsidRDefault="009A7378" w:rsidP="004808C6">
            <w:pPr>
              <w:pStyle w:val="TableText"/>
              <w:spacing w:before="0" w:after="0" w:line="240" w:lineRule="auto"/>
              <w:rPr>
                <w:szCs w:val="17"/>
              </w:rPr>
            </w:pPr>
          </w:p>
        </w:tc>
      </w:tr>
    </w:tbl>
    <w:p w14:paraId="6450D827" w14:textId="1AB8588F" w:rsidR="009A7378" w:rsidRPr="00A70C86" w:rsidRDefault="00F012C6" w:rsidP="00A70C86">
      <w:pPr>
        <w:pStyle w:val="Caption"/>
      </w:pPr>
      <w:bookmarkStart w:id="668" w:name="_Toc230692328"/>
      <w:bookmarkStart w:id="669" w:name="_Toc233036549"/>
      <w:r w:rsidRPr="00A70C86">
        <w:t xml:space="preserve">Table </w:t>
      </w:r>
      <w:fldSimple w:instr=" SEQ Table \* ARABIC ">
        <w:r w:rsidR="00A70C86">
          <w:rPr>
            <w:noProof/>
          </w:rPr>
          <w:t>62</w:t>
        </w:r>
      </w:fldSimple>
      <w:bookmarkStart w:id="670" w:name="_Ref153263763"/>
      <w:bookmarkStart w:id="671" w:name="_Toc156383624"/>
      <w:bookmarkEnd w:id="667"/>
      <w:r w:rsidRPr="00A70C86">
        <w:t xml:space="preserve">: </w:t>
      </w:r>
      <w:r w:rsidR="00017CE7" w:rsidRPr="00A70C86">
        <w:t xml:space="preserve">Paraquat – </w:t>
      </w:r>
      <w:r w:rsidR="009A7378" w:rsidRPr="00A70C86">
        <w:t>Effects on bees</w:t>
      </w:r>
      <w:bookmarkEnd w:id="668"/>
      <w:bookmarkEnd w:id="6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1"/>
        <w:gridCol w:w="1170"/>
        <w:gridCol w:w="936"/>
        <w:gridCol w:w="1178"/>
        <w:gridCol w:w="2101"/>
        <w:gridCol w:w="2852"/>
      </w:tblGrid>
      <w:tr w:rsidR="009A7378" w:rsidRPr="00D63217" w14:paraId="084D048D" w14:textId="77777777" w:rsidTr="00E53283">
        <w:trPr>
          <w:tblHeader/>
        </w:trPr>
        <w:tc>
          <w:tcPr>
            <w:tcW w:w="722" w:type="pct"/>
            <w:tcBorders>
              <w:bottom w:val="single" w:sz="4" w:space="0" w:color="auto"/>
            </w:tcBorders>
            <w:shd w:val="clear" w:color="auto" w:fill="5C2946"/>
          </w:tcPr>
          <w:p w14:paraId="0C814A14" w14:textId="77777777" w:rsidR="009A7378" w:rsidRPr="00D63217" w:rsidRDefault="009A7378" w:rsidP="005C1E35">
            <w:pPr>
              <w:pStyle w:val="TableHead"/>
            </w:pPr>
            <w:r w:rsidRPr="00D63217">
              <w:t>Substance</w:t>
            </w:r>
          </w:p>
        </w:tc>
        <w:tc>
          <w:tcPr>
            <w:tcW w:w="607" w:type="pct"/>
            <w:tcBorders>
              <w:bottom w:val="single" w:sz="4" w:space="0" w:color="auto"/>
            </w:tcBorders>
            <w:shd w:val="clear" w:color="auto" w:fill="5C2946"/>
          </w:tcPr>
          <w:p w14:paraId="5703A90C" w14:textId="77777777" w:rsidR="009A7378" w:rsidRPr="00D63217" w:rsidRDefault="009A7378" w:rsidP="005C1E35">
            <w:pPr>
              <w:pStyle w:val="TableHead"/>
            </w:pPr>
            <w:r w:rsidRPr="00D63217">
              <w:t>Species</w:t>
            </w:r>
          </w:p>
        </w:tc>
        <w:tc>
          <w:tcPr>
            <w:tcW w:w="486" w:type="pct"/>
            <w:tcBorders>
              <w:bottom w:val="single" w:sz="4" w:space="0" w:color="auto"/>
            </w:tcBorders>
            <w:shd w:val="clear" w:color="auto" w:fill="5C2946"/>
          </w:tcPr>
          <w:p w14:paraId="42790BA6" w14:textId="77777777" w:rsidR="009A7378" w:rsidRPr="00D63217" w:rsidRDefault="009A7378" w:rsidP="005C1E35">
            <w:pPr>
              <w:pStyle w:val="TableHead"/>
            </w:pPr>
            <w:r w:rsidRPr="00D63217">
              <w:t>Life stage</w:t>
            </w:r>
          </w:p>
        </w:tc>
        <w:tc>
          <w:tcPr>
            <w:tcW w:w="612" w:type="pct"/>
            <w:tcBorders>
              <w:bottom w:val="single" w:sz="4" w:space="0" w:color="auto"/>
            </w:tcBorders>
            <w:shd w:val="clear" w:color="auto" w:fill="5C2946"/>
          </w:tcPr>
          <w:p w14:paraId="38C0B46D" w14:textId="77777777" w:rsidR="009A7378" w:rsidRPr="00D63217" w:rsidRDefault="009A7378" w:rsidP="005C1E35">
            <w:pPr>
              <w:pStyle w:val="TableHead"/>
            </w:pPr>
            <w:r w:rsidRPr="00D63217">
              <w:t>Exposure</w:t>
            </w:r>
          </w:p>
        </w:tc>
        <w:tc>
          <w:tcPr>
            <w:tcW w:w="1091" w:type="pct"/>
            <w:tcBorders>
              <w:bottom w:val="single" w:sz="4" w:space="0" w:color="auto"/>
            </w:tcBorders>
            <w:shd w:val="clear" w:color="auto" w:fill="5C2946"/>
          </w:tcPr>
          <w:p w14:paraId="53D67A43" w14:textId="77777777" w:rsidR="009A7378" w:rsidRPr="00D63217" w:rsidRDefault="009A7378" w:rsidP="005C1E35">
            <w:pPr>
              <w:pStyle w:val="TableHead"/>
            </w:pPr>
            <w:r w:rsidRPr="00D63217">
              <w:t>Toxicity value</w:t>
            </w:r>
          </w:p>
        </w:tc>
        <w:tc>
          <w:tcPr>
            <w:tcW w:w="1481" w:type="pct"/>
            <w:tcBorders>
              <w:bottom w:val="single" w:sz="4" w:space="0" w:color="auto"/>
            </w:tcBorders>
            <w:shd w:val="clear" w:color="auto" w:fill="5C2946"/>
          </w:tcPr>
          <w:p w14:paraId="661D2CD0" w14:textId="77777777" w:rsidR="009A7378" w:rsidRPr="00D63217" w:rsidRDefault="009A7378" w:rsidP="005C1E35">
            <w:pPr>
              <w:pStyle w:val="TableHead"/>
            </w:pPr>
            <w:r w:rsidRPr="00D63217">
              <w:t>Reference</w:t>
            </w:r>
          </w:p>
        </w:tc>
      </w:tr>
      <w:tr w:rsidR="009A7378" w:rsidRPr="00D63217" w14:paraId="4EC27E20" w14:textId="77777777" w:rsidTr="00BF4B43">
        <w:tc>
          <w:tcPr>
            <w:tcW w:w="722" w:type="pct"/>
            <w:tcBorders>
              <w:top w:val="single" w:sz="4" w:space="0" w:color="auto"/>
              <w:left w:val="nil"/>
              <w:bottom w:val="nil"/>
              <w:right w:val="nil"/>
            </w:tcBorders>
          </w:tcPr>
          <w:p w14:paraId="0DB458A9" w14:textId="77777777" w:rsidR="009A7378" w:rsidRPr="00D63217" w:rsidRDefault="009A7378" w:rsidP="002C3D34">
            <w:pPr>
              <w:pStyle w:val="TableText"/>
              <w:spacing w:before="0" w:after="0" w:line="240" w:lineRule="auto"/>
              <w:rPr>
                <w:szCs w:val="17"/>
              </w:rPr>
            </w:pPr>
            <w:r w:rsidRPr="00D63217">
              <w:rPr>
                <w:szCs w:val="17"/>
              </w:rPr>
              <w:t>Paraquat</w:t>
            </w:r>
          </w:p>
        </w:tc>
        <w:tc>
          <w:tcPr>
            <w:tcW w:w="607" w:type="pct"/>
            <w:tcBorders>
              <w:top w:val="single" w:sz="4" w:space="0" w:color="auto"/>
              <w:left w:val="nil"/>
              <w:bottom w:val="nil"/>
              <w:right w:val="nil"/>
            </w:tcBorders>
          </w:tcPr>
          <w:p w14:paraId="5ABA1127" w14:textId="77777777" w:rsidR="009A7378" w:rsidRPr="00D63217" w:rsidRDefault="009A7378" w:rsidP="002C3D34">
            <w:pPr>
              <w:pStyle w:val="TableText"/>
              <w:spacing w:before="0" w:after="0" w:line="240" w:lineRule="auto"/>
              <w:rPr>
                <w:szCs w:val="17"/>
              </w:rPr>
            </w:pPr>
            <w:r w:rsidRPr="00D63217">
              <w:rPr>
                <w:i/>
                <w:iCs/>
                <w:szCs w:val="17"/>
              </w:rPr>
              <w:t>Apis mellifera</w:t>
            </w:r>
          </w:p>
        </w:tc>
        <w:tc>
          <w:tcPr>
            <w:tcW w:w="486" w:type="pct"/>
            <w:tcBorders>
              <w:top w:val="single" w:sz="4" w:space="0" w:color="auto"/>
              <w:left w:val="nil"/>
              <w:bottom w:val="nil"/>
              <w:right w:val="nil"/>
            </w:tcBorders>
          </w:tcPr>
          <w:p w14:paraId="2F30E321" w14:textId="77777777" w:rsidR="009A7378" w:rsidRPr="00D63217" w:rsidRDefault="009A7378" w:rsidP="002C3D34">
            <w:pPr>
              <w:pStyle w:val="TableText"/>
              <w:spacing w:before="0" w:after="0" w:line="240" w:lineRule="auto"/>
              <w:rPr>
                <w:szCs w:val="17"/>
              </w:rPr>
            </w:pPr>
            <w:r w:rsidRPr="00D63217">
              <w:rPr>
                <w:szCs w:val="17"/>
              </w:rPr>
              <w:t>Adult</w:t>
            </w:r>
          </w:p>
        </w:tc>
        <w:tc>
          <w:tcPr>
            <w:tcW w:w="612" w:type="pct"/>
            <w:tcBorders>
              <w:top w:val="single" w:sz="4" w:space="0" w:color="auto"/>
              <w:left w:val="nil"/>
              <w:bottom w:val="single" w:sz="4" w:space="0" w:color="auto"/>
              <w:right w:val="nil"/>
            </w:tcBorders>
          </w:tcPr>
          <w:p w14:paraId="01863A4A" w14:textId="77777777" w:rsidR="009A7378" w:rsidRPr="00D63217" w:rsidRDefault="009A7378" w:rsidP="002C3D34">
            <w:pPr>
              <w:pStyle w:val="TableText"/>
              <w:spacing w:before="0" w:after="0" w:line="240" w:lineRule="auto"/>
              <w:rPr>
                <w:szCs w:val="17"/>
              </w:rPr>
            </w:pPr>
            <w:r w:rsidRPr="00D63217">
              <w:rPr>
                <w:szCs w:val="17"/>
              </w:rPr>
              <w:t>Acute contact</w:t>
            </w:r>
          </w:p>
        </w:tc>
        <w:tc>
          <w:tcPr>
            <w:tcW w:w="1091" w:type="pct"/>
            <w:tcBorders>
              <w:top w:val="single" w:sz="4" w:space="0" w:color="auto"/>
              <w:left w:val="nil"/>
              <w:bottom w:val="single" w:sz="4" w:space="0" w:color="auto"/>
              <w:right w:val="nil"/>
            </w:tcBorders>
          </w:tcPr>
          <w:p w14:paraId="1576DF6F" w14:textId="77777777" w:rsidR="009A7378" w:rsidRPr="00D63217" w:rsidRDefault="009A7378" w:rsidP="002C3D34">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82 µg ac/bee</w:t>
            </w:r>
          </w:p>
        </w:tc>
        <w:tc>
          <w:tcPr>
            <w:tcW w:w="1481" w:type="pct"/>
            <w:tcBorders>
              <w:top w:val="single" w:sz="4" w:space="0" w:color="auto"/>
              <w:left w:val="nil"/>
              <w:bottom w:val="single" w:sz="4" w:space="0" w:color="auto"/>
              <w:right w:val="nil"/>
            </w:tcBorders>
          </w:tcPr>
          <w:p w14:paraId="0C6661CC" w14:textId="77777777" w:rsidR="009A7378" w:rsidRPr="00D63217" w:rsidRDefault="009A7378" w:rsidP="002C3D34">
            <w:pPr>
              <w:pStyle w:val="TableText"/>
              <w:spacing w:before="0" w:after="0" w:line="240" w:lineRule="auto"/>
              <w:rPr>
                <w:szCs w:val="17"/>
              </w:rPr>
            </w:pPr>
            <w:r w:rsidRPr="00D63217">
              <w:rPr>
                <w:szCs w:val="17"/>
              </w:rPr>
              <w:t>Bull &amp; Wilkinson 1987</w:t>
            </w:r>
          </w:p>
        </w:tc>
      </w:tr>
      <w:tr w:rsidR="009A7378" w:rsidRPr="00D63217" w14:paraId="6F9B5166" w14:textId="77777777" w:rsidTr="00BF4B43">
        <w:tc>
          <w:tcPr>
            <w:tcW w:w="722" w:type="pct"/>
            <w:tcBorders>
              <w:top w:val="nil"/>
              <w:left w:val="nil"/>
              <w:bottom w:val="nil"/>
              <w:right w:val="nil"/>
            </w:tcBorders>
          </w:tcPr>
          <w:p w14:paraId="166D7DDD" w14:textId="77777777" w:rsidR="009A7378" w:rsidRPr="00D63217" w:rsidRDefault="009A7378" w:rsidP="002C3D34">
            <w:pPr>
              <w:pStyle w:val="TableText"/>
              <w:spacing w:before="0" w:after="0" w:line="240" w:lineRule="auto"/>
              <w:rPr>
                <w:szCs w:val="17"/>
              </w:rPr>
            </w:pPr>
          </w:p>
        </w:tc>
        <w:tc>
          <w:tcPr>
            <w:tcW w:w="607" w:type="pct"/>
            <w:tcBorders>
              <w:top w:val="nil"/>
              <w:left w:val="nil"/>
              <w:bottom w:val="nil"/>
              <w:right w:val="nil"/>
            </w:tcBorders>
          </w:tcPr>
          <w:p w14:paraId="01823632" w14:textId="77777777" w:rsidR="009A7378" w:rsidRPr="00D63217" w:rsidRDefault="009A7378" w:rsidP="002C3D34">
            <w:pPr>
              <w:pStyle w:val="TableText"/>
              <w:spacing w:before="0" w:after="0" w:line="240" w:lineRule="auto"/>
              <w:rPr>
                <w:szCs w:val="17"/>
              </w:rPr>
            </w:pPr>
          </w:p>
        </w:tc>
        <w:tc>
          <w:tcPr>
            <w:tcW w:w="486" w:type="pct"/>
            <w:tcBorders>
              <w:top w:val="nil"/>
              <w:left w:val="nil"/>
              <w:bottom w:val="nil"/>
              <w:right w:val="nil"/>
            </w:tcBorders>
          </w:tcPr>
          <w:p w14:paraId="7B65C466" w14:textId="77777777" w:rsidR="009A7378" w:rsidRPr="00D63217" w:rsidRDefault="009A7378" w:rsidP="002C3D34">
            <w:pPr>
              <w:pStyle w:val="TableText"/>
              <w:spacing w:before="0" w:after="0" w:line="240" w:lineRule="auto"/>
              <w:rPr>
                <w:szCs w:val="17"/>
              </w:rPr>
            </w:pPr>
          </w:p>
        </w:tc>
        <w:tc>
          <w:tcPr>
            <w:tcW w:w="612" w:type="pct"/>
            <w:tcBorders>
              <w:top w:val="single" w:sz="4" w:space="0" w:color="auto"/>
              <w:left w:val="nil"/>
              <w:bottom w:val="nil"/>
              <w:right w:val="nil"/>
            </w:tcBorders>
          </w:tcPr>
          <w:p w14:paraId="0A2C6BA7" w14:textId="77777777" w:rsidR="009A7378" w:rsidRPr="00D63217" w:rsidRDefault="009A7378" w:rsidP="002C3D34">
            <w:pPr>
              <w:pStyle w:val="TableText"/>
              <w:spacing w:before="0" w:after="0" w:line="240" w:lineRule="auto"/>
              <w:rPr>
                <w:szCs w:val="17"/>
              </w:rPr>
            </w:pPr>
            <w:r w:rsidRPr="00D63217">
              <w:rPr>
                <w:szCs w:val="17"/>
              </w:rPr>
              <w:t>Acute oral</w:t>
            </w:r>
          </w:p>
        </w:tc>
        <w:tc>
          <w:tcPr>
            <w:tcW w:w="1091" w:type="pct"/>
            <w:tcBorders>
              <w:top w:val="single" w:sz="4" w:space="0" w:color="auto"/>
              <w:left w:val="nil"/>
              <w:bottom w:val="nil"/>
              <w:right w:val="nil"/>
            </w:tcBorders>
          </w:tcPr>
          <w:p w14:paraId="652AA894" w14:textId="77777777" w:rsidR="009A7378" w:rsidRPr="00D63217" w:rsidRDefault="009A7378" w:rsidP="002C3D34">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22 µg ac/bee</w:t>
            </w:r>
          </w:p>
        </w:tc>
        <w:tc>
          <w:tcPr>
            <w:tcW w:w="1481" w:type="pct"/>
            <w:tcBorders>
              <w:top w:val="single" w:sz="4" w:space="0" w:color="auto"/>
              <w:left w:val="nil"/>
              <w:bottom w:val="nil"/>
              <w:right w:val="nil"/>
            </w:tcBorders>
          </w:tcPr>
          <w:p w14:paraId="30921779" w14:textId="77777777" w:rsidR="009A7378" w:rsidRPr="00D63217" w:rsidRDefault="009A7378" w:rsidP="002C3D34">
            <w:pPr>
              <w:pStyle w:val="TableText"/>
              <w:spacing w:before="0" w:after="0" w:line="240" w:lineRule="auto"/>
              <w:rPr>
                <w:szCs w:val="17"/>
              </w:rPr>
            </w:pPr>
            <w:r w:rsidRPr="00D63217">
              <w:rPr>
                <w:szCs w:val="17"/>
              </w:rPr>
              <w:t>Bull &amp; Wilkinson 1987</w:t>
            </w:r>
          </w:p>
        </w:tc>
      </w:tr>
      <w:tr w:rsidR="009A7378" w:rsidRPr="00D63217" w14:paraId="77DB237D" w14:textId="77777777" w:rsidTr="00BF4B43">
        <w:tc>
          <w:tcPr>
            <w:tcW w:w="722" w:type="pct"/>
            <w:tcBorders>
              <w:top w:val="nil"/>
              <w:left w:val="nil"/>
              <w:bottom w:val="nil"/>
              <w:right w:val="nil"/>
            </w:tcBorders>
          </w:tcPr>
          <w:p w14:paraId="348EAB18" w14:textId="77777777" w:rsidR="009A7378" w:rsidRPr="00D63217" w:rsidRDefault="009A7378" w:rsidP="002C3D34">
            <w:pPr>
              <w:pStyle w:val="TableText"/>
              <w:spacing w:before="0" w:after="0" w:line="240" w:lineRule="auto"/>
              <w:rPr>
                <w:szCs w:val="17"/>
              </w:rPr>
            </w:pPr>
          </w:p>
        </w:tc>
        <w:tc>
          <w:tcPr>
            <w:tcW w:w="607" w:type="pct"/>
            <w:tcBorders>
              <w:top w:val="nil"/>
              <w:left w:val="nil"/>
              <w:bottom w:val="nil"/>
              <w:right w:val="nil"/>
            </w:tcBorders>
          </w:tcPr>
          <w:p w14:paraId="60468711" w14:textId="77777777" w:rsidR="009A7378" w:rsidRPr="00D63217" w:rsidRDefault="009A7378" w:rsidP="002C3D34">
            <w:pPr>
              <w:pStyle w:val="TableText"/>
              <w:spacing w:before="0" w:after="0" w:line="240" w:lineRule="auto"/>
              <w:rPr>
                <w:szCs w:val="17"/>
              </w:rPr>
            </w:pPr>
          </w:p>
        </w:tc>
        <w:tc>
          <w:tcPr>
            <w:tcW w:w="486" w:type="pct"/>
            <w:tcBorders>
              <w:top w:val="nil"/>
              <w:left w:val="nil"/>
              <w:bottom w:val="nil"/>
              <w:right w:val="nil"/>
            </w:tcBorders>
          </w:tcPr>
          <w:p w14:paraId="0CB87EBB" w14:textId="77777777" w:rsidR="009A7378" w:rsidRPr="00D63217" w:rsidRDefault="009A7378" w:rsidP="002C3D34">
            <w:pPr>
              <w:pStyle w:val="TableText"/>
              <w:spacing w:before="0" w:after="0" w:line="240" w:lineRule="auto"/>
              <w:rPr>
                <w:szCs w:val="17"/>
              </w:rPr>
            </w:pPr>
          </w:p>
        </w:tc>
        <w:tc>
          <w:tcPr>
            <w:tcW w:w="612" w:type="pct"/>
            <w:tcBorders>
              <w:top w:val="nil"/>
              <w:left w:val="nil"/>
              <w:bottom w:val="nil"/>
              <w:right w:val="nil"/>
            </w:tcBorders>
          </w:tcPr>
          <w:p w14:paraId="1CE28076" w14:textId="77777777" w:rsidR="009A7378" w:rsidRPr="00D63217" w:rsidRDefault="009A7378" w:rsidP="002C3D34">
            <w:pPr>
              <w:pStyle w:val="TableText"/>
              <w:spacing w:before="0" w:after="0" w:line="240" w:lineRule="auto"/>
              <w:rPr>
                <w:szCs w:val="17"/>
              </w:rPr>
            </w:pPr>
          </w:p>
        </w:tc>
        <w:tc>
          <w:tcPr>
            <w:tcW w:w="1091" w:type="pct"/>
            <w:tcBorders>
              <w:top w:val="nil"/>
              <w:left w:val="nil"/>
              <w:bottom w:val="nil"/>
              <w:right w:val="nil"/>
            </w:tcBorders>
          </w:tcPr>
          <w:p w14:paraId="3866EF02" w14:textId="77777777" w:rsidR="009A7378" w:rsidRPr="00D63217" w:rsidRDefault="009A7378" w:rsidP="002C3D34">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14 µg ac/bee</w:t>
            </w:r>
          </w:p>
        </w:tc>
        <w:tc>
          <w:tcPr>
            <w:tcW w:w="1481" w:type="pct"/>
            <w:tcBorders>
              <w:top w:val="nil"/>
              <w:left w:val="nil"/>
              <w:bottom w:val="nil"/>
              <w:right w:val="nil"/>
            </w:tcBorders>
          </w:tcPr>
          <w:p w14:paraId="5FEBE5C8" w14:textId="77777777" w:rsidR="009A7378" w:rsidRPr="00D63217" w:rsidRDefault="009A7378" w:rsidP="002C3D34">
            <w:pPr>
              <w:pStyle w:val="TableText"/>
              <w:spacing w:before="0" w:after="0" w:line="240" w:lineRule="auto"/>
              <w:rPr>
                <w:szCs w:val="17"/>
              </w:rPr>
            </w:pPr>
            <w:r w:rsidRPr="00D63217">
              <w:rPr>
                <w:szCs w:val="17"/>
              </w:rPr>
              <w:t>Bruhnke 2007</w:t>
            </w:r>
          </w:p>
        </w:tc>
      </w:tr>
      <w:tr w:rsidR="009A7378" w:rsidRPr="00D63217" w14:paraId="570758E5" w14:textId="77777777" w:rsidTr="00BF4B43">
        <w:tc>
          <w:tcPr>
            <w:tcW w:w="722" w:type="pct"/>
            <w:tcBorders>
              <w:top w:val="nil"/>
              <w:left w:val="nil"/>
              <w:bottom w:val="single" w:sz="4" w:space="0" w:color="auto"/>
              <w:right w:val="nil"/>
            </w:tcBorders>
          </w:tcPr>
          <w:p w14:paraId="2CED5997" w14:textId="77777777" w:rsidR="009A7378" w:rsidRPr="00D63217" w:rsidRDefault="009A7378" w:rsidP="002C3D34">
            <w:pPr>
              <w:pStyle w:val="TableText"/>
              <w:spacing w:before="0" w:after="0" w:line="240" w:lineRule="auto"/>
              <w:rPr>
                <w:szCs w:val="17"/>
              </w:rPr>
            </w:pPr>
          </w:p>
        </w:tc>
        <w:tc>
          <w:tcPr>
            <w:tcW w:w="607" w:type="pct"/>
            <w:tcBorders>
              <w:top w:val="nil"/>
              <w:left w:val="nil"/>
              <w:bottom w:val="single" w:sz="4" w:space="0" w:color="auto"/>
              <w:right w:val="nil"/>
            </w:tcBorders>
          </w:tcPr>
          <w:p w14:paraId="2892ADFB" w14:textId="77777777" w:rsidR="009A7378" w:rsidRPr="00D63217" w:rsidRDefault="009A7378" w:rsidP="002C3D34">
            <w:pPr>
              <w:pStyle w:val="TableText"/>
              <w:spacing w:before="0" w:after="0" w:line="240" w:lineRule="auto"/>
              <w:rPr>
                <w:szCs w:val="17"/>
              </w:rPr>
            </w:pPr>
          </w:p>
        </w:tc>
        <w:tc>
          <w:tcPr>
            <w:tcW w:w="486" w:type="pct"/>
            <w:tcBorders>
              <w:top w:val="nil"/>
              <w:left w:val="nil"/>
              <w:bottom w:val="single" w:sz="4" w:space="0" w:color="auto"/>
              <w:right w:val="nil"/>
            </w:tcBorders>
          </w:tcPr>
          <w:p w14:paraId="1E292B89" w14:textId="77777777" w:rsidR="009A7378" w:rsidRPr="00D63217" w:rsidRDefault="009A7378" w:rsidP="002C3D34">
            <w:pPr>
              <w:pStyle w:val="TableText"/>
              <w:spacing w:before="0" w:after="0" w:line="240" w:lineRule="auto"/>
              <w:rPr>
                <w:szCs w:val="17"/>
              </w:rPr>
            </w:pPr>
          </w:p>
        </w:tc>
        <w:tc>
          <w:tcPr>
            <w:tcW w:w="612" w:type="pct"/>
            <w:tcBorders>
              <w:top w:val="nil"/>
              <w:left w:val="nil"/>
              <w:bottom w:val="single" w:sz="4" w:space="0" w:color="auto"/>
              <w:right w:val="nil"/>
            </w:tcBorders>
          </w:tcPr>
          <w:p w14:paraId="2C77E6D6" w14:textId="77777777" w:rsidR="009A7378" w:rsidRPr="00D63217" w:rsidRDefault="009A7378" w:rsidP="002C3D34">
            <w:pPr>
              <w:pStyle w:val="TableText"/>
              <w:spacing w:before="0" w:after="0" w:line="240" w:lineRule="auto"/>
              <w:rPr>
                <w:szCs w:val="17"/>
              </w:rPr>
            </w:pPr>
          </w:p>
        </w:tc>
        <w:tc>
          <w:tcPr>
            <w:tcW w:w="1091" w:type="pct"/>
            <w:tcBorders>
              <w:top w:val="nil"/>
              <w:left w:val="nil"/>
              <w:bottom w:val="single" w:sz="4" w:space="0" w:color="auto"/>
              <w:right w:val="nil"/>
            </w:tcBorders>
          </w:tcPr>
          <w:p w14:paraId="0EDF5ED6" w14:textId="77777777" w:rsidR="009A7378" w:rsidRPr="00D63217" w:rsidRDefault="009A7378" w:rsidP="002C3D34">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&gt;35 µg ac/bee</w:t>
            </w:r>
          </w:p>
        </w:tc>
        <w:tc>
          <w:tcPr>
            <w:tcW w:w="1481" w:type="pct"/>
            <w:tcBorders>
              <w:top w:val="nil"/>
              <w:left w:val="nil"/>
              <w:bottom w:val="single" w:sz="4" w:space="0" w:color="auto"/>
              <w:right w:val="nil"/>
            </w:tcBorders>
          </w:tcPr>
          <w:p w14:paraId="2A45E8F9" w14:textId="77777777" w:rsidR="009A7378" w:rsidRPr="00D63217" w:rsidRDefault="009A7378" w:rsidP="002C3D34">
            <w:pPr>
              <w:pStyle w:val="TableText"/>
              <w:spacing w:before="0" w:after="0" w:line="240" w:lineRule="auto"/>
              <w:rPr>
                <w:szCs w:val="17"/>
              </w:rPr>
            </w:pPr>
            <w:r w:rsidRPr="00D63217">
              <w:rPr>
                <w:szCs w:val="17"/>
              </w:rPr>
              <w:t>Stevenson 1978</w:t>
            </w:r>
          </w:p>
        </w:tc>
      </w:tr>
      <w:tr w:rsidR="009A7378" w:rsidRPr="00D63217" w14:paraId="3612E494" w14:textId="77777777" w:rsidTr="00BF4B43">
        <w:tc>
          <w:tcPr>
            <w:tcW w:w="722" w:type="pct"/>
            <w:tcBorders>
              <w:top w:val="single" w:sz="4" w:space="0" w:color="auto"/>
              <w:left w:val="nil"/>
              <w:bottom w:val="nil"/>
              <w:right w:val="nil"/>
            </w:tcBorders>
          </w:tcPr>
          <w:p w14:paraId="4FEA2B1F" w14:textId="77777777" w:rsidR="009A7378" w:rsidRPr="00D63217" w:rsidRDefault="009A7378" w:rsidP="002C3D34">
            <w:pPr>
              <w:pStyle w:val="TableText"/>
              <w:spacing w:before="0" w:after="0" w:line="240" w:lineRule="auto"/>
              <w:rPr>
                <w:szCs w:val="17"/>
              </w:rPr>
            </w:pPr>
            <w:r w:rsidRPr="00D63217">
              <w:rPr>
                <w:szCs w:val="17"/>
              </w:rPr>
              <w:t>SL 200 g/L</w:t>
            </w:r>
          </w:p>
        </w:tc>
        <w:tc>
          <w:tcPr>
            <w:tcW w:w="607" w:type="pct"/>
            <w:tcBorders>
              <w:top w:val="single" w:sz="4" w:space="0" w:color="auto"/>
              <w:left w:val="nil"/>
              <w:bottom w:val="nil"/>
              <w:right w:val="nil"/>
            </w:tcBorders>
          </w:tcPr>
          <w:p w14:paraId="65852D9C" w14:textId="77777777" w:rsidR="009A7378" w:rsidRPr="00D63217" w:rsidRDefault="009A7378" w:rsidP="002C3D34">
            <w:pPr>
              <w:pStyle w:val="TableText"/>
              <w:spacing w:before="0" w:after="0" w:line="240" w:lineRule="auto"/>
              <w:rPr>
                <w:szCs w:val="17"/>
              </w:rPr>
            </w:pPr>
            <w:r w:rsidRPr="00D63217">
              <w:rPr>
                <w:i/>
                <w:iCs/>
                <w:szCs w:val="17"/>
              </w:rPr>
              <w:t>Apis mellifera</w:t>
            </w:r>
          </w:p>
        </w:tc>
        <w:tc>
          <w:tcPr>
            <w:tcW w:w="486" w:type="pct"/>
            <w:tcBorders>
              <w:top w:val="single" w:sz="4" w:space="0" w:color="auto"/>
              <w:left w:val="nil"/>
              <w:bottom w:val="nil"/>
              <w:right w:val="nil"/>
            </w:tcBorders>
          </w:tcPr>
          <w:p w14:paraId="4133A259" w14:textId="77777777" w:rsidR="009A7378" w:rsidRPr="00D63217" w:rsidRDefault="009A7378" w:rsidP="002C3D34">
            <w:pPr>
              <w:pStyle w:val="TableText"/>
              <w:spacing w:before="0" w:after="0" w:line="240" w:lineRule="auto"/>
              <w:rPr>
                <w:szCs w:val="17"/>
              </w:rPr>
            </w:pPr>
            <w:r w:rsidRPr="00D63217">
              <w:rPr>
                <w:szCs w:val="17"/>
              </w:rPr>
              <w:t>Adult</w:t>
            </w:r>
          </w:p>
        </w:tc>
        <w:tc>
          <w:tcPr>
            <w:tcW w:w="612" w:type="pct"/>
            <w:tcBorders>
              <w:top w:val="single" w:sz="4" w:space="0" w:color="auto"/>
              <w:left w:val="nil"/>
              <w:bottom w:val="nil"/>
              <w:right w:val="nil"/>
            </w:tcBorders>
          </w:tcPr>
          <w:p w14:paraId="74E800A7" w14:textId="77777777" w:rsidR="009A7378" w:rsidRPr="00D63217" w:rsidRDefault="009A7378" w:rsidP="002C3D34">
            <w:pPr>
              <w:pStyle w:val="TableText"/>
              <w:spacing w:before="0" w:after="0" w:line="240" w:lineRule="auto"/>
              <w:rPr>
                <w:szCs w:val="17"/>
              </w:rPr>
            </w:pPr>
            <w:r w:rsidRPr="00D63217">
              <w:rPr>
                <w:szCs w:val="17"/>
              </w:rPr>
              <w:t>Acute contact</w:t>
            </w:r>
          </w:p>
        </w:tc>
        <w:tc>
          <w:tcPr>
            <w:tcW w:w="1091" w:type="pct"/>
            <w:tcBorders>
              <w:top w:val="single" w:sz="4" w:space="0" w:color="auto"/>
              <w:left w:val="nil"/>
              <w:bottom w:val="nil"/>
              <w:right w:val="nil"/>
            </w:tcBorders>
          </w:tcPr>
          <w:p w14:paraId="036DFC16" w14:textId="77777777" w:rsidR="009A7378" w:rsidRPr="00D63217" w:rsidRDefault="009A7378" w:rsidP="002C3D34">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16 µg ac/bee</w:t>
            </w:r>
          </w:p>
        </w:tc>
        <w:tc>
          <w:tcPr>
            <w:tcW w:w="1481" w:type="pct"/>
            <w:tcBorders>
              <w:top w:val="single" w:sz="4" w:space="0" w:color="auto"/>
              <w:left w:val="nil"/>
              <w:bottom w:val="nil"/>
              <w:right w:val="nil"/>
            </w:tcBorders>
          </w:tcPr>
          <w:p w14:paraId="2D6C7D62" w14:textId="77777777" w:rsidR="009A7378" w:rsidRPr="00D63217" w:rsidRDefault="009A7378" w:rsidP="002C3D34">
            <w:pPr>
              <w:pStyle w:val="TableText"/>
              <w:spacing w:before="0" w:after="0" w:line="240" w:lineRule="auto"/>
              <w:rPr>
                <w:szCs w:val="17"/>
              </w:rPr>
            </w:pPr>
            <w:r w:rsidRPr="00D63217">
              <w:rPr>
                <w:szCs w:val="17"/>
              </w:rPr>
              <w:t>Bull &amp; Wilkinson 1987</w:t>
            </w:r>
          </w:p>
        </w:tc>
      </w:tr>
      <w:tr w:rsidR="009A7378" w:rsidRPr="00D63217" w14:paraId="1207CCD6" w14:textId="77777777" w:rsidTr="00BF4B43">
        <w:tc>
          <w:tcPr>
            <w:tcW w:w="722" w:type="pct"/>
            <w:tcBorders>
              <w:top w:val="nil"/>
              <w:left w:val="nil"/>
              <w:bottom w:val="single" w:sz="4" w:space="0" w:color="auto"/>
              <w:right w:val="nil"/>
            </w:tcBorders>
          </w:tcPr>
          <w:p w14:paraId="0DD7E2A7" w14:textId="77777777" w:rsidR="009A7378" w:rsidRPr="00D63217" w:rsidRDefault="009A7378" w:rsidP="002C3D34">
            <w:pPr>
              <w:pStyle w:val="TableText"/>
              <w:spacing w:before="0" w:after="0" w:line="240" w:lineRule="auto"/>
              <w:rPr>
                <w:szCs w:val="17"/>
              </w:rPr>
            </w:pPr>
          </w:p>
        </w:tc>
        <w:tc>
          <w:tcPr>
            <w:tcW w:w="607" w:type="pct"/>
            <w:tcBorders>
              <w:top w:val="nil"/>
              <w:left w:val="nil"/>
              <w:bottom w:val="single" w:sz="4" w:space="0" w:color="auto"/>
              <w:right w:val="nil"/>
            </w:tcBorders>
          </w:tcPr>
          <w:p w14:paraId="2E1ECED3" w14:textId="77777777" w:rsidR="009A7378" w:rsidRPr="00D63217" w:rsidRDefault="009A7378" w:rsidP="002C3D34">
            <w:pPr>
              <w:pStyle w:val="TableText"/>
              <w:spacing w:before="0" w:after="0" w:line="240" w:lineRule="auto"/>
              <w:rPr>
                <w:i/>
                <w:iCs/>
                <w:szCs w:val="17"/>
              </w:rPr>
            </w:pPr>
          </w:p>
        </w:tc>
        <w:tc>
          <w:tcPr>
            <w:tcW w:w="486" w:type="pct"/>
            <w:tcBorders>
              <w:top w:val="nil"/>
              <w:left w:val="nil"/>
              <w:bottom w:val="single" w:sz="4" w:space="0" w:color="auto"/>
              <w:right w:val="nil"/>
            </w:tcBorders>
          </w:tcPr>
          <w:p w14:paraId="6EF14A4B" w14:textId="77777777" w:rsidR="009A7378" w:rsidRPr="00D63217" w:rsidRDefault="009A7378" w:rsidP="002C3D34">
            <w:pPr>
              <w:pStyle w:val="TableText"/>
              <w:spacing w:before="0" w:after="0" w:line="240" w:lineRule="auto"/>
              <w:rPr>
                <w:szCs w:val="17"/>
              </w:rPr>
            </w:pPr>
          </w:p>
        </w:tc>
        <w:tc>
          <w:tcPr>
            <w:tcW w:w="612" w:type="pct"/>
            <w:tcBorders>
              <w:top w:val="nil"/>
              <w:left w:val="nil"/>
              <w:bottom w:val="single" w:sz="4" w:space="0" w:color="auto"/>
              <w:right w:val="nil"/>
            </w:tcBorders>
          </w:tcPr>
          <w:p w14:paraId="39BC10B0" w14:textId="77777777" w:rsidR="009A7378" w:rsidRPr="00D63217" w:rsidRDefault="009A7378" w:rsidP="002C3D34">
            <w:pPr>
              <w:pStyle w:val="TableText"/>
              <w:spacing w:before="0" w:after="0" w:line="240" w:lineRule="auto"/>
              <w:rPr>
                <w:szCs w:val="17"/>
              </w:rPr>
            </w:pPr>
            <w:r w:rsidRPr="00D63217">
              <w:rPr>
                <w:szCs w:val="17"/>
              </w:rPr>
              <w:t xml:space="preserve">Acute oral </w:t>
            </w:r>
          </w:p>
        </w:tc>
        <w:tc>
          <w:tcPr>
            <w:tcW w:w="1091" w:type="pct"/>
            <w:tcBorders>
              <w:top w:val="nil"/>
              <w:left w:val="nil"/>
              <w:bottom w:val="single" w:sz="4" w:space="0" w:color="auto"/>
              <w:right w:val="nil"/>
            </w:tcBorders>
          </w:tcPr>
          <w:p w14:paraId="7ED90A13" w14:textId="77777777" w:rsidR="009A7378" w:rsidRPr="00D63217" w:rsidRDefault="009A7378" w:rsidP="002C3D34">
            <w:pPr>
              <w:pStyle w:val="TableText"/>
              <w:spacing w:before="0" w:after="0" w:line="240" w:lineRule="auto"/>
              <w:rPr>
                <w:szCs w:val="17"/>
              </w:rPr>
            </w:pPr>
            <w:r w:rsidRPr="00D63217">
              <w:rPr>
                <w:szCs w:val="17"/>
              </w:rPr>
              <w:t>LD</w:t>
            </w:r>
            <w:r w:rsidRPr="00D63217">
              <w:rPr>
                <w:szCs w:val="17"/>
                <w:vertAlign w:val="subscript"/>
              </w:rPr>
              <w:t>50</w:t>
            </w:r>
            <w:r w:rsidRPr="00D63217">
              <w:rPr>
                <w:szCs w:val="17"/>
              </w:rPr>
              <w:t xml:space="preserve"> 13 µg ac/bee</w:t>
            </w:r>
          </w:p>
        </w:tc>
        <w:tc>
          <w:tcPr>
            <w:tcW w:w="1481" w:type="pct"/>
            <w:tcBorders>
              <w:top w:val="nil"/>
              <w:left w:val="nil"/>
              <w:bottom w:val="single" w:sz="4" w:space="0" w:color="auto"/>
              <w:right w:val="nil"/>
            </w:tcBorders>
          </w:tcPr>
          <w:p w14:paraId="67646872" w14:textId="77777777" w:rsidR="009A7378" w:rsidRPr="00D63217" w:rsidRDefault="009A7378" w:rsidP="002C3D34">
            <w:pPr>
              <w:pStyle w:val="TableText"/>
              <w:spacing w:before="0" w:after="0" w:line="240" w:lineRule="auto"/>
              <w:rPr>
                <w:szCs w:val="17"/>
              </w:rPr>
            </w:pPr>
            <w:r w:rsidRPr="00D63217">
              <w:rPr>
                <w:szCs w:val="17"/>
              </w:rPr>
              <w:t>Bull &amp; Wilkinson 1987</w:t>
            </w:r>
          </w:p>
        </w:tc>
      </w:tr>
    </w:tbl>
    <w:p w14:paraId="4CDC5E1B" w14:textId="77777777" w:rsidR="00A70C86" w:rsidRDefault="00A70C86" w:rsidP="00A70C86">
      <w:pPr>
        <w:pStyle w:val="Caption"/>
      </w:pPr>
      <w:bookmarkStart w:id="672" w:name="_Toc230692329"/>
      <w:r>
        <w:br w:type="page"/>
      </w:r>
    </w:p>
    <w:p w14:paraId="5049E50A" w14:textId="07651B7E" w:rsidR="009A7378" w:rsidRPr="00A70C86" w:rsidRDefault="00F012C6" w:rsidP="00A70C86">
      <w:pPr>
        <w:pStyle w:val="Caption"/>
      </w:pPr>
      <w:bookmarkStart w:id="673" w:name="_Toc233036550"/>
      <w:r w:rsidRPr="00A70C86">
        <w:lastRenderedPageBreak/>
        <w:t xml:space="preserve">Table </w:t>
      </w:r>
      <w:fldSimple w:instr=" SEQ Table \* ARABIC ">
        <w:r w:rsidR="00A70C86">
          <w:rPr>
            <w:noProof/>
          </w:rPr>
          <w:t>63</w:t>
        </w:r>
      </w:fldSimple>
      <w:bookmarkStart w:id="674" w:name="_Toc156383625"/>
      <w:bookmarkEnd w:id="670"/>
      <w:bookmarkEnd w:id="671"/>
      <w:r w:rsidRPr="00A70C86">
        <w:t xml:space="preserve">: </w:t>
      </w:r>
      <w:r w:rsidR="00017CE7" w:rsidRPr="00A70C86">
        <w:t xml:space="preserve">Paraquat – </w:t>
      </w:r>
      <w:r w:rsidR="009A7378" w:rsidRPr="00A70C86">
        <w:t>Laboratory studies on other arthropod species</w:t>
      </w:r>
      <w:bookmarkEnd w:id="672"/>
      <w:bookmarkEnd w:id="6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0"/>
        <w:gridCol w:w="1275"/>
        <w:gridCol w:w="2126"/>
        <w:gridCol w:w="1419"/>
        <w:gridCol w:w="1700"/>
        <w:gridCol w:w="1978"/>
      </w:tblGrid>
      <w:tr w:rsidR="009A7378" w:rsidRPr="00D63217" w14:paraId="449F6214" w14:textId="77777777" w:rsidTr="00017CE7">
        <w:trPr>
          <w:trHeight w:val="13"/>
          <w:tblHeader/>
        </w:trPr>
        <w:tc>
          <w:tcPr>
            <w:tcW w:w="587" w:type="pct"/>
            <w:tcBorders>
              <w:bottom w:val="single" w:sz="4" w:space="0" w:color="auto"/>
            </w:tcBorders>
            <w:shd w:val="clear" w:color="auto" w:fill="5C2946"/>
          </w:tcPr>
          <w:p w14:paraId="3DE48C6C" w14:textId="77777777" w:rsidR="009A7378" w:rsidRPr="00D63217" w:rsidRDefault="009A7378" w:rsidP="005C1E35">
            <w:pPr>
              <w:pStyle w:val="TableHead"/>
            </w:pPr>
            <w:r w:rsidRPr="00D63217">
              <w:t>Substance</w:t>
            </w:r>
          </w:p>
        </w:tc>
        <w:tc>
          <w:tcPr>
            <w:tcW w:w="662" w:type="pct"/>
            <w:tcBorders>
              <w:bottom w:val="single" w:sz="4" w:space="0" w:color="auto"/>
            </w:tcBorders>
            <w:shd w:val="clear" w:color="auto" w:fill="5C2946"/>
          </w:tcPr>
          <w:p w14:paraId="03EBD245" w14:textId="77777777" w:rsidR="009A7378" w:rsidRPr="00D63217" w:rsidRDefault="009A7378" w:rsidP="005C1E35">
            <w:pPr>
              <w:pStyle w:val="TableHead"/>
            </w:pPr>
            <w:r w:rsidRPr="00D63217">
              <w:t>Group</w:t>
            </w:r>
          </w:p>
        </w:tc>
        <w:tc>
          <w:tcPr>
            <w:tcW w:w="1104" w:type="pct"/>
            <w:tcBorders>
              <w:bottom w:val="single" w:sz="4" w:space="0" w:color="auto"/>
            </w:tcBorders>
            <w:shd w:val="clear" w:color="auto" w:fill="5C2946"/>
          </w:tcPr>
          <w:p w14:paraId="08EE5C0A" w14:textId="77777777" w:rsidR="009A7378" w:rsidRPr="00D63217" w:rsidRDefault="009A7378" w:rsidP="005C1E35">
            <w:pPr>
              <w:pStyle w:val="TableHead"/>
            </w:pPr>
            <w:r w:rsidRPr="00D63217">
              <w:t>Species</w:t>
            </w:r>
          </w:p>
        </w:tc>
        <w:tc>
          <w:tcPr>
            <w:tcW w:w="737" w:type="pct"/>
            <w:tcBorders>
              <w:bottom w:val="single" w:sz="4" w:space="0" w:color="auto"/>
            </w:tcBorders>
            <w:shd w:val="clear" w:color="auto" w:fill="5C2946"/>
          </w:tcPr>
          <w:p w14:paraId="3B4D9D3C" w14:textId="77777777" w:rsidR="009A7378" w:rsidRPr="00D63217" w:rsidRDefault="009A7378" w:rsidP="005C1E35">
            <w:pPr>
              <w:pStyle w:val="TableHead"/>
            </w:pPr>
            <w:r w:rsidRPr="00D63217">
              <w:t>Test substrate</w:t>
            </w:r>
          </w:p>
        </w:tc>
        <w:tc>
          <w:tcPr>
            <w:tcW w:w="883" w:type="pct"/>
            <w:tcBorders>
              <w:bottom w:val="single" w:sz="4" w:space="0" w:color="auto"/>
            </w:tcBorders>
            <w:shd w:val="clear" w:color="auto" w:fill="5C2946"/>
          </w:tcPr>
          <w:p w14:paraId="2B95EA14" w14:textId="77777777" w:rsidR="009A7378" w:rsidRPr="00D63217" w:rsidRDefault="009A7378" w:rsidP="005C1E35">
            <w:pPr>
              <w:pStyle w:val="TableHead"/>
            </w:pPr>
            <w:r w:rsidRPr="00D63217">
              <w:t>Toxicity value</w:t>
            </w:r>
          </w:p>
        </w:tc>
        <w:tc>
          <w:tcPr>
            <w:tcW w:w="1027" w:type="pct"/>
            <w:tcBorders>
              <w:bottom w:val="single" w:sz="4" w:space="0" w:color="auto"/>
            </w:tcBorders>
            <w:shd w:val="clear" w:color="auto" w:fill="5C2946"/>
          </w:tcPr>
          <w:p w14:paraId="3141CE98" w14:textId="77777777" w:rsidR="009A7378" w:rsidRPr="00D63217" w:rsidRDefault="009A7378" w:rsidP="005C1E35">
            <w:pPr>
              <w:pStyle w:val="TableHead"/>
            </w:pPr>
            <w:r w:rsidRPr="00D63217">
              <w:t>Reference</w:t>
            </w:r>
          </w:p>
        </w:tc>
      </w:tr>
      <w:tr w:rsidR="009A7378" w:rsidRPr="00D63217" w14:paraId="35B145AB" w14:textId="77777777" w:rsidTr="00017CE7">
        <w:tc>
          <w:tcPr>
            <w:tcW w:w="587" w:type="pct"/>
            <w:tcBorders>
              <w:top w:val="single" w:sz="4" w:space="0" w:color="auto"/>
              <w:left w:val="nil"/>
              <w:bottom w:val="single" w:sz="4" w:space="0" w:color="auto"/>
              <w:right w:val="nil"/>
            </w:tcBorders>
          </w:tcPr>
          <w:p w14:paraId="31827055" w14:textId="77777777" w:rsidR="009A7378" w:rsidRPr="00D63217" w:rsidRDefault="009A7378" w:rsidP="002C3D34">
            <w:pPr>
              <w:pStyle w:val="TableText"/>
              <w:spacing w:before="0" w:after="0" w:line="240" w:lineRule="auto"/>
              <w:rPr>
                <w:szCs w:val="17"/>
              </w:rPr>
            </w:pPr>
            <w:r w:rsidRPr="00D63217">
              <w:rPr>
                <w:szCs w:val="17"/>
              </w:rPr>
              <w:t>SL 200 g/L</w:t>
            </w:r>
          </w:p>
        </w:tc>
        <w:tc>
          <w:tcPr>
            <w:tcW w:w="662" w:type="pct"/>
            <w:tcBorders>
              <w:top w:val="single" w:sz="4" w:space="0" w:color="auto"/>
              <w:left w:val="nil"/>
              <w:bottom w:val="nil"/>
              <w:right w:val="nil"/>
            </w:tcBorders>
          </w:tcPr>
          <w:p w14:paraId="7C338E1D" w14:textId="01DC82CC" w:rsidR="009A7378" w:rsidRPr="00D63217" w:rsidRDefault="009A7378" w:rsidP="002B660F">
            <w:pPr>
              <w:pStyle w:val="TableText"/>
              <w:spacing w:before="0" w:after="0" w:line="240" w:lineRule="auto"/>
              <w:rPr>
                <w:szCs w:val="17"/>
              </w:rPr>
            </w:pPr>
            <w:r w:rsidRPr="00D63217">
              <w:rPr>
                <w:szCs w:val="17"/>
              </w:rPr>
              <w:t>Predatory</w:t>
            </w:r>
            <w:r w:rsidR="002B660F" w:rsidRPr="00D63217">
              <w:rPr>
                <w:szCs w:val="17"/>
              </w:rPr>
              <w:br/>
            </w:r>
            <w:r w:rsidRPr="00D63217">
              <w:rPr>
                <w:szCs w:val="17"/>
              </w:rPr>
              <w:t>arthropods</w:t>
            </w:r>
          </w:p>
        </w:tc>
        <w:tc>
          <w:tcPr>
            <w:tcW w:w="1104" w:type="pct"/>
            <w:tcBorders>
              <w:top w:val="single" w:sz="4" w:space="0" w:color="auto"/>
              <w:left w:val="nil"/>
              <w:bottom w:val="nil"/>
              <w:right w:val="nil"/>
            </w:tcBorders>
          </w:tcPr>
          <w:p w14:paraId="60DFFBA0" w14:textId="77777777" w:rsidR="009A7378" w:rsidRPr="00D63217" w:rsidRDefault="009A7378" w:rsidP="002C3D34">
            <w:pPr>
              <w:pStyle w:val="TableText"/>
              <w:spacing w:before="0" w:after="0" w:line="240" w:lineRule="auto"/>
              <w:rPr>
                <w:i/>
                <w:iCs/>
                <w:szCs w:val="17"/>
              </w:rPr>
            </w:pPr>
            <w:r w:rsidRPr="00D63217">
              <w:rPr>
                <w:i/>
                <w:iCs/>
                <w:szCs w:val="17"/>
              </w:rPr>
              <w:t>Typhlodromus pyri</w:t>
            </w:r>
          </w:p>
        </w:tc>
        <w:tc>
          <w:tcPr>
            <w:tcW w:w="737" w:type="pct"/>
            <w:tcBorders>
              <w:top w:val="single" w:sz="4" w:space="0" w:color="auto"/>
              <w:left w:val="nil"/>
              <w:bottom w:val="single" w:sz="4" w:space="0" w:color="auto"/>
              <w:right w:val="nil"/>
            </w:tcBorders>
          </w:tcPr>
          <w:p w14:paraId="0BC5042B" w14:textId="77777777" w:rsidR="009A7378" w:rsidRPr="00D63217" w:rsidRDefault="009A7378" w:rsidP="002C3D34">
            <w:pPr>
              <w:pStyle w:val="TableText"/>
              <w:spacing w:before="0" w:after="0" w:line="240" w:lineRule="auto"/>
              <w:rPr>
                <w:szCs w:val="17"/>
              </w:rPr>
            </w:pPr>
            <w:r w:rsidRPr="00D63217">
              <w:rPr>
                <w:szCs w:val="17"/>
              </w:rPr>
              <w:t>Glass plate</w:t>
            </w:r>
          </w:p>
        </w:tc>
        <w:tc>
          <w:tcPr>
            <w:tcW w:w="883" w:type="pct"/>
            <w:tcBorders>
              <w:top w:val="single" w:sz="4" w:space="0" w:color="auto"/>
              <w:left w:val="nil"/>
              <w:bottom w:val="single" w:sz="4" w:space="0" w:color="auto"/>
              <w:right w:val="nil"/>
            </w:tcBorders>
          </w:tcPr>
          <w:p w14:paraId="203D8D56" w14:textId="77777777" w:rsidR="009A7378" w:rsidRPr="00D63217" w:rsidRDefault="009A7378" w:rsidP="002C3D34">
            <w:pPr>
              <w:pStyle w:val="TableText"/>
              <w:spacing w:before="0" w:after="0" w:line="240" w:lineRule="auto"/>
              <w:rPr>
                <w:szCs w:val="17"/>
              </w:rPr>
            </w:pPr>
            <w:r w:rsidRPr="00D63217">
              <w:rPr>
                <w:szCs w:val="17"/>
              </w:rPr>
              <w:t>100% mortality at 1100 g ac/ha</w:t>
            </w:r>
          </w:p>
        </w:tc>
        <w:tc>
          <w:tcPr>
            <w:tcW w:w="1027" w:type="pct"/>
            <w:tcBorders>
              <w:top w:val="single" w:sz="4" w:space="0" w:color="auto"/>
              <w:left w:val="nil"/>
              <w:bottom w:val="single" w:sz="4" w:space="0" w:color="auto"/>
              <w:right w:val="nil"/>
            </w:tcBorders>
          </w:tcPr>
          <w:p w14:paraId="7463DA0E" w14:textId="77777777" w:rsidR="009A7378" w:rsidRPr="00D63217" w:rsidRDefault="009A7378" w:rsidP="002C3D34">
            <w:pPr>
              <w:pStyle w:val="TableText"/>
              <w:spacing w:before="0" w:after="0" w:line="240" w:lineRule="auto"/>
              <w:rPr>
                <w:szCs w:val="17"/>
              </w:rPr>
            </w:pPr>
            <w:r w:rsidRPr="00D63217">
              <w:rPr>
                <w:szCs w:val="17"/>
              </w:rPr>
              <w:t>Gill &amp; Austin 1996</w:t>
            </w:r>
          </w:p>
        </w:tc>
      </w:tr>
      <w:tr w:rsidR="009A7378" w:rsidRPr="00D63217" w14:paraId="60F96158" w14:textId="77777777" w:rsidTr="00017CE7">
        <w:tc>
          <w:tcPr>
            <w:tcW w:w="587" w:type="pct"/>
            <w:tcBorders>
              <w:top w:val="single" w:sz="4" w:space="0" w:color="auto"/>
              <w:left w:val="nil"/>
              <w:bottom w:val="nil"/>
              <w:right w:val="nil"/>
            </w:tcBorders>
          </w:tcPr>
          <w:p w14:paraId="6CCA9140" w14:textId="77777777" w:rsidR="009A7378" w:rsidRPr="00D63217" w:rsidRDefault="009A7378" w:rsidP="002C3D34">
            <w:pPr>
              <w:pStyle w:val="TableText"/>
              <w:keepNext/>
              <w:keepLines/>
              <w:spacing w:before="0" w:after="0" w:line="240" w:lineRule="auto"/>
              <w:rPr>
                <w:i/>
                <w:iCs/>
                <w:szCs w:val="17"/>
              </w:rPr>
            </w:pPr>
            <w:r w:rsidRPr="00D63217">
              <w:rPr>
                <w:szCs w:val="17"/>
              </w:rPr>
              <w:t>SL 100 g/L</w:t>
            </w:r>
          </w:p>
        </w:tc>
        <w:tc>
          <w:tcPr>
            <w:tcW w:w="662" w:type="pct"/>
            <w:vMerge w:val="restart"/>
            <w:tcBorders>
              <w:top w:val="single" w:sz="4" w:space="0" w:color="auto"/>
              <w:left w:val="nil"/>
              <w:bottom w:val="nil"/>
              <w:right w:val="nil"/>
            </w:tcBorders>
          </w:tcPr>
          <w:p w14:paraId="741804FC" w14:textId="03927EEA" w:rsidR="009A7378" w:rsidRPr="00D63217" w:rsidRDefault="009A7378" w:rsidP="002B660F">
            <w:pPr>
              <w:pStyle w:val="TableText"/>
              <w:keepNext/>
              <w:keepLines/>
              <w:spacing w:before="0" w:after="0" w:line="240" w:lineRule="auto"/>
              <w:rPr>
                <w:szCs w:val="17"/>
              </w:rPr>
            </w:pPr>
            <w:r w:rsidRPr="00D63217">
              <w:rPr>
                <w:szCs w:val="17"/>
              </w:rPr>
              <w:t>Predatory</w:t>
            </w:r>
            <w:r w:rsidR="002B660F" w:rsidRPr="00D63217">
              <w:rPr>
                <w:szCs w:val="17"/>
              </w:rPr>
              <w:br/>
            </w:r>
            <w:r w:rsidRPr="00D63217">
              <w:rPr>
                <w:szCs w:val="17"/>
              </w:rPr>
              <w:t>arthropods</w:t>
            </w:r>
          </w:p>
        </w:tc>
        <w:tc>
          <w:tcPr>
            <w:tcW w:w="1104" w:type="pct"/>
            <w:tcBorders>
              <w:top w:val="single" w:sz="4" w:space="0" w:color="auto"/>
              <w:left w:val="nil"/>
              <w:bottom w:val="nil"/>
              <w:right w:val="nil"/>
            </w:tcBorders>
          </w:tcPr>
          <w:p w14:paraId="5884332D" w14:textId="77777777" w:rsidR="009A7378" w:rsidRPr="00D63217" w:rsidRDefault="009A7378" w:rsidP="002C3D34">
            <w:pPr>
              <w:pStyle w:val="TableText"/>
              <w:keepNext/>
              <w:keepLines/>
              <w:spacing w:before="0" w:after="0" w:line="240" w:lineRule="auto"/>
              <w:rPr>
                <w:szCs w:val="17"/>
              </w:rPr>
            </w:pPr>
            <w:r w:rsidRPr="00D63217">
              <w:rPr>
                <w:i/>
                <w:iCs/>
                <w:szCs w:val="17"/>
              </w:rPr>
              <w:t>Typhlodromus pyri</w:t>
            </w:r>
          </w:p>
        </w:tc>
        <w:tc>
          <w:tcPr>
            <w:tcW w:w="737" w:type="pct"/>
            <w:tcBorders>
              <w:top w:val="single" w:sz="4" w:space="0" w:color="auto"/>
              <w:left w:val="nil"/>
              <w:bottom w:val="nil"/>
              <w:right w:val="nil"/>
            </w:tcBorders>
          </w:tcPr>
          <w:p w14:paraId="62AC3A75" w14:textId="77777777" w:rsidR="009A7378" w:rsidRPr="00D63217" w:rsidRDefault="009A7378" w:rsidP="002C3D34">
            <w:pPr>
              <w:pStyle w:val="TableText"/>
              <w:keepNext/>
              <w:keepLines/>
              <w:spacing w:before="0" w:after="0" w:line="240" w:lineRule="auto"/>
              <w:rPr>
                <w:szCs w:val="17"/>
              </w:rPr>
            </w:pPr>
            <w:r w:rsidRPr="00D63217">
              <w:rPr>
                <w:szCs w:val="17"/>
              </w:rPr>
              <w:t>Glass plate</w:t>
            </w:r>
          </w:p>
        </w:tc>
        <w:tc>
          <w:tcPr>
            <w:tcW w:w="883" w:type="pct"/>
            <w:tcBorders>
              <w:top w:val="single" w:sz="4" w:space="0" w:color="auto"/>
              <w:left w:val="nil"/>
              <w:bottom w:val="nil"/>
              <w:right w:val="nil"/>
            </w:tcBorders>
          </w:tcPr>
          <w:p w14:paraId="044B970A" w14:textId="77777777" w:rsidR="009A7378" w:rsidRPr="00D63217" w:rsidRDefault="009A7378" w:rsidP="002C3D34">
            <w:pPr>
              <w:pStyle w:val="TableText"/>
              <w:keepNext/>
              <w:keepLines/>
              <w:spacing w:before="0" w:after="0" w:line="240" w:lineRule="auto"/>
              <w:rPr>
                <w:szCs w:val="17"/>
              </w:rPr>
            </w:pPr>
            <w:r w:rsidRPr="00D63217">
              <w:rPr>
                <w:szCs w:val="17"/>
              </w:rPr>
              <w:t>LR</w:t>
            </w:r>
            <w:r w:rsidRPr="00D63217">
              <w:rPr>
                <w:szCs w:val="17"/>
                <w:vertAlign w:val="subscript"/>
              </w:rPr>
              <w:t>50</w:t>
            </w:r>
            <w:r w:rsidRPr="00D63217">
              <w:rPr>
                <w:szCs w:val="17"/>
              </w:rPr>
              <w:t xml:space="preserve"> 1.9 g ac/ha</w:t>
            </w:r>
          </w:p>
        </w:tc>
        <w:tc>
          <w:tcPr>
            <w:tcW w:w="1027" w:type="pct"/>
            <w:tcBorders>
              <w:top w:val="single" w:sz="4" w:space="0" w:color="auto"/>
              <w:left w:val="nil"/>
              <w:bottom w:val="nil"/>
              <w:right w:val="nil"/>
            </w:tcBorders>
          </w:tcPr>
          <w:p w14:paraId="62EE09C3" w14:textId="7856F9A9" w:rsidR="009A7378" w:rsidRPr="00D63217" w:rsidRDefault="009A7378" w:rsidP="002C3D34">
            <w:pPr>
              <w:pStyle w:val="TableText"/>
              <w:keepNext/>
              <w:keepLines/>
              <w:spacing w:before="0" w:after="0" w:line="240" w:lineRule="auto"/>
              <w:rPr>
                <w:szCs w:val="17"/>
              </w:rPr>
            </w:pPr>
            <w:r w:rsidRPr="00D63217">
              <w:rPr>
                <w:szCs w:val="17"/>
              </w:rPr>
              <w:t>Austin &amp; Elcock 1999</w:t>
            </w:r>
            <w:r w:rsidR="008648BF" w:rsidRPr="00D63217">
              <w:rPr>
                <w:szCs w:val="17"/>
              </w:rPr>
              <w:t>a</w:t>
            </w:r>
          </w:p>
        </w:tc>
      </w:tr>
      <w:tr w:rsidR="009A7378" w:rsidRPr="00D63217" w14:paraId="27C47326" w14:textId="77777777" w:rsidTr="00017CE7">
        <w:tc>
          <w:tcPr>
            <w:tcW w:w="587" w:type="pct"/>
            <w:tcBorders>
              <w:top w:val="nil"/>
              <w:left w:val="nil"/>
              <w:bottom w:val="nil"/>
              <w:right w:val="nil"/>
            </w:tcBorders>
          </w:tcPr>
          <w:p w14:paraId="5A184F33" w14:textId="77777777" w:rsidR="009A7378" w:rsidRPr="00D63217" w:rsidRDefault="009A7378" w:rsidP="002C3D34">
            <w:pPr>
              <w:pStyle w:val="TableText"/>
              <w:keepNext/>
              <w:keepLines/>
              <w:spacing w:before="0" w:after="0" w:line="240" w:lineRule="auto"/>
              <w:rPr>
                <w:szCs w:val="17"/>
              </w:rPr>
            </w:pPr>
          </w:p>
        </w:tc>
        <w:tc>
          <w:tcPr>
            <w:tcW w:w="662" w:type="pct"/>
            <w:vMerge/>
            <w:tcBorders>
              <w:top w:val="nil"/>
              <w:left w:val="nil"/>
              <w:bottom w:val="nil"/>
              <w:right w:val="nil"/>
            </w:tcBorders>
          </w:tcPr>
          <w:p w14:paraId="71A33662" w14:textId="77777777" w:rsidR="009A7378" w:rsidRPr="00D63217" w:rsidRDefault="009A7378" w:rsidP="002C3D34">
            <w:pPr>
              <w:pStyle w:val="TableText"/>
              <w:keepNext/>
              <w:keepLines/>
              <w:spacing w:before="0" w:after="0" w:line="240" w:lineRule="auto"/>
              <w:rPr>
                <w:szCs w:val="17"/>
              </w:rPr>
            </w:pPr>
          </w:p>
        </w:tc>
        <w:tc>
          <w:tcPr>
            <w:tcW w:w="1104" w:type="pct"/>
            <w:tcBorders>
              <w:top w:val="nil"/>
              <w:left w:val="nil"/>
              <w:bottom w:val="single" w:sz="4" w:space="0" w:color="auto"/>
              <w:right w:val="nil"/>
            </w:tcBorders>
          </w:tcPr>
          <w:p w14:paraId="1D6A4C28" w14:textId="77777777" w:rsidR="009A7378" w:rsidRPr="00D63217" w:rsidRDefault="009A7378" w:rsidP="002C3D34">
            <w:pPr>
              <w:pStyle w:val="TableText"/>
              <w:keepNext/>
              <w:keepLines/>
              <w:spacing w:before="0" w:after="0" w:line="240" w:lineRule="auto"/>
              <w:rPr>
                <w:szCs w:val="17"/>
              </w:rPr>
            </w:pPr>
          </w:p>
        </w:tc>
        <w:tc>
          <w:tcPr>
            <w:tcW w:w="737" w:type="pct"/>
            <w:tcBorders>
              <w:top w:val="nil"/>
              <w:left w:val="nil"/>
              <w:bottom w:val="single" w:sz="4" w:space="0" w:color="auto"/>
              <w:right w:val="nil"/>
            </w:tcBorders>
          </w:tcPr>
          <w:p w14:paraId="11F86C6E" w14:textId="77777777" w:rsidR="009A7378" w:rsidRPr="00D63217" w:rsidRDefault="009A7378" w:rsidP="002C3D34">
            <w:pPr>
              <w:pStyle w:val="TableText"/>
              <w:keepNext/>
              <w:keepLines/>
              <w:spacing w:before="0" w:after="0" w:line="240" w:lineRule="auto"/>
              <w:rPr>
                <w:szCs w:val="17"/>
              </w:rPr>
            </w:pPr>
            <w:r w:rsidRPr="00D63217">
              <w:rPr>
                <w:szCs w:val="17"/>
              </w:rPr>
              <w:t>Bean leaf disc</w:t>
            </w:r>
          </w:p>
        </w:tc>
        <w:tc>
          <w:tcPr>
            <w:tcW w:w="883" w:type="pct"/>
            <w:tcBorders>
              <w:top w:val="nil"/>
              <w:left w:val="nil"/>
              <w:bottom w:val="single" w:sz="4" w:space="0" w:color="auto"/>
              <w:right w:val="nil"/>
            </w:tcBorders>
          </w:tcPr>
          <w:p w14:paraId="648B360D" w14:textId="798648CE" w:rsidR="009A7378" w:rsidRPr="00D63217" w:rsidRDefault="009A7378" w:rsidP="002B660F">
            <w:pPr>
              <w:pStyle w:val="TableText"/>
              <w:keepNext/>
              <w:keepLines/>
              <w:spacing w:before="0" w:after="0" w:line="240" w:lineRule="auto"/>
              <w:rPr>
                <w:szCs w:val="17"/>
              </w:rPr>
            </w:pPr>
            <w:r w:rsidRPr="00D63217">
              <w:rPr>
                <w:szCs w:val="17"/>
              </w:rPr>
              <w:t>LR</w:t>
            </w:r>
            <w:r w:rsidRPr="00D63217">
              <w:rPr>
                <w:szCs w:val="17"/>
                <w:vertAlign w:val="subscript"/>
              </w:rPr>
              <w:t>50</w:t>
            </w:r>
            <w:r w:rsidRPr="00D63217">
              <w:rPr>
                <w:szCs w:val="17"/>
              </w:rPr>
              <w:t xml:space="preserve"> 8.2 g ac/ha</w:t>
            </w:r>
            <w:r w:rsidR="002B660F" w:rsidRPr="00D63217">
              <w:rPr>
                <w:szCs w:val="17"/>
              </w:rPr>
              <w:br/>
            </w:r>
            <w:r w:rsidRPr="00D63217">
              <w:rPr>
                <w:szCs w:val="17"/>
              </w:rPr>
              <w:t>ER</w:t>
            </w:r>
            <w:r w:rsidRPr="00D63217">
              <w:rPr>
                <w:szCs w:val="17"/>
                <w:vertAlign w:val="subscript"/>
              </w:rPr>
              <w:t>50</w:t>
            </w:r>
            <w:r w:rsidRPr="00D63217">
              <w:rPr>
                <w:szCs w:val="17"/>
              </w:rPr>
              <w:t xml:space="preserve"> &gt;4.0 g ac/ha</w:t>
            </w:r>
          </w:p>
        </w:tc>
        <w:tc>
          <w:tcPr>
            <w:tcW w:w="1027" w:type="pct"/>
            <w:tcBorders>
              <w:top w:val="nil"/>
              <w:left w:val="nil"/>
              <w:bottom w:val="single" w:sz="4" w:space="0" w:color="auto"/>
              <w:right w:val="nil"/>
            </w:tcBorders>
          </w:tcPr>
          <w:p w14:paraId="4BA583F7" w14:textId="433D62DF" w:rsidR="009A7378" w:rsidRPr="00D63217" w:rsidRDefault="009A7378" w:rsidP="002C3D34">
            <w:pPr>
              <w:pStyle w:val="TableText"/>
              <w:keepNext/>
              <w:keepLines/>
              <w:spacing w:before="0" w:after="0" w:line="240" w:lineRule="auto"/>
              <w:rPr>
                <w:szCs w:val="17"/>
              </w:rPr>
            </w:pPr>
            <w:r w:rsidRPr="00D63217">
              <w:rPr>
                <w:szCs w:val="17"/>
              </w:rPr>
              <w:t>Austin 1999</w:t>
            </w:r>
            <w:r w:rsidR="008648BF" w:rsidRPr="00D63217">
              <w:rPr>
                <w:szCs w:val="17"/>
              </w:rPr>
              <w:t>a</w:t>
            </w:r>
          </w:p>
        </w:tc>
      </w:tr>
      <w:tr w:rsidR="009A7378" w:rsidRPr="00D63217" w14:paraId="41047F7E" w14:textId="77777777" w:rsidTr="00017CE7">
        <w:tc>
          <w:tcPr>
            <w:tcW w:w="587" w:type="pct"/>
            <w:tcBorders>
              <w:top w:val="nil"/>
              <w:left w:val="nil"/>
              <w:bottom w:val="nil"/>
              <w:right w:val="nil"/>
            </w:tcBorders>
          </w:tcPr>
          <w:p w14:paraId="3682392B" w14:textId="77777777" w:rsidR="009A7378" w:rsidRPr="00D63217" w:rsidRDefault="009A7378" w:rsidP="002C3D34">
            <w:pPr>
              <w:pStyle w:val="TableText"/>
              <w:keepNext/>
              <w:keepLines/>
              <w:spacing w:before="0" w:after="0" w:line="240" w:lineRule="auto"/>
              <w:rPr>
                <w:szCs w:val="17"/>
              </w:rPr>
            </w:pPr>
          </w:p>
        </w:tc>
        <w:tc>
          <w:tcPr>
            <w:tcW w:w="662" w:type="pct"/>
            <w:tcBorders>
              <w:top w:val="nil"/>
              <w:left w:val="nil"/>
              <w:bottom w:val="nil"/>
              <w:right w:val="nil"/>
            </w:tcBorders>
          </w:tcPr>
          <w:p w14:paraId="3CD80196" w14:textId="77777777" w:rsidR="009A7378" w:rsidRPr="00D63217" w:rsidRDefault="009A7378" w:rsidP="002C3D34">
            <w:pPr>
              <w:pStyle w:val="TableText"/>
              <w:keepNext/>
              <w:keepLines/>
              <w:spacing w:before="0" w:after="0" w:line="240" w:lineRule="auto"/>
              <w:rPr>
                <w:szCs w:val="17"/>
              </w:rPr>
            </w:pPr>
          </w:p>
        </w:tc>
        <w:tc>
          <w:tcPr>
            <w:tcW w:w="1104" w:type="pct"/>
            <w:tcBorders>
              <w:top w:val="single" w:sz="4" w:space="0" w:color="auto"/>
              <w:left w:val="nil"/>
              <w:bottom w:val="nil"/>
              <w:right w:val="nil"/>
            </w:tcBorders>
          </w:tcPr>
          <w:p w14:paraId="2FEE3BE2" w14:textId="50DB1737" w:rsidR="009A7378" w:rsidRPr="00D63217" w:rsidRDefault="009A7378" w:rsidP="002B660F">
            <w:pPr>
              <w:pStyle w:val="TableText"/>
              <w:keepNext/>
              <w:keepLines/>
              <w:spacing w:before="0" w:after="0" w:line="240" w:lineRule="auto"/>
              <w:rPr>
                <w:i/>
                <w:iCs/>
                <w:szCs w:val="17"/>
              </w:rPr>
            </w:pPr>
            <w:r w:rsidRPr="00D63217">
              <w:rPr>
                <w:i/>
                <w:iCs/>
                <w:szCs w:val="17"/>
              </w:rPr>
              <w:t>Pterostichus melanarius</w:t>
            </w:r>
            <w:r w:rsidR="002B660F" w:rsidRPr="00D63217">
              <w:rPr>
                <w:i/>
                <w:iCs/>
                <w:szCs w:val="17"/>
              </w:rPr>
              <w:br/>
            </w:r>
            <w:r w:rsidRPr="00D63217">
              <w:rPr>
                <w:i/>
                <w:iCs/>
                <w:szCs w:val="17"/>
              </w:rPr>
              <w:t>Pardosa spp.</w:t>
            </w:r>
          </w:p>
        </w:tc>
        <w:tc>
          <w:tcPr>
            <w:tcW w:w="737" w:type="pct"/>
            <w:tcBorders>
              <w:top w:val="single" w:sz="4" w:space="0" w:color="auto"/>
              <w:left w:val="nil"/>
              <w:bottom w:val="nil"/>
              <w:right w:val="nil"/>
            </w:tcBorders>
          </w:tcPr>
          <w:p w14:paraId="7208C791" w14:textId="261B9BD4" w:rsidR="009A7378" w:rsidRPr="00D63217" w:rsidRDefault="009A7378" w:rsidP="002B660F">
            <w:pPr>
              <w:pStyle w:val="TableText"/>
              <w:keepNext/>
              <w:keepLines/>
              <w:spacing w:before="0" w:after="0" w:line="240" w:lineRule="auto"/>
              <w:rPr>
                <w:szCs w:val="17"/>
              </w:rPr>
            </w:pPr>
            <w:r w:rsidRPr="00D63217">
              <w:rPr>
                <w:szCs w:val="17"/>
              </w:rPr>
              <w:t>Loamy sand</w:t>
            </w:r>
            <w:r w:rsidR="002B660F" w:rsidRPr="00D63217">
              <w:rPr>
                <w:szCs w:val="17"/>
              </w:rPr>
              <w:br/>
            </w:r>
            <w:r w:rsidRPr="00D63217">
              <w:rPr>
                <w:szCs w:val="17"/>
              </w:rPr>
              <w:t>Loamy sand</w:t>
            </w:r>
          </w:p>
        </w:tc>
        <w:tc>
          <w:tcPr>
            <w:tcW w:w="883" w:type="pct"/>
            <w:tcBorders>
              <w:top w:val="single" w:sz="4" w:space="0" w:color="auto"/>
              <w:left w:val="nil"/>
              <w:bottom w:val="nil"/>
              <w:right w:val="nil"/>
            </w:tcBorders>
          </w:tcPr>
          <w:p w14:paraId="18D0362A" w14:textId="0C35E3CA" w:rsidR="009A7378" w:rsidRPr="00D63217" w:rsidRDefault="009A7378" w:rsidP="002B660F">
            <w:pPr>
              <w:pStyle w:val="TableText"/>
              <w:keepNext/>
              <w:keepLines/>
              <w:spacing w:before="0" w:after="0" w:line="240" w:lineRule="auto"/>
              <w:rPr>
                <w:szCs w:val="17"/>
              </w:rPr>
            </w:pPr>
            <w:r w:rsidRPr="00D63217">
              <w:rPr>
                <w:szCs w:val="17"/>
              </w:rPr>
              <w:t>LR</w:t>
            </w:r>
            <w:r w:rsidRPr="00D63217">
              <w:rPr>
                <w:szCs w:val="17"/>
                <w:vertAlign w:val="subscript"/>
              </w:rPr>
              <w:t>50</w:t>
            </w:r>
            <w:r w:rsidRPr="00D63217">
              <w:rPr>
                <w:szCs w:val="17"/>
              </w:rPr>
              <w:t xml:space="preserve"> &gt;1000 g ac/ha</w:t>
            </w:r>
            <w:r w:rsidR="002B660F" w:rsidRPr="00D63217">
              <w:rPr>
                <w:szCs w:val="17"/>
              </w:rPr>
              <w:br/>
            </w:r>
            <w:r w:rsidRPr="00D63217">
              <w:rPr>
                <w:szCs w:val="17"/>
              </w:rPr>
              <w:t>LR</w:t>
            </w:r>
            <w:r w:rsidRPr="00D63217">
              <w:rPr>
                <w:szCs w:val="17"/>
                <w:vertAlign w:val="subscript"/>
              </w:rPr>
              <w:t>50</w:t>
            </w:r>
            <w:r w:rsidRPr="00D63217">
              <w:rPr>
                <w:szCs w:val="17"/>
              </w:rPr>
              <w:t xml:space="preserve"> &gt;1000 g ac/ha</w:t>
            </w:r>
          </w:p>
        </w:tc>
        <w:tc>
          <w:tcPr>
            <w:tcW w:w="1027" w:type="pct"/>
            <w:tcBorders>
              <w:top w:val="single" w:sz="4" w:space="0" w:color="auto"/>
              <w:left w:val="nil"/>
              <w:bottom w:val="nil"/>
              <w:right w:val="nil"/>
            </w:tcBorders>
          </w:tcPr>
          <w:p w14:paraId="06BAA2CE" w14:textId="6F6D434E" w:rsidR="009A7378" w:rsidRPr="00D63217" w:rsidRDefault="009A7378" w:rsidP="002C3D34">
            <w:pPr>
              <w:pStyle w:val="TableText"/>
              <w:keepNext/>
              <w:keepLines/>
              <w:spacing w:before="0" w:after="0" w:line="240" w:lineRule="auto"/>
              <w:rPr>
                <w:szCs w:val="17"/>
              </w:rPr>
            </w:pPr>
            <w:r w:rsidRPr="00D63217">
              <w:rPr>
                <w:szCs w:val="17"/>
              </w:rPr>
              <w:t>Jackson et</w:t>
            </w:r>
            <w:r w:rsidR="00143F5A" w:rsidRPr="00D63217">
              <w:rPr>
                <w:szCs w:val="17"/>
              </w:rPr>
              <w:t xml:space="preserve"> al,</w:t>
            </w:r>
            <w:r w:rsidRPr="00D63217">
              <w:rPr>
                <w:szCs w:val="17"/>
              </w:rPr>
              <w:t xml:space="preserve"> 1991</w:t>
            </w:r>
          </w:p>
        </w:tc>
      </w:tr>
      <w:tr w:rsidR="009A7378" w:rsidRPr="00D63217" w14:paraId="41EC2EFB" w14:textId="77777777" w:rsidTr="00017CE7">
        <w:tc>
          <w:tcPr>
            <w:tcW w:w="587" w:type="pct"/>
            <w:tcBorders>
              <w:top w:val="nil"/>
              <w:left w:val="nil"/>
              <w:bottom w:val="single" w:sz="4" w:space="0" w:color="auto"/>
              <w:right w:val="nil"/>
            </w:tcBorders>
          </w:tcPr>
          <w:p w14:paraId="649BE9A0" w14:textId="77777777" w:rsidR="009A7378" w:rsidRPr="00D63217" w:rsidRDefault="009A7378" w:rsidP="002C3D34">
            <w:pPr>
              <w:pStyle w:val="TableText"/>
              <w:spacing w:before="0" w:after="0" w:line="240" w:lineRule="auto"/>
              <w:rPr>
                <w:szCs w:val="17"/>
              </w:rPr>
            </w:pPr>
          </w:p>
        </w:tc>
        <w:tc>
          <w:tcPr>
            <w:tcW w:w="662" w:type="pct"/>
            <w:tcBorders>
              <w:top w:val="single" w:sz="4" w:space="0" w:color="auto"/>
              <w:left w:val="nil"/>
              <w:bottom w:val="single" w:sz="4" w:space="0" w:color="auto"/>
              <w:right w:val="nil"/>
            </w:tcBorders>
          </w:tcPr>
          <w:p w14:paraId="62220D12" w14:textId="028057D1" w:rsidR="009A7378" w:rsidRPr="00D63217" w:rsidRDefault="009A7378" w:rsidP="002B660F">
            <w:pPr>
              <w:pStyle w:val="TableText"/>
              <w:spacing w:before="0" w:after="0" w:line="240" w:lineRule="auto"/>
              <w:rPr>
                <w:szCs w:val="17"/>
              </w:rPr>
            </w:pPr>
            <w:r w:rsidRPr="00D63217">
              <w:rPr>
                <w:szCs w:val="17"/>
              </w:rPr>
              <w:t>Parasitic</w:t>
            </w:r>
            <w:r w:rsidR="002B660F" w:rsidRPr="00D63217">
              <w:rPr>
                <w:szCs w:val="17"/>
              </w:rPr>
              <w:br/>
            </w:r>
            <w:r w:rsidRPr="00D63217">
              <w:rPr>
                <w:szCs w:val="17"/>
              </w:rPr>
              <w:t>arthropods</w:t>
            </w:r>
          </w:p>
        </w:tc>
        <w:tc>
          <w:tcPr>
            <w:tcW w:w="1104" w:type="pct"/>
            <w:tcBorders>
              <w:top w:val="single" w:sz="4" w:space="0" w:color="auto"/>
              <w:left w:val="nil"/>
              <w:bottom w:val="single" w:sz="4" w:space="0" w:color="auto"/>
              <w:right w:val="nil"/>
            </w:tcBorders>
          </w:tcPr>
          <w:p w14:paraId="4F5C4A79" w14:textId="77777777" w:rsidR="009A7378" w:rsidRPr="00D63217" w:rsidRDefault="009A7378" w:rsidP="002C3D34">
            <w:pPr>
              <w:pStyle w:val="TableText"/>
              <w:spacing w:before="0" w:after="0" w:line="240" w:lineRule="auto"/>
              <w:rPr>
                <w:i/>
                <w:iCs/>
                <w:strike/>
                <w:szCs w:val="17"/>
              </w:rPr>
            </w:pPr>
            <w:r w:rsidRPr="00D63217">
              <w:rPr>
                <w:i/>
                <w:iCs/>
                <w:szCs w:val="17"/>
              </w:rPr>
              <w:t>Aleochara bilineata</w:t>
            </w:r>
          </w:p>
        </w:tc>
        <w:tc>
          <w:tcPr>
            <w:tcW w:w="737" w:type="pct"/>
            <w:tcBorders>
              <w:top w:val="single" w:sz="4" w:space="0" w:color="auto"/>
              <w:left w:val="nil"/>
              <w:bottom w:val="single" w:sz="4" w:space="0" w:color="auto"/>
              <w:right w:val="nil"/>
            </w:tcBorders>
          </w:tcPr>
          <w:p w14:paraId="22A1E31E" w14:textId="77777777" w:rsidR="009A7378" w:rsidRPr="00D63217" w:rsidRDefault="009A7378" w:rsidP="002C3D34">
            <w:pPr>
              <w:pStyle w:val="TableText"/>
              <w:spacing w:before="0" w:after="0" w:line="240" w:lineRule="auto"/>
              <w:rPr>
                <w:strike/>
                <w:szCs w:val="17"/>
              </w:rPr>
            </w:pPr>
            <w:r w:rsidRPr="00D63217">
              <w:rPr>
                <w:szCs w:val="17"/>
              </w:rPr>
              <w:t>Quartz sand</w:t>
            </w:r>
          </w:p>
        </w:tc>
        <w:tc>
          <w:tcPr>
            <w:tcW w:w="883" w:type="pct"/>
            <w:tcBorders>
              <w:top w:val="single" w:sz="4" w:space="0" w:color="auto"/>
              <w:left w:val="nil"/>
              <w:bottom w:val="single" w:sz="4" w:space="0" w:color="auto"/>
              <w:right w:val="nil"/>
            </w:tcBorders>
          </w:tcPr>
          <w:p w14:paraId="3792C39A" w14:textId="77777777" w:rsidR="009A7378" w:rsidRPr="00D63217" w:rsidRDefault="009A7378" w:rsidP="002C3D34">
            <w:pPr>
              <w:pStyle w:val="TableText"/>
              <w:spacing w:before="0" w:after="0" w:line="240" w:lineRule="auto"/>
              <w:rPr>
                <w:strike/>
                <w:szCs w:val="17"/>
              </w:rPr>
            </w:pPr>
            <w:r w:rsidRPr="00D63217">
              <w:rPr>
                <w:szCs w:val="17"/>
              </w:rPr>
              <w:t>ER</w:t>
            </w:r>
            <w:r w:rsidRPr="00D63217">
              <w:rPr>
                <w:szCs w:val="17"/>
                <w:vertAlign w:val="subscript"/>
              </w:rPr>
              <w:t>50</w:t>
            </w:r>
            <w:r w:rsidRPr="00D63217">
              <w:rPr>
                <w:szCs w:val="17"/>
              </w:rPr>
              <w:t xml:space="preserve"> &gt;600 g ac/ha</w:t>
            </w:r>
          </w:p>
        </w:tc>
        <w:tc>
          <w:tcPr>
            <w:tcW w:w="1027" w:type="pct"/>
            <w:tcBorders>
              <w:top w:val="single" w:sz="4" w:space="0" w:color="auto"/>
              <w:left w:val="nil"/>
              <w:bottom w:val="single" w:sz="4" w:space="0" w:color="auto"/>
              <w:right w:val="nil"/>
            </w:tcBorders>
          </w:tcPr>
          <w:p w14:paraId="1466AC49" w14:textId="77777777" w:rsidR="009A7378" w:rsidRPr="00D63217" w:rsidRDefault="009A7378" w:rsidP="002C3D34">
            <w:pPr>
              <w:pStyle w:val="TableText"/>
              <w:spacing w:before="0" w:after="0" w:line="240" w:lineRule="auto"/>
              <w:rPr>
                <w:strike/>
                <w:szCs w:val="17"/>
              </w:rPr>
            </w:pPr>
            <w:r w:rsidRPr="00D63217">
              <w:rPr>
                <w:szCs w:val="17"/>
              </w:rPr>
              <w:t>Petto 1993</w:t>
            </w:r>
          </w:p>
        </w:tc>
      </w:tr>
    </w:tbl>
    <w:p w14:paraId="1CD33172" w14:textId="0D3E1063" w:rsidR="009A7378" w:rsidRPr="00A70C86" w:rsidRDefault="00F012C6" w:rsidP="00A70C86">
      <w:pPr>
        <w:pStyle w:val="Caption"/>
      </w:pPr>
      <w:bookmarkStart w:id="675" w:name="_Toc230692330"/>
      <w:bookmarkStart w:id="676" w:name="_Toc233036551"/>
      <w:r w:rsidRPr="00A70C86">
        <w:t xml:space="preserve">Table </w:t>
      </w:r>
      <w:fldSimple w:instr=" SEQ Table \* ARABIC ">
        <w:r w:rsidR="00A70C86">
          <w:rPr>
            <w:noProof/>
          </w:rPr>
          <w:t>64</w:t>
        </w:r>
      </w:fldSimple>
      <w:bookmarkStart w:id="677" w:name="_Toc156383626"/>
      <w:bookmarkEnd w:id="674"/>
      <w:r w:rsidRPr="00A70C86">
        <w:t xml:space="preserve">: </w:t>
      </w:r>
      <w:r w:rsidR="00017CE7" w:rsidRPr="00A70C86">
        <w:t xml:space="preserve">Paraquat – </w:t>
      </w:r>
      <w:r w:rsidR="009A7378" w:rsidRPr="00A70C86">
        <w:t>Field studies on other arthropod species</w:t>
      </w:r>
      <w:bookmarkEnd w:id="675"/>
      <w:bookmarkEnd w:id="6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76"/>
        <w:gridCol w:w="1119"/>
        <w:gridCol w:w="1402"/>
        <w:gridCol w:w="4059"/>
        <w:gridCol w:w="1872"/>
      </w:tblGrid>
      <w:tr w:rsidR="009A7378" w:rsidRPr="00D63217" w14:paraId="093400D7" w14:textId="77777777" w:rsidTr="00E53283">
        <w:trPr>
          <w:trHeight w:val="13"/>
          <w:tblHeader/>
        </w:trPr>
        <w:tc>
          <w:tcPr>
            <w:tcW w:w="611" w:type="pct"/>
            <w:tcBorders>
              <w:bottom w:val="single" w:sz="4" w:space="0" w:color="auto"/>
            </w:tcBorders>
            <w:shd w:val="clear" w:color="auto" w:fill="5C2946"/>
          </w:tcPr>
          <w:p w14:paraId="6D1CA938" w14:textId="77777777" w:rsidR="009A7378" w:rsidRPr="00D63217" w:rsidRDefault="009A7378" w:rsidP="005C1E35">
            <w:pPr>
              <w:pStyle w:val="TableHead"/>
            </w:pPr>
            <w:r w:rsidRPr="00D63217">
              <w:t>Substance</w:t>
            </w:r>
          </w:p>
        </w:tc>
        <w:tc>
          <w:tcPr>
            <w:tcW w:w="581" w:type="pct"/>
            <w:tcBorders>
              <w:bottom w:val="single" w:sz="4" w:space="0" w:color="auto"/>
            </w:tcBorders>
            <w:shd w:val="clear" w:color="auto" w:fill="5C2946"/>
          </w:tcPr>
          <w:p w14:paraId="7F94BC21" w14:textId="77777777" w:rsidR="009A7378" w:rsidRPr="00D63217" w:rsidRDefault="009A7378" w:rsidP="005C1E35">
            <w:pPr>
              <w:pStyle w:val="TableHead"/>
            </w:pPr>
            <w:r w:rsidRPr="00D63217">
              <w:t>Crop</w:t>
            </w:r>
          </w:p>
        </w:tc>
        <w:tc>
          <w:tcPr>
            <w:tcW w:w="728" w:type="pct"/>
            <w:tcBorders>
              <w:bottom w:val="single" w:sz="4" w:space="0" w:color="auto"/>
            </w:tcBorders>
            <w:shd w:val="clear" w:color="auto" w:fill="5C2946"/>
          </w:tcPr>
          <w:p w14:paraId="080248AF" w14:textId="77777777" w:rsidR="009A7378" w:rsidRPr="00D63217" w:rsidRDefault="009A7378" w:rsidP="005C1E35">
            <w:pPr>
              <w:pStyle w:val="TableHead"/>
            </w:pPr>
            <w:r w:rsidRPr="00D63217">
              <w:t>Exposure</w:t>
            </w:r>
          </w:p>
        </w:tc>
        <w:tc>
          <w:tcPr>
            <w:tcW w:w="2108" w:type="pct"/>
            <w:tcBorders>
              <w:bottom w:val="single" w:sz="4" w:space="0" w:color="auto"/>
            </w:tcBorders>
            <w:shd w:val="clear" w:color="auto" w:fill="5C2946"/>
          </w:tcPr>
          <w:p w14:paraId="5AAB1D71" w14:textId="77777777" w:rsidR="009A7378" w:rsidRPr="00D63217" w:rsidRDefault="009A7378" w:rsidP="005C1E35">
            <w:pPr>
              <w:pStyle w:val="TableHead"/>
            </w:pPr>
            <w:r w:rsidRPr="00D63217">
              <w:t>Effect</w:t>
            </w:r>
          </w:p>
        </w:tc>
        <w:tc>
          <w:tcPr>
            <w:tcW w:w="973" w:type="pct"/>
            <w:tcBorders>
              <w:bottom w:val="single" w:sz="4" w:space="0" w:color="auto"/>
            </w:tcBorders>
            <w:shd w:val="clear" w:color="auto" w:fill="5C2946"/>
          </w:tcPr>
          <w:p w14:paraId="719556E8" w14:textId="77777777" w:rsidR="009A7378" w:rsidRPr="00D63217" w:rsidRDefault="009A7378" w:rsidP="005C1E35">
            <w:pPr>
              <w:pStyle w:val="TableHead"/>
            </w:pPr>
            <w:r w:rsidRPr="00D63217">
              <w:t>Reference</w:t>
            </w:r>
          </w:p>
        </w:tc>
      </w:tr>
      <w:tr w:rsidR="009A7378" w:rsidRPr="00D63217" w14:paraId="49B4896C" w14:textId="77777777" w:rsidTr="00BF4B43">
        <w:tc>
          <w:tcPr>
            <w:tcW w:w="611" w:type="pct"/>
            <w:tcBorders>
              <w:top w:val="single" w:sz="4" w:space="0" w:color="auto"/>
              <w:left w:val="nil"/>
              <w:bottom w:val="single" w:sz="4" w:space="0" w:color="auto"/>
              <w:right w:val="nil"/>
            </w:tcBorders>
          </w:tcPr>
          <w:p w14:paraId="2B10E3A4" w14:textId="77777777" w:rsidR="009A7378" w:rsidRPr="00D63217" w:rsidRDefault="009A7378" w:rsidP="002C3D34">
            <w:pPr>
              <w:pStyle w:val="TableText"/>
              <w:spacing w:before="0" w:after="0" w:line="240" w:lineRule="auto"/>
              <w:rPr>
                <w:szCs w:val="17"/>
              </w:rPr>
            </w:pPr>
            <w:r w:rsidRPr="00D63217">
              <w:rPr>
                <w:szCs w:val="17"/>
              </w:rPr>
              <w:t>SL 100 g/L</w:t>
            </w:r>
          </w:p>
        </w:tc>
        <w:tc>
          <w:tcPr>
            <w:tcW w:w="581" w:type="pct"/>
            <w:tcBorders>
              <w:top w:val="single" w:sz="4" w:space="0" w:color="auto"/>
              <w:left w:val="nil"/>
              <w:bottom w:val="single" w:sz="4" w:space="0" w:color="auto"/>
              <w:right w:val="nil"/>
            </w:tcBorders>
          </w:tcPr>
          <w:p w14:paraId="41F9D282" w14:textId="77777777" w:rsidR="009A7378" w:rsidRPr="00D63217" w:rsidRDefault="009A7378" w:rsidP="002C3D34">
            <w:pPr>
              <w:pStyle w:val="TableText"/>
              <w:spacing w:before="0" w:after="0" w:line="240" w:lineRule="auto"/>
              <w:rPr>
                <w:szCs w:val="17"/>
              </w:rPr>
            </w:pPr>
            <w:r w:rsidRPr="00D63217">
              <w:rPr>
                <w:szCs w:val="17"/>
              </w:rPr>
              <w:t>Winter wheat</w:t>
            </w:r>
          </w:p>
        </w:tc>
        <w:tc>
          <w:tcPr>
            <w:tcW w:w="728" w:type="pct"/>
            <w:tcBorders>
              <w:top w:val="single" w:sz="4" w:space="0" w:color="auto"/>
              <w:left w:val="nil"/>
              <w:bottom w:val="single" w:sz="4" w:space="0" w:color="auto"/>
              <w:right w:val="nil"/>
            </w:tcBorders>
          </w:tcPr>
          <w:p w14:paraId="2FC40805" w14:textId="0711F1F2" w:rsidR="009A7378" w:rsidRPr="00D63217" w:rsidRDefault="009A7378" w:rsidP="005C1E35">
            <w:pPr>
              <w:pStyle w:val="TableText"/>
              <w:spacing w:before="0" w:after="0" w:line="240" w:lineRule="auto"/>
              <w:rPr>
                <w:szCs w:val="17"/>
              </w:rPr>
            </w:pPr>
            <w:r w:rsidRPr="00D63217">
              <w:rPr>
                <w:szCs w:val="17"/>
              </w:rPr>
              <w:t>1× 300 g ac/ha</w:t>
            </w:r>
            <w:r w:rsidR="005C1E35" w:rsidRPr="00D63217">
              <w:rPr>
                <w:szCs w:val="17"/>
              </w:rPr>
              <w:br/>
            </w:r>
            <w:r w:rsidRPr="00D63217">
              <w:rPr>
                <w:szCs w:val="17"/>
              </w:rPr>
              <w:t>post-harvest</w:t>
            </w:r>
          </w:p>
        </w:tc>
        <w:tc>
          <w:tcPr>
            <w:tcW w:w="2108" w:type="pct"/>
            <w:tcBorders>
              <w:top w:val="single" w:sz="4" w:space="0" w:color="auto"/>
              <w:left w:val="nil"/>
              <w:bottom w:val="single" w:sz="4" w:space="0" w:color="auto"/>
              <w:right w:val="nil"/>
            </w:tcBorders>
          </w:tcPr>
          <w:p w14:paraId="0E74693B" w14:textId="77777777" w:rsidR="009A7378" w:rsidRPr="00D63217" w:rsidRDefault="009A7378" w:rsidP="002C3D34">
            <w:pPr>
              <w:pStyle w:val="TableText"/>
              <w:spacing w:before="0" w:after="0" w:line="240" w:lineRule="auto"/>
              <w:rPr>
                <w:szCs w:val="17"/>
              </w:rPr>
            </w:pPr>
            <w:r w:rsidRPr="00D63217">
              <w:rPr>
                <w:szCs w:val="17"/>
              </w:rPr>
              <w:t>Short-term effects on arthropod populations were observed, this may in part be attributable to loss of vegetation; recovery was observed by following spring/summer</w:t>
            </w:r>
          </w:p>
        </w:tc>
        <w:tc>
          <w:tcPr>
            <w:tcW w:w="973" w:type="pct"/>
            <w:tcBorders>
              <w:top w:val="single" w:sz="4" w:space="0" w:color="auto"/>
              <w:left w:val="nil"/>
              <w:bottom w:val="single" w:sz="4" w:space="0" w:color="auto"/>
              <w:right w:val="nil"/>
            </w:tcBorders>
          </w:tcPr>
          <w:p w14:paraId="22F5C5DE" w14:textId="4DBBEBBD" w:rsidR="009A7378" w:rsidRPr="00D63217" w:rsidRDefault="009A7378" w:rsidP="002C3D34">
            <w:pPr>
              <w:pStyle w:val="TableText"/>
              <w:spacing w:before="0" w:after="0" w:line="240" w:lineRule="auto"/>
              <w:rPr>
                <w:szCs w:val="17"/>
              </w:rPr>
            </w:pPr>
            <w:r w:rsidRPr="00D63217">
              <w:rPr>
                <w:szCs w:val="17"/>
              </w:rPr>
              <w:t>Kendall et</w:t>
            </w:r>
            <w:r w:rsidR="00143F5A" w:rsidRPr="00D63217">
              <w:rPr>
                <w:szCs w:val="17"/>
              </w:rPr>
              <w:t xml:space="preserve"> al,</w:t>
            </w:r>
            <w:r w:rsidRPr="00D63217">
              <w:rPr>
                <w:szCs w:val="17"/>
              </w:rPr>
              <w:t xml:space="preserve"> 1989</w:t>
            </w:r>
          </w:p>
        </w:tc>
      </w:tr>
    </w:tbl>
    <w:p w14:paraId="2E08E1C8" w14:textId="5B4F38DA" w:rsidR="009A7378" w:rsidRPr="00D63217" w:rsidRDefault="00E53283" w:rsidP="00A70C86">
      <w:pPr>
        <w:pStyle w:val="Caption"/>
      </w:pPr>
      <w:bookmarkStart w:id="678" w:name="_Toc230692331"/>
      <w:bookmarkStart w:id="679" w:name="_Toc233036552"/>
      <w:r w:rsidRPr="00D63217">
        <w:t xml:space="preserve">Table </w:t>
      </w:r>
      <w:fldSimple w:instr=" SEQ Table \* ARABIC ">
        <w:r w:rsidR="00A70C86">
          <w:rPr>
            <w:noProof/>
          </w:rPr>
          <w:t>65</w:t>
        </w:r>
      </w:fldSimple>
      <w:r w:rsidR="009A7378" w:rsidRPr="00D63217">
        <w:rPr>
          <w:noProof/>
        </w:rPr>
        <w:t>:</w:t>
      </w:r>
      <w:bookmarkEnd w:id="677"/>
      <w:r w:rsidRPr="00D63217">
        <w:rPr>
          <w:noProof/>
        </w:rPr>
        <w:t xml:space="preserve"> </w:t>
      </w:r>
      <w:r w:rsidR="00017CE7" w:rsidRPr="00D63217">
        <w:t xml:space="preserve">Paraquat – </w:t>
      </w:r>
      <w:r w:rsidR="009A7378" w:rsidRPr="00D63217">
        <w:t>Laboratory studies on soil organisms</w:t>
      </w:r>
      <w:bookmarkEnd w:id="678"/>
      <w:bookmarkEnd w:id="6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98"/>
        <w:gridCol w:w="1673"/>
        <w:gridCol w:w="952"/>
        <w:gridCol w:w="1343"/>
        <w:gridCol w:w="2442"/>
        <w:gridCol w:w="2120"/>
      </w:tblGrid>
      <w:tr w:rsidR="009A7378" w:rsidRPr="00D63217" w14:paraId="09DB98BF" w14:textId="77777777" w:rsidTr="00E53283">
        <w:trPr>
          <w:tblHeader/>
        </w:trPr>
        <w:tc>
          <w:tcPr>
            <w:tcW w:w="0" w:type="auto"/>
            <w:tcBorders>
              <w:bottom w:val="single" w:sz="4" w:space="0" w:color="auto"/>
            </w:tcBorders>
            <w:shd w:val="clear" w:color="auto" w:fill="5C2946"/>
          </w:tcPr>
          <w:p w14:paraId="25CA7E90" w14:textId="77777777" w:rsidR="009A7378" w:rsidRPr="00D63217" w:rsidRDefault="009A7378" w:rsidP="005C1E35">
            <w:pPr>
              <w:pStyle w:val="TableHead"/>
            </w:pPr>
            <w:r w:rsidRPr="00D63217">
              <w:t>Substance</w:t>
            </w:r>
          </w:p>
        </w:tc>
        <w:tc>
          <w:tcPr>
            <w:tcW w:w="0" w:type="auto"/>
            <w:tcBorders>
              <w:bottom w:val="single" w:sz="4" w:space="0" w:color="auto"/>
            </w:tcBorders>
            <w:shd w:val="clear" w:color="auto" w:fill="5C2946"/>
          </w:tcPr>
          <w:p w14:paraId="64662A09" w14:textId="77777777" w:rsidR="009A7378" w:rsidRPr="00D63217" w:rsidRDefault="009A7378" w:rsidP="005C1E35">
            <w:pPr>
              <w:pStyle w:val="TableHead"/>
            </w:pPr>
            <w:r w:rsidRPr="00D63217">
              <w:t>Group</w:t>
            </w:r>
          </w:p>
        </w:tc>
        <w:tc>
          <w:tcPr>
            <w:tcW w:w="0" w:type="auto"/>
            <w:tcBorders>
              <w:bottom w:val="single" w:sz="4" w:space="0" w:color="auto"/>
            </w:tcBorders>
            <w:shd w:val="clear" w:color="auto" w:fill="5C2946"/>
          </w:tcPr>
          <w:p w14:paraId="3E677F4D" w14:textId="77777777" w:rsidR="009A7378" w:rsidRPr="00D63217" w:rsidRDefault="009A7378" w:rsidP="005C1E35">
            <w:pPr>
              <w:pStyle w:val="TableHead"/>
            </w:pPr>
            <w:r w:rsidRPr="00D63217">
              <w:t>Exposure</w:t>
            </w:r>
          </w:p>
        </w:tc>
        <w:tc>
          <w:tcPr>
            <w:tcW w:w="0" w:type="auto"/>
            <w:tcBorders>
              <w:bottom w:val="single" w:sz="4" w:space="0" w:color="auto"/>
            </w:tcBorders>
            <w:shd w:val="clear" w:color="auto" w:fill="5C2946"/>
          </w:tcPr>
          <w:p w14:paraId="238B7342" w14:textId="77777777" w:rsidR="009A7378" w:rsidRPr="00D63217" w:rsidRDefault="009A7378" w:rsidP="005C1E35">
            <w:pPr>
              <w:pStyle w:val="TableHead"/>
            </w:pPr>
            <w:r w:rsidRPr="00D63217">
              <w:t>Species</w:t>
            </w:r>
          </w:p>
        </w:tc>
        <w:tc>
          <w:tcPr>
            <w:tcW w:w="1268" w:type="pct"/>
            <w:tcBorders>
              <w:bottom w:val="single" w:sz="4" w:space="0" w:color="auto"/>
            </w:tcBorders>
            <w:shd w:val="clear" w:color="auto" w:fill="5C2946"/>
          </w:tcPr>
          <w:p w14:paraId="37D16CFD" w14:textId="77777777" w:rsidR="009A7378" w:rsidRPr="00D63217" w:rsidRDefault="009A7378" w:rsidP="005C1E35">
            <w:pPr>
              <w:pStyle w:val="TableHead"/>
            </w:pPr>
            <w:r w:rsidRPr="00D63217">
              <w:t>Toxicity value</w:t>
            </w:r>
          </w:p>
        </w:tc>
        <w:tc>
          <w:tcPr>
            <w:tcW w:w="1101" w:type="pct"/>
            <w:tcBorders>
              <w:bottom w:val="single" w:sz="4" w:space="0" w:color="auto"/>
            </w:tcBorders>
            <w:shd w:val="clear" w:color="auto" w:fill="5C2946"/>
          </w:tcPr>
          <w:p w14:paraId="784F00B8" w14:textId="77777777" w:rsidR="009A7378" w:rsidRPr="00D63217" w:rsidRDefault="009A7378" w:rsidP="005C1E35">
            <w:pPr>
              <w:pStyle w:val="TableHead"/>
            </w:pPr>
            <w:r w:rsidRPr="00D63217">
              <w:t>Reference</w:t>
            </w:r>
          </w:p>
        </w:tc>
      </w:tr>
      <w:tr w:rsidR="009A7378" w:rsidRPr="00D63217" w14:paraId="211007B4" w14:textId="77777777" w:rsidTr="00BF4B43">
        <w:tc>
          <w:tcPr>
            <w:tcW w:w="0" w:type="auto"/>
            <w:tcBorders>
              <w:top w:val="single" w:sz="4" w:space="0" w:color="auto"/>
              <w:left w:val="nil"/>
              <w:bottom w:val="single" w:sz="4" w:space="0" w:color="auto"/>
              <w:right w:val="nil"/>
            </w:tcBorders>
          </w:tcPr>
          <w:p w14:paraId="487F7B47" w14:textId="77777777" w:rsidR="009A7378" w:rsidRPr="00D63217" w:rsidRDefault="009A7378" w:rsidP="002C3D34">
            <w:pPr>
              <w:pStyle w:val="TableText"/>
              <w:spacing w:before="0" w:after="0" w:line="240" w:lineRule="auto"/>
            </w:pPr>
            <w:r w:rsidRPr="00D63217">
              <w:t xml:space="preserve">SL 200 g/L </w:t>
            </w:r>
          </w:p>
        </w:tc>
        <w:tc>
          <w:tcPr>
            <w:tcW w:w="0" w:type="auto"/>
            <w:tcBorders>
              <w:top w:val="single" w:sz="4" w:space="0" w:color="auto"/>
              <w:left w:val="nil"/>
              <w:bottom w:val="single" w:sz="4" w:space="0" w:color="auto"/>
              <w:right w:val="nil"/>
            </w:tcBorders>
          </w:tcPr>
          <w:p w14:paraId="5DA92CDB" w14:textId="77777777" w:rsidR="009A7378" w:rsidRPr="00D63217" w:rsidRDefault="009A7378" w:rsidP="002C3D34">
            <w:pPr>
              <w:pStyle w:val="TableText"/>
              <w:spacing w:before="0" w:after="0" w:line="240" w:lineRule="auto"/>
            </w:pPr>
            <w:r w:rsidRPr="00D63217">
              <w:t>Macro-organisms</w:t>
            </w:r>
          </w:p>
        </w:tc>
        <w:tc>
          <w:tcPr>
            <w:tcW w:w="0" w:type="auto"/>
            <w:tcBorders>
              <w:top w:val="single" w:sz="4" w:space="0" w:color="auto"/>
              <w:left w:val="nil"/>
              <w:bottom w:val="single" w:sz="4" w:space="0" w:color="auto"/>
              <w:right w:val="nil"/>
            </w:tcBorders>
          </w:tcPr>
          <w:p w14:paraId="3E2AB423" w14:textId="77777777" w:rsidR="009A7378" w:rsidRPr="00D63217" w:rsidRDefault="009A7378" w:rsidP="002C3D34">
            <w:pPr>
              <w:pStyle w:val="TableText"/>
              <w:spacing w:before="0" w:after="0" w:line="240" w:lineRule="auto"/>
            </w:pPr>
            <w:r w:rsidRPr="00D63217">
              <w:t>Acute</w:t>
            </w:r>
          </w:p>
        </w:tc>
        <w:tc>
          <w:tcPr>
            <w:tcW w:w="0" w:type="auto"/>
            <w:tcBorders>
              <w:top w:val="single" w:sz="4" w:space="0" w:color="auto"/>
              <w:left w:val="nil"/>
              <w:bottom w:val="single" w:sz="4" w:space="0" w:color="auto"/>
              <w:right w:val="nil"/>
            </w:tcBorders>
          </w:tcPr>
          <w:p w14:paraId="074D6FBF" w14:textId="77777777" w:rsidR="009A7378" w:rsidRPr="00D63217" w:rsidRDefault="009A7378" w:rsidP="002C3D34">
            <w:pPr>
              <w:pStyle w:val="TableText"/>
              <w:spacing w:before="0" w:after="0" w:line="240" w:lineRule="auto"/>
              <w:rPr>
                <w:i/>
                <w:iCs/>
              </w:rPr>
            </w:pPr>
            <w:r w:rsidRPr="00D63217">
              <w:rPr>
                <w:i/>
                <w:iCs/>
              </w:rPr>
              <w:t>Eisenia fetida</w:t>
            </w:r>
          </w:p>
        </w:tc>
        <w:tc>
          <w:tcPr>
            <w:tcW w:w="1268" w:type="pct"/>
            <w:tcBorders>
              <w:top w:val="single" w:sz="4" w:space="0" w:color="auto"/>
              <w:left w:val="nil"/>
              <w:bottom w:val="single" w:sz="4" w:space="0" w:color="auto"/>
              <w:right w:val="nil"/>
            </w:tcBorders>
          </w:tcPr>
          <w:p w14:paraId="40C49B5F" w14:textId="77777777" w:rsidR="009A7378" w:rsidRPr="00D63217" w:rsidRDefault="009A7378" w:rsidP="002C3D34">
            <w:pPr>
              <w:pStyle w:val="TableText"/>
              <w:spacing w:before="0" w:after="0" w:line="240" w:lineRule="auto"/>
            </w:pPr>
            <w:r w:rsidRPr="00D63217">
              <w:t>LC</w:t>
            </w:r>
            <w:r w:rsidRPr="00D63217">
              <w:rPr>
                <w:vertAlign w:val="subscript"/>
              </w:rPr>
              <w:t>50</w:t>
            </w:r>
            <w:r w:rsidRPr="00D63217">
              <w:t xml:space="preserve"> &gt;1000 mg ac/kg ds</w:t>
            </w:r>
          </w:p>
        </w:tc>
        <w:tc>
          <w:tcPr>
            <w:tcW w:w="1101" w:type="pct"/>
            <w:tcBorders>
              <w:top w:val="single" w:sz="4" w:space="0" w:color="auto"/>
              <w:left w:val="nil"/>
              <w:bottom w:val="single" w:sz="4" w:space="0" w:color="auto"/>
              <w:right w:val="nil"/>
            </w:tcBorders>
          </w:tcPr>
          <w:p w14:paraId="51897310" w14:textId="77777777" w:rsidR="009A7378" w:rsidRPr="00D63217" w:rsidRDefault="009A7378" w:rsidP="002C3D34">
            <w:pPr>
              <w:pStyle w:val="TableText"/>
              <w:spacing w:before="0" w:after="0" w:line="240" w:lineRule="auto"/>
            </w:pPr>
            <w:r w:rsidRPr="00D63217">
              <w:t>Edwards &amp; Coulson 1993, Lane &amp; Vaughan 1997</w:t>
            </w:r>
          </w:p>
        </w:tc>
      </w:tr>
    </w:tbl>
    <w:p w14:paraId="7F044487" w14:textId="3ADCD8F5" w:rsidR="009A7378" w:rsidRPr="00D63217" w:rsidRDefault="00E53283" w:rsidP="00A70C86">
      <w:pPr>
        <w:pStyle w:val="Caption"/>
      </w:pPr>
      <w:bookmarkStart w:id="680" w:name="_Toc230692332"/>
      <w:bookmarkStart w:id="681" w:name="_Toc233036553"/>
      <w:r w:rsidRPr="00D63217">
        <w:t xml:space="preserve">Table </w:t>
      </w:r>
      <w:fldSimple w:instr=" SEQ Table \* ARABIC ">
        <w:r w:rsidR="00A70C86">
          <w:rPr>
            <w:noProof/>
          </w:rPr>
          <w:t>66</w:t>
        </w:r>
      </w:fldSimple>
      <w:r w:rsidR="009A7378" w:rsidRPr="00D63217">
        <w:t>:</w:t>
      </w:r>
      <w:r w:rsidRPr="00D63217">
        <w:t xml:space="preserve"> </w:t>
      </w:r>
      <w:r w:rsidR="00017CE7" w:rsidRPr="00D63217">
        <w:t xml:space="preserve">Paraquat – </w:t>
      </w:r>
      <w:r w:rsidR="009A7378" w:rsidRPr="00D63217">
        <w:t>Field studies on soil organisms</w:t>
      </w:r>
      <w:bookmarkEnd w:id="680"/>
      <w:bookmarkEnd w:id="6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77"/>
        <w:gridCol w:w="2378"/>
        <w:gridCol w:w="3953"/>
        <w:gridCol w:w="2120"/>
      </w:tblGrid>
      <w:tr w:rsidR="009A7378" w:rsidRPr="00D63217" w14:paraId="3302F0A9" w14:textId="77777777" w:rsidTr="00E53283">
        <w:trPr>
          <w:tblHeader/>
        </w:trPr>
        <w:tc>
          <w:tcPr>
            <w:tcW w:w="611" w:type="pct"/>
            <w:tcBorders>
              <w:bottom w:val="single" w:sz="4" w:space="0" w:color="auto"/>
            </w:tcBorders>
            <w:shd w:val="clear" w:color="auto" w:fill="5C2946"/>
          </w:tcPr>
          <w:p w14:paraId="61C5DB76" w14:textId="77777777" w:rsidR="009A7378" w:rsidRPr="00D63217" w:rsidRDefault="009A7378" w:rsidP="005C1E35">
            <w:pPr>
              <w:pStyle w:val="TableHead"/>
            </w:pPr>
            <w:r w:rsidRPr="00D63217">
              <w:t>Substance</w:t>
            </w:r>
          </w:p>
        </w:tc>
        <w:tc>
          <w:tcPr>
            <w:tcW w:w="1235" w:type="pct"/>
            <w:tcBorders>
              <w:bottom w:val="single" w:sz="4" w:space="0" w:color="auto"/>
            </w:tcBorders>
            <w:shd w:val="clear" w:color="auto" w:fill="5C2946"/>
          </w:tcPr>
          <w:p w14:paraId="7E8137C6" w14:textId="77777777" w:rsidR="009A7378" w:rsidRPr="00D63217" w:rsidRDefault="009A7378" w:rsidP="005C1E35">
            <w:pPr>
              <w:pStyle w:val="TableHead"/>
            </w:pPr>
            <w:r w:rsidRPr="00D63217">
              <w:t>Exposure</w:t>
            </w:r>
          </w:p>
        </w:tc>
        <w:tc>
          <w:tcPr>
            <w:tcW w:w="2053" w:type="pct"/>
            <w:tcBorders>
              <w:bottom w:val="single" w:sz="4" w:space="0" w:color="auto"/>
            </w:tcBorders>
            <w:shd w:val="clear" w:color="auto" w:fill="5C2946"/>
          </w:tcPr>
          <w:p w14:paraId="3E459513" w14:textId="77777777" w:rsidR="009A7378" w:rsidRPr="00D63217" w:rsidRDefault="009A7378" w:rsidP="005C1E35">
            <w:pPr>
              <w:pStyle w:val="TableHead"/>
            </w:pPr>
            <w:r w:rsidRPr="00D63217">
              <w:t>Effect</w:t>
            </w:r>
          </w:p>
        </w:tc>
        <w:tc>
          <w:tcPr>
            <w:tcW w:w="1101" w:type="pct"/>
            <w:tcBorders>
              <w:bottom w:val="single" w:sz="4" w:space="0" w:color="auto"/>
            </w:tcBorders>
            <w:shd w:val="clear" w:color="auto" w:fill="5C2946"/>
          </w:tcPr>
          <w:p w14:paraId="0E74D458" w14:textId="77777777" w:rsidR="009A7378" w:rsidRPr="00D63217" w:rsidRDefault="009A7378" w:rsidP="005C1E35">
            <w:pPr>
              <w:pStyle w:val="TableHead"/>
            </w:pPr>
            <w:r w:rsidRPr="00D63217">
              <w:t>Reference</w:t>
            </w:r>
          </w:p>
        </w:tc>
      </w:tr>
      <w:tr w:rsidR="009A7378" w:rsidRPr="00D63217" w14:paraId="7D737D3D" w14:textId="77777777" w:rsidTr="00BF4B43">
        <w:tc>
          <w:tcPr>
            <w:tcW w:w="611" w:type="pct"/>
            <w:tcBorders>
              <w:top w:val="single" w:sz="4" w:space="0" w:color="auto"/>
              <w:left w:val="nil"/>
              <w:bottom w:val="nil"/>
              <w:right w:val="nil"/>
            </w:tcBorders>
          </w:tcPr>
          <w:p w14:paraId="12D7622F" w14:textId="77777777" w:rsidR="009A7378" w:rsidRPr="00D63217" w:rsidRDefault="009A7378" w:rsidP="002C3D34">
            <w:pPr>
              <w:pStyle w:val="TableText"/>
              <w:spacing w:before="0" w:after="0" w:line="240" w:lineRule="auto"/>
            </w:pPr>
            <w:r w:rsidRPr="00D63217">
              <w:t>Paraquat</w:t>
            </w:r>
          </w:p>
        </w:tc>
        <w:tc>
          <w:tcPr>
            <w:tcW w:w="1235" w:type="pct"/>
            <w:tcBorders>
              <w:top w:val="single" w:sz="4" w:space="0" w:color="auto"/>
              <w:left w:val="nil"/>
              <w:bottom w:val="single" w:sz="4" w:space="0" w:color="auto"/>
              <w:right w:val="nil"/>
            </w:tcBorders>
          </w:tcPr>
          <w:p w14:paraId="77599B3A" w14:textId="49DBC6A8" w:rsidR="009A7378" w:rsidRPr="00D63217" w:rsidRDefault="009A7378" w:rsidP="002B660F">
            <w:pPr>
              <w:pStyle w:val="TableText"/>
              <w:spacing w:before="0" w:after="0" w:line="240" w:lineRule="auto"/>
            </w:pPr>
            <w:r w:rsidRPr="00D63217">
              <w:t>0, 90, 198 and 720 kg ac/ha</w:t>
            </w:r>
            <w:r w:rsidR="002B660F" w:rsidRPr="00D63217">
              <w:br/>
            </w:r>
            <w:r w:rsidRPr="00D63217">
              <w:t>(0, 50, 110 and 400% SAC)</w:t>
            </w:r>
            <w:r w:rsidR="002B660F" w:rsidRPr="00D63217">
              <w:br/>
            </w:r>
            <w:r w:rsidRPr="00D63217">
              <w:t>incorporated to 150 mm</w:t>
            </w:r>
          </w:p>
        </w:tc>
        <w:tc>
          <w:tcPr>
            <w:tcW w:w="2053" w:type="pct"/>
            <w:tcBorders>
              <w:top w:val="single" w:sz="4" w:space="0" w:color="auto"/>
              <w:left w:val="nil"/>
              <w:bottom w:val="single" w:sz="4" w:space="0" w:color="auto"/>
              <w:right w:val="nil"/>
            </w:tcBorders>
          </w:tcPr>
          <w:p w14:paraId="43A4F6E8" w14:textId="77777777" w:rsidR="009A7378" w:rsidRPr="00D63217" w:rsidRDefault="009A7378" w:rsidP="002C3D34">
            <w:pPr>
              <w:pStyle w:val="TableText"/>
              <w:spacing w:before="0" w:after="0" w:line="240" w:lineRule="auto"/>
            </w:pPr>
            <w:r w:rsidRPr="00D63217">
              <w:t>No adverse effects on soil micro-organisms were observed</w:t>
            </w:r>
          </w:p>
        </w:tc>
        <w:tc>
          <w:tcPr>
            <w:tcW w:w="1101" w:type="pct"/>
            <w:tcBorders>
              <w:top w:val="single" w:sz="4" w:space="0" w:color="auto"/>
              <w:left w:val="nil"/>
              <w:bottom w:val="single" w:sz="4" w:space="0" w:color="auto"/>
              <w:right w:val="nil"/>
            </w:tcBorders>
          </w:tcPr>
          <w:p w14:paraId="2AA0FF6B" w14:textId="77777777" w:rsidR="009A7378" w:rsidRPr="00D63217" w:rsidRDefault="009A7378" w:rsidP="002C3D34">
            <w:pPr>
              <w:pStyle w:val="TableText"/>
              <w:spacing w:before="0" w:after="0" w:line="240" w:lineRule="auto"/>
            </w:pPr>
            <w:r w:rsidRPr="00D63217">
              <w:t>Drew &amp; Davies 1980</w:t>
            </w:r>
          </w:p>
        </w:tc>
      </w:tr>
      <w:tr w:rsidR="009A7378" w:rsidRPr="00D63217" w14:paraId="168C81BF" w14:textId="77777777" w:rsidTr="00BF4B43">
        <w:tc>
          <w:tcPr>
            <w:tcW w:w="611" w:type="pct"/>
            <w:tcBorders>
              <w:top w:val="nil"/>
              <w:left w:val="nil"/>
              <w:bottom w:val="nil"/>
              <w:right w:val="nil"/>
            </w:tcBorders>
          </w:tcPr>
          <w:p w14:paraId="52989767" w14:textId="77777777" w:rsidR="009A7378" w:rsidRPr="00D63217" w:rsidRDefault="009A7378" w:rsidP="002C3D34">
            <w:pPr>
              <w:pStyle w:val="TableText"/>
              <w:spacing w:before="0" w:after="0" w:line="240" w:lineRule="auto"/>
            </w:pPr>
          </w:p>
        </w:tc>
        <w:tc>
          <w:tcPr>
            <w:tcW w:w="1235" w:type="pct"/>
            <w:vMerge w:val="restart"/>
            <w:tcBorders>
              <w:top w:val="single" w:sz="4" w:space="0" w:color="auto"/>
              <w:left w:val="nil"/>
              <w:right w:val="nil"/>
            </w:tcBorders>
          </w:tcPr>
          <w:p w14:paraId="7D5D2E45" w14:textId="0EBBF633" w:rsidR="009A7378" w:rsidRPr="00D63217" w:rsidRDefault="009A7378" w:rsidP="002C3D34">
            <w:pPr>
              <w:pStyle w:val="TableText"/>
              <w:spacing w:before="0" w:after="0" w:line="240" w:lineRule="auto"/>
            </w:pPr>
            <w:r w:rsidRPr="00D63217">
              <w:t>0, 90, 198 and 720 kg ac/ha</w:t>
            </w:r>
            <w:r w:rsidR="005C1E35" w:rsidRPr="00D63217">
              <w:br/>
            </w:r>
            <w:r w:rsidRPr="00D63217">
              <w:t>(0, 50, 110 and 400% SAC)</w:t>
            </w:r>
            <w:r w:rsidR="002B660F" w:rsidRPr="00D63217">
              <w:br/>
            </w:r>
            <w:r w:rsidRPr="00D63217">
              <w:t>incorporated to 150 mm</w:t>
            </w:r>
            <w:r w:rsidR="002B660F" w:rsidRPr="00D63217">
              <w:br/>
            </w:r>
          </w:p>
          <w:p w14:paraId="0CDF9CD6" w14:textId="3ABCBF38" w:rsidR="009A7378" w:rsidRPr="00D63217" w:rsidRDefault="009A7378" w:rsidP="002B660F">
            <w:pPr>
              <w:pStyle w:val="TableText"/>
              <w:spacing w:before="0" w:after="0" w:line="240" w:lineRule="auto"/>
            </w:pPr>
            <w:r w:rsidRPr="00D63217">
              <w:t>0, 15, 33 and 120 kg ac/ha</w:t>
            </w:r>
            <w:r w:rsidR="002B660F" w:rsidRPr="00D63217">
              <w:br/>
            </w:r>
            <w:r w:rsidRPr="00D63217">
              <w:t>(0, 50, 110 and 400</w:t>
            </w:r>
            <w:r w:rsidR="002B660F" w:rsidRPr="00D63217">
              <w:t>% </w:t>
            </w:r>
            <w:r w:rsidRPr="00D63217">
              <w:t>SAC)</w:t>
            </w:r>
            <w:r w:rsidR="00AC372C" w:rsidRPr="00D63217">
              <w:br/>
            </w:r>
            <w:r w:rsidRPr="00D63217">
              <w:t>incorporated to 25 mm</w:t>
            </w:r>
          </w:p>
        </w:tc>
        <w:tc>
          <w:tcPr>
            <w:tcW w:w="2053" w:type="pct"/>
            <w:tcBorders>
              <w:top w:val="single" w:sz="4" w:space="0" w:color="auto"/>
              <w:left w:val="nil"/>
              <w:bottom w:val="nil"/>
              <w:right w:val="nil"/>
            </w:tcBorders>
          </w:tcPr>
          <w:p w14:paraId="79906394" w14:textId="77777777" w:rsidR="009A7378" w:rsidRPr="00D63217" w:rsidRDefault="009A7378" w:rsidP="002C3D34">
            <w:pPr>
              <w:pStyle w:val="TableText"/>
              <w:spacing w:before="0" w:after="0" w:line="240" w:lineRule="auto"/>
            </w:pPr>
            <w:r w:rsidRPr="00D63217">
              <w:t>Reduced abundance of Collembola and Gamisina observed in 720 kg ac/ha treatment after one year – though this may have been due to changes in vegetation cover</w:t>
            </w:r>
          </w:p>
        </w:tc>
        <w:tc>
          <w:tcPr>
            <w:tcW w:w="1101" w:type="pct"/>
            <w:tcBorders>
              <w:top w:val="single" w:sz="4" w:space="0" w:color="auto"/>
              <w:left w:val="nil"/>
              <w:bottom w:val="nil"/>
              <w:right w:val="nil"/>
            </w:tcBorders>
          </w:tcPr>
          <w:p w14:paraId="33491A8E" w14:textId="77777777" w:rsidR="009A7378" w:rsidRPr="00D63217" w:rsidRDefault="009A7378" w:rsidP="002C3D34">
            <w:pPr>
              <w:pStyle w:val="TableText"/>
              <w:spacing w:before="0" w:after="0" w:line="240" w:lineRule="auto"/>
            </w:pPr>
            <w:r w:rsidRPr="00D63217">
              <w:t>Cole &amp; Wilkinson 1980</w:t>
            </w:r>
          </w:p>
        </w:tc>
      </w:tr>
      <w:tr w:rsidR="009A7378" w:rsidRPr="00D63217" w14:paraId="1C94CEFF" w14:textId="77777777" w:rsidTr="00BF4B43">
        <w:tc>
          <w:tcPr>
            <w:tcW w:w="611" w:type="pct"/>
            <w:tcBorders>
              <w:top w:val="nil"/>
              <w:left w:val="nil"/>
              <w:bottom w:val="nil"/>
              <w:right w:val="nil"/>
            </w:tcBorders>
          </w:tcPr>
          <w:p w14:paraId="275A2CCB" w14:textId="77777777" w:rsidR="009A7378" w:rsidRPr="00D63217" w:rsidRDefault="009A7378" w:rsidP="002C3D34">
            <w:pPr>
              <w:pStyle w:val="TableText"/>
              <w:spacing w:before="0" w:after="0" w:line="240" w:lineRule="auto"/>
            </w:pPr>
          </w:p>
        </w:tc>
        <w:tc>
          <w:tcPr>
            <w:tcW w:w="1235" w:type="pct"/>
            <w:vMerge/>
            <w:tcBorders>
              <w:left w:val="nil"/>
              <w:bottom w:val="single" w:sz="4" w:space="0" w:color="auto"/>
              <w:right w:val="nil"/>
            </w:tcBorders>
          </w:tcPr>
          <w:p w14:paraId="49752842" w14:textId="77777777" w:rsidR="009A7378" w:rsidRPr="00D63217" w:rsidRDefault="009A7378" w:rsidP="002C3D34">
            <w:pPr>
              <w:pStyle w:val="TableText"/>
              <w:spacing w:before="0" w:after="0" w:line="240" w:lineRule="auto"/>
            </w:pPr>
          </w:p>
        </w:tc>
        <w:tc>
          <w:tcPr>
            <w:tcW w:w="2053" w:type="pct"/>
            <w:tcBorders>
              <w:top w:val="nil"/>
              <w:left w:val="nil"/>
              <w:bottom w:val="single" w:sz="4" w:space="0" w:color="auto"/>
              <w:right w:val="nil"/>
            </w:tcBorders>
          </w:tcPr>
          <w:p w14:paraId="2E9654E1" w14:textId="77777777" w:rsidR="009A7378" w:rsidRPr="00D63217" w:rsidRDefault="009A7378" w:rsidP="002C3D34">
            <w:pPr>
              <w:pStyle w:val="TableText"/>
              <w:spacing w:before="0" w:after="0" w:line="240" w:lineRule="auto"/>
            </w:pPr>
            <w:r w:rsidRPr="00D63217">
              <w:t>Reduced earthworm abundance and/or biomass was observed in 120, 198 and 720 kg ac/ha treatments after one year and abundance only at 720 kg ac/ha after 6 years. No effect on biomass was observed after 6 years.</w:t>
            </w:r>
          </w:p>
        </w:tc>
        <w:tc>
          <w:tcPr>
            <w:tcW w:w="1101" w:type="pct"/>
            <w:tcBorders>
              <w:top w:val="nil"/>
              <w:left w:val="nil"/>
              <w:bottom w:val="single" w:sz="4" w:space="0" w:color="auto"/>
              <w:right w:val="nil"/>
            </w:tcBorders>
          </w:tcPr>
          <w:p w14:paraId="5842FA9A" w14:textId="77777777" w:rsidR="009A7378" w:rsidRPr="00D63217" w:rsidRDefault="009A7378" w:rsidP="002C3D34">
            <w:pPr>
              <w:pStyle w:val="TableText"/>
              <w:spacing w:before="0" w:after="0" w:line="240" w:lineRule="auto"/>
            </w:pPr>
            <w:r w:rsidRPr="00D63217">
              <w:t>Edwards 1980</w:t>
            </w:r>
          </w:p>
        </w:tc>
      </w:tr>
      <w:tr w:rsidR="009A7378" w:rsidRPr="00D63217" w14:paraId="34410F49" w14:textId="77777777" w:rsidTr="00BF4B43">
        <w:tc>
          <w:tcPr>
            <w:tcW w:w="611" w:type="pct"/>
            <w:tcBorders>
              <w:top w:val="nil"/>
              <w:left w:val="nil"/>
              <w:bottom w:val="single" w:sz="4" w:space="0" w:color="auto"/>
              <w:right w:val="nil"/>
            </w:tcBorders>
          </w:tcPr>
          <w:p w14:paraId="13D5D971" w14:textId="77777777" w:rsidR="009A7378" w:rsidRPr="00D63217" w:rsidRDefault="009A7378" w:rsidP="002C3D34">
            <w:pPr>
              <w:pStyle w:val="TableText"/>
              <w:spacing w:before="0" w:after="0" w:line="240" w:lineRule="auto"/>
            </w:pPr>
          </w:p>
        </w:tc>
        <w:tc>
          <w:tcPr>
            <w:tcW w:w="1235" w:type="pct"/>
            <w:tcBorders>
              <w:top w:val="single" w:sz="4" w:space="0" w:color="auto"/>
              <w:left w:val="nil"/>
              <w:bottom w:val="single" w:sz="4" w:space="0" w:color="auto"/>
              <w:right w:val="nil"/>
            </w:tcBorders>
          </w:tcPr>
          <w:p w14:paraId="0E037E80" w14:textId="77777777" w:rsidR="009A7378" w:rsidRPr="00D63217" w:rsidRDefault="009A7378" w:rsidP="002C3D34">
            <w:pPr>
              <w:pStyle w:val="TableText"/>
              <w:spacing w:before="0" w:after="0" w:line="240" w:lineRule="auto"/>
            </w:pPr>
            <w:r w:rsidRPr="00D63217">
              <w:t>1× 2.24, 114, 561 and 1700 kg ac/ha</w:t>
            </w:r>
          </w:p>
          <w:p w14:paraId="37189BB0" w14:textId="77777777" w:rsidR="009A7378" w:rsidRPr="00D63217" w:rsidRDefault="009A7378" w:rsidP="002C3D34">
            <w:pPr>
              <w:pStyle w:val="TableText"/>
              <w:spacing w:before="0" w:after="0" w:line="240" w:lineRule="auto"/>
            </w:pPr>
          </w:p>
          <w:p w14:paraId="461988B4" w14:textId="77777777" w:rsidR="009A7378" w:rsidRPr="00D63217" w:rsidRDefault="009A7378" w:rsidP="002C3D34">
            <w:pPr>
              <w:pStyle w:val="TableText"/>
              <w:spacing w:before="0" w:after="0" w:line="240" w:lineRule="auto"/>
            </w:pPr>
            <w:r w:rsidRPr="00D63217">
              <w:t>Multiple applications to achieve total rates of 260 and 565 kg ac/ha</w:t>
            </w:r>
          </w:p>
        </w:tc>
        <w:tc>
          <w:tcPr>
            <w:tcW w:w="2053" w:type="pct"/>
            <w:tcBorders>
              <w:top w:val="single" w:sz="4" w:space="0" w:color="auto"/>
              <w:left w:val="nil"/>
              <w:bottom w:val="single" w:sz="4" w:space="0" w:color="auto"/>
              <w:right w:val="nil"/>
            </w:tcBorders>
          </w:tcPr>
          <w:p w14:paraId="5C9E2C18" w14:textId="77777777" w:rsidR="009A7378" w:rsidRPr="00D63217" w:rsidRDefault="009A7378" w:rsidP="002C3D34">
            <w:pPr>
              <w:pStyle w:val="TableText"/>
              <w:spacing w:before="0" w:after="0" w:line="240" w:lineRule="auto"/>
            </w:pPr>
            <w:r w:rsidRPr="00D63217">
              <w:t xml:space="preserve">Effects on earthworms were investigated. No adverse effects on </w:t>
            </w:r>
            <w:r w:rsidRPr="00D63217">
              <w:rPr>
                <w:i/>
                <w:iCs/>
              </w:rPr>
              <w:t>lumbricidae</w:t>
            </w:r>
            <w:r w:rsidRPr="00D63217">
              <w:t xml:space="preserve"> or </w:t>
            </w:r>
            <w:r w:rsidRPr="00D63217">
              <w:rPr>
                <w:i/>
                <w:iCs/>
              </w:rPr>
              <w:t>enchytraeid</w:t>
            </w:r>
            <w:r w:rsidRPr="00D63217">
              <w:t xml:space="preserve"> abundance, attributable to paraquat, were reported. SAC not reported</w:t>
            </w:r>
          </w:p>
        </w:tc>
        <w:tc>
          <w:tcPr>
            <w:tcW w:w="1101" w:type="pct"/>
            <w:tcBorders>
              <w:top w:val="single" w:sz="4" w:space="0" w:color="auto"/>
              <w:left w:val="nil"/>
              <w:bottom w:val="single" w:sz="4" w:space="0" w:color="auto"/>
              <w:right w:val="nil"/>
            </w:tcBorders>
          </w:tcPr>
          <w:p w14:paraId="3B0E723B" w14:textId="77777777" w:rsidR="009A7378" w:rsidRPr="00D63217" w:rsidRDefault="009A7378" w:rsidP="002C3D34">
            <w:pPr>
              <w:pStyle w:val="TableText"/>
              <w:spacing w:before="0" w:after="0" w:line="240" w:lineRule="auto"/>
            </w:pPr>
            <w:r w:rsidRPr="00D63217">
              <w:t>Wilkinson &amp; Edwards 1993</w:t>
            </w:r>
          </w:p>
        </w:tc>
      </w:tr>
    </w:tbl>
    <w:p w14:paraId="3EF432CB" w14:textId="386D2399" w:rsidR="009A7378" w:rsidRPr="00A70C86" w:rsidRDefault="00E53283" w:rsidP="00A70C86">
      <w:pPr>
        <w:pStyle w:val="Caption"/>
      </w:pPr>
      <w:bookmarkStart w:id="682" w:name="_Toc230692333"/>
      <w:bookmarkStart w:id="683" w:name="_Toc233036554"/>
      <w:r w:rsidRPr="00A70C86">
        <w:lastRenderedPageBreak/>
        <w:t xml:space="preserve">Table </w:t>
      </w:r>
      <w:fldSimple w:instr=" SEQ Table \* ARABIC ">
        <w:r w:rsidR="00A70C86">
          <w:rPr>
            <w:noProof/>
          </w:rPr>
          <w:t>67</w:t>
        </w:r>
      </w:fldSimple>
      <w:r w:rsidRPr="00A70C86">
        <w:t xml:space="preserve">: </w:t>
      </w:r>
      <w:r w:rsidR="00017CE7" w:rsidRPr="00A70C86">
        <w:t xml:space="preserve">Paraquat – </w:t>
      </w:r>
      <w:r w:rsidR="009A7378" w:rsidRPr="00A70C86">
        <w:t>Effects on non-target terrestrial plants</w:t>
      </w:r>
      <w:bookmarkEnd w:id="682"/>
      <w:bookmarkEnd w:id="6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4"/>
        <w:gridCol w:w="1318"/>
        <w:gridCol w:w="2388"/>
        <w:gridCol w:w="1558"/>
        <w:gridCol w:w="1408"/>
        <w:gridCol w:w="1952"/>
      </w:tblGrid>
      <w:tr w:rsidR="009A7378" w:rsidRPr="00D63217" w14:paraId="66D915E3" w14:textId="77777777" w:rsidTr="00E53283">
        <w:trPr>
          <w:tblHeader/>
        </w:trPr>
        <w:tc>
          <w:tcPr>
            <w:tcW w:w="0" w:type="auto"/>
            <w:tcBorders>
              <w:bottom w:val="single" w:sz="4" w:space="0" w:color="auto"/>
            </w:tcBorders>
            <w:shd w:val="clear" w:color="auto" w:fill="5C2946"/>
          </w:tcPr>
          <w:p w14:paraId="394D7654" w14:textId="7682FF89" w:rsidR="009A7378" w:rsidRPr="00D63217" w:rsidRDefault="002C3D34" w:rsidP="00017CE7">
            <w:pPr>
              <w:pStyle w:val="TableHead"/>
              <w:spacing w:before="0" w:after="0" w:line="240" w:lineRule="auto"/>
            </w:pPr>
            <w:bookmarkStart w:id="684" w:name="_Hlk157060142"/>
            <w:r w:rsidRPr="00D63217">
              <w:t>S</w:t>
            </w:r>
            <w:r w:rsidR="009A7378" w:rsidRPr="00D63217">
              <w:t>ubstance</w:t>
            </w:r>
          </w:p>
        </w:tc>
        <w:tc>
          <w:tcPr>
            <w:tcW w:w="0" w:type="auto"/>
            <w:tcBorders>
              <w:bottom w:val="single" w:sz="4" w:space="0" w:color="auto"/>
            </w:tcBorders>
            <w:shd w:val="clear" w:color="auto" w:fill="5C2946"/>
          </w:tcPr>
          <w:p w14:paraId="6BC15386" w14:textId="77777777" w:rsidR="009A7378" w:rsidRPr="00D63217" w:rsidRDefault="009A7378" w:rsidP="00017CE7">
            <w:pPr>
              <w:pStyle w:val="TableHead"/>
              <w:spacing w:before="0" w:after="0" w:line="240" w:lineRule="auto"/>
            </w:pPr>
            <w:r w:rsidRPr="00D63217">
              <w:t>Exposure</w:t>
            </w:r>
          </w:p>
        </w:tc>
        <w:tc>
          <w:tcPr>
            <w:tcW w:w="1240" w:type="pct"/>
            <w:tcBorders>
              <w:bottom w:val="single" w:sz="4" w:space="0" w:color="auto"/>
            </w:tcBorders>
            <w:shd w:val="clear" w:color="auto" w:fill="5C2946"/>
          </w:tcPr>
          <w:p w14:paraId="72AE21CE" w14:textId="77777777" w:rsidR="009A7378" w:rsidRPr="00D63217" w:rsidRDefault="009A7378" w:rsidP="00017CE7">
            <w:pPr>
              <w:pStyle w:val="TableHead"/>
              <w:spacing w:before="0" w:after="0" w:line="240" w:lineRule="auto"/>
            </w:pPr>
            <w:r w:rsidRPr="00D63217">
              <w:t>Species</w:t>
            </w:r>
          </w:p>
        </w:tc>
        <w:tc>
          <w:tcPr>
            <w:tcW w:w="809" w:type="pct"/>
            <w:tcBorders>
              <w:bottom w:val="single" w:sz="4" w:space="0" w:color="auto"/>
            </w:tcBorders>
            <w:shd w:val="clear" w:color="auto" w:fill="5C2946"/>
          </w:tcPr>
          <w:p w14:paraId="1D53CBDB" w14:textId="77777777" w:rsidR="009A7378" w:rsidRPr="00D63217" w:rsidRDefault="009A7378" w:rsidP="00017CE7">
            <w:pPr>
              <w:pStyle w:val="TableHead"/>
              <w:spacing w:before="0" w:after="0" w:line="240" w:lineRule="auto"/>
            </w:pPr>
            <w:r w:rsidRPr="00D63217">
              <w:t>ER</w:t>
            </w:r>
            <w:r w:rsidRPr="00D63217">
              <w:rPr>
                <w:vertAlign w:val="subscript"/>
              </w:rPr>
              <w:t>25</w:t>
            </w:r>
          </w:p>
        </w:tc>
        <w:tc>
          <w:tcPr>
            <w:tcW w:w="731" w:type="pct"/>
            <w:tcBorders>
              <w:bottom w:val="single" w:sz="4" w:space="0" w:color="auto"/>
            </w:tcBorders>
            <w:shd w:val="clear" w:color="auto" w:fill="5C2946"/>
          </w:tcPr>
          <w:p w14:paraId="32C05951" w14:textId="77777777" w:rsidR="009A7378" w:rsidRPr="00D63217" w:rsidRDefault="009A7378" w:rsidP="00017CE7">
            <w:pPr>
              <w:pStyle w:val="TableHead"/>
              <w:spacing w:before="0" w:after="0" w:line="240" w:lineRule="auto"/>
            </w:pPr>
            <w:r w:rsidRPr="00D63217">
              <w:t>ER</w:t>
            </w:r>
            <w:r w:rsidRPr="00D63217">
              <w:rPr>
                <w:vertAlign w:val="subscript"/>
              </w:rPr>
              <w:t>50</w:t>
            </w:r>
          </w:p>
        </w:tc>
        <w:tc>
          <w:tcPr>
            <w:tcW w:w="0" w:type="auto"/>
            <w:tcBorders>
              <w:bottom w:val="single" w:sz="4" w:space="0" w:color="auto"/>
            </w:tcBorders>
            <w:shd w:val="clear" w:color="auto" w:fill="5C2946"/>
          </w:tcPr>
          <w:p w14:paraId="182F3A37" w14:textId="77777777" w:rsidR="009A7378" w:rsidRPr="00D63217" w:rsidRDefault="009A7378" w:rsidP="00017CE7">
            <w:pPr>
              <w:pStyle w:val="TableHead"/>
              <w:spacing w:before="0" w:after="0" w:line="240" w:lineRule="auto"/>
            </w:pPr>
            <w:r w:rsidRPr="00D63217">
              <w:t>Reference</w:t>
            </w:r>
          </w:p>
        </w:tc>
      </w:tr>
      <w:tr w:rsidR="009A7378" w:rsidRPr="00D63217" w14:paraId="5DA66D50" w14:textId="77777777" w:rsidTr="00BF4B43">
        <w:tc>
          <w:tcPr>
            <w:tcW w:w="0" w:type="auto"/>
            <w:tcBorders>
              <w:top w:val="single" w:sz="4" w:space="0" w:color="auto"/>
              <w:left w:val="nil"/>
              <w:bottom w:val="nil"/>
              <w:right w:val="nil"/>
            </w:tcBorders>
          </w:tcPr>
          <w:p w14:paraId="3129915D" w14:textId="77777777" w:rsidR="009A7378" w:rsidRPr="00D63217" w:rsidRDefault="009A7378" w:rsidP="00017CE7">
            <w:pPr>
              <w:pStyle w:val="TableText"/>
              <w:keepNext/>
              <w:keepLines/>
              <w:spacing w:before="0" w:after="0" w:line="240" w:lineRule="auto"/>
              <w:rPr>
                <w:color w:val="FF0000"/>
              </w:rPr>
            </w:pPr>
            <w:r w:rsidRPr="00D63217">
              <w:t>SL 240 g/L</w:t>
            </w:r>
          </w:p>
        </w:tc>
        <w:tc>
          <w:tcPr>
            <w:tcW w:w="0" w:type="auto"/>
            <w:tcBorders>
              <w:top w:val="single" w:sz="4" w:space="0" w:color="auto"/>
              <w:left w:val="nil"/>
              <w:bottom w:val="nil"/>
              <w:right w:val="nil"/>
            </w:tcBorders>
          </w:tcPr>
          <w:p w14:paraId="22BA65D8" w14:textId="77777777" w:rsidR="009A7378" w:rsidRPr="00D63217" w:rsidRDefault="009A7378" w:rsidP="00017CE7">
            <w:pPr>
              <w:pStyle w:val="TableText"/>
              <w:keepNext/>
              <w:keepLines/>
              <w:spacing w:before="0" w:after="0" w:line="240" w:lineRule="auto"/>
            </w:pPr>
            <w:r w:rsidRPr="00D63217">
              <w:t>Pre-emergent</w:t>
            </w:r>
          </w:p>
        </w:tc>
        <w:tc>
          <w:tcPr>
            <w:tcW w:w="1240" w:type="pct"/>
            <w:tcBorders>
              <w:top w:val="single" w:sz="4" w:space="0" w:color="auto"/>
              <w:left w:val="nil"/>
              <w:bottom w:val="nil"/>
              <w:right w:val="nil"/>
            </w:tcBorders>
          </w:tcPr>
          <w:p w14:paraId="1BC9FF79" w14:textId="5489FBB0" w:rsidR="009A7378" w:rsidRPr="00D63217" w:rsidRDefault="009A7378" w:rsidP="002B660F">
            <w:pPr>
              <w:pStyle w:val="TableText"/>
              <w:keepNext/>
              <w:keepLines/>
              <w:spacing w:before="0" w:after="0" w:line="240" w:lineRule="auto"/>
              <w:rPr>
                <w:i/>
                <w:iCs/>
              </w:rPr>
            </w:pPr>
            <w:r w:rsidRPr="00D63217">
              <w:rPr>
                <w:i/>
                <w:iCs/>
              </w:rPr>
              <w:t>Brassica napus</w:t>
            </w:r>
            <w:r w:rsidR="002B660F" w:rsidRPr="00D63217">
              <w:rPr>
                <w:i/>
                <w:iCs/>
              </w:rPr>
              <w:br/>
            </w:r>
            <w:r w:rsidRPr="00D63217">
              <w:rPr>
                <w:i/>
                <w:iCs/>
              </w:rPr>
              <w:t>Zea mays</w:t>
            </w:r>
            <w:r w:rsidR="002B660F" w:rsidRPr="00D63217">
              <w:rPr>
                <w:i/>
                <w:iCs/>
              </w:rPr>
              <w:br/>
            </w:r>
            <w:r w:rsidRPr="00D63217">
              <w:rPr>
                <w:i/>
                <w:iCs/>
              </w:rPr>
              <w:t>Allium cepa</w:t>
            </w:r>
            <w:r w:rsidR="002B660F" w:rsidRPr="00D63217">
              <w:rPr>
                <w:i/>
                <w:iCs/>
              </w:rPr>
              <w:br/>
            </w:r>
            <w:r w:rsidRPr="00D63217">
              <w:rPr>
                <w:i/>
                <w:iCs/>
              </w:rPr>
              <w:t>Avena sativa</w:t>
            </w:r>
            <w:r w:rsidR="002B660F" w:rsidRPr="00D63217">
              <w:rPr>
                <w:i/>
                <w:iCs/>
              </w:rPr>
              <w:br/>
            </w:r>
            <w:r w:rsidRPr="00D63217">
              <w:rPr>
                <w:i/>
                <w:iCs/>
              </w:rPr>
              <w:t>Cucumus sativus</w:t>
            </w:r>
            <w:r w:rsidR="002B660F" w:rsidRPr="00D63217">
              <w:rPr>
                <w:i/>
                <w:iCs/>
              </w:rPr>
              <w:br/>
            </w:r>
            <w:r w:rsidRPr="00D63217">
              <w:rPr>
                <w:i/>
                <w:iCs/>
              </w:rPr>
              <w:t>Glycine max</w:t>
            </w:r>
            <w:r w:rsidR="002B660F" w:rsidRPr="00D63217">
              <w:rPr>
                <w:i/>
                <w:iCs/>
              </w:rPr>
              <w:br/>
            </w:r>
            <w:r w:rsidRPr="00D63217">
              <w:rPr>
                <w:i/>
                <w:iCs/>
              </w:rPr>
              <w:t>Lolium perenne</w:t>
            </w:r>
            <w:r w:rsidR="002B660F" w:rsidRPr="00D63217">
              <w:rPr>
                <w:i/>
                <w:iCs/>
              </w:rPr>
              <w:br/>
            </w:r>
            <w:r w:rsidRPr="00D63217">
              <w:rPr>
                <w:i/>
                <w:iCs/>
              </w:rPr>
              <w:t>Lycopersicon esculentum</w:t>
            </w:r>
            <w:r w:rsidR="002B660F" w:rsidRPr="00D63217">
              <w:rPr>
                <w:i/>
                <w:iCs/>
              </w:rPr>
              <w:br/>
            </w:r>
            <w:r w:rsidRPr="00D63217">
              <w:rPr>
                <w:i/>
                <w:iCs/>
              </w:rPr>
              <w:t>Phaseolus vulgaris</w:t>
            </w:r>
            <w:r w:rsidR="002B660F" w:rsidRPr="00D63217">
              <w:rPr>
                <w:i/>
                <w:iCs/>
              </w:rPr>
              <w:br/>
            </w:r>
            <w:r w:rsidRPr="00D63217">
              <w:rPr>
                <w:i/>
                <w:iCs/>
              </w:rPr>
              <w:t>Raphanus sativus</w:t>
            </w:r>
          </w:p>
        </w:tc>
        <w:tc>
          <w:tcPr>
            <w:tcW w:w="809" w:type="pct"/>
            <w:tcBorders>
              <w:top w:val="single" w:sz="4" w:space="0" w:color="auto"/>
              <w:left w:val="nil"/>
              <w:bottom w:val="nil"/>
              <w:right w:val="nil"/>
            </w:tcBorders>
          </w:tcPr>
          <w:p w14:paraId="59E67B53" w14:textId="27F577E0" w:rsidR="009A7378" w:rsidRPr="00D63217" w:rsidRDefault="009A7378" w:rsidP="002B660F">
            <w:pPr>
              <w:pStyle w:val="TableText"/>
              <w:keepNext/>
              <w:keepLines/>
              <w:spacing w:before="0" w:after="0" w:line="240" w:lineRule="auto"/>
            </w:pPr>
            <w:r w:rsidRPr="00D63217">
              <w:t>&gt;1166 g ac/ha</w:t>
            </w:r>
            <w:r w:rsidR="002B660F" w:rsidRPr="00D63217">
              <w:br/>
            </w:r>
            <w:r w:rsidRPr="00D63217">
              <w:t>&gt;1166 g ac/ha</w:t>
            </w:r>
            <w:r w:rsidR="002B660F" w:rsidRPr="00D63217">
              <w:br/>
            </w:r>
            <w:r w:rsidRPr="00D63217">
              <w:t>&gt;1267 g ac/ha</w:t>
            </w:r>
            <w:r w:rsidR="002B660F" w:rsidRPr="00D63217">
              <w:br/>
            </w:r>
            <w:r w:rsidRPr="00D63217">
              <w:t>712 g ac/ha</w:t>
            </w:r>
            <w:r w:rsidR="002B660F" w:rsidRPr="00D63217">
              <w:br/>
            </w:r>
            <w:r w:rsidRPr="00D63217">
              <w:t>&gt;1267 g ac/ha</w:t>
            </w:r>
            <w:r w:rsidR="002B660F" w:rsidRPr="00D63217">
              <w:br/>
            </w:r>
            <w:r w:rsidRPr="00D63217">
              <w:t>&gt;1267 g ac/ha</w:t>
            </w:r>
            <w:r w:rsidR="002B660F" w:rsidRPr="00D63217">
              <w:br/>
            </w:r>
            <w:r w:rsidRPr="00D63217">
              <w:t>&gt;639 g ac/ha</w:t>
            </w:r>
            <w:r w:rsidR="002B660F" w:rsidRPr="00D63217">
              <w:br/>
            </w:r>
            <w:r w:rsidRPr="00D63217">
              <w:t>&gt;1267 g ac/ha</w:t>
            </w:r>
            <w:r w:rsidR="002B660F" w:rsidRPr="00D63217">
              <w:br/>
            </w:r>
            <w:r w:rsidRPr="00D63217">
              <w:t>&gt;1267 g ac/ha</w:t>
            </w:r>
            <w:r w:rsidR="002B660F" w:rsidRPr="00D63217">
              <w:br/>
            </w:r>
            <w:r w:rsidRPr="00D63217">
              <w:t>&gt;1267 g ac/ha</w:t>
            </w:r>
          </w:p>
        </w:tc>
        <w:tc>
          <w:tcPr>
            <w:tcW w:w="731" w:type="pct"/>
            <w:tcBorders>
              <w:top w:val="single" w:sz="4" w:space="0" w:color="auto"/>
              <w:left w:val="nil"/>
              <w:bottom w:val="nil"/>
              <w:right w:val="nil"/>
            </w:tcBorders>
          </w:tcPr>
          <w:p w14:paraId="2431F862" w14:textId="551A3D92" w:rsidR="009A7378" w:rsidRPr="00D63217" w:rsidRDefault="009A7378" w:rsidP="002B660F">
            <w:pPr>
              <w:pStyle w:val="TableText"/>
              <w:keepNext/>
              <w:keepLines/>
              <w:spacing w:before="0" w:after="0" w:line="240" w:lineRule="auto"/>
            </w:pPr>
            <w:r w:rsidRPr="00D63217">
              <w:t>&gt;1166 g ac/ha</w:t>
            </w:r>
            <w:r w:rsidR="002B660F" w:rsidRPr="00D63217">
              <w:br/>
            </w:r>
            <w:r w:rsidRPr="00D63217">
              <w:t>&gt;1166 g ac/ha</w:t>
            </w:r>
            <w:r w:rsidR="002B660F" w:rsidRPr="00D63217">
              <w:br/>
            </w:r>
            <w:r w:rsidRPr="00D63217">
              <w:t>&gt;1267 g ac/ha</w:t>
            </w:r>
            <w:r w:rsidR="002B660F" w:rsidRPr="00D63217">
              <w:br/>
            </w:r>
            <w:r w:rsidRPr="00D63217">
              <w:t>&gt;1267 g ac/ha</w:t>
            </w:r>
            <w:r w:rsidR="002B660F" w:rsidRPr="00D63217">
              <w:br/>
            </w:r>
            <w:r w:rsidRPr="00D63217">
              <w:t>&gt;1267 g ac/ha</w:t>
            </w:r>
            <w:r w:rsidR="002B660F" w:rsidRPr="00D63217">
              <w:br/>
            </w:r>
            <w:r w:rsidRPr="00D63217">
              <w:t>&gt;1267 g ac/ha</w:t>
            </w:r>
            <w:r w:rsidR="002B660F" w:rsidRPr="00D63217">
              <w:br/>
            </w:r>
            <w:r w:rsidRPr="00D63217">
              <w:t>&gt;1267 g ac/ha</w:t>
            </w:r>
            <w:r w:rsidR="002B660F" w:rsidRPr="00D63217">
              <w:br/>
            </w:r>
            <w:r w:rsidRPr="00D63217">
              <w:t>&gt;1267 g ac/ha</w:t>
            </w:r>
            <w:r w:rsidR="002B660F" w:rsidRPr="00D63217">
              <w:br/>
            </w:r>
            <w:r w:rsidRPr="00D63217">
              <w:t>&gt;1267 g ac/ha</w:t>
            </w:r>
            <w:r w:rsidR="002B660F" w:rsidRPr="00D63217">
              <w:br/>
            </w:r>
            <w:r w:rsidRPr="00D63217">
              <w:t>&gt;1267 g ac/ha</w:t>
            </w:r>
          </w:p>
        </w:tc>
        <w:tc>
          <w:tcPr>
            <w:tcW w:w="0" w:type="auto"/>
            <w:tcBorders>
              <w:top w:val="single" w:sz="4" w:space="0" w:color="auto"/>
              <w:left w:val="nil"/>
              <w:bottom w:val="nil"/>
              <w:right w:val="nil"/>
            </w:tcBorders>
          </w:tcPr>
          <w:p w14:paraId="2C1285DE" w14:textId="67CC90A8" w:rsidR="009A7378" w:rsidRPr="00D63217" w:rsidRDefault="009A7378" w:rsidP="00017CE7">
            <w:pPr>
              <w:pStyle w:val="TableText"/>
              <w:keepNext/>
              <w:keepLines/>
              <w:spacing w:before="0" w:after="0" w:line="240" w:lineRule="auto"/>
            </w:pPr>
            <w:r w:rsidRPr="00D63217">
              <w:t>Martin 2014</w:t>
            </w:r>
            <w:r w:rsidR="00C37569" w:rsidRPr="00D63217">
              <w:t>(</w:t>
            </w:r>
            <w:r w:rsidRPr="00D63217">
              <w:t>a</w:t>
            </w:r>
            <w:r w:rsidR="00C37569" w:rsidRPr="00D63217">
              <w:t>)</w:t>
            </w:r>
          </w:p>
        </w:tc>
      </w:tr>
      <w:tr w:rsidR="009A7378" w:rsidRPr="00D63217" w14:paraId="19F5DAB1" w14:textId="77777777" w:rsidTr="00BF4B43">
        <w:tc>
          <w:tcPr>
            <w:tcW w:w="0" w:type="auto"/>
            <w:tcBorders>
              <w:top w:val="nil"/>
              <w:left w:val="nil"/>
              <w:bottom w:val="single" w:sz="4" w:space="0" w:color="auto"/>
              <w:right w:val="nil"/>
            </w:tcBorders>
          </w:tcPr>
          <w:p w14:paraId="54BC83D5" w14:textId="77777777" w:rsidR="009A7378" w:rsidRPr="00D63217" w:rsidRDefault="009A7378" w:rsidP="002C3D34">
            <w:pPr>
              <w:pStyle w:val="TableText"/>
              <w:spacing w:before="0" w:after="0" w:line="240" w:lineRule="auto"/>
            </w:pPr>
          </w:p>
        </w:tc>
        <w:tc>
          <w:tcPr>
            <w:tcW w:w="0" w:type="auto"/>
            <w:tcBorders>
              <w:top w:val="single" w:sz="4" w:space="0" w:color="auto"/>
              <w:left w:val="nil"/>
              <w:bottom w:val="single" w:sz="4" w:space="0" w:color="auto"/>
              <w:right w:val="nil"/>
            </w:tcBorders>
          </w:tcPr>
          <w:p w14:paraId="5F1A6030" w14:textId="77777777" w:rsidR="009A7378" w:rsidRPr="00D63217" w:rsidRDefault="009A7378" w:rsidP="002C3D34">
            <w:pPr>
              <w:pStyle w:val="TableText"/>
              <w:spacing w:before="0" w:after="0" w:line="240" w:lineRule="auto"/>
            </w:pPr>
            <w:r w:rsidRPr="00D63217">
              <w:t>Post-emergent</w:t>
            </w:r>
          </w:p>
        </w:tc>
        <w:tc>
          <w:tcPr>
            <w:tcW w:w="1240" w:type="pct"/>
            <w:tcBorders>
              <w:top w:val="single" w:sz="4" w:space="0" w:color="auto"/>
              <w:left w:val="nil"/>
              <w:bottom w:val="single" w:sz="4" w:space="0" w:color="auto"/>
              <w:right w:val="nil"/>
            </w:tcBorders>
          </w:tcPr>
          <w:p w14:paraId="4ADDB321" w14:textId="5E1EF7D9" w:rsidR="009A7378" w:rsidRPr="00D63217" w:rsidRDefault="009A7378" w:rsidP="002B660F">
            <w:pPr>
              <w:pStyle w:val="TableText"/>
              <w:spacing w:before="0" w:after="0" w:line="240" w:lineRule="auto"/>
              <w:rPr>
                <w:i/>
                <w:iCs/>
              </w:rPr>
            </w:pPr>
            <w:r w:rsidRPr="00D63217">
              <w:rPr>
                <w:i/>
                <w:iCs/>
              </w:rPr>
              <w:t>Lolium perenne</w:t>
            </w:r>
            <w:r w:rsidR="002B660F" w:rsidRPr="00D63217">
              <w:rPr>
                <w:i/>
                <w:iCs/>
              </w:rPr>
              <w:br/>
            </w:r>
            <w:r w:rsidRPr="00D63217">
              <w:rPr>
                <w:i/>
                <w:iCs/>
              </w:rPr>
              <w:t>Zea mays</w:t>
            </w:r>
            <w:r w:rsidR="002B660F" w:rsidRPr="00D63217">
              <w:rPr>
                <w:i/>
                <w:iCs/>
              </w:rPr>
              <w:br/>
            </w:r>
            <w:r w:rsidRPr="00D63217">
              <w:rPr>
                <w:i/>
                <w:iCs/>
              </w:rPr>
              <w:t>Avena sativa</w:t>
            </w:r>
            <w:r w:rsidR="002B660F" w:rsidRPr="00D63217">
              <w:rPr>
                <w:i/>
                <w:iCs/>
              </w:rPr>
              <w:br/>
            </w:r>
            <w:r w:rsidRPr="00D63217">
              <w:rPr>
                <w:i/>
                <w:iCs/>
              </w:rPr>
              <w:t>Allium cepa</w:t>
            </w:r>
            <w:r w:rsidR="002B660F" w:rsidRPr="00D63217">
              <w:rPr>
                <w:i/>
                <w:iCs/>
              </w:rPr>
              <w:br/>
            </w:r>
            <w:r w:rsidRPr="00D63217">
              <w:rPr>
                <w:i/>
                <w:iCs/>
              </w:rPr>
              <w:t>Lycopersicon esculentum</w:t>
            </w:r>
            <w:r w:rsidR="002B660F" w:rsidRPr="00D63217">
              <w:rPr>
                <w:i/>
                <w:iCs/>
              </w:rPr>
              <w:br/>
            </w:r>
            <w:r w:rsidRPr="00D63217">
              <w:rPr>
                <w:i/>
                <w:iCs/>
              </w:rPr>
              <w:t>Cucumis sativus</w:t>
            </w:r>
            <w:r w:rsidR="002B660F" w:rsidRPr="00D63217">
              <w:rPr>
                <w:i/>
                <w:iCs/>
              </w:rPr>
              <w:br/>
            </w:r>
            <w:r w:rsidRPr="00D63217">
              <w:rPr>
                <w:i/>
                <w:iCs/>
              </w:rPr>
              <w:t>Glycine max</w:t>
            </w:r>
            <w:r w:rsidR="002B660F" w:rsidRPr="00D63217">
              <w:rPr>
                <w:i/>
                <w:iCs/>
              </w:rPr>
              <w:br/>
            </w:r>
            <w:r w:rsidRPr="00D63217">
              <w:rPr>
                <w:i/>
                <w:iCs/>
              </w:rPr>
              <w:t>Brassica napus</w:t>
            </w:r>
            <w:r w:rsidR="002B660F" w:rsidRPr="00D63217">
              <w:rPr>
                <w:i/>
                <w:iCs/>
              </w:rPr>
              <w:br/>
            </w:r>
            <w:r w:rsidRPr="00D63217">
              <w:rPr>
                <w:i/>
                <w:iCs/>
              </w:rPr>
              <w:t>Phaseolus vulgaris</w:t>
            </w:r>
            <w:r w:rsidR="002B660F" w:rsidRPr="00D63217">
              <w:rPr>
                <w:i/>
                <w:iCs/>
              </w:rPr>
              <w:br/>
            </w:r>
            <w:r w:rsidRPr="00D63217">
              <w:rPr>
                <w:i/>
                <w:iCs/>
              </w:rPr>
              <w:t>Raphanus sativus</w:t>
            </w:r>
          </w:p>
        </w:tc>
        <w:tc>
          <w:tcPr>
            <w:tcW w:w="809" w:type="pct"/>
            <w:tcBorders>
              <w:top w:val="single" w:sz="4" w:space="0" w:color="auto"/>
              <w:left w:val="nil"/>
              <w:bottom w:val="single" w:sz="4" w:space="0" w:color="auto"/>
              <w:right w:val="nil"/>
            </w:tcBorders>
          </w:tcPr>
          <w:p w14:paraId="2F0462F6" w14:textId="1CB64C6A" w:rsidR="009A7378" w:rsidRPr="00D63217" w:rsidRDefault="009A7378" w:rsidP="002B660F">
            <w:pPr>
              <w:pStyle w:val="TableText"/>
              <w:spacing w:before="0" w:after="0" w:line="240" w:lineRule="auto"/>
            </w:pPr>
            <w:r w:rsidRPr="00D63217">
              <w:t>23 g ac/ha</w:t>
            </w:r>
            <w:r w:rsidR="002B660F" w:rsidRPr="00D63217">
              <w:br/>
            </w:r>
            <w:r w:rsidRPr="00D63217">
              <w:t>30 g ac/ha</w:t>
            </w:r>
            <w:r w:rsidR="002B660F" w:rsidRPr="00D63217">
              <w:br/>
            </w:r>
            <w:r w:rsidRPr="00D63217">
              <w:t>47 g ac/ha</w:t>
            </w:r>
            <w:r w:rsidR="002B660F" w:rsidRPr="00D63217">
              <w:br/>
            </w:r>
            <w:r w:rsidRPr="00D63217">
              <w:t>23 g ac/ha</w:t>
            </w:r>
            <w:r w:rsidR="002B660F" w:rsidRPr="00D63217">
              <w:br/>
            </w:r>
            <w:r w:rsidRPr="00D63217">
              <w:t>47 g ac/ha</w:t>
            </w:r>
            <w:r w:rsidR="002B660F" w:rsidRPr="00D63217">
              <w:br/>
            </w:r>
            <w:r w:rsidRPr="00D63217">
              <w:t>99 g ac/ha</w:t>
            </w:r>
            <w:r w:rsidR="002B660F" w:rsidRPr="00D63217">
              <w:br/>
            </w:r>
            <w:r w:rsidRPr="00D63217">
              <w:t>24</w:t>
            </w:r>
            <w:r w:rsidRPr="00D63217">
              <w:rPr>
                <w:i/>
                <w:iCs/>
              </w:rPr>
              <w:t xml:space="preserve"> </w:t>
            </w:r>
            <w:r w:rsidRPr="00D63217">
              <w:t>g ac/ha</w:t>
            </w:r>
            <w:r w:rsidR="002B660F" w:rsidRPr="00D63217">
              <w:br/>
            </w:r>
            <w:r w:rsidRPr="00D63217">
              <w:t>36 g ac/ha</w:t>
            </w:r>
            <w:r w:rsidR="002B660F" w:rsidRPr="00D63217">
              <w:br/>
            </w:r>
            <w:r w:rsidRPr="00D63217">
              <w:t>&gt;314 g ac/ha</w:t>
            </w:r>
            <w:r w:rsidR="002B660F" w:rsidRPr="00D63217">
              <w:br/>
            </w:r>
            <w:r w:rsidRPr="00D63217">
              <w:t>182 g ac/ha</w:t>
            </w:r>
          </w:p>
        </w:tc>
        <w:tc>
          <w:tcPr>
            <w:tcW w:w="731" w:type="pct"/>
            <w:tcBorders>
              <w:top w:val="single" w:sz="4" w:space="0" w:color="auto"/>
              <w:left w:val="nil"/>
              <w:bottom w:val="single" w:sz="4" w:space="0" w:color="auto"/>
              <w:right w:val="nil"/>
            </w:tcBorders>
          </w:tcPr>
          <w:p w14:paraId="19518A90" w14:textId="71BE508E" w:rsidR="009A7378" w:rsidRPr="00D63217" w:rsidRDefault="009A7378" w:rsidP="002B660F">
            <w:pPr>
              <w:pStyle w:val="TableText"/>
              <w:spacing w:before="0" w:after="0" w:line="240" w:lineRule="auto"/>
            </w:pPr>
            <w:r w:rsidRPr="00D63217">
              <w:t>35 g ac/ha</w:t>
            </w:r>
            <w:r w:rsidR="002B660F" w:rsidRPr="00D63217">
              <w:br/>
            </w:r>
            <w:r w:rsidRPr="00D63217">
              <w:t>80 g ac/ha</w:t>
            </w:r>
            <w:r w:rsidR="002B660F" w:rsidRPr="00D63217">
              <w:br/>
            </w:r>
            <w:r w:rsidRPr="00D63217">
              <w:t>108 g ac/ha</w:t>
            </w:r>
            <w:r w:rsidR="002B660F" w:rsidRPr="00D63217">
              <w:br/>
            </w:r>
            <w:r w:rsidRPr="00D63217">
              <w:t>136 g ac/ha</w:t>
            </w:r>
            <w:r w:rsidR="002B660F" w:rsidRPr="00D63217">
              <w:br/>
            </w:r>
            <w:r w:rsidRPr="00D63217">
              <w:t>188 g ac/ha</w:t>
            </w:r>
            <w:r w:rsidR="002B660F" w:rsidRPr="00D63217">
              <w:br/>
            </w:r>
            <w:r w:rsidRPr="00D63217">
              <w:t>267 g ac/ha</w:t>
            </w:r>
            <w:r w:rsidR="002B660F" w:rsidRPr="00D63217">
              <w:br/>
            </w:r>
            <w:r w:rsidRPr="00D63217">
              <w:t>297 g ac/ha</w:t>
            </w:r>
            <w:r w:rsidR="002B660F" w:rsidRPr="00D63217">
              <w:br/>
            </w:r>
            <w:r w:rsidRPr="00D63217">
              <w:t>&gt;314 g ac/ha</w:t>
            </w:r>
            <w:r w:rsidR="002B660F" w:rsidRPr="00D63217">
              <w:br/>
            </w:r>
            <w:r w:rsidRPr="00D63217">
              <w:t>&gt;314 g ac/ha</w:t>
            </w:r>
            <w:r w:rsidR="002B660F" w:rsidRPr="00D63217">
              <w:br/>
            </w:r>
            <w:r w:rsidRPr="00D63217">
              <w:t>&gt;314 g ac/ha</w:t>
            </w:r>
          </w:p>
        </w:tc>
        <w:tc>
          <w:tcPr>
            <w:tcW w:w="0" w:type="auto"/>
            <w:tcBorders>
              <w:top w:val="single" w:sz="4" w:space="0" w:color="auto"/>
              <w:left w:val="nil"/>
              <w:bottom w:val="single" w:sz="4" w:space="0" w:color="auto"/>
              <w:right w:val="nil"/>
            </w:tcBorders>
          </w:tcPr>
          <w:p w14:paraId="683D7D1E" w14:textId="2E40C0EB" w:rsidR="009A7378" w:rsidRPr="00D63217" w:rsidRDefault="009A7378" w:rsidP="002C3D34">
            <w:pPr>
              <w:pStyle w:val="TableText"/>
              <w:spacing w:before="0" w:after="0" w:line="240" w:lineRule="auto"/>
            </w:pPr>
            <w:r w:rsidRPr="00D63217">
              <w:t>Martin 2014</w:t>
            </w:r>
            <w:r w:rsidR="00C37569" w:rsidRPr="00D63217">
              <w:t>(</w:t>
            </w:r>
            <w:r w:rsidRPr="00D63217">
              <w:t>b</w:t>
            </w:r>
            <w:r w:rsidR="00C37569" w:rsidRPr="00D63217">
              <w:t>)</w:t>
            </w:r>
          </w:p>
        </w:tc>
      </w:tr>
      <w:tr w:rsidR="009A7378" w:rsidRPr="00D63217" w14:paraId="2D562F33" w14:textId="77777777" w:rsidTr="00BF4B43">
        <w:tc>
          <w:tcPr>
            <w:tcW w:w="0" w:type="auto"/>
            <w:tcBorders>
              <w:top w:val="single" w:sz="4" w:space="0" w:color="auto"/>
              <w:left w:val="nil"/>
              <w:bottom w:val="single" w:sz="4" w:space="0" w:color="auto"/>
              <w:right w:val="nil"/>
            </w:tcBorders>
          </w:tcPr>
          <w:p w14:paraId="07D37645" w14:textId="77777777" w:rsidR="009A7378" w:rsidRPr="00D63217" w:rsidRDefault="009A7378" w:rsidP="002C3D34">
            <w:pPr>
              <w:pStyle w:val="TableText"/>
              <w:spacing w:before="0" w:after="0" w:line="240" w:lineRule="auto"/>
            </w:pPr>
            <w:r w:rsidRPr="00D63217">
              <w:t>SL 300 g/L</w:t>
            </w:r>
          </w:p>
        </w:tc>
        <w:tc>
          <w:tcPr>
            <w:tcW w:w="0" w:type="auto"/>
            <w:tcBorders>
              <w:top w:val="single" w:sz="4" w:space="0" w:color="auto"/>
              <w:left w:val="nil"/>
              <w:bottom w:val="single" w:sz="4" w:space="0" w:color="auto"/>
              <w:right w:val="nil"/>
            </w:tcBorders>
          </w:tcPr>
          <w:p w14:paraId="566CF0DC" w14:textId="77777777" w:rsidR="009A7378" w:rsidRPr="00D63217" w:rsidRDefault="009A7378" w:rsidP="002C3D34">
            <w:pPr>
              <w:pStyle w:val="TableText"/>
              <w:spacing w:before="0" w:after="0" w:line="240" w:lineRule="auto"/>
            </w:pPr>
            <w:r w:rsidRPr="00D63217">
              <w:t>Post-emergent</w:t>
            </w:r>
          </w:p>
        </w:tc>
        <w:tc>
          <w:tcPr>
            <w:tcW w:w="1240" w:type="pct"/>
            <w:tcBorders>
              <w:top w:val="single" w:sz="4" w:space="0" w:color="auto"/>
              <w:left w:val="nil"/>
              <w:bottom w:val="single" w:sz="4" w:space="0" w:color="auto"/>
              <w:right w:val="nil"/>
            </w:tcBorders>
          </w:tcPr>
          <w:p w14:paraId="20EE2046" w14:textId="54679EE0" w:rsidR="009A7378" w:rsidRPr="00D63217" w:rsidRDefault="009A7378" w:rsidP="002B660F">
            <w:pPr>
              <w:pStyle w:val="TableText"/>
              <w:spacing w:before="0" w:after="0" w:line="240" w:lineRule="auto"/>
              <w:rPr>
                <w:i/>
                <w:iCs/>
              </w:rPr>
            </w:pPr>
            <w:r w:rsidRPr="00D63217">
              <w:rPr>
                <w:i/>
                <w:iCs/>
              </w:rPr>
              <w:t>Xanthium strumarium</w:t>
            </w:r>
            <w:r w:rsidR="002B660F" w:rsidRPr="00D63217">
              <w:rPr>
                <w:i/>
                <w:iCs/>
              </w:rPr>
              <w:br/>
            </w:r>
            <w:r w:rsidRPr="00D63217">
              <w:rPr>
                <w:i/>
                <w:iCs/>
              </w:rPr>
              <w:t>Beta vulgaris</w:t>
            </w:r>
            <w:r w:rsidR="002B660F" w:rsidRPr="00D63217">
              <w:rPr>
                <w:i/>
                <w:iCs/>
              </w:rPr>
              <w:br/>
            </w:r>
            <w:r w:rsidRPr="00D63217">
              <w:rPr>
                <w:i/>
                <w:iCs/>
              </w:rPr>
              <w:t>Brassica napus</w:t>
            </w:r>
            <w:r w:rsidR="002B660F" w:rsidRPr="00D63217">
              <w:rPr>
                <w:i/>
                <w:iCs/>
              </w:rPr>
              <w:br/>
            </w:r>
            <w:r w:rsidRPr="00D63217">
              <w:rPr>
                <w:i/>
                <w:iCs/>
              </w:rPr>
              <w:t>Abutilon theophrasti</w:t>
            </w:r>
            <w:r w:rsidR="002B660F" w:rsidRPr="00D63217">
              <w:rPr>
                <w:i/>
                <w:iCs/>
              </w:rPr>
              <w:br/>
            </w:r>
            <w:r w:rsidRPr="00D63217">
              <w:rPr>
                <w:i/>
                <w:iCs/>
              </w:rPr>
              <w:t>Ipomoea hederacea</w:t>
            </w:r>
            <w:r w:rsidR="002B660F" w:rsidRPr="00D63217">
              <w:rPr>
                <w:i/>
                <w:iCs/>
              </w:rPr>
              <w:br/>
            </w:r>
            <w:r w:rsidRPr="00D63217">
              <w:rPr>
                <w:i/>
                <w:iCs/>
              </w:rPr>
              <w:t>Zea mays</w:t>
            </w:r>
            <w:r w:rsidR="002B660F" w:rsidRPr="00D63217">
              <w:rPr>
                <w:i/>
                <w:iCs/>
              </w:rPr>
              <w:br/>
            </w:r>
            <w:r w:rsidRPr="00D63217">
              <w:rPr>
                <w:i/>
                <w:iCs/>
              </w:rPr>
              <w:t>Glycine max</w:t>
            </w:r>
          </w:p>
        </w:tc>
        <w:tc>
          <w:tcPr>
            <w:tcW w:w="809" w:type="pct"/>
            <w:tcBorders>
              <w:top w:val="single" w:sz="4" w:space="0" w:color="auto"/>
              <w:left w:val="nil"/>
              <w:bottom w:val="single" w:sz="4" w:space="0" w:color="auto"/>
              <w:right w:val="nil"/>
            </w:tcBorders>
          </w:tcPr>
          <w:p w14:paraId="4EC16DC4" w14:textId="3929B4A2" w:rsidR="009A7378" w:rsidRPr="00D63217" w:rsidRDefault="009A7378" w:rsidP="002B660F">
            <w:pPr>
              <w:pStyle w:val="TableText"/>
              <w:spacing w:before="0" w:after="0" w:line="240" w:lineRule="auto"/>
            </w:pPr>
            <w:r w:rsidRPr="00D63217">
              <w:t>14 g ac/ha</w:t>
            </w:r>
            <w:r w:rsidR="002B660F" w:rsidRPr="00D63217">
              <w:br/>
            </w:r>
            <w:r w:rsidRPr="00D63217">
              <w:t>20 g ac/ha</w:t>
            </w:r>
            <w:r w:rsidR="002B660F" w:rsidRPr="00D63217">
              <w:br/>
            </w:r>
            <w:r w:rsidRPr="00D63217">
              <w:t>46 g ac/ha</w:t>
            </w:r>
            <w:r w:rsidR="002B660F" w:rsidRPr="00D63217">
              <w:br/>
            </w:r>
            <w:r w:rsidRPr="00D63217">
              <w:t>50 g ac/ha</w:t>
            </w:r>
            <w:r w:rsidR="002B660F" w:rsidRPr="00D63217">
              <w:br/>
            </w:r>
            <w:r w:rsidRPr="00D63217">
              <w:t>111 g ac/ha</w:t>
            </w:r>
            <w:r w:rsidR="002B660F" w:rsidRPr="00D63217">
              <w:br/>
            </w:r>
            <w:r w:rsidRPr="00D63217">
              <w:t>198 g ac/ha</w:t>
            </w:r>
            <w:r w:rsidR="002B660F" w:rsidRPr="00D63217">
              <w:br/>
            </w:r>
            <w:r w:rsidRPr="00D63217">
              <w:t>101 g ac/ha</w:t>
            </w:r>
          </w:p>
        </w:tc>
        <w:tc>
          <w:tcPr>
            <w:tcW w:w="731" w:type="pct"/>
            <w:tcBorders>
              <w:top w:val="single" w:sz="4" w:space="0" w:color="auto"/>
              <w:left w:val="nil"/>
              <w:bottom w:val="single" w:sz="4" w:space="0" w:color="auto"/>
              <w:right w:val="nil"/>
            </w:tcBorders>
          </w:tcPr>
          <w:p w14:paraId="320D0E41" w14:textId="0B9A2DB0" w:rsidR="009A7378" w:rsidRPr="00D63217" w:rsidRDefault="009A7378" w:rsidP="002B660F">
            <w:pPr>
              <w:pStyle w:val="TableText"/>
              <w:spacing w:before="0" w:after="0" w:line="240" w:lineRule="auto"/>
              <w:rPr>
                <w:color w:val="000000"/>
              </w:rPr>
            </w:pPr>
            <w:r w:rsidRPr="00D63217">
              <w:rPr>
                <w:color w:val="000000"/>
              </w:rPr>
              <w:t>25 g ac/ha</w:t>
            </w:r>
            <w:r w:rsidR="002B660F" w:rsidRPr="00D63217">
              <w:rPr>
                <w:color w:val="000000"/>
              </w:rPr>
              <w:br/>
            </w:r>
            <w:r w:rsidRPr="00D63217">
              <w:rPr>
                <w:color w:val="000000"/>
              </w:rPr>
              <w:t>68 g ac/ha</w:t>
            </w:r>
            <w:r w:rsidR="002B660F" w:rsidRPr="00D63217">
              <w:rPr>
                <w:color w:val="000000"/>
              </w:rPr>
              <w:br/>
            </w:r>
            <w:r w:rsidRPr="00D63217">
              <w:rPr>
                <w:color w:val="000000"/>
              </w:rPr>
              <w:t>83 g ac/ha</w:t>
            </w:r>
            <w:r w:rsidR="002B660F" w:rsidRPr="00D63217">
              <w:rPr>
                <w:color w:val="000000"/>
              </w:rPr>
              <w:br/>
            </w:r>
            <w:r w:rsidRPr="00D63217">
              <w:rPr>
                <w:color w:val="000000"/>
              </w:rPr>
              <w:t>135 g ac/ha</w:t>
            </w:r>
            <w:r w:rsidR="002B660F" w:rsidRPr="00D63217">
              <w:rPr>
                <w:color w:val="000000"/>
              </w:rPr>
              <w:br/>
            </w:r>
            <w:r w:rsidRPr="00D63217">
              <w:rPr>
                <w:color w:val="000000"/>
              </w:rPr>
              <w:t>201 g ac/ha</w:t>
            </w:r>
            <w:r w:rsidR="002B660F" w:rsidRPr="00D63217">
              <w:rPr>
                <w:color w:val="000000"/>
              </w:rPr>
              <w:br/>
            </w:r>
            <w:r w:rsidRPr="00D63217">
              <w:rPr>
                <w:color w:val="000000"/>
              </w:rPr>
              <w:t>536 g ac/ha</w:t>
            </w:r>
            <w:r w:rsidR="002B660F" w:rsidRPr="00D63217">
              <w:rPr>
                <w:color w:val="000000"/>
              </w:rPr>
              <w:br/>
            </w:r>
            <w:r w:rsidRPr="00D63217">
              <w:rPr>
                <w:color w:val="000000"/>
              </w:rPr>
              <w:t>&gt;763 g ac/ha</w:t>
            </w:r>
          </w:p>
        </w:tc>
        <w:tc>
          <w:tcPr>
            <w:tcW w:w="0" w:type="auto"/>
            <w:tcBorders>
              <w:top w:val="single" w:sz="4" w:space="0" w:color="auto"/>
              <w:left w:val="nil"/>
              <w:bottom w:val="single" w:sz="4" w:space="0" w:color="auto"/>
              <w:right w:val="nil"/>
            </w:tcBorders>
          </w:tcPr>
          <w:p w14:paraId="39E8A6DD" w14:textId="77777777" w:rsidR="009A7378" w:rsidRPr="00D63217" w:rsidRDefault="009A7378" w:rsidP="002C3D34">
            <w:pPr>
              <w:pStyle w:val="TableText"/>
              <w:spacing w:before="0" w:after="0" w:line="240" w:lineRule="auto"/>
              <w:rPr>
                <w:color w:val="000000"/>
              </w:rPr>
            </w:pPr>
            <w:r w:rsidRPr="00D63217">
              <w:rPr>
                <w:color w:val="000000"/>
              </w:rPr>
              <w:t>Canning &amp; White 1992</w:t>
            </w:r>
          </w:p>
        </w:tc>
      </w:tr>
    </w:tbl>
    <w:p w14:paraId="4A1CBA3F" w14:textId="4E6D2747" w:rsidR="00017CE7" w:rsidRPr="00A70C86" w:rsidRDefault="0022632D" w:rsidP="00A70C86">
      <w:pPr>
        <w:pStyle w:val="Caption"/>
      </w:pPr>
      <w:bookmarkStart w:id="685" w:name="_Ref220917700"/>
      <w:bookmarkStart w:id="686" w:name="_Toc230692334"/>
      <w:bookmarkStart w:id="687" w:name="_Toc233036555"/>
      <w:bookmarkEnd w:id="684"/>
      <w:r w:rsidRPr="00A70C86">
        <w:t xml:space="preserve">Table </w:t>
      </w:r>
      <w:fldSimple w:instr=" SEQ Table \* ARABIC ">
        <w:r w:rsidR="00A70C86">
          <w:rPr>
            <w:noProof/>
          </w:rPr>
          <w:t>68</w:t>
        </w:r>
      </w:fldSimple>
      <w:bookmarkEnd w:id="685"/>
      <w:r w:rsidR="00017CE7" w:rsidRPr="00A70C86">
        <w:t>:</w:t>
      </w:r>
      <w:bookmarkStart w:id="688" w:name="_Hlk157518559"/>
      <w:r w:rsidRPr="00A70C86">
        <w:t xml:space="preserve"> </w:t>
      </w:r>
      <w:r w:rsidR="00017CE7" w:rsidRPr="00A70C86">
        <w:t>Diquat/paraquat combination products: short-term effects on terrestrial vertebrates</w:t>
      </w:r>
      <w:bookmarkEnd w:id="686"/>
      <w:bookmarkEnd w:id="6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8"/>
        <w:gridCol w:w="2697"/>
        <w:gridCol w:w="2002"/>
        <w:gridCol w:w="2183"/>
        <w:gridCol w:w="1888"/>
      </w:tblGrid>
      <w:tr w:rsidR="00017CE7" w:rsidRPr="00D63217" w14:paraId="324BC40B" w14:textId="77777777" w:rsidTr="00AC372C">
        <w:trPr>
          <w:cantSplit/>
          <w:tblHeader/>
        </w:trPr>
        <w:tc>
          <w:tcPr>
            <w:tcW w:w="0" w:type="auto"/>
            <w:tcBorders>
              <w:bottom w:val="single" w:sz="4" w:space="0" w:color="auto"/>
            </w:tcBorders>
            <w:shd w:val="clear" w:color="auto" w:fill="5C2946"/>
          </w:tcPr>
          <w:p w14:paraId="4B21E963" w14:textId="77777777" w:rsidR="00017CE7" w:rsidRPr="00D63217" w:rsidRDefault="00017CE7" w:rsidP="00AC372C">
            <w:pPr>
              <w:pStyle w:val="TableHead"/>
            </w:pPr>
            <w:r w:rsidRPr="00D63217">
              <w:t>Group</w:t>
            </w:r>
          </w:p>
        </w:tc>
        <w:tc>
          <w:tcPr>
            <w:tcW w:w="0" w:type="auto"/>
            <w:tcBorders>
              <w:bottom w:val="single" w:sz="4" w:space="0" w:color="auto"/>
            </w:tcBorders>
            <w:shd w:val="clear" w:color="auto" w:fill="5C2946"/>
          </w:tcPr>
          <w:p w14:paraId="6F036762" w14:textId="77777777" w:rsidR="00017CE7" w:rsidRPr="00D63217" w:rsidRDefault="00017CE7" w:rsidP="00AC372C">
            <w:pPr>
              <w:pStyle w:val="TableHead"/>
            </w:pPr>
            <w:r w:rsidRPr="00D63217">
              <w:t>Species</w:t>
            </w:r>
          </w:p>
        </w:tc>
        <w:tc>
          <w:tcPr>
            <w:tcW w:w="0" w:type="auto"/>
            <w:tcBorders>
              <w:bottom w:val="single" w:sz="4" w:space="0" w:color="auto"/>
            </w:tcBorders>
            <w:shd w:val="clear" w:color="auto" w:fill="5C2946"/>
          </w:tcPr>
          <w:p w14:paraId="70A2146F" w14:textId="77777777" w:rsidR="00017CE7" w:rsidRPr="00D63217" w:rsidRDefault="00017CE7" w:rsidP="00AC372C">
            <w:pPr>
              <w:pStyle w:val="TableHead"/>
            </w:pPr>
            <w:r w:rsidRPr="00D63217">
              <w:t>0.46 diquat</w:t>
            </w:r>
            <w:r w:rsidRPr="00D63217">
              <w:rPr>
                <w:rStyle w:val="FootnoteReference"/>
                <w:b/>
                <w:sz w:val="17"/>
                <w:szCs w:val="17"/>
              </w:rPr>
              <w:footnoteReference w:id="44"/>
            </w:r>
          </w:p>
        </w:tc>
        <w:tc>
          <w:tcPr>
            <w:tcW w:w="0" w:type="auto"/>
            <w:tcBorders>
              <w:bottom w:val="single" w:sz="4" w:space="0" w:color="auto"/>
            </w:tcBorders>
            <w:shd w:val="clear" w:color="auto" w:fill="5C2946"/>
          </w:tcPr>
          <w:p w14:paraId="14F6CDA7" w14:textId="77777777" w:rsidR="00017CE7" w:rsidRPr="00D63217" w:rsidRDefault="00017CE7" w:rsidP="00AC372C">
            <w:pPr>
              <w:pStyle w:val="TableHead"/>
            </w:pPr>
            <w:r w:rsidRPr="00D63217">
              <w:t>0.54 paraquat</w:t>
            </w:r>
            <w:r w:rsidRPr="00D63217">
              <w:rPr>
                <w:rStyle w:val="FootnoteReference"/>
                <w:b/>
                <w:sz w:val="17"/>
                <w:szCs w:val="17"/>
              </w:rPr>
              <w:footnoteReference w:id="45"/>
            </w:r>
          </w:p>
        </w:tc>
        <w:tc>
          <w:tcPr>
            <w:tcW w:w="0" w:type="auto"/>
            <w:tcBorders>
              <w:bottom w:val="single" w:sz="4" w:space="0" w:color="auto"/>
            </w:tcBorders>
            <w:shd w:val="clear" w:color="auto" w:fill="5C2946"/>
          </w:tcPr>
          <w:p w14:paraId="5B3C45B9" w14:textId="77777777" w:rsidR="00017CE7" w:rsidRPr="00D63217" w:rsidRDefault="00017CE7" w:rsidP="00AC372C">
            <w:pPr>
              <w:pStyle w:val="TableHead"/>
            </w:pPr>
            <w:r w:rsidRPr="00D63217">
              <w:t>1.00 combination</w:t>
            </w:r>
            <w:r w:rsidRPr="00D63217">
              <w:rPr>
                <w:rStyle w:val="FootnoteReference"/>
                <w:b/>
                <w:sz w:val="17"/>
                <w:szCs w:val="17"/>
              </w:rPr>
              <w:footnoteReference w:id="46"/>
            </w:r>
          </w:p>
        </w:tc>
      </w:tr>
      <w:tr w:rsidR="00017CE7" w:rsidRPr="00D63217" w14:paraId="479527EE" w14:textId="77777777" w:rsidTr="007D1EF1">
        <w:trPr>
          <w:cantSplit/>
        </w:trPr>
        <w:tc>
          <w:tcPr>
            <w:tcW w:w="0" w:type="auto"/>
            <w:tcBorders>
              <w:top w:val="single" w:sz="4" w:space="0" w:color="auto"/>
              <w:left w:val="nil"/>
              <w:bottom w:val="nil"/>
              <w:right w:val="nil"/>
            </w:tcBorders>
          </w:tcPr>
          <w:p w14:paraId="1FAC9AD0" w14:textId="77777777" w:rsidR="00017CE7" w:rsidRPr="00A70C86" w:rsidRDefault="00017CE7" w:rsidP="007D1EF1">
            <w:pPr>
              <w:pStyle w:val="BodyText"/>
              <w:keepNext/>
              <w:keepLines/>
              <w:widowControl w:val="0"/>
              <w:spacing w:after="0"/>
              <w:rPr>
                <w:rFonts w:ascii="Arial" w:hAnsi="Arial" w:cs="Arial"/>
                <w:sz w:val="17"/>
                <w:szCs w:val="17"/>
              </w:rPr>
            </w:pPr>
            <w:r w:rsidRPr="00A70C86">
              <w:rPr>
                <w:rFonts w:ascii="Arial" w:hAnsi="Arial" w:cs="Arial"/>
                <w:sz w:val="17"/>
                <w:szCs w:val="17"/>
              </w:rPr>
              <w:t>Mammals</w:t>
            </w:r>
          </w:p>
        </w:tc>
        <w:tc>
          <w:tcPr>
            <w:tcW w:w="0" w:type="auto"/>
            <w:tcBorders>
              <w:top w:val="single" w:sz="4" w:space="0" w:color="auto"/>
              <w:left w:val="nil"/>
              <w:bottom w:val="nil"/>
              <w:right w:val="nil"/>
            </w:tcBorders>
          </w:tcPr>
          <w:p w14:paraId="3BBBD59C" w14:textId="77777777" w:rsidR="00017CE7" w:rsidRPr="00A70C86" w:rsidRDefault="00017CE7" w:rsidP="007D1EF1">
            <w:pPr>
              <w:pStyle w:val="BodyText"/>
              <w:keepNext/>
              <w:keepLines/>
              <w:widowControl w:val="0"/>
              <w:spacing w:after="0"/>
              <w:rPr>
                <w:rFonts w:ascii="Arial" w:hAnsi="Arial" w:cs="Arial"/>
                <w:sz w:val="17"/>
                <w:szCs w:val="17"/>
              </w:rPr>
            </w:pPr>
            <w:r w:rsidRPr="00A70C86">
              <w:rPr>
                <w:rFonts w:ascii="Arial" w:hAnsi="Arial" w:cs="Arial"/>
                <w:i/>
                <w:iCs/>
                <w:sz w:val="17"/>
                <w:szCs w:val="17"/>
              </w:rPr>
              <w:t>Rattus norvegicus</w:t>
            </w:r>
          </w:p>
        </w:tc>
        <w:tc>
          <w:tcPr>
            <w:tcW w:w="0" w:type="auto"/>
            <w:tcBorders>
              <w:top w:val="single" w:sz="4" w:space="0" w:color="auto"/>
              <w:left w:val="nil"/>
              <w:bottom w:val="nil"/>
              <w:right w:val="nil"/>
            </w:tcBorders>
          </w:tcPr>
          <w:p w14:paraId="3A36B0D5" w14:textId="594087D9"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w:t>
            </w:r>
            <w:r w:rsidR="00DE187D" w:rsidRPr="00A70C86">
              <w:rPr>
                <w:rFonts w:ascii="Arial" w:hAnsi="Arial" w:cs="Arial"/>
                <w:sz w:val="17"/>
                <w:szCs w:val="17"/>
              </w:rPr>
              <w:t xml:space="preserve">208 </w:t>
            </w:r>
            <w:r w:rsidRPr="00A70C86">
              <w:rPr>
                <w:rFonts w:ascii="Arial" w:hAnsi="Arial" w:cs="Arial"/>
                <w:sz w:val="17"/>
                <w:szCs w:val="17"/>
              </w:rPr>
              <w:t>mg ac/kg bw</w:t>
            </w:r>
            <w:r w:rsidR="00AC372C" w:rsidRPr="00A70C86">
              <w:rPr>
                <w:rFonts w:ascii="Arial" w:hAnsi="Arial" w:cs="Arial"/>
                <w:sz w:val="17"/>
                <w:szCs w:val="17"/>
              </w:rPr>
              <w:br/>
            </w:r>
            <w:r w:rsidRPr="00A70C86">
              <w:rPr>
                <w:rFonts w:ascii="Arial" w:hAnsi="Arial" w:cs="Arial"/>
                <w:sz w:val="17"/>
                <w:szCs w:val="17"/>
              </w:rPr>
              <w:t>Rittenhouse 1979</w:t>
            </w:r>
          </w:p>
          <w:p w14:paraId="54DD4B0E" w14:textId="67D6FD90" w:rsidR="00DE187D" w:rsidRPr="00A70C86" w:rsidRDefault="00DE187D" w:rsidP="00AC372C">
            <w:pPr>
              <w:pStyle w:val="BodyText"/>
              <w:keepNext/>
              <w:keepLines/>
              <w:widowControl w:val="0"/>
              <w:spacing w:after="0"/>
              <w:rPr>
                <w:rFonts w:ascii="Arial" w:hAnsi="Arial" w:cs="Arial"/>
                <w:sz w:val="17"/>
                <w:szCs w:val="17"/>
              </w:rPr>
            </w:pPr>
            <w:r w:rsidRPr="00A70C86">
              <w:rPr>
                <w:rFonts w:ascii="Arial" w:hAnsi="Arial" w:cs="Arial"/>
                <w:sz w:val="17"/>
                <w:szCs w:val="17"/>
              </w:rPr>
              <w:t>McCall &amp; Robinson 1990</w:t>
            </w:r>
          </w:p>
        </w:tc>
        <w:tc>
          <w:tcPr>
            <w:tcW w:w="0" w:type="auto"/>
            <w:vMerge w:val="restart"/>
            <w:tcBorders>
              <w:top w:val="single" w:sz="4" w:space="0" w:color="auto"/>
              <w:left w:val="nil"/>
              <w:right w:val="nil"/>
            </w:tcBorders>
          </w:tcPr>
          <w:p w14:paraId="01265BA6" w14:textId="78E6331F"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111 mg ac/kg bw</w:t>
            </w:r>
            <w:r w:rsidR="00AC372C" w:rsidRPr="00A70C86">
              <w:rPr>
                <w:rFonts w:ascii="Arial" w:hAnsi="Arial" w:cs="Arial"/>
                <w:sz w:val="17"/>
                <w:szCs w:val="17"/>
              </w:rPr>
              <w:br/>
            </w:r>
            <w:r w:rsidRPr="00A70C86">
              <w:rPr>
                <w:rFonts w:ascii="Arial" w:hAnsi="Arial" w:cs="Arial"/>
                <w:sz w:val="17"/>
                <w:szCs w:val="17"/>
              </w:rPr>
              <w:t>Duerden 1994</w:t>
            </w:r>
            <w:r w:rsidR="00AC372C" w:rsidRPr="00A70C86">
              <w:rPr>
                <w:rFonts w:ascii="Arial" w:hAnsi="Arial" w:cs="Arial"/>
                <w:sz w:val="17"/>
                <w:szCs w:val="17"/>
              </w:rPr>
              <w:br/>
            </w:r>
            <w:r w:rsidRPr="00A70C86">
              <w:rPr>
                <w:rFonts w:ascii="Arial" w:hAnsi="Arial" w:cs="Arial"/>
                <w:sz w:val="17"/>
                <w:szCs w:val="17"/>
              </w:rPr>
              <w:t>Kibrough &amp; Gaines 1970</w:t>
            </w:r>
            <w:r w:rsidR="00AC372C" w:rsidRPr="00A70C86">
              <w:rPr>
                <w:rFonts w:ascii="Arial" w:hAnsi="Arial" w:cs="Arial"/>
                <w:sz w:val="17"/>
                <w:szCs w:val="17"/>
              </w:rPr>
              <w:br/>
            </w:r>
            <w:r w:rsidRPr="00A70C86">
              <w:rPr>
                <w:rFonts w:ascii="Arial" w:hAnsi="Arial" w:cs="Arial"/>
                <w:sz w:val="17"/>
                <w:szCs w:val="17"/>
              </w:rPr>
              <w:t>Murray &amp; Gibson 1972</w:t>
            </w:r>
          </w:p>
        </w:tc>
        <w:tc>
          <w:tcPr>
            <w:tcW w:w="0" w:type="auto"/>
            <w:tcBorders>
              <w:top w:val="single" w:sz="4" w:space="0" w:color="auto"/>
              <w:left w:val="nil"/>
              <w:bottom w:val="nil"/>
              <w:right w:val="nil"/>
            </w:tcBorders>
          </w:tcPr>
          <w:p w14:paraId="41CBEECE" w14:textId="7EE479CF"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Measured: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119 mg acs/kg bw</w:t>
            </w:r>
            <w:r w:rsidR="00AC372C" w:rsidRPr="00A70C86">
              <w:rPr>
                <w:rFonts w:ascii="Arial" w:hAnsi="Arial" w:cs="Arial"/>
                <w:sz w:val="17"/>
                <w:szCs w:val="17"/>
              </w:rPr>
              <w:br/>
            </w:r>
            <w:r w:rsidRPr="00A70C86">
              <w:rPr>
                <w:rFonts w:ascii="Arial" w:hAnsi="Arial" w:cs="Arial"/>
                <w:sz w:val="17"/>
                <w:szCs w:val="17"/>
              </w:rPr>
              <w:t>Pooles 2005</w:t>
            </w:r>
          </w:p>
        </w:tc>
      </w:tr>
      <w:tr w:rsidR="00017CE7" w:rsidRPr="00D63217" w14:paraId="6A919984" w14:textId="77777777" w:rsidTr="007D1EF1">
        <w:trPr>
          <w:cantSplit/>
        </w:trPr>
        <w:tc>
          <w:tcPr>
            <w:tcW w:w="0" w:type="auto"/>
            <w:tcBorders>
              <w:top w:val="nil"/>
              <w:left w:val="nil"/>
              <w:bottom w:val="nil"/>
              <w:right w:val="nil"/>
            </w:tcBorders>
          </w:tcPr>
          <w:p w14:paraId="4029C029" w14:textId="77777777" w:rsidR="00017CE7" w:rsidRPr="00A70C86" w:rsidRDefault="00017CE7" w:rsidP="007D1EF1">
            <w:pPr>
              <w:pStyle w:val="BodyText"/>
              <w:keepNext/>
              <w:keepLines/>
              <w:widowControl w:val="0"/>
              <w:spacing w:after="0"/>
              <w:rPr>
                <w:rFonts w:ascii="Arial" w:hAnsi="Arial" w:cs="Arial"/>
                <w:sz w:val="17"/>
                <w:szCs w:val="17"/>
              </w:rPr>
            </w:pPr>
          </w:p>
        </w:tc>
        <w:tc>
          <w:tcPr>
            <w:tcW w:w="0" w:type="auto"/>
            <w:tcBorders>
              <w:top w:val="nil"/>
              <w:left w:val="nil"/>
              <w:bottom w:val="nil"/>
              <w:right w:val="nil"/>
            </w:tcBorders>
          </w:tcPr>
          <w:p w14:paraId="1CBDB18C"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0" w:type="auto"/>
            <w:tcBorders>
              <w:top w:val="nil"/>
              <w:left w:val="nil"/>
              <w:bottom w:val="nil"/>
              <w:right w:val="nil"/>
            </w:tcBorders>
          </w:tcPr>
          <w:p w14:paraId="34511ABB" w14:textId="77777777" w:rsidR="00017CE7" w:rsidRPr="00A70C86" w:rsidRDefault="00017CE7" w:rsidP="007D1EF1">
            <w:pPr>
              <w:pStyle w:val="BodyText"/>
              <w:keepNext/>
              <w:keepLines/>
              <w:widowControl w:val="0"/>
              <w:spacing w:after="0"/>
              <w:rPr>
                <w:rFonts w:ascii="Arial" w:hAnsi="Arial" w:cs="Arial"/>
                <w:sz w:val="17"/>
                <w:szCs w:val="17"/>
              </w:rPr>
            </w:pPr>
          </w:p>
        </w:tc>
        <w:tc>
          <w:tcPr>
            <w:tcW w:w="0" w:type="auto"/>
            <w:vMerge/>
            <w:tcBorders>
              <w:left w:val="nil"/>
              <w:bottom w:val="nil"/>
              <w:right w:val="nil"/>
            </w:tcBorders>
          </w:tcPr>
          <w:p w14:paraId="267B4DBA" w14:textId="77777777" w:rsidR="00017CE7" w:rsidRPr="00A70C86" w:rsidRDefault="00017CE7" w:rsidP="007D1EF1">
            <w:pPr>
              <w:pStyle w:val="BodyText"/>
              <w:keepNext/>
              <w:keepLines/>
              <w:widowControl w:val="0"/>
              <w:spacing w:after="0"/>
              <w:rPr>
                <w:rFonts w:ascii="Arial" w:hAnsi="Arial" w:cs="Arial"/>
                <w:sz w:val="17"/>
                <w:szCs w:val="17"/>
              </w:rPr>
            </w:pPr>
          </w:p>
        </w:tc>
        <w:tc>
          <w:tcPr>
            <w:tcW w:w="0" w:type="auto"/>
            <w:tcBorders>
              <w:top w:val="nil"/>
              <w:left w:val="nil"/>
              <w:bottom w:val="nil"/>
              <w:right w:val="nil"/>
            </w:tcBorders>
          </w:tcPr>
          <w:p w14:paraId="35E6993D" w14:textId="1BA885C6"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w:t>
            </w:r>
            <w:r w:rsidR="00DE187D" w:rsidRPr="00A70C86">
              <w:rPr>
                <w:rFonts w:ascii="Arial" w:hAnsi="Arial" w:cs="Arial"/>
                <w:sz w:val="17"/>
                <w:szCs w:val="17"/>
              </w:rPr>
              <w:t xml:space="preserve">141 </w:t>
            </w:r>
            <w:r w:rsidRPr="00A70C86">
              <w:rPr>
                <w:rFonts w:ascii="Arial" w:hAnsi="Arial" w:cs="Arial"/>
                <w:sz w:val="17"/>
                <w:szCs w:val="17"/>
              </w:rPr>
              <w:t>mg acs/kg bw</w:t>
            </w:r>
          </w:p>
        </w:tc>
      </w:tr>
      <w:tr w:rsidR="00017CE7" w:rsidRPr="00D63217" w14:paraId="0E8D706E" w14:textId="77777777" w:rsidTr="007D1EF1">
        <w:trPr>
          <w:cantSplit/>
        </w:trPr>
        <w:tc>
          <w:tcPr>
            <w:tcW w:w="0" w:type="auto"/>
            <w:tcBorders>
              <w:top w:val="nil"/>
              <w:left w:val="nil"/>
              <w:bottom w:val="nil"/>
              <w:right w:val="nil"/>
            </w:tcBorders>
          </w:tcPr>
          <w:p w14:paraId="6EBB4D6B" w14:textId="77777777" w:rsidR="00017CE7" w:rsidRPr="00A70C86" w:rsidRDefault="00017CE7" w:rsidP="007D1EF1">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2295F45D"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6DCC5C3D" w14:textId="77777777" w:rsidR="00017CE7" w:rsidRPr="00A70C86" w:rsidRDefault="00017CE7" w:rsidP="007D1EF1">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53FB82CD" w14:textId="77777777" w:rsidR="00017CE7" w:rsidRPr="00A70C86" w:rsidRDefault="00017CE7" w:rsidP="007D1EF1">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72D5C903" w14:textId="2B20ACA9" w:rsidR="00017CE7" w:rsidRPr="00A70C86" w:rsidRDefault="00017CE7" w:rsidP="007D1EF1">
            <w:pPr>
              <w:pStyle w:val="BodyText"/>
              <w:keepNext/>
              <w:keepLines/>
              <w:widowControl w:val="0"/>
              <w:spacing w:after="0"/>
              <w:rPr>
                <w:rFonts w:ascii="Arial" w:hAnsi="Arial" w:cs="Arial"/>
                <w:sz w:val="17"/>
                <w:szCs w:val="17"/>
              </w:rPr>
            </w:pPr>
            <w:r w:rsidRPr="00A70C86">
              <w:rPr>
                <w:rFonts w:ascii="Arial" w:hAnsi="Arial" w:cs="Arial"/>
                <w:sz w:val="17"/>
                <w:szCs w:val="17"/>
              </w:rPr>
              <w:t xml:space="preserve">MDR </w:t>
            </w:r>
            <w:r w:rsidR="00DE187D" w:rsidRPr="00A70C86">
              <w:rPr>
                <w:rFonts w:ascii="Arial" w:hAnsi="Arial" w:cs="Arial"/>
                <w:sz w:val="17"/>
                <w:szCs w:val="17"/>
              </w:rPr>
              <w:t>0.84</w:t>
            </w:r>
          </w:p>
        </w:tc>
      </w:tr>
      <w:tr w:rsidR="00017CE7" w:rsidRPr="00D63217" w14:paraId="61A9C145" w14:textId="77777777" w:rsidTr="007D1EF1">
        <w:trPr>
          <w:cantSplit/>
        </w:trPr>
        <w:tc>
          <w:tcPr>
            <w:tcW w:w="0" w:type="auto"/>
            <w:tcBorders>
              <w:top w:val="nil"/>
              <w:left w:val="nil"/>
              <w:bottom w:val="nil"/>
              <w:right w:val="nil"/>
            </w:tcBorders>
          </w:tcPr>
          <w:p w14:paraId="631ED4A5"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single" w:sz="4" w:space="0" w:color="auto"/>
              <w:left w:val="nil"/>
              <w:bottom w:val="nil"/>
              <w:right w:val="nil"/>
            </w:tcBorders>
          </w:tcPr>
          <w:p w14:paraId="30D0AFFC"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Mus musculus</w:t>
            </w:r>
          </w:p>
        </w:tc>
        <w:tc>
          <w:tcPr>
            <w:tcW w:w="0" w:type="auto"/>
            <w:tcBorders>
              <w:top w:val="single" w:sz="4" w:space="0" w:color="auto"/>
              <w:left w:val="nil"/>
              <w:bottom w:val="nil"/>
              <w:right w:val="nil"/>
            </w:tcBorders>
          </w:tcPr>
          <w:p w14:paraId="72B9FB96" w14:textId="13B25B41"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125 mg ac/kg bw</w:t>
            </w:r>
            <w:r w:rsidR="00AC372C" w:rsidRPr="00A70C86">
              <w:rPr>
                <w:rFonts w:ascii="Arial" w:hAnsi="Arial" w:cs="Arial"/>
                <w:sz w:val="17"/>
                <w:szCs w:val="17"/>
              </w:rPr>
              <w:br/>
            </w:r>
            <w:r w:rsidRPr="00A70C86">
              <w:rPr>
                <w:rFonts w:ascii="Arial" w:hAnsi="Arial" w:cs="Arial"/>
                <w:sz w:val="17"/>
                <w:szCs w:val="17"/>
              </w:rPr>
              <w:t>Clark &amp; Hurst 1970</w:t>
            </w:r>
          </w:p>
        </w:tc>
        <w:tc>
          <w:tcPr>
            <w:tcW w:w="0" w:type="auto"/>
            <w:vMerge w:val="restart"/>
            <w:tcBorders>
              <w:top w:val="single" w:sz="4" w:space="0" w:color="auto"/>
              <w:left w:val="nil"/>
              <w:bottom w:val="nil"/>
              <w:right w:val="nil"/>
            </w:tcBorders>
          </w:tcPr>
          <w:p w14:paraId="08E8A3D1" w14:textId="5B1F3FAC"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151 mg ac/kg bw</w:t>
            </w:r>
            <w:r w:rsidR="00AC372C" w:rsidRPr="00A70C86">
              <w:rPr>
                <w:rFonts w:ascii="Arial" w:hAnsi="Arial" w:cs="Arial"/>
                <w:sz w:val="17"/>
                <w:szCs w:val="17"/>
              </w:rPr>
              <w:br/>
            </w:r>
            <w:r w:rsidRPr="00A70C86">
              <w:rPr>
                <w:rFonts w:ascii="Arial" w:hAnsi="Arial" w:cs="Arial"/>
                <w:sz w:val="17"/>
                <w:szCs w:val="17"/>
              </w:rPr>
              <w:t>Fletcher 1967</w:t>
            </w:r>
            <w:r w:rsidR="00AC372C" w:rsidRPr="00A70C86">
              <w:rPr>
                <w:rFonts w:ascii="Arial" w:hAnsi="Arial" w:cs="Arial"/>
                <w:sz w:val="17"/>
                <w:szCs w:val="17"/>
              </w:rPr>
              <w:br/>
            </w:r>
            <w:r w:rsidRPr="00A70C86">
              <w:rPr>
                <w:rFonts w:ascii="Arial" w:hAnsi="Arial" w:cs="Arial"/>
                <w:sz w:val="17"/>
                <w:szCs w:val="17"/>
              </w:rPr>
              <w:t>Heylings &amp; Farnworth 1992</w:t>
            </w:r>
          </w:p>
        </w:tc>
        <w:tc>
          <w:tcPr>
            <w:tcW w:w="0" w:type="auto"/>
            <w:tcBorders>
              <w:top w:val="single" w:sz="4" w:space="0" w:color="auto"/>
              <w:left w:val="nil"/>
              <w:bottom w:val="nil"/>
              <w:right w:val="nil"/>
            </w:tcBorders>
          </w:tcPr>
          <w:p w14:paraId="5DF6D72D" w14:textId="6F8BBA26"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138 mg acs/kg bw</w:t>
            </w:r>
          </w:p>
        </w:tc>
      </w:tr>
      <w:tr w:rsidR="00017CE7" w:rsidRPr="00D63217" w14:paraId="22B06DA1" w14:textId="77777777" w:rsidTr="007D1EF1">
        <w:trPr>
          <w:cantSplit/>
        </w:trPr>
        <w:tc>
          <w:tcPr>
            <w:tcW w:w="0" w:type="auto"/>
            <w:tcBorders>
              <w:top w:val="nil"/>
              <w:left w:val="nil"/>
              <w:bottom w:val="nil"/>
              <w:right w:val="nil"/>
            </w:tcBorders>
          </w:tcPr>
          <w:p w14:paraId="486871CC"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69E27101"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2F1621A9" w14:textId="77777777" w:rsidR="00017CE7" w:rsidRPr="00A70C86" w:rsidRDefault="00017CE7" w:rsidP="007D1EF1">
            <w:pPr>
              <w:pStyle w:val="BodyText"/>
              <w:widowControl w:val="0"/>
              <w:spacing w:after="0"/>
              <w:rPr>
                <w:rFonts w:ascii="Arial" w:hAnsi="Arial" w:cs="Arial"/>
                <w:sz w:val="17"/>
                <w:szCs w:val="17"/>
              </w:rPr>
            </w:pPr>
          </w:p>
        </w:tc>
        <w:tc>
          <w:tcPr>
            <w:tcW w:w="0" w:type="auto"/>
            <w:vMerge/>
            <w:tcBorders>
              <w:top w:val="nil"/>
              <w:left w:val="nil"/>
              <w:bottom w:val="single" w:sz="4" w:space="0" w:color="auto"/>
              <w:right w:val="nil"/>
            </w:tcBorders>
          </w:tcPr>
          <w:p w14:paraId="7F161241"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5229A51F" w14:textId="34D37EAB"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51% + 49%</w:t>
            </w:r>
          </w:p>
        </w:tc>
      </w:tr>
      <w:tr w:rsidR="00017CE7" w:rsidRPr="00D63217" w14:paraId="701D3CAF" w14:textId="77777777" w:rsidTr="007D1EF1">
        <w:trPr>
          <w:cantSplit/>
        </w:trPr>
        <w:tc>
          <w:tcPr>
            <w:tcW w:w="0" w:type="auto"/>
            <w:tcBorders>
              <w:top w:val="nil"/>
              <w:left w:val="nil"/>
              <w:bottom w:val="nil"/>
              <w:right w:val="nil"/>
            </w:tcBorders>
          </w:tcPr>
          <w:p w14:paraId="656A8B62" w14:textId="0D354A2B" w:rsidR="00017CE7" w:rsidRPr="00A70C86" w:rsidRDefault="00017CE7" w:rsidP="008761AA">
            <w:pPr>
              <w:pStyle w:val="BodyText"/>
              <w:widowControl w:val="0"/>
              <w:spacing w:after="0"/>
              <w:rPr>
                <w:rFonts w:ascii="Arial" w:hAnsi="Arial" w:cs="Arial"/>
                <w:sz w:val="17"/>
                <w:szCs w:val="17"/>
              </w:rPr>
            </w:pPr>
          </w:p>
        </w:tc>
        <w:tc>
          <w:tcPr>
            <w:tcW w:w="0" w:type="auto"/>
            <w:tcBorders>
              <w:top w:val="single" w:sz="4" w:space="0" w:color="auto"/>
              <w:left w:val="nil"/>
              <w:bottom w:val="nil"/>
              <w:right w:val="nil"/>
            </w:tcBorders>
          </w:tcPr>
          <w:p w14:paraId="43721CE5" w14:textId="77777777" w:rsidR="00017CE7" w:rsidRPr="00A70C86" w:rsidRDefault="00017CE7" w:rsidP="008761AA">
            <w:pPr>
              <w:pStyle w:val="BodyText"/>
              <w:widowControl w:val="0"/>
              <w:spacing w:after="0"/>
              <w:rPr>
                <w:rFonts w:ascii="Arial" w:hAnsi="Arial" w:cs="Arial"/>
                <w:i/>
                <w:iCs/>
                <w:sz w:val="17"/>
                <w:szCs w:val="17"/>
              </w:rPr>
            </w:pPr>
            <w:r w:rsidRPr="00A70C86">
              <w:rPr>
                <w:rFonts w:ascii="Arial" w:hAnsi="Arial" w:cs="Arial"/>
                <w:i/>
                <w:iCs/>
                <w:sz w:val="17"/>
                <w:szCs w:val="17"/>
              </w:rPr>
              <w:t>Cavia porcellus</w:t>
            </w:r>
          </w:p>
        </w:tc>
        <w:tc>
          <w:tcPr>
            <w:tcW w:w="0" w:type="auto"/>
            <w:tcBorders>
              <w:top w:val="single" w:sz="4" w:space="0" w:color="auto"/>
              <w:left w:val="nil"/>
              <w:bottom w:val="nil"/>
              <w:right w:val="nil"/>
            </w:tcBorders>
          </w:tcPr>
          <w:p w14:paraId="14FE86C0" w14:textId="30267E2F"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~100 mg ac/kg bw</w:t>
            </w:r>
            <w:r w:rsidR="00AC372C" w:rsidRPr="00A70C86">
              <w:rPr>
                <w:rFonts w:ascii="Arial" w:hAnsi="Arial" w:cs="Arial"/>
                <w:sz w:val="17"/>
                <w:szCs w:val="17"/>
              </w:rPr>
              <w:br/>
            </w:r>
            <w:r w:rsidRPr="00A70C86">
              <w:rPr>
                <w:rFonts w:ascii="Arial" w:hAnsi="Arial" w:cs="Arial"/>
                <w:sz w:val="17"/>
                <w:szCs w:val="17"/>
              </w:rPr>
              <w:t>Clark &amp; Hurst 1970</w:t>
            </w:r>
          </w:p>
        </w:tc>
        <w:tc>
          <w:tcPr>
            <w:tcW w:w="0" w:type="auto"/>
            <w:tcBorders>
              <w:top w:val="single" w:sz="4" w:space="0" w:color="auto"/>
              <w:left w:val="nil"/>
              <w:bottom w:val="nil"/>
              <w:right w:val="nil"/>
            </w:tcBorders>
          </w:tcPr>
          <w:p w14:paraId="01F855B1" w14:textId="2F58153D"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22 mg ac/kg bw</w:t>
            </w:r>
            <w:r w:rsidR="00AC372C" w:rsidRPr="00A70C86">
              <w:rPr>
                <w:rFonts w:ascii="Arial" w:hAnsi="Arial" w:cs="Arial"/>
                <w:sz w:val="17"/>
                <w:szCs w:val="17"/>
              </w:rPr>
              <w:br/>
            </w:r>
            <w:r w:rsidRPr="00A70C86">
              <w:rPr>
                <w:rFonts w:ascii="Arial" w:hAnsi="Arial" w:cs="Arial"/>
                <w:sz w:val="17"/>
                <w:szCs w:val="17"/>
              </w:rPr>
              <w:t>Murray &amp; Gibson 1972</w:t>
            </w:r>
          </w:p>
        </w:tc>
        <w:tc>
          <w:tcPr>
            <w:tcW w:w="0" w:type="auto"/>
            <w:tcBorders>
              <w:top w:val="single" w:sz="4" w:space="0" w:color="auto"/>
              <w:left w:val="nil"/>
              <w:bottom w:val="nil"/>
              <w:right w:val="nil"/>
            </w:tcBorders>
          </w:tcPr>
          <w:p w14:paraId="18A79574" w14:textId="3E7E5ABB"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34 mg acs/kg bw</w:t>
            </w:r>
          </w:p>
        </w:tc>
      </w:tr>
      <w:tr w:rsidR="00017CE7" w:rsidRPr="00D63217" w14:paraId="358C640C" w14:textId="77777777" w:rsidTr="007D1EF1">
        <w:trPr>
          <w:cantSplit/>
        </w:trPr>
        <w:tc>
          <w:tcPr>
            <w:tcW w:w="0" w:type="auto"/>
            <w:tcBorders>
              <w:top w:val="nil"/>
              <w:left w:val="nil"/>
              <w:bottom w:val="nil"/>
              <w:right w:val="nil"/>
            </w:tcBorders>
          </w:tcPr>
          <w:p w14:paraId="2CADF299" w14:textId="77777777" w:rsidR="00017CE7" w:rsidRPr="00A70C86" w:rsidRDefault="00017CE7" w:rsidP="008761AA">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28409626" w14:textId="77777777" w:rsidR="00017CE7" w:rsidRPr="00A70C86" w:rsidRDefault="00017CE7" w:rsidP="008761AA">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50CCFCFB" w14:textId="77777777" w:rsidR="00017CE7" w:rsidRPr="00A70C86" w:rsidRDefault="00017CE7" w:rsidP="008761AA">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63120678" w14:textId="77777777" w:rsidR="00017CE7" w:rsidRPr="00A70C86" w:rsidRDefault="00017CE7" w:rsidP="008761AA">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1B55618F" w14:textId="0426DDF2"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16% + 84%</w:t>
            </w:r>
          </w:p>
        </w:tc>
      </w:tr>
      <w:tr w:rsidR="00017CE7" w:rsidRPr="00D63217" w14:paraId="6320CE3C" w14:textId="77777777" w:rsidTr="007D1EF1">
        <w:trPr>
          <w:cantSplit/>
        </w:trPr>
        <w:tc>
          <w:tcPr>
            <w:tcW w:w="0" w:type="auto"/>
            <w:tcBorders>
              <w:top w:val="nil"/>
              <w:left w:val="nil"/>
              <w:bottom w:val="nil"/>
              <w:right w:val="nil"/>
            </w:tcBorders>
          </w:tcPr>
          <w:p w14:paraId="65E6E391" w14:textId="6AA258BC" w:rsidR="00017CE7" w:rsidRPr="00A70C86" w:rsidRDefault="008761AA" w:rsidP="008761AA">
            <w:pPr>
              <w:pStyle w:val="BodyText"/>
              <w:keepNext/>
              <w:keepLines/>
              <w:widowControl w:val="0"/>
              <w:spacing w:after="0"/>
              <w:rPr>
                <w:rFonts w:ascii="Arial" w:hAnsi="Arial" w:cs="Arial"/>
                <w:sz w:val="17"/>
                <w:szCs w:val="17"/>
              </w:rPr>
            </w:pPr>
            <w:r w:rsidRPr="00A70C86">
              <w:rPr>
                <w:rFonts w:ascii="Arial" w:hAnsi="Arial" w:cs="Arial"/>
                <w:sz w:val="17"/>
                <w:szCs w:val="17"/>
              </w:rPr>
              <w:t>Mammals</w:t>
            </w:r>
          </w:p>
        </w:tc>
        <w:tc>
          <w:tcPr>
            <w:tcW w:w="0" w:type="auto"/>
            <w:tcBorders>
              <w:top w:val="single" w:sz="4" w:space="0" w:color="auto"/>
              <w:left w:val="nil"/>
              <w:bottom w:val="nil"/>
              <w:right w:val="nil"/>
            </w:tcBorders>
          </w:tcPr>
          <w:p w14:paraId="65B52F41" w14:textId="77777777" w:rsidR="00017CE7" w:rsidRPr="00A70C86" w:rsidRDefault="00017CE7" w:rsidP="008761AA">
            <w:pPr>
              <w:pStyle w:val="BodyText"/>
              <w:keepNext/>
              <w:keepLines/>
              <w:widowControl w:val="0"/>
              <w:spacing w:after="0"/>
              <w:rPr>
                <w:rFonts w:ascii="Arial" w:hAnsi="Arial" w:cs="Arial"/>
                <w:i/>
                <w:iCs/>
                <w:sz w:val="17"/>
                <w:szCs w:val="17"/>
              </w:rPr>
            </w:pPr>
            <w:r w:rsidRPr="00A70C86">
              <w:rPr>
                <w:rFonts w:ascii="Arial" w:hAnsi="Arial" w:cs="Arial"/>
                <w:i/>
                <w:iCs/>
                <w:sz w:val="17"/>
                <w:szCs w:val="17"/>
              </w:rPr>
              <w:t>Oryctolagus cuniculus</w:t>
            </w:r>
          </w:p>
        </w:tc>
        <w:tc>
          <w:tcPr>
            <w:tcW w:w="0" w:type="auto"/>
            <w:tcBorders>
              <w:top w:val="single" w:sz="4" w:space="0" w:color="auto"/>
              <w:left w:val="nil"/>
              <w:bottom w:val="nil"/>
              <w:right w:val="nil"/>
            </w:tcBorders>
          </w:tcPr>
          <w:p w14:paraId="7F2A595B" w14:textId="1E40F232"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101 mg ac/kg bw</w:t>
            </w:r>
            <w:r w:rsidR="00AC372C" w:rsidRPr="00A70C86">
              <w:rPr>
                <w:rFonts w:ascii="Arial" w:hAnsi="Arial" w:cs="Arial"/>
                <w:sz w:val="17"/>
                <w:szCs w:val="17"/>
              </w:rPr>
              <w:br/>
            </w:r>
            <w:r w:rsidRPr="00A70C86">
              <w:rPr>
                <w:rFonts w:ascii="Arial" w:hAnsi="Arial" w:cs="Arial"/>
                <w:sz w:val="17"/>
                <w:szCs w:val="17"/>
              </w:rPr>
              <w:t>Clark &amp; Hurst 1970</w:t>
            </w:r>
          </w:p>
        </w:tc>
        <w:tc>
          <w:tcPr>
            <w:tcW w:w="0" w:type="auto"/>
            <w:tcBorders>
              <w:top w:val="single" w:sz="4" w:space="0" w:color="auto"/>
              <w:left w:val="nil"/>
              <w:bottom w:val="nil"/>
              <w:right w:val="nil"/>
            </w:tcBorders>
          </w:tcPr>
          <w:p w14:paraId="6CFBDC4A" w14:textId="19B7C5BF"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45 mg ac/kg bw</w:t>
            </w:r>
            <w:r w:rsidR="00AC372C" w:rsidRPr="00A70C86">
              <w:rPr>
                <w:rFonts w:ascii="Arial" w:hAnsi="Arial" w:cs="Arial"/>
                <w:sz w:val="17"/>
                <w:szCs w:val="17"/>
              </w:rPr>
              <w:br/>
            </w:r>
            <w:r w:rsidRPr="00A70C86">
              <w:rPr>
                <w:rFonts w:ascii="Arial" w:hAnsi="Arial" w:cs="Arial"/>
                <w:sz w:val="17"/>
                <w:szCs w:val="17"/>
              </w:rPr>
              <w:t>Farnworth et</w:t>
            </w:r>
            <w:r w:rsidR="00143F5A" w:rsidRPr="00A70C86">
              <w:rPr>
                <w:rFonts w:ascii="Arial" w:hAnsi="Arial" w:cs="Arial"/>
                <w:sz w:val="17"/>
                <w:szCs w:val="17"/>
              </w:rPr>
              <w:t xml:space="preserve"> al,</w:t>
            </w:r>
            <w:r w:rsidRPr="00A70C86">
              <w:rPr>
                <w:rFonts w:ascii="Arial" w:hAnsi="Arial" w:cs="Arial"/>
                <w:sz w:val="17"/>
                <w:szCs w:val="17"/>
              </w:rPr>
              <w:t xml:space="preserve"> 1993</w:t>
            </w:r>
          </w:p>
        </w:tc>
        <w:tc>
          <w:tcPr>
            <w:tcW w:w="0" w:type="auto"/>
            <w:tcBorders>
              <w:top w:val="single" w:sz="4" w:space="0" w:color="auto"/>
              <w:left w:val="nil"/>
              <w:bottom w:val="nil"/>
              <w:right w:val="nil"/>
            </w:tcBorders>
          </w:tcPr>
          <w:p w14:paraId="29F97C43" w14:textId="27853B51"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60 mg acs/kg bw</w:t>
            </w:r>
          </w:p>
        </w:tc>
      </w:tr>
      <w:tr w:rsidR="00017CE7" w:rsidRPr="00D63217" w14:paraId="4B5170B8" w14:textId="77777777" w:rsidTr="007D1EF1">
        <w:trPr>
          <w:cantSplit/>
        </w:trPr>
        <w:tc>
          <w:tcPr>
            <w:tcW w:w="0" w:type="auto"/>
            <w:tcBorders>
              <w:top w:val="nil"/>
              <w:left w:val="nil"/>
              <w:bottom w:val="nil"/>
              <w:right w:val="nil"/>
            </w:tcBorders>
          </w:tcPr>
          <w:p w14:paraId="7C94C0F7" w14:textId="77777777" w:rsidR="00017CE7" w:rsidRPr="00A70C86" w:rsidRDefault="00017CE7" w:rsidP="008761AA">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71BBB685" w14:textId="77777777" w:rsidR="00017CE7" w:rsidRPr="00A70C86" w:rsidRDefault="00017CE7" w:rsidP="008761AA">
            <w:pPr>
              <w:pStyle w:val="BodyText"/>
              <w:keepNext/>
              <w:keepLines/>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4955F0A5" w14:textId="77777777" w:rsidR="00017CE7" w:rsidRPr="00A70C86" w:rsidRDefault="00017CE7" w:rsidP="008761AA">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00FDCC2D" w14:textId="77777777" w:rsidR="00017CE7" w:rsidRPr="00A70C86" w:rsidRDefault="00017CE7" w:rsidP="008761AA">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2FA440A9" w14:textId="39AE1C37"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28% + 72%</w:t>
            </w:r>
          </w:p>
        </w:tc>
      </w:tr>
      <w:tr w:rsidR="00017CE7" w:rsidRPr="00D63217" w14:paraId="49F6D8F0" w14:textId="77777777" w:rsidTr="007D1EF1">
        <w:trPr>
          <w:cantSplit/>
        </w:trPr>
        <w:tc>
          <w:tcPr>
            <w:tcW w:w="0" w:type="auto"/>
            <w:gridSpan w:val="5"/>
            <w:tcBorders>
              <w:top w:val="nil"/>
              <w:left w:val="nil"/>
              <w:bottom w:val="single" w:sz="4" w:space="0" w:color="auto"/>
              <w:right w:val="nil"/>
            </w:tcBorders>
          </w:tcPr>
          <w:p w14:paraId="0E5E1275" w14:textId="77777777" w:rsidR="00017CE7" w:rsidRPr="00A70C86" w:rsidRDefault="00017CE7" w:rsidP="007D1EF1">
            <w:pPr>
              <w:pStyle w:val="BodyText"/>
              <w:widowControl w:val="0"/>
              <w:spacing w:after="0"/>
              <w:jc w:val="right"/>
              <w:rPr>
                <w:rFonts w:ascii="Arial" w:hAnsi="Arial" w:cs="Arial"/>
                <w:sz w:val="17"/>
                <w:szCs w:val="17"/>
              </w:rPr>
            </w:pPr>
            <w:r w:rsidRPr="00A70C86">
              <w:rPr>
                <w:rFonts w:ascii="Arial" w:hAnsi="Arial" w:cs="Arial"/>
                <w:sz w:val="17"/>
                <w:szCs w:val="17"/>
              </w:rPr>
              <w:t>Geomean LD</w:t>
            </w:r>
            <w:r w:rsidRPr="00A70C86">
              <w:rPr>
                <w:rFonts w:ascii="Arial" w:hAnsi="Arial" w:cs="Arial"/>
                <w:sz w:val="17"/>
                <w:szCs w:val="17"/>
                <w:vertAlign w:val="subscript"/>
              </w:rPr>
              <w:t>50</w:t>
            </w:r>
            <w:r w:rsidRPr="00A70C86">
              <w:rPr>
                <w:rFonts w:ascii="Arial" w:hAnsi="Arial" w:cs="Arial"/>
                <w:sz w:val="17"/>
                <w:szCs w:val="17"/>
              </w:rPr>
              <w:t xml:space="preserve"> 76 mg acs/kg bw (4 mammal species)</w:t>
            </w:r>
          </w:p>
        </w:tc>
      </w:tr>
      <w:tr w:rsidR="00017CE7" w:rsidRPr="00D63217" w14:paraId="226C1C84" w14:textId="77777777" w:rsidTr="007D1EF1">
        <w:trPr>
          <w:cantSplit/>
        </w:trPr>
        <w:tc>
          <w:tcPr>
            <w:tcW w:w="0" w:type="auto"/>
            <w:tcBorders>
              <w:top w:val="single" w:sz="4" w:space="0" w:color="auto"/>
              <w:left w:val="nil"/>
              <w:bottom w:val="nil"/>
              <w:right w:val="nil"/>
            </w:tcBorders>
          </w:tcPr>
          <w:p w14:paraId="1DED3F23"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Birds</w:t>
            </w:r>
          </w:p>
        </w:tc>
        <w:tc>
          <w:tcPr>
            <w:tcW w:w="0" w:type="auto"/>
            <w:tcBorders>
              <w:top w:val="single" w:sz="4" w:space="0" w:color="auto"/>
              <w:left w:val="nil"/>
              <w:bottom w:val="nil"/>
              <w:right w:val="nil"/>
            </w:tcBorders>
          </w:tcPr>
          <w:p w14:paraId="319BF449"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Anas platyrhynchos</w:t>
            </w:r>
          </w:p>
        </w:tc>
        <w:tc>
          <w:tcPr>
            <w:tcW w:w="0" w:type="auto"/>
            <w:tcBorders>
              <w:top w:val="single" w:sz="4" w:space="0" w:color="auto"/>
              <w:left w:val="nil"/>
              <w:bottom w:val="nil"/>
              <w:right w:val="nil"/>
            </w:tcBorders>
          </w:tcPr>
          <w:p w14:paraId="1E48C5F9" w14:textId="494ABA78"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71 mg ac/kg bw</w:t>
            </w:r>
            <w:r w:rsidR="00AC372C" w:rsidRPr="00A70C86">
              <w:rPr>
                <w:rFonts w:ascii="Arial" w:hAnsi="Arial" w:cs="Arial"/>
                <w:sz w:val="17"/>
                <w:szCs w:val="17"/>
              </w:rPr>
              <w:br/>
            </w:r>
            <w:r w:rsidRPr="00A70C86">
              <w:rPr>
                <w:rFonts w:ascii="Arial" w:hAnsi="Arial" w:cs="Arial"/>
                <w:sz w:val="17"/>
                <w:szCs w:val="17"/>
              </w:rPr>
              <w:t>Fink et</w:t>
            </w:r>
            <w:r w:rsidR="00143F5A" w:rsidRPr="00A70C86">
              <w:rPr>
                <w:rFonts w:ascii="Arial" w:hAnsi="Arial" w:cs="Arial"/>
                <w:sz w:val="17"/>
                <w:szCs w:val="17"/>
              </w:rPr>
              <w:t xml:space="preserve"> al,</w:t>
            </w:r>
            <w:r w:rsidRPr="00A70C86">
              <w:rPr>
                <w:rFonts w:ascii="Arial" w:hAnsi="Arial" w:cs="Arial"/>
                <w:sz w:val="17"/>
                <w:szCs w:val="17"/>
              </w:rPr>
              <w:t xml:space="preserve"> 1982</w:t>
            </w:r>
            <w:r w:rsidR="00187029" w:rsidRPr="00A70C86">
              <w:rPr>
                <w:rFonts w:ascii="Arial" w:hAnsi="Arial" w:cs="Arial"/>
                <w:sz w:val="17"/>
                <w:szCs w:val="17"/>
              </w:rPr>
              <w:t>b</w:t>
            </w:r>
          </w:p>
        </w:tc>
        <w:tc>
          <w:tcPr>
            <w:tcW w:w="0" w:type="auto"/>
            <w:tcBorders>
              <w:top w:val="single" w:sz="4" w:space="0" w:color="auto"/>
              <w:left w:val="nil"/>
              <w:bottom w:val="nil"/>
              <w:right w:val="nil"/>
            </w:tcBorders>
          </w:tcPr>
          <w:p w14:paraId="68B134D5" w14:textId="7F546C3C"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54 mg ac/kg bw</w:t>
            </w:r>
            <w:r w:rsidR="00AC372C" w:rsidRPr="00A70C86">
              <w:rPr>
                <w:rFonts w:ascii="Arial" w:hAnsi="Arial" w:cs="Arial"/>
                <w:sz w:val="17"/>
                <w:szCs w:val="17"/>
              </w:rPr>
              <w:br/>
            </w:r>
            <w:r w:rsidRPr="00A70C86">
              <w:rPr>
                <w:rFonts w:ascii="Arial" w:hAnsi="Arial" w:cs="Arial"/>
                <w:sz w:val="17"/>
                <w:szCs w:val="17"/>
              </w:rPr>
              <w:t>Johnson 1998</w:t>
            </w:r>
          </w:p>
        </w:tc>
        <w:tc>
          <w:tcPr>
            <w:tcW w:w="0" w:type="auto"/>
            <w:tcBorders>
              <w:top w:val="single" w:sz="4" w:space="0" w:color="auto"/>
              <w:left w:val="nil"/>
              <w:bottom w:val="nil"/>
              <w:right w:val="nil"/>
            </w:tcBorders>
          </w:tcPr>
          <w:p w14:paraId="765B2A21" w14:textId="59A581D1"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61 mg acs/kg bw</w:t>
            </w:r>
          </w:p>
        </w:tc>
      </w:tr>
      <w:tr w:rsidR="00017CE7" w:rsidRPr="00D63217" w14:paraId="5626E0E1" w14:textId="77777777" w:rsidTr="007D1EF1">
        <w:trPr>
          <w:cantSplit/>
        </w:trPr>
        <w:tc>
          <w:tcPr>
            <w:tcW w:w="0" w:type="auto"/>
            <w:tcBorders>
              <w:top w:val="nil"/>
              <w:left w:val="nil"/>
              <w:bottom w:val="nil"/>
              <w:right w:val="nil"/>
            </w:tcBorders>
          </w:tcPr>
          <w:p w14:paraId="288EB66B" w14:textId="77777777" w:rsidR="00017CE7" w:rsidRPr="00A70C86" w:rsidRDefault="00017CE7" w:rsidP="007D1EF1">
            <w:pPr>
              <w:pStyle w:val="BodyText"/>
              <w:widowControl w:val="0"/>
              <w:spacing w:after="0"/>
              <w:jc w:val="right"/>
              <w:rPr>
                <w:rFonts w:ascii="Arial" w:hAnsi="Arial" w:cs="Arial"/>
                <w:i/>
                <w:iCs/>
                <w:sz w:val="17"/>
                <w:szCs w:val="17"/>
              </w:rPr>
            </w:pPr>
          </w:p>
        </w:tc>
        <w:tc>
          <w:tcPr>
            <w:tcW w:w="0" w:type="auto"/>
            <w:tcBorders>
              <w:top w:val="nil"/>
              <w:left w:val="nil"/>
              <w:bottom w:val="single" w:sz="4" w:space="0" w:color="auto"/>
              <w:right w:val="nil"/>
            </w:tcBorders>
          </w:tcPr>
          <w:p w14:paraId="05F8DEC5"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3786F260"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4F0D194D"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770A0320" w14:textId="60423902"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39% + 61%</w:t>
            </w:r>
          </w:p>
        </w:tc>
      </w:tr>
      <w:tr w:rsidR="00017CE7" w:rsidRPr="00D63217" w14:paraId="5BEF17A1" w14:textId="77777777" w:rsidTr="007D1EF1">
        <w:trPr>
          <w:cantSplit/>
        </w:trPr>
        <w:tc>
          <w:tcPr>
            <w:tcW w:w="0" w:type="auto"/>
            <w:tcBorders>
              <w:top w:val="nil"/>
              <w:left w:val="nil"/>
              <w:bottom w:val="nil"/>
              <w:right w:val="nil"/>
            </w:tcBorders>
          </w:tcPr>
          <w:p w14:paraId="2C8DF420" w14:textId="77777777" w:rsidR="00017CE7" w:rsidRPr="00A70C86" w:rsidRDefault="00017CE7" w:rsidP="007D1EF1">
            <w:pPr>
              <w:pStyle w:val="BodyText"/>
              <w:widowControl w:val="0"/>
              <w:spacing w:after="0"/>
              <w:jc w:val="right"/>
              <w:rPr>
                <w:rFonts w:ascii="Arial" w:hAnsi="Arial" w:cs="Arial"/>
                <w:i/>
                <w:iCs/>
                <w:sz w:val="17"/>
                <w:szCs w:val="17"/>
              </w:rPr>
            </w:pPr>
          </w:p>
        </w:tc>
        <w:tc>
          <w:tcPr>
            <w:tcW w:w="0" w:type="auto"/>
            <w:tcBorders>
              <w:top w:val="single" w:sz="4" w:space="0" w:color="auto"/>
              <w:left w:val="nil"/>
              <w:bottom w:val="nil"/>
              <w:right w:val="nil"/>
            </w:tcBorders>
          </w:tcPr>
          <w:p w14:paraId="5CDB480A"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i/>
                <w:iCs/>
                <w:sz w:val="17"/>
                <w:szCs w:val="17"/>
              </w:rPr>
              <w:t>Taeniopygia guttata</w:t>
            </w:r>
          </w:p>
        </w:tc>
        <w:tc>
          <w:tcPr>
            <w:tcW w:w="0" w:type="auto"/>
            <w:tcBorders>
              <w:top w:val="single" w:sz="4" w:space="0" w:color="auto"/>
              <w:left w:val="nil"/>
              <w:bottom w:val="nil"/>
              <w:right w:val="nil"/>
            </w:tcBorders>
          </w:tcPr>
          <w:p w14:paraId="16CD3A63" w14:textId="79D83921"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31 mg ac/kg bw</w:t>
            </w:r>
            <w:r w:rsidR="00AC372C" w:rsidRPr="00A70C86">
              <w:rPr>
                <w:rFonts w:ascii="Arial" w:hAnsi="Arial" w:cs="Arial"/>
                <w:sz w:val="17"/>
                <w:szCs w:val="17"/>
              </w:rPr>
              <w:br/>
            </w:r>
            <w:r w:rsidRPr="00A70C86">
              <w:rPr>
                <w:rFonts w:ascii="Arial" w:hAnsi="Arial" w:cs="Arial"/>
                <w:sz w:val="17"/>
                <w:szCs w:val="17"/>
              </w:rPr>
              <w:t>Hubbard 2013</w:t>
            </w:r>
          </w:p>
        </w:tc>
        <w:tc>
          <w:tcPr>
            <w:tcW w:w="0" w:type="auto"/>
            <w:tcBorders>
              <w:top w:val="single" w:sz="4" w:space="0" w:color="auto"/>
              <w:left w:val="nil"/>
              <w:bottom w:val="nil"/>
              <w:right w:val="nil"/>
            </w:tcBorders>
          </w:tcPr>
          <w:p w14:paraId="3E5A2DD7" w14:textId="76ED1949"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27 mg ac/kg bw</w:t>
            </w:r>
            <w:r w:rsidR="00AC372C" w:rsidRPr="00A70C86">
              <w:rPr>
                <w:rFonts w:ascii="Arial" w:hAnsi="Arial" w:cs="Arial"/>
                <w:sz w:val="17"/>
                <w:szCs w:val="17"/>
              </w:rPr>
              <w:br/>
            </w:r>
            <w:r w:rsidRPr="00A70C86">
              <w:rPr>
                <w:rFonts w:ascii="Arial" w:hAnsi="Arial" w:cs="Arial"/>
                <w:sz w:val="17"/>
                <w:szCs w:val="17"/>
              </w:rPr>
              <w:t>Hubbard et</w:t>
            </w:r>
            <w:r w:rsidR="00143F5A" w:rsidRPr="00A70C86">
              <w:rPr>
                <w:rFonts w:ascii="Arial" w:hAnsi="Arial" w:cs="Arial"/>
                <w:sz w:val="17"/>
                <w:szCs w:val="17"/>
              </w:rPr>
              <w:t xml:space="preserve"> al,</w:t>
            </w:r>
            <w:r w:rsidRPr="00A70C86">
              <w:rPr>
                <w:rFonts w:ascii="Arial" w:hAnsi="Arial" w:cs="Arial"/>
                <w:sz w:val="17"/>
                <w:szCs w:val="17"/>
              </w:rPr>
              <w:t xml:space="preserve"> 2014</w:t>
            </w:r>
          </w:p>
        </w:tc>
        <w:tc>
          <w:tcPr>
            <w:tcW w:w="0" w:type="auto"/>
            <w:tcBorders>
              <w:top w:val="single" w:sz="4" w:space="0" w:color="auto"/>
              <w:left w:val="nil"/>
              <w:bottom w:val="nil"/>
              <w:right w:val="nil"/>
            </w:tcBorders>
          </w:tcPr>
          <w:p w14:paraId="4536A1EF" w14:textId="23E861BA"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29 mg acs/kg bw</w:t>
            </w:r>
          </w:p>
        </w:tc>
      </w:tr>
      <w:tr w:rsidR="00DE187D" w:rsidRPr="00D63217" w14:paraId="08522E2E" w14:textId="77777777" w:rsidTr="00DE187D">
        <w:trPr>
          <w:cantSplit/>
        </w:trPr>
        <w:tc>
          <w:tcPr>
            <w:tcW w:w="0" w:type="auto"/>
            <w:tcBorders>
              <w:top w:val="nil"/>
              <w:left w:val="nil"/>
              <w:bottom w:val="nil"/>
              <w:right w:val="nil"/>
            </w:tcBorders>
          </w:tcPr>
          <w:p w14:paraId="7E6A521A" w14:textId="77777777" w:rsidR="00017CE7" w:rsidRPr="00A70C86" w:rsidRDefault="00017CE7" w:rsidP="007D1EF1">
            <w:pPr>
              <w:pStyle w:val="BodyText"/>
              <w:widowControl w:val="0"/>
              <w:spacing w:after="0"/>
              <w:jc w:val="right"/>
              <w:rPr>
                <w:rFonts w:ascii="Arial" w:hAnsi="Arial" w:cs="Arial"/>
                <w:i/>
                <w:iCs/>
                <w:sz w:val="17"/>
                <w:szCs w:val="17"/>
              </w:rPr>
            </w:pPr>
          </w:p>
        </w:tc>
        <w:tc>
          <w:tcPr>
            <w:tcW w:w="0" w:type="auto"/>
            <w:tcBorders>
              <w:top w:val="nil"/>
              <w:left w:val="nil"/>
              <w:bottom w:val="single" w:sz="4" w:space="0" w:color="auto"/>
              <w:right w:val="nil"/>
            </w:tcBorders>
          </w:tcPr>
          <w:p w14:paraId="4FDCAEBF"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6028C69A"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1757ED65"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29ADB6FF" w14:textId="009FECBB"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43% + 47%</w:t>
            </w:r>
          </w:p>
        </w:tc>
      </w:tr>
      <w:tr w:rsidR="00DE187D" w:rsidRPr="00D63217" w14:paraId="2ACE2415" w14:textId="77777777" w:rsidTr="00911502">
        <w:trPr>
          <w:cantSplit/>
        </w:trPr>
        <w:tc>
          <w:tcPr>
            <w:tcW w:w="0" w:type="auto"/>
            <w:tcBorders>
              <w:top w:val="nil"/>
              <w:left w:val="nil"/>
              <w:bottom w:val="nil"/>
              <w:right w:val="nil"/>
            </w:tcBorders>
          </w:tcPr>
          <w:p w14:paraId="4E216DA6" w14:textId="77777777" w:rsidR="00DE187D" w:rsidRPr="00A70C86" w:rsidRDefault="00DE187D" w:rsidP="00DE187D">
            <w:pPr>
              <w:pStyle w:val="BodyText"/>
              <w:widowControl w:val="0"/>
              <w:spacing w:after="0"/>
              <w:jc w:val="right"/>
              <w:rPr>
                <w:rFonts w:ascii="Arial" w:hAnsi="Arial" w:cs="Arial"/>
                <w:i/>
                <w:iCs/>
                <w:sz w:val="17"/>
                <w:szCs w:val="17"/>
              </w:rPr>
            </w:pPr>
          </w:p>
        </w:tc>
        <w:tc>
          <w:tcPr>
            <w:tcW w:w="0" w:type="auto"/>
            <w:vMerge w:val="restart"/>
            <w:tcBorders>
              <w:top w:val="nil"/>
              <w:left w:val="nil"/>
              <w:right w:val="nil"/>
            </w:tcBorders>
          </w:tcPr>
          <w:p w14:paraId="737858E9" w14:textId="6B7D63CD" w:rsidR="00DE187D" w:rsidRPr="00A70C86" w:rsidRDefault="00DE187D" w:rsidP="00DE187D">
            <w:pPr>
              <w:pStyle w:val="BodyText"/>
              <w:widowControl w:val="0"/>
              <w:spacing w:after="0"/>
              <w:rPr>
                <w:rFonts w:ascii="Arial" w:hAnsi="Arial" w:cs="Arial"/>
                <w:i/>
                <w:iCs/>
                <w:sz w:val="17"/>
                <w:szCs w:val="17"/>
              </w:rPr>
            </w:pPr>
            <w:r w:rsidRPr="00A70C86">
              <w:rPr>
                <w:rFonts w:ascii="Arial" w:hAnsi="Arial" w:cs="Arial"/>
                <w:i/>
                <w:iCs/>
                <w:sz w:val="17"/>
                <w:szCs w:val="17"/>
              </w:rPr>
              <w:t>Perdix perdix / Colinus virginianus</w:t>
            </w:r>
          </w:p>
        </w:tc>
        <w:tc>
          <w:tcPr>
            <w:tcW w:w="0" w:type="auto"/>
            <w:vMerge w:val="restart"/>
            <w:tcBorders>
              <w:top w:val="nil"/>
              <w:left w:val="nil"/>
              <w:right w:val="nil"/>
            </w:tcBorders>
          </w:tcPr>
          <w:p w14:paraId="79EE1006" w14:textId="77777777"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158 mg ac/kg bw</w:t>
            </w:r>
          </w:p>
          <w:p w14:paraId="52B15C6A" w14:textId="77777777"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w:t>
            </w:r>
            <w:r w:rsidRPr="00A70C86">
              <w:rPr>
                <w:rFonts w:ascii="Arial" w:hAnsi="Arial" w:cs="Arial"/>
                <w:i/>
                <w:iCs/>
                <w:sz w:val="17"/>
                <w:szCs w:val="17"/>
              </w:rPr>
              <w:t>Perdix perdix</w:t>
            </w:r>
            <w:r w:rsidRPr="00A70C86">
              <w:rPr>
                <w:rFonts w:ascii="Arial" w:hAnsi="Arial" w:cs="Arial"/>
                <w:sz w:val="17"/>
                <w:szCs w:val="17"/>
              </w:rPr>
              <w:t>)</w:t>
            </w:r>
          </w:p>
          <w:p w14:paraId="6AF7DA27" w14:textId="257EB3AE"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Roberts &amp; Fairley 1980</w:t>
            </w:r>
          </w:p>
        </w:tc>
        <w:tc>
          <w:tcPr>
            <w:tcW w:w="0" w:type="auto"/>
            <w:vMerge w:val="restart"/>
            <w:tcBorders>
              <w:top w:val="nil"/>
              <w:left w:val="nil"/>
              <w:right w:val="nil"/>
            </w:tcBorders>
          </w:tcPr>
          <w:p w14:paraId="71006FA6" w14:textId="1F46E398"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124 mg ac/kg bw</w:t>
            </w:r>
          </w:p>
          <w:p w14:paraId="38C82413" w14:textId="7042FB7A"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w:t>
            </w:r>
            <w:r w:rsidRPr="00A70C86">
              <w:rPr>
                <w:rFonts w:ascii="Arial" w:hAnsi="Arial" w:cs="Arial"/>
                <w:i/>
                <w:iCs/>
                <w:sz w:val="17"/>
                <w:szCs w:val="17"/>
              </w:rPr>
              <w:t>Colinus virginianus</w:t>
            </w:r>
            <w:r w:rsidRPr="00A70C86">
              <w:rPr>
                <w:rFonts w:ascii="Arial" w:hAnsi="Arial" w:cs="Arial"/>
                <w:sz w:val="17"/>
                <w:szCs w:val="17"/>
              </w:rPr>
              <w:t>)</w:t>
            </w:r>
          </w:p>
          <w:p w14:paraId="4178FF95" w14:textId="62F0B7B7"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Fink et al, 1979</w:t>
            </w:r>
          </w:p>
        </w:tc>
        <w:tc>
          <w:tcPr>
            <w:tcW w:w="0" w:type="auto"/>
            <w:tcBorders>
              <w:top w:val="single" w:sz="4" w:space="0" w:color="auto"/>
              <w:left w:val="nil"/>
              <w:bottom w:val="nil"/>
              <w:right w:val="nil"/>
            </w:tcBorders>
          </w:tcPr>
          <w:p w14:paraId="59F1C2E1" w14:textId="18581668"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Predicted:</w:t>
            </w:r>
            <w:r w:rsidRPr="00A70C86">
              <w:rPr>
                <w:rFonts w:ascii="Arial" w:hAnsi="Arial" w:cs="Arial"/>
                <w:sz w:val="17"/>
                <w:szCs w:val="17"/>
              </w:rPr>
              <w:br/>
              <w:t>LD</w:t>
            </w:r>
            <w:r w:rsidRPr="00A70C86">
              <w:rPr>
                <w:rFonts w:ascii="Arial" w:hAnsi="Arial" w:cs="Arial"/>
                <w:sz w:val="17"/>
                <w:szCs w:val="17"/>
                <w:vertAlign w:val="subscript"/>
              </w:rPr>
              <w:t>50</w:t>
            </w:r>
            <w:r w:rsidRPr="00A70C86">
              <w:rPr>
                <w:rFonts w:ascii="Arial" w:hAnsi="Arial" w:cs="Arial"/>
                <w:sz w:val="17"/>
                <w:szCs w:val="17"/>
              </w:rPr>
              <w:t xml:space="preserve"> 138 mg acs/kg bw</w:t>
            </w:r>
          </w:p>
        </w:tc>
      </w:tr>
      <w:tr w:rsidR="00DE187D" w:rsidRPr="00D63217" w14:paraId="1E8921C8" w14:textId="77777777" w:rsidTr="00911502">
        <w:trPr>
          <w:cantSplit/>
        </w:trPr>
        <w:tc>
          <w:tcPr>
            <w:tcW w:w="0" w:type="auto"/>
            <w:tcBorders>
              <w:top w:val="nil"/>
              <w:left w:val="nil"/>
              <w:bottom w:val="nil"/>
              <w:right w:val="nil"/>
            </w:tcBorders>
          </w:tcPr>
          <w:p w14:paraId="2EE04422" w14:textId="77777777" w:rsidR="00DE187D" w:rsidRPr="00A70C86" w:rsidRDefault="00DE187D" w:rsidP="00DE187D">
            <w:pPr>
              <w:pStyle w:val="BodyText"/>
              <w:widowControl w:val="0"/>
              <w:spacing w:after="0"/>
              <w:jc w:val="right"/>
              <w:rPr>
                <w:rFonts w:ascii="Arial" w:hAnsi="Arial" w:cs="Arial"/>
                <w:i/>
                <w:iCs/>
                <w:sz w:val="17"/>
                <w:szCs w:val="17"/>
              </w:rPr>
            </w:pPr>
          </w:p>
        </w:tc>
        <w:tc>
          <w:tcPr>
            <w:tcW w:w="0" w:type="auto"/>
            <w:vMerge/>
            <w:tcBorders>
              <w:left w:val="nil"/>
              <w:bottom w:val="single" w:sz="4" w:space="0" w:color="auto"/>
              <w:right w:val="nil"/>
            </w:tcBorders>
          </w:tcPr>
          <w:p w14:paraId="6CA2AA3C" w14:textId="77777777" w:rsidR="00DE187D" w:rsidRPr="00A70C86" w:rsidRDefault="00DE187D" w:rsidP="00DE187D">
            <w:pPr>
              <w:pStyle w:val="BodyText"/>
              <w:widowControl w:val="0"/>
              <w:spacing w:after="0"/>
              <w:rPr>
                <w:rFonts w:ascii="Arial" w:hAnsi="Arial" w:cs="Arial"/>
                <w:i/>
                <w:iCs/>
                <w:sz w:val="17"/>
                <w:szCs w:val="17"/>
              </w:rPr>
            </w:pPr>
          </w:p>
        </w:tc>
        <w:tc>
          <w:tcPr>
            <w:tcW w:w="0" w:type="auto"/>
            <w:vMerge/>
            <w:tcBorders>
              <w:left w:val="nil"/>
              <w:bottom w:val="single" w:sz="4" w:space="0" w:color="auto"/>
              <w:right w:val="nil"/>
            </w:tcBorders>
          </w:tcPr>
          <w:p w14:paraId="3769B07D" w14:textId="77777777" w:rsidR="00DE187D" w:rsidRPr="00A70C86" w:rsidRDefault="00DE187D" w:rsidP="00DE187D">
            <w:pPr>
              <w:pStyle w:val="BodyText"/>
              <w:widowControl w:val="0"/>
              <w:spacing w:after="0"/>
              <w:rPr>
                <w:rFonts w:ascii="Arial" w:hAnsi="Arial" w:cs="Arial"/>
                <w:sz w:val="17"/>
                <w:szCs w:val="17"/>
              </w:rPr>
            </w:pPr>
          </w:p>
        </w:tc>
        <w:tc>
          <w:tcPr>
            <w:tcW w:w="0" w:type="auto"/>
            <w:vMerge/>
            <w:tcBorders>
              <w:left w:val="nil"/>
              <w:bottom w:val="single" w:sz="4" w:space="0" w:color="auto"/>
              <w:right w:val="nil"/>
            </w:tcBorders>
          </w:tcPr>
          <w:p w14:paraId="6CA48C71" w14:textId="77777777" w:rsidR="00DE187D" w:rsidRPr="00A70C86" w:rsidRDefault="00DE187D" w:rsidP="00DE187D">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7FACAD81" w14:textId="3B13244C" w:rsidR="00DE187D" w:rsidRPr="00A70C86" w:rsidRDefault="00DE187D" w:rsidP="00DE187D">
            <w:pPr>
              <w:pStyle w:val="BodyText"/>
              <w:widowControl w:val="0"/>
              <w:spacing w:after="0"/>
              <w:rPr>
                <w:rFonts w:ascii="Arial" w:hAnsi="Arial" w:cs="Arial"/>
                <w:sz w:val="17"/>
                <w:szCs w:val="17"/>
              </w:rPr>
            </w:pPr>
            <w:r w:rsidRPr="00A70C86">
              <w:rPr>
                <w:rFonts w:ascii="Arial" w:hAnsi="Arial" w:cs="Arial"/>
                <w:sz w:val="17"/>
                <w:szCs w:val="17"/>
              </w:rPr>
              <w:t>Relative toxicity:</w:t>
            </w:r>
            <w:r w:rsidRPr="00A70C86">
              <w:rPr>
                <w:rFonts w:ascii="Arial" w:hAnsi="Arial" w:cs="Arial"/>
                <w:sz w:val="17"/>
                <w:szCs w:val="17"/>
              </w:rPr>
              <w:br/>
              <w:t>40% + 60%</w:t>
            </w:r>
          </w:p>
        </w:tc>
      </w:tr>
      <w:tr w:rsidR="00017CE7" w:rsidRPr="00D63217" w14:paraId="5AE58853" w14:textId="77777777" w:rsidTr="007D1EF1">
        <w:trPr>
          <w:cantSplit/>
        </w:trPr>
        <w:tc>
          <w:tcPr>
            <w:tcW w:w="0" w:type="auto"/>
            <w:tcBorders>
              <w:top w:val="nil"/>
              <w:left w:val="nil"/>
              <w:bottom w:val="single" w:sz="4" w:space="0" w:color="auto"/>
              <w:right w:val="nil"/>
            </w:tcBorders>
          </w:tcPr>
          <w:p w14:paraId="53C25082" w14:textId="77777777" w:rsidR="00017CE7" w:rsidRPr="00A70C86" w:rsidRDefault="00017CE7" w:rsidP="007D1EF1">
            <w:pPr>
              <w:pStyle w:val="BodyText"/>
              <w:widowControl w:val="0"/>
              <w:spacing w:after="0"/>
              <w:jc w:val="right"/>
              <w:rPr>
                <w:rFonts w:ascii="Arial" w:hAnsi="Arial" w:cs="Arial"/>
                <w:i/>
                <w:iCs/>
                <w:sz w:val="17"/>
                <w:szCs w:val="17"/>
              </w:rPr>
            </w:pPr>
          </w:p>
        </w:tc>
        <w:tc>
          <w:tcPr>
            <w:tcW w:w="0" w:type="auto"/>
            <w:tcBorders>
              <w:top w:val="single" w:sz="4" w:space="0" w:color="auto"/>
              <w:left w:val="nil"/>
              <w:bottom w:val="single" w:sz="4" w:space="0" w:color="auto"/>
              <w:right w:val="nil"/>
            </w:tcBorders>
          </w:tcPr>
          <w:p w14:paraId="60977519"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single" w:sz="4" w:space="0" w:color="auto"/>
              <w:left w:val="nil"/>
              <w:bottom w:val="single" w:sz="4" w:space="0" w:color="auto"/>
              <w:right w:val="nil"/>
            </w:tcBorders>
          </w:tcPr>
          <w:p w14:paraId="2D74332C" w14:textId="77777777" w:rsidR="00017CE7" w:rsidRPr="00A70C86" w:rsidRDefault="00017CE7" w:rsidP="007D1EF1">
            <w:pPr>
              <w:pStyle w:val="BodyText"/>
              <w:widowControl w:val="0"/>
              <w:spacing w:after="0"/>
              <w:rPr>
                <w:rFonts w:ascii="Arial" w:hAnsi="Arial" w:cs="Arial"/>
                <w:sz w:val="17"/>
                <w:szCs w:val="17"/>
              </w:rPr>
            </w:pPr>
          </w:p>
        </w:tc>
        <w:tc>
          <w:tcPr>
            <w:tcW w:w="0" w:type="auto"/>
            <w:gridSpan w:val="2"/>
            <w:tcBorders>
              <w:top w:val="single" w:sz="4" w:space="0" w:color="auto"/>
              <w:left w:val="nil"/>
              <w:bottom w:val="single" w:sz="4" w:space="0" w:color="auto"/>
              <w:right w:val="nil"/>
            </w:tcBorders>
          </w:tcPr>
          <w:p w14:paraId="5DDBF8D2" w14:textId="709327FF" w:rsidR="00017CE7" w:rsidRPr="00A70C86" w:rsidRDefault="00017CE7" w:rsidP="007D1EF1">
            <w:pPr>
              <w:pStyle w:val="BodyText"/>
              <w:widowControl w:val="0"/>
              <w:spacing w:after="0"/>
              <w:jc w:val="right"/>
              <w:rPr>
                <w:rFonts w:ascii="Arial" w:hAnsi="Arial" w:cs="Arial"/>
                <w:sz w:val="17"/>
                <w:szCs w:val="17"/>
              </w:rPr>
            </w:pPr>
            <w:r w:rsidRPr="00A70C86">
              <w:rPr>
                <w:rFonts w:ascii="Arial" w:hAnsi="Arial" w:cs="Arial"/>
                <w:sz w:val="17"/>
                <w:szCs w:val="17"/>
              </w:rPr>
              <w:t>Geomean LD</w:t>
            </w:r>
            <w:r w:rsidRPr="00A70C86">
              <w:rPr>
                <w:rFonts w:ascii="Arial" w:hAnsi="Arial" w:cs="Arial"/>
                <w:sz w:val="17"/>
                <w:szCs w:val="17"/>
                <w:vertAlign w:val="subscript"/>
              </w:rPr>
              <w:t>50</w:t>
            </w:r>
            <w:r w:rsidRPr="00A70C86">
              <w:rPr>
                <w:rFonts w:ascii="Arial" w:hAnsi="Arial" w:cs="Arial"/>
                <w:sz w:val="17"/>
                <w:szCs w:val="17"/>
              </w:rPr>
              <w:t xml:space="preserve"> </w:t>
            </w:r>
            <w:r w:rsidR="00DE187D" w:rsidRPr="00A70C86">
              <w:rPr>
                <w:rFonts w:ascii="Arial" w:hAnsi="Arial" w:cs="Arial"/>
                <w:sz w:val="17"/>
                <w:szCs w:val="17"/>
              </w:rPr>
              <w:t xml:space="preserve">62 </w:t>
            </w:r>
            <w:r w:rsidRPr="00A70C86">
              <w:rPr>
                <w:rFonts w:ascii="Arial" w:hAnsi="Arial" w:cs="Arial"/>
                <w:sz w:val="17"/>
                <w:szCs w:val="17"/>
              </w:rPr>
              <w:t>mg acs/kg bw (</w:t>
            </w:r>
            <w:r w:rsidR="00DE187D" w:rsidRPr="00A70C86">
              <w:rPr>
                <w:rFonts w:ascii="Arial" w:hAnsi="Arial" w:cs="Arial"/>
                <w:sz w:val="17"/>
                <w:szCs w:val="17"/>
              </w:rPr>
              <w:t xml:space="preserve">3 </w:t>
            </w:r>
            <w:r w:rsidRPr="00A70C86">
              <w:rPr>
                <w:rFonts w:ascii="Arial" w:hAnsi="Arial" w:cs="Arial"/>
                <w:sz w:val="17"/>
                <w:szCs w:val="17"/>
              </w:rPr>
              <w:t>bird species)</w:t>
            </w:r>
          </w:p>
        </w:tc>
      </w:tr>
    </w:tbl>
    <w:p w14:paraId="32ABB18B" w14:textId="60FBFE8E" w:rsidR="00017CE7" w:rsidRPr="00A70C86" w:rsidRDefault="0022632D" w:rsidP="00A70C86">
      <w:pPr>
        <w:pStyle w:val="Caption"/>
      </w:pPr>
      <w:bookmarkStart w:id="689" w:name="_Toc230692335"/>
      <w:bookmarkStart w:id="690" w:name="_Toc233036556"/>
      <w:bookmarkEnd w:id="688"/>
      <w:r w:rsidRPr="00A70C86">
        <w:t xml:space="preserve">Table </w:t>
      </w:r>
      <w:fldSimple w:instr=" SEQ Table \* ARABIC ">
        <w:r w:rsidR="00A70C86">
          <w:rPr>
            <w:noProof/>
          </w:rPr>
          <w:t>69</w:t>
        </w:r>
      </w:fldSimple>
      <w:r w:rsidR="00017CE7" w:rsidRPr="00A70C86">
        <w:t>:</w:t>
      </w:r>
      <w:r w:rsidRPr="00A70C86">
        <w:t xml:space="preserve"> </w:t>
      </w:r>
      <w:r w:rsidR="00017CE7" w:rsidRPr="00A70C86">
        <w:t>Diquat/paraquat combination products: short-term effects on aquatic species</w:t>
      </w:r>
      <w:r w:rsidR="00017CE7" w:rsidRPr="00A70C86">
        <w:rPr>
          <w:rStyle w:val="FootnoteReference"/>
          <w:vertAlign w:val="baseline"/>
        </w:rPr>
        <w:footnoteReference w:id="47"/>
      </w:r>
      <w:bookmarkEnd w:id="689"/>
      <w:bookmarkEnd w:id="690"/>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37"/>
        <w:gridCol w:w="1372"/>
        <w:gridCol w:w="2552"/>
        <w:gridCol w:w="2696"/>
        <w:gridCol w:w="1833"/>
      </w:tblGrid>
      <w:tr w:rsidR="00017CE7" w:rsidRPr="00D63217" w14:paraId="21015925" w14:textId="77777777" w:rsidTr="00AC372C">
        <w:trPr>
          <w:cantSplit/>
          <w:tblHeader/>
        </w:trPr>
        <w:tc>
          <w:tcPr>
            <w:tcW w:w="638" w:type="pct"/>
            <w:tcBorders>
              <w:bottom w:val="single" w:sz="4" w:space="0" w:color="auto"/>
            </w:tcBorders>
            <w:shd w:val="clear" w:color="auto" w:fill="5C2946"/>
          </w:tcPr>
          <w:p w14:paraId="7FC6EFB8" w14:textId="77777777" w:rsidR="00017CE7" w:rsidRPr="00D63217" w:rsidRDefault="00017CE7" w:rsidP="00AC372C">
            <w:pPr>
              <w:pStyle w:val="TableHead"/>
            </w:pPr>
            <w:r w:rsidRPr="00D63217">
              <w:t>Group</w:t>
            </w:r>
          </w:p>
        </w:tc>
        <w:tc>
          <w:tcPr>
            <w:tcW w:w="708" w:type="pct"/>
            <w:tcBorders>
              <w:bottom w:val="single" w:sz="4" w:space="0" w:color="auto"/>
            </w:tcBorders>
            <w:shd w:val="clear" w:color="auto" w:fill="5C2946"/>
          </w:tcPr>
          <w:p w14:paraId="0DE757F7" w14:textId="77777777" w:rsidR="00017CE7" w:rsidRPr="00D63217" w:rsidRDefault="00017CE7" w:rsidP="00AC372C">
            <w:pPr>
              <w:pStyle w:val="TableHead"/>
            </w:pPr>
            <w:r w:rsidRPr="00D63217">
              <w:t>Species</w:t>
            </w:r>
          </w:p>
        </w:tc>
        <w:tc>
          <w:tcPr>
            <w:tcW w:w="1317" w:type="pct"/>
            <w:tcBorders>
              <w:bottom w:val="single" w:sz="4" w:space="0" w:color="auto"/>
            </w:tcBorders>
            <w:shd w:val="clear" w:color="auto" w:fill="5C2946"/>
          </w:tcPr>
          <w:p w14:paraId="7F26446A" w14:textId="77777777" w:rsidR="00017CE7" w:rsidRPr="00D63217" w:rsidRDefault="00017CE7" w:rsidP="00AC372C">
            <w:pPr>
              <w:pStyle w:val="TableHead"/>
            </w:pPr>
            <w:r w:rsidRPr="00D63217">
              <w:t>0.46 diquat</w:t>
            </w:r>
            <w:r w:rsidRPr="00D63217">
              <w:rPr>
                <w:rStyle w:val="FootnoteReference"/>
                <w:b/>
                <w:sz w:val="17"/>
                <w:szCs w:val="17"/>
              </w:rPr>
              <w:footnoteReference w:id="48"/>
            </w:r>
          </w:p>
        </w:tc>
        <w:tc>
          <w:tcPr>
            <w:tcW w:w="1391" w:type="pct"/>
            <w:tcBorders>
              <w:bottom w:val="single" w:sz="4" w:space="0" w:color="auto"/>
            </w:tcBorders>
            <w:shd w:val="clear" w:color="auto" w:fill="5C2946"/>
          </w:tcPr>
          <w:p w14:paraId="7A1BA4B8" w14:textId="77777777" w:rsidR="00017CE7" w:rsidRPr="00D63217" w:rsidRDefault="00017CE7" w:rsidP="00AC372C">
            <w:pPr>
              <w:pStyle w:val="TableHead"/>
            </w:pPr>
            <w:r w:rsidRPr="00D63217">
              <w:t>0.54 paraquat</w:t>
            </w:r>
            <w:r w:rsidRPr="00D63217">
              <w:rPr>
                <w:rStyle w:val="FootnoteReference"/>
                <w:b/>
                <w:sz w:val="17"/>
                <w:szCs w:val="17"/>
              </w:rPr>
              <w:footnoteReference w:id="49"/>
            </w:r>
          </w:p>
        </w:tc>
        <w:tc>
          <w:tcPr>
            <w:tcW w:w="946" w:type="pct"/>
            <w:tcBorders>
              <w:bottom w:val="single" w:sz="4" w:space="0" w:color="auto"/>
            </w:tcBorders>
            <w:shd w:val="clear" w:color="auto" w:fill="5C2946"/>
          </w:tcPr>
          <w:p w14:paraId="118B1DC2" w14:textId="77777777" w:rsidR="00017CE7" w:rsidRPr="00D63217" w:rsidRDefault="00017CE7" w:rsidP="00AC372C">
            <w:pPr>
              <w:pStyle w:val="TableHead"/>
            </w:pPr>
            <w:r w:rsidRPr="00D63217">
              <w:t>1.00 combination</w:t>
            </w:r>
            <w:r w:rsidRPr="00D63217">
              <w:rPr>
                <w:rStyle w:val="FootnoteReference"/>
                <w:b/>
                <w:sz w:val="17"/>
                <w:szCs w:val="17"/>
              </w:rPr>
              <w:footnoteReference w:id="50"/>
            </w:r>
          </w:p>
        </w:tc>
      </w:tr>
      <w:tr w:rsidR="00017CE7" w:rsidRPr="00D63217" w14:paraId="42962349" w14:textId="77777777" w:rsidTr="007D1EF1">
        <w:trPr>
          <w:cantSplit/>
        </w:trPr>
        <w:tc>
          <w:tcPr>
            <w:tcW w:w="638" w:type="pct"/>
            <w:tcBorders>
              <w:top w:val="single" w:sz="4" w:space="0" w:color="auto"/>
              <w:left w:val="nil"/>
              <w:bottom w:val="nil"/>
              <w:right w:val="nil"/>
            </w:tcBorders>
          </w:tcPr>
          <w:p w14:paraId="4BC5A6B9" w14:textId="77777777" w:rsidR="00017CE7" w:rsidRPr="00A70C86" w:rsidRDefault="00017CE7" w:rsidP="007D1EF1">
            <w:pPr>
              <w:pStyle w:val="BodyText"/>
              <w:keepNext/>
              <w:keepLines/>
              <w:widowControl w:val="0"/>
              <w:spacing w:after="0"/>
              <w:rPr>
                <w:rFonts w:ascii="Arial" w:hAnsi="Arial" w:cs="Arial"/>
                <w:sz w:val="17"/>
                <w:szCs w:val="17"/>
              </w:rPr>
            </w:pPr>
            <w:r w:rsidRPr="00A70C86">
              <w:rPr>
                <w:rFonts w:ascii="Arial" w:hAnsi="Arial" w:cs="Arial"/>
                <w:sz w:val="17"/>
                <w:szCs w:val="17"/>
              </w:rPr>
              <w:t>Fish</w:t>
            </w:r>
          </w:p>
        </w:tc>
        <w:tc>
          <w:tcPr>
            <w:tcW w:w="708" w:type="pct"/>
            <w:tcBorders>
              <w:top w:val="single" w:sz="4" w:space="0" w:color="auto"/>
              <w:left w:val="nil"/>
              <w:bottom w:val="nil"/>
              <w:right w:val="nil"/>
            </w:tcBorders>
          </w:tcPr>
          <w:p w14:paraId="7899EF94"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i/>
                <w:iCs/>
                <w:sz w:val="17"/>
                <w:szCs w:val="17"/>
              </w:rPr>
              <w:t>Cyprinodon variegatus</w:t>
            </w:r>
          </w:p>
        </w:tc>
        <w:tc>
          <w:tcPr>
            <w:tcW w:w="1317" w:type="pct"/>
            <w:vMerge w:val="restart"/>
            <w:tcBorders>
              <w:top w:val="single" w:sz="4" w:space="0" w:color="auto"/>
              <w:left w:val="nil"/>
              <w:bottom w:val="nil"/>
              <w:right w:val="nil"/>
            </w:tcBorders>
          </w:tcPr>
          <w:p w14:paraId="75B8C82B" w14:textId="2A4284E6"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49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59 mg ac/L</w:t>
            </w:r>
            <w:r w:rsidR="00AC372C" w:rsidRPr="00A70C86">
              <w:rPr>
                <w:rFonts w:ascii="Arial" w:hAnsi="Arial" w:cs="Arial"/>
                <w:sz w:val="17"/>
                <w:szCs w:val="17"/>
              </w:rPr>
              <w:br/>
            </w:r>
            <w:r w:rsidRPr="00A70C86">
              <w:rPr>
                <w:rFonts w:ascii="Arial" w:hAnsi="Arial" w:cs="Arial"/>
                <w:sz w:val="17"/>
                <w:szCs w:val="17"/>
              </w:rPr>
              <w:t>Nicholson 1987</w:t>
            </w:r>
          </w:p>
        </w:tc>
        <w:tc>
          <w:tcPr>
            <w:tcW w:w="1391" w:type="pct"/>
            <w:vMerge w:val="restart"/>
            <w:tcBorders>
              <w:top w:val="single" w:sz="4" w:space="0" w:color="auto"/>
              <w:left w:val="nil"/>
              <w:bottom w:val="nil"/>
              <w:right w:val="nil"/>
            </w:tcBorders>
          </w:tcPr>
          <w:p w14:paraId="3AAC4041" w14:textId="18C41DCA"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&gt;41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&gt;50 mg ac/L</w:t>
            </w:r>
            <w:r w:rsidR="00AC372C" w:rsidRPr="00A70C86">
              <w:rPr>
                <w:rFonts w:ascii="Arial" w:hAnsi="Arial" w:cs="Arial"/>
                <w:sz w:val="17"/>
                <w:szCs w:val="17"/>
              </w:rPr>
              <w:br/>
            </w:r>
            <w:r w:rsidRPr="00A70C86">
              <w:rPr>
                <w:rFonts w:ascii="Arial" w:hAnsi="Arial" w:cs="Arial"/>
                <w:sz w:val="17"/>
                <w:szCs w:val="17"/>
              </w:rPr>
              <w:t>Claude et</w:t>
            </w:r>
            <w:r w:rsidR="00143F5A" w:rsidRPr="00A70C86">
              <w:rPr>
                <w:rFonts w:ascii="Arial" w:hAnsi="Arial" w:cs="Arial"/>
                <w:sz w:val="17"/>
                <w:szCs w:val="17"/>
              </w:rPr>
              <w:t xml:space="preserve"> al,</w:t>
            </w:r>
            <w:r w:rsidRPr="00A70C86">
              <w:rPr>
                <w:rFonts w:ascii="Arial" w:hAnsi="Arial" w:cs="Arial"/>
                <w:sz w:val="17"/>
                <w:szCs w:val="17"/>
              </w:rPr>
              <w:t xml:space="preserve"> 2014</w:t>
            </w:r>
            <w:r w:rsidR="00C37569" w:rsidRPr="00A70C86">
              <w:rPr>
                <w:rFonts w:ascii="Arial" w:hAnsi="Arial" w:cs="Arial"/>
                <w:sz w:val="17"/>
                <w:szCs w:val="17"/>
              </w:rPr>
              <w:t>(</w:t>
            </w:r>
            <w:r w:rsidRPr="00A70C86">
              <w:rPr>
                <w:rFonts w:ascii="Arial" w:hAnsi="Arial" w:cs="Arial"/>
                <w:sz w:val="17"/>
                <w:szCs w:val="17"/>
              </w:rPr>
              <w:t>a</w:t>
            </w:r>
            <w:r w:rsidR="00C37569" w:rsidRPr="00A70C86">
              <w:rPr>
                <w:rFonts w:ascii="Arial" w:hAnsi="Arial" w:cs="Arial"/>
                <w:sz w:val="17"/>
                <w:szCs w:val="17"/>
              </w:rPr>
              <w:t>)</w:t>
            </w:r>
          </w:p>
        </w:tc>
        <w:tc>
          <w:tcPr>
            <w:tcW w:w="946" w:type="pct"/>
            <w:tcBorders>
              <w:top w:val="single" w:sz="4" w:space="0" w:color="auto"/>
              <w:left w:val="nil"/>
              <w:bottom w:val="nil"/>
              <w:right w:val="nil"/>
            </w:tcBorders>
          </w:tcPr>
          <w:p w14:paraId="4791E1F4" w14:textId="0BB06D77"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&gt;54 mg acs/L</w:t>
            </w:r>
          </w:p>
        </w:tc>
      </w:tr>
      <w:tr w:rsidR="00017CE7" w:rsidRPr="00D63217" w14:paraId="2B828BCE" w14:textId="77777777" w:rsidTr="007D1EF1">
        <w:trPr>
          <w:cantSplit/>
        </w:trPr>
        <w:tc>
          <w:tcPr>
            <w:tcW w:w="638" w:type="pct"/>
            <w:tcBorders>
              <w:top w:val="nil"/>
              <w:left w:val="nil"/>
              <w:bottom w:val="nil"/>
              <w:right w:val="nil"/>
            </w:tcBorders>
          </w:tcPr>
          <w:p w14:paraId="14D4729A" w14:textId="77777777" w:rsidR="00017CE7" w:rsidRPr="00A70C86" w:rsidRDefault="00017CE7" w:rsidP="007D1EF1">
            <w:pPr>
              <w:pStyle w:val="BodyText"/>
              <w:keepNext/>
              <w:keepLines/>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353D3192"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07A38DA7"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287DEA74" w14:textId="77777777" w:rsidR="00017CE7" w:rsidRPr="00A70C86" w:rsidRDefault="00017CE7" w:rsidP="007D1EF1">
            <w:pPr>
              <w:pStyle w:val="BodyText"/>
              <w:keepNext/>
              <w:keepLines/>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46EDCA9C" w14:textId="54B902BD"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≤42% + ≥58%</w:t>
            </w:r>
          </w:p>
        </w:tc>
      </w:tr>
      <w:tr w:rsidR="00017CE7" w:rsidRPr="00D63217" w14:paraId="13C1C1B2" w14:textId="77777777" w:rsidTr="007D1EF1">
        <w:trPr>
          <w:cantSplit/>
        </w:trPr>
        <w:tc>
          <w:tcPr>
            <w:tcW w:w="638" w:type="pct"/>
            <w:tcBorders>
              <w:top w:val="nil"/>
              <w:left w:val="nil"/>
              <w:bottom w:val="nil"/>
              <w:right w:val="nil"/>
            </w:tcBorders>
          </w:tcPr>
          <w:p w14:paraId="4A3A2791"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340CB553"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i/>
                <w:iCs/>
                <w:sz w:val="17"/>
                <w:szCs w:val="17"/>
              </w:rPr>
              <w:t>Sander vitreus</w:t>
            </w:r>
          </w:p>
        </w:tc>
        <w:tc>
          <w:tcPr>
            <w:tcW w:w="1317" w:type="pct"/>
            <w:vMerge w:val="restart"/>
            <w:tcBorders>
              <w:top w:val="single" w:sz="4" w:space="0" w:color="auto"/>
              <w:left w:val="nil"/>
              <w:bottom w:val="nil"/>
              <w:right w:val="nil"/>
            </w:tcBorders>
          </w:tcPr>
          <w:p w14:paraId="194D7D9B" w14:textId="6AC2352A"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0.75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0.91 mg ac/L</w:t>
            </w:r>
            <w:r w:rsidR="00AC372C" w:rsidRPr="00A70C86">
              <w:rPr>
                <w:rFonts w:ascii="Arial" w:hAnsi="Arial" w:cs="Arial"/>
                <w:sz w:val="17"/>
                <w:szCs w:val="17"/>
              </w:rPr>
              <w:br/>
            </w:r>
            <w:r w:rsidRPr="00A70C86">
              <w:rPr>
                <w:rFonts w:ascii="Arial" w:hAnsi="Arial" w:cs="Arial"/>
                <w:sz w:val="17"/>
                <w:szCs w:val="17"/>
              </w:rPr>
              <w:t>Paul et</w:t>
            </w:r>
            <w:r w:rsidR="00143F5A" w:rsidRPr="00A70C86">
              <w:rPr>
                <w:rFonts w:ascii="Arial" w:hAnsi="Arial" w:cs="Arial"/>
                <w:sz w:val="17"/>
                <w:szCs w:val="17"/>
              </w:rPr>
              <w:t xml:space="preserve"> al,</w:t>
            </w:r>
            <w:r w:rsidRPr="00A70C86">
              <w:rPr>
                <w:rFonts w:ascii="Arial" w:hAnsi="Arial" w:cs="Arial"/>
                <w:sz w:val="17"/>
                <w:szCs w:val="17"/>
              </w:rPr>
              <w:t xml:space="preserve"> 1994</w:t>
            </w:r>
          </w:p>
        </w:tc>
        <w:tc>
          <w:tcPr>
            <w:tcW w:w="1391" w:type="pct"/>
            <w:tcBorders>
              <w:top w:val="single" w:sz="4" w:space="0" w:color="auto"/>
              <w:left w:val="nil"/>
              <w:bottom w:val="nil"/>
              <w:right w:val="nil"/>
            </w:tcBorders>
          </w:tcPr>
          <w:p w14:paraId="4CD85B48"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 data</w:t>
            </w:r>
            <w:r w:rsidRPr="00A70C86">
              <w:rPr>
                <w:rStyle w:val="FootnoteReference"/>
                <w:rFonts w:ascii="Arial" w:hAnsi="Arial" w:cs="Arial"/>
                <w:sz w:val="17"/>
                <w:szCs w:val="17"/>
              </w:rPr>
              <w:footnoteReference w:id="51"/>
            </w:r>
          </w:p>
        </w:tc>
        <w:tc>
          <w:tcPr>
            <w:tcW w:w="946" w:type="pct"/>
            <w:tcBorders>
              <w:top w:val="single" w:sz="4" w:space="0" w:color="auto"/>
              <w:left w:val="nil"/>
              <w:bottom w:val="nil"/>
              <w:right w:val="nil"/>
            </w:tcBorders>
          </w:tcPr>
          <w:p w14:paraId="693AE721" w14:textId="297BB59B"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1.7 mg acs/L</w:t>
            </w:r>
          </w:p>
        </w:tc>
      </w:tr>
      <w:tr w:rsidR="00017CE7" w:rsidRPr="00D63217" w14:paraId="22208AA6" w14:textId="77777777" w:rsidTr="007D1EF1">
        <w:trPr>
          <w:cantSplit/>
        </w:trPr>
        <w:tc>
          <w:tcPr>
            <w:tcW w:w="638" w:type="pct"/>
            <w:tcBorders>
              <w:top w:val="nil"/>
              <w:left w:val="nil"/>
              <w:bottom w:val="nil"/>
              <w:right w:val="nil"/>
            </w:tcBorders>
          </w:tcPr>
          <w:p w14:paraId="0B3081F0"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5EF59779" w14:textId="77777777" w:rsidR="00017CE7" w:rsidRPr="00A70C86" w:rsidRDefault="00017CE7" w:rsidP="007D1EF1">
            <w:pPr>
              <w:pStyle w:val="BodyText"/>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0EC0DB25" w14:textId="77777777" w:rsidR="00017CE7" w:rsidRPr="00A70C86" w:rsidRDefault="00017CE7" w:rsidP="007D1EF1">
            <w:pPr>
              <w:pStyle w:val="BodyText"/>
              <w:widowControl w:val="0"/>
              <w:spacing w:after="0"/>
              <w:rPr>
                <w:rFonts w:ascii="Arial" w:hAnsi="Arial" w:cs="Arial"/>
                <w:sz w:val="17"/>
                <w:szCs w:val="17"/>
              </w:rPr>
            </w:pPr>
          </w:p>
        </w:tc>
        <w:tc>
          <w:tcPr>
            <w:tcW w:w="1391" w:type="pct"/>
            <w:tcBorders>
              <w:top w:val="nil"/>
              <w:left w:val="nil"/>
              <w:bottom w:val="single" w:sz="4" w:space="0" w:color="auto"/>
              <w:right w:val="nil"/>
            </w:tcBorders>
          </w:tcPr>
          <w:p w14:paraId="17A3DA48"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212EF959" w14:textId="2FC576DA"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84% + 16%</w:t>
            </w:r>
          </w:p>
        </w:tc>
      </w:tr>
      <w:tr w:rsidR="00017CE7" w:rsidRPr="00D63217" w14:paraId="6A145ADD" w14:textId="77777777" w:rsidTr="007D1EF1">
        <w:trPr>
          <w:cantSplit/>
        </w:trPr>
        <w:tc>
          <w:tcPr>
            <w:tcW w:w="638" w:type="pct"/>
            <w:tcBorders>
              <w:top w:val="nil"/>
              <w:left w:val="nil"/>
              <w:bottom w:val="nil"/>
              <w:right w:val="nil"/>
            </w:tcBorders>
          </w:tcPr>
          <w:p w14:paraId="5573C870" w14:textId="1DA65DA7" w:rsidR="00017CE7" w:rsidRPr="00A70C86" w:rsidRDefault="00017CE7" w:rsidP="00017CE7">
            <w:pPr>
              <w:pStyle w:val="BodyText"/>
              <w:keepNext/>
              <w:keepLines/>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55DD4B20" w14:textId="77777777" w:rsidR="00017CE7" w:rsidRPr="00A70C86" w:rsidRDefault="00017CE7" w:rsidP="00017CE7">
            <w:pPr>
              <w:pStyle w:val="BodyText"/>
              <w:keepNext/>
              <w:keepLines/>
              <w:widowControl w:val="0"/>
              <w:spacing w:after="0"/>
              <w:rPr>
                <w:rFonts w:ascii="Arial" w:hAnsi="Arial" w:cs="Arial"/>
                <w:i/>
                <w:iCs/>
                <w:sz w:val="17"/>
                <w:szCs w:val="17"/>
              </w:rPr>
            </w:pPr>
            <w:r w:rsidRPr="00A70C86">
              <w:rPr>
                <w:rFonts w:ascii="Arial" w:hAnsi="Arial" w:cs="Arial"/>
                <w:i/>
                <w:iCs/>
                <w:sz w:val="17"/>
                <w:szCs w:val="17"/>
              </w:rPr>
              <w:t>Pimephales promelas</w:t>
            </w:r>
          </w:p>
        </w:tc>
        <w:tc>
          <w:tcPr>
            <w:tcW w:w="1317" w:type="pct"/>
            <w:tcBorders>
              <w:top w:val="single" w:sz="4" w:space="0" w:color="auto"/>
              <w:left w:val="nil"/>
              <w:bottom w:val="nil"/>
              <w:right w:val="nil"/>
            </w:tcBorders>
          </w:tcPr>
          <w:p w14:paraId="2597EDAF" w14:textId="77777777" w:rsidR="00017CE7" w:rsidRPr="00A70C86" w:rsidRDefault="00017CE7" w:rsidP="00017CE7">
            <w:pPr>
              <w:pStyle w:val="BodyText"/>
              <w:keepNext/>
              <w:keepLines/>
              <w:widowControl w:val="0"/>
              <w:spacing w:after="0"/>
              <w:rPr>
                <w:rFonts w:ascii="Arial" w:hAnsi="Arial" w:cs="Arial"/>
                <w:sz w:val="17"/>
                <w:szCs w:val="17"/>
              </w:rPr>
            </w:pPr>
            <w:r w:rsidRPr="00A70C86">
              <w:rPr>
                <w:rFonts w:ascii="Arial" w:hAnsi="Arial" w:cs="Arial"/>
                <w:sz w:val="17"/>
                <w:szCs w:val="17"/>
              </w:rPr>
              <w:t>No data</w:t>
            </w:r>
          </w:p>
        </w:tc>
        <w:tc>
          <w:tcPr>
            <w:tcW w:w="1391" w:type="pct"/>
            <w:vMerge w:val="restart"/>
            <w:tcBorders>
              <w:top w:val="single" w:sz="4" w:space="0" w:color="auto"/>
              <w:left w:val="nil"/>
              <w:bottom w:val="nil"/>
              <w:right w:val="nil"/>
            </w:tcBorders>
          </w:tcPr>
          <w:p w14:paraId="346132DE" w14:textId="4B0AC426"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4.7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5.7 mg ac/L</w:t>
            </w:r>
            <w:r w:rsidR="00AC372C" w:rsidRPr="00A70C86">
              <w:rPr>
                <w:rFonts w:ascii="Arial" w:hAnsi="Arial" w:cs="Arial"/>
                <w:sz w:val="17"/>
                <w:szCs w:val="17"/>
              </w:rPr>
              <w:br/>
            </w:r>
            <w:r w:rsidRPr="00A70C86">
              <w:rPr>
                <w:rFonts w:ascii="Arial" w:hAnsi="Arial" w:cs="Arial"/>
                <w:sz w:val="17"/>
                <w:szCs w:val="17"/>
              </w:rPr>
              <w:t>Claude et</w:t>
            </w:r>
            <w:r w:rsidR="00143F5A" w:rsidRPr="00A70C86">
              <w:rPr>
                <w:rFonts w:ascii="Arial" w:hAnsi="Arial" w:cs="Arial"/>
                <w:sz w:val="17"/>
                <w:szCs w:val="17"/>
              </w:rPr>
              <w:t xml:space="preserve"> al,</w:t>
            </w:r>
            <w:r w:rsidRPr="00A70C86">
              <w:rPr>
                <w:rFonts w:ascii="Arial" w:hAnsi="Arial" w:cs="Arial"/>
                <w:sz w:val="17"/>
                <w:szCs w:val="17"/>
              </w:rPr>
              <w:t xml:space="preserve"> 2014</w:t>
            </w:r>
            <w:r w:rsidR="00E31FB4" w:rsidRPr="00A70C86">
              <w:rPr>
                <w:rFonts w:ascii="Arial" w:hAnsi="Arial" w:cs="Arial"/>
                <w:sz w:val="17"/>
                <w:szCs w:val="17"/>
              </w:rPr>
              <w:t>(</w:t>
            </w:r>
            <w:r w:rsidRPr="00A70C86">
              <w:rPr>
                <w:rFonts w:ascii="Arial" w:hAnsi="Arial" w:cs="Arial"/>
                <w:sz w:val="17"/>
                <w:szCs w:val="17"/>
              </w:rPr>
              <w:t>b</w:t>
            </w:r>
            <w:r w:rsidR="00E31FB4" w:rsidRPr="00A70C86">
              <w:rPr>
                <w:rFonts w:ascii="Arial" w:hAnsi="Arial" w:cs="Arial"/>
                <w:sz w:val="17"/>
                <w:szCs w:val="17"/>
              </w:rPr>
              <w:t>)</w:t>
            </w:r>
          </w:p>
        </w:tc>
        <w:tc>
          <w:tcPr>
            <w:tcW w:w="946" w:type="pct"/>
            <w:tcBorders>
              <w:top w:val="single" w:sz="4" w:space="0" w:color="auto"/>
              <w:left w:val="nil"/>
              <w:bottom w:val="nil"/>
              <w:right w:val="nil"/>
            </w:tcBorders>
          </w:tcPr>
          <w:p w14:paraId="7FC600A9" w14:textId="7D91518B"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1.7 mg acs/L</w:t>
            </w:r>
          </w:p>
        </w:tc>
      </w:tr>
      <w:tr w:rsidR="00017CE7" w:rsidRPr="00D63217" w14:paraId="11D7DC81" w14:textId="77777777" w:rsidTr="007D1EF1">
        <w:trPr>
          <w:cantSplit/>
        </w:trPr>
        <w:tc>
          <w:tcPr>
            <w:tcW w:w="638" w:type="pct"/>
            <w:tcBorders>
              <w:top w:val="nil"/>
              <w:left w:val="nil"/>
              <w:bottom w:val="single" w:sz="4" w:space="0" w:color="auto"/>
              <w:right w:val="nil"/>
            </w:tcBorders>
          </w:tcPr>
          <w:p w14:paraId="29EEB9B6" w14:textId="77777777" w:rsidR="00017CE7" w:rsidRPr="00A70C86" w:rsidRDefault="00017CE7" w:rsidP="00017CE7">
            <w:pPr>
              <w:pStyle w:val="BodyText"/>
              <w:keepNext/>
              <w:keepLines/>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46574466" w14:textId="77777777" w:rsidR="00017CE7" w:rsidRPr="00A70C86" w:rsidRDefault="00017CE7" w:rsidP="00017CE7">
            <w:pPr>
              <w:pStyle w:val="BodyText"/>
              <w:keepNext/>
              <w:keepLines/>
              <w:widowControl w:val="0"/>
              <w:spacing w:after="0"/>
              <w:rPr>
                <w:rFonts w:ascii="Arial" w:hAnsi="Arial" w:cs="Arial"/>
                <w:i/>
                <w:iCs/>
                <w:sz w:val="17"/>
                <w:szCs w:val="17"/>
              </w:rPr>
            </w:pPr>
          </w:p>
        </w:tc>
        <w:tc>
          <w:tcPr>
            <w:tcW w:w="1317" w:type="pct"/>
            <w:tcBorders>
              <w:top w:val="nil"/>
              <w:left w:val="nil"/>
              <w:bottom w:val="single" w:sz="4" w:space="0" w:color="auto"/>
              <w:right w:val="nil"/>
            </w:tcBorders>
          </w:tcPr>
          <w:p w14:paraId="1CE7C942" w14:textId="77777777" w:rsidR="00017CE7" w:rsidRPr="00A70C86" w:rsidRDefault="00017CE7" w:rsidP="00017CE7">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0320B868" w14:textId="77777777" w:rsidR="00017CE7" w:rsidRPr="00A70C86" w:rsidRDefault="00017CE7" w:rsidP="00017CE7">
            <w:pPr>
              <w:pStyle w:val="BodyText"/>
              <w:keepNext/>
              <w:keepLines/>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0915512D" w14:textId="6CCDAC25"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84% + 16%</w:t>
            </w:r>
          </w:p>
        </w:tc>
      </w:tr>
      <w:tr w:rsidR="00017CE7" w:rsidRPr="00D63217" w14:paraId="5D2BE803" w14:textId="77777777" w:rsidTr="007D1EF1">
        <w:trPr>
          <w:cantSplit/>
        </w:trPr>
        <w:tc>
          <w:tcPr>
            <w:tcW w:w="638" w:type="pct"/>
            <w:tcBorders>
              <w:top w:val="single" w:sz="4" w:space="0" w:color="auto"/>
              <w:left w:val="nil"/>
              <w:bottom w:val="nil"/>
              <w:right w:val="nil"/>
            </w:tcBorders>
          </w:tcPr>
          <w:p w14:paraId="2132FA56"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sz w:val="17"/>
                <w:szCs w:val="17"/>
              </w:rPr>
              <w:t>Invertebrates</w:t>
            </w:r>
          </w:p>
        </w:tc>
        <w:tc>
          <w:tcPr>
            <w:tcW w:w="708" w:type="pct"/>
            <w:tcBorders>
              <w:top w:val="single" w:sz="4" w:space="0" w:color="auto"/>
              <w:left w:val="nil"/>
              <w:bottom w:val="nil"/>
              <w:right w:val="nil"/>
            </w:tcBorders>
          </w:tcPr>
          <w:p w14:paraId="3BBA74EF"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i/>
                <w:iCs/>
                <w:sz w:val="17"/>
                <w:szCs w:val="17"/>
              </w:rPr>
              <w:t>Americamysis bahia</w:t>
            </w:r>
          </w:p>
        </w:tc>
        <w:tc>
          <w:tcPr>
            <w:tcW w:w="1317" w:type="pct"/>
            <w:vMerge w:val="restart"/>
            <w:tcBorders>
              <w:top w:val="single" w:sz="4" w:space="0" w:color="auto"/>
              <w:left w:val="nil"/>
              <w:bottom w:val="nil"/>
              <w:right w:val="nil"/>
            </w:tcBorders>
          </w:tcPr>
          <w:p w14:paraId="2BE0183F" w14:textId="05940F1E"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0.42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0.51 mg ac/L</w:t>
            </w:r>
            <w:r w:rsidR="00AC372C" w:rsidRPr="00A70C86">
              <w:rPr>
                <w:rFonts w:ascii="Arial" w:hAnsi="Arial" w:cs="Arial"/>
                <w:sz w:val="17"/>
                <w:szCs w:val="17"/>
              </w:rPr>
              <w:br/>
            </w:r>
            <w:r w:rsidRPr="00A70C86">
              <w:rPr>
                <w:rFonts w:ascii="Arial" w:hAnsi="Arial" w:cs="Arial"/>
                <w:sz w:val="17"/>
                <w:szCs w:val="17"/>
              </w:rPr>
              <w:t>Hoberg 1987</w:t>
            </w:r>
          </w:p>
        </w:tc>
        <w:tc>
          <w:tcPr>
            <w:tcW w:w="1391" w:type="pct"/>
            <w:vMerge w:val="restart"/>
            <w:tcBorders>
              <w:top w:val="single" w:sz="4" w:space="0" w:color="auto"/>
              <w:left w:val="nil"/>
              <w:bottom w:val="nil"/>
              <w:right w:val="nil"/>
            </w:tcBorders>
          </w:tcPr>
          <w:p w14:paraId="5BEB1B64" w14:textId="4DB9F6F2"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0.23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0.28 mg ac/L</w:t>
            </w:r>
            <w:r w:rsidR="00AC372C" w:rsidRPr="00A70C86">
              <w:rPr>
                <w:rFonts w:ascii="Arial" w:hAnsi="Arial" w:cs="Arial"/>
                <w:sz w:val="17"/>
                <w:szCs w:val="17"/>
              </w:rPr>
              <w:br/>
            </w:r>
            <w:r w:rsidRPr="00A70C86">
              <w:rPr>
                <w:rFonts w:ascii="Arial" w:hAnsi="Arial" w:cs="Arial"/>
                <w:sz w:val="17"/>
                <w:szCs w:val="17"/>
              </w:rPr>
              <w:t>Claude et</w:t>
            </w:r>
            <w:r w:rsidR="00143F5A" w:rsidRPr="00A70C86">
              <w:rPr>
                <w:rFonts w:ascii="Arial" w:hAnsi="Arial" w:cs="Arial"/>
                <w:sz w:val="17"/>
                <w:szCs w:val="17"/>
              </w:rPr>
              <w:t xml:space="preserve"> al,</w:t>
            </w:r>
            <w:r w:rsidRPr="00A70C86">
              <w:rPr>
                <w:rFonts w:ascii="Arial" w:hAnsi="Arial" w:cs="Arial"/>
                <w:sz w:val="17"/>
                <w:szCs w:val="17"/>
              </w:rPr>
              <w:t xml:space="preserve"> 2014</w:t>
            </w:r>
            <w:r w:rsidR="00E31FB4" w:rsidRPr="00A70C86">
              <w:rPr>
                <w:rFonts w:ascii="Arial" w:hAnsi="Arial" w:cs="Arial"/>
                <w:sz w:val="17"/>
                <w:szCs w:val="17"/>
              </w:rPr>
              <w:t>(</w:t>
            </w:r>
            <w:r w:rsidRPr="00A70C86">
              <w:rPr>
                <w:rFonts w:ascii="Arial" w:hAnsi="Arial" w:cs="Arial"/>
                <w:sz w:val="17"/>
                <w:szCs w:val="17"/>
              </w:rPr>
              <w:t>e</w:t>
            </w:r>
            <w:r w:rsidR="00E31FB4" w:rsidRPr="00A70C86">
              <w:rPr>
                <w:rFonts w:ascii="Arial" w:hAnsi="Arial" w:cs="Arial"/>
                <w:sz w:val="17"/>
                <w:szCs w:val="17"/>
              </w:rPr>
              <w:t>)</w:t>
            </w:r>
          </w:p>
        </w:tc>
        <w:tc>
          <w:tcPr>
            <w:tcW w:w="946" w:type="pct"/>
            <w:tcBorders>
              <w:top w:val="single" w:sz="4" w:space="0" w:color="auto"/>
              <w:left w:val="nil"/>
              <w:bottom w:val="nil"/>
              <w:right w:val="nil"/>
            </w:tcBorders>
          </w:tcPr>
          <w:p w14:paraId="79C03130" w14:textId="52B532F2"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0.35 mg acs/L</w:t>
            </w:r>
          </w:p>
        </w:tc>
      </w:tr>
      <w:tr w:rsidR="00017CE7" w:rsidRPr="00D63217" w14:paraId="16B76E3D" w14:textId="77777777" w:rsidTr="007D1EF1">
        <w:trPr>
          <w:cantSplit/>
        </w:trPr>
        <w:tc>
          <w:tcPr>
            <w:tcW w:w="638" w:type="pct"/>
            <w:tcBorders>
              <w:top w:val="nil"/>
              <w:left w:val="nil"/>
              <w:bottom w:val="nil"/>
              <w:right w:val="nil"/>
            </w:tcBorders>
          </w:tcPr>
          <w:p w14:paraId="78709261" w14:textId="77777777" w:rsidR="00017CE7" w:rsidRPr="00A70C86" w:rsidRDefault="00017CE7" w:rsidP="007D1EF1">
            <w:pPr>
              <w:pStyle w:val="BodyText"/>
              <w:widowControl w:val="0"/>
              <w:spacing w:after="0"/>
              <w:jc w:val="right"/>
              <w:rPr>
                <w:rFonts w:ascii="Arial" w:hAnsi="Arial" w:cs="Arial"/>
                <w:i/>
                <w:iCs/>
                <w:sz w:val="17"/>
                <w:szCs w:val="17"/>
              </w:rPr>
            </w:pPr>
          </w:p>
        </w:tc>
        <w:tc>
          <w:tcPr>
            <w:tcW w:w="708" w:type="pct"/>
            <w:tcBorders>
              <w:top w:val="nil"/>
              <w:left w:val="nil"/>
              <w:bottom w:val="single" w:sz="4" w:space="0" w:color="auto"/>
              <w:right w:val="nil"/>
            </w:tcBorders>
          </w:tcPr>
          <w:p w14:paraId="11AC8488" w14:textId="77777777" w:rsidR="00017CE7" w:rsidRPr="00A70C86" w:rsidRDefault="00017CE7" w:rsidP="007D1EF1">
            <w:pPr>
              <w:pStyle w:val="BodyText"/>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22652176" w14:textId="77777777" w:rsidR="00017CE7" w:rsidRPr="00A70C86" w:rsidRDefault="00017CE7" w:rsidP="007D1EF1">
            <w:pPr>
              <w:pStyle w:val="BodyText"/>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1CC16D5B"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1523BA86" w14:textId="2291BEB4"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32% + 68%</w:t>
            </w:r>
          </w:p>
        </w:tc>
      </w:tr>
      <w:tr w:rsidR="00017CE7" w:rsidRPr="00D63217" w14:paraId="55E62290" w14:textId="77777777" w:rsidTr="007D1EF1">
        <w:trPr>
          <w:cantSplit/>
        </w:trPr>
        <w:tc>
          <w:tcPr>
            <w:tcW w:w="638" w:type="pct"/>
            <w:tcBorders>
              <w:top w:val="nil"/>
              <w:left w:val="nil"/>
              <w:bottom w:val="nil"/>
              <w:right w:val="nil"/>
            </w:tcBorders>
          </w:tcPr>
          <w:p w14:paraId="160CDF8C" w14:textId="77777777" w:rsidR="00017CE7" w:rsidRPr="00A70C86" w:rsidRDefault="00017CE7" w:rsidP="007D1EF1">
            <w:pPr>
              <w:pStyle w:val="BodyText"/>
              <w:widowControl w:val="0"/>
              <w:spacing w:after="0"/>
              <w:jc w:val="right"/>
              <w:rPr>
                <w:rFonts w:ascii="Arial" w:hAnsi="Arial" w:cs="Arial"/>
                <w:i/>
                <w:iCs/>
                <w:sz w:val="17"/>
                <w:szCs w:val="17"/>
              </w:rPr>
            </w:pPr>
          </w:p>
        </w:tc>
        <w:tc>
          <w:tcPr>
            <w:tcW w:w="708" w:type="pct"/>
            <w:tcBorders>
              <w:top w:val="single" w:sz="4" w:space="0" w:color="auto"/>
              <w:left w:val="nil"/>
              <w:bottom w:val="nil"/>
              <w:right w:val="nil"/>
            </w:tcBorders>
          </w:tcPr>
          <w:p w14:paraId="06E8B8FB"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i/>
                <w:iCs/>
                <w:sz w:val="17"/>
                <w:szCs w:val="17"/>
              </w:rPr>
              <w:t>Daphnia magna</w:t>
            </w:r>
          </w:p>
        </w:tc>
        <w:tc>
          <w:tcPr>
            <w:tcW w:w="1317" w:type="pct"/>
            <w:vMerge w:val="restart"/>
            <w:tcBorders>
              <w:top w:val="single" w:sz="4" w:space="0" w:color="auto"/>
              <w:left w:val="nil"/>
              <w:bottom w:val="nil"/>
              <w:right w:val="nil"/>
            </w:tcBorders>
          </w:tcPr>
          <w:p w14:paraId="458DD6F6" w14:textId="0D112D9D"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2d EC</w:t>
            </w:r>
            <w:r w:rsidRPr="00A70C86">
              <w:rPr>
                <w:rFonts w:ascii="Arial" w:hAnsi="Arial" w:cs="Arial"/>
                <w:sz w:val="17"/>
                <w:szCs w:val="17"/>
                <w:vertAlign w:val="subscript"/>
              </w:rPr>
              <w:t>50</w:t>
            </w:r>
            <w:r w:rsidRPr="00A70C86">
              <w:rPr>
                <w:rFonts w:ascii="Arial" w:hAnsi="Arial" w:cs="Arial"/>
                <w:sz w:val="17"/>
                <w:szCs w:val="17"/>
              </w:rPr>
              <w:t xml:space="preserve"> 2.5 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2.8 mg ac/L</w:t>
            </w:r>
            <w:r w:rsidR="00AC372C" w:rsidRPr="00A70C86">
              <w:rPr>
                <w:rFonts w:ascii="Arial" w:hAnsi="Arial" w:cs="Arial"/>
                <w:sz w:val="17"/>
                <w:szCs w:val="17"/>
              </w:rPr>
              <w:br/>
            </w:r>
            <w:r w:rsidRPr="00A70C86">
              <w:rPr>
                <w:rFonts w:ascii="Arial" w:hAnsi="Arial" w:cs="Arial"/>
                <w:sz w:val="17"/>
                <w:szCs w:val="17"/>
              </w:rPr>
              <w:t>Volz 2004</w:t>
            </w:r>
          </w:p>
        </w:tc>
        <w:tc>
          <w:tcPr>
            <w:tcW w:w="1391" w:type="pct"/>
            <w:vMerge w:val="restart"/>
            <w:tcBorders>
              <w:top w:val="single" w:sz="4" w:space="0" w:color="auto"/>
              <w:left w:val="nil"/>
              <w:bottom w:val="nil"/>
              <w:right w:val="nil"/>
            </w:tcBorders>
          </w:tcPr>
          <w:p w14:paraId="199D89C4" w14:textId="3C31C221"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2d EC</w:t>
            </w:r>
            <w:r w:rsidRPr="00A70C86">
              <w:rPr>
                <w:rFonts w:ascii="Arial" w:hAnsi="Arial" w:cs="Arial"/>
                <w:sz w:val="17"/>
                <w:szCs w:val="17"/>
                <w:vertAlign w:val="subscript"/>
              </w:rPr>
              <w:t>50</w:t>
            </w:r>
            <w:r w:rsidRPr="00A70C86">
              <w:rPr>
                <w:rFonts w:ascii="Arial" w:hAnsi="Arial" w:cs="Arial"/>
                <w:sz w:val="17"/>
                <w:szCs w:val="17"/>
              </w:rPr>
              <w:t xml:space="preserve"> 4.3 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4.8 mg ac/L</w:t>
            </w:r>
            <w:r w:rsidR="00AC372C" w:rsidRPr="00A70C86">
              <w:rPr>
                <w:rFonts w:ascii="Arial" w:hAnsi="Arial" w:cs="Arial"/>
                <w:sz w:val="17"/>
                <w:szCs w:val="17"/>
              </w:rPr>
              <w:br/>
            </w:r>
            <w:r w:rsidRPr="00A70C86">
              <w:rPr>
                <w:rFonts w:ascii="Arial" w:hAnsi="Arial" w:cs="Arial"/>
                <w:sz w:val="17"/>
                <w:szCs w:val="17"/>
              </w:rPr>
              <w:t>Allison &amp; Hamer 1990</w:t>
            </w:r>
            <w:r w:rsidR="00AC372C" w:rsidRPr="00A70C86">
              <w:rPr>
                <w:rFonts w:ascii="Arial" w:hAnsi="Arial" w:cs="Arial"/>
                <w:sz w:val="17"/>
                <w:szCs w:val="17"/>
              </w:rPr>
              <w:br/>
            </w:r>
            <w:r w:rsidRPr="00A70C86">
              <w:rPr>
                <w:rFonts w:ascii="Arial" w:hAnsi="Arial" w:cs="Arial"/>
                <w:sz w:val="17"/>
                <w:szCs w:val="17"/>
              </w:rPr>
              <w:t>Noack 2007</w:t>
            </w:r>
          </w:p>
        </w:tc>
        <w:tc>
          <w:tcPr>
            <w:tcW w:w="946" w:type="pct"/>
            <w:tcBorders>
              <w:top w:val="single" w:sz="4" w:space="0" w:color="auto"/>
              <w:left w:val="nil"/>
              <w:bottom w:val="nil"/>
              <w:right w:val="nil"/>
            </w:tcBorders>
          </w:tcPr>
          <w:p w14:paraId="5D385A1E" w14:textId="30275BA6"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EC</w:t>
            </w:r>
            <w:r w:rsidRPr="00A70C86">
              <w:rPr>
                <w:rFonts w:ascii="Arial" w:hAnsi="Arial" w:cs="Arial"/>
                <w:sz w:val="17"/>
                <w:szCs w:val="17"/>
                <w:vertAlign w:val="subscript"/>
              </w:rPr>
              <w:t>50</w:t>
            </w:r>
            <w:r w:rsidRPr="00A70C86">
              <w:rPr>
                <w:rFonts w:ascii="Arial" w:hAnsi="Arial" w:cs="Arial"/>
                <w:sz w:val="17"/>
                <w:szCs w:val="17"/>
              </w:rPr>
              <w:t xml:space="preserve"> 3.6 mg acs/L</w:t>
            </w:r>
          </w:p>
        </w:tc>
      </w:tr>
      <w:tr w:rsidR="00017CE7" w:rsidRPr="00D63217" w14:paraId="4ABBE6C5" w14:textId="77777777" w:rsidTr="007D1EF1">
        <w:trPr>
          <w:cantSplit/>
        </w:trPr>
        <w:tc>
          <w:tcPr>
            <w:tcW w:w="638" w:type="pct"/>
            <w:tcBorders>
              <w:top w:val="nil"/>
              <w:left w:val="nil"/>
              <w:bottom w:val="nil"/>
              <w:right w:val="nil"/>
            </w:tcBorders>
          </w:tcPr>
          <w:p w14:paraId="78C8DD34" w14:textId="77777777" w:rsidR="00017CE7" w:rsidRPr="00A70C86" w:rsidRDefault="00017CE7" w:rsidP="007D1EF1">
            <w:pPr>
              <w:pStyle w:val="BodyText"/>
              <w:widowControl w:val="0"/>
              <w:spacing w:after="0"/>
              <w:jc w:val="right"/>
              <w:rPr>
                <w:rFonts w:ascii="Arial" w:hAnsi="Arial" w:cs="Arial"/>
                <w:i/>
                <w:iCs/>
                <w:sz w:val="17"/>
                <w:szCs w:val="17"/>
              </w:rPr>
            </w:pPr>
          </w:p>
        </w:tc>
        <w:tc>
          <w:tcPr>
            <w:tcW w:w="708" w:type="pct"/>
            <w:tcBorders>
              <w:top w:val="nil"/>
              <w:left w:val="nil"/>
              <w:bottom w:val="single" w:sz="4" w:space="0" w:color="auto"/>
              <w:right w:val="nil"/>
            </w:tcBorders>
          </w:tcPr>
          <w:p w14:paraId="4CDB0D80" w14:textId="77777777" w:rsidR="00017CE7" w:rsidRPr="00A70C86" w:rsidRDefault="00017CE7" w:rsidP="007D1EF1">
            <w:pPr>
              <w:pStyle w:val="BodyText"/>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0AA1B9DA" w14:textId="77777777" w:rsidR="00017CE7" w:rsidRPr="00A70C86" w:rsidRDefault="00017CE7" w:rsidP="007D1EF1">
            <w:pPr>
              <w:pStyle w:val="BodyText"/>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79638535"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0F47A61A" w14:textId="054F30B4"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59% + 41%</w:t>
            </w:r>
          </w:p>
        </w:tc>
      </w:tr>
      <w:tr w:rsidR="00017CE7" w:rsidRPr="00D63217" w14:paraId="59C994FB" w14:textId="77777777" w:rsidTr="007D1EF1">
        <w:trPr>
          <w:cantSplit/>
        </w:trPr>
        <w:tc>
          <w:tcPr>
            <w:tcW w:w="638" w:type="pct"/>
            <w:tcBorders>
              <w:top w:val="nil"/>
              <w:left w:val="nil"/>
              <w:bottom w:val="nil"/>
              <w:right w:val="nil"/>
            </w:tcBorders>
          </w:tcPr>
          <w:p w14:paraId="2590FDAB" w14:textId="5872437E" w:rsidR="00017CE7" w:rsidRPr="00A70C86" w:rsidRDefault="00017CE7" w:rsidP="008761AA">
            <w:pPr>
              <w:pStyle w:val="BodyText"/>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46604464"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Crassostrea virginica</w:t>
            </w:r>
          </w:p>
        </w:tc>
        <w:tc>
          <w:tcPr>
            <w:tcW w:w="1317" w:type="pct"/>
            <w:vMerge w:val="restart"/>
            <w:tcBorders>
              <w:top w:val="single" w:sz="4" w:space="0" w:color="auto"/>
              <w:left w:val="nil"/>
              <w:bottom w:val="nil"/>
              <w:right w:val="nil"/>
            </w:tcBorders>
          </w:tcPr>
          <w:p w14:paraId="5A8187C0" w14:textId="27E63FB8"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4d EC</w:t>
            </w:r>
            <w:r w:rsidRPr="00A70C86">
              <w:rPr>
                <w:rFonts w:ascii="Arial" w:hAnsi="Arial" w:cs="Arial"/>
                <w:sz w:val="17"/>
                <w:szCs w:val="17"/>
                <w:vertAlign w:val="subscript"/>
              </w:rPr>
              <w:t>50</w:t>
            </w:r>
            <w:r w:rsidRPr="00A70C86">
              <w:rPr>
                <w:rFonts w:ascii="Arial" w:hAnsi="Arial" w:cs="Arial"/>
                <w:sz w:val="17"/>
                <w:szCs w:val="17"/>
              </w:rPr>
              <w:t xml:space="preserve"> 141 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171 mg ac/L</w:t>
            </w:r>
            <w:r w:rsidR="00AC372C" w:rsidRPr="00A70C86">
              <w:rPr>
                <w:rFonts w:ascii="Arial" w:hAnsi="Arial" w:cs="Arial"/>
                <w:sz w:val="17"/>
                <w:szCs w:val="17"/>
              </w:rPr>
              <w:br/>
            </w:r>
            <w:r w:rsidRPr="00A70C86">
              <w:rPr>
                <w:rFonts w:ascii="Arial" w:hAnsi="Arial" w:cs="Arial"/>
                <w:sz w:val="17"/>
                <w:szCs w:val="17"/>
              </w:rPr>
              <w:t>Dionne 1987</w:t>
            </w:r>
          </w:p>
        </w:tc>
        <w:tc>
          <w:tcPr>
            <w:tcW w:w="1391" w:type="pct"/>
            <w:vMerge w:val="restart"/>
            <w:tcBorders>
              <w:top w:val="single" w:sz="4" w:space="0" w:color="auto"/>
              <w:left w:val="nil"/>
              <w:bottom w:val="nil"/>
              <w:right w:val="nil"/>
            </w:tcBorders>
          </w:tcPr>
          <w:p w14:paraId="27ACA375" w14:textId="35EAF81A"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4d EC</w:t>
            </w:r>
            <w:r w:rsidRPr="00A70C86">
              <w:rPr>
                <w:rFonts w:ascii="Arial" w:hAnsi="Arial" w:cs="Arial"/>
                <w:sz w:val="17"/>
                <w:szCs w:val="17"/>
                <w:vertAlign w:val="subscript"/>
              </w:rPr>
              <w:t>50</w:t>
            </w:r>
            <w:r w:rsidRPr="00A70C86">
              <w:rPr>
                <w:rFonts w:ascii="Arial" w:hAnsi="Arial" w:cs="Arial"/>
                <w:sz w:val="17"/>
                <w:szCs w:val="17"/>
              </w:rPr>
              <w:t xml:space="preserve"> 23 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28 mg ac/L</w:t>
            </w:r>
            <w:r w:rsidR="00AC372C" w:rsidRPr="00A70C86">
              <w:rPr>
                <w:rFonts w:ascii="Arial" w:hAnsi="Arial" w:cs="Arial"/>
                <w:sz w:val="17"/>
                <w:szCs w:val="17"/>
              </w:rPr>
              <w:br/>
            </w:r>
            <w:r w:rsidRPr="00A70C86">
              <w:rPr>
                <w:rFonts w:ascii="Arial" w:hAnsi="Arial" w:cs="Arial"/>
                <w:sz w:val="17"/>
                <w:szCs w:val="17"/>
              </w:rPr>
              <w:t>Claude et</w:t>
            </w:r>
            <w:r w:rsidR="00143F5A" w:rsidRPr="00A70C86">
              <w:rPr>
                <w:rFonts w:ascii="Arial" w:hAnsi="Arial" w:cs="Arial"/>
                <w:sz w:val="17"/>
                <w:szCs w:val="17"/>
              </w:rPr>
              <w:t xml:space="preserve"> al,</w:t>
            </w:r>
            <w:r w:rsidRPr="00A70C86">
              <w:rPr>
                <w:rFonts w:ascii="Arial" w:hAnsi="Arial" w:cs="Arial"/>
                <w:sz w:val="17"/>
                <w:szCs w:val="17"/>
              </w:rPr>
              <w:t xml:space="preserve"> 2014f</w:t>
            </w:r>
          </w:p>
        </w:tc>
        <w:tc>
          <w:tcPr>
            <w:tcW w:w="946" w:type="pct"/>
            <w:tcBorders>
              <w:top w:val="single" w:sz="4" w:space="0" w:color="auto"/>
              <w:left w:val="nil"/>
              <w:bottom w:val="nil"/>
              <w:right w:val="nil"/>
            </w:tcBorders>
          </w:tcPr>
          <w:p w14:paraId="2A069687" w14:textId="4F3B272E"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EC</w:t>
            </w:r>
            <w:r w:rsidRPr="00A70C86">
              <w:rPr>
                <w:rFonts w:ascii="Arial" w:hAnsi="Arial" w:cs="Arial"/>
                <w:sz w:val="17"/>
                <w:szCs w:val="17"/>
                <w:vertAlign w:val="subscript"/>
              </w:rPr>
              <w:t>50</w:t>
            </w:r>
            <w:r w:rsidRPr="00A70C86">
              <w:rPr>
                <w:rFonts w:ascii="Arial" w:hAnsi="Arial" w:cs="Arial"/>
                <w:sz w:val="17"/>
                <w:szCs w:val="17"/>
              </w:rPr>
              <w:t xml:space="preserve"> 46 mg acs/L</w:t>
            </w:r>
          </w:p>
        </w:tc>
      </w:tr>
      <w:tr w:rsidR="00017CE7" w:rsidRPr="00D63217" w14:paraId="4483E1CB" w14:textId="77777777" w:rsidTr="007D1EF1">
        <w:trPr>
          <w:cantSplit/>
        </w:trPr>
        <w:tc>
          <w:tcPr>
            <w:tcW w:w="638" w:type="pct"/>
            <w:tcBorders>
              <w:top w:val="nil"/>
              <w:left w:val="nil"/>
              <w:bottom w:val="nil"/>
              <w:right w:val="nil"/>
            </w:tcBorders>
          </w:tcPr>
          <w:p w14:paraId="25653627" w14:textId="77777777" w:rsidR="00017CE7" w:rsidRPr="00A70C86" w:rsidRDefault="00017CE7" w:rsidP="007D1EF1">
            <w:pPr>
              <w:pStyle w:val="BodyText"/>
              <w:widowControl w:val="0"/>
              <w:spacing w:after="0"/>
              <w:jc w:val="right"/>
              <w:rPr>
                <w:rFonts w:ascii="Arial" w:hAnsi="Arial" w:cs="Arial"/>
                <w:i/>
                <w:iCs/>
                <w:sz w:val="17"/>
                <w:szCs w:val="17"/>
              </w:rPr>
            </w:pPr>
          </w:p>
        </w:tc>
        <w:tc>
          <w:tcPr>
            <w:tcW w:w="708" w:type="pct"/>
            <w:tcBorders>
              <w:top w:val="nil"/>
              <w:left w:val="nil"/>
              <w:bottom w:val="single" w:sz="4" w:space="0" w:color="auto"/>
              <w:right w:val="nil"/>
            </w:tcBorders>
          </w:tcPr>
          <w:p w14:paraId="36DB4F42" w14:textId="77777777" w:rsidR="00017CE7" w:rsidRPr="00A70C86" w:rsidRDefault="00017CE7" w:rsidP="007D1EF1">
            <w:pPr>
              <w:pStyle w:val="BodyText"/>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167C6FB2" w14:textId="77777777" w:rsidR="00017CE7" w:rsidRPr="00A70C86" w:rsidRDefault="00017CE7" w:rsidP="007D1EF1">
            <w:pPr>
              <w:pStyle w:val="BodyText"/>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3ED5B58A"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158904A5" w14:textId="6D3BCF3A"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12% + 88%</w:t>
            </w:r>
          </w:p>
        </w:tc>
      </w:tr>
      <w:tr w:rsidR="00017CE7" w:rsidRPr="00D63217" w14:paraId="6D2B993E" w14:textId="77777777" w:rsidTr="007D1EF1">
        <w:trPr>
          <w:cantSplit/>
        </w:trPr>
        <w:tc>
          <w:tcPr>
            <w:tcW w:w="638" w:type="pct"/>
            <w:tcBorders>
              <w:top w:val="nil"/>
              <w:left w:val="nil"/>
              <w:bottom w:val="nil"/>
              <w:right w:val="nil"/>
            </w:tcBorders>
          </w:tcPr>
          <w:p w14:paraId="1279F6E6" w14:textId="77777777" w:rsidR="00017CE7" w:rsidRPr="00A70C86" w:rsidRDefault="00017CE7" w:rsidP="007D1EF1">
            <w:pPr>
              <w:pStyle w:val="BodyText"/>
              <w:widowControl w:val="0"/>
              <w:spacing w:after="0"/>
              <w:jc w:val="right"/>
              <w:rPr>
                <w:rFonts w:ascii="Arial" w:hAnsi="Arial" w:cs="Arial"/>
                <w:i/>
                <w:iCs/>
                <w:sz w:val="17"/>
                <w:szCs w:val="17"/>
              </w:rPr>
            </w:pPr>
          </w:p>
        </w:tc>
        <w:tc>
          <w:tcPr>
            <w:tcW w:w="708" w:type="pct"/>
            <w:tcBorders>
              <w:top w:val="single" w:sz="4" w:space="0" w:color="auto"/>
              <w:left w:val="nil"/>
              <w:bottom w:val="nil"/>
              <w:right w:val="nil"/>
            </w:tcBorders>
          </w:tcPr>
          <w:p w14:paraId="6C019A56"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Hyalella azteca</w:t>
            </w:r>
          </w:p>
        </w:tc>
        <w:tc>
          <w:tcPr>
            <w:tcW w:w="1317" w:type="pct"/>
            <w:vMerge w:val="restart"/>
            <w:tcBorders>
              <w:top w:val="single" w:sz="4" w:space="0" w:color="auto"/>
              <w:left w:val="nil"/>
              <w:bottom w:val="nil"/>
              <w:right w:val="nil"/>
            </w:tcBorders>
          </w:tcPr>
          <w:p w14:paraId="70BA6777" w14:textId="666702FE"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4d LC</w:t>
            </w:r>
            <w:r w:rsidRPr="00A70C86">
              <w:rPr>
                <w:rFonts w:ascii="Arial" w:hAnsi="Arial" w:cs="Arial"/>
                <w:sz w:val="17"/>
                <w:szCs w:val="17"/>
                <w:vertAlign w:val="subscript"/>
              </w:rPr>
              <w:t>50</w:t>
            </w:r>
            <w:r w:rsidRPr="00A70C86">
              <w:rPr>
                <w:rFonts w:ascii="Arial" w:hAnsi="Arial" w:cs="Arial"/>
                <w:sz w:val="17"/>
                <w:szCs w:val="17"/>
              </w:rPr>
              <w:t xml:space="preserve"> 0.084 mg ac/L</w:t>
            </w:r>
            <w:r w:rsidR="00AC372C" w:rsidRPr="00A70C86">
              <w:rPr>
                <w:rFonts w:ascii="Arial" w:hAnsi="Arial" w:cs="Arial"/>
                <w:sz w:val="17"/>
                <w:szCs w:val="17"/>
              </w:rPr>
              <w:br/>
            </w:r>
            <w:r w:rsidRPr="00A70C86">
              <w:rPr>
                <w:rFonts w:ascii="Arial" w:hAnsi="Arial" w:cs="Arial"/>
                <w:sz w:val="17"/>
                <w:szCs w:val="17"/>
              </w:rPr>
              <w:t>adj. LC</w:t>
            </w:r>
            <w:r w:rsidRPr="00A70C86">
              <w:rPr>
                <w:rFonts w:ascii="Arial" w:hAnsi="Arial" w:cs="Arial"/>
                <w:sz w:val="17"/>
                <w:szCs w:val="17"/>
                <w:vertAlign w:val="subscript"/>
              </w:rPr>
              <w:t>50</w:t>
            </w:r>
            <w:r w:rsidRPr="00A70C86">
              <w:rPr>
                <w:rFonts w:ascii="Arial" w:hAnsi="Arial" w:cs="Arial"/>
                <w:sz w:val="17"/>
                <w:szCs w:val="17"/>
              </w:rPr>
              <w:t xml:space="preserve"> 0.10 mg ac/L</w:t>
            </w:r>
            <w:r w:rsidR="00AC372C" w:rsidRPr="00A70C86">
              <w:rPr>
                <w:rFonts w:ascii="Arial" w:hAnsi="Arial" w:cs="Arial"/>
                <w:sz w:val="17"/>
                <w:szCs w:val="17"/>
              </w:rPr>
              <w:br/>
            </w:r>
            <w:r w:rsidRPr="00A70C86">
              <w:rPr>
                <w:rFonts w:ascii="Arial" w:hAnsi="Arial" w:cs="Arial"/>
                <w:sz w:val="17"/>
                <w:szCs w:val="17"/>
              </w:rPr>
              <w:t>Bender 2006a</w:t>
            </w:r>
          </w:p>
        </w:tc>
        <w:tc>
          <w:tcPr>
            <w:tcW w:w="1391" w:type="pct"/>
            <w:tcBorders>
              <w:top w:val="single" w:sz="4" w:space="0" w:color="auto"/>
              <w:left w:val="nil"/>
              <w:bottom w:val="nil"/>
              <w:right w:val="nil"/>
            </w:tcBorders>
          </w:tcPr>
          <w:p w14:paraId="3A20265C"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 data</w:t>
            </w:r>
          </w:p>
        </w:tc>
        <w:tc>
          <w:tcPr>
            <w:tcW w:w="946" w:type="pct"/>
            <w:tcBorders>
              <w:top w:val="single" w:sz="4" w:space="0" w:color="auto"/>
              <w:left w:val="nil"/>
              <w:bottom w:val="nil"/>
              <w:right w:val="nil"/>
            </w:tcBorders>
          </w:tcPr>
          <w:p w14:paraId="1ED504F3" w14:textId="351CE333"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0.15 mg acs/L</w:t>
            </w:r>
          </w:p>
        </w:tc>
      </w:tr>
      <w:tr w:rsidR="00017CE7" w:rsidRPr="00D63217" w14:paraId="5B330D1F" w14:textId="77777777" w:rsidTr="007D1EF1">
        <w:trPr>
          <w:cantSplit/>
        </w:trPr>
        <w:tc>
          <w:tcPr>
            <w:tcW w:w="638" w:type="pct"/>
            <w:tcBorders>
              <w:top w:val="nil"/>
              <w:left w:val="nil"/>
              <w:bottom w:val="single" w:sz="4" w:space="0" w:color="auto"/>
              <w:right w:val="nil"/>
            </w:tcBorders>
          </w:tcPr>
          <w:p w14:paraId="3CA2DDDA"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4F25D7A0" w14:textId="77777777" w:rsidR="00017CE7" w:rsidRPr="00A70C86" w:rsidRDefault="00017CE7" w:rsidP="007D1EF1">
            <w:pPr>
              <w:pStyle w:val="BodyText"/>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79CDF062" w14:textId="77777777" w:rsidR="00017CE7" w:rsidRPr="00A70C86" w:rsidRDefault="00017CE7" w:rsidP="007D1EF1">
            <w:pPr>
              <w:pStyle w:val="BodyText"/>
              <w:widowControl w:val="0"/>
              <w:spacing w:after="0"/>
              <w:rPr>
                <w:rFonts w:ascii="Arial" w:hAnsi="Arial" w:cs="Arial"/>
                <w:sz w:val="17"/>
                <w:szCs w:val="17"/>
              </w:rPr>
            </w:pPr>
          </w:p>
        </w:tc>
        <w:tc>
          <w:tcPr>
            <w:tcW w:w="1391" w:type="pct"/>
            <w:tcBorders>
              <w:top w:val="nil"/>
              <w:left w:val="nil"/>
              <w:bottom w:val="single" w:sz="4" w:space="0" w:color="auto"/>
              <w:right w:val="nil"/>
            </w:tcBorders>
          </w:tcPr>
          <w:p w14:paraId="6C8BE8F1"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6225B239" w14:textId="6346757E"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70% + 30%</w:t>
            </w:r>
          </w:p>
        </w:tc>
      </w:tr>
      <w:tr w:rsidR="00017CE7" w:rsidRPr="00D63217" w14:paraId="09B38B25" w14:textId="77777777" w:rsidTr="007D1EF1">
        <w:trPr>
          <w:cantSplit/>
        </w:trPr>
        <w:tc>
          <w:tcPr>
            <w:tcW w:w="638" w:type="pct"/>
            <w:tcBorders>
              <w:top w:val="single" w:sz="4" w:space="0" w:color="auto"/>
              <w:left w:val="nil"/>
              <w:bottom w:val="nil"/>
              <w:right w:val="nil"/>
            </w:tcBorders>
          </w:tcPr>
          <w:p w14:paraId="508B44FD"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Algae</w:t>
            </w:r>
          </w:p>
        </w:tc>
        <w:tc>
          <w:tcPr>
            <w:tcW w:w="708" w:type="pct"/>
            <w:tcBorders>
              <w:top w:val="single" w:sz="4" w:space="0" w:color="auto"/>
              <w:left w:val="nil"/>
              <w:bottom w:val="nil"/>
              <w:right w:val="nil"/>
            </w:tcBorders>
          </w:tcPr>
          <w:p w14:paraId="09E278E0"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Navicula pelliculosa</w:t>
            </w:r>
          </w:p>
        </w:tc>
        <w:tc>
          <w:tcPr>
            <w:tcW w:w="1317" w:type="pct"/>
            <w:vMerge w:val="restart"/>
            <w:tcBorders>
              <w:top w:val="single" w:sz="4" w:space="0" w:color="auto"/>
              <w:left w:val="nil"/>
              <w:bottom w:val="nil"/>
              <w:right w:val="nil"/>
            </w:tcBorders>
          </w:tcPr>
          <w:p w14:paraId="59E04564" w14:textId="78F77D42"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3d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0.0012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0.0014 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1998</w:t>
            </w:r>
            <w:r w:rsidR="00E31FB4" w:rsidRPr="00A70C86">
              <w:rPr>
                <w:rFonts w:ascii="Arial" w:hAnsi="Arial" w:cs="Arial"/>
                <w:sz w:val="17"/>
                <w:szCs w:val="17"/>
              </w:rPr>
              <w:t>(</w:t>
            </w:r>
            <w:r w:rsidRPr="00A70C86">
              <w:rPr>
                <w:rFonts w:ascii="Arial" w:hAnsi="Arial" w:cs="Arial"/>
                <w:sz w:val="17"/>
                <w:szCs w:val="17"/>
              </w:rPr>
              <w:t>a</w:t>
            </w:r>
            <w:r w:rsidR="00E31FB4" w:rsidRPr="00A70C86">
              <w:rPr>
                <w:rFonts w:ascii="Arial" w:hAnsi="Arial" w:cs="Arial"/>
                <w:sz w:val="17"/>
                <w:szCs w:val="17"/>
              </w:rPr>
              <w:t>)</w:t>
            </w:r>
          </w:p>
        </w:tc>
        <w:tc>
          <w:tcPr>
            <w:tcW w:w="1391" w:type="pct"/>
            <w:vMerge w:val="restart"/>
            <w:tcBorders>
              <w:top w:val="single" w:sz="4" w:space="0" w:color="auto"/>
              <w:left w:val="nil"/>
              <w:bottom w:val="nil"/>
              <w:right w:val="nil"/>
            </w:tcBorders>
          </w:tcPr>
          <w:p w14:paraId="1133FC51" w14:textId="742539F9"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3d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0.00034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0.00041 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1992</w:t>
            </w:r>
            <w:r w:rsidR="00143F5A" w:rsidRPr="00A70C86">
              <w:rPr>
                <w:rFonts w:ascii="Arial" w:hAnsi="Arial" w:cs="Arial"/>
                <w:sz w:val="17"/>
                <w:szCs w:val="17"/>
              </w:rPr>
              <w:t>(</w:t>
            </w:r>
            <w:r w:rsidRPr="00A70C86">
              <w:rPr>
                <w:rFonts w:ascii="Arial" w:hAnsi="Arial" w:cs="Arial"/>
                <w:sz w:val="17"/>
                <w:szCs w:val="17"/>
              </w:rPr>
              <w:t>a</w:t>
            </w:r>
            <w:r w:rsidR="00143F5A" w:rsidRPr="00A70C86">
              <w:rPr>
                <w:rFonts w:ascii="Arial" w:hAnsi="Arial" w:cs="Arial"/>
                <w:sz w:val="17"/>
                <w:szCs w:val="17"/>
              </w:rPr>
              <w:t>)</w:t>
            </w:r>
          </w:p>
        </w:tc>
        <w:tc>
          <w:tcPr>
            <w:tcW w:w="946" w:type="pct"/>
            <w:tcBorders>
              <w:top w:val="single" w:sz="4" w:space="0" w:color="auto"/>
              <w:left w:val="nil"/>
              <w:bottom w:val="nil"/>
              <w:right w:val="nil"/>
            </w:tcBorders>
          </w:tcPr>
          <w:p w14:paraId="12636201"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Predicted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w:t>
            </w:r>
            <w:bookmarkStart w:id="691" w:name="_Hlk163731419"/>
            <w:r w:rsidRPr="00A70C86">
              <w:rPr>
                <w:rFonts w:ascii="Arial" w:hAnsi="Arial" w:cs="Arial"/>
                <w:sz w:val="17"/>
                <w:szCs w:val="17"/>
              </w:rPr>
              <w:t>0.00061 mg acs/L</w:t>
            </w:r>
            <w:bookmarkEnd w:id="691"/>
          </w:p>
        </w:tc>
      </w:tr>
      <w:tr w:rsidR="00017CE7" w:rsidRPr="00D63217" w14:paraId="10F31A22" w14:textId="77777777" w:rsidTr="007D1EF1">
        <w:trPr>
          <w:cantSplit/>
        </w:trPr>
        <w:tc>
          <w:tcPr>
            <w:tcW w:w="638" w:type="pct"/>
            <w:tcBorders>
              <w:top w:val="nil"/>
              <w:left w:val="nil"/>
              <w:bottom w:val="nil"/>
              <w:right w:val="nil"/>
            </w:tcBorders>
          </w:tcPr>
          <w:p w14:paraId="47EDC88F"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0833DFAF"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4918E5DC"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5B3705FB" w14:textId="77777777" w:rsidR="00017CE7" w:rsidRPr="00A70C86" w:rsidRDefault="00017CE7" w:rsidP="007D1EF1">
            <w:pPr>
              <w:pStyle w:val="BodyText"/>
              <w:keepNext/>
              <w:keepLines/>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75607846" w14:textId="00950927"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20% + 80%</w:t>
            </w:r>
          </w:p>
        </w:tc>
      </w:tr>
      <w:tr w:rsidR="00017CE7" w:rsidRPr="00D63217" w14:paraId="17FD270B" w14:textId="77777777" w:rsidTr="007D1EF1">
        <w:trPr>
          <w:cantSplit/>
        </w:trPr>
        <w:tc>
          <w:tcPr>
            <w:tcW w:w="638" w:type="pct"/>
            <w:tcBorders>
              <w:top w:val="nil"/>
              <w:left w:val="nil"/>
              <w:bottom w:val="nil"/>
              <w:right w:val="nil"/>
            </w:tcBorders>
          </w:tcPr>
          <w:p w14:paraId="593E31D6"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420AD461"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i/>
                <w:iCs/>
                <w:sz w:val="17"/>
                <w:szCs w:val="17"/>
              </w:rPr>
              <w:t>Raphidocelis subcapitata</w:t>
            </w:r>
          </w:p>
          <w:p w14:paraId="34826DD2"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val="restart"/>
            <w:tcBorders>
              <w:top w:val="single" w:sz="4" w:space="0" w:color="auto"/>
              <w:left w:val="nil"/>
              <w:bottom w:val="nil"/>
              <w:right w:val="nil"/>
            </w:tcBorders>
          </w:tcPr>
          <w:p w14:paraId="4B91113D" w14:textId="76E853B4"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4d EC</w:t>
            </w:r>
            <w:r w:rsidRPr="00A70C86">
              <w:rPr>
                <w:rFonts w:ascii="Arial" w:hAnsi="Arial" w:cs="Arial"/>
                <w:sz w:val="17"/>
                <w:szCs w:val="17"/>
                <w:vertAlign w:val="subscript"/>
              </w:rPr>
              <w:t>50</w:t>
            </w:r>
            <w:r w:rsidRPr="00A70C86">
              <w:rPr>
                <w:rFonts w:ascii="Arial" w:hAnsi="Arial" w:cs="Arial"/>
                <w:sz w:val="17"/>
                <w:szCs w:val="17"/>
              </w:rPr>
              <w:t xml:space="preserve"> 0.055 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0.067 mg ac/L</w:t>
            </w:r>
            <w:r w:rsidR="00AC372C" w:rsidRPr="00A70C86">
              <w:rPr>
                <w:rFonts w:ascii="Arial" w:hAnsi="Arial" w:cs="Arial"/>
                <w:sz w:val="17"/>
                <w:szCs w:val="17"/>
              </w:rPr>
              <w:br/>
            </w:r>
            <w:r w:rsidRPr="00A70C86">
              <w:rPr>
                <w:rFonts w:ascii="Arial" w:hAnsi="Arial" w:cs="Arial"/>
                <w:sz w:val="17"/>
                <w:szCs w:val="17"/>
              </w:rPr>
              <w:t>Nagai 2019</w:t>
            </w:r>
          </w:p>
        </w:tc>
        <w:tc>
          <w:tcPr>
            <w:tcW w:w="1391" w:type="pct"/>
            <w:vMerge w:val="restart"/>
            <w:tcBorders>
              <w:top w:val="single" w:sz="4" w:space="0" w:color="auto"/>
              <w:left w:val="nil"/>
              <w:bottom w:val="nil"/>
              <w:right w:val="nil"/>
            </w:tcBorders>
          </w:tcPr>
          <w:p w14:paraId="4DA341CF" w14:textId="7BACCBB2"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4d EC</w:t>
            </w:r>
            <w:r w:rsidRPr="00A70C86">
              <w:rPr>
                <w:rFonts w:ascii="Arial" w:hAnsi="Arial" w:cs="Arial"/>
                <w:sz w:val="17"/>
                <w:szCs w:val="17"/>
                <w:vertAlign w:val="subscript"/>
              </w:rPr>
              <w:t>50</w:t>
            </w:r>
            <w:r w:rsidRPr="00A70C86">
              <w:rPr>
                <w:rFonts w:ascii="Arial" w:hAnsi="Arial" w:cs="Arial"/>
                <w:sz w:val="17"/>
                <w:szCs w:val="17"/>
              </w:rPr>
              <w:t xml:space="preserve"> 0.</w:t>
            </w:r>
            <w:r w:rsidR="00DE187D" w:rsidRPr="00A70C86">
              <w:rPr>
                <w:rFonts w:ascii="Arial" w:hAnsi="Arial" w:cs="Arial"/>
                <w:sz w:val="17"/>
                <w:szCs w:val="17"/>
              </w:rPr>
              <w:t xml:space="preserve">22 </w:t>
            </w:r>
            <w:r w:rsidRPr="00A70C86">
              <w:rPr>
                <w:rFonts w:ascii="Arial" w:hAnsi="Arial" w:cs="Arial"/>
                <w:sz w:val="17"/>
                <w:szCs w:val="17"/>
              </w:rPr>
              <w:t>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0.</w:t>
            </w:r>
            <w:r w:rsidR="00DE187D" w:rsidRPr="00A70C86">
              <w:rPr>
                <w:rFonts w:ascii="Arial" w:hAnsi="Arial" w:cs="Arial"/>
                <w:sz w:val="17"/>
                <w:szCs w:val="17"/>
              </w:rPr>
              <w:t xml:space="preserve">26 </w:t>
            </w:r>
            <w:r w:rsidRPr="00A70C86">
              <w:rPr>
                <w:rFonts w:ascii="Arial" w:hAnsi="Arial" w:cs="Arial"/>
                <w:sz w:val="17"/>
                <w:szCs w:val="17"/>
              </w:rPr>
              <w:t>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1990</w:t>
            </w:r>
            <w:r w:rsidR="00143F5A" w:rsidRPr="00A70C86">
              <w:rPr>
                <w:rFonts w:ascii="Arial" w:hAnsi="Arial" w:cs="Arial"/>
                <w:sz w:val="17"/>
                <w:szCs w:val="17"/>
              </w:rPr>
              <w:t>(</w:t>
            </w:r>
            <w:r w:rsidRPr="00A70C86">
              <w:rPr>
                <w:rFonts w:ascii="Arial" w:hAnsi="Arial" w:cs="Arial"/>
                <w:sz w:val="17"/>
                <w:szCs w:val="17"/>
              </w:rPr>
              <w:t>a</w:t>
            </w:r>
            <w:r w:rsidR="00143F5A" w:rsidRPr="00A70C86">
              <w:rPr>
                <w:rFonts w:ascii="Arial" w:hAnsi="Arial" w:cs="Arial"/>
                <w:sz w:val="17"/>
                <w:szCs w:val="17"/>
              </w:rPr>
              <w:t>)</w:t>
            </w:r>
            <w:r w:rsidRPr="00A70C86">
              <w:rPr>
                <w:rFonts w:ascii="Arial" w:hAnsi="Arial" w:cs="Arial"/>
                <w:sz w:val="17"/>
                <w:szCs w:val="17"/>
              </w:rPr>
              <w:t>, 1990</w:t>
            </w:r>
            <w:r w:rsidR="00143F5A" w:rsidRPr="00A70C86">
              <w:rPr>
                <w:rFonts w:ascii="Arial" w:hAnsi="Arial" w:cs="Arial"/>
                <w:sz w:val="17"/>
                <w:szCs w:val="17"/>
              </w:rPr>
              <w:t>(</w:t>
            </w:r>
            <w:r w:rsidRPr="00A70C86">
              <w:rPr>
                <w:rFonts w:ascii="Arial" w:hAnsi="Arial" w:cs="Arial"/>
                <w:sz w:val="17"/>
                <w:szCs w:val="17"/>
              </w:rPr>
              <w:t>b</w:t>
            </w:r>
            <w:r w:rsidR="00143F5A" w:rsidRPr="00A70C86">
              <w:rPr>
                <w:rFonts w:ascii="Arial" w:hAnsi="Arial" w:cs="Arial"/>
                <w:sz w:val="17"/>
                <w:szCs w:val="17"/>
              </w:rPr>
              <w:t>)</w:t>
            </w:r>
            <w:r w:rsidRPr="00A70C86">
              <w:rPr>
                <w:rFonts w:ascii="Arial" w:hAnsi="Arial" w:cs="Arial"/>
                <w:sz w:val="17"/>
                <w:szCs w:val="17"/>
              </w:rPr>
              <w:t>, 1992</w:t>
            </w:r>
            <w:r w:rsidR="00143F5A" w:rsidRPr="00A70C86">
              <w:rPr>
                <w:rFonts w:ascii="Arial" w:hAnsi="Arial" w:cs="Arial"/>
                <w:sz w:val="17"/>
                <w:szCs w:val="17"/>
              </w:rPr>
              <w:t>(</w:t>
            </w:r>
            <w:r w:rsidRPr="00A70C86">
              <w:rPr>
                <w:rFonts w:ascii="Arial" w:hAnsi="Arial" w:cs="Arial"/>
                <w:sz w:val="17"/>
                <w:szCs w:val="17"/>
              </w:rPr>
              <w:t>b</w:t>
            </w:r>
            <w:r w:rsidR="00143F5A" w:rsidRPr="00A70C86">
              <w:rPr>
                <w:rFonts w:ascii="Arial" w:hAnsi="Arial" w:cs="Arial"/>
                <w:sz w:val="17"/>
                <w:szCs w:val="17"/>
              </w:rPr>
              <w:t>)</w:t>
            </w:r>
            <w:r w:rsidR="00AC372C" w:rsidRPr="00A70C86">
              <w:rPr>
                <w:rFonts w:ascii="Arial" w:hAnsi="Arial" w:cs="Arial"/>
                <w:sz w:val="17"/>
                <w:szCs w:val="17"/>
              </w:rPr>
              <w:br/>
            </w:r>
            <w:r w:rsidRPr="00A70C86">
              <w:rPr>
                <w:rFonts w:ascii="Arial" w:hAnsi="Arial" w:cs="Arial"/>
                <w:sz w:val="17"/>
                <w:szCs w:val="17"/>
              </w:rPr>
              <w:t>Scheerbaum 2007</w:t>
            </w:r>
            <w:r w:rsidR="00143F5A" w:rsidRPr="00A70C86">
              <w:rPr>
                <w:rFonts w:ascii="Arial" w:hAnsi="Arial" w:cs="Arial"/>
                <w:sz w:val="17"/>
                <w:szCs w:val="17"/>
              </w:rPr>
              <w:t>(</w:t>
            </w:r>
            <w:r w:rsidRPr="00A70C86">
              <w:rPr>
                <w:rFonts w:ascii="Arial" w:hAnsi="Arial" w:cs="Arial"/>
                <w:sz w:val="17"/>
                <w:szCs w:val="17"/>
              </w:rPr>
              <w:t>b</w:t>
            </w:r>
            <w:r w:rsidR="00143F5A" w:rsidRPr="00A70C86">
              <w:rPr>
                <w:rFonts w:ascii="Arial" w:hAnsi="Arial" w:cs="Arial"/>
                <w:sz w:val="17"/>
                <w:szCs w:val="17"/>
              </w:rPr>
              <w:t>)</w:t>
            </w:r>
            <w:r w:rsidR="00AC372C" w:rsidRPr="00A70C86">
              <w:rPr>
                <w:rFonts w:ascii="Arial" w:hAnsi="Arial" w:cs="Arial"/>
                <w:sz w:val="17"/>
                <w:szCs w:val="17"/>
              </w:rPr>
              <w:br/>
            </w:r>
          </w:p>
        </w:tc>
        <w:tc>
          <w:tcPr>
            <w:tcW w:w="946" w:type="pct"/>
            <w:tcBorders>
              <w:top w:val="single" w:sz="4" w:space="0" w:color="auto"/>
              <w:left w:val="nil"/>
              <w:bottom w:val="nil"/>
              <w:right w:val="nil"/>
            </w:tcBorders>
          </w:tcPr>
          <w:p w14:paraId="7956F4E0" w14:textId="2F0F59BC"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EC</w:t>
            </w:r>
            <w:r w:rsidRPr="00A70C86">
              <w:rPr>
                <w:rFonts w:ascii="Arial" w:hAnsi="Arial" w:cs="Arial"/>
                <w:sz w:val="17"/>
                <w:szCs w:val="17"/>
                <w:vertAlign w:val="subscript"/>
              </w:rPr>
              <w:t>50</w:t>
            </w:r>
            <w:r w:rsidRPr="00A70C86">
              <w:rPr>
                <w:rFonts w:ascii="Arial" w:hAnsi="Arial" w:cs="Arial"/>
                <w:sz w:val="17"/>
                <w:szCs w:val="17"/>
              </w:rPr>
              <w:t xml:space="preserve"> 0.</w:t>
            </w:r>
            <w:r w:rsidR="00DE187D" w:rsidRPr="00A70C86">
              <w:rPr>
                <w:rFonts w:ascii="Arial" w:hAnsi="Arial" w:cs="Arial"/>
                <w:sz w:val="17"/>
                <w:szCs w:val="17"/>
              </w:rPr>
              <w:t xml:space="preserve">011 </w:t>
            </w:r>
            <w:r w:rsidRPr="00A70C86">
              <w:rPr>
                <w:rFonts w:ascii="Arial" w:hAnsi="Arial" w:cs="Arial"/>
                <w:sz w:val="17"/>
                <w:szCs w:val="17"/>
              </w:rPr>
              <w:t>mg acs/L</w:t>
            </w:r>
          </w:p>
        </w:tc>
      </w:tr>
      <w:tr w:rsidR="00017CE7" w:rsidRPr="00D63217" w14:paraId="0C74D37E" w14:textId="77777777" w:rsidTr="007D1EF1">
        <w:trPr>
          <w:cantSplit/>
        </w:trPr>
        <w:tc>
          <w:tcPr>
            <w:tcW w:w="638" w:type="pct"/>
            <w:tcBorders>
              <w:top w:val="nil"/>
              <w:left w:val="nil"/>
              <w:bottom w:val="nil"/>
              <w:right w:val="nil"/>
            </w:tcBorders>
          </w:tcPr>
          <w:p w14:paraId="65CF999A"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68448328"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27688A0C"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7084B324" w14:textId="77777777" w:rsidR="00017CE7" w:rsidRPr="00A70C86" w:rsidRDefault="00017CE7" w:rsidP="007D1EF1">
            <w:pPr>
              <w:pStyle w:val="BodyText"/>
              <w:keepNext/>
              <w:keepLines/>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07A628B8" w14:textId="7AF254B0"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00DE187D" w:rsidRPr="00A70C86">
              <w:rPr>
                <w:rFonts w:ascii="Arial" w:hAnsi="Arial" w:cs="Arial"/>
                <w:sz w:val="17"/>
                <w:szCs w:val="17"/>
              </w:rPr>
              <w:t>77</w:t>
            </w:r>
            <w:r w:rsidRPr="00A70C86">
              <w:rPr>
                <w:rFonts w:ascii="Arial" w:hAnsi="Arial" w:cs="Arial"/>
                <w:sz w:val="17"/>
                <w:szCs w:val="17"/>
              </w:rPr>
              <w:t>% + 2</w:t>
            </w:r>
            <w:r w:rsidR="00DE187D" w:rsidRPr="00A70C86">
              <w:rPr>
                <w:rFonts w:ascii="Arial" w:hAnsi="Arial" w:cs="Arial"/>
                <w:sz w:val="17"/>
                <w:szCs w:val="17"/>
              </w:rPr>
              <w:t>3</w:t>
            </w:r>
            <w:r w:rsidRPr="00A70C86">
              <w:rPr>
                <w:rFonts w:ascii="Arial" w:hAnsi="Arial" w:cs="Arial"/>
                <w:sz w:val="17"/>
                <w:szCs w:val="17"/>
              </w:rPr>
              <w:t>%</w:t>
            </w:r>
          </w:p>
        </w:tc>
      </w:tr>
      <w:tr w:rsidR="00017CE7" w:rsidRPr="00D63217" w14:paraId="1E0FD77C" w14:textId="77777777" w:rsidTr="007D1EF1">
        <w:trPr>
          <w:cantSplit/>
        </w:trPr>
        <w:tc>
          <w:tcPr>
            <w:tcW w:w="638" w:type="pct"/>
            <w:tcBorders>
              <w:top w:val="nil"/>
              <w:left w:val="nil"/>
              <w:bottom w:val="nil"/>
              <w:right w:val="nil"/>
            </w:tcBorders>
          </w:tcPr>
          <w:p w14:paraId="78E24889" w14:textId="77777777" w:rsidR="00017CE7" w:rsidRPr="00A70C86" w:rsidRDefault="00017CE7" w:rsidP="007D1EF1">
            <w:pPr>
              <w:pStyle w:val="BodyText"/>
              <w:keepNext/>
              <w:keepLines/>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1C059FB7"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i/>
                <w:iCs/>
                <w:sz w:val="17"/>
                <w:szCs w:val="17"/>
              </w:rPr>
              <w:t>Anabaena flos-aquae</w:t>
            </w:r>
          </w:p>
        </w:tc>
        <w:tc>
          <w:tcPr>
            <w:tcW w:w="1317" w:type="pct"/>
            <w:vMerge w:val="restart"/>
            <w:tcBorders>
              <w:top w:val="single" w:sz="4" w:space="0" w:color="auto"/>
              <w:left w:val="nil"/>
              <w:bottom w:val="nil"/>
              <w:right w:val="nil"/>
            </w:tcBorders>
          </w:tcPr>
          <w:p w14:paraId="1ADC0B3F" w14:textId="6375B757"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3d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0.025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0.029 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1998b</w:t>
            </w:r>
          </w:p>
        </w:tc>
        <w:tc>
          <w:tcPr>
            <w:tcW w:w="1391" w:type="pct"/>
            <w:vMerge w:val="restart"/>
            <w:tcBorders>
              <w:top w:val="single" w:sz="4" w:space="0" w:color="auto"/>
              <w:left w:val="nil"/>
              <w:bottom w:val="nil"/>
              <w:right w:val="nil"/>
            </w:tcBorders>
          </w:tcPr>
          <w:p w14:paraId="1BEE2BDC" w14:textId="31918E34"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3d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0.0078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0.0099 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1992</w:t>
            </w:r>
            <w:r w:rsidR="00143F5A" w:rsidRPr="00A70C86">
              <w:rPr>
                <w:rFonts w:ascii="Arial" w:hAnsi="Arial" w:cs="Arial"/>
                <w:sz w:val="17"/>
                <w:szCs w:val="17"/>
              </w:rPr>
              <w:t>)</w:t>
            </w:r>
            <w:r w:rsidRPr="00A70C86">
              <w:rPr>
                <w:rFonts w:ascii="Arial" w:hAnsi="Arial" w:cs="Arial"/>
                <w:sz w:val="17"/>
                <w:szCs w:val="17"/>
              </w:rPr>
              <w:t>c</w:t>
            </w:r>
            <w:r w:rsidR="00143F5A" w:rsidRPr="00A70C86">
              <w:rPr>
                <w:rFonts w:ascii="Arial" w:hAnsi="Arial" w:cs="Arial"/>
                <w:sz w:val="17"/>
                <w:szCs w:val="17"/>
              </w:rPr>
              <w:t>)</w:t>
            </w:r>
          </w:p>
        </w:tc>
        <w:tc>
          <w:tcPr>
            <w:tcW w:w="946" w:type="pct"/>
            <w:tcBorders>
              <w:top w:val="single" w:sz="4" w:space="0" w:color="auto"/>
              <w:left w:val="nil"/>
              <w:bottom w:val="nil"/>
              <w:right w:val="nil"/>
            </w:tcBorders>
          </w:tcPr>
          <w:p w14:paraId="1B155FFB" w14:textId="77777777" w:rsidR="00017CE7" w:rsidRPr="00A70C86" w:rsidRDefault="00017CE7" w:rsidP="007D1EF1">
            <w:pPr>
              <w:pStyle w:val="BodyText"/>
              <w:keepNext/>
              <w:keepLines/>
              <w:widowControl w:val="0"/>
              <w:spacing w:after="0"/>
              <w:rPr>
                <w:rFonts w:ascii="Arial" w:hAnsi="Arial" w:cs="Arial"/>
                <w:sz w:val="17"/>
                <w:szCs w:val="17"/>
              </w:rPr>
            </w:pPr>
            <w:r w:rsidRPr="00A70C86">
              <w:rPr>
                <w:rFonts w:ascii="Arial" w:hAnsi="Arial" w:cs="Arial"/>
                <w:sz w:val="17"/>
                <w:szCs w:val="17"/>
              </w:rPr>
              <w:t>Predicted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0.014 mg acs/L</w:t>
            </w:r>
          </w:p>
        </w:tc>
      </w:tr>
      <w:tr w:rsidR="00017CE7" w:rsidRPr="00D63217" w14:paraId="0D300439" w14:textId="77777777" w:rsidTr="007D1EF1">
        <w:trPr>
          <w:cantSplit/>
        </w:trPr>
        <w:tc>
          <w:tcPr>
            <w:tcW w:w="638" w:type="pct"/>
            <w:tcBorders>
              <w:top w:val="nil"/>
              <w:left w:val="nil"/>
              <w:bottom w:val="nil"/>
              <w:right w:val="nil"/>
            </w:tcBorders>
          </w:tcPr>
          <w:p w14:paraId="60CA6578" w14:textId="77777777" w:rsidR="00017CE7" w:rsidRPr="00A70C86" w:rsidRDefault="00017CE7" w:rsidP="007D1EF1">
            <w:pPr>
              <w:pStyle w:val="BodyText"/>
              <w:keepNext/>
              <w:keepLines/>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4FA399FD"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5257603E"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7D14027C" w14:textId="77777777" w:rsidR="00017CE7" w:rsidRPr="00A70C86" w:rsidRDefault="00017CE7" w:rsidP="007D1EF1">
            <w:pPr>
              <w:pStyle w:val="BodyText"/>
              <w:keepNext/>
              <w:keepLines/>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1F474BB4" w14:textId="57DDF31E"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23% + 77%</w:t>
            </w:r>
          </w:p>
        </w:tc>
      </w:tr>
      <w:tr w:rsidR="00017CE7" w:rsidRPr="00D63217" w14:paraId="528E8C81" w14:textId="77777777" w:rsidTr="007D1EF1">
        <w:trPr>
          <w:cantSplit/>
        </w:trPr>
        <w:tc>
          <w:tcPr>
            <w:tcW w:w="638" w:type="pct"/>
            <w:tcBorders>
              <w:top w:val="nil"/>
              <w:left w:val="nil"/>
              <w:bottom w:val="nil"/>
              <w:right w:val="nil"/>
            </w:tcBorders>
          </w:tcPr>
          <w:p w14:paraId="061EAB4B"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619E12A4"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i/>
                <w:iCs/>
                <w:sz w:val="17"/>
                <w:szCs w:val="17"/>
              </w:rPr>
              <w:t>Skeletonema costatum</w:t>
            </w:r>
          </w:p>
        </w:tc>
        <w:tc>
          <w:tcPr>
            <w:tcW w:w="1317" w:type="pct"/>
            <w:vMerge w:val="restart"/>
            <w:tcBorders>
              <w:top w:val="single" w:sz="4" w:space="0" w:color="auto"/>
              <w:left w:val="nil"/>
              <w:bottom w:val="nil"/>
              <w:right w:val="nil"/>
            </w:tcBorders>
          </w:tcPr>
          <w:p w14:paraId="5CA74A1F" w14:textId="056884F1"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3d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12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14 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1998c</w:t>
            </w:r>
          </w:p>
        </w:tc>
        <w:tc>
          <w:tcPr>
            <w:tcW w:w="1391" w:type="pct"/>
            <w:vMerge w:val="restart"/>
            <w:tcBorders>
              <w:top w:val="single" w:sz="4" w:space="0" w:color="auto"/>
              <w:left w:val="nil"/>
              <w:bottom w:val="nil"/>
              <w:right w:val="nil"/>
            </w:tcBorders>
          </w:tcPr>
          <w:p w14:paraId="784F2755" w14:textId="5375891B"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3d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5.9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7.1 mg ac/L</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1998</w:t>
            </w:r>
            <w:r w:rsidR="00143F5A" w:rsidRPr="00A70C86">
              <w:rPr>
                <w:rFonts w:ascii="Arial" w:hAnsi="Arial" w:cs="Arial"/>
                <w:sz w:val="17"/>
                <w:szCs w:val="17"/>
              </w:rPr>
              <w:t>(</w:t>
            </w:r>
            <w:r w:rsidRPr="00A70C86">
              <w:rPr>
                <w:rFonts w:ascii="Arial" w:hAnsi="Arial" w:cs="Arial"/>
                <w:sz w:val="17"/>
                <w:szCs w:val="17"/>
              </w:rPr>
              <w:t>d</w:t>
            </w:r>
            <w:r w:rsidR="00143F5A" w:rsidRPr="00A70C86">
              <w:rPr>
                <w:rFonts w:ascii="Arial" w:hAnsi="Arial" w:cs="Arial"/>
                <w:sz w:val="17"/>
                <w:szCs w:val="17"/>
              </w:rPr>
              <w:t>)</w:t>
            </w:r>
          </w:p>
        </w:tc>
        <w:tc>
          <w:tcPr>
            <w:tcW w:w="946" w:type="pct"/>
            <w:tcBorders>
              <w:top w:val="single" w:sz="4" w:space="0" w:color="auto"/>
              <w:left w:val="nil"/>
              <w:bottom w:val="nil"/>
              <w:right w:val="nil"/>
            </w:tcBorders>
          </w:tcPr>
          <w:p w14:paraId="442ECD80" w14:textId="46E4136A"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9.2 mg acs/L</w:t>
            </w:r>
          </w:p>
        </w:tc>
      </w:tr>
      <w:tr w:rsidR="00017CE7" w:rsidRPr="00D63217" w14:paraId="642A4815" w14:textId="77777777" w:rsidTr="007D1EF1">
        <w:trPr>
          <w:cantSplit/>
        </w:trPr>
        <w:tc>
          <w:tcPr>
            <w:tcW w:w="638" w:type="pct"/>
            <w:tcBorders>
              <w:top w:val="nil"/>
              <w:left w:val="nil"/>
              <w:bottom w:val="single" w:sz="4" w:space="0" w:color="auto"/>
              <w:right w:val="nil"/>
            </w:tcBorders>
          </w:tcPr>
          <w:p w14:paraId="41B10502"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3F19F6E4"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62216883"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36B341B5"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2E1B30C2" w14:textId="4FF7804F"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30% + 70%</w:t>
            </w:r>
          </w:p>
        </w:tc>
      </w:tr>
      <w:tr w:rsidR="00017CE7" w:rsidRPr="00D63217" w14:paraId="48343593" w14:textId="77777777" w:rsidTr="007D1EF1">
        <w:trPr>
          <w:cantSplit/>
        </w:trPr>
        <w:tc>
          <w:tcPr>
            <w:tcW w:w="638" w:type="pct"/>
            <w:tcBorders>
              <w:top w:val="single" w:sz="4" w:space="0" w:color="auto"/>
              <w:left w:val="nil"/>
              <w:bottom w:val="nil"/>
              <w:right w:val="nil"/>
            </w:tcBorders>
          </w:tcPr>
          <w:p w14:paraId="451C4404"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Aquatic plants</w:t>
            </w:r>
          </w:p>
        </w:tc>
        <w:tc>
          <w:tcPr>
            <w:tcW w:w="708" w:type="pct"/>
            <w:tcBorders>
              <w:top w:val="single" w:sz="4" w:space="0" w:color="auto"/>
              <w:left w:val="nil"/>
              <w:bottom w:val="nil"/>
              <w:right w:val="nil"/>
            </w:tcBorders>
          </w:tcPr>
          <w:p w14:paraId="686A26FE"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i/>
                <w:iCs/>
                <w:sz w:val="17"/>
                <w:szCs w:val="17"/>
              </w:rPr>
              <w:t>Lemna gibba</w:t>
            </w:r>
          </w:p>
        </w:tc>
        <w:tc>
          <w:tcPr>
            <w:tcW w:w="1317" w:type="pct"/>
            <w:vMerge w:val="restart"/>
            <w:tcBorders>
              <w:top w:val="single" w:sz="4" w:space="0" w:color="auto"/>
              <w:left w:val="nil"/>
              <w:bottom w:val="nil"/>
              <w:right w:val="nil"/>
            </w:tcBorders>
          </w:tcPr>
          <w:p w14:paraId="28925741" w14:textId="7EC1590C"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meas. 14d EC</w:t>
            </w:r>
            <w:r w:rsidRPr="00A70C86">
              <w:rPr>
                <w:rFonts w:ascii="Arial" w:hAnsi="Arial" w:cs="Arial"/>
                <w:sz w:val="17"/>
                <w:szCs w:val="17"/>
                <w:vertAlign w:val="subscript"/>
              </w:rPr>
              <w:t>50</w:t>
            </w:r>
            <w:r w:rsidRPr="00A70C86">
              <w:rPr>
                <w:rFonts w:ascii="Arial" w:hAnsi="Arial" w:cs="Arial"/>
                <w:sz w:val="17"/>
                <w:szCs w:val="17"/>
              </w:rPr>
              <w:t xml:space="preserve"> 0.0032 mg ac/L</w:t>
            </w:r>
            <w:r w:rsidR="00AC372C" w:rsidRPr="00A70C86">
              <w:rPr>
                <w:rFonts w:ascii="Arial" w:hAnsi="Arial" w:cs="Arial"/>
                <w:sz w:val="17"/>
                <w:szCs w:val="17"/>
              </w:rPr>
              <w:br/>
            </w:r>
            <w:r w:rsidRPr="00A70C86">
              <w:rPr>
                <w:rFonts w:ascii="Arial" w:hAnsi="Arial" w:cs="Arial"/>
                <w:sz w:val="17"/>
                <w:szCs w:val="17"/>
              </w:rPr>
              <w:t>adj. EC</w:t>
            </w:r>
            <w:r w:rsidRPr="00A70C86">
              <w:rPr>
                <w:rFonts w:ascii="Arial" w:hAnsi="Arial" w:cs="Arial"/>
                <w:sz w:val="17"/>
                <w:szCs w:val="17"/>
                <w:vertAlign w:val="subscript"/>
              </w:rPr>
              <w:t>50</w:t>
            </w:r>
            <w:r w:rsidRPr="00A70C86">
              <w:rPr>
                <w:rFonts w:ascii="Arial" w:hAnsi="Arial" w:cs="Arial"/>
                <w:sz w:val="17"/>
                <w:szCs w:val="17"/>
              </w:rPr>
              <w:t xml:space="preserve"> 0.0059 mg ac/L</w:t>
            </w:r>
            <w:r w:rsidR="00AC372C" w:rsidRPr="00A70C86">
              <w:rPr>
                <w:rFonts w:ascii="Arial" w:hAnsi="Arial" w:cs="Arial"/>
                <w:sz w:val="17"/>
                <w:szCs w:val="17"/>
              </w:rPr>
              <w:br/>
            </w:r>
            <w:r w:rsidRPr="00A70C86">
              <w:rPr>
                <w:rFonts w:ascii="Arial" w:hAnsi="Arial" w:cs="Arial"/>
                <w:sz w:val="17"/>
                <w:szCs w:val="17"/>
              </w:rPr>
              <w:t>Magor &amp; Shillabeer 2001</w:t>
            </w:r>
          </w:p>
        </w:tc>
        <w:tc>
          <w:tcPr>
            <w:tcW w:w="1391" w:type="pct"/>
            <w:vMerge w:val="restart"/>
            <w:tcBorders>
              <w:top w:val="single" w:sz="4" w:space="0" w:color="auto"/>
              <w:left w:val="nil"/>
              <w:bottom w:val="nil"/>
              <w:right w:val="nil"/>
            </w:tcBorders>
          </w:tcPr>
          <w:p w14:paraId="2906D7DE" w14:textId="6DDC5FC1"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7/14d*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w:t>
            </w:r>
            <w:r w:rsidR="0079344F" w:rsidRPr="00A70C86">
              <w:rPr>
                <w:rFonts w:ascii="Arial" w:hAnsi="Arial" w:cs="Arial"/>
                <w:sz w:val="17"/>
                <w:szCs w:val="17"/>
              </w:rPr>
              <w:t>0.038</w:t>
            </w:r>
            <w:r w:rsidRPr="00A70C86">
              <w:rPr>
                <w:rFonts w:ascii="Arial" w:hAnsi="Arial" w:cs="Arial"/>
                <w:sz w:val="17"/>
                <w:szCs w:val="17"/>
              </w:rPr>
              <w:t xml:space="preserve">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w:t>
            </w:r>
            <w:r w:rsidR="0079344F" w:rsidRPr="00A70C86">
              <w:rPr>
                <w:rFonts w:ascii="Arial" w:hAnsi="Arial" w:cs="Arial"/>
                <w:sz w:val="17"/>
                <w:szCs w:val="17"/>
              </w:rPr>
              <w:t>0.061</w:t>
            </w:r>
            <w:r w:rsidRPr="00A70C86">
              <w:rPr>
                <w:rFonts w:ascii="Arial" w:hAnsi="Arial" w:cs="Arial"/>
                <w:sz w:val="17"/>
                <w:szCs w:val="17"/>
              </w:rPr>
              <w:t xml:space="preserve"> mg ac/L</w:t>
            </w:r>
            <w:r w:rsidR="00AC372C" w:rsidRPr="00A70C86">
              <w:rPr>
                <w:rFonts w:ascii="Arial" w:hAnsi="Arial" w:cs="Arial"/>
                <w:sz w:val="17"/>
                <w:szCs w:val="17"/>
              </w:rPr>
              <w:br/>
            </w:r>
            <w:r w:rsidRPr="00A70C86">
              <w:rPr>
                <w:rFonts w:ascii="Arial" w:hAnsi="Arial" w:cs="Arial"/>
                <w:sz w:val="17"/>
                <w:szCs w:val="17"/>
              </w:rPr>
              <w:t>Mohammad et</w:t>
            </w:r>
            <w:r w:rsidR="00143F5A" w:rsidRPr="00A70C86">
              <w:rPr>
                <w:rFonts w:ascii="Arial" w:hAnsi="Arial" w:cs="Arial"/>
                <w:sz w:val="17"/>
                <w:szCs w:val="17"/>
              </w:rPr>
              <w:t xml:space="preserve"> al,</w:t>
            </w:r>
            <w:r w:rsidRPr="00A70C86">
              <w:rPr>
                <w:rFonts w:ascii="Arial" w:hAnsi="Arial" w:cs="Arial"/>
                <w:sz w:val="17"/>
                <w:szCs w:val="17"/>
              </w:rPr>
              <w:t xml:space="preserve"> 2010</w:t>
            </w:r>
            <w:r w:rsidR="00AC372C" w:rsidRPr="00A70C86">
              <w:rPr>
                <w:rFonts w:ascii="Arial" w:hAnsi="Arial" w:cs="Arial"/>
                <w:sz w:val="17"/>
                <w:szCs w:val="17"/>
              </w:rPr>
              <w:br/>
            </w:r>
            <w:r w:rsidRPr="00A70C86">
              <w:rPr>
                <w:rFonts w:ascii="Arial" w:hAnsi="Arial" w:cs="Arial"/>
                <w:sz w:val="17"/>
                <w:szCs w:val="17"/>
              </w:rPr>
              <w:t>Smyth et</w:t>
            </w:r>
            <w:r w:rsidR="00143F5A" w:rsidRPr="00A70C86">
              <w:rPr>
                <w:rFonts w:ascii="Arial" w:hAnsi="Arial" w:cs="Arial"/>
                <w:sz w:val="17"/>
                <w:szCs w:val="17"/>
              </w:rPr>
              <w:t xml:space="preserve"> al,</w:t>
            </w:r>
            <w:r w:rsidRPr="00A70C86">
              <w:rPr>
                <w:rFonts w:ascii="Arial" w:hAnsi="Arial" w:cs="Arial"/>
                <w:sz w:val="17"/>
                <w:szCs w:val="17"/>
              </w:rPr>
              <w:t xml:space="preserve"> 1992e</w:t>
            </w:r>
          </w:p>
        </w:tc>
        <w:tc>
          <w:tcPr>
            <w:tcW w:w="946" w:type="pct"/>
            <w:tcBorders>
              <w:top w:val="single" w:sz="4" w:space="0" w:color="auto"/>
              <w:left w:val="nil"/>
              <w:bottom w:val="nil"/>
              <w:right w:val="nil"/>
            </w:tcBorders>
          </w:tcPr>
          <w:p w14:paraId="7D51DA64" w14:textId="3A5269D9"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EC</w:t>
            </w:r>
            <w:r w:rsidRPr="00A70C86">
              <w:rPr>
                <w:rFonts w:ascii="Arial" w:hAnsi="Arial" w:cs="Arial"/>
                <w:sz w:val="17"/>
                <w:szCs w:val="17"/>
                <w:vertAlign w:val="subscript"/>
              </w:rPr>
              <w:t>50</w:t>
            </w:r>
            <w:r w:rsidRPr="00A70C86">
              <w:rPr>
                <w:rFonts w:ascii="Arial" w:hAnsi="Arial" w:cs="Arial"/>
                <w:sz w:val="17"/>
                <w:szCs w:val="17"/>
              </w:rPr>
              <w:t xml:space="preserve"> </w:t>
            </w:r>
            <w:r w:rsidR="0079344F" w:rsidRPr="00A70C86">
              <w:rPr>
                <w:rFonts w:ascii="Arial" w:hAnsi="Arial" w:cs="Arial"/>
                <w:sz w:val="17"/>
                <w:szCs w:val="17"/>
              </w:rPr>
              <w:t>0.012</w:t>
            </w:r>
            <w:r w:rsidRPr="00A70C86">
              <w:rPr>
                <w:rFonts w:ascii="Arial" w:hAnsi="Arial" w:cs="Arial"/>
                <w:sz w:val="17"/>
                <w:szCs w:val="17"/>
              </w:rPr>
              <w:t xml:space="preserve"> mg acs/L</w:t>
            </w:r>
          </w:p>
        </w:tc>
      </w:tr>
      <w:tr w:rsidR="00017CE7" w:rsidRPr="00D63217" w14:paraId="776A357C" w14:textId="77777777" w:rsidTr="007D1EF1">
        <w:trPr>
          <w:cantSplit/>
        </w:trPr>
        <w:tc>
          <w:tcPr>
            <w:tcW w:w="638" w:type="pct"/>
            <w:tcBorders>
              <w:top w:val="nil"/>
              <w:left w:val="nil"/>
              <w:bottom w:val="nil"/>
              <w:right w:val="nil"/>
            </w:tcBorders>
          </w:tcPr>
          <w:p w14:paraId="15F81D00"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6A7D3F3F"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vMerge/>
            <w:tcBorders>
              <w:top w:val="nil"/>
              <w:left w:val="nil"/>
              <w:bottom w:val="single" w:sz="4" w:space="0" w:color="auto"/>
              <w:right w:val="nil"/>
            </w:tcBorders>
          </w:tcPr>
          <w:p w14:paraId="61F04135"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5902689E"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2566E4F4" w14:textId="5EC89B15"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89% + 11%</w:t>
            </w:r>
          </w:p>
        </w:tc>
      </w:tr>
      <w:tr w:rsidR="00017CE7" w:rsidRPr="00D63217" w14:paraId="47BE1F46" w14:textId="77777777" w:rsidTr="007D1EF1">
        <w:trPr>
          <w:cantSplit/>
        </w:trPr>
        <w:tc>
          <w:tcPr>
            <w:tcW w:w="638" w:type="pct"/>
            <w:tcBorders>
              <w:top w:val="nil"/>
              <w:left w:val="nil"/>
              <w:bottom w:val="nil"/>
              <w:right w:val="nil"/>
            </w:tcBorders>
          </w:tcPr>
          <w:p w14:paraId="4092D5E0"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single" w:sz="4" w:space="0" w:color="auto"/>
              <w:left w:val="nil"/>
              <w:bottom w:val="nil"/>
              <w:right w:val="nil"/>
            </w:tcBorders>
          </w:tcPr>
          <w:p w14:paraId="5C23C7B8"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i/>
                <w:iCs/>
                <w:sz w:val="17"/>
                <w:szCs w:val="17"/>
              </w:rPr>
              <w:t>Lemna minor</w:t>
            </w:r>
          </w:p>
        </w:tc>
        <w:tc>
          <w:tcPr>
            <w:tcW w:w="1317" w:type="pct"/>
            <w:tcBorders>
              <w:top w:val="single" w:sz="4" w:space="0" w:color="auto"/>
              <w:left w:val="nil"/>
              <w:bottom w:val="nil"/>
              <w:right w:val="nil"/>
            </w:tcBorders>
          </w:tcPr>
          <w:p w14:paraId="63B1B369" w14:textId="77777777" w:rsidR="00017CE7" w:rsidRPr="00A70C86" w:rsidRDefault="00017CE7" w:rsidP="007D1EF1">
            <w:pPr>
              <w:pStyle w:val="BodyText"/>
              <w:keepNext/>
              <w:keepLines/>
              <w:widowControl w:val="0"/>
              <w:spacing w:after="0"/>
              <w:rPr>
                <w:rFonts w:ascii="Arial" w:hAnsi="Arial" w:cs="Arial"/>
                <w:sz w:val="17"/>
                <w:szCs w:val="17"/>
              </w:rPr>
            </w:pPr>
            <w:r w:rsidRPr="00A70C86">
              <w:rPr>
                <w:rFonts w:ascii="Arial" w:hAnsi="Arial" w:cs="Arial"/>
                <w:sz w:val="17"/>
                <w:szCs w:val="17"/>
              </w:rPr>
              <w:t>No data</w:t>
            </w:r>
          </w:p>
        </w:tc>
        <w:tc>
          <w:tcPr>
            <w:tcW w:w="1391" w:type="pct"/>
            <w:vMerge w:val="restart"/>
            <w:tcBorders>
              <w:top w:val="single" w:sz="4" w:space="0" w:color="auto"/>
              <w:left w:val="nil"/>
              <w:bottom w:val="nil"/>
              <w:right w:val="nil"/>
            </w:tcBorders>
          </w:tcPr>
          <w:p w14:paraId="7D65AE75" w14:textId="610F5F1F"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meas. 7d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0.015 mg ac/L</w:t>
            </w:r>
            <w:r w:rsidR="00AC372C" w:rsidRPr="00A70C86">
              <w:rPr>
                <w:rFonts w:ascii="Arial" w:hAnsi="Arial" w:cs="Arial"/>
                <w:sz w:val="17"/>
                <w:szCs w:val="17"/>
              </w:rPr>
              <w:br/>
            </w:r>
            <w:r w:rsidRPr="00A70C86">
              <w:rPr>
                <w:rFonts w:ascii="Arial" w:hAnsi="Arial" w:cs="Arial"/>
                <w:sz w:val="17"/>
                <w:szCs w:val="17"/>
              </w:rPr>
              <w:t>adj. E</w:t>
            </w:r>
            <w:r w:rsidRPr="00A70C86">
              <w:rPr>
                <w:rFonts w:ascii="Arial" w:hAnsi="Arial" w:cs="Arial"/>
                <w:sz w:val="17"/>
                <w:szCs w:val="17"/>
                <w:vertAlign w:val="subscript"/>
              </w:rPr>
              <w:t>r</w:t>
            </w:r>
            <w:r w:rsidRPr="00A70C86">
              <w:rPr>
                <w:rFonts w:ascii="Arial" w:hAnsi="Arial" w:cs="Arial"/>
                <w:sz w:val="17"/>
                <w:szCs w:val="17"/>
              </w:rPr>
              <w:t>C</w:t>
            </w:r>
            <w:r w:rsidRPr="00A70C86">
              <w:rPr>
                <w:rFonts w:ascii="Arial" w:hAnsi="Arial" w:cs="Arial"/>
                <w:sz w:val="17"/>
                <w:szCs w:val="17"/>
                <w:vertAlign w:val="subscript"/>
              </w:rPr>
              <w:t>50</w:t>
            </w:r>
            <w:r w:rsidRPr="00A70C86">
              <w:rPr>
                <w:rFonts w:ascii="Arial" w:hAnsi="Arial" w:cs="Arial"/>
                <w:sz w:val="17"/>
                <w:szCs w:val="17"/>
              </w:rPr>
              <w:t xml:space="preserve"> 0.021 mg ac/L</w:t>
            </w:r>
            <w:r w:rsidR="00AC372C" w:rsidRPr="00A70C86">
              <w:rPr>
                <w:rFonts w:ascii="Arial" w:hAnsi="Arial" w:cs="Arial"/>
                <w:sz w:val="17"/>
                <w:szCs w:val="17"/>
              </w:rPr>
              <w:br/>
            </w:r>
            <w:r w:rsidRPr="00A70C86">
              <w:rPr>
                <w:rFonts w:ascii="Arial" w:hAnsi="Arial" w:cs="Arial"/>
                <w:sz w:val="17"/>
                <w:szCs w:val="17"/>
              </w:rPr>
              <w:t>Tagun &amp; Boxall 2018</w:t>
            </w:r>
          </w:p>
        </w:tc>
        <w:tc>
          <w:tcPr>
            <w:tcW w:w="946" w:type="pct"/>
            <w:tcBorders>
              <w:top w:val="single" w:sz="4" w:space="0" w:color="auto"/>
              <w:left w:val="nil"/>
              <w:bottom w:val="nil"/>
              <w:right w:val="nil"/>
            </w:tcBorders>
          </w:tcPr>
          <w:p w14:paraId="54F4A080" w14:textId="3D9B0457"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EC</w:t>
            </w:r>
            <w:r w:rsidRPr="00A70C86">
              <w:rPr>
                <w:rFonts w:ascii="Arial" w:hAnsi="Arial" w:cs="Arial"/>
                <w:sz w:val="17"/>
                <w:szCs w:val="17"/>
                <w:vertAlign w:val="subscript"/>
              </w:rPr>
              <w:t>50</w:t>
            </w:r>
            <w:r w:rsidRPr="00A70C86">
              <w:rPr>
                <w:rFonts w:ascii="Arial" w:hAnsi="Arial" w:cs="Arial"/>
                <w:sz w:val="17"/>
                <w:szCs w:val="17"/>
              </w:rPr>
              <w:t xml:space="preserve"> 0.0096 mg acs/L</w:t>
            </w:r>
          </w:p>
        </w:tc>
      </w:tr>
      <w:tr w:rsidR="00017CE7" w:rsidRPr="00D63217" w14:paraId="0B1679B9" w14:textId="77777777" w:rsidTr="007D1EF1">
        <w:trPr>
          <w:cantSplit/>
        </w:trPr>
        <w:tc>
          <w:tcPr>
            <w:tcW w:w="638" w:type="pct"/>
            <w:tcBorders>
              <w:top w:val="nil"/>
              <w:left w:val="nil"/>
              <w:bottom w:val="single" w:sz="4" w:space="0" w:color="auto"/>
              <w:right w:val="nil"/>
            </w:tcBorders>
          </w:tcPr>
          <w:p w14:paraId="63C292ED" w14:textId="77777777" w:rsidR="00017CE7" w:rsidRPr="00A70C86" w:rsidRDefault="00017CE7" w:rsidP="007D1EF1">
            <w:pPr>
              <w:pStyle w:val="BodyText"/>
              <w:widowControl w:val="0"/>
              <w:spacing w:after="0"/>
              <w:rPr>
                <w:rFonts w:ascii="Arial" w:hAnsi="Arial" w:cs="Arial"/>
                <w:sz w:val="17"/>
                <w:szCs w:val="17"/>
              </w:rPr>
            </w:pPr>
          </w:p>
        </w:tc>
        <w:tc>
          <w:tcPr>
            <w:tcW w:w="708" w:type="pct"/>
            <w:tcBorders>
              <w:top w:val="nil"/>
              <w:left w:val="nil"/>
              <w:bottom w:val="single" w:sz="4" w:space="0" w:color="auto"/>
              <w:right w:val="nil"/>
            </w:tcBorders>
          </w:tcPr>
          <w:p w14:paraId="3A8B676A" w14:textId="77777777" w:rsidR="00017CE7" w:rsidRPr="00A70C86" w:rsidRDefault="00017CE7" w:rsidP="007D1EF1">
            <w:pPr>
              <w:pStyle w:val="BodyText"/>
              <w:keepNext/>
              <w:keepLines/>
              <w:widowControl w:val="0"/>
              <w:spacing w:after="0"/>
              <w:rPr>
                <w:rFonts w:ascii="Arial" w:hAnsi="Arial" w:cs="Arial"/>
                <w:i/>
                <w:iCs/>
                <w:sz w:val="17"/>
                <w:szCs w:val="17"/>
              </w:rPr>
            </w:pPr>
          </w:p>
        </w:tc>
        <w:tc>
          <w:tcPr>
            <w:tcW w:w="1317" w:type="pct"/>
            <w:tcBorders>
              <w:top w:val="nil"/>
              <w:left w:val="nil"/>
              <w:bottom w:val="single" w:sz="4" w:space="0" w:color="auto"/>
              <w:right w:val="nil"/>
            </w:tcBorders>
          </w:tcPr>
          <w:p w14:paraId="110B14C5" w14:textId="77777777" w:rsidR="00017CE7" w:rsidRPr="00A70C86" w:rsidRDefault="00017CE7" w:rsidP="007D1EF1">
            <w:pPr>
              <w:pStyle w:val="BodyText"/>
              <w:keepNext/>
              <w:keepLines/>
              <w:widowControl w:val="0"/>
              <w:spacing w:after="0"/>
              <w:rPr>
                <w:rFonts w:ascii="Arial" w:hAnsi="Arial" w:cs="Arial"/>
                <w:sz w:val="17"/>
                <w:szCs w:val="17"/>
              </w:rPr>
            </w:pPr>
          </w:p>
        </w:tc>
        <w:tc>
          <w:tcPr>
            <w:tcW w:w="1391" w:type="pct"/>
            <w:vMerge/>
            <w:tcBorders>
              <w:top w:val="nil"/>
              <w:left w:val="nil"/>
              <w:bottom w:val="single" w:sz="4" w:space="0" w:color="auto"/>
              <w:right w:val="nil"/>
            </w:tcBorders>
          </w:tcPr>
          <w:p w14:paraId="71287313" w14:textId="77777777" w:rsidR="00017CE7" w:rsidRPr="00A70C86" w:rsidRDefault="00017CE7" w:rsidP="007D1EF1">
            <w:pPr>
              <w:pStyle w:val="BodyText"/>
              <w:widowControl w:val="0"/>
              <w:spacing w:after="0"/>
              <w:rPr>
                <w:rFonts w:ascii="Arial" w:hAnsi="Arial" w:cs="Arial"/>
                <w:sz w:val="17"/>
                <w:szCs w:val="17"/>
              </w:rPr>
            </w:pPr>
          </w:p>
        </w:tc>
        <w:tc>
          <w:tcPr>
            <w:tcW w:w="946" w:type="pct"/>
            <w:tcBorders>
              <w:top w:val="nil"/>
              <w:left w:val="nil"/>
              <w:bottom w:val="single" w:sz="4" w:space="0" w:color="auto"/>
              <w:right w:val="nil"/>
            </w:tcBorders>
          </w:tcPr>
          <w:p w14:paraId="4A8FD621" w14:textId="0944D73C"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75% + 25%</w:t>
            </w:r>
          </w:p>
        </w:tc>
      </w:tr>
      <w:tr w:rsidR="00017CE7" w:rsidRPr="00D63217" w14:paraId="6DF0314B" w14:textId="77777777" w:rsidTr="007D1EF1">
        <w:trPr>
          <w:cantSplit/>
        </w:trPr>
        <w:tc>
          <w:tcPr>
            <w:tcW w:w="1346" w:type="pct"/>
            <w:gridSpan w:val="2"/>
            <w:tcBorders>
              <w:top w:val="single" w:sz="4" w:space="0" w:color="auto"/>
              <w:left w:val="nil"/>
              <w:bottom w:val="single" w:sz="4" w:space="0" w:color="auto"/>
              <w:right w:val="nil"/>
            </w:tcBorders>
          </w:tcPr>
          <w:p w14:paraId="7848577D" w14:textId="77777777" w:rsidR="00017CE7" w:rsidRPr="00A70C86" w:rsidRDefault="00017CE7" w:rsidP="007D1EF1">
            <w:pPr>
              <w:pStyle w:val="BodyText"/>
              <w:keepNext/>
              <w:keepLines/>
              <w:widowControl w:val="0"/>
              <w:spacing w:after="0"/>
              <w:rPr>
                <w:rFonts w:ascii="Arial" w:hAnsi="Arial" w:cs="Arial"/>
                <w:i/>
                <w:iCs/>
                <w:sz w:val="17"/>
                <w:szCs w:val="17"/>
              </w:rPr>
            </w:pPr>
            <w:r w:rsidRPr="00A70C86">
              <w:rPr>
                <w:rFonts w:ascii="Arial" w:hAnsi="Arial" w:cs="Arial"/>
                <w:sz w:val="17"/>
                <w:szCs w:val="17"/>
              </w:rPr>
              <w:lastRenderedPageBreak/>
              <w:t>Primary producers</w:t>
            </w:r>
          </w:p>
        </w:tc>
        <w:tc>
          <w:tcPr>
            <w:tcW w:w="3654" w:type="pct"/>
            <w:gridSpan w:val="3"/>
            <w:tcBorders>
              <w:top w:val="single" w:sz="4" w:space="0" w:color="auto"/>
              <w:left w:val="nil"/>
              <w:bottom w:val="single" w:sz="4" w:space="0" w:color="auto"/>
              <w:right w:val="nil"/>
            </w:tcBorders>
          </w:tcPr>
          <w:p w14:paraId="0A5159D7" w14:textId="06B371B1" w:rsidR="00017CE7" w:rsidRPr="00A70C86" w:rsidRDefault="00017CE7" w:rsidP="007D1EF1">
            <w:pPr>
              <w:pStyle w:val="BodyText"/>
              <w:widowControl w:val="0"/>
              <w:spacing w:after="0"/>
              <w:jc w:val="right"/>
              <w:rPr>
                <w:rFonts w:ascii="Arial" w:hAnsi="Arial" w:cs="Arial"/>
                <w:sz w:val="17"/>
                <w:szCs w:val="17"/>
              </w:rPr>
            </w:pPr>
            <w:r w:rsidRPr="00A70C86">
              <w:rPr>
                <w:rFonts w:ascii="Arial" w:hAnsi="Arial" w:cs="Arial"/>
                <w:sz w:val="17"/>
                <w:szCs w:val="17"/>
              </w:rPr>
              <w:t>Geomean EC</w:t>
            </w:r>
            <w:r w:rsidRPr="00A70C86">
              <w:rPr>
                <w:rFonts w:ascii="Arial" w:hAnsi="Arial" w:cs="Arial"/>
                <w:sz w:val="17"/>
                <w:szCs w:val="17"/>
                <w:vertAlign w:val="subscript"/>
              </w:rPr>
              <w:t>50</w:t>
            </w:r>
            <w:r w:rsidRPr="00A70C86">
              <w:rPr>
                <w:rFonts w:ascii="Arial" w:hAnsi="Arial" w:cs="Arial"/>
                <w:sz w:val="17"/>
                <w:szCs w:val="17"/>
              </w:rPr>
              <w:t xml:space="preserve"> </w:t>
            </w:r>
            <w:r w:rsidR="0079344F" w:rsidRPr="00A70C86">
              <w:rPr>
                <w:rFonts w:ascii="Arial" w:hAnsi="Arial" w:cs="Arial"/>
                <w:sz w:val="17"/>
                <w:szCs w:val="17"/>
              </w:rPr>
              <w:t>0.010</w:t>
            </w:r>
            <w:r w:rsidRPr="00A70C86">
              <w:rPr>
                <w:rFonts w:ascii="Arial" w:hAnsi="Arial" w:cs="Arial"/>
                <w:sz w:val="17"/>
                <w:szCs w:val="17"/>
              </w:rPr>
              <w:t xml:space="preserve"> mg acs/L (5 species, excl. </w:t>
            </w:r>
            <w:r w:rsidRPr="00A70C86">
              <w:rPr>
                <w:rFonts w:ascii="Arial" w:hAnsi="Arial" w:cs="Arial"/>
                <w:i/>
                <w:iCs/>
                <w:sz w:val="17"/>
                <w:szCs w:val="17"/>
              </w:rPr>
              <w:t>S.costatum</w:t>
            </w:r>
            <w:r w:rsidRPr="00A70C86">
              <w:rPr>
                <w:rFonts w:ascii="Arial" w:hAnsi="Arial" w:cs="Arial"/>
                <w:sz w:val="17"/>
                <w:szCs w:val="17"/>
              </w:rPr>
              <w:t>)</w:t>
            </w:r>
          </w:p>
        </w:tc>
      </w:tr>
    </w:tbl>
    <w:p w14:paraId="32A0002F" w14:textId="2D1D4E32" w:rsidR="00017CE7" w:rsidRPr="00D63217" w:rsidRDefault="00017CE7" w:rsidP="00A70C86">
      <w:pPr>
        <w:pStyle w:val="SourceTableNote"/>
      </w:pPr>
      <w:r w:rsidRPr="00D63217">
        <w:t>*7d E</w:t>
      </w:r>
      <w:r w:rsidRPr="00D63217">
        <w:rPr>
          <w:vertAlign w:val="subscript"/>
        </w:rPr>
        <w:t>r</w:t>
      </w:r>
      <w:r w:rsidRPr="00D63217">
        <w:t>C</w:t>
      </w:r>
      <w:r w:rsidRPr="00D63217">
        <w:rPr>
          <w:vertAlign w:val="subscript"/>
        </w:rPr>
        <w:t>50</w:t>
      </w:r>
      <w:r w:rsidRPr="00D63217">
        <w:t xml:space="preserve"> 0.031 and </w:t>
      </w:r>
      <w:r w:rsidRPr="00055B6B">
        <w:t>14d E</w:t>
      </w:r>
      <w:r w:rsidRPr="00055B6B">
        <w:rPr>
          <w:vertAlign w:val="subscript"/>
        </w:rPr>
        <w:t>r</w:t>
      </w:r>
      <w:r w:rsidRPr="00055B6B">
        <w:t>C</w:t>
      </w:r>
      <w:r w:rsidRPr="00055B6B">
        <w:rPr>
          <w:vertAlign w:val="subscript"/>
        </w:rPr>
        <w:t>50</w:t>
      </w:r>
      <w:r w:rsidRPr="00055B6B">
        <w:t xml:space="preserve"> 0.</w:t>
      </w:r>
      <w:r w:rsidR="00107E54" w:rsidRPr="00055B6B">
        <w:t xml:space="preserve">047 </w:t>
      </w:r>
      <w:r w:rsidRPr="00055B6B">
        <w:t>mg ac/L</w:t>
      </w:r>
    </w:p>
    <w:p w14:paraId="3F33E151" w14:textId="29EF4D5A" w:rsidR="00017CE7" w:rsidRPr="00A70C86" w:rsidRDefault="0022632D" w:rsidP="00A70C86">
      <w:pPr>
        <w:pStyle w:val="Caption"/>
      </w:pPr>
      <w:bookmarkStart w:id="692" w:name="_Toc230692336"/>
      <w:bookmarkStart w:id="693" w:name="_Toc233036557"/>
      <w:r w:rsidRPr="00A70C86">
        <w:t xml:space="preserve">Table </w:t>
      </w:r>
      <w:fldSimple w:instr=" SEQ Table \* ARABIC ">
        <w:r w:rsidR="00A70C86">
          <w:rPr>
            <w:noProof/>
          </w:rPr>
          <w:t>70</w:t>
        </w:r>
      </w:fldSimple>
      <w:r w:rsidR="00017CE7" w:rsidRPr="00A70C86">
        <w:t>:</w:t>
      </w:r>
      <w:r w:rsidRPr="00A70C86">
        <w:t xml:space="preserve"> </w:t>
      </w:r>
      <w:r w:rsidR="00017CE7" w:rsidRPr="00A70C86">
        <w:t>Diquat/paraquat combination products: short-term effects on bees</w:t>
      </w:r>
      <w:bookmarkEnd w:id="692"/>
      <w:bookmarkEnd w:id="693"/>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86"/>
        <w:gridCol w:w="1487"/>
        <w:gridCol w:w="2072"/>
        <w:gridCol w:w="2304"/>
        <w:gridCol w:w="2241"/>
      </w:tblGrid>
      <w:tr w:rsidR="00017CE7" w:rsidRPr="00D63217" w14:paraId="53907BAF" w14:textId="77777777" w:rsidTr="00C07F2C">
        <w:trPr>
          <w:cantSplit/>
          <w:tblHeader/>
        </w:trPr>
        <w:tc>
          <w:tcPr>
            <w:tcW w:w="0" w:type="auto"/>
            <w:tcBorders>
              <w:bottom w:val="single" w:sz="4" w:space="0" w:color="auto"/>
            </w:tcBorders>
            <w:shd w:val="clear" w:color="auto" w:fill="5C2946"/>
          </w:tcPr>
          <w:p w14:paraId="4457BCE3" w14:textId="77777777" w:rsidR="00017CE7" w:rsidRPr="00D63217" w:rsidRDefault="00017CE7" w:rsidP="00AC372C">
            <w:pPr>
              <w:pStyle w:val="TableHead"/>
            </w:pPr>
            <w:r w:rsidRPr="00D63217">
              <w:t>Group</w:t>
            </w:r>
          </w:p>
        </w:tc>
        <w:tc>
          <w:tcPr>
            <w:tcW w:w="0" w:type="auto"/>
            <w:tcBorders>
              <w:bottom w:val="single" w:sz="4" w:space="0" w:color="auto"/>
            </w:tcBorders>
            <w:shd w:val="clear" w:color="auto" w:fill="5C2946"/>
          </w:tcPr>
          <w:p w14:paraId="74F62FD8" w14:textId="77777777" w:rsidR="00017CE7" w:rsidRPr="00D63217" w:rsidRDefault="00017CE7" w:rsidP="00AC372C">
            <w:pPr>
              <w:pStyle w:val="TableHead"/>
            </w:pPr>
            <w:r w:rsidRPr="00D63217">
              <w:t>Species</w:t>
            </w:r>
          </w:p>
        </w:tc>
        <w:tc>
          <w:tcPr>
            <w:tcW w:w="0" w:type="auto"/>
            <w:tcBorders>
              <w:bottom w:val="single" w:sz="4" w:space="0" w:color="auto"/>
            </w:tcBorders>
            <w:shd w:val="clear" w:color="auto" w:fill="5C2946"/>
          </w:tcPr>
          <w:p w14:paraId="23967A71" w14:textId="77777777" w:rsidR="00017CE7" w:rsidRPr="00D63217" w:rsidRDefault="00017CE7" w:rsidP="00AC372C">
            <w:pPr>
              <w:pStyle w:val="TableHead"/>
            </w:pPr>
            <w:r w:rsidRPr="00D63217">
              <w:t>0.46 diquat</w:t>
            </w:r>
            <w:r w:rsidRPr="00D63217">
              <w:rPr>
                <w:rStyle w:val="FootnoteReference"/>
                <w:b/>
                <w:sz w:val="17"/>
                <w:szCs w:val="17"/>
              </w:rPr>
              <w:footnoteReference w:id="52"/>
            </w:r>
          </w:p>
        </w:tc>
        <w:tc>
          <w:tcPr>
            <w:tcW w:w="0" w:type="auto"/>
            <w:tcBorders>
              <w:bottom w:val="single" w:sz="4" w:space="0" w:color="auto"/>
            </w:tcBorders>
            <w:shd w:val="clear" w:color="auto" w:fill="5C2946"/>
          </w:tcPr>
          <w:p w14:paraId="5EE3F606" w14:textId="77777777" w:rsidR="00017CE7" w:rsidRPr="00D63217" w:rsidRDefault="00017CE7" w:rsidP="00AC372C">
            <w:pPr>
              <w:pStyle w:val="TableHead"/>
            </w:pPr>
            <w:r w:rsidRPr="00D63217">
              <w:t>0.54 paraquat</w:t>
            </w:r>
            <w:r w:rsidRPr="00D63217">
              <w:rPr>
                <w:rStyle w:val="FootnoteReference"/>
                <w:b/>
                <w:sz w:val="17"/>
                <w:szCs w:val="17"/>
              </w:rPr>
              <w:footnoteReference w:id="53"/>
            </w:r>
          </w:p>
        </w:tc>
        <w:tc>
          <w:tcPr>
            <w:tcW w:w="0" w:type="auto"/>
            <w:tcBorders>
              <w:bottom w:val="single" w:sz="4" w:space="0" w:color="auto"/>
            </w:tcBorders>
            <w:shd w:val="clear" w:color="auto" w:fill="5C2946"/>
          </w:tcPr>
          <w:p w14:paraId="6A622E20" w14:textId="77777777" w:rsidR="00017CE7" w:rsidRPr="00D63217" w:rsidRDefault="00017CE7" w:rsidP="00AC372C">
            <w:pPr>
              <w:pStyle w:val="TableHead"/>
            </w:pPr>
            <w:r w:rsidRPr="00D63217">
              <w:t>1.00 combination</w:t>
            </w:r>
            <w:r w:rsidRPr="00D63217">
              <w:rPr>
                <w:rStyle w:val="FootnoteReference"/>
                <w:b/>
                <w:sz w:val="17"/>
                <w:szCs w:val="17"/>
              </w:rPr>
              <w:footnoteReference w:id="54"/>
            </w:r>
          </w:p>
        </w:tc>
      </w:tr>
      <w:tr w:rsidR="00017CE7" w:rsidRPr="00D63217" w14:paraId="73781A34" w14:textId="77777777" w:rsidTr="007D1EF1">
        <w:trPr>
          <w:cantSplit/>
        </w:trPr>
        <w:tc>
          <w:tcPr>
            <w:tcW w:w="0" w:type="auto"/>
            <w:tcBorders>
              <w:top w:val="single" w:sz="4" w:space="0" w:color="auto"/>
              <w:left w:val="nil"/>
              <w:bottom w:val="nil"/>
              <w:right w:val="nil"/>
            </w:tcBorders>
          </w:tcPr>
          <w:p w14:paraId="68E5BE4A"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Bees (contact)</w:t>
            </w:r>
          </w:p>
        </w:tc>
        <w:tc>
          <w:tcPr>
            <w:tcW w:w="0" w:type="auto"/>
            <w:tcBorders>
              <w:top w:val="single" w:sz="4" w:space="0" w:color="auto"/>
              <w:left w:val="nil"/>
              <w:bottom w:val="nil"/>
              <w:right w:val="nil"/>
            </w:tcBorders>
          </w:tcPr>
          <w:p w14:paraId="50C2154B"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i/>
                <w:iCs/>
                <w:sz w:val="17"/>
                <w:szCs w:val="17"/>
              </w:rPr>
              <w:t>Apis mellifera</w:t>
            </w:r>
          </w:p>
        </w:tc>
        <w:tc>
          <w:tcPr>
            <w:tcW w:w="0" w:type="auto"/>
            <w:tcBorders>
              <w:top w:val="single" w:sz="4" w:space="0" w:color="auto"/>
              <w:left w:val="nil"/>
              <w:bottom w:val="nil"/>
              <w:right w:val="nil"/>
            </w:tcBorders>
          </w:tcPr>
          <w:p w14:paraId="62859C84" w14:textId="6627BA56"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105 µg ac/bee</w:t>
            </w:r>
            <w:r w:rsidR="00AC372C" w:rsidRPr="00A70C86">
              <w:rPr>
                <w:rFonts w:ascii="Arial" w:hAnsi="Arial" w:cs="Arial"/>
                <w:sz w:val="17"/>
                <w:szCs w:val="17"/>
              </w:rPr>
              <w:br/>
            </w:r>
            <w:r w:rsidRPr="00A70C86">
              <w:rPr>
                <w:rFonts w:ascii="Arial" w:hAnsi="Arial" w:cs="Arial"/>
                <w:sz w:val="17"/>
                <w:szCs w:val="17"/>
              </w:rPr>
              <w:t>Gough et</w:t>
            </w:r>
            <w:r w:rsidR="00143F5A" w:rsidRPr="00A70C86">
              <w:rPr>
                <w:rFonts w:ascii="Arial" w:hAnsi="Arial" w:cs="Arial"/>
                <w:sz w:val="17"/>
                <w:szCs w:val="17"/>
              </w:rPr>
              <w:t xml:space="preserve"> al,</w:t>
            </w:r>
            <w:r w:rsidRPr="00A70C86">
              <w:rPr>
                <w:rFonts w:ascii="Arial" w:hAnsi="Arial" w:cs="Arial"/>
                <w:sz w:val="17"/>
                <w:szCs w:val="17"/>
              </w:rPr>
              <w:t xml:space="preserve"> 1987</w:t>
            </w:r>
          </w:p>
        </w:tc>
        <w:tc>
          <w:tcPr>
            <w:tcW w:w="0" w:type="auto"/>
            <w:vMerge w:val="restart"/>
            <w:tcBorders>
              <w:top w:val="single" w:sz="4" w:space="0" w:color="auto"/>
              <w:left w:val="nil"/>
              <w:right w:val="nil"/>
            </w:tcBorders>
          </w:tcPr>
          <w:p w14:paraId="34EA6949" w14:textId="346C9E6D"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16 µg ac/bee</w:t>
            </w:r>
            <w:r w:rsidR="00AC372C" w:rsidRPr="00A70C86">
              <w:rPr>
                <w:rFonts w:ascii="Arial" w:hAnsi="Arial" w:cs="Arial"/>
                <w:sz w:val="17"/>
                <w:szCs w:val="17"/>
              </w:rPr>
              <w:br/>
            </w:r>
            <w:r w:rsidRPr="00A70C86">
              <w:rPr>
                <w:rFonts w:ascii="Arial" w:hAnsi="Arial" w:cs="Arial"/>
                <w:sz w:val="17"/>
                <w:szCs w:val="17"/>
              </w:rPr>
              <w:t>Bull &amp; Wilkinson 1987</w:t>
            </w:r>
          </w:p>
        </w:tc>
        <w:tc>
          <w:tcPr>
            <w:tcW w:w="0" w:type="auto"/>
            <w:tcBorders>
              <w:top w:val="single" w:sz="4" w:space="0" w:color="auto"/>
              <w:left w:val="nil"/>
              <w:bottom w:val="nil"/>
              <w:right w:val="nil"/>
            </w:tcBorders>
          </w:tcPr>
          <w:p w14:paraId="6A69AF54" w14:textId="3EC01423"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26 µg acs/bee</w:t>
            </w:r>
          </w:p>
        </w:tc>
      </w:tr>
      <w:tr w:rsidR="00017CE7" w:rsidRPr="00D63217" w14:paraId="5264D153" w14:textId="77777777" w:rsidTr="007D1EF1">
        <w:trPr>
          <w:cantSplit/>
        </w:trPr>
        <w:tc>
          <w:tcPr>
            <w:tcW w:w="0" w:type="auto"/>
            <w:tcBorders>
              <w:top w:val="nil"/>
              <w:left w:val="nil"/>
              <w:bottom w:val="nil"/>
              <w:right w:val="nil"/>
            </w:tcBorders>
          </w:tcPr>
          <w:p w14:paraId="61924449"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nil"/>
              <w:right w:val="nil"/>
            </w:tcBorders>
          </w:tcPr>
          <w:p w14:paraId="4352870D"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nil"/>
              <w:right w:val="nil"/>
            </w:tcBorders>
          </w:tcPr>
          <w:p w14:paraId="5013D217" w14:textId="77777777" w:rsidR="00017CE7" w:rsidRPr="00A70C86" w:rsidRDefault="00017CE7" w:rsidP="007D1EF1">
            <w:pPr>
              <w:pStyle w:val="BodyText"/>
              <w:widowControl w:val="0"/>
              <w:spacing w:after="0"/>
              <w:rPr>
                <w:rFonts w:ascii="Arial" w:hAnsi="Arial" w:cs="Arial"/>
                <w:sz w:val="17"/>
                <w:szCs w:val="17"/>
              </w:rPr>
            </w:pPr>
          </w:p>
        </w:tc>
        <w:tc>
          <w:tcPr>
            <w:tcW w:w="0" w:type="auto"/>
            <w:vMerge/>
            <w:tcBorders>
              <w:left w:val="nil"/>
              <w:bottom w:val="nil"/>
              <w:right w:val="nil"/>
            </w:tcBorders>
          </w:tcPr>
          <w:p w14:paraId="236FAA6D"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nil"/>
              <w:right w:val="nil"/>
            </w:tcBorders>
          </w:tcPr>
          <w:p w14:paraId="61E6129C" w14:textId="1731088B" w:rsidR="00017CE7" w:rsidRPr="00A70C86" w:rsidRDefault="00017CE7" w:rsidP="00AC372C">
            <w:pPr>
              <w:pStyle w:val="BodyText"/>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11% + 89%</w:t>
            </w:r>
          </w:p>
        </w:tc>
      </w:tr>
      <w:tr w:rsidR="00017CE7" w:rsidRPr="00D63217" w14:paraId="7FBDCA44" w14:textId="77777777" w:rsidTr="007D1EF1">
        <w:trPr>
          <w:cantSplit/>
        </w:trPr>
        <w:tc>
          <w:tcPr>
            <w:tcW w:w="0" w:type="auto"/>
            <w:tcBorders>
              <w:top w:val="single" w:sz="4" w:space="0" w:color="auto"/>
              <w:left w:val="nil"/>
              <w:bottom w:val="nil"/>
              <w:right w:val="nil"/>
            </w:tcBorders>
          </w:tcPr>
          <w:p w14:paraId="00BF3127" w14:textId="77777777" w:rsidR="00017CE7" w:rsidRPr="00A70C86" w:rsidRDefault="00017CE7" w:rsidP="008761AA">
            <w:pPr>
              <w:pStyle w:val="BodyText"/>
              <w:keepNext/>
              <w:keepLines/>
              <w:widowControl w:val="0"/>
              <w:spacing w:after="0"/>
              <w:rPr>
                <w:rFonts w:ascii="Arial" w:hAnsi="Arial" w:cs="Arial"/>
                <w:sz w:val="17"/>
                <w:szCs w:val="17"/>
              </w:rPr>
            </w:pPr>
            <w:r w:rsidRPr="00A70C86">
              <w:rPr>
                <w:rFonts w:ascii="Arial" w:hAnsi="Arial" w:cs="Arial"/>
                <w:sz w:val="17"/>
                <w:szCs w:val="17"/>
              </w:rPr>
              <w:t>Bees (oral)</w:t>
            </w:r>
          </w:p>
        </w:tc>
        <w:tc>
          <w:tcPr>
            <w:tcW w:w="0" w:type="auto"/>
            <w:tcBorders>
              <w:top w:val="single" w:sz="4" w:space="0" w:color="auto"/>
              <w:left w:val="nil"/>
              <w:bottom w:val="nil"/>
              <w:right w:val="nil"/>
            </w:tcBorders>
          </w:tcPr>
          <w:p w14:paraId="41CD4A08" w14:textId="77777777" w:rsidR="00017CE7" w:rsidRPr="00A70C86" w:rsidRDefault="00017CE7" w:rsidP="008761AA">
            <w:pPr>
              <w:pStyle w:val="BodyText"/>
              <w:keepNext/>
              <w:keepLines/>
              <w:widowControl w:val="0"/>
              <w:spacing w:after="0"/>
              <w:rPr>
                <w:rFonts w:ascii="Arial" w:hAnsi="Arial" w:cs="Arial"/>
                <w:i/>
                <w:iCs/>
                <w:sz w:val="17"/>
                <w:szCs w:val="17"/>
              </w:rPr>
            </w:pPr>
            <w:r w:rsidRPr="00A70C86">
              <w:rPr>
                <w:rFonts w:ascii="Arial" w:hAnsi="Arial" w:cs="Arial"/>
                <w:i/>
                <w:iCs/>
                <w:sz w:val="17"/>
                <w:szCs w:val="17"/>
              </w:rPr>
              <w:t>Apis mellifera</w:t>
            </w:r>
          </w:p>
        </w:tc>
        <w:tc>
          <w:tcPr>
            <w:tcW w:w="0" w:type="auto"/>
            <w:tcBorders>
              <w:top w:val="single" w:sz="4" w:space="0" w:color="auto"/>
              <w:left w:val="nil"/>
              <w:bottom w:val="nil"/>
              <w:right w:val="nil"/>
            </w:tcBorders>
          </w:tcPr>
          <w:p w14:paraId="76F95A35" w14:textId="43DE6C0C"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22 µg ac/bee</w:t>
            </w:r>
            <w:r w:rsidR="00AC372C" w:rsidRPr="00A70C86">
              <w:rPr>
                <w:rFonts w:ascii="Arial" w:hAnsi="Arial" w:cs="Arial"/>
                <w:sz w:val="17"/>
                <w:szCs w:val="17"/>
              </w:rPr>
              <w:br/>
            </w:r>
            <w:r w:rsidRPr="00A70C86">
              <w:rPr>
                <w:rFonts w:ascii="Arial" w:hAnsi="Arial" w:cs="Arial"/>
                <w:sz w:val="17"/>
                <w:szCs w:val="17"/>
              </w:rPr>
              <w:t>Gough et</w:t>
            </w:r>
            <w:r w:rsidR="00143F5A" w:rsidRPr="00A70C86">
              <w:rPr>
                <w:rFonts w:ascii="Arial" w:hAnsi="Arial" w:cs="Arial"/>
                <w:sz w:val="17"/>
                <w:szCs w:val="17"/>
              </w:rPr>
              <w:t xml:space="preserve"> al,</w:t>
            </w:r>
            <w:r w:rsidRPr="00A70C86">
              <w:rPr>
                <w:rFonts w:ascii="Arial" w:hAnsi="Arial" w:cs="Arial"/>
                <w:sz w:val="17"/>
                <w:szCs w:val="17"/>
              </w:rPr>
              <w:t xml:space="preserve"> 1987</w:t>
            </w:r>
          </w:p>
        </w:tc>
        <w:tc>
          <w:tcPr>
            <w:tcW w:w="0" w:type="auto"/>
            <w:vMerge w:val="restart"/>
            <w:tcBorders>
              <w:top w:val="single" w:sz="4" w:space="0" w:color="auto"/>
              <w:left w:val="nil"/>
              <w:bottom w:val="nil"/>
              <w:right w:val="nil"/>
            </w:tcBorders>
          </w:tcPr>
          <w:p w14:paraId="32582CAB" w14:textId="0AAFCA35"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13 µg ac/bee</w:t>
            </w:r>
            <w:r w:rsidR="00AC372C" w:rsidRPr="00A70C86">
              <w:rPr>
                <w:rFonts w:ascii="Arial" w:hAnsi="Arial" w:cs="Arial"/>
                <w:sz w:val="17"/>
                <w:szCs w:val="17"/>
              </w:rPr>
              <w:br/>
            </w:r>
            <w:r w:rsidRPr="00A70C86">
              <w:rPr>
                <w:rFonts w:ascii="Arial" w:hAnsi="Arial" w:cs="Arial"/>
                <w:sz w:val="17"/>
                <w:szCs w:val="17"/>
              </w:rPr>
              <w:t>Bull &amp; Wilkinson 1987</w:t>
            </w:r>
          </w:p>
        </w:tc>
        <w:tc>
          <w:tcPr>
            <w:tcW w:w="0" w:type="auto"/>
            <w:tcBorders>
              <w:top w:val="single" w:sz="4" w:space="0" w:color="auto"/>
              <w:left w:val="nil"/>
              <w:bottom w:val="nil"/>
              <w:right w:val="nil"/>
            </w:tcBorders>
          </w:tcPr>
          <w:p w14:paraId="2184D3CB" w14:textId="72746F7D"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Predicted:</w:t>
            </w:r>
            <w:r w:rsidR="00AC372C" w:rsidRPr="00A70C86">
              <w:rPr>
                <w:rFonts w:ascii="Arial" w:hAnsi="Arial" w:cs="Arial"/>
                <w:sz w:val="17"/>
                <w:szCs w:val="17"/>
              </w:rPr>
              <w:br/>
            </w:r>
            <w:r w:rsidRPr="00A70C86">
              <w:rPr>
                <w:rFonts w:ascii="Arial" w:hAnsi="Arial" w:cs="Arial"/>
                <w:sz w:val="17"/>
                <w:szCs w:val="17"/>
              </w:rPr>
              <w:t>LD</w:t>
            </w:r>
            <w:r w:rsidRPr="00A70C86">
              <w:rPr>
                <w:rFonts w:ascii="Arial" w:hAnsi="Arial" w:cs="Arial"/>
                <w:sz w:val="17"/>
                <w:szCs w:val="17"/>
                <w:vertAlign w:val="subscript"/>
              </w:rPr>
              <w:t>50</w:t>
            </w:r>
            <w:r w:rsidRPr="00A70C86">
              <w:rPr>
                <w:rFonts w:ascii="Arial" w:hAnsi="Arial" w:cs="Arial"/>
                <w:sz w:val="17"/>
                <w:szCs w:val="17"/>
              </w:rPr>
              <w:t xml:space="preserve"> 16 µg acs/bee</w:t>
            </w:r>
          </w:p>
        </w:tc>
      </w:tr>
      <w:tr w:rsidR="00017CE7" w:rsidRPr="00D63217" w14:paraId="5F90CA33" w14:textId="77777777" w:rsidTr="007D1EF1">
        <w:trPr>
          <w:cantSplit/>
        </w:trPr>
        <w:tc>
          <w:tcPr>
            <w:tcW w:w="0" w:type="auto"/>
            <w:tcBorders>
              <w:top w:val="nil"/>
              <w:left w:val="nil"/>
              <w:bottom w:val="single" w:sz="4" w:space="0" w:color="auto"/>
              <w:right w:val="nil"/>
            </w:tcBorders>
          </w:tcPr>
          <w:p w14:paraId="2F058366" w14:textId="77777777" w:rsidR="00017CE7" w:rsidRPr="00A70C86" w:rsidRDefault="00017CE7" w:rsidP="008761AA">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018E9ABA" w14:textId="77777777" w:rsidR="00017CE7" w:rsidRPr="00A70C86" w:rsidRDefault="00017CE7" w:rsidP="008761AA">
            <w:pPr>
              <w:pStyle w:val="BodyText"/>
              <w:keepNext/>
              <w:keepLines/>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56D28DA9" w14:textId="77777777" w:rsidR="00017CE7" w:rsidRPr="00A70C86" w:rsidRDefault="00017CE7" w:rsidP="008761AA">
            <w:pPr>
              <w:pStyle w:val="BodyText"/>
              <w:keepNext/>
              <w:keepLines/>
              <w:widowControl w:val="0"/>
              <w:spacing w:after="0"/>
              <w:rPr>
                <w:rFonts w:ascii="Arial" w:hAnsi="Arial" w:cs="Arial"/>
                <w:sz w:val="17"/>
                <w:szCs w:val="17"/>
              </w:rPr>
            </w:pPr>
          </w:p>
        </w:tc>
        <w:tc>
          <w:tcPr>
            <w:tcW w:w="0" w:type="auto"/>
            <w:vMerge/>
            <w:tcBorders>
              <w:top w:val="nil"/>
              <w:left w:val="nil"/>
              <w:bottom w:val="single" w:sz="4" w:space="0" w:color="auto"/>
              <w:right w:val="nil"/>
            </w:tcBorders>
          </w:tcPr>
          <w:p w14:paraId="66918028" w14:textId="77777777" w:rsidR="00017CE7" w:rsidRPr="00A70C86" w:rsidRDefault="00017CE7" w:rsidP="008761AA">
            <w:pPr>
              <w:pStyle w:val="BodyText"/>
              <w:keepNext/>
              <w:keepLines/>
              <w:widowControl w:val="0"/>
              <w:spacing w:after="0"/>
              <w:rPr>
                <w:rFonts w:ascii="Arial" w:hAnsi="Arial" w:cs="Arial"/>
                <w:sz w:val="17"/>
                <w:szCs w:val="17"/>
              </w:rPr>
            </w:pPr>
          </w:p>
        </w:tc>
        <w:tc>
          <w:tcPr>
            <w:tcW w:w="0" w:type="auto"/>
            <w:tcBorders>
              <w:top w:val="nil"/>
              <w:left w:val="nil"/>
              <w:bottom w:val="single" w:sz="4" w:space="0" w:color="auto"/>
              <w:right w:val="nil"/>
            </w:tcBorders>
          </w:tcPr>
          <w:p w14:paraId="361F085E" w14:textId="4E5C6BA5" w:rsidR="00017CE7" w:rsidRPr="00A70C86" w:rsidRDefault="00017CE7" w:rsidP="00AC372C">
            <w:pPr>
              <w:pStyle w:val="BodyText"/>
              <w:keepNext/>
              <w:keepLines/>
              <w:widowControl w:val="0"/>
              <w:spacing w:after="0"/>
              <w:rPr>
                <w:rFonts w:ascii="Arial" w:hAnsi="Arial" w:cs="Arial"/>
                <w:sz w:val="17"/>
                <w:szCs w:val="17"/>
              </w:rPr>
            </w:pPr>
            <w:r w:rsidRPr="00A70C86">
              <w:rPr>
                <w:rFonts w:ascii="Arial" w:hAnsi="Arial" w:cs="Arial"/>
                <w:sz w:val="17"/>
                <w:szCs w:val="17"/>
              </w:rPr>
              <w:t>Relative toxicity:</w:t>
            </w:r>
            <w:r w:rsidR="00AC372C" w:rsidRPr="00A70C86">
              <w:rPr>
                <w:rFonts w:ascii="Arial" w:hAnsi="Arial" w:cs="Arial"/>
                <w:sz w:val="17"/>
                <w:szCs w:val="17"/>
              </w:rPr>
              <w:br/>
            </w:r>
            <w:r w:rsidRPr="00A70C86">
              <w:rPr>
                <w:rFonts w:ascii="Arial" w:hAnsi="Arial" w:cs="Arial"/>
                <w:sz w:val="17"/>
                <w:szCs w:val="17"/>
              </w:rPr>
              <w:t>33% + 67%</w:t>
            </w:r>
          </w:p>
        </w:tc>
      </w:tr>
    </w:tbl>
    <w:p w14:paraId="222ACFA3" w14:textId="7026158C" w:rsidR="00017CE7" w:rsidRPr="00A70C86" w:rsidRDefault="0022632D" w:rsidP="00A70C86">
      <w:pPr>
        <w:pStyle w:val="Caption"/>
      </w:pPr>
      <w:bookmarkStart w:id="694" w:name="_Toc230692337"/>
      <w:bookmarkStart w:id="695" w:name="_Toc233036558"/>
      <w:r w:rsidRPr="00A70C86">
        <w:t xml:space="preserve">Table </w:t>
      </w:r>
      <w:fldSimple w:instr=" SEQ Table \* ARABIC ">
        <w:r w:rsidR="00A70C86">
          <w:rPr>
            <w:noProof/>
          </w:rPr>
          <w:t>71</w:t>
        </w:r>
      </w:fldSimple>
      <w:r w:rsidRPr="00A70C86">
        <w:t xml:space="preserve">: </w:t>
      </w:r>
      <w:r w:rsidR="00017CE7" w:rsidRPr="00A70C86">
        <w:t>Diquat/paraquat combination products: effects on other terrestrial arthropods</w:t>
      </w:r>
      <w:bookmarkEnd w:id="694"/>
      <w:bookmarkEnd w:id="695"/>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91"/>
        <w:gridCol w:w="2018"/>
        <w:gridCol w:w="1951"/>
        <w:gridCol w:w="1902"/>
        <w:gridCol w:w="2028"/>
      </w:tblGrid>
      <w:tr w:rsidR="00017CE7" w:rsidRPr="00D63217" w14:paraId="758FE7BC" w14:textId="77777777" w:rsidTr="00C07F2C">
        <w:trPr>
          <w:cantSplit/>
          <w:tblHeader/>
        </w:trPr>
        <w:tc>
          <w:tcPr>
            <w:tcW w:w="0" w:type="auto"/>
            <w:tcBorders>
              <w:bottom w:val="single" w:sz="4" w:space="0" w:color="auto"/>
            </w:tcBorders>
            <w:shd w:val="clear" w:color="auto" w:fill="5C2946"/>
          </w:tcPr>
          <w:p w14:paraId="5F6C763B" w14:textId="77777777" w:rsidR="00017CE7" w:rsidRPr="00D63217" w:rsidRDefault="00017CE7" w:rsidP="00C07F2C">
            <w:pPr>
              <w:pStyle w:val="TableHead"/>
            </w:pPr>
            <w:r w:rsidRPr="00D63217">
              <w:t>Group</w:t>
            </w:r>
          </w:p>
        </w:tc>
        <w:tc>
          <w:tcPr>
            <w:tcW w:w="0" w:type="auto"/>
            <w:tcBorders>
              <w:bottom w:val="single" w:sz="4" w:space="0" w:color="auto"/>
            </w:tcBorders>
            <w:shd w:val="clear" w:color="auto" w:fill="5C2946"/>
          </w:tcPr>
          <w:p w14:paraId="5F00A35A" w14:textId="77777777" w:rsidR="00017CE7" w:rsidRPr="00D63217" w:rsidRDefault="00017CE7" w:rsidP="00C07F2C">
            <w:pPr>
              <w:pStyle w:val="TableHead"/>
            </w:pPr>
            <w:r w:rsidRPr="00D63217">
              <w:t>Species</w:t>
            </w:r>
          </w:p>
        </w:tc>
        <w:tc>
          <w:tcPr>
            <w:tcW w:w="0" w:type="auto"/>
            <w:tcBorders>
              <w:bottom w:val="single" w:sz="4" w:space="0" w:color="auto"/>
            </w:tcBorders>
            <w:shd w:val="clear" w:color="auto" w:fill="5C2946"/>
          </w:tcPr>
          <w:p w14:paraId="36879F71" w14:textId="77777777" w:rsidR="00017CE7" w:rsidRPr="00D63217" w:rsidRDefault="00017CE7" w:rsidP="00C07F2C">
            <w:pPr>
              <w:pStyle w:val="TableHead"/>
            </w:pPr>
            <w:r w:rsidRPr="00D63217">
              <w:t>0.46 diquat</w:t>
            </w:r>
            <w:r w:rsidRPr="00D63217">
              <w:rPr>
                <w:rStyle w:val="FootnoteReference"/>
                <w:b/>
                <w:sz w:val="17"/>
                <w:szCs w:val="17"/>
              </w:rPr>
              <w:footnoteReference w:id="55"/>
            </w:r>
          </w:p>
        </w:tc>
        <w:tc>
          <w:tcPr>
            <w:tcW w:w="0" w:type="auto"/>
            <w:tcBorders>
              <w:bottom w:val="single" w:sz="4" w:space="0" w:color="auto"/>
            </w:tcBorders>
            <w:shd w:val="clear" w:color="auto" w:fill="5C2946"/>
          </w:tcPr>
          <w:p w14:paraId="0BFC9389" w14:textId="77777777" w:rsidR="00017CE7" w:rsidRPr="00D63217" w:rsidRDefault="00017CE7" w:rsidP="00C07F2C">
            <w:pPr>
              <w:pStyle w:val="TableHead"/>
            </w:pPr>
            <w:r w:rsidRPr="00D63217">
              <w:t>0.54 paraquat</w:t>
            </w:r>
            <w:r w:rsidRPr="00D63217">
              <w:rPr>
                <w:rStyle w:val="FootnoteReference"/>
                <w:b/>
                <w:sz w:val="17"/>
                <w:szCs w:val="17"/>
              </w:rPr>
              <w:footnoteReference w:id="56"/>
            </w:r>
          </w:p>
        </w:tc>
        <w:tc>
          <w:tcPr>
            <w:tcW w:w="0" w:type="auto"/>
            <w:tcBorders>
              <w:bottom w:val="single" w:sz="4" w:space="0" w:color="auto"/>
            </w:tcBorders>
            <w:shd w:val="clear" w:color="auto" w:fill="5C2946"/>
          </w:tcPr>
          <w:p w14:paraId="73B4AE4E" w14:textId="77777777" w:rsidR="00017CE7" w:rsidRPr="00D63217" w:rsidRDefault="00017CE7" w:rsidP="00C07F2C">
            <w:pPr>
              <w:pStyle w:val="TableHead"/>
            </w:pPr>
            <w:r w:rsidRPr="00D63217">
              <w:t>1.00 combination</w:t>
            </w:r>
            <w:r w:rsidRPr="00D63217">
              <w:rPr>
                <w:rStyle w:val="FootnoteReference"/>
                <w:b/>
                <w:sz w:val="17"/>
                <w:szCs w:val="17"/>
              </w:rPr>
              <w:footnoteReference w:id="57"/>
            </w:r>
          </w:p>
        </w:tc>
      </w:tr>
      <w:tr w:rsidR="00017CE7" w:rsidRPr="00D63217" w14:paraId="41A7B633" w14:textId="77777777" w:rsidTr="007D1EF1">
        <w:trPr>
          <w:cantSplit/>
        </w:trPr>
        <w:tc>
          <w:tcPr>
            <w:tcW w:w="0" w:type="auto"/>
            <w:tcBorders>
              <w:top w:val="single" w:sz="4" w:space="0" w:color="auto"/>
              <w:left w:val="nil"/>
              <w:bottom w:val="nil"/>
              <w:right w:val="nil"/>
            </w:tcBorders>
          </w:tcPr>
          <w:p w14:paraId="2CBA0BD0"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Predatory arthropods</w:t>
            </w:r>
          </w:p>
        </w:tc>
        <w:tc>
          <w:tcPr>
            <w:tcW w:w="0" w:type="auto"/>
            <w:tcBorders>
              <w:top w:val="single" w:sz="4" w:space="0" w:color="auto"/>
              <w:left w:val="nil"/>
              <w:bottom w:val="nil"/>
              <w:right w:val="nil"/>
            </w:tcBorders>
          </w:tcPr>
          <w:p w14:paraId="7863EF6B"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Typhlodromus pyri</w:t>
            </w:r>
          </w:p>
        </w:tc>
        <w:tc>
          <w:tcPr>
            <w:tcW w:w="0" w:type="auto"/>
            <w:tcBorders>
              <w:top w:val="single" w:sz="4" w:space="0" w:color="auto"/>
              <w:left w:val="nil"/>
              <w:bottom w:val="nil"/>
              <w:right w:val="nil"/>
            </w:tcBorders>
          </w:tcPr>
          <w:p w14:paraId="62713B82" w14:textId="703AA62A"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Tier 1 LR</w:t>
            </w:r>
            <w:r w:rsidRPr="00A70C86">
              <w:rPr>
                <w:rFonts w:ascii="Arial" w:hAnsi="Arial" w:cs="Arial"/>
                <w:sz w:val="17"/>
                <w:szCs w:val="17"/>
                <w:vertAlign w:val="subscript"/>
              </w:rPr>
              <w:t>50</w:t>
            </w:r>
            <w:r w:rsidRPr="00A70C86">
              <w:rPr>
                <w:rFonts w:ascii="Arial" w:hAnsi="Arial" w:cs="Arial"/>
                <w:sz w:val="17"/>
                <w:szCs w:val="17"/>
              </w:rPr>
              <w:t xml:space="preserve"> 2.9 g ac/ha</w:t>
            </w:r>
            <w:r w:rsidR="00C07F2C" w:rsidRPr="00A70C86">
              <w:rPr>
                <w:rFonts w:ascii="Arial" w:hAnsi="Arial" w:cs="Arial"/>
                <w:sz w:val="17"/>
                <w:szCs w:val="17"/>
              </w:rPr>
              <w:br/>
            </w:r>
            <w:r w:rsidRPr="00A70C86">
              <w:rPr>
                <w:rFonts w:ascii="Arial" w:hAnsi="Arial" w:cs="Arial"/>
                <w:sz w:val="17"/>
                <w:szCs w:val="17"/>
              </w:rPr>
              <w:t>Austin &amp; Elcock 1999</w:t>
            </w:r>
            <w:r w:rsidR="008648BF" w:rsidRPr="00A70C86">
              <w:rPr>
                <w:rFonts w:ascii="Arial" w:hAnsi="Arial" w:cs="Arial"/>
                <w:sz w:val="17"/>
                <w:szCs w:val="17"/>
              </w:rPr>
              <w:t>b</w:t>
            </w:r>
          </w:p>
        </w:tc>
        <w:tc>
          <w:tcPr>
            <w:tcW w:w="0" w:type="auto"/>
            <w:tcBorders>
              <w:top w:val="single" w:sz="4" w:space="0" w:color="auto"/>
              <w:left w:val="nil"/>
              <w:bottom w:val="nil"/>
              <w:right w:val="nil"/>
            </w:tcBorders>
          </w:tcPr>
          <w:p w14:paraId="2CC29C40" w14:textId="31A2EC5D"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Tier 1 LR</w:t>
            </w:r>
            <w:r w:rsidRPr="00A70C86">
              <w:rPr>
                <w:rFonts w:ascii="Arial" w:hAnsi="Arial" w:cs="Arial"/>
                <w:sz w:val="17"/>
                <w:szCs w:val="17"/>
                <w:vertAlign w:val="subscript"/>
              </w:rPr>
              <w:t>50</w:t>
            </w:r>
            <w:r w:rsidRPr="00A70C86">
              <w:rPr>
                <w:rFonts w:ascii="Arial" w:hAnsi="Arial" w:cs="Arial"/>
                <w:sz w:val="17"/>
                <w:szCs w:val="17"/>
              </w:rPr>
              <w:t xml:space="preserve"> 1.9 g ac/ha</w:t>
            </w:r>
            <w:r w:rsidR="00C07F2C" w:rsidRPr="00A70C86">
              <w:rPr>
                <w:rFonts w:ascii="Arial" w:hAnsi="Arial" w:cs="Arial"/>
                <w:sz w:val="17"/>
                <w:szCs w:val="17"/>
              </w:rPr>
              <w:br/>
            </w:r>
            <w:r w:rsidRPr="00A70C86">
              <w:rPr>
                <w:rFonts w:ascii="Arial" w:hAnsi="Arial" w:cs="Arial"/>
                <w:sz w:val="17"/>
                <w:szCs w:val="17"/>
              </w:rPr>
              <w:t>Austin &amp; Elcock 1999</w:t>
            </w:r>
            <w:r w:rsidR="008648BF" w:rsidRPr="00A70C86">
              <w:rPr>
                <w:rFonts w:ascii="Arial" w:hAnsi="Arial" w:cs="Arial"/>
                <w:sz w:val="17"/>
                <w:szCs w:val="17"/>
              </w:rPr>
              <w:t>a</w:t>
            </w:r>
          </w:p>
        </w:tc>
        <w:tc>
          <w:tcPr>
            <w:tcW w:w="0" w:type="auto"/>
            <w:tcBorders>
              <w:top w:val="single" w:sz="4" w:space="0" w:color="auto"/>
              <w:left w:val="nil"/>
              <w:bottom w:val="nil"/>
              <w:right w:val="nil"/>
            </w:tcBorders>
          </w:tcPr>
          <w:p w14:paraId="7D3DA9CA" w14:textId="1B39A18A"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Predicted tier 1:</w:t>
            </w:r>
            <w:r w:rsidR="00C07F2C" w:rsidRPr="00A70C86">
              <w:rPr>
                <w:rFonts w:ascii="Arial" w:hAnsi="Arial" w:cs="Arial"/>
                <w:sz w:val="17"/>
                <w:szCs w:val="17"/>
              </w:rPr>
              <w:br/>
            </w:r>
            <w:r w:rsidRPr="00A70C86">
              <w:rPr>
                <w:rFonts w:ascii="Arial" w:hAnsi="Arial" w:cs="Arial"/>
                <w:sz w:val="17"/>
                <w:szCs w:val="17"/>
              </w:rPr>
              <w:t>LR</w:t>
            </w:r>
            <w:r w:rsidRPr="00A70C86">
              <w:rPr>
                <w:rFonts w:ascii="Arial" w:hAnsi="Arial" w:cs="Arial"/>
                <w:sz w:val="17"/>
                <w:szCs w:val="17"/>
                <w:vertAlign w:val="subscript"/>
              </w:rPr>
              <w:t>50</w:t>
            </w:r>
            <w:r w:rsidRPr="00A70C86">
              <w:rPr>
                <w:rFonts w:ascii="Arial" w:hAnsi="Arial" w:cs="Arial"/>
                <w:sz w:val="17"/>
                <w:szCs w:val="17"/>
              </w:rPr>
              <w:t xml:space="preserve"> 2.3 g acs/ha</w:t>
            </w:r>
          </w:p>
        </w:tc>
      </w:tr>
      <w:tr w:rsidR="00017CE7" w:rsidRPr="00D63217" w14:paraId="33FCA91A" w14:textId="77777777" w:rsidTr="007D1EF1">
        <w:trPr>
          <w:cantSplit/>
        </w:trPr>
        <w:tc>
          <w:tcPr>
            <w:tcW w:w="0" w:type="auto"/>
            <w:tcBorders>
              <w:top w:val="nil"/>
              <w:left w:val="nil"/>
              <w:bottom w:val="nil"/>
              <w:right w:val="nil"/>
            </w:tcBorders>
          </w:tcPr>
          <w:p w14:paraId="5A059A44"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nil"/>
              <w:right w:val="nil"/>
            </w:tcBorders>
          </w:tcPr>
          <w:p w14:paraId="23FC1772"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191C23BE"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6793F3C2"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0E176EA7" w14:textId="34724122"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Relative toxicity:</w:t>
            </w:r>
            <w:r w:rsidR="00C07F2C" w:rsidRPr="00A70C86">
              <w:rPr>
                <w:rFonts w:ascii="Arial" w:hAnsi="Arial" w:cs="Arial"/>
                <w:sz w:val="17"/>
                <w:szCs w:val="17"/>
              </w:rPr>
              <w:br/>
            </w:r>
            <w:r w:rsidRPr="00A70C86">
              <w:rPr>
                <w:rFonts w:ascii="Arial" w:hAnsi="Arial" w:cs="Arial"/>
                <w:sz w:val="17"/>
                <w:szCs w:val="17"/>
              </w:rPr>
              <w:t>36% + 64%</w:t>
            </w:r>
          </w:p>
        </w:tc>
      </w:tr>
      <w:tr w:rsidR="00017CE7" w:rsidRPr="00D63217" w14:paraId="610EA8F2" w14:textId="77777777" w:rsidTr="007D1EF1">
        <w:trPr>
          <w:cantSplit/>
        </w:trPr>
        <w:tc>
          <w:tcPr>
            <w:tcW w:w="0" w:type="auto"/>
            <w:tcBorders>
              <w:top w:val="nil"/>
              <w:left w:val="nil"/>
              <w:bottom w:val="nil"/>
              <w:right w:val="nil"/>
            </w:tcBorders>
          </w:tcPr>
          <w:p w14:paraId="7EF01944"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nil"/>
              <w:right w:val="nil"/>
            </w:tcBorders>
          </w:tcPr>
          <w:p w14:paraId="5C064933"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single" w:sz="4" w:space="0" w:color="auto"/>
              <w:left w:val="nil"/>
              <w:bottom w:val="nil"/>
              <w:right w:val="nil"/>
            </w:tcBorders>
          </w:tcPr>
          <w:p w14:paraId="5C92CB17" w14:textId="76E49AFA"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Tier 2 LR</w:t>
            </w:r>
            <w:r w:rsidRPr="00A70C86">
              <w:rPr>
                <w:rFonts w:ascii="Arial" w:hAnsi="Arial" w:cs="Arial"/>
                <w:sz w:val="17"/>
                <w:szCs w:val="17"/>
                <w:vertAlign w:val="subscript"/>
              </w:rPr>
              <w:t>50</w:t>
            </w:r>
            <w:r w:rsidRPr="00A70C86">
              <w:rPr>
                <w:rFonts w:ascii="Arial" w:hAnsi="Arial" w:cs="Arial"/>
                <w:sz w:val="17"/>
                <w:szCs w:val="17"/>
              </w:rPr>
              <w:t xml:space="preserve"> 4.1 g ac/ha</w:t>
            </w:r>
            <w:r w:rsidR="00C07F2C" w:rsidRPr="00A70C86">
              <w:rPr>
                <w:rFonts w:ascii="Arial" w:hAnsi="Arial" w:cs="Arial"/>
                <w:sz w:val="17"/>
                <w:szCs w:val="17"/>
              </w:rPr>
              <w:br/>
            </w:r>
            <w:r w:rsidRPr="00A70C86">
              <w:rPr>
                <w:rFonts w:ascii="Arial" w:hAnsi="Arial" w:cs="Arial"/>
                <w:sz w:val="17"/>
                <w:szCs w:val="17"/>
              </w:rPr>
              <w:t>Austin &amp; Elcock 1999</w:t>
            </w:r>
            <w:r w:rsidR="008648BF" w:rsidRPr="00A70C86">
              <w:rPr>
                <w:rFonts w:ascii="Arial" w:hAnsi="Arial" w:cs="Arial"/>
                <w:sz w:val="17"/>
                <w:szCs w:val="17"/>
              </w:rPr>
              <w:t>c</w:t>
            </w:r>
          </w:p>
        </w:tc>
        <w:tc>
          <w:tcPr>
            <w:tcW w:w="0" w:type="auto"/>
            <w:tcBorders>
              <w:top w:val="single" w:sz="4" w:space="0" w:color="auto"/>
              <w:left w:val="nil"/>
              <w:bottom w:val="nil"/>
              <w:right w:val="nil"/>
            </w:tcBorders>
          </w:tcPr>
          <w:p w14:paraId="5F8ACD48" w14:textId="65ED4688"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Tier 2 LR</w:t>
            </w:r>
            <w:r w:rsidRPr="00A70C86">
              <w:rPr>
                <w:rFonts w:ascii="Arial" w:hAnsi="Arial" w:cs="Arial"/>
                <w:sz w:val="17"/>
                <w:szCs w:val="17"/>
                <w:vertAlign w:val="subscript"/>
              </w:rPr>
              <w:t>50</w:t>
            </w:r>
            <w:r w:rsidRPr="00A70C86">
              <w:rPr>
                <w:rFonts w:ascii="Arial" w:hAnsi="Arial" w:cs="Arial"/>
                <w:sz w:val="17"/>
                <w:szCs w:val="17"/>
              </w:rPr>
              <w:t xml:space="preserve"> 8.2 g ac/ha</w:t>
            </w:r>
            <w:r w:rsidR="00C07F2C" w:rsidRPr="00A70C86">
              <w:rPr>
                <w:rFonts w:ascii="Arial" w:hAnsi="Arial" w:cs="Arial"/>
                <w:sz w:val="17"/>
                <w:szCs w:val="17"/>
              </w:rPr>
              <w:br/>
            </w:r>
            <w:r w:rsidRPr="00A70C86">
              <w:rPr>
                <w:rFonts w:ascii="Arial" w:hAnsi="Arial" w:cs="Arial"/>
                <w:sz w:val="17"/>
                <w:szCs w:val="17"/>
              </w:rPr>
              <w:t>Austin 1999</w:t>
            </w:r>
            <w:r w:rsidR="008648BF" w:rsidRPr="00A70C86">
              <w:rPr>
                <w:rFonts w:ascii="Arial" w:hAnsi="Arial" w:cs="Arial"/>
                <w:sz w:val="17"/>
                <w:szCs w:val="17"/>
              </w:rPr>
              <w:t>a</w:t>
            </w:r>
          </w:p>
        </w:tc>
        <w:tc>
          <w:tcPr>
            <w:tcW w:w="0" w:type="auto"/>
            <w:tcBorders>
              <w:top w:val="single" w:sz="4" w:space="0" w:color="auto"/>
              <w:left w:val="nil"/>
              <w:bottom w:val="nil"/>
              <w:right w:val="nil"/>
            </w:tcBorders>
          </w:tcPr>
          <w:p w14:paraId="69544602" w14:textId="40C90883"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Predicted tier 2:</w:t>
            </w:r>
            <w:r w:rsidR="00C07F2C" w:rsidRPr="00A70C86">
              <w:rPr>
                <w:rFonts w:ascii="Arial" w:hAnsi="Arial" w:cs="Arial"/>
                <w:sz w:val="17"/>
                <w:szCs w:val="17"/>
              </w:rPr>
              <w:br/>
            </w:r>
            <w:r w:rsidRPr="00A70C86">
              <w:rPr>
                <w:rFonts w:ascii="Arial" w:hAnsi="Arial" w:cs="Arial"/>
                <w:sz w:val="17"/>
                <w:szCs w:val="17"/>
              </w:rPr>
              <w:t>LR</w:t>
            </w:r>
            <w:r w:rsidRPr="00A70C86">
              <w:rPr>
                <w:rFonts w:ascii="Arial" w:hAnsi="Arial" w:cs="Arial"/>
                <w:sz w:val="17"/>
                <w:szCs w:val="17"/>
                <w:vertAlign w:val="subscript"/>
              </w:rPr>
              <w:t>50</w:t>
            </w:r>
            <w:r w:rsidRPr="00A70C86">
              <w:rPr>
                <w:rFonts w:ascii="Arial" w:hAnsi="Arial" w:cs="Arial"/>
                <w:sz w:val="17"/>
                <w:szCs w:val="17"/>
              </w:rPr>
              <w:t xml:space="preserve"> 5.6 g acs/ha</w:t>
            </w:r>
          </w:p>
        </w:tc>
      </w:tr>
      <w:tr w:rsidR="00017CE7" w:rsidRPr="00D63217" w14:paraId="1222D763" w14:textId="77777777" w:rsidTr="007D1EF1">
        <w:trPr>
          <w:cantSplit/>
        </w:trPr>
        <w:tc>
          <w:tcPr>
            <w:tcW w:w="0" w:type="auto"/>
            <w:tcBorders>
              <w:top w:val="nil"/>
              <w:left w:val="nil"/>
              <w:bottom w:val="nil"/>
              <w:right w:val="nil"/>
            </w:tcBorders>
          </w:tcPr>
          <w:p w14:paraId="0A742D2D"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25F5C1FC"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601FA195"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3886C472"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0056846C" w14:textId="0C949B4D"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Relative toxicity:</w:t>
            </w:r>
            <w:r w:rsidR="00C07F2C" w:rsidRPr="00A70C86">
              <w:rPr>
                <w:rFonts w:ascii="Arial" w:hAnsi="Arial" w:cs="Arial"/>
                <w:sz w:val="17"/>
                <w:szCs w:val="17"/>
              </w:rPr>
              <w:br/>
            </w:r>
            <w:r w:rsidRPr="00A70C86">
              <w:rPr>
                <w:rFonts w:ascii="Arial" w:hAnsi="Arial" w:cs="Arial"/>
                <w:sz w:val="17"/>
                <w:szCs w:val="17"/>
              </w:rPr>
              <w:t>63% + 37%</w:t>
            </w:r>
          </w:p>
        </w:tc>
      </w:tr>
      <w:tr w:rsidR="00017CE7" w:rsidRPr="00D63217" w14:paraId="55CD9E25" w14:textId="77777777" w:rsidTr="007D1EF1">
        <w:trPr>
          <w:cantSplit/>
        </w:trPr>
        <w:tc>
          <w:tcPr>
            <w:tcW w:w="0" w:type="auto"/>
            <w:tcBorders>
              <w:top w:val="nil"/>
              <w:left w:val="nil"/>
              <w:bottom w:val="nil"/>
              <w:right w:val="nil"/>
            </w:tcBorders>
          </w:tcPr>
          <w:p w14:paraId="5DADB4A0"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single" w:sz="4" w:space="0" w:color="auto"/>
              <w:left w:val="nil"/>
              <w:bottom w:val="nil"/>
              <w:right w:val="nil"/>
            </w:tcBorders>
          </w:tcPr>
          <w:p w14:paraId="6BF74727"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Pterostichus melanarius</w:t>
            </w:r>
          </w:p>
        </w:tc>
        <w:tc>
          <w:tcPr>
            <w:tcW w:w="0" w:type="auto"/>
            <w:tcBorders>
              <w:top w:val="single" w:sz="4" w:space="0" w:color="auto"/>
              <w:left w:val="nil"/>
              <w:bottom w:val="nil"/>
              <w:right w:val="nil"/>
            </w:tcBorders>
          </w:tcPr>
          <w:p w14:paraId="09CEEE43" w14:textId="1F74366D"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ER</w:t>
            </w:r>
            <w:r w:rsidRPr="00A70C86">
              <w:rPr>
                <w:rFonts w:ascii="Arial" w:hAnsi="Arial" w:cs="Arial"/>
                <w:sz w:val="17"/>
                <w:szCs w:val="17"/>
                <w:vertAlign w:val="subscript"/>
              </w:rPr>
              <w:t>50</w:t>
            </w:r>
            <w:r w:rsidRPr="00A70C86">
              <w:rPr>
                <w:rFonts w:ascii="Arial" w:hAnsi="Arial" w:cs="Arial"/>
                <w:sz w:val="17"/>
                <w:szCs w:val="17"/>
              </w:rPr>
              <w:t xml:space="preserve"> &gt;1600 g ac/ha</w:t>
            </w:r>
            <w:r w:rsidR="00C07F2C" w:rsidRPr="00A70C86">
              <w:rPr>
                <w:rFonts w:ascii="Arial" w:hAnsi="Arial" w:cs="Arial"/>
                <w:sz w:val="17"/>
                <w:szCs w:val="17"/>
              </w:rPr>
              <w:br/>
            </w:r>
            <w:r w:rsidRPr="00A70C86">
              <w:rPr>
                <w:rFonts w:ascii="Arial" w:hAnsi="Arial" w:cs="Arial"/>
                <w:sz w:val="17"/>
                <w:szCs w:val="17"/>
              </w:rPr>
              <w:t>Gough et</w:t>
            </w:r>
            <w:r w:rsidR="00143F5A" w:rsidRPr="00A70C86">
              <w:rPr>
                <w:rFonts w:ascii="Arial" w:hAnsi="Arial" w:cs="Arial"/>
                <w:sz w:val="17"/>
                <w:szCs w:val="17"/>
              </w:rPr>
              <w:t xml:space="preserve"> al,</w:t>
            </w:r>
            <w:r w:rsidRPr="00A70C86">
              <w:rPr>
                <w:rFonts w:ascii="Arial" w:hAnsi="Arial" w:cs="Arial"/>
                <w:sz w:val="17"/>
                <w:szCs w:val="17"/>
              </w:rPr>
              <w:t xml:space="preserve"> 1991</w:t>
            </w:r>
          </w:p>
        </w:tc>
        <w:tc>
          <w:tcPr>
            <w:tcW w:w="0" w:type="auto"/>
            <w:tcBorders>
              <w:top w:val="single" w:sz="4" w:space="0" w:color="auto"/>
              <w:left w:val="nil"/>
              <w:bottom w:val="nil"/>
              <w:right w:val="nil"/>
            </w:tcBorders>
          </w:tcPr>
          <w:p w14:paraId="5C4FDA3F" w14:textId="6B510B7E"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ER</w:t>
            </w:r>
            <w:r w:rsidRPr="00A70C86">
              <w:rPr>
                <w:rFonts w:ascii="Arial" w:hAnsi="Arial" w:cs="Arial"/>
                <w:sz w:val="17"/>
                <w:szCs w:val="17"/>
                <w:vertAlign w:val="subscript"/>
              </w:rPr>
              <w:t>50</w:t>
            </w:r>
            <w:r w:rsidRPr="00A70C86">
              <w:rPr>
                <w:rFonts w:ascii="Arial" w:hAnsi="Arial" w:cs="Arial"/>
                <w:sz w:val="17"/>
                <w:szCs w:val="17"/>
              </w:rPr>
              <w:t xml:space="preserve"> &gt;1000 g ac/ha</w:t>
            </w:r>
            <w:r w:rsidR="00C07F2C" w:rsidRPr="00A70C86">
              <w:rPr>
                <w:rFonts w:ascii="Arial" w:hAnsi="Arial" w:cs="Arial"/>
                <w:sz w:val="17"/>
                <w:szCs w:val="17"/>
              </w:rPr>
              <w:br/>
            </w:r>
            <w:r w:rsidRPr="00A70C86">
              <w:rPr>
                <w:rFonts w:ascii="Arial" w:hAnsi="Arial" w:cs="Arial"/>
                <w:sz w:val="17"/>
                <w:szCs w:val="17"/>
              </w:rPr>
              <w:t>Jackson et</w:t>
            </w:r>
            <w:r w:rsidR="00143F5A" w:rsidRPr="00A70C86">
              <w:rPr>
                <w:rFonts w:ascii="Arial" w:hAnsi="Arial" w:cs="Arial"/>
                <w:sz w:val="17"/>
                <w:szCs w:val="17"/>
              </w:rPr>
              <w:t xml:space="preserve"> al,</w:t>
            </w:r>
            <w:r w:rsidRPr="00A70C86">
              <w:rPr>
                <w:rFonts w:ascii="Arial" w:hAnsi="Arial" w:cs="Arial"/>
                <w:sz w:val="17"/>
                <w:szCs w:val="17"/>
              </w:rPr>
              <w:t xml:space="preserve"> 1991</w:t>
            </w:r>
          </w:p>
        </w:tc>
        <w:tc>
          <w:tcPr>
            <w:tcW w:w="0" w:type="auto"/>
            <w:tcBorders>
              <w:top w:val="single" w:sz="4" w:space="0" w:color="auto"/>
              <w:left w:val="nil"/>
              <w:bottom w:val="nil"/>
              <w:right w:val="nil"/>
            </w:tcBorders>
          </w:tcPr>
          <w:p w14:paraId="7E747C33"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Not expected to be toxic</w:t>
            </w:r>
          </w:p>
        </w:tc>
      </w:tr>
      <w:tr w:rsidR="00017CE7" w:rsidRPr="00D63217" w14:paraId="3898C118" w14:textId="77777777" w:rsidTr="007D1EF1">
        <w:trPr>
          <w:cantSplit/>
        </w:trPr>
        <w:tc>
          <w:tcPr>
            <w:tcW w:w="0" w:type="auto"/>
            <w:tcBorders>
              <w:top w:val="nil"/>
              <w:left w:val="nil"/>
              <w:bottom w:val="nil"/>
              <w:right w:val="nil"/>
            </w:tcBorders>
          </w:tcPr>
          <w:p w14:paraId="4C38E7C1"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3E1FA9AF"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 xml:space="preserve">Pardosa </w:t>
            </w:r>
            <w:r w:rsidRPr="00A70C86">
              <w:rPr>
                <w:rFonts w:ascii="Arial" w:hAnsi="Arial" w:cs="Arial"/>
                <w:sz w:val="17"/>
                <w:szCs w:val="17"/>
              </w:rPr>
              <w:t>spp.</w:t>
            </w:r>
          </w:p>
        </w:tc>
        <w:tc>
          <w:tcPr>
            <w:tcW w:w="0" w:type="auto"/>
            <w:tcBorders>
              <w:top w:val="nil"/>
              <w:left w:val="nil"/>
              <w:bottom w:val="single" w:sz="4" w:space="0" w:color="auto"/>
              <w:right w:val="nil"/>
            </w:tcBorders>
          </w:tcPr>
          <w:p w14:paraId="03B88110" w14:textId="6567A888"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ER</w:t>
            </w:r>
            <w:r w:rsidRPr="00A70C86">
              <w:rPr>
                <w:rFonts w:ascii="Arial" w:hAnsi="Arial" w:cs="Arial"/>
                <w:sz w:val="17"/>
                <w:szCs w:val="17"/>
                <w:vertAlign w:val="subscript"/>
              </w:rPr>
              <w:t>50</w:t>
            </w:r>
            <w:r w:rsidRPr="00A70C86">
              <w:rPr>
                <w:rFonts w:ascii="Arial" w:hAnsi="Arial" w:cs="Arial"/>
                <w:sz w:val="17"/>
                <w:szCs w:val="17"/>
              </w:rPr>
              <w:t xml:space="preserve"> &gt;1600 g ac/ha</w:t>
            </w:r>
            <w:r w:rsidR="00C07F2C" w:rsidRPr="00A70C86">
              <w:rPr>
                <w:rFonts w:ascii="Arial" w:hAnsi="Arial" w:cs="Arial"/>
                <w:sz w:val="17"/>
                <w:szCs w:val="17"/>
              </w:rPr>
              <w:br/>
            </w:r>
            <w:r w:rsidRPr="00A70C86">
              <w:rPr>
                <w:rFonts w:ascii="Arial" w:hAnsi="Arial" w:cs="Arial"/>
                <w:sz w:val="17"/>
                <w:szCs w:val="17"/>
              </w:rPr>
              <w:t>Gough et</w:t>
            </w:r>
            <w:r w:rsidR="00143F5A" w:rsidRPr="00A70C86">
              <w:rPr>
                <w:rFonts w:ascii="Arial" w:hAnsi="Arial" w:cs="Arial"/>
                <w:sz w:val="17"/>
                <w:szCs w:val="17"/>
              </w:rPr>
              <w:t xml:space="preserve"> al,</w:t>
            </w:r>
            <w:r w:rsidRPr="00A70C86">
              <w:rPr>
                <w:rFonts w:ascii="Arial" w:hAnsi="Arial" w:cs="Arial"/>
                <w:sz w:val="17"/>
                <w:szCs w:val="17"/>
              </w:rPr>
              <w:t xml:space="preserve"> 1991</w:t>
            </w:r>
          </w:p>
        </w:tc>
        <w:tc>
          <w:tcPr>
            <w:tcW w:w="0" w:type="auto"/>
            <w:tcBorders>
              <w:top w:val="nil"/>
              <w:left w:val="nil"/>
              <w:bottom w:val="single" w:sz="4" w:space="0" w:color="auto"/>
              <w:right w:val="nil"/>
            </w:tcBorders>
          </w:tcPr>
          <w:p w14:paraId="0DF4571D" w14:textId="00990E99"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ER</w:t>
            </w:r>
            <w:r w:rsidRPr="00A70C86">
              <w:rPr>
                <w:rFonts w:ascii="Arial" w:hAnsi="Arial" w:cs="Arial"/>
                <w:sz w:val="17"/>
                <w:szCs w:val="17"/>
                <w:vertAlign w:val="subscript"/>
              </w:rPr>
              <w:t>50</w:t>
            </w:r>
            <w:r w:rsidRPr="00A70C86">
              <w:rPr>
                <w:rFonts w:ascii="Arial" w:hAnsi="Arial" w:cs="Arial"/>
                <w:sz w:val="17"/>
                <w:szCs w:val="17"/>
              </w:rPr>
              <w:t xml:space="preserve"> &gt;1000 g ac/ha</w:t>
            </w:r>
            <w:r w:rsidR="00C07F2C" w:rsidRPr="00A70C86">
              <w:rPr>
                <w:rFonts w:ascii="Arial" w:hAnsi="Arial" w:cs="Arial"/>
                <w:sz w:val="17"/>
                <w:szCs w:val="17"/>
              </w:rPr>
              <w:br/>
            </w:r>
            <w:r w:rsidRPr="00A70C86">
              <w:rPr>
                <w:rFonts w:ascii="Arial" w:hAnsi="Arial" w:cs="Arial"/>
                <w:sz w:val="17"/>
                <w:szCs w:val="17"/>
              </w:rPr>
              <w:t>Jackson et</w:t>
            </w:r>
            <w:r w:rsidR="00143F5A" w:rsidRPr="00A70C86">
              <w:rPr>
                <w:rFonts w:ascii="Arial" w:hAnsi="Arial" w:cs="Arial"/>
                <w:sz w:val="17"/>
                <w:szCs w:val="17"/>
              </w:rPr>
              <w:t xml:space="preserve"> al,</w:t>
            </w:r>
            <w:r w:rsidRPr="00A70C86">
              <w:rPr>
                <w:rFonts w:ascii="Arial" w:hAnsi="Arial" w:cs="Arial"/>
                <w:sz w:val="17"/>
                <w:szCs w:val="17"/>
              </w:rPr>
              <w:t xml:space="preserve"> 1991</w:t>
            </w:r>
          </w:p>
        </w:tc>
        <w:tc>
          <w:tcPr>
            <w:tcW w:w="0" w:type="auto"/>
            <w:tcBorders>
              <w:top w:val="nil"/>
              <w:left w:val="nil"/>
              <w:bottom w:val="single" w:sz="4" w:space="0" w:color="auto"/>
              <w:right w:val="nil"/>
            </w:tcBorders>
          </w:tcPr>
          <w:p w14:paraId="71BE9CF8"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Not expected to be toxic</w:t>
            </w:r>
          </w:p>
        </w:tc>
      </w:tr>
      <w:tr w:rsidR="00017CE7" w:rsidRPr="00D63217" w14:paraId="00470C8E" w14:textId="77777777" w:rsidTr="007D1EF1">
        <w:trPr>
          <w:cantSplit/>
        </w:trPr>
        <w:tc>
          <w:tcPr>
            <w:tcW w:w="0" w:type="auto"/>
            <w:tcBorders>
              <w:top w:val="single" w:sz="4" w:space="0" w:color="auto"/>
              <w:left w:val="nil"/>
              <w:bottom w:val="nil"/>
              <w:right w:val="nil"/>
            </w:tcBorders>
          </w:tcPr>
          <w:p w14:paraId="573477E1"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Parasitic arthropods</w:t>
            </w:r>
          </w:p>
        </w:tc>
        <w:tc>
          <w:tcPr>
            <w:tcW w:w="0" w:type="auto"/>
            <w:tcBorders>
              <w:top w:val="single" w:sz="4" w:space="0" w:color="auto"/>
              <w:left w:val="nil"/>
              <w:bottom w:val="nil"/>
              <w:right w:val="nil"/>
            </w:tcBorders>
          </w:tcPr>
          <w:p w14:paraId="12E7DB7E"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Aphidius rhopalosiphi</w:t>
            </w:r>
          </w:p>
        </w:tc>
        <w:tc>
          <w:tcPr>
            <w:tcW w:w="0" w:type="auto"/>
            <w:tcBorders>
              <w:top w:val="single" w:sz="4" w:space="0" w:color="auto"/>
              <w:left w:val="nil"/>
              <w:bottom w:val="nil"/>
              <w:right w:val="nil"/>
            </w:tcBorders>
          </w:tcPr>
          <w:p w14:paraId="0F05C152" w14:textId="54150E94"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Tier 1 LR</w:t>
            </w:r>
            <w:r w:rsidRPr="00A70C86">
              <w:rPr>
                <w:rFonts w:ascii="Arial" w:hAnsi="Arial" w:cs="Arial"/>
                <w:sz w:val="17"/>
                <w:szCs w:val="17"/>
                <w:vertAlign w:val="subscript"/>
              </w:rPr>
              <w:t>50</w:t>
            </w:r>
            <w:r w:rsidRPr="00A70C86">
              <w:rPr>
                <w:rFonts w:ascii="Arial" w:hAnsi="Arial" w:cs="Arial"/>
                <w:sz w:val="17"/>
                <w:szCs w:val="17"/>
              </w:rPr>
              <w:t xml:space="preserve"> 3.2 g ac/ha</w:t>
            </w:r>
            <w:r w:rsidR="00C07F2C" w:rsidRPr="00A70C86">
              <w:rPr>
                <w:rFonts w:ascii="Arial" w:hAnsi="Arial" w:cs="Arial"/>
                <w:sz w:val="17"/>
                <w:szCs w:val="17"/>
              </w:rPr>
              <w:br/>
            </w:r>
            <w:r w:rsidRPr="00A70C86">
              <w:rPr>
                <w:rFonts w:ascii="Arial" w:hAnsi="Arial" w:cs="Arial"/>
                <w:sz w:val="17"/>
                <w:szCs w:val="17"/>
              </w:rPr>
              <w:t>Austin 1999</w:t>
            </w:r>
            <w:r w:rsidR="008648BF" w:rsidRPr="00A70C86">
              <w:rPr>
                <w:rFonts w:ascii="Arial" w:hAnsi="Arial" w:cs="Arial"/>
                <w:sz w:val="17"/>
                <w:szCs w:val="17"/>
              </w:rPr>
              <w:t>b</w:t>
            </w:r>
          </w:p>
        </w:tc>
        <w:tc>
          <w:tcPr>
            <w:tcW w:w="0" w:type="auto"/>
            <w:tcBorders>
              <w:top w:val="single" w:sz="4" w:space="0" w:color="auto"/>
              <w:left w:val="nil"/>
              <w:bottom w:val="nil"/>
              <w:right w:val="nil"/>
            </w:tcBorders>
          </w:tcPr>
          <w:p w14:paraId="6AD632D7"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 data</w:t>
            </w:r>
          </w:p>
        </w:tc>
        <w:tc>
          <w:tcPr>
            <w:tcW w:w="0" w:type="auto"/>
            <w:tcBorders>
              <w:top w:val="single" w:sz="4" w:space="0" w:color="auto"/>
              <w:left w:val="nil"/>
              <w:bottom w:val="nil"/>
              <w:right w:val="nil"/>
            </w:tcBorders>
          </w:tcPr>
          <w:p w14:paraId="366949F5"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Insufficient data</w:t>
            </w:r>
          </w:p>
        </w:tc>
      </w:tr>
      <w:tr w:rsidR="00017CE7" w:rsidRPr="00D63217" w14:paraId="708C6481" w14:textId="77777777" w:rsidTr="007D1EF1">
        <w:trPr>
          <w:cantSplit/>
        </w:trPr>
        <w:tc>
          <w:tcPr>
            <w:tcW w:w="0" w:type="auto"/>
            <w:tcBorders>
              <w:top w:val="nil"/>
              <w:left w:val="nil"/>
              <w:bottom w:val="nil"/>
              <w:right w:val="nil"/>
            </w:tcBorders>
          </w:tcPr>
          <w:p w14:paraId="40B9612D" w14:textId="77777777" w:rsidR="00017CE7" w:rsidRPr="00A70C86" w:rsidRDefault="00017CE7" w:rsidP="007D1EF1">
            <w:pPr>
              <w:pStyle w:val="BodyText"/>
              <w:widowControl w:val="0"/>
              <w:spacing w:after="0"/>
              <w:rPr>
                <w:rFonts w:ascii="Arial" w:hAnsi="Arial" w:cs="Arial"/>
                <w:sz w:val="17"/>
                <w:szCs w:val="17"/>
              </w:rPr>
            </w:pPr>
          </w:p>
        </w:tc>
        <w:tc>
          <w:tcPr>
            <w:tcW w:w="0" w:type="auto"/>
            <w:tcBorders>
              <w:top w:val="nil"/>
              <w:left w:val="nil"/>
              <w:bottom w:val="nil"/>
              <w:right w:val="nil"/>
            </w:tcBorders>
          </w:tcPr>
          <w:p w14:paraId="22D1E107" w14:textId="77777777" w:rsidR="00017CE7" w:rsidRPr="00A70C86" w:rsidRDefault="00017CE7" w:rsidP="007D1EF1">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2766A175" w14:textId="73B6B9C7"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Tier 2 LR</w:t>
            </w:r>
            <w:r w:rsidRPr="00A70C86">
              <w:rPr>
                <w:rFonts w:ascii="Arial" w:hAnsi="Arial" w:cs="Arial"/>
                <w:sz w:val="17"/>
                <w:szCs w:val="17"/>
                <w:vertAlign w:val="subscript"/>
              </w:rPr>
              <w:t>50</w:t>
            </w:r>
            <w:r w:rsidRPr="00A70C86">
              <w:rPr>
                <w:rFonts w:ascii="Arial" w:hAnsi="Arial" w:cs="Arial"/>
                <w:sz w:val="17"/>
                <w:szCs w:val="17"/>
              </w:rPr>
              <w:t xml:space="preserve"> 758 g ac/ha</w:t>
            </w:r>
            <w:r w:rsidR="00C07F2C" w:rsidRPr="00A70C86">
              <w:rPr>
                <w:rFonts w:ascii="Arial" w:hAnsi="Arial" w:cs="Arial"/>
                <w:sz w:val="17"/>
                <w:szCs w:val="17"/>
              </w:rPr>
              <w:br/>
            </w:r>
            <w:r w:rsidRPr="00A70C86">
              <w:rPr>
                <w:rFonts w:ascii="Arial" w:hAnsi="Arial" w:cs="Arial"/>
                <w:sz w:val="17"/>
                <w:szCs w:val="17"/>
              </w:rPr>
              <w:t>Austin 1999</w:t>
            </w:r>
            <w:r w:rsidR="008648BF" w:rsidRPr="00A70C86">
              <w:rPr>
                <w:rFonts w:ascii="Arial" w:hAnsi="Arial" w:cs="Arial"/>
                <w:sz w:val="17"/>
                <w:szCs w:val="17"/>
              </w:rPr>
              <w:t>c</w:t>
            </w:r>
          </w:p>
        </w:tc>
        <w:tc>
          <w:tcPr>
            <w:tcW w:w="0" w:type="auto"/>
            <w:tcBorders>
              <w:top w:val="nil"/>
              <w:left w:val="nil"/>
              <w:bottom w:val="single" w:sz="4" w:space="0" w:color="auto"/>
              <w:right w:val="nil"/>
            </w:tcBorders>
          </w:tcPr>
          <w:p w14:paraId="274CD095"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 data</w:t>
            </w:r>
          </w:p>
        </w:tc>
        <w:tc>
          <w:tcPr>
            <w:tcW w:w="0" w:type="auto"/>
            <w:tcBorders>
              <w:top w:val="nil"/>
              <w:left w:val="nil"/>
              <w:bottom w:val="single" w:sz="4" w:space="0" w:color="auto"/>
              <w:right w:val="nil"/>
            </w:tcBorders>
          </w:tcPr>
          <w:p w14:paraId="48EABE1E"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Insufficient data</w:t>
            </w:r>
          </w:p>
        </w:tc>
      </w:tr>
      <w:tr w:rsidR="00017CE7" w:rsidRPr="00D63217" w14:paraId="47FCAFE0" w14:textId="77777777" w:rsidTr="007D1EF1">
        <w:trPr>
          <w:cantSplit/>
        </w:trPr>
        <w:tc>
          <w:tcPr>
            <w:tcW w:w="0" w:type="auto"/>
            <w:tcBorders>
              <w:top w:val="nil"/>
              <w:left w:val="nil"/>
              <w:bottom w:val="single" w:sz="4" w:space="0" w:color="auto"/>
              <w:right w:val="nil"/>
            </w:tcBorders>
          </w:tcPr>
          <w:p w14:paraId="54F8A05F" w14:textId="77777777" w:rsidR="00017CE7" w:rsidRPr="00A70C86" w:rsidRDefault="00017CE7" w:rsidP="007D1EF1">
            <w:pPr>
              <w:pStyle w:val="BodyText"/>
              <w:widowControl w:val="0"/>
              <w:spacing w:after="0"/>
              <w:jc w:val="right"/>
              <w:rPr>
                <w:rFonts w:ascii="Arial" w:hAnsi="Arial" w:cs="Arial"/>
                <w:sz w:val="17"/>
                <w:szCs w:val="17"/>
              </w:rPr>
            </w:pPr>
          </w:p>
        </w:tc>
        <w:tc>
          <w:tcPr>
            <w:tcW w:w="0" w:type="auto"/>
            <w:tcBorders>
              <w:top w:val="single" w:sz="4" w:space="0" w:color="auto"/>
              <w:left w:val="nil"/>
              <w:bottom w:val="single" w:sz="4" w:space="0" w:color="auto"/>
              <w:right w:val="nil"/>
            </w:tcBorders>
          </w:tcPr>
          <w:p w14:paraId="612D51EC" w14:textId="77777777" w:rsidR="00017CE7" w:rsidRPr="00A70C86" w:rsidRDefault="00017CE7" w:rsidP="007D1EF1">
            <w:pPr>
              <w:pStyle w:val="BodyText"/>
              <w:widowControl w:val="0"/>
              <w:spacing w:after="0"/>
              <w:rPr>
                <w:rFonts w:ascii="Arial" w:hAnsi="Arial" w:cs="Arial"/>
                <w:i/>
                <w:iCs/>
                <w:sz w:val="17"/>
                <w:szCs w:val="17"/>
              </w:rPr>
            </w:pPr>
            <w:r w:rsidRPr="00A70C86">
              <w:rPr>
                <w:rFonts w:ascii="Arial" w:hAnsi="Arial" w:cs="Arial"/>
                <w:i/>
                <w:iCs/>
                <w:sz w:val="17"/>
                <w:szCs w:val="17"/>
              </w:rPr>
              <w:t>Aleochara bilineata</w:t>
            </w:r>
          </w:p>
        </w:tc>
        <w:tc>
          <w:tcPr>
            <w:tcW w:w="0" w:type="auto"/>
            <w:tcBorders>
              <w:top w:val="single" w:sz="4" w:space="0" w:color="auto"/>
              <w:left w:val="nil"/>
              <w:bottom w:val="single" w:sz="4" w:space="0" w:color="auto"/>
              <w:right w:val="nil"/>
            </w:tcBorders>
          </w:tcPr>
          <w:p w14:paraId="57D2E34D" w14:textId="61917E04"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ER</w:t>
            </w:r>
            <w:r w:rsidRPr="00A70C86">
              <w:rPr>
                <w:rFonts w:ascii="Arial" w:hAnsi="Arial" w:cs="Arial"/>
                <w:sz w:val="17"/>
                <w:szCs w:val="17"/>
                <w:vertAlign w:val="subscript"/>
              </w:rPr>
              <w:t>50</w:t>
            </w:r>
            <w:r w:rsidRPr="00A70C86">
              <w:rPr>
                <w:rFonts w:ascii="Arial" w:hAnsi="Arial" w:cs="Arial"/>
                <w:sz w:val="17"/>
                <w:szCs w:val="17"/>
              </w:rPr>
              <w:t xml:space="preserve"> &gt;1000 g ac/ha</w:t>
            </w:r>
            <w:r w:rsidR="00C07F2C" w:rsidRPr="00A70C86">
              <w:rPr>
                <w:rFonts w:ascii="Arial" w:hAnsi="Arial" w:cs="Arial"/>
                <w:sz w:val="17"/>
                <w:szCs w:val="17"/>
              </w:rPr>
              <w:br/>
            </w:r>
            <w:r w:rsidRPr="00A70C86">
              <w:rPr>
                <w:rFonts w:ascii="Arial" w:hAnsi="Arial" w:cs="Arial"/>
                <w:sz w:val="17"/>
                <w:szCs w:val="17"/>
              </w:rPr>
              <w:t>Beech 1997</w:t>
            </w:r>
          </w:p>
        </w:tc>
        <w:tc>
          <w:tcPr>
            <w:tcW w:w="0" w:type="auto"/>
            <w:tcBorders>
              <w:top w:val="single" w:sz="4" w:space="0" w:color="auto"/>
              <w:left w:val="nil"/>
              <w:bottom w:val="single" w:sz="4" w:space="0" w:color="auto"/>
              <w:right w:val="nil"/>
            </w:tcBorders>
          </w:tcPr>
          <w:p w14:paraId="16917BF8" w14:textId="692205D0"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ER</w:t>
            </w:r>
            <w:r w:rsidRPr="00A70C86">
              <w:rPr>
                <w:rFonts w:ascii="Arial" w:hAnsi="Arial" w:cs="Arial"/>
                <w:sz w:val="17"/>
                <w:szCs w:val="17"/>
                <w:vertAlign w:val="subscript"/>
              </w:rPr>
              <w:t>50</w:t>
            </w:r>
            <w:r w:rsidRPr="00A70C86">
              <w:rPr>
                <w:rFonts w:ascii="Arial" w:hAnsi="Arial" w:cs="Arial"/>
                <w:sz w:val="17"/>
                <w:szCs w:val="17"/>
              </w:rPr>
              <w:t xml:space="preserve"> &gt;600 g ac/ha</w:t>
            </w:r>
            <w:r w:rsidR="00C07F2C" w:rsidRPr="00A70C86">
              <w:rPr>
                <w:rFonts w:ascii="Arial" w:hAnsi="Arial" w:cs="Arial"/>
                <w:sz w:val="17"/>
                <w:szCs w:val="17"/>
              </w:rPr>
              <w:br/>
            </w:r>
            <w:r w:rsidRPr="00A70C86">
              <w:rPr>
                <w:rFonts w:ascii="Arial" w:hAnsi="Arial" w:cs="Arial"/>
                <w:sz w:val="17"/>
                <w:szCs w:val="17"/>
              </w:rPr>
              <w:t>Petto 1993</w:t>
            </w:r>
          </w:p>
        </w:tc>
        <w:tc>
          <w:tcPr>
            <w:tcW w:w="0" w:type="auto"/>
            <w:tcBorders>
              <w:top w:val="single" w:sz="4" w:space="0" w:color="auto"/>
              <w:left w:val="nil"/>
              <w:bottom w:val="single" w:sz="4" w:space="0" w:color="auto"/>
              <w:right w:val="nil"/>
            </w:tcBorders>
          </w:tcPr>
          <w:p w14:paraId="664D8BE5"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Not expected to be toxic</w:t>
            </w:r>
          </w:p>
        </w:tc>
      </w:tr>
    </w:tbl>
    <w:p w14:paraId="022A38A2" w14:textId="6D8A40B9" w:rsidR="00017CE7" w:rsidRPr="00D63217" w:rsidRDefault="0022632D" w:rsidP="00017CE7">
      <w:pPr>
        <w:pStyle w:val="Caption"/>
      </w:pPr>
      <w:bookmarkStart w:id="696" w:name="_Toc230692338"/>
      <w:bookmarkStart w:id="697" w:name="_Toc233036559"/>
      <w:r w:rsidRPr="00A70C86">
        <w:lastRenderedPageBreak/>
        <w:t xml:space="preserve">Table </w:t>
      </w:r>
      <w:fldSimple w:instr=" SEQ Table \* ARABIC ">
        <w:r w:rsidR="00A70C86">
          <w:rPr>
            <w:noProof/>
          </w:rPr>
          <w:t>72</w:t>
        </w:r>
      </w:fldSimple>
      <w:r w:rsidRPr="00A70C86">
        <w:t xml:space="preserve">: </w:t>
      </w:r>
      <w:r w:rsidR="00017CE7" w:rsidRPr="00A70C86">
        <w:t>Diquat/paraquat combination products</w:t>
      </w:r>
      <w:r w:rsidR="00017CE7" w:rsidRPr="00D63217">
        <w:t>: short-term effects on soil organisms</w:t>
      </w:r>
      <w:bookmarkEnd w:id="696"/>
      <w:bookmarkEnd w:id="697"/>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37"/>
        <w:gridCol w:w="1663"/>
        <w:gridCol w:w="2076"/>
        <w:gridCol w:w="2076"/>
        <w:gridCol w:w="1938"/>
      </w:tblGrid>
      <w:tr w:rsidR="00017CE7" w:rsidRPr="00D63217" w14:paraId="5902A5EF" w14:textId="77777777" w:rsidTr="00AB20F4">
        <w:trPr>
          <w:cantSplit/>
          <w:tblHeader/>
        </w:trPr>
        <w:tc>
          <w:tcPr>
            <w:tcW w:w="999" w:type="pct"/>
            <w:tcBorders>
              <w:bottom w:val="single" w:sz="4" w:space="0" w:color="auto"/>
            </w:tcBorders>
            <w:shd w:val="clear" w:color="auto" w:fill="5C2946"/>
          </w:tcPr>
          <w:p w14:paraId="28CB3D93" w14:textId="77777777" w:rsidR="00017CE7" w:rsidRPr="00D63217" w:rsidRDefault="00017CE7" w:rsidP="00AB20F4">
            <w:pPr>
              <w:pStyle w:val="TableHead"/>
            </w:pPr>
            <w:r w:rsidRPr="00D63217">
              <w:t>Group</w:t>
            </w:r>
          </w:p>
        </w:tc>
        <w:tc>
          <w:tcPr>
            <w:tcW w:w="858" w:type="pct"/>
            <w:tcBorders>
              <w:bottom w:val="single" w:sz="4" w:space="0" w:color="auto"/>
            </w:tcBorders>
            <w:shd w:val="clear" w:color="auto" w:fill="5C2946"/>
          </w:tcPr>
          <w:p w14:paraId="1805F604" w14:textId="77777777" w:rsidR="00017CE7" w:rsidRPr="00D63217" w:rsidRDefault="00017CE7" w:rsidP="00AB20F4">
            <w:pPr>
              <w:pStyle w:val="TableHead"/>
            </w:pPr>
            <w:r w:rsidRPr="00D63217">
              <w:t>Species/process</w:t>
            </w:r>
          </w:p>
        </w:tc>
        <w:tc>
          <w:tcPr>
            <w:tcW w:w="1071" w:type="pct"/>
            <w:tcBorders>
              <w:bottom w:val="single" w:sz="4" w:space="0" w:color="auto"/>
            </w:tcBorders>
            <w:shd w:val="clear" w:color="auto" w:fill="5C2946"/>
          </w:tcPr>
          <w:p w14:paraId="37BBB81E" w14:textId="77777777" w:rsidR="00017CE7" w:rsidRPr="00D63217" w:rsidRDefault="00017CE7" w:rsidP="00AB20F4">
            <w:pPr>
              <w:pStyle w:val="TableHead"/>
            </w:pPr>
            <w:r w:rsidRPr="00D63217">
              <w:t>0.46 diquat</w:t>
            </w:r>
            <w:r w:rsidRPr="00D63217">
              <w:rPr>
                <w:rStyle w:val="FootnoteReference"/>
                <w:b/>
                <w:sz w:val="17"/>
                <w:szCs w:val="17"/>
              </w:rPr>
              <w:footnoteReference w:id="58"/>
            </w:r>
          </w:p>
        </w:tc>
        <w:tc>
          <w:tcPr>
            <w:tcW w:w="1071" w:type="pct"/>
            <w:tcBorders>
              <w:bottom w:val="single" w:sz="4" w:space="0" w:color="auto"/>
            </w:tcBorders>
            <w:shd w:val="clear" w:color="auto" w:fill="5C2946"/>
          </w:tcPr>
          <w:p w14:paraId="3793275F" w14:textId="77777777" w:rsidR="00017CE7" w:rsidRPr="00D63217" w:rsidRDefault="00017CE7" w:rsidP="00AB20F4">
            <w:pPr>
              <w:pStyle w:val="TableHead"/>
            </w:pPr>
            <w:r w:rsidRPr="00D63217">
              <w:t>0.54 paraquat</w:t>
            </w:r>
            <w:r w:rsidRPr="00D63217">
              <w:rPr>
                <w:rStyle w:val="FootnoteReference"/>
                <w:b/>
                <w:sz w:val="17"/>
                <w:szCs w:val="17"/>
              </w:rPr>
              <w:footnoteReference w:id="59"/>
            </w:r>
          </w:p>
        </w:tc>
        <w:tc>
          <w:tcPr>
            <w:tcW w:w="1000" w:type="pct"/>
            <w:tcBorders>
              <w:bottom w:val="single" w:sz="4" w:space="0" w:color="auto"/>
            </w:tcBorders>
            <w:shd w:val="clear" w:color="auto" w:fill="5C2946"/>
          </w:tcPr>
          <w:p w14:paraId="235A4480" w14:textId="77777777" w:rsidR="00017CE7" w:rsidRPr="00D63217" w:rsidRDefault="00017CE7" w:rsidP="00AB20F4">
            <w:pPr>
              <w:pStyle w:val="TableHead"/>
            </w:pPr>
            <w:r w:rsidRPr="00D63217">
              <w:t>1.00 combination</w:t>
            </w:r>
            <w:r w:rsidRPr="00D63217">
              <w:rPr>
                <w:rStyle w:val="FootnoteReference"/>
                <w:b/>
                <w:sz w:val="17"/>
                <w:szCs w:val="17"/>
              </w:rPr>
              <w:footnoteReference w:id="60"/>
            </w:r>
          </w:p>
        </w:tc>
      </w:tr>
      <w:tr w:rsidR="00017CE7" w:rsidRPr="00D63217" w14:paraId="466B3997" w14:textId="77777777" w:rsidTr="007D1EF1">
        <w:trPr>
          <w:cantSplit/>
        </w:trPr>
        <w:tc>
          <w:tcPr>
            <w:tcW w:w="999" w:type="pct"/>
            <w:tcBorders>
              <w:top w:val="single" w:sz="4" w:space="0" w:color="auto"/>
              <w:left w:val="nil"/>
              <w:bottom w:val="nil"/>
              <w:right w:val="nil"/>
            </w:tcBorders>
          </w:tcPr>
          <w:p w14:paraId="55A4ADF2"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Macro-organisms</w:t>
            </w:r>
          </w:p>
        </w:tc>
        <w:tc>
          <w:tcPr>
            <w:tcW w:w="858" w:type="pct"/>
            <w:tcBorders>
              <w:top w:val="single" w:sz="4" w:space="0" w:color="auto"/>
              <w:left w:val="nil"/>
              <w:bottom w:val="nil"/>
              <w:right w:val="nil"/>
            </w:tcBorders>
          </w:tcPr>
          <w:p w14:paraId="29B1FAE0"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i/>
                <w:iCs/>
                <w:sz w:val="17"/>
                <w:szCs w:val="17"/>
              </w:rPr>
              <w:t>Eisenia fetida</w:t>
            </w:r>
          </w:p>
        </w:tc>
        <w:tc>
          <w:tcPr>
            <w:tcW w:w="1071" w:type="pct"/>
            <w:tcBorders>
              <w:top w:val="single" w:sz="4" w:space="0" w:color="auto"/>
              <w:left w:val="nil"/>
              <w:bottom w:val="nil"/>
              <w:right w:val="nil"/>
            </w:tcBorders>
          </w:tcPr>
          <w:p w14:paraId="05DB8766" w14:textId="1FFF2869"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94 mg ac/kg ds</w:t>
            </w:r>
            <w:r w:rsidR="00C07F2C" w:rsidRPr="00A70C86">
              <w:rPr>
                <w:rFonts w:ascii="Arial" w:hAnsi="Arial" w:cs="Arial"/>
                <w:sz w:val="17"/>
                <w:szCs w:val="17"/>
              </w:rPr>
              <w:br/>
            </w:r>
            <w:r w:rsidRPr="00A70C86">
              <w:rPr>
                <w:rFonts w:ascii="Arial" w:hAnsi="Arial" w:cs="Arial"/>
                <w:sz w:val="17"/>
                <w:szCs w:val="17"/>
              </w:rPr>
              <w:t>Bender 2006b</w:t>
            </w:r>
          </w:p>
        </w:tc>
        <w:tc>
          <w:tcPr>
            <w:tcW w:w="1071" w:type="pct"/>
            <w:tcBorders>
              <w:top w:val="single" w:sz="4" w:space="0" w:color="auto"/>
              <w:left w:val="nil"/>
              <w:bottom w:val="nil"/>
              <w:right w:val="nil"/>
            </w:tcBorders>
          </w:tcPr>
          <w:p w14:paraId="0214AE90" w14:textId="02D511E1"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LC</w:t>
            </w:r>
            <w:r w:rsidRPr="00A70C86">
              <w:rPr>
                <w:rFonts w:ascii="Arial" w:hAnsi="Arial" w:cs="Arial"/>
                <w:sz w:val="17"/>
                <w:szCs w:val="17"/>
                <w:vertAlign w:val="subscript"/>
              </w:rPr>
              <w:t>50</w:t>
            </w:r>
            <w:r w:rsidRPr="00A70C86">
              <w:rPr>
                <w:rFonts w:ascii="Arial" w:hAnsi="Arial" w:cs="Arial"/>
                <w:sz w:val="17"/>
                <w:szCs w:val="17"/>
              </w:rPr>
              <w:t xml:space="preserve"> &gt;1000 mg ac/kg ds</w:t>
            </w:r>
            <w:r w:rsidR="00C07F2C" w:rsidRPr="00A70C86">
              <w:rPr>
                <w:rFonts w:ascii="Arial" w:hAnsi="Arial" w:cs="Arial"/>
                <w:sz w:val="17"/>
                <w:szCs w:val="17"/>
              </w:rPr>
              <w:br/>
            </w:r>
            <w:r w:rsidRPr="00A70C86">
              <w:rPr>
                <w:rFonts w:ascii="Arial" w:hAnsi="Arial" w:cs="Arial"/>
                <w:sz w:val="17"/>
                <w:szCs w:val="17"/>
              </w:rPr>
              <w:t>Bender 2006b</w:t>
            </w:r>
          </w:p>
        </w:tc>
        <w:tc>
          <w:tcPr>
            <w:tcW w:w="1000" w:type="pct"/>
            <w:tcBorders>
              <w:top w:val="single" w:sz="4" w:space="0" w:color="auto"/>
              <w:left w:val="nil"/>
              <w:bottom w:val="nil"/>
              <w:right w:val="nil"/>
            </w:tcBorders>
          </w:tcPr>
          <w:p w14:paraId="6E798188"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Any toxicity would be attributed to diquat</w:t>
            </w:r>
          </w:p>
        </w:tc>
      </w:tr>
      <w:tr w:rsidR="00017CE7" w:rsidRPr="00D63217" w14:paraId="4B18B802" w14:textId="77777777" w:rsidTr="007D1EF1">
        <w:trPr>
          <w:cantSplit/>
        </w:trPr>
        <w:tc>
          <w:tcPr>
            <w:tcW w:w="999" w:type="pct"/>
            <w:tcBorders>
              <w:top w:val="nil"/>
              <w:left w:val="nil"/>
              <w:bottom w:val="single" w:sz="4" w:space="0" w:color="auto"/>
              <w:right w:val="nil"/>
            </w:tcBorders>
          </w:tcPr>
          <w:p w14:paraId="1A8D3817"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Micro-organisms</w:t>
            </w:r>
          </w:p>
        </w:tc>
        <w:tc>
          <w:tcPr>
            <w:tcW w:w="858" w:type="pct"/>
            <w:tcBorders>
              <w:top w:val="nil"/>
              <w:left w:val="nil"/>
              <w:bottom w:val="single" w:sz="4" w:space="0" w:color="auto"/>
              <w:right w:val="nil"/>
            </w:tcBorders>
          </w:tcPr>
          <w:p w14:paraId="36AD82DA"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Nitrification</w:t>
            </w:r>
          </w:p>
        </w:tc>
        <w:tc>
          <w:tcPr>
            <w:tcW w:w="1071" w:type="pct"/>
            <w:tcBorders>
              <w:top w:val="nil"/>
              <w:left w:val="nil"/>
              <w:bottom w:val="single" w:sz="4" w:space="0" w:color="auto"/>
              <w:right w:val="nil"/>
            </w:tcBorders>
          </w:tcPr>
          <w:p w14:paraId="414B50C9" w14:textId="322BD0C0"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NOEC 500 mg ac/kg ds</w:t>
            </w:r>
            <w:r w:rsidR="00C07F2C" w:rsidRPr="00A70C86">
              <w:rPr>
                <w:rFonts w:ascii="Arial" w:hAnsi="Arial" w:cs="Arial"/>
                <w:sz w:val="17"/>
                <w:szCs w:val="17"/>
              </w:rPr>
              <w:br/>
            </w:r>
            <w:r w:rsidRPr="00A70C86">
              <w:rPr>
                <w:rFonts w:ascii="Arial" w:hAnsi="Arial" w:cs="Arial"/>
                <w:sz w:val="17"/>
                <w:szCs w:val="17"/>
              </w:rPr>
              <w:t>Schu</w:t>
            </w:r>
            <w:r w:rsidR="00E31FB4" w:rsidRPr="00A70C86">
              <w:rPr>
                <w:rFonts w:ascii="Arial" w:hAnsi="Arial" w:cs="Arial"/>
                <w:sz w:val="17"/>
                <w:szCs w:val="17"/>
              </w:rPr>
              <w:t>l</w:t>
            </w:r>
            <w:r w:rsidRPr="00A70C86">
              <w:rPr>
                <w:rFonts w:ascii="Arial" w:hAnsi="Arial" w:cs="Arial"/>
                <w:sz w:val="17"/>
                <w:szCs w:val="17"/>
              </w:rPr>
              <w:t>z 2007b</w:t>
            </w:r>
          </w:p>
        </w:tc>
        <w:tc>
          <w:tcPr>
            <w:tcW w:w="1071" w:type="pct"/>
            <w:tcBorders>
              <w:top w:val="nil"/>
              <w:left w:val="nil"/>
              <w:bottom w:val="single" w:sz="4" w:space="0" w:color="auto"/>
              <w:right w:val="nil"/>
            </w:tcBorders>
          </w:tcPr>
          <w:p w14:paraId="6AD11A50" w14:textId="34F40863" w:rsidR="00017CE7" w:rsidRPr="00A70C86" w:rsidRDefault="00017CE7" w:rsidP="00C07F2C">
            <w:pPr>
              <w:pStyle w:val="BodyText"/>
              <w:widowControl w:val="0"/>
              <w:spacing w:after="0"/>
              <w:rPr>
                <w:rFonts w:ascii="Arial" w:hAnsi="Arial" w:cs="Arial"/>
                <w:sz w:val="17"/>
                <w:szCs w:val="17"/>
              </w:rPr>
            </w:pPr>
            <w:r w:rsidRPr="00A70C86">
              <w:rPr>
                <w:rFonts w:ascii="Arial" w:hAnsi="Arial" w:cs="Arial"/>
                <w:sz w:val="17"/>
                <w:szCs w:val="17"/>
              </w:rPr>
              <w:t>NOEC 120 mg ac/kg ds</w:t>
            </w:r>
            <w:r w:rsidR="00C07F2C" w:rsidRPr="00A70C86">
              <w:rPr>
                <w:rFonts w:ascii="Arial" w:hAnsi="Arial" w:cs="Arial"/>
                <w:sz w:val="17"/>
                <w:szCs w:val="17"/>
              </w:rPr>
              <w:br/>
            </w:r>
            <w:r w:rsidRPr="00A70C86">
              <w:rPr>
                <w:rFonts w:ascii="Arial" w:hAnsi="Arial" w:cs="Arial"/>
                <w:sz w:val="17"/>
                <w:szCs w:val="17"/>
              </w:rPr>
              <w:t>Drew &amp; Davies 1980</w:t>
            </w:r>
          </w:p>
        </w:tc>
        <w:tc>
          <w:tcPr>
            <w:tcW w:w="1000" w:type="pct"/>
            <w:tcBorders>
              <w:top w:val="nil"/>
              <w:left w:val="nil"/>
              <w:bottom w:val="single" w:sz="4" w:space="0" w:color="auto"/>
              <w:right w:val="nil"/>
            </w:tcBorders>
          </w:tcPr>
          <w:p w14:paraId="72EB61ED" w14:textId="77777777" w:rsidR="00017CE7" w:rsidRPr="00A70C86" w:rsidRDefault="00017CE7" w:rsidP="007D1EF1">
            <w:pPr>
              <w:pStyle w:val="BodyText"/>
              <w:widowControl w:val="0"/>
              <w:spacing w:after="0"/>
              <w:rPr>
                <w:rFonts w:ascii="Arial" w:hAnsi="Arial" w:cs="Arial"/>
                <w:sz w:val="17"/>
                <w:szCs w:val="17"/>
              </w:rPr>
            </w:pPr>
            <w:r w:rsidRPr="00A70C86">
              <w:rPr>
                <w:rFonts w:ascii="Arial" w:hAnsi="Arial" w:cs="Arial"/>
                <w:sz w:val="17"/>
                <w:szCs w:val="17"/>
              </w:rPr>
              <w:t>Not expected to be toxic</w:t>
            </w:r>
          </w:p>
        </w:tc>
      </w:tr>
    </w:tbl>
    <w:p w14:paraId="0E5808C2" w14:textId="29B45CCE" w:rsidR="00017CE7" w:rsidRPr="000E6408" w:rsidRDefault="0022632D" w:rsidP="000E6408">
      <w:pPr>
        <w:pStyle w:val="Caption"/>
      </w:pPr>
      <w:bookmarkStart w:id="698" w:name="_Ref220917715"/>
      <w:bookmarkStart w:id="699" w:name="_Toc230692339"/>
      <w:bookmarkStart w:id="700" w:name="_Toc233036560"/>
      <w:r w:rsidRPr="000E6408">
        <w:t xml:space="preserve">Table </w:t>
      </w:r>
      <w:fldSimple w:instr=" SEQ Table \* ARABIC ">
        <w:r w:rsidR="000E6408">
          <w:rPr>
            <w:noProof/>
          </w:rPr>
          <w:t>73</w:t>
        </w:r>
      </w:fldSimple>
      <w:bookmarkEnd w:id="698"/>
      <w:r w:rsidRPr="000E6408">
        <w:t xml:space="preserve">: </w:t>
      </w:r>
      <w:r w:rsidR="00017CE7" w:rsidRPr="000E6408">
        <w:t>Diquat/paraquat combination products: effects on non-target terrestrial plants (post-emergent exposure)</w:t>
      </w:r>
      <w:bookmarkEnd w:id="699"/>
      <w:bookmarkEnd w:id="700"/>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98"/>
        <w:gridCol w:w="1705"/>
        <w:gridCol w:w="2054"/>
        <w:gridCol w:w="2054"/>
        <w:gridCol w:w="1979"/>
      </w:tblGrid>
      <w:tr w:rsidR="0079344F" w:rsidRPr="00D63217" w14:paraId="419BC990" w14:textId="77777777" w:rsidTr="0079344F">
        <w:trPr>
          <w:cantSplit/>
          <w:tblHeader/>
        </w:trPr>
        <w:tc>
          <w:tcPr>
            <w:tcW w:w="979" w:type="pct"/>
            <w:tcBorders>
              <w:bottom w:val="single" w:sz="4" w:space="0" w:color="auto"/>
            </w:tcBorders>
            <w:shd w:val="clear" w:color="auto" w:fill="5C2946"/>
          </w:tcPr>
          <w:p w14:paraId="6254C0C2" w14:textId="77777777" w:rsidR="00017CE7" w:rsidRPr="00D63217" w:rsidRDefault="00017CE7" w:rsidP="00AB20F4">
            <w:pPr>
              <w:pStyle w:val="TableHead"/>
            </w:pPr>
            <w:r w:rsidRPr="00D63217">
              <w:t>Group</w:t>
            </w:r>
          </w:p>
        </w:tc>
        <w:tc>
          <w:tcPr>
            <w:tcW w:w="880" w:type="pct"/>
            <w:tcBorders>
              <w:bottom w:val="single" w:sz="4" w:space="0" w:color="auto"/>
            </w:tcBorders>
            <w:shd w:val="clear" w:color="auto" w:fill="5C2946"/>
          </w:tcPr>
          <w:p w14:paraId="6873BAD9" w14:textId="77777777" w:rsidR="00017CE7" w:rsidRPr="00D63217" w:rsidRDefault="00017CE7" w:rsidP="00AB20F4">
            <w:pPr>
              <w:pStyle w:val="TableHead"/>
            </w:pPr>
            <w:r w:rsidRPr="00D63217">
              <w:t>Species</w:t>
            </w:r>
          </w:p>
        </w:tc>
        <w:tc>
          <w:tcPr>
            <w:tcW w:w="1060" w:type="pct"/>
            <w:tcBorders>
              <w:bottom w:val="single" w:sz="4" w:space="0" w:color="auto"/>
            </w:tcBorders>
            <w:shd w:val="clear" w:color="auto" w:fill="5C2946"/>
          </w:tcPr>
          <w:p w14:paraId="3AD41802" w14:textId="77777777" w:rsidR="00017CE7" w:rsidRPr="00D63217" w:rsidRDefault="00017CE7" w:rsidP="00AB20F4">
            <w:pPr>
              <w:pStyle w:val="TableHead"/>
            </w:pPr>
            <w:r w:rsidRPr="00D63217">
              <w:t>0.46 diquat</w:t>
            </w:r>
            <w:r w:rsidRPr="00D63217">
              <w:rPr>
                <w:rStyle w:val="FootnoteReference"/>
                <w:b/>
                <w:sz w:val="17"/>
                <w:szCs w:val="17"/>
              </w:rPr>
              <w:footnoteReference w:id="61"/>
            </w:r>
          </w:p>
        </w:tc>
        <w:tc>
          <w:tcPr>
            <w:tcW w:w="1060" w:type="pct"/>
            <w:tcBorders>
              <w:bottom w:val="single" w:sz="4" w:space="0" w:color="auto"/>
            </w:tcBorders>
            <w:shd w:val="clear" w:color="auto" w:fill="5C2946"/>
          </w:tcPr>
          <w:p w14:paraId="75A9E442" w14:textId="77777777" w:rsidR="00017CE7" w:rsidRPr="00D63217" w:rsidRDefault="00017CE7" w:rsidP="00AB20F4">
            <w:pPr>
              <w:pStyle w:val="TableHead"/>
            </w:pPr>
            <w:r w:rsidRPr="00D63217">
              <w:t>0.54 paraquat</w:t>
            </w:r>
            <w:r w:rsidRPr="00D63217">
              <w:rPr>
                <w:rStyle w:val="FootnoteReference"/>
                <w:b/>
                <w:sz w:val="17"/>
                <w:szCs w:val="17"/>
              </w:rPr>
              <w:footnoteReference w:id="62"/>
            </w:r>
          </w:p>
        </w:tc>
        <w:tc>
          <w:tcPr>
            <w:tcW w:w="1021" w:type="pct"/>
            <w:tcBorders>
              <w:bottom w:val="single" w:sz="4" w:space="0" w:color="auto"/>
            </w:tcBorders>
            <w:shd w:val="clear" w:color="auto" w:fill="5C2946"/>
          </w:tcPr>
          <w:p w14:paraId="11A6A886" w14:textId="77777777" w:rsidR="00017CE7" w:rsidRPr="00D63217" w:rsidRDefault="00017CE7" w:rsidP="00AB20F4">
            <w:pPr>
              <w:pStyle w:val="TableHead"/>
            </w:pPr>
            <w:r w:rsidRPr="00D63217">
              <w:t>1.00 combination</w:t>
            </w:r>
            <w:r w:rsidRPr="00D63217">
              <w:rPr>
                <w:rStyle w:val="FootnoteReference"/>
                <w:b/>
                <w:sz w:val="17"/>
                <w:szCs w:val="17"/>
              </w:rPr>
              <w:footnoteReference w:id="63"/>
            </w:r>
          </w:p>
        </w:tc>
      </w:tr>
      <w:tr w:rsidR="0079344F" w:rsidRPr="00D63217" w14:paraId="06DE6889" w14:textId="77777777" w:rsidTr="0079344F">
        <w:trPr>
          <w:cantSplit/>
        </w:trPr>
        <w:tc>
          <w:tcPr>
            <w:tcW w:w="979" w:type="pct"/>
            <w:tcBorders>
              <w:top w:val="single" w:sz="4" w:space="0" w:color="auto"/>
              <w:left w:val="nil"/>
              <w:bottom w:val="nil"/>
              <w:right w:val="nil"/>
            </w:tcBorders>
          </w:tcPr>
          <w:p w14:paraId="10906B96" w14:textId="77777777" w:rsidR="00017CE7" w:rsidRPr="000E6408" w:rsidRDefault="00017CE7" w:rsidP="007D1EF1">
            <w:pPr>
              <w:pStyle w:val="BodyText"/>
              <w:widowControl w:val="0"/>
              <w:spacing w:after="0"/>
              <w:rPr>
                <w:rFonts w:ascii="Arial" w:hAnsi="Arial" w:cs="Arial"/>
                <w:sz w:val="17"/>
                <w:szCs w:val="17"/>
              </w:rPr>
            </w:pPr>
            <w:r w:rsidRPr="000E6408">
              <w:rPr>
                <w:rFonts w:ascii="Arial" w:hAnsi="Arial" w:cs="Arial"/>
                <w:sz w:val="17"/>
                <w:szCs w:val="17"/>
              </w:rPr>
              <w:t>Monocotyledons</w:t>
            </w:r>
          </w:p>
        </w:tc>
        <w:tc>
          <w:tcPr>
            <w:tcW w:w="880" w:type="pct"/>
            <w:tcBorders>
              <w:top w:val="single" w:sz="4" w:space="0" w:color="auto"/>
              <w:left w:val="nil"/>
              <w:bottom w:val="nil"/>
              <w:right w:val="nil"/>
            </w:tcBorders>
          </w:tcPr>
          <w:p w14:paraId="0F7C1DE8"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Zea mays</w:t>
            </w:r>
          </w:p>
        </w:tc>
        <w:tc>
          <w:tcPr>
            <w:tcW w:w="1060" w:type="pct"/>
            <w:vMerge w:val="restart"/>
            <w:tcBorders>
              <w:top w:val="single" w:sz="4" w:space="0" w:color="auto"/>
              <w:left w:val="nil"/>
              <w:right w:val="nil"/>
            </w:tcBorders>
          </w:tcPr>
          <w:p w14:paraId="62D0CEB5" w14:textId="5210BE6D" w:rsidR="00017CE7" w:rsidRPr="000E6408" w:rsidRDefault="00017CE7" w:rsidP="00C07F2C">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205 g ac/ha</w:t>
            </w:r>
            <w:r w:rsidR="00C07F2C" w:rsidRPr="000E6408">
              <w:rPr>
                <w:rFonts w:ascii="Arial" w:hAnsi="Arial" w:cs="Arial"/>
                <w:sz w:val="17"/>
                <w:szCs w:val="17"/>
              </w:rPr>
              <w:br/>
            </w:r>
            <w:r w:rsidRPr="000E6408">
              <w:rPr>
                <w:rFonts w:ascii="Arial" w:hAnsi="Arial" w:cs="Arial"/>
                <w:sz w:val="17"/>
                <w:szCs w:val="17"/>
              </w:rPr>
              <w:t>Bellet 1990b</w:t>
            </w:r>
            <w:r w:rsidR="00C07F2C" w:rsidRPr="000E6408">
              <w:rPr>
                <w:rFonts w:ascii="Arial" w:hAnsi="Arial" w:cs="Arial"/>
                <w:sz w:val="17"/>
                <w:szCs w:val="17"/>
              </w:rPr>
              <w:br/>
            </w:r>
            <w:r w:rsidRPr="000E6408">
              <w:rPr>
                <w:rFonts w:ascii="Arial" w:hAnsi="Arial" w:cs="Arial"/>
                <w:sz w:val="17"/>
                <w:szCs w:val="17"/>
              </w:rPr>
              <w:t>Martin 2013</w:t>
            </w:r>
            <w:r w:rsidR="00C07F2C" w:rsidRPr="000E6408">
              <w:rPr>
                <w:rFonts w:ascii="Arial" w:hAnsi="Arial" w:cs="Arial"/>
                <w:sz w:val="17"/>
                <w:szCs w:val="17"/>
              </w:rPr>
              <w:br/>
            </w:r>
            <w:r w:rsidRPr="000E6408">
              <w:rPr>
                <w:rFonts w:ascii="Arial" w:hAnsi="Arial" w:cs="Arial"/>
                <w:sz w:val="17"/>
                <w:szCs w:val="17"/>
              </w:rPr>
              <w:t>Porch &amp; Krueger 1999</w:t>
            </w:r>
          </w:p>
        </w:tc>
        <w:tc>
          <w:tcPr>
            <w:tcW w:w="1060" w:type="pct"/>
            <w:vMerge w:val="restart"/>
            <w:tcBorders>
              <w:top w:val="single" w:sz="4" w:space="0" w:color="auto"/>
              <w:left w:val="nil"/>
              <w:right w:val="nil"/>
            </w:tcBorders>
          </w:tcPr>
          <w:p w14:paraId="658D0ED9" w14:textId="397A1ADF"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207 g ac/ha</w:t>
            </w:r>
            <w:r w:rsidR="00AB20F4" w:rsidRPr="000E6408">
              <w:rPr>
                <w:rFonts w:ascii="Arial" w:hAnsi="Arial" w:cs="Arial"/>
                <w:sz w:val="17"/>
                <w:szCs w:val="17"/>
              </w:rPr>
              <w:br/>
            </w:r>
            <w:r w:rsidRPr="000E6408">
              <w:rPr>
                <w:rFonts w:ascii="Arial" w:hAnsi="Arial" w:cs="Arial"/>
                <w:sz w:val="17"/>
                <w:szCs w:val="17"/>
              </w:rPr>
              <w:t>Canning &amp; White 1992</w:t>
            </w:r>
            <w:r w:rsidR="00AB20F4" w:rsidRPr="000E6408">
              <w:rPr>
                <w:rFonts w:ascii="Arial" w:hAnsi="Arial" w:cs="Arial"/>
                <w:sz w:val="17"/>
                <w:szCs w:val="17"/>
              </w:rPr>
              <w:br/>
            </w:r>
            <w:r w:rsidRPr="000E6408">
              <w:rPr>
                <w:rFonts w:ascii="Arial" w:hAnsi="Arial" w:cs="Arial"/>
                <w:sz w:val="17"/>
                <w:szCs w:val="17"/>
              </w:rPr>
              <w:t>Martin 2014</w:t>
            </w:r>
          </w:p>
        </w:tc>
        <w:tc>
          <w:tcPr>
            <w:tcW w:w="1021" w:type="pct"/>
            <w:tcBorders>
              <w:top w:val="single" w:sz="4" w:space="0" w:color="auto"/>
              <w:left w:val="nil"/>
              <w:bottom w:val="nil"/>
              <w:right w:val="nil"/>
            </w:tcBorders>
          </w:tcPr>
          <w:p w14:paraId="0D295CEB" w14:textId="480D1BFF"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206 g acs/ha</w:t>
            </w:r>
          </w:p>
        </w:tc>
      </w:tr>
      <w:tr w:rsidR="0079344F" w:rsidRPr="00D63217" w14:paraId="5536F7D2" w14:textId="77777777" w:rsidTr="0079344F">
        <w:trPr>
          <w:cantSplit/>
        </w:trPr>
        <w:tc>
          <w:tcPr>
            <w:tcW w:w="979" w:type="pct"/>
            <w:tcBorders>
              <w:top w:val="nil"/>
              <w:left w:val="nil"/>
              <w:bottom w:val="nil"/>
              <w:right w:val="nil"/>
            </w:tcBorders>
          </w:tcPr>
          <w:p w14:paraId="1D5CF5FC"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12559074" w14:textId="77777777" w:rsidR="00017CE7" w:rsidRPr="000E6408" w:rsidRDefault="00017CE7" w:rsidP="007D1EF1">
            <w:pPr>
              <w:pStyle w:val="BodyText"/>
              <w:widowControl w:val="0"/>
              <w:spacing w:after="0"/>
              <w:rPr>
                <w:rFonts w:ascii="Arial" w:hAnsi="Arial" w:cs="Arial"/>
                <w:i/>
                <w:iCs/>
                <w:sz w:val="17"/>
                <w:szCs w:val="17"/>
              </w:rPr>
            </w:pPr>
          </w:p>
        </w:tc>
        <w:tc>
          <w:tcPr>
            <w:tcW w:w="1060" w:type="pct"/>
            <w:vMerge/>
            <w:tcBorders>
              <w:left w:val="nil"/>
              <w:bottom w:val="single" w:sz="4" w:space="0" w:color="auto"/>
              <w:right w:val="nil"/>
            </w:tcBorders>
          </w:tcPr>
          <w:p w14:paraId="779365B0" w14:textId="77777777" w:rsidR="00017CE7" w:rsidRPr="000E6408" w:rsidRDefault="00017CE7" w:rsidP="007D1EF1">
            <w:pPr>
              <w:pStyle w:val="BodyText"/>
              <w:widowControl w:val="0"/>
              <w:spacing w:after="0"/>
              <w:rPr>
                <w:rFonts w:ascii="Arial" w:hAnsi="Arial" w:cs="Arial"/>
                <w:sz w:val="17"/>
                <w:szCs w:val="17"/>
              </w:rPr>
            </w:pPr>
          </w:p>
        </w:tc>
        <w:tc>
          <w:tcPr>
            <w:tcW w:w="1060" w:type="pct"/>
            <w:vMerge/>
            <w:tcBorders>
              <w:left w:val="nil"/>
              <w:bottom w:val="single" w:sz="4" w:space="0" w:color="auto"/>
              <w:right w:val="nil"/>
            </w:tcBorders>
          </w:tcPr>
          <w:p w14:paraId="6CB10FF0"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7FFAD7D5" w14:textId="1CEF5475"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46% + 54%</w:t>
            </w:r>
          </w:p>
        </w:tc>
      </w:tr>
      <w:tr w:rsidR="0079344F" w:rsidRPr="00D63217" w14:paraId="142087B2" w14:textId="77777777" w:rsidTr="0079344F">
        <w:trPr>
          <w:cantSplit/>
        </w:trPr>
        <w:tc>
          <w:tcPr>
            <w:tcW w:w="979" w:type="pct"/>
            <w:tcBorders>
              <w:top w:val="nil"/>
              <w:left w:val="nil"/>
              <w:bottom w:val="nil"/>
              <w:right w:val="nil"/>
            </w:tcBorders>
          </w:tcPr>
          <w:p w14:paraId="38CE0D6E"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single" w:sz="4" w:space="0" w:color="auto"/>
              <w:left w:val="nil"/>
              <w:bottom w:val="nil"/>
              <w:right w:val="nil"/>
            </w:tcBorders>
          </w:tcPr>
          <w:p w14:paraId="53E5FC24"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Allium cepa</w:t>
            </w:r>
          </w:p>
        </w:tc>
        <w:tc>
          <w:tcPr>
            <w:tcW w:w="1060" w:type="pct"/>
            <w:vMerge w:val="restart"/>
            <w:tcBorders>
              <w:top w:val="single" w:sz="4" w:space="0" w:color="auto"/>
              <w:left w:val="nil"/>
              <w:right w:val="nil"/>
            </w:tcBorders>
          </w:tcPr>
          <w:p w14:paraId="4EF8AB1D" w14:textId="20C02947"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252 g ac/ha</w:t>
            </w:r>
            <w:r w:rsidR="00AB20F4" w:rsidRPr="000E6408">
              <w:rPr>
                <w:rFonts w:ascii="Arial" w:hAnsi="Arial" w:cs="Arial"/>
                <w:sz w:val="17"/>
                <w:szCs w:val="17"/>
              </w:rPr>
              <w:br/>
            </w:r>
            <w:r w:rsidRPr="000E6408">
              <w:rPr>
                <w:rFonts w:ascii="Arial" w:hAnsi="Arial" w:cs="Arial"/>
                <w:sz w:val="17"/>
                <w:szCs w:val="17"/>
              </w:rPr>
              <w:t>Bellet 1990b</w:t>
            </w:r>
            <w:r w:rsidR="00AB20F4" w:rsidRPr="000E6408">
              <w:rPr>
                <w:rFonts w:ascii="Arial" w:hAnsi="Arial" w:cs="Arial"/>
                <w:sz w:val="17"/>
                <w:szCs w:val="17"/>
              </w:rPr>
              <w:br/>
            </w:r>
            <w:r w:rsidRPr="000E6408">
              <w:rPr>
                <w:rFonts w:ascii="Arial" w:hAnsi="Arial" w:cs="Arial"/>
                <w:sz w:val="17"/>
                <w:szCs w:val="17"/>
              </w:rPr>
              <w:t>Martin 2013</w:t>
            </w:r>
          </w:p>
        </w:tc>
        <w:tc>
          <w:tcPr>
            <w:tcW w:w="1060" w:type="pct"/>
            <w:tcBorders>
              <w:top w:val="single" w:sz="4" w:space="0" w:color="auto"/>
              <w:left w:val="nil"/>
              <w:bottom w:val="nil"/>
              <w:right w:val="nil"/>
            </w:tcBorders>
          </w:tcPr>
          <w:p w14:paraId="2D152116" w14:textId="34E4FE39"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136 g ac/ha</w:t>
            </w:r>
            <w:r w:rsidR="00AB20F4" w:rsidRPr="000E6408">
              <w:rPr>
                <w:rFonts w:ascii="Arial" w:hAnsi="Arial" w:cs="Arial"/>
                <w:sz w:val="17"/>
                <w:szCs w:val="17"/>
              </w:rPr>
              <w:br/>
            </w:r>
            <w:r w:rsidRPr="000E6408">
              <w:rPr>
                <w:rFonts w:ascii="Arial" w:hAnsi="Arial" w:cs="Arial"/>
                <w:sz w:val="17"/>
                <w:szCs w:val="17"/>
              </w:rPr>
              <w:t>Martin 2014</w:t>
            </w:r>
          </w:p>
        </w:tc>
        <w:tc>
          <w:tcPr>
            <w:tcW w:w="1021" w:type="pct"/>
            <w:tcBorders>
              <w:top w:val="single" w:sz="4" w:space="0" w:color="auto"/>
              <w:left w:val="nil"/>
              <w:bottom w:val="nil"/>
              <w:right w:val="nil"/>
            </w:tcBorders>
          </w:tcPr>
          <w:p w14:paraId="73A1755E" w14:textId="0F5FB379"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173 g acs/ha</w:t>
            </w:r>
          </w:p>
        </w:tc>
      </w:tr>
      <w:tr w:rsidR="0079344F" w:rsidRPr="00D63217" w14:paraId="54AEB12B" w14:textId="77777777" w:rsidTr="0079344F">
        <w:trPr>
          <w:cantSplit/>
        </w:trPr>
        <w:tc>
          <w:tcPr>
            <w:tcW w:w="979" w:type="pct"/>
            <w:tcBorders>
              <w:top w:val="nil"/>
              <w:left w:val="nil"/>
              <w:bottom w:val="nil"/>
              <w:right w:val="nil"/>
            </w:tcBorders>
          </w:tcPr>
          <w:p w14:paraId="3F02648C"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59D82121" w14:textId="77777777" w:rsidR="00017CE7" w:rsidRPr="000E6408" w:rsidRDefault="00017CE7" w:rsidP="007D1EF1">
            <w:pPr>
              <w:pStyle w:val="BodyText"/>
              <w:widowControl w:val="0"/>
              <w:spacing w:after="0"/>
              <w:rPr>
                <w:rFonts w:ascii="Arial" w:hAnsi="Arial" w:cs="Arial"/>
                <w:i/>
                <w:iCs/>
                <w:sz w:val="17"/>
                <w:szCs w:val="17"/>
              </w:rPr>
            </w:pPr>
          </w:p>
        </w:tc>
        <w:tc>
          <w:tcPr>
            <w:tcW w:w="1060" w:type="pct"/>
            <w:vMerge/>
            <w:tcBorders>
              <w:left w:val="nil"/>
              <w:bottom w:val="single" w:sz="4" w:space="0" w:color="auto"/>
              <w:right w:val="nil"/>
            </w:tcBorders>
          </w:tcPr>
          <w:p w14:paraId="537BD9C3" w14:textId="77777777" w:rsidR="00017CE7" w:rsidRPr="000E6408" w:rsidRDefault="00017CE7" w:rsidP="007D1EF1">
            <w:pPr>
              <w:pStyle w:val="BodyText"/>
              <w:widowControl w:val="0"/>
              <w:spacing w:after="0"/>
              <w:rPr>
                <w:rFonts w:ascii="Arial" w:hAnsi="Arial" w:cs="Arial"/>
                <w:sz w:val="17"/>
                <w:szCs w:val="17"/>
              </w:rPr>
            </w:pPr>
          </w:p>
        </w:tc>
        <w:tc>
          <w:tcPr>
            <w:tcW w:w="1060" w:type="pct"/>
            <w:tcBorders>
              <w:top w:val="nil"/>
              <w:left w:val="nil"/>
              <w:bottom w:val="single" w:sz="4" w:space="0" w:color="auto"/>
              <w:right w:val="nil"/>
            </w:tcBorders>
          </w:tcPr>
          <w:p w14:paraId="515DE176"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0C989592" w14:textId="01A6D72F"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31% + 69%</w:t>
            </w:r>
          </w:p>
        </w:tc>
      </w:tr>
      <w:tr w:rsidR="0079344F" w:rsidRPr="00D63217" w14:paraId="7718C24B" w14:textId="77777777" w:rsidTr="0079344F">
        <w:trPr>
          <w:cantSplit/>
        </w:trPr>
        <w:tc>
          <w:tcPr>
            <w:tcW w:w="979" w:type="pct"/>
            <w:tcBorders>
              <w:top w:val="nil"/>
              <w:left w:val="nil"/>
              <w:bottom w:val="nil"/>
              <w:right w:val="nil"/>
            </w:tcBorders>
          </w:tcPr>
          <w:p w14:paraId="4CCFA220"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single" w:sz="4" w:space="0" w:color="auto"/>
              <w:left w:val="nil"/>
              <w:bottom w:val="nil"/>
              <w:right w:val="nil"/>
            </w:tcBorders>
          </w:tcPr>
          <w:p w14:paraId="548B87DB"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Lolium perenne</w:t>
            </w:r>
          </w:p>
        </w:tc>
        <w:tc>
          <w:tcPr>
            <w:tcW w:w="1060" w:type="pct"/>
            <w:tcBorders>
              <w:top w:val="single" w:sz="4" w:space="0" w:color="auto"/>
              <w:left w:val="nil"/>
              <w:bottom w:val="nil"/>
              <w:right w:val="nil"/>
            </w:tcBorders>
          </w:tcPr>
          <w:p w14:paraId="600DD00F" w14:textId="4B0711C0"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445 g ac/ha</w:t>
            </w:r>
            <w:r w:rsidR="00AB20F4" w:rsidRPr="000E6408">
              <w:rPr>
                <w:rFonts w:ascii="Arial" w:hAnsi="Arial" w:cs="Arial"/>
                <w:sz w:val="17"/>
                <w:szCs w:val="17"/>
              </w:rPr>
              <w:br/>
            </w:r>
            <w:r w:rsidRPr="000E6408">
              <w:rPr>
                <w:rFonts w:ascii="Arial" w:hAnsi="Arial" w:cs="Arial"/>
                <w:sz w:val="17"/>
                <w:szCs w:val="17"/>
              </w:rPr>
              <w:t>Martin 2013</w:t>
            </w:r>
          </w:p>
        </w:tc>
        <w:tc>
          <w:tcPr>
            <w:tcW w:w="1060" w:type="pct"/>
            <w:tcBorders>
              <w:top w:val="single" w:sz="4" w:space="0" w:color="auto"/>
              <w:left w:val="nil"/>
              <w:bottom w:val="nil"/>
              <w:right w:val="nil"/>
            </w:tcBorders>
          </w:tcPr>
          <w:p w14:paraId="7F3E792D" w14:textId="30DFFFC7"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35 g ac/ha</w:t>
            </w:r>
            <w:r w:rsidR="00AB20F4" w:rsidRPr="000E6408">
              <w:rPr>
                <w:rFonts w:ascii="Arial" w:hAnsi="Arial" w:cs="Arial"/>
                <w:sz w:val="17"/>
                <w:szCs w:val="17"/>
              </w:rPr>
              <w:br/>
            </w:r>
            <w:r w:rsidRPr="000E6408">
              <w:rPr>
                <w:rFonts w:ascii="Arial" w:hAnsi="Arial" w:cs="Arial"/>
                <w:sz w:val="17"/>
                <w:szCs w:val="17"/>
              </w:rPr>
              <w:t>Martin 2014</w:t>
            </w:r>
          </w:p>
        </w:tc>
        <w:tc>
          <w:tcPr>
            <w:tcW w:w="1021" w:type="pct"/>
            <w:tcBorders>
              <w:top w:val="single" w:sz="4" w:space="0" w:color="auto"/>
              <w:left w:val="nil"/>
              <w:bottom w:val="nil"/>
              <w:right w:val="nil"/>
            </w:tcBorders>
          </w:tcPr>
          <w:p w14:paraId="2AEA3C51" w14:textId="74F5D40B"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61 g acs/ha</w:t>
            </w:r>
          </w:p>
        </w:tc>
      </w:tr>
      <w:tr w:rsidR="0079344F" w:rsidRPr="00D63217" w14:paraId="4EC91D0B" w14:textId="77777777" w:rsidTr="0079344F">
        <w:trPr>
          <w:cantSplit/>
        </w:trPr>
        <w:tc>
          <w:tcPr>
            <w:tcW w:w="979" w:type="pct"/>
            <w:tcBorders>
              <w:top w:val="nil"/>
              <w:left w:val="nil"/>
              <w:bottom w:val="nil"/>
              <w:right w:val="nil"/>
            </w:tcBorders>
          </w:tcPr>
          <w:p w14:paraId="0BE2B368"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13094F83" w14:textId="77777777" w:rsidR="00017CE7" w:rsidRPr="000E6408" w:rsidRDefault="00017CE7" w:rsidP="007D1EF1">
            <w:pPr>
              <w:pStyle w:val="BodyText"/>
              <w:widowControl w:val="0"/>
              <w:spacing w:after="0"/>
              <w:rPr>
                <w:rFonts w:ascii="Arial" w:hAnsi="Arial" w:cs="Arial"/>
                <w:i/>
                <w:iCs/>
                <w:sz w:val="17"/>
                <w:szCs w:val="17"/>
              </w:rPr>
            </w:pPr>
          </w:p>
        </w:tc>
        <w:tc>
          <w:tcPr>
            <w:tcW w:w="1060" w:type="pct"/>
            <w:tcBorders>
              <w:top w:val="nil"/>
              <w:left w:val="nil"/>
              <w:bottom w:val="single" w:sz="4" w:space="0" w:color="auto"/>
              <w:right w:val="nil"/>
            </w:tcBorders>
          </w:tcPr>
          <w:p w14:paraId="673C06F1" w14:textId="77777777" w:rsidR="00017CE7" w:rsidRPr="000E6408" w:rsidRDefault="00017CE7" w:rsidP="007D1EF1">
            <w:pPr>
              <w:pStyle w:val="BodyText"/>
              <w:widowControl w:val="0"/>
              <w:spacing w:after="0"/>
              <w:rPr>
                <w:rFonts w:ascii="Arial" w:hAnsi="Arial" w:cs="Arial"/>
                <w:sz w:val="17"/>
                <w:szCs w:val="17"/>
              </w:rPr>
            </w:pPr>
          </w:p>
        </w:tc>
        <w:tc>
          <w:tcPr>
            <w:tcW w:w="1060" w:type="pct"/>
            <w:tcBorders>
              <w:top w:val="nil"/>
              <w:left w:val="nil"/>
              <w:bottom w:val="single" w:sz="4" w:space="0" w:color="auto"/>
              <w:right w:val="nil"/>
            </w:tcBorders>
          </w:tcPr>
          <w:p w14:paraId="04E327CB"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0130F8E5" w14:textId="2A6ADD81"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6% + 91%</w:t>
            </w:r>
          </w:p>
        </w:tc>
      </w:tr>
      <w:tr w:rsidR="0079344F" w:rsidRPr="00D63217" w14:paraId="6D9933C8" w14:textId="77777777" w:rsidTr="0079344F">
        <w:trPr>
          <w:cantSplit/>
        </w:trPr>
        <w:tc>
          <w:tcPr>
            <w:tcW w:w="979" w:type="pct"/>
            <w:tcBorders>
              <w:top w:val="nil"/>
              <w:left w:val="nil"/>
              <w:bottom w:val="nil"/>
              <w:right w:val="nil"/>
            </w:tcBorders>
          </w:tcPr>
          <w:p w14:paraId="146BFD27"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single" w:sz="4" w:space="0" w:color="auto"/>
              <w:left w:val="nil"/>
              <w:bottom w:val="nil"/>
              <w:right w:val="nil"/>
            </w:tcBorders>
          </w:tcPr>
          <w:p w14:paraId="0DDB6B0E"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Avena sativa</w:t>
            </w:r>
          </w:p>
        </w:tc>
        <w:tc>
          <w:tcPr>
            <w:tcW w:w="1060" w:type="pct"/>
            <w:tcBorders>
              <w:top w:val="single" w:sz="4" w:space="0" w:color="auto"/>
              <w:left w:val="nil"/>
              <w:bottom w:val="nil"/>
              <w:right w:val="nil"/>
            </w:tcBorders>
          </w:tcPr>
          <w:p w14:paraId="5927016B" w14:textId="3D0F37A4"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&gt;500 g ac/ha</w:t>
            </w:r>
            <w:r w:rsidR="00AB20F4" w:rsidRPr="000E6408">
              <w:rPr>
                <w:rFonts w:ascii="Arial" w:hAnsi="Arial" w:cs="Arial"/>
                <w:sz w:val="17"/>
                <w:szCs w:val="17"/>
              </w:rPr>
              <w:br/>
            </w:r>
            <w:r w:rsidRPr="000E6408">
              <w:rPr>
                <w:rFonts w:ascii="Arial" w:hAnsi="Arial" w:cs="Arial"/>
                <w:sz w:val="17"/>
                <w:szCs w:val="17"/>
              </w:rPr>
              <w:t>Martin 2013</w:t>
            </w:r>
          </w:p>
        </w:tc>
        <w:tc>
          <w:tcPr>
            <w:tcW w:w="1060" w:type="pct"/>
            <w:tcBorders>
              <w:top w:val="single" w:sz="4" w:space="0" w:color="auto"/>
              <w:left w:val="nil"/>
              <w:bottom w:val="nil"/>
              <w:right w:val="nil"/>
            </w:tcBorders>
          </w:tcPr>
          <w:p w14:paraId="4B213D2C" w14:textId="473B08B6"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108 g ac/ha</w:t>
            </w:r>
            <w:r w:rsidR="00AB20F4" w:rsidRPr="000E6408">
              <w:rPr>
                <w:rFonts w:ascii="Arial" w:hAnsi="Arial" w:cs="Arial"/>
                <w:sz w:val="17"/>
                <w:szCs w:val="17"/>
              </w:rPr>
              <w:br/>
            </w:r>
            <w:r w:rsidRPr="000E6408">
              <w:rPr>
                <w:rFonts w:ascii="Arial" w:hAnsi="Arial" w:cs="Arial"/>
                <w:sz w:val="17"/>
                <w:szCs w:val="17"/>
              </w:rPr>
              <w:t>Martin 2014</w:t>
            </w:r>
          </w:p>
        </w:tc>
        <w:tc>
          <w:tcPr>
            <w:tcW w:w="1021" w:type="pct"/>
            <w:tcBorders>
              <w:top w:val="single" w:sz="4" w:space="0" w:color="auto"/>
              <w:left w:val="nil"/>
              <w:bottom w:val="nil"/>
              <w:right w:val="nil"/>
            </w:tcBorders>
          </w:tcPr>
          <w:p w14:paraId="60606896" w14:textId="3F2A73DE"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&gt;169 g acs/ha</w:t>
            </w:r>
          </w:p>
        </w:tc>
      </w:tr>
      <w:tr w:rsidR="0079344F" w:rsidRPr="00D63217" w14:paraId="5B97B4FA" w14:textId="77777777" w:rsidTr="0079344F">
        <w:trPr>
          <w:cantSplit/>
        </w:trPr>
        <w:tc>
          <w:tcPr>
            <w:tcW w:w="979" w:type="pct"/>
            <w:tcBorders>
              <w:top w:val="nil"/>
              <w:left w:val="nil"/>
              <w:bottom w:val="nil"/>
              <w:right w:val="nil"/>
            </w:tcBorders>
          </w:tcPr>
          <w:p w14:paraId="29647213"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0D790478" w14:textId="77777777" w:rsidR="00017CE7" w:rsidRPr="000E6408" w:rsidRDefault="00017CE7" w:rsidP="007D1EF1">
            <w:pPr>
              <w:pStyle w:val="BodyText"/>
              <w:widowControl w:val="0"/>
              <w:spacing w:after="0"/>
              <w:rPr>
                <w:rFonts w:ascii="Arial" w:hAnsi="Arial" w:cs="Arial"/>
                <w:i/>
                <w:iCs/>
                <w:sz w:val="17"/>
                <w:szCs w:val="17"/>
              </w:rPr>
            </w:pPr>
          </w:p>
        </w:tc>
        <w:tc>
          <w:tcPr>
            <w:tcW w:w="1060" w:type="pct"/>
            <w:tcBorders>
              <w:top w:val="nil"/>
              <w:left w:val="nil"/>
              <w:bottom w:val="single" w:sz="4" w:space="0" w:color="auto"/>
              <w:right w:val="nil"/>
            </w:tcBorders>
          </w:tcPr>
          <w:p w14:paraId="76AD2098" w14:textId="77777777" w:rsidR="00017CE7" w:rsidRPr="000E6408" w:rsidRDefault="00017CE7" w:rsidP="007D1EF1">
            <w:pPr>
              <w:pStyle w:val="BodyText"/>
              <w:widowControl w:val="0"/>
              <w:spacing w:after="0"/>
              <w:rPr>
                <w:rFonts w:ascii="Arial" w:hAnsi="Arial" w:cs="Arial"/>
                <w:sz w:val="17"/>
                <w:szCs w:val="17"/>
              </w:rPr>
            </w:pPr>
          </w:p>
        </w:tc>
        <w:tc>
          <w:tcPr>
            <w:tcW w:w="1060" w:type="pct"/>
            <w:tcBorders>
              <w:top w:val="nil"/>
              <w:left w:val="nil"/>
              <w:bottom w:val="single" w:sz="4" w:space="0" w:color="auto"/>
              <w:right w:val="nil"/>
            </w:tcBorders>
          </w:tcPr>
          <w:p w14:paraId="6AC85F7A"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3DF78435" w14:textId="711EC79B"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≤16% + ≥84%</w:t>
            </w:r>
          </w:p>
        </w:tc>
      </w:tr>
      <w:tr w:rsidR="0079344F" w:rsidRPr="00D63217" w14:paraId="101103D0" w14:textId="77777777" w:rsidTr="0079344F">
        <w:trPr>
          <w:cantSplit/>
        </w:trPr>
        <w:tc>
          <w:tcPr>
            <w:tcW w:w="979" w:type="pct"/>
            <w:tcBorders>
              <w:top w:val="single" w:sz="4" w:space="0" w:color="auto"/>
              <w:left w:val="nil"/>
              <w:bottom w:val="nil"/>
              <w:right w:val="nil"/>
            </w:tcBorders>
          </w:tcPr>
          <w:p w14:paraId="6606BED9" w14:textId="77777777" w:rsidR="00017CE7" w:rsidRPr="000E6408" w:rsidRDefault="00017CE7" w:rsidP="007D1EF1">
            <w:pPr>
              <w:pStyle w:val="BodyText"/>
              <w:widowControl w:val="0"/>
              <w:spacing w:after="0"/>
              <w:rPr>
                <w:rFonts w:ascii="Arial" w:hAnsi="Arial" w:cs="Arial"/>
                <w:sz w:val="17"/>
                <w:szCs w:val="17"/>
              </w:rPr>
            </w:pPr>
            <w:r w:rsidRPr="000E6408">
              <w:rPr>
                <w:rFonts w:ascii="Arial" w:hAnsi="Arial" w:cs="Arial"/>
                <w:sz w:val="17"/>
                <w:szCs w:val="17"/>
              </w:rPr>
              <w:t>Dicotyledons</w:t>
            </w:r>
          </w:p>
        </w:tc>
        <w:tc>
          <w:tcPr>
            <w:tcW w:w="880" w:type="pct"/>
            <w:tcBorders>
              <w:top w:val="single" w:sz="4" w:space="0" w:color="auto"/>
              <w:left w:val="nil"/>
              <w:bottom w:val="nil"/>
              <w:right w:val="nil"/>
            </w:tcBorders>
          </w:tcPr>
          <w:p w14:paraId="2BD4777B" w14:textId="41696555" w:rsidR="00017CE7" w:rsidRPr="000E6408" w:rsidRDefault="00017CE7" w:rsidP="007D1EF1">
            <w:pPr>
              <w:pStyle w:val="BodyText"/>
              <w:widowControl w:val="0"/>
              <w:spacing w:after="0"/>
              <w:rPr>
                <w:rFonts w:ascii="Arial" w:hAnsi="Arial" w:cs="Arial"/>
                <w:sz w:val="17"/>
                <w:szCs w:val="17"/>
              </w:rPr>
            </w:pPr>
            <w:r w:rsidRPr="000E6408">
              <w:rPr>
                <w:rFonts w:ascii="Arial" w:hAnsi="Arial" w:cs="Arial"/>
                <w:i/>
                <w:iCs/>
                <w:sz w:val="17"/>
                <w:szCs w:val="17"/>
              </w:rPr>
              <w:t>Brassica oleracea</w:t>
            </w:r>
            <w:r w:rsidR="0079344F" w:rsidRPr="000E6408">
              <w:rPr>
                <w:rFonts w:ascii="Arial" w:hAnsi="Arial" w:cs="Arial"/>
                <w:i/>
                <w:iCs/>
                <w:sz w:val="17"/>
                <w:szCs w:val="17"/>
              </w:rPr>
              <w:t xml:space="preserve"> / Xanthium strumarium</w:t>
            </w:r>
          </w:p>
        </w:tc>
        <w:tc>
          <w:tcPr>
            <w:tcW w:w="1060" w:type="pct"/>
            <w:tcBorders>
              <w:top w:val="single" w:sz="4" w:space="0" w:color="auto"/>
              <w:left w:val="nil"/>
              <w:bottom w:val="nil"/>
              <w:right w:val="nil"/>
            </w:tcBorders>
          </w:tcPr>
          <w:p w14:paraId="0CD7B123" w14:textId="77777777" w:rsidR="0079344F"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15 g ac/ha</w:t>
            </w:r>
          </w:p>
          <w:p w14:paraId="2548667B" w14:textId="2AA3D062" w:rsidR="00017CE7" w:rsidRPr="000E6408" w:rsidRDefault="0079344F" w:rsidP="00AB20F4">
            <w:pPr>
              <w:pStyle w:val="BodyText"/>
              <w:widowControl w:val="0"/>
              <w:spacing w:after="0"/>
              <w:rPr>
                <w:rFonts w:ascii="Arial" w:hAnsi="Arial" w:cs="Arial"/>
                <w:sz w:val="17"/>
                <w:szCs w:val="17"/>
              </w:rPr>
            </w:pPr>
            <w:r w:rsidRPr="000E6408">
              <w:rPr>
                <w:rFonts w:ascii="Arial" w:hAnsi="Arial" w:cs="Arial"/>
                <w:sz w:val="17"/>
                <w:szCs w:val="17"/>
              </w:rPr>
              <w:t>(</w:t>
            </w:r>
            <w:r w:rsidRPr="000E6408">
              <w:rPr>
                <w:rFonts w:ascii="Arial" w:hAnsi="Arial" w:cs="Arial"/>
                <w:i/>
                <w:iCs/>
                <w:sz w:val="17"/>
                <w:szCs w:val="17"/>
              </w:rPr>
              <w:t>Brassica oleracea</w:t>
            </w:r>
            <w:r w:rsidRPr="000E6408">
              <w:rPr>
                <w:rFonts w:ascii="Arial" w:hAnsi="Arial" w:cs="Arial"/>
                <w:sz w:val="17"/>
                <w:szCs w:val="17"/>
              </w:rPr>
              <w:t>)</w:t>
            </w:r>
            <w:r w:rsidR="00AB20F4" w:rsidRPr="000E6408">
              <w:rPr>
                <w:rFonts w:ascii="Arial" w:hAnsi="Arial" w:cs="Arial"/>
                <w:sz w:val="17"/>
                <w:szCs w:val="17"/>
              </w:rPr>
              <w:br/>
            </w:r>
            <w:r w:rsidR="00017CE7" w:rsidRPr="000E6408">
              <w:rPr>
                <w:rFonts w:ascii="Arial" w:hAnsi="Arial" w:cs="Arial"/>
                <w:sz w:val="17"/>
                <w:szCs w:val="17"/>
              </w:rPr>
              <w:t>Martin 2013</w:t>
            </w:r>
          </w:p>
        </w:tc>
        <w:tc>
          <w:tcPr>
            <w:tcW w:w="1060" w:type="pct"/>
            <w:vMerge w:val="restart"/>
            <w:tcBorders>
              <w:top w:val="single" w:sz="4" w:space="0" w:color="auto"/>
              <w:left w:val="nil"/>
              <w:right w:val="nil"/>
            </w:tcBorders>
          </w:tcPr>
          <w:p w14:paraId="1AAE6CD0" w14:textId="35C5FD4C" w:rsidR="00017CE7" w:rsidRPr="000E6408" w:rsidRDefault="0079344F" w:rsidP="007D1EF1">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25 g ac/ha</w:t>
            </w:r>
          </w:p>
          <w:p w14:paraId="546CAE6E" w14:textId="77777777" w:rsidR="0079344F" w:rsidRPr="000E6408" w:rsidRDefault="0079344F" w:rsidP="007D1EF1">
            <w:pPr>
              <w:pStyle w:val="BodyText"/>
              <w:widowControl w:val="0"/>
              <w:spacing w:after="0"/>
              <w:rPr>
                <w:rFonts w:ascii="Arial" w:hAnsi="Arial" w:cs="Arial"/>
                <w:sz w:val="17"/>
                <w:szCs w:val="17"/>
              </w:rPr>
            </w:pPr>
            <w:r w:rsidRPr="000E6408">
              <w:rPr>
                <w:rFonts w:ascii="Arial" w:hAnsi="Arial" w:cs="Arial"/>
                <w:sz w:val="17"/>
                <w:szCs w:val="17"/>
              </w:rPr>
              <w:t>(</w:t>
            </w:r>
            <w:r w:rsidRPr="000E6408">
              <w:rPr>
                <w:rFonts w:ascii="Arial" w:hAnsi="Arial" w:cs="Arial"/>
                <w:i/>
                <w:iCs/>
                <w:sz w:val="17"/>
                <w:szCs w:val="17"/>
              </w:rPr>
              <w:t>Xanthium strumarium</w:t>
            </w:r>
            <w:r w:rsidRPr="000E6408">
              <w:rPr>
                <w:rFonts w:ascii="Arial" w:hAnsi="Arial" w:cs="Arial"/>
                <w:sz w:val="17"/>
                <w:szCs w:val="17"/>
              </w:rPr>
              <w:t>)</w:t>
            </w:r>
          </w:p>
          <w:p w14:paraId="659035DA" w14:textId="4FBDFB81" w:rsidR="0079344F" w:rsidRPr="000E6408" w:rsidRDefault="0079344F" w:rsidP="007D1EF1">
            <w:pPr>
              <w:pStyle w:val="BodyText"/>
              <w:widowControl w:val="0"/>
              <w:spacing w:after="0"/>
              <w:rPr>
                <w:rFonts w:ascii="Arial" w:hAnsi="Arial" w:cs="Arial"/>
                <w:sz w:val="17"/>
                <w:szCs w:val="17"/>
              </w:rPr>
            </w:pPr>
            <w:r w:rsidRPr="000E6408">
              <w:rPr>
                <w:rFonts w:ascii="Arial" w:hAnsi="Arial" w:cs="Arial"/>
                <w:sz w:val="17"/>
                <w:szCs w:val="17"/>
              </w:rPr>
              <w:t>Canning &amp; White 1992</w:t>
            </w:r>
          </w:p>
        </w:tc>
        <w:tc>
          <w:tcPr>
            <w:tcW w:w="1021" w:type="pct"/>
            <w:tcBorders>
              <w:top w:val="single" w:sz="4" w:space="0" w:color="auto"/>
              <w:left w:val="nil"/>
              <w:bottom w:val="nil"/>
              <w:right w:val="nil"/>
            </w:tcBorders>
          </w:tcPr>
          <w:p w14:paraId="001711C3" w14:textId="3D8C3FE5"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19 g acs/ha</w:t>
            </w:r>
          </w:p>
        </w:tc>
      </w:tr>
      <w:tr w:rsidR="0079344F" w:rsidRPr="00D63217" w14:paraId="5966FA20" w14:textId="77777777" w:rsidTr="0079344F">
        <w:trPr>
          <w:cantSplit/>
        </w:trPr>
        <w:tc>
          <w:tcPr>
            <w:tcW w:w="979" w:type="pct"/>
            <w:tcBorders>
              <w:top w:val="nil"/>
              <w:left w:val="nil"/>
              <w:bottom w:val="nil"/>
              <w:right w:val="nil"/>
            </w:tcBorders>
          </w:tcPr>
          <w:p w14:paraId="77CC0F36"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nil"/>
              <w:right w:val="nil"/>
            </w:tcBorders>
          </w:tcPr>
          <w:p w14:paraId="6A709181" w14:textId="77777777" w:rsidR="00017CE7" w:rsidRPr="000E6408" w:rsidRDefault="00017CE7" w:rsidP="007D1EF1">
            <w:pPr>
              <w:pStyle w:val="BodyText"/>
              <w:widowControl w:val="0"/>
              <w:spacing w:after="0"/>
              <w:rPr>
                <w:rFonts w:ascii="Arial" w:hAnsi="Arial" w:cs="Arial"/>
                <w:i/>
                <w:iCs/>
                <w:sz w:val="17"/>
                <w:szCs w:val="17"/>
              </w:rPr>
            </w:pPr>
          </w:p>
        </w:tc>
        <w:tc>
          <w:tcPr>
            <w:tcW w:w="1060" w:type="pct"/>
            <w:tcBorders>
              <w:top w:val="nil"/>
              <w:left w:val="nil"/>
              <w:bottom w:val="nil"/>
              <w:right w:val="nil"/>
            </w:tcBorders>
          </w:tcPr>
          <w:p w14:paraId="7B8AF879" w14:textId="77777777" w:rsidR="00017CE7" w:rsidRPr="000E6408" w:rsidRDefault="00017CE7" w:rsidP="007D1EF1">
            <w:pPr>
              <w:pStyle w:val="BodyText"/>
              <w:widowControl w:val="0"/>
              <w:spacing w:after="0"/>
              <w:rPr>
                <w:rFonts w:ascii="Arial" w:hAnsi="Arial" w:cs="Arial"/>
                <w:sz w:val="17"/>
                <w:szCs w:val="17"/>
              </w:rPr>
            </w:pPr>
          </w:p>
        </w:tc>
        <w:tc>
          <w:tcPr>
            <w:tcW w:w="1060" w:type="pct"/>
            <w:vMerge/>
            <w:tcBorders>
              <w:left w:val="nil"/>
              <w:bottom w:val="nil"/>
              <w:right w:val="nil"/>
            </w:tcBorders>
          </w:tcPr>
          <w:p w14:paraId="1D6B2867"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nil"/>
              <w:right w:val="nil"/>
            </w:tcBorders>
          </w:tcPr>
          <w:p w14:paraId="336233B8" w14:textId="3101B752"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59% + 41%</w:t>
            </w:r>
          </w:p>
        </w:tc>
      </w:tr>
      <w:tr w:rsidR="0079344F" w:rsidRPr="00D63217" w14:paraId="34B4A9C1" w14:textId="77777777" w:rsidTr="0079344F">
        <w:trPr>
          <w:cantSplit/>
        </w:trPr>
        <w:tc>
          <w:tcPr>
            <w:tcW w:w="979" w:type="pct"/>
            <w:tcBorders>
              <w:top w:val="nil"/>
              <w:left w:val="nil"/>
              <w:bottom w:val="nil"/>
              <w:right w:val="nil"/>
            </w:tcBorders>
          </w:tcPr>
          <w:p w14:paraId="5E96871F" w14:textId="40BB4C76" w:rsidR="00017CE7" w:rsidRPr="000E6408" w:rsidRDefault="00017CE7" w:rsidP="007D1EF1">
            <w:pPr>
              <w:pStyle w:val="BodyText"/>
              <w:widowControl w:val="0"/>
              <w:spacing w:after="0"/>
              <w:rPr>
                <w:rFonts w:ascii="Arial" w:hAnsi="Arial" w:cs="Arial"/>
                <w:sz w:val="17"/>
                <w:szCs w:val="17"/>
              </w:rPr>
            </w:pPr>
          </w:p>
        </w:tc>
        <w:tc>
          <w:tcPr>
            <w:tcW w:w="880" w:type="pct"/>
            <w:tcBorders>
              <w:top w:val="single" w:sz="4" w:space="0" w:color="auto"/>
              <w:left w:val="nil"/>
              <w:bottom w:val="nil"/>
              <w:right w:val="nil"/>
            </w:tcBorders>
          </w:tcPr>
          <w:p w14:paraId="4FCAA6DF"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Beta vulgaris</w:t>
            </w:r>
          </w:p>
        </w:tc>
        <w:tc>
          <w:tcPr>
            <w:tcW w:w="1060" w:type="pct"/>
            <w:tcBorders>
              <w:top w:val="single" w:sz="4" w:space="0" w:color="auto"/>
              <w:left w:val="nil"/>
              <w:bottom w:val="nil"/>
              <w:right w:val="nil"/>
            </w:tcBorders>
          </w:tcPr>
          <w:p w14:paraId="78D5034D" w14:textId="143E9877"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38 g ac/ha</w:t>
            </w:r>
            <w:r w:rsidR="00AB20F4" w:rsidRPr="000E6408">
              <w:rPr>
                <w:rFonts w:ascii="Arial" w:hAnsi="Arial" w:cs="Arial"/>
                <w:sz w:val="17"/>
                <w:szCs w:val="17"/>
              </w:rPr>
              <w:br/>
            </w:r>
            <w:r w:rsidRPr="000E6408">
              <w:rPr>
                <w:rFonts w:ascii="Arial" w:hAnsi="Arial" w:cs="Arial"/>
                <w:sz w:val="17"/>
                <w:szCs w:val="17"/>
              </w:rPr>
              <w:t>Martin 2013</w:t>
            </w:r>
          </w:p>
        </w:tc>
        <w:tc>
          <w:tcPr>
            <w:tcW w:w="1060" w:type="pct"/>
            <w:vMerge w:val="restart"/>
            <w:tcBorders>
              <w:top w:val="single" w:sz="4" w:space="0" w:color="auto"/>
              <w:left w:val="nil"/>
              <w:bottom w:val="nil"/>
              <w:right w:val="nil"/>
            </w:tcBorders>
          </w:tcPr>
          <w:p w14:paraId="73C2919E" w14:textId="33F8F605"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68 g ac/ha</w:t>
            </w:r>
            <w:r w:rsidR="00AB20F4" w:rsidRPr="000E6408">
              <w:rPr>
                <w:rFonts w:ascii="Arial" w:hAnsi="Arial" w:cs="Arial"/>
                <w:sz w:val="17"/>
                <w:szCs w:val="17"/>
              </w:rPr>
              <w:br/>
            </w:r>
            <w:r w:rsidRPr="000E6408">
              <w:rPr>
                <w:rFonts w:ascii="Arial" w:hAnsi="Arial" w:cs="Arial"/>
                <w:sz w:val="17"/>
                <w:szCs w:val="17"/>
              </w:rPr>
              <w:t>Canning &amp; White 1992</w:t>
            </w:r>
          </w:p>
        </w:tc>
        <w:tc>
          <w:tcPr>
            <w:tcW w:w="1021" w:type="pct"/>
            <w:tcBorders>
              <w:top w:val="single" w:sz="4" w:space="0" w:color="auto"/>
              <w:left w:val="nil"/>
              <w:bottom w:val="nil"/>
              <w:right w:val="nil"/>
            </w:tcBorders>
          </w:tcPr>
          <w:p w14:paraId="1D71E040" w14:textId="655A4D52"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50 g acs/ha</w:t>
            </w:r>
          </w:p>
        </w:tc>
      </w:tr>
      <w:tr w:rsidR="0079344F" w:rsidRPr="00D63217" w14:paraId="0316C92D" w14:textId="77777777" w:rsidTr="0079344F">
        <w:trPr>
          <w:cantSplit/>
        </w:trPr>
        <w:tc>
          <w:tcPr>
            <w:tcW w:w="979" w:type="pct"/>
            <w:tcBorders>
              <w:top w:val="nil"/>
              <w:left w:val="nil"/>
              <w:bottom w:val="nil"/>
              <w:right w:val="nil"/>
            </w:tcBorders>
          </w:tcPr>
          <w:p w14:paraId="11E114ED"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02EC8A57" w14:textId="77777777" w:rsidR="00017CE7" w:rsidRPr="000E6408" w:rsidRDefault="00017CE7" w:rsidP="007D1EF1">
            <w:pPr>
              <w:pStyle w:val="BodyText"/>
              <w:widowControl w:val="0"/>
              <w:spacing w:after="0"/>
              <w:rPr>
                <w:rFonts w:ascii="Arial" w:hAnsi="Arial" w:cs="Arial"/>
                <w:i/>
                <w:iCs/>
                <w:sz w:val="17"/>
                <w:szCs w:val="17"/>
              </w:rPr>
            </w:pPr>
          </w:p>
        </w:tc>
        <w:tc>
          <w:tcPr>
            <w:tcW w:w="1060" w:type="pct"/>
            <w:tcBorders>
              <w:top w:val="nil"/>
              <w:left w:val="nil"/>
              <w:bottom w:val="single" w:sz="4" w:space="0" w:color="auto"/>
              <w:right w:val="nil"/>
            </w:tcBorders>
          </w:tcPr>
          <w:p w14:paraId="4783CE99" w14:textId="77777777" w:rsidR="00017CE7" w:rsidRPr="000E6408" w:rsidRDefault="00017CE7" w:rsidP="007D1EF1">
            <w:pPr>
              <w:pStyle w:val="BodyText"/>
              <w:widowControl w:val="0"/>
              <w:spacing w:after="0"/>
              <w:rPr>
                <w:rFonts w:ascii="Arial" w:hAnsi="Arial" w:cs="Arial"/>
                <w:sz w:val="17"/>
                <w:szCs w:val="17"/>
              </w:rPr>
            </w:pPr>
          </w:p>
        </w:tc>
        <w:tc>
          <w:tcPr>
            <w:tcW w:w="1060" w:type="pct"/>
            <w:vMerge/>
            <w:tcBorders>
              <w:top w:val="nil"/>
              <w:left w:val="nil"/>
              <w:bottom w:val="single" w:sz="4" w:space="0" w:color="auto"/>
              <w:right w:val="nil"/>
            </w:tcBorders>
          </w:tcPr>
          <w:p w14:paraId="269996C2"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4A358AB3" w14:textId="0F860179"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60% + 40%</w:t>
            </w:r>
          </w:p>
        </w:tc>
      </w:tr>
      <w:tr w:rsidR="0079344F" w:rsidRPr="00D63217" w14:paraId="3459A856" w14:textId="77777777" w:rsidTr="0079344F">
        <w:trPr>
          <w:cantSplit/>
        </w:trPr>
        <w:tc>
          <w:tcPr>
            <w:tcW w:w="979" w:type="pct"/>
            <w:tcBorders>
              <w:top w:val="nil"/>
              <w:left w:val="nil"/>
              <w:bottom w:val="nil"/>
              <w:right w:val="nil"/>
            </w:tcBorders>
          </w:tcPr>
          <w:p w14:paraId="1C307627"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single" w:sz="4" w:space="0" w:color="auto"/>
              <w:left w:val="nil"/>
              <w:bottom w:val="nil"/>
              <w:right w:val="nil"/>
            </w:tcBorders>
          </w:tcPr>
          <w:p w14:paraId="0A316F7E"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Brassica napus</w:t>
            </w:r>
          </w:p>
        </w:tc>
        <w:tc>
          <w:tcPr>
            <w:tcW w:w="1060" w:type="pct"/>
            <w:tcBorders>
              <w:top w:val="single" w:sz="4" w:space="0" w:color="auto"/>
              <w:left w:val="nil"/>
              <w:bottom w:val="nil"/>
              <w:right w:val="nil"/>
            </w:tcBorders>
          </w:tcPr>
          <w:p w14:paraId="79A10C31" w14:textId="6A533487"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57 g ac/ha</w:t>
            </w:r>
            <w:r w:rsidR="00AB20F4" w:rsidRPr="000E6408">
              <w:rPr>
                <w:rFonts w:ascii="Arial" w:hAnsi="Arial" w:cs="Arial"/>
                <w:sz w:val="17"/>
                <w:szCs w:val="17"/>
              </w:rPr>
              <w:br/>
            </w:r>
            <w:r w:rsidRPr="000E6408">
              <w:rPr>
                <w:rFonts w:ascii="Arial" w:hAnsi="Arial" w:cs="Arial"/>
                <w:sz w:val="17"/>
                <w:szCs w:val="17"/>
              </w:rPr>
              <w:t>Martin 2013</w:t>
            </w:r>
          </w:p>
        </w:tc>
        <w:tc>
          <w:tcPr>
            <w:tcW w:w="1060" w:type="pct"/>
            <w:vMerge w:val="restart"/>
            <w:tcBorders>
              <w:top w:val="single" w:sz="4" w:space="0" w:color="auto"/>
              <w:left w:val="nil"/>
              <w:right w:val="nil"/>
            </w:tcBorders>
          </w:tcPr>
          <w:p w14:paraId="4BE3779D" w14:textId="040FCB20"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161 g ac/ha</w:t>
            </w:r>
            <w:r w:rsidR="00AB20F4" w:rsidRPr="000E6408">
              <w:rPr>
                <w:rFonts w:ascii="Arial" w:hAnsi="Arial" w:cs="Arial"/>
                <w:sz w:val="17"/>
                <w:szCs w:val="17"/>
              </w:rPr>
              <w:br/>
            </w:r>
            <w:r w:rsidRPr="000E6408">
              <w:rPr>
                <w:rFonts w:ascii="Arial" w:hAnsi="Arial" w:cs="Arial"/>
                <w:sz w:val="17"/>
                <w:szCs w:val="17"/>
              </w:rPr>
              <w:t>Canning &amp; White 1992</w:t>
            </w:r>
            <w:r w:rsidR="00AB20F4" w:rsidRPr="000E6408">
              <w:rPr>
                <w:rFonts w:ascii="Arial" w:hAnsi="Arial" w:cs="Arial"/>
                <w:sz w:val="17"/>
                <w:szCs w:val="17"/>
              </w:rPr>
              <w:br/>
            </w:r>
            <w:r w:rsidRPr="000E6408">
              <w:rPr>
                <w:rFonts w:ascii="Arial" w:hAnsi="Arial" w:cs="Arial"/>
                <w:sz w:val="17"/>
                <w:szCs w:val="17"/>
              </w:rPr>
              <w:t>Martin 2014</w:t>
            </w:r>
          </w:p>
        </w:tc>
        <w:tc>
          <w:tcPr>
            <w:tcW w:w="1021" w:type="pct"/>
            <w:tcBorders>
              <w:top w:val="single" w:sz="4" w:space="0" w:color="auto"/>
              <w:left w:val="nil"/>
              <w:bottom w:val="nil"/>
              <w:right w:val="nil"/>
            </w:tcBorders>
          </w:tcPr>
          <w:p w14:paraId="2B0D3291" w14:textId="1E9CF6F8"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88 g acs/ha</w:t>
            </w:r>
          </w:p>
        </w:tc>
      </w:tr>
      <w:tr w:rsidR="0079344F" w:rsidRPr="00D63217" w14:paraId="79987083" w14:textId="77777777" w:rsidTr="0079344F">
        <w:trPr>
          <w:cantSplit/>
        </w:trPr>
        <w:tc>
          <w:tcPr>
            <w:tcW w:w="979" w:type="pct"/>
            <w:tcBorders>
              <w:top w:val="nil"/>
              <w:left w:val="nil"/>
              <w:bottom w:val="nil"/>
              <w:right w:val="nil"/>
            </w:tcBorders>
          </w:tcPr>
          <w:p w14:paraId="6E9BC5E7"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690426E0" w14:textId="77777777" w:rsidR="00017CE7" w:rsidRPr="000E6408" w:rsidRDefault="00017CE7" w:rsidP="007D1EF1">
            <w:pPr>
              <w:pStyle w:val="BodyText"/>
              <w:widowControl w:val="0"/>
              <w:spacing w:after="0"/>
              <w:rPr>
                <w:rFonts w:ascii="Arial" w:hAnsi="Arial" w:cs="Arial"/>
                <w:i/>
                <w:iCs/>
                <w:sz w:val="17"/>
                <w:szCs w:val="17"/>
              </w:rPr>
            </w:pPr>
          </w:p>
        </w:tc>
        <w:tc>
          <w:tcPr>
            <w:tcW w:w="1060" w:type="pct"/>
            <w:tcBorders>
              <w:top w:val="nil"/>
              <w:left w:val="nil"/>
              <w:bottom w:val="single" w:sz="4" w:space="0" w:color="auto"/>
              <w:right w:val="nil"/>
            </w:tcBorders>
          </w:tcPr>
          <w:p w14:paraId="5F54583C" w14:textId="77777777" w:rsidR="00017CE7" w:rsidRPr="000E6408" w:rsidRDefault="00017CE7" w:rsidP="007D1EF1">
            <w:pPr>
              <w:pStyle w:val="BodyText"/>
              <w:widowControl w:val="0"/>
              <w:spacing w:after="0"/>
              <w:rPr>
                <w:rFonts w:ascii="Arial" w:hAnsi="Arial" w:cs="Arial"/>
                <w:sz w:val="17"/>
                <w:szCs w:val="17"/>
              </w:rPr>
            </w:pPr>
          </w:p>
        </w:tc>
        <w:tc>
          <w:tcPr>
            <w:tcW w:w="1060" w:type="pct"/>
            <w:vMerge/>
            <w:tcBorders>
              <w:left w:val="nil"/>
              <w:bottom w:val="single" w:sz="4" w:space="0" w:color="auto"/>
              <w:right w:val="nil"/>
            </w:tcBorders>
          </w:tcPr>
          <w:p w14:paraId="41C9CF1D"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1144059F" w14:textId="013DFFC9"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71% + 29%</w:t>
            </w:r>
          </w:p>
        </w:tc>
      </w:tr>
      <w:tr w:rsidR="0079344F" w:rsidRPr="00D63217" w14:paraId="4F2A8F11" w14:textId="77777777" w:rsidTr="0079344F">
        <w:trPr>
          <w:cantSplit/>
        </w:trPr>
        <w:tc>
          <w:tcPr>
            <w:tcW w:w="979" w:type="pct"/>
            <w:tcBorders>
              <w:top w:val="nil"/>
              <w:left w:val="nil"/>
              <w:bottom w:val="nil"/>
              <w:right w:val="nil"/>
            </w:tcBorders>
          </w:tcPr>
          <w:p w14:paraId="682143EE"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single" w:sz="4" w:space="0" w:color="auto"/>
              <w:left w:val="nil"/>
              <w:bottom w:val="nil"/>
              <w:right w:val="nil"/>
            </w:tcBorders>
          </w:tcPr>
          <w:p w14:paraId="5F37E27E" w14:textId="77777777" w:rsidR="00017CE7" w:rsidRPr="000E6408" w:rsidRDefault="00017CE7" w:rsidP="007D1EF1">
            <w:pPr>
              <w:pStyle w:val="BodyText"/>
              <w:widowControl w:val="0"/>
              <w:spacing w:after="0"/>
              <w:rPr>
                <w:rFonts w:ascii="Arial" w:hAnsi="Arial" w:cs="Arial"/>
                <w:i/>
                <w:iCs/>
                <w:sz w:val="17"/>
                <w:szCs w:val="17"/>
              </w:rPr>
            </w:pPr>
            <w:r w:rsidRPr="000E6408">
              <w:rPr>
                <w:rFonts w:ascii="Arial" w:hAnsi="Arial" w:cs="Arial"/>
                <w:i/>
                <w:iCs/>
                <w:sz w:val="17"/>
                <w:szCs w:val="17"/>
              </w:rPr>
              <w:t>Glycine max</w:t>
            </w:r>
          </w:p>
        </w:tc>
        <w:tc>
          <w:tcPr>
            <w:tcW w:w="1060" w:type="pct"/>
            <w:vMerge w:val="restart"/>
            <w:tcBorders>
              <w:top w:val="single" w:sz="4" w:space="0" w:color="auto"/>
              <w:left w:val="nil"/>
              <w:right w:val="nil"/>
            </w:tcBorders>
          </w:tcPr>
          <w:p w14:paraId="6EADBFA4" w14:textId="3D73BA7D"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138 g ac/ha</w:t>
            </w:r>
            <w:r w:rsidR="00AB20F4" w:rsidRPr="000E6408">
              <w:rPr>
                <w:rFonts w:ascii="Arial" w:hAnsi="Arial" w:cs="Arial"/>
                <w:sz w:val="17"/>
                <w:szCs w:val="17"/>
              </w:rPr>
              <w:br/>
            </w:r>
            <w:r w:rsidRPr="000E6408">
              <w:rPr>
                <w:rFonts w:ascii="Arial" w:hAnsi="Arial" w:cs="Arial"/>
                <w:sz w:val="17"/>
                <w:szCs w:val="17"/>
              </w:rPr>
              <w:t>Bellet 1990b</w:t>
            </w:r>
            <w:r w:rsidR="00AB20F4" w:rsidRPr="000E6408">
              <w:rPr>
                <w:rFonts w:ascii="Arial" w:hAnsi="Arial" w:cs="Arial"/>
                <w:sz w:val="17"/>
                <w:szCs w:val="17"/>
              </w:rPr>
              <w:br/>
            </w:r>
            <w:r w:rsidRPr="000E6408">
              <w:rPr>
                <w:rFonts w:ascii="Arial" w:hAnsi="Arial" w:cs="Arial"/>
                <w:sz w:val="17"/>
                <w:szCs w:val="17"/>
              </w:rPr>
              <w:t>Martin 2013</w:t>
            </w:r>
          </w:p>
        </w:tc>
        <w:tc>
          <w:tcPr>
            <w:tcW w:w="1060" w:type="pct"/>
            <w:vMerge w:val="restart"/>
            <w:tcBorders>
              <w:top w:val="single" w:sz="4" w:space="0" w:color="auto"/>
              <w:left w:val="nil"/>
              <w:right w:val="nil"/>
            </w:tcBorders>
          </w:tcPr>
          <w:p w14:paraId="508B61CC" w14:textId="7AC1F8D0"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476 g ac/ha</w:t>
            </w:r>
            <w:r w:rsidR="00AB20F4" w:rsidRPr="000E6408">
              <w:rPr>
                <w:rFonts w:ascii="Arial" w:hAnsi="Arial" w:cs="Arial"/>
                <w:sz w:val="17"/>
                <w:szCs w:val="17"/>
              </w:rPr>
              <w:br/>
            </w:r>
            <w:r w:rsidRPr="000E6408">
              <w:rPr>
                <w:rFonts w:ascii="Arial" w:hAnsi="Arial" w:cs="Arial"/>
                <w:sz w:val="17"/>
                <w:szCs w:val="17"/>
              </w:rPr>
              <w:t>Canning &amp; White 1992</w:t>
            </w:r>
            <w:r w:rsidR="00AB20F4" w:rsidRPr="000E6408">
              <w:rPr>
                <w:rFonts w:ascii="Arial" w:hAnsi="Arial" w:cs="Arial"/>
                <w:sz w:val="17"/>
                <w:szCs w:val="17"/>
              </w:rPr>
              <w:br/>
            </w:r>
            <w:r w:rsidRPr="000E6408">
              <w:rPr>
                <w:rFonts w:ascii="Arial" w:hAnsi="Arial" w:cs="Arial"/>
                <w:sz w:val="17"/>
                <w:szCs w:val="17"/>
              </w:rPr>
              <w:t>Martin 2014</w:t>
            </w:r>
          </w:p>
        </w:tc>
        <w:tc>
          <w:tcPr>
            <w:tcW w:w="1021" w:type="pct"/>
            <w:tcBorders>
              <w:top w:val="single" w:sz="4" w:space="0" w:color="auto"/>
              <w:left w:val="nil"/>
              <w:bottom w:val="nil"/>
              <w:right w:val="nil"/>
            </w:tcBorders>
          </w:tcPr>
          <w:p w14:paraId="6D361758" w14:textId="06EAEF5E"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Predicted:</w:t>
            </w:r>
            <w:r w:rsidR="00AB20F4" w:rsidRPr="000E6408">
              <w:rPr>
                <w:rFonts w:ascii="Arial" w:hAnsi="Arial" w:cs="Arial"/>
                <w:sz w:val="17"/>
                <w:szCs w:val="17"/>
              </w:rPr>
              <w:br/>
            </w: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224 g acs/ha</w:t>
            </w:r>
          </w:p>
        </w:tc>
      </w:tr>
      <w:tr w:rsidR="0079344F" w:rsidRPr="00D63217" w14:paraId="4736C644" w14:textId="77777777" w:rsidTr="001C470D">
        <w:trPr>
          <w:cantSplit/>
        </w:trPr>
        <w:tc>
          <w:tcPr>
            <w:tcW w:w="979" w:type="pct"/>
            <w:tcBorders>
              <w:top w:val="nil"/>
              <w:left w:val="nil"/>
              <w:bottom w:val="nil"/>
              <w:right w:val="nil"/>
            </w:tcBorders>
          </w:tcPr>
          <w:p w14:paraId="2EBF6202" w14:textId="77777777" w:rsidR="00017CE7" w:rsidRPr="000E6408" w:rsidRDefault="00017CE7" w:rsidP="007D1EF1">
            <w:pPr>
              <w:pStyle w:val="BodyText"/>
              <w:widowControl w:val="0"/>
              <w:spacing w:after="0"/>
              <w:rPr>
                <w:rFonts w:ascii="Arial" w:hAnsi="Arial" w:cs="Arial"/>
                <w:sz w:val="17"/>
                <w:szCs w:val="17"/>
              </w:rPr>
            </w:pPr>
          </w:p>
        </w:tc>
        <w:tc>
          <w:tcPr>
            <w:tcW w:w="880" w:type="pct"/>
            <w:tcBorders>
              <w:top w:val="nil"/>
              <w:left w:val="nil"/>
              <w:bottom w:val="single" w:sz="4" w:space="0" w:color="auto"/>
              <w:right w:val="nil"/>
            </w:tcBorders>
          </w:tcPr>
          <w:p w14:paraId="7F1FB09A" w14:textId="77777777" w:rsidR="00017CE7" w:rsidRPr="000E6408" w:rsidRDefault="00017CE7" w:rsidP="007D1EF1">
            <w:pPr>
              <w:pStyle w:val="BodyText"/>
              <w:widowControl w:val="0"/>
              <w:spacing w:after="0"/>
              <w:rPr>
                <w:rFonts w:ascii="Arial" w:hAnsi="Arial" w:cs="Arial"/>
                <w:i/>
                <w:iCs/>
                <w:sz w:val="17"/>
                <w:szCs w:val="17"/>
              </w:rPr>
            </w:pPr>
          </w:p>
        </w:tc>
        <w:tc>
          <w:tcPr>
            <w:tcW w:w="1060" w:type="pct"/>
            <w:vMerge/>
            <w:tcBorders>
              <w:left w:val="nil"/>
              <w:bottom w:val="single" w:sz="4" w:space="0" w:color="auto"/>
              <w:right w:val="nil"/>
            </w:tcBorders>
          </w:tcPr>
          <w:p w14:paraId="7DC707E4" w14:textId="77777777" w:rsidR="00017CE7" w:rsidRPr="000E6408" w:rsidRDefault="00017CE7" w:rsidP="007D1EF1">
            <w:pPr>
              <w:pStyle w:val="BodyText"/>
              <w:widowControl w:val="0"/>
              <w:spacing w:after="0"/>
              <w:rPr>
                <w:rFonts w:ascii="Arial" w:hAnsi="Arial" w:cs="Arial"/>
                <w:sz w:val="17"/>
                <w:szCs w:val="17"/>
              </w:rPr>
            </w:pPr>
          </w:p>
        </w:tc>
        <w:tc>
          <w:tcPr>
            <w:tcW w:w="1060" w:type="pct"/>
            <w:vMerge/>
            <w:tcBorders>
              <w:left w:val="nil"/>
              <w:bottom w:val="single" w:sz="4" w:space="0" w:color="auto"/>
              <w:right w:val="nil"/>
            </w:tcBorders>
          </w:tcPr>
          <w:p w14:paraId="5786B116" w14:textId="77777777" w:rsidR="00017CE7" w:rsidRPr="000E6408" w:rsidRDefault="00017CE7" w:rsidP="007D1EF1">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0CD0F43F" w14:textId="2C22F1D6" w:rsidR="00017CE7" w:rsidRPr="000E6408" w:rsidRDefault="00017CE7" w:rsidP="00AB20F4">
            <w:pPr>
              <w:pStyle w:val="BodyText"/>
              <w:widowControl w:val="0"/>
              <w:spacing w:after="0"/>
              <w:rPr>
                <w:rFonts w:ascii="Arial" w:hAnsi="Arial" w:cs="Arial"/>
                <w:sz w:val="17"/>
                <w:szCs w:val="17"/>
              </w:rPr>
            </w:pPr>
            <w:r w:rsidRPr="000E6408">
              <w:rPr>
                <w:rFonts w:ascii="Arial" w:hAnsi="Arial" w:cs="Arial"/>
                <w:sz w:val="17"/>
                <w:szCs w:val="17"/>
              </w:rPr>
              <w:t>Relative toxicity:</w:t>
            </w:r>
            <w:r w:rsidR="00AB20F4" w:rsidRPr="000E6408">
              <w:rPr>
                <w:rFonts w:ascii="Arial" w:hAnsi="Arial" w:cs="Arial"/>
                <w:sz w:val="17"/>
                <w:szCs w:val="17"/>
              </w:rPr>
              <w:br/>
            </w:r>
            <w:r w:rsidRPr="000E6408">
              <w:rPr>
                <w:rFonts w:ascii="Arial" w:hAnsi="Arial" w:cs="Arial"/>
                <w:sz w:val="17"/>
                <w:szCs w:val="17"/>
              </w:rPr>
              <w:t>75% + 25%</w:t>
            </w:r>
          </w:p>
        </w:tc>
      </w:tr>
      <w:tr w:rsidR="001C470D" w:rsidRPr="00D63217" w14:paraId="63039E70" w14:textId="77777777" w:rsidTr="00055B6B">
        <w:trPr>
          <w:cantSplit/>
        </w:trPr>
        <w:tc>
          <w:tcPr>
            <w:tcW w:w="979" w:type="pct"/>
            <w:tcBorders>
              <w:top w:val="nil"/>
              <w:left w:val="nil"/>
              <w:bottom w:val="nil"/>
              <w:right w:val="nil"/>
            </w:tcBorders>
          </w:tcPr>
          <w:p w14:paraId="08667825" w14:textId="77777777" w:rsidR="001C470D" w:rsidRPr="000E6408" w:rsidRDefault="001C470D" w:rsidP="001C470D">
            <w:pPr>
              <w:pStyle w:val="BodyText"/>
              <w:widowControl w:val="0"/>
              <w:spacing w:after="0"/>
              <w:rPr>
                <w:rFonts w:ascii="Arial" w:hAnsi="Arial" w:cs="Arial"/>
                <w:sz w:val="17"/>
                <w:szCs w:val="17"/>
              </w:rPr>
            </w:pPr>
          </w:p>
        </w:tc>
        <w:tc>
          <w:tcPr>
            <w:tcW w:w="880" w:type="pct"/>
            <w:vMerge w:val="restart"/>
            <w:tcBorders>
              <w:top w:val="nil"/>
              <w:left w:val="nil"/>
              <w:right w:val="nil"/>
            </w:tcBorders>
          </w:tcPr>
          <w:p w14:paraId="5E1BC814" w14:textId="6EED0155" w:rsidR="001C470D" w:rsidRPr="000E6408" w:rsidRDefault="001C470D" w:rsidP="001C470D">
            <w:pPr>
              <w:pStyle w:val="BodyText"/>
              <w:widowControl w:val="0"/>
              <w:spacing w:after="0"/>
              <w:rPr>
                <w:rFonts w:ascii="Arial" w:hAnsi="Arial" w:cs="Arial"/>
                <w:i/>
                <w:iCs/>
                <w:sz w:val="17"/>
                <w:szCs w:val="17"/>
              </w:rPr>
            </w:pPr>
            <w:r w:rsidRPr="000E6408">
              <w:rPr>
                <w:rFonts w:ascii="Arial" w:hAnsi="Arial" w:cs="Arial"/>
                <w:i/>
                <w:iCs/>
                <w:sz w:val="17"/>
                <w:szCs w:val="17"/>
              </w:rPr>
              <w:t>Phaseolus vulgaris</w:t>
            </w:r>
          </w:p>
        </w:tc>
        <w:tc>
          <w:tcPr>
            <w:tcW w:w="1060" w:type="pct"/>
            <w:vMerge w:val="restart"/>
            <w:tcBorders>
              <w:left w:val="nil"/>
              <w:right w:val="nil"/>
            </w:tcBorders>
          </w:tcPr>
          <w:p w14:paraId="4EEE59BA" w14:textId="77777777" w:rsidR="001C470D" w:rsidRPr="000E6408" w:rsidRDefault="001C470D" w:rsidP="001C470D">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884 g ac/ha</w:t>
            </w:r>
          </w:p>
          <w:p w14:paraId="6AD7A0A6" w14:textId="3D85970D" w:rsidR="001C470D" w:rsidRPr="000E6408" w:rsidRDefault="001C470D" w:rsidP="001C470D">
            <w:pPr>
              <w:pStyle w:val="BodyText"/>
              <w:widowControl w:val="0"/>
              <w:spacing w:after="0"/>
              <w:rPr>
                <w:rFonts w:ascii="Arial" w:hAnsi="Arial" w:cs="Arial"/>
                <w:sz w:val="17"/>
                <w:szCs w:val="17"/>
              </w:rPr>
            </w:pPr>
            <w:r w:rsidRPr="000E6408">
              <w:rPr>
                <w:rFonts w:ascii="Arial" w:hAnsi="Arial" w:cs="Arial"/>
                <w:sz w:val="17"/>
                <w:szCs w:val="17"/>
              </w:rPr>
              <w:t>Bellet 1990</w:t>
            </w:r>
            <w:r w:rsidR="00401831" w:rsidRPr="000E6408">
              <w:rPr>
                <w:rFonts w:ascii="Arial" w:hAnsi="Arial" w:cs="Arial"/>
                <w:sz w:val="17"/>
                <w:szCs w:val="17"/>
              </w:rPr>
              <w:t>b</w:t>
            </w:r>
          </w:p>
        </w:tc>
        <w:tc>
          <w:tcPr>
            <w:tcW w:w="1060" w:type="pct"/>
            <w:vMerge w:val="restart"/>
            <w:tcBorders>
              <w:left w:val="nil"/>
              <w:right w:val="nil"/>
            </w:tcBorders>
          </w:tcPr>
          <w:p w14:paraId="2CB7FDDA" w14:textId="3CAB4E10" w:rsidR="001C470D" w:rsidRPr="000E6408" w:rsidRDefault="001C470D" w:rsidP="001C470D">
            <w:pPr>
              <w:pStyle w:val="BodyText"/>
              <w:widowControl w:val="0"/>
              <w:spacing w:after="0"/>
              <w:rPr>
                <w:rFonts w:ascii="Arial" w:hAnsi="Arial" w:cs="Arial"/>
                <w:sz w:val="17"/>
                <w:szCs w:val="17"/>
              </w:rPr>
            </w:pPr>
            <w:r w:rsidRPr="000E6408">
              <w:rPr>
                <w:rFonts w:ascii="Arial" w:hAnsi="Arial" w:cs="Arial"/>
                <w:sz w:val="17"/>
                <w:szCs w:val="17"/>
              </w:rPr>
              <w:t>ER</w:t>
            </w:r>
            <w:r w:rsidRPr="000E6408">
              <w:rPr>
                <w:rFonts w:ascii="Arial" w:hAnsi="Arial" w:cs="Arial"/>
                <w:sz w:val="17"/>
                <w:szCs w:val="17"/>
                <w:vertAlign w:val="subscript"/>
              </w:rPr>
              <w:t>50</w:t>
            </w:r>
            <w:r w:rsidRPr="000E6408">
              <w:rPr>
                <w:rFonts w:ascii="Arial" w:hAnsi="Arial" w:cs="Arial"/>
                <w:sz w:val="17"/>
                <w:szCs w:val="17"/>
              </w:rPr>
              <w:t xml:space="preserve"> &gt;314 g ac/ha</w:t>
            </w:r>
          </w:p>
          <w:p w14:paraId="6D3AE408" w14:textId="34C9349C" w:rsidR="001C470D" w:rsidRPr="000E6408" w:rsidRDefault="001C470D" w:rsidP="001C470D">
            <w:pPr>
              <w:pStyle w:val="BodyText"/>
              <w:widowControl w:val="0"/>
              <w:spacing w:after="0"/>
              <w:rPr>
                <w:rFonts w:ascii="Arial" w:hAnsi="Arial" w:cs="Arial"/>
                <w:sz w:val="17"/>
                <w:szCs w:val="17"/>
              </w:rPr>
            </w:pPr>
            <w:r w:rsidRPr="000E6408">
              <w:rPr>
                <w:rFonts w:ascii="Arial" w:hAnsi="Arial" w:cs="Arial"/>
                <w:sz w:val="17"/>
                <w:szCs w:val="17"/>
              </w:rPr>
              <w:t>Martin 2014</w:t>
            </w:r>
          </w:p>
        </w:tc>
        <w:tc>
          <w:tcPr>
            <w:tcW w:w="1021" w:type="pct"/>
            <w:tcBorders>
              <w:top w:val="single" w:sz="4" w:space="0" w:color="auto"/>
              <w:left w:val="nil"/>
              <w:bottom w:val="nil"/>
              <w:right w:val="nil"/>
            </w:tcBorders>
          </w:tcPr>
          <w:p w14:paraId="074AFE1F" w14:textId="52A13390" w:rsidR="001C470D" w:rsidRPr="000E6408" w:rsidRDefault="001C470D" w:rsidP="001C470D">
            <w:pPr>
              <w:pStyle w:val="BodyText"/>
              <w:widowControl w:val="0"/>
              <w:spacing w:after="0"/>
              <w:rPr>
                <w:rFonts w:ascii="Arial" w:hAnsi="Arial" w:cs="Arial"/>
                <w:sz w:val="17"/>
                <w:szCs w:val="17"/>
              </w:rPr>
            </w:pPr>
            <w:r w:rsidRPr="000E6408">
              <w:rPr>
                <w:rFonts w:ascii="Arial" w:hAnsi="Arial" w:cs="Arial"/>
                <w:sz w:val="17"/>
                <w:szCs w:val="17"/>
              </w:rPr>
              <w:t>Predicted:</w:t>
            </w:r>
            <w:r w:rsidRPr="000E6408">
              <w:rPr>
                <w:rFonts w:ascii="Arial" w:hAnsi="Arial" w:cs="Arial"/>
                <w:sz w:val="17"/>
                <w:szCs w:val="17"/>
              </w:rPr>
              <w:br/>
              <w:t>ER</w:t>
            </w:r>
            <w:r w:rsidRPr="000E6408">
              <w:rPr>
                <w:rFonts w:ascii="Arial" w:hAnsi="Arial" w:cs="Arial"/>
                <w:sz w:val="17"/>
                <w:szCs w:val="17"/>
                <w:vertAlign w:val="subscript"/>
              </w:rPr>
              <w:t>50</w:t>
            </w:r>
            <w:r w:rsidRPr="000E6408">
              <w:rPr>
                <w:rFonts w:ascii="Arial" w:hAnsi="Arial" w:cs="Arial"/>
                <w:sz w:val="17"/>
                <w:szCs w:val="17"/>
              </w:rPr>
              <w:t xml:space="preserve"> &gt;446 g acs/ha</w:t>
            </w:r>
          </w:p>
        </w:tc>
      </w:tr>
      <w:tr w:rsidR="001C470D" w:rsidRPr="00D63217" w14:paraId="7077C6ED" w14:textId="77777777" w:rsidTr="00055B6B">
        <w:trPr>
          <w:cantSplit/>
        </w:trPr>
        <w:tc>
          <w:tcPr>
            <w:tcW w:w="979" w:type="pct"/>
            <w:tcBorders>
              <w:top w:val="nil"/>
              <w:left w:val="nil"/>
              <w:bottom w:val="single" w:sz="4" w:space="0" w:color="auto"/>
              <w:right w:val="nil"/>
            </w:tcBorders>
          </w:tcPr>
          <w:p w14:paraId="3D6081E7" w14:textId="77777777" w:rsidR="001C470D" w:rsidRPr="000E6408" w:rsidRDefault="001C470D" w:rsidP="001C470D">
            <w:pPr>
              <w:pStyle w:val="BodyText"/>
              <w:widowControl w:val="0"/>
              <w:spacing w:after="0"/>
              <w:rPr>
                <w:rFonts w:ascii="Arial" w:hAnsi="Arial" w:cs="Arial"/>
                <w:sz w:val="17"/>
                <w:szCs w:val="17"/>
              </w:rPr>
            </w:pPr>
          </w:p>
        </w:tc>
        <w:tc>
          <w:tcPr>
            <w:tcW w:w="880" w:type="pct"/>
            <w:vMerge/>
            <w:tcBorders>
              <w:left w:val="nil"/>
              <w:bottom w:val="single" w:sz="4" w:space="0" w:color="auto"/>
              <w:right w:val="nil"/>
            </w:tcBorders>
          </w:tcPr>
          <w:p w14:paraId="3A6440D4" w14:textId="77777777" w:rsidR="001C470D" w:rsidRPr="000E6408" w:rsidRDefault="001C470D" w:rsidP="001C470D">
            <w:pPr>
              <w:pStyle w:val="BodyText"/>
              <w:widowControl w:val="0"/>
              <w:spacing w:after="0"/>
              <w:rPr>
                <w:rFonts w:ascii="Arial" w:hAnsi="Arial" w:cs="Arial"/>
                <w:i/>
                <w:iCs/>
                <w:sz w:val="17"/>
                <w:szCs w:val="17"/>
              </w:rPr>
            </w:pPr>
          </w:p>
        </w:tc>
        <w:tc>
          <w:tcPr>
            <w:tcW w:w="1060" w:type="pct"/>
            <w:vMerge/>
            <w:tcBorders>
              <w:left w:val="nil"/>
              <w:bottom w:val="single" w:sz="4" w:space="0" w:color="auto"/>
              <w:right w:val="nil"/>
            </w:tcBorders>
          </w:tcPr>
          <w:p w14:paraId="3317CA8D" w14:textId="77777777" w:rsidR="001C470D" w:rsidRPr="000E6408" w:rsidRDefault="001C470D" w:rsidP="001C470D">
            <w:pPr>
              <w:pStyle w:val="BodyText"/>
              <w:widowControl w:val="0"/>
              <w:spacing w:after="0"/>
              <w:rPr>
                <w:rFonts w:ascii="Arial" w:hAnsi="Arial" w:cs="Arial"/>
                <w:sz w:val="17"/>
                <w:szCs w:val="17"/>
              </w:rPr>
            </w:pPr>
          </w:p>
        </w:tc>
        <w:tc>
          <w:tcPr>
            <w:tcW w:w="1060" w:type="pct"/>
            <w:vMerge/>
            <w:tcBorders>
              <w:left w:val="nil"/>
              <w:bottom w:val="single" w:sz="4" w:space="0" w:color="auto"/>
              <w:right w:val="nil"/>
            </w:tcBorders>
          </w:tcPr>
          <w:p w14:paraId="32C24C47" w14:textId="77777777" w:rsidR="001C470D" w:rsidRPr="000E6408" w:rsidRDefault="001C470D" w:rsidP="001C470D">
            <w:pPr>
              <w:pStyle w:val="BodyText"/>
              <w:widowControl w:val="0"/>
              <w:spacing w:after="0"/>
              <w:rPr>
                <w:rFonts w:ascii="Arial" w:hAnsi="Arial" w:cs="Arial"/>
                <w:sz w:val="17"/>
                <w:szCs w:val="17"/>
              </w:rPr>
            </w:pPr>
          </w:p>
        </w:tc>
        <w:tc>
          <w:tcPr>
            <w:tcW w:w="1021" w:type="pct"/>
            <w:tcBorders>
              <w:top w:val="nil"/>
              <w:left w:val="nil"/>
              <w:bottom w:val="single" w:sz="4" w:space="0" w:color="auto"/>
              <w:right w:val="nil"/>
            </w:tcBorders>
          </w:tcPr>
          <w:p w14:paraId="62F51D74" w14:textId="320A7E50" w:rsidR="001C470D" w:rsidRPr="000E6408" w:rsidRDefault="001C470D" w:rsidP="001C470D">
            <w:pPr>
              <w:pStyle w:val="BodyText"/>
              <w:widowControl w:val="0"/>
              <w:spacing w:after="0"/>
              <w:rPr>
                <w:rFonts w:ascii="Arial" w:hAnsi="Arial" w:cs="Arial"/>
                <w:sz w:val="17"/>
                <w:szCs w:val="17"/>
              </w:rPr>
            </w:pPr>
            <w:r w:rsidRPr="000E6408">
              <w:rPr>
                <w:rFonts w:ascii="Arial" w:hAnsi="Arial" w:cs="Arial"/>
                <w:sz w:val="17"/>
                <w:szCs w:val="17"/>
              </w:rPr>
              <w:t>Relative toxicity:</w:t>
            </w:r>
            <w:r w:rsidRPr="000E6408">
              <w:rPr>
                <w:rFonts w:ascii="Arial" w:hAnsi="Arial" w:cs="Arial"/>
                <w:sz w:val="17"/>
                <w:szCs w:val="17"/>
              </w:rPr>
              <w:br/>
              <w:t>≥23% + ≤77%</w:t>
            </w:r>
          </w:p>
        </w:tc>
      </w:tr>
    </w:tbl>
    <w:p w14:paraId="5E5D72DE" w14:textId="77777777" w:rsidR="00017CE7" w:rsidRPr="00D63217" w:rsidRDefault="00017CE7" w:rsidP="00017CE7">
      <w:pPr>
        <w:sectPr w:rsidR="00017CE7" w:rsidRPr="00D63217" w:rsidSect="003023C5">
          <w:headerReference w:type="default" r:id="rId57"/>
          <w:pgSz w:w="11906" w:h="16838" w:code="9"/>
          <w:pgMar w:top="2835" w:right="1134" w:bottom="1134" w:left="1134" w:header="1701" w:footer="680" w:gutter="0"/>
          <w:cols w:space="708"/>
          <w:docGrid w:linePitch="360"/>
        </w:sectPr>
      </w:pPr>
    </w:p>
    <w:p w14:paraId="420CA975" w14:textId="77777777" w:rsidR="009A7378" w:rsidRPr="00D63217" w:rsidRDefault="009A7378" w:rsidP="000E6408">
      <w:pPr>
        <w:pStyle w:val="AppendixH1"/>
      </w:pPr>
      <w:bookmarkStart w:id="701" w:name="_Toc149734923"/>
      <w:bookmarkStart w:id="702" w:name="_Toc153649660"/>
      <w:bookmarkStart w:id="703" w:name="_Toc156980643"/>
      <w:bookmarkStart w:id="704" w:name="_Toc157602775"/>
      <w:bookmarkStart w:id="705" w:name="_Toc231480931"/>
      <w:bookmarkStart w:id="706" w:name="_Toc233036483"/>
      <w:r w:rsidRPr="00D63217">
        <w:lastRenderedPageBreak/>
        <w:t>Appendix C – Terrestrial vertebrate assessments</w:t>
      </w:r>
      <w:bookmarkEnd w:id="701"/>
      <w:bookmarkEnd w:id="702"/>
      <w:bookmarkEnd w:id="703"/>
      <w:bookmarkEnd w:id="704"/>
      <w:bookmarkEnd w:id="705"/>
      <w:bookmarkEnd w:id="706"/>
    </w:p>
    <w:p w14:paraId="2AF35975" w14:textId="77777777" w:rsidR="00A502AC" w:rsidRPr="00B10F80" w:rsidRDefault="00A502AC" w:rsidP="000E6408">
      <w:pPr>
        <w:pStyle w:val="AppendixH2"/>
      </w:pPr>
      <w:bookmarkStart w:id="707" w:name="_Toc216682524"/>
      <w:bookmarkStart w:id="708" w:name="_Toc231480932"/>
      <w:r w:rsidRPr="00B10F80">
        <w:t xml:space="preserve">Risk assessment </w:t>
      </w:r>
      <w:r>
        <w:t>(</w:t>
      </w:r>
      <w:r w:rsidRPr="00B10F80">
        <w:t>according to EFSA 2009</w:t>
      </w:r>
      <w:r>
        <w:t>)</w:t>
      </w:r>
      <w:bookmarkEnd w:id="707"/>
      <w:bookmarkEnd w:id="708"/>
    </w:p>
    <w:p w14:paraId="54BBB04C" w14:textId="77777777" w:rsidR="00A502AC" w:rsidRPr="00A502AC" w:rsidRDefault="00A502AC" w:rsidP="000E6408">
      <w:pPr>
        <w:pStyle w:val="NormalText"/>
        <w:rPr>
          <w:rFonts w:cstheme="minorHAnsi"/>
        </w:rPr>
      </w:pPr>
      <w:r w:rsidRPr="00E97E7D">
        <w:t xml:space="preserve">Risks to terrestrial vertebrates following dietary exposure to contaminated food items are assessed using a tiered approach. The acute assessment assumes 100% of food items are obtained from the treatment area on the last day of application, while the chronic </w:t>
      </w:r>
      <w:r w:rsidRPr="00A502AC">
        <w:rPr>
          <w:rFonts w:cstheme="minorHAnsi"/>
        </w:rPr>
        <w:t>assessment assumes 50% of food items are obtained from the treatment area for the first 21 days after the last application (PT 0.5).</w:t>
      </w:r>
    </w:p>
    <w:p w14:paraId="3F6748CC" w14:textId="11884C94" w:rsidR="00A502AC" w:rsidRPr="00A502AC" w:rsidRDefault="00A502AC" w:rsidP="000E6408">
      <w:pPr>
        <w:pStyle w:val="NormalText"/>
        <w:rPr>
          <w:rFonts w:cstheme="minorHAnsi"/>
        </w:rPr>
      </w:pPr>
      <w:r w:rsidRPr="00A502AC">
        <w:rPr>
          <w:rFonts w:cstheme="minorHAnsi"/>
        </w:rPr>
        <w:t>The use patterns were divided up into groups which consist of crops that have similar growing patterns (</w:t>
      </w:r>
      <w:r w:rsidRPr="00A502AC">
        <w:rPr>
          <w:rFonts w:cstheme="minorHAnsi"/>
        </w:rPr>
        <w:fldChar w:fldCharType="begin"/>
      </w:r>
      <w:r w:rsidRPr="00A502AC">
        <w:rPr>
          <w:rFonts w:cstheme="minorHAnsi"/>
        </w:rPr>
        <w:instrText xml:space="preserve"> REF _Ref168386682 \h  \* MERGEFORMAT </w:instrText>
      </w:r>
      <w:r w:rsidRPr="00A502AC">
        <w:rPr>
          <w:rFonts w:cstheme="minorHAnsi"/>
        </w:rPr>
      </w:r>
      <w:r w:rsidRPr="00A502AC">
        <w:rPr>
          <w:rFonts w:cstheme="minorHAnsi"/>
        </w:rPr>
        <w:fldChar w:fldCharType="separate"/>
      </w:r>
      <w:r w:rsidR="008A397D" w:rsidRPr="008A397D">
        <w:rPr>
          <w:rFonts w:cstheme="minorHAnsi"/>
        </w:rPr>
        <w:t xml:space="preserve">Table </w:t>
      </w:r>
      <w:r w:rsidR="008A397D" w:rsidRPr="008A397D">
        <w:rPr>
          <w:rFonts w:cstheme="minorHAnsi"/>
          <w:noProof/>
        </w:rPr>
        <w:t>74</w:t>
      </w:r>
      <w:r w:rsidRPr="00A502AC">
        <w:rPr>
          <w:rFonts w:cstheme="minorHAnsi"/>
        </w:rPr>
        <w:fldChar w:fldCharType="end"/>
      </w:r>
      <w:r w:rsidRPr="00A502AC">
        <w:rPr>
          <w:rFonts w:cstheme="minorHAnsi"/>
        </w:rPr>
        <w:t xml:space="preserve">). </w:t>
      </w:r>
      <w:bookmarkStart w:id="709" w:name="_Hlk199928794"/>
      <w:r w:rsidRPr="00A502AC">
        <w:rPr>
          <w:rFonts w:cstheme="minorHAnsi"/>
        </w:rPr>
        <w:t>It is assumed that the exposure of a ‘generic focal species’ within each group will be the same as they relate to feeding habits and other ecological needs. A ‘generic focal species’ is not a real species; however, it is considered representative of all those species potentially at risk. The APVMA utilises the EFSA (2009) generic focal species which are considered protective of species that occur in Australia. Interception of the spray by the crop is accounted for by calculating the residue level on the several food types, depending on the growth stage of the crop. This consideration is reflected in the EFSA (2009) shortcut values.</w:t>
      </w:r>
      <w:bookmarkEnd w:id="709"/>
    </w:p>
    <w:p w14:paraId="7860973E" w14:textId="117F2420" w:rsidR="00A502AC" w:rsidRPr="00E97E7D" w:rsidRDefault="00A502AC" w:rsidP="000E6408">
      <w:pPr>
        <w:pStyle w:val="NormalText"/>
      </w:pPr>
      <w:r w:rsidRPr="00A502AC">
        <w:rPr>
          <w:rFonts w:cstheme="minorHAnsi"/>
        </w:rPr>
        <w:t>The maximum acceptable application rate following both acute and chronic exposure for each application timing have been calculated in this document to compare against the full rate ranges registered for each situation (</w:t>
      </w:r>
      <w:r w:rsidRPr="00A502AC">
        <w:rPr>
          <w:rFonts w:cstheme="minorHAnsi"/>
        </w:rPr>
        <w:fldChar w:fldCharType="begin"/>
      </w:r>
      <w:r w:rsidRPr="00A502AC">
        <w:rPr>
          <w:rFonts w:cstheme="minorHAnsi"/>
        </w:rPr>
        <w:instrText xml:space="preserve"> REF _Ref168386683 \h  \* MERGEFORMAT </w:instrText>
      </w:r>
      <w:r w:rsidRPr="00A502AC">
        <w:rPr>
          <w:rFonts w:cstheme="minorHAnsi"/>
        </w:rPr>
      </w:r>
      <w:r w:rsidRPr="00A502A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75</w:t>
      </w:r>
      <w:r w:rsidRPr="00A502AC">
        <w:rPr>
          <w:rFonts w:cstheme="minorHAnsi"/>
        </w:rPr>
        <w:fldChar w:fldCharType="end"/>
      </w:r>
      <w:r w:rsidRPr="00A502AC">
        <w:rPr>
          <w:rFonts w:cstheme="minorHAnsi"/>
        </w:rPr>
        <w:t xml:space="preserve"> for wild mammals; </w:t>
      </w:r>
      <w:r w:rsidRPr="00A502AC">
        <w:rPr>
          <w:rFonts w:cstheme="minorHAnsi"/>
        </w:rPr>
        <w:fldChar w:fldCharType="begin"/>
      </w:r>
      <w:r w:rsidRPr="00A502AC">
        <w:rPr>
          <w:rFonts w:cstheme="minorHAnsi"/>
        </w:rPr>
        <w:instrText xml:space="preserve"> REF _Ref168386684 \h  \* MERGEFORMAT </w:instrText>
      </w:r>
      <w:r w:rsidRPr="00A502AC">
        <w:rPr>
          <w:rFonts w:cstheme="minorHAnsi"/>
        </w:rPr>
      </w:r>
      <w:r w:rsidRPr="00A502AC">
        <w:rPr>
          <w:rFonts w:cstheme="minorHAnsi"/>
        </w:rPr>
        <w:fldChar w:fldCharType="separate"/>
      </w:r>
      <w:r w:rsidR="008A397D" w:rsidRPr="008A397D">
        <w:rPr>
          <w:rFonts w:cstheme="minorHAnsi"/>
        </w:rPr>
        <w:t xml:space="preserve">Table </w:t>
      </w:r>
      <w:r w:rsidR="008A397D" w:rsidRPr="008A397D">
        <w:rPr>
          <w:rFonts w:cstheme="minorHAnsi"/>
          <w:noProof/>
        </w:rPr>
        <w:t>76</w:t>
      </w:r>
      <w:r w:rsidRPr="00A502AC">
        <w:rPr>
          <w:rFonts w:cstheme="minorHAnsi"/>
        </w:rPr>
        <w:fldChar w:fldCharType="end"/>
      </w:r>
      <w:r w:rsidRPr="00A502AC">
        <w:rPr>
          <w:rFonts w:cstheme="minorHAnsi"/>
        </w:rPr>
        <w:t xml:space="preserve"> for birds). Only application timings considered relevant for the use situation have been considered. </w:t>
      </w:r>
      <w:bookmarkStart w:id="710" w:name="_Hlk204346853"/>
      <w:r w:rsidRPr="00A502AC">
        <w:rPr>
          <w:rFonts w:cstheme="minorHAnsi"/>
        </w:rPr>
        <w:t>Note that these assessments</w:t>
      </w:r>
      <w:r w:rsidRPr="0064770E">
        <w:rPr>
          <w:rFonts w:cstheme="minorHAnsi"/>
        </w:rPr>
        <w:t xml:space="preserve"> do not include any refinements</w:t>
      </w:r>
      <w:r>
        <w:t>. Refinements to the risk assessment are considered in the following section.</w:t>
      </w:r>
      <w:bookmarkEnd w:id="710"/>
    </w:p>
    <w:p w14:paraId="020F11FB" w14:textId="088AA61F" w:rsidR="009A7378" w:rsidRPr="000E6408" w:rsidRDefault="00E53283" w:rsidP="000E6408">
      <w:pPr>
        <w:pStyle w:val="Caption"/>
      </w:pPr>
      <w:bookmarkStart w:id="711" w:name="_Ref168386682"/>
      <w:bookmarkStart w:id="712" w:name="_Toc230692340"/>
      <w:bookmarkStart w:id="713" w:name="_Toc233036561"/>
      <w:r w:rsidRPr="000E6408">
        <w:t xml:space="preserve">Table </w:t>
      </w:r>
      <w:fldSimple w:instr=" SEQ Table \* ARABIC ">
        <w:r w:rsidR="000E6408">
          <w:rPr>
            <w:noProof/>
          </w:rPr>
          <w:t>74</w:t>
        </w:r>
      </w:fldSimple>
      <w:bookmarkEnd w:id="711"/>
      <w:r w:rsidRPr="000E6408">
        <w:t xml:space="preserve">: </w:t>
      </w:r>
      <w:r w:rsidR="009A7378" w:rsidRPr="000E6408">
        <w:t>Seasonal exposure estimates for paraquat in animal food items</w:t>
      </w:r>
      <w:bookmarkEnd w:id="712"/>
      <w:bookmarkEnd w:id="7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54"/>
        <w:gridCol w:w="1358"/>
        <w:gridCol w:w="2686"/>
        <w:gridCol w:w="2089"/>
        <w:gridCol w:w="791"/>
        <w:gridCol w:w="1450"/>
      </w:tblGrid>
      <w:tr w:rsidR="00A502AC" w14:paraId="2792ED58" w14:textId="77777777" w:rsidTr="00444693">
        <w:trPr>
          <w:tblHeader/>
        </w:trPr>
        <w:tc>
          <w:tcPr>
            <w:tcW w:w="651" w:type="pct"/>
            <w:vMerge w:val="restart"/>
            <w:tcBorders>
              <w:bottom w:val="single" w:sz="4" w:space="0" w:color="auto"/>
            </w:tcBorders>
            <w:shd w:val="clear" w:color="auto" w:fill="5C2946"/>
          </w:tcPr>
          <w:p w14:paraId="47C47871" w14:textId="209B66EB" w:rsidR="00A502AC" w:rsidRDefault="0098195D" w:rsidP="00B767DC">
            <w:pPr>
              <w:pStyle w:val="TableHead"/>
            </w:pPr>
            <w:r>
              <w:t>Category</w:t>
            </w:r>
          </w:p>
        </w:tc>
        <w:tc>
          <w:tcPr>
            <w:tcW w:w="705" w:type="pct"/>
            <w:vMerge w:val="restart"/>
            <w:shd w:val="clear" w:color="auto" w:fill="5C2946"/>
          </w:tcPr>
          <w:p w14:paraId="574D677B" w14:textId="77777777" w:rsidR="00A502AC" w:rsidRDefault="00A502AC" w:rsidP="00B767DC">
            <w:pPr>
              <w:pStyle w:val="TableHead"/>
            </w:pPr>
            <w:r>
              <w:t>EFSA 2009</w:t>
            </w:r>
          </w:p>
          <w:p w14:paraId="4F87D11E" w14:textId="77777777" w:rsidR="00A502AC" w:rsidRDefault="00A502AC" w:rsidP="00B767DC">
            <w:pPr>
              <w:pStyle w:val="TableHead"/>
            </w:pPr>
            <w:r>
              <w:t>crop group</w:t>
            </w:r>
          </w:p>
        </w:tc>
        <w:tc>
          <w:tcPr>
            <w:tcW w:w="1395" w:type="pct"/>
            <w:vMerge w:val="restart"/>
            <w:shd w:val="clear" w:color="auto" w:fill="5C2946"/>
          </w:tcPr>
          <w:p w14:paraId="286E5A45" w14:textId="77777777" w:rsidR="00A502AC" w:rsidRDefault="00A502AC" w:rsidP="00B767DC">
            <w:pPr>
              <w:pStyle w:val="TableHead"/>
            </w:pPr>
            <w:r>
              <w:t>Situation</w:t>
            </w:r>
          </w:p>
        </w:tc>
        <w:tc>
          <w:tcPr>
            <w:tcW w:w="1085" w:type="pct"/>
            <w:vMerge w:val="restart"/>
            <w:shd w:val="clear" w:color="auto" w:fill="5C2946"/>
          </w:tcPr>
          <w:p w14:paraId="2C89D1E6" w14:textId="77777777" w:rsidR="00A502AC" w:rsidRDefault="00A502AC" w:rsidP="00B767DC">
            <w:pPr>
              <w:pStyle w:val="TableHead"/>
            </w:pPr>
            <w:r>
              <w:t>Application rate</w:t>
            </w:r>
          </w:p>
          <w:p w14:paraId="3E462D4F" w14:textId="31E194CC" w:rsidR="00A502AC" w:rsidRDefault="00012C56" w:rsidP="00B767DC">
            <w:pPr>
              <w:pStyle w:val="TableHead"/>
            </w:pPr>
            <w:r>
              <w:t>and</w:t>
            </w:r>
            <w:r w:rsidR="00A502AC">
              <w:t xml:space="preserve"> frequency</w:t>
            </w:r>
          </w:p>
        </w:tc>
        <w:tc>
          <w:tcPr>
            <w:tcW w:w="411" w:type="pct"/>
            <w:vMerge w:val="restart"/>
            <w:shd w:val="clear" w:color="auto" w:fill="5C2946"/>
          </w:tcPr>
          <w:p w14:paraId="254517DA" w14:textId="77777777" w:rsidR="00A502AC" w:rsidRDefault="00A502AC" w:rsidP="00B767DC">
            <w:pPr>
              <w:pStyle w:val="TableHead"/>
            </w:pPr>
            <w:r>
              <w:t>FFT</w:t>
            </w:r>
          </w:p>
        </w:tc>
        <w:tc>
          <w:tcPr>
            <w:tcW w:w="753" w:type="pct"/>
            <w:shd w:val="clear" w:color="auto" w:fill="5C2946"/>
          </w:tcPr>
          <w:p w14:paraId="66B0CC1A" w14:textId="77777777" w:rsidR="00A502AC" w:rsidRDefault="00A502AC" w:rsidP="00B767DC">
            <w:pPr>
              <w:pStyle w:val="TableHead"/>
            </w:pPr>
            <w:r>
              <w:t xml:space="preserve">Seasonal exposure rate </w:t>
            </w:r>
            <w:r w:rsidRPr="00101F12">
              <w:rPr>
                <w:sz w:val="16"/>
                <w:szCs w:val="16"/>
              </w:rPr>
              <w:t>(g/ha)</w:t>
            </w:r>
            <w:r>
              <w:rPr>
                <w:rStyle w:val="FootnoteReference"/>
                <w:rFonts w:ascii="Arial" w:hAnsi="Arial"/>
                <w:b/>
                <w:sz w:val="16"/>
                <w:szCs w:val="16"/>
              </w:rPr>
              <w:footnoteReference w:id="64"/>
            </w:r>
          </w:p>
        </w:tc>
      </w:tr>
      <w:tr w:rsidR="00A502AC" w14:paraId="69E97BDC" w14:textId="77777777" w:rsidTr="00444693">
        <w:trPr>
          <w:tblHeader/>
        </w:trPr>
        <w:tc>
          <w:tcPr>
            <w:tcW w:w="651" w:type="pct"/>
            <w:vMerge/>
            <w:tcBorders>
              <w:top w:val="nil"/>
              <w:bottom w:val="single" w:sz="4" w:space="0" w:color="auto"/>
            </w:tcBorders>
            <w:shd w:val="clear" w:color="auto" w:fill="5C2946"/>
          </w:tcPr>
          <w:p w14:paraId="4AA81206" w14:textId="77777777" w:rsidR="00A502AC" w:rsidRDefault="00A502AC" w:rsidP="00B767DC">
            <w:pPr>
              <w:pStyle w:val="TableHead"/>
            </w:pPr>
          </w:p>
        </w:tc>
        <w:tc>
          <w:tcPr>
            <w:tcW w:w="705" w:type="pct"/>
            <w:vMerge/>
            <w:tcBorders>
              <w:bottom w:val="single" w:sz="4" w:space="0" w:color="auto"/>
            </w:tcBorders>
            <w:shd w:val="clear" w:color="auto" w:fill="5C2946"/>
          </w:tcPr>
          <w:p w14:paraId="2CC84DD7" w14:textId="77777777" w:rsidR="00A502AC" w:rsidRDefault="00A502AC" w:rsidP="00B767DC">
            <w:pPr>
              <w:pStyle w:val="TableHead"/>
            </w:pPr>
          </w:p>
        </w:tc>
        <w:tc>
          <w:tcPr>
            <w:tcW w:w="1395" w:type="pct"/>
            <w:vMerge/>
            <w:tcBorders>
              <w:bottom w:val="single" w:sz="4" w:space="0" w:color="auto"/>
            </w:tcBorders>
            <w:shd w:val="clear" w:color="auto" w:fill="5C2946"/>
          </w:tcPr>
          <w:p w14:paraId="1B5F0CE5" w14:textId="77777777" w:rsidR="00A502AC" w:rsidRDefault="00A502AC" w:rsidP="00B767DC">
            <w:pPr>
              <w:pStyle w:val="TableHead"/>
            </w:pPr>
          </w:p>
        </w:tc>
        <w:tc>
          <w:tcPr>
            <w:tcW w:w="1085" w:type="pct"/>
            <w:vMerge/>
            <w:tcBorders>
              <w:bottom w:val="single" w:sz="4" w:space="0" w:color="auto"/>
            </w:tcBorders>
            <w:shd w:val="clear" w:color="auto" w:fill="5C2946"/>
          </w:tcPr>
          <w:p w14:paraId="287E743A" w14:textId="77777777" w:rsidR="00A502AC" w:rsidRDefault="00A502AC" w:rsidP="00B767DC">
            <w:pPr>
              <w:pStyle w:val="TableHead"/>
            </w:pPr>
          </w:p>
        </w:tc>
        <w:tc>
          <w:tcPr>
            <w:tcW w:w="411" w:type="pct"/>
            <w:vMerge/>
            <w:tcBorders>
              <w:bottom w:val="single" w:sz="4" w:space="0" w:color="auto"/>
            </w:tcBorders>
            <w:shd w:val="clear" w:color="auto" w:fill="5C2946"/>
          </w:tcPr>
          <w:p w14:paraId="163D900B" w14:textId="77777777" w:rsidR="00A502AC" w:rsidRDefault="00A502AC" w:rsidP="00B767DC">
            <w:pPr>
              <w:pStyle w:val="TableHead"/>
            </w:pPr>
          </w:p>
        </w:tc>
        <w:tc>
          <w:tcPr>
            <w:tcW w:w="753" w:type="pct"/>
            <w:tcBorders>
              <w:bottom w:val="single" w:sz="4" w:space="0" w:color="auto"/>
            </w:tcBorders>
            <w:shd w:val="clear" w:color="auto" w:fill="5C2946"/>
          </w:tcPr>
          <w:p w14:paraId="52CBA799" w14:textId="77777777" w:rsidR="00A502AC" w:rsidRDefault="00A502AC" w:rsidP="00B767DC">
            <w:pPr>
              <w:pStyle w:val="TableHead"/>
            </w:pPr>
            <w:r>
              <w:t>Maximum</w:t>
            </w:r>
          </w:p>
        </w:tc>
      </w:tr>
      <w:tr w:rsidR="00A502AC" w:rsidRPr="008C00B3" w14:paraId="081D0094" w14:textId="77777777" w:rsidTr="00444693">
        <w:tc>
          <w:tcPr>
            <w:tcW w:w="651" w:type="pct"/>
            <w:vMerge w:val="restart"/>
            <w:tcBorders>
              <w:top w:val="nil"/>
              <w:left w:val="nil"/>
              <w:right w:val="nil"/>
            </w:tcBorders>
          </w:tcPr>
          <w:p w14:paraId="3D419A9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General weed control</w:t>
            </w:r>
          </w:p>
        </w:tc>
        <w:tc>
          <w:tcPr>
            <w:tcW w:w="705" w:type="pct"/>
            <w:tcBorders>
              <w:top w:val="single" w:sz="4" w:space="0" w:color="auto"/>
              <w:left w:val="nil"/>
              <w:bottom w:val="nil"/>
              <w:right w:val="nil"/>
            </w:tcBorders>
          </w:tcPr>
          <w:p w14:paraId="18D53DE6"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Bare soil</w:t>
            </w:r>
          </w:p>
        </w:tc>
        <w:tc>
          <w:tcPr>
            <w:tcW w:w="1395" w:type="pct"/>
            <w:tcBorders>
              <w:top w:val="single" w:sz="4" w:space="0" w:color="auto"/>
              <w:left w:val="nil"/>
              <w:bottom w:val="nil"/>
              <w:right w:val="nil"/>
            </w:tcBorders>
          </w:tcPr>
          <w:p w14:paraId="47B45142"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 (optical spot spraying)</w:t>
            </w:r>
          </w:p>
        </w:tc>
        <w:tc>
          <w:tcPr>
            <w:tcW w:w="1085" w:type="pct"/>
            <w:tcBorders>
              <w:top w:val="single" w:sz="4" w:space="0" w:color="auto"/>
              <w:left w:val="nil"/>
              <w:bottom w:val="nil"/>
              <w:right w:val="nil"/>
            </w:tcBorders>
          </w:tcPr>
          <w:p w14:paraId="6B9E2D5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2250 g ac/ha</w:t>
            </w:r>
          </w:p>
        </w:tc>
        <w:tc>
          <w:tcPr>
            <w:tcW w:w="411" w:type="pct"/>
            <w:tcBorders>
              <w:top w:val="single" w:sz="4" w:space="0" w:color="auto"/>
              <w:left w:val="nil"/>
              <w:bottom w:val="nil"/>
              <w:right w:val="nil"/>
            </w:tcBorders>
          </w:tcPr>
          <w:p w14:paraId="2E3F2134"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0.3</w:t>
            </w:r>
          </w:p>
        </w:tc>
        <w:tc>
          <w:tcPr>
            <w:tcW w:w="753" w:type="pct"/>
            <w:tcBorders>
              <w:top w:val="single" w:sz="4" w:space="0" w:color="auto"/>
              <w:left w:val="nil"/>
              <w:bottom w:val="nil"/>
              <w:right w:val="nil"/>
            </w:tcBorders>
          </w:tcPr>
          <w:p w14:paraId="46E9884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675</w:t>
            </w:r>
          </w:p>
        </w:tc>
      </w:tr>
      <w:tr w:rsidR="00A502AC" w:rsidDel="00DA6DCD" w14:paraId="2E5D600C" w14:textId="77777777" w:rsidTr="00444693">
        <w:tc>
          <w:tcPr>
            <w:tcW w:w="651" w:type="pct"/>
            <w:vMerge/>
            <w:tcBorders>
              <w:top w:val="nil"/>
              <w:left w:val="nil"/>
              <w:right w:val="nil"/>
            </w:tcBorders>
          </w:tcPr>
          <w:p w14:paraId="5BABF4DF"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6EDDF74F"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54658BE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w:t>
            </w:r>
          </w:p>
        </w:tc>
        <w:tc>
          <w:tcPr>
            <w:tcW w:w="1085" w:type="pct"/>
            <w:tcBorders>
              <w:top w:val="nil"/>
              <w:left w:val="nil"/>
              <w:bottom w:val="nil"/>
              <w:right w:val="nil"/>
            </w:tcBorders>
          </w:tcPr>
          <w:p w14:paraId="56B52702"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1505 g ac/ha</w:t>
            </w:r>
          </w:p>
        </w:tc>
        <w:tc>
          <w:tcPr>
            <w:tcW w:w="411" w:type="pct"/>
            <w:tcBorders>
              <w:top w:val="nil"/>
              <w:left w:val="nil"/>
              <w:bottom w:val="nil"/>
              <w:right w:val="nil"/>
            </w:tcBorders>
          </w:tcPr>
          <w:p w14:paraId="7EA66ED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51F7E6C8" w14:textId="77777777" w:rsidR="00A502AC" w:rsidRPr="00AC06D7" w:rsidDel="00DA6DCD"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1505</w:t>
            </w:r>
          </w:p>
        </w:tc>
      </w:tr>
      <w:tr w:rsidR="00A502AC" w14:paraId="4C823B5C" w14:textId="77777777" w:rsidTr="00444693">
        <w:tc>
          <w:tcPr>
            <w:tcW w:w="651" w:type="pct"/>
            <w:vMerge/>
            <w:tcBorders>
              <w:top w:val="nil"/>
              <w:left w:val="nil"/>
              <w:right w:val="nil"/>
            </w:tcBorders>
          </w:tcPr>
          <w:p w14:paraId="4F3A7A95"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117D983F"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1A4674DE"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Market gardens, row crops, vegetables</w:t>
            </w:r>
          </w:p>
        </w:tc>
        <w:tc>
          <w:tcPr>
            <w:tcW w:w="1085" w:type="pct"/>
            <w:tcBorders>
              <w:top w:val="nil"/>
              <w:left w:val="nil"/>
              <w:bottom w:val="nil"/>
              <w:right w:val="nil"/>
            </w:tcBorders>
          </w:tcPr>
          <w:p w14:paraId="1BFE232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top w:val="nil"/>
              <w:left w:val="nil"/>
              <w:bottom w:val="nil"/>
              <w:right w:val="nil"/>
            </w:tcBorders>
          </w:tcPr>
          <w:p w14:paraId="7F97FD2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04D723BA"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14:paraId="4F798F76" w14:textId="77777777" w:rsidTr="00444693">
        <w:tc>
          <w:tcPr>
            <w:tcW w:w="651" w:type="pct"/>
            <w:vMerge/>
            <w:tcBorders>
              <w:top w:val="nil"/>
              <w:left w:val="nil"/>
              <w:right w:val="nil"/>
            </w:tcBorders>
          </w:tcPr>
          <w:p w14:paraId="3B2C1961"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25D679BA"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3008A61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Market gardens, row crops, vegetables (shielded inter-row spraying)</w:t>
            </w:r>
          </w:p>
        </w:tc>
        <w:tc>
          <w:tcPr>
            <w:tcW w:w="1085" w:type="pct"/>
            <w:tcBorders>
              <w:top w:val="nil"/>
              <w:left w:val="nil"/>
              <w:bottom w:val="nil"/>
              <w:right w:val="nil"/>
            </w:tcBorders>
          </w:tcPr>
          <w:p w14:paraId="56D8B22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top w:val="nil"/>
              <w:left w:val="nil"/>
              <w:bottom w:val="nil"/>
              <w:right w:val="nil"/>
            </w:tcBorders>
          </w:tcPr>
          <w:p w14:paraId="5238187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r w:rsidRPr="00AC06D7">
              <w:rPr>
                <w:rStyle w:val="FootnoteReference"/>
                <w:rFonts w:ascii="Arial" w:hAnsi="Arial" w:cs="Arial"/>
                <w:sz w:val="17"/>
                <w:szCs w:val="17"/>
              </w:rPr>
              <w:footnoteReference w:id="65"/>
            </w:r>
          </w:p>
        </w:tc>
        <w:tc>
          <w:tcPr>
            <w:tcW w:w="753" w:type="pct"/>
            <w:tcBorders>
              <w:top w:val="nil"/>
              <w:left w:val="nil"/>
              <w:bottom w:val="nil"/>
              <w:right w:val="nil"/>
            </w:tcBorders>
          </w:tcPr>
          <w:p w14:paraId="4D0EE525"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rsidRPr="008C00B3" w14:paraId="61B74175" w14:textId="77777777" w:rsidTr="00444693">
        <w:tc>
          <w:tcPr>
            <w:tcW w:w="651" w:type="pct"/>
            <w:vMerge/>
            <w:tcBorders>
              <w:top w:val="nil"/>
              <w:left w:val="nil"/>
              <w:right w:val="nil"/>
            </w:tcBorders>
          </w:tcPr>
          <w:p w14:paraId="0581859A"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54EF0F5B"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722CE88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Hops, rice (pre/post sowing), potatoes (pre/early emergence)</w:t>
            </w:r>
          </w:p>
        </w:tc>
        <w:tc>
          <w:tcPr>
            <w:tcW w:w="1085" w:type="pct"/>
            <w:tcBorders>
              <w:top w:val="nil"/>
              <w:left w:val="nil"/>
              <w:bottom w:val="nil"/>
              <w:right w:val="nil"/>
            </w:tcBorders>
          </w:tcPr>
          <w:p w14:paraId="3FE268E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400 g ac/ha</w:t>
            </w:r>
          </w:p>
        </w:tc>
        <w:tc>
          <w:tcPr>
            <w:tcW w:w="411" w:type="pct"/>
            <w:tcBorders>
              <w:top w:val="nil"/>
              <w:left w:val="nil"/>
              <w:bottom w:val="nil"/>
              <w:right w:val="nil"/>
            </w:tcBorders>
          </w:tcPr>
          <w:p w14:paraId="6BDF2D2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6BD4E738"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400</w:t>
            </w:r>
          </w:p>
        </w:tc>
      </w:tr>
      <w:tr w:rsidR="00A502AC" w14:paraId="0063FAC8" w14:textId="77777777" w:rsidTr="00444693">
        <w:tc>
          <w:tcPr>
            <w:tcW w:w="651" w:type="pct"/>
            <w:vMerge/>
            <w:tcBorders>
              <w:top w:val="nil"/>
              <w:left w:val="nil"/>
              <w:right w:val="nil"/>
            </w:tcBorders>
          </w:tcPr>
          <w:p w14:paraId="4E5717EB"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7E3D7A3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Grassland</w:t>
            </w:r>
          </w:p>
        </w:tc>
        <w:tc>
          <w:tcPr>
            <w:tcW w:w="1395" w:type="pct"/>
            <w:tcBorders>
              <w:top w:val="single" w:sz="4" w:space="0" w:color="auto"/>
              <w:left w:val="nil"/>
              <w:bottom w:val="nil"/>
              <w:right w:val="nil"/>
            </w:tcBorders>
          </w:tcPr>
          <w:p w14:paraId="1786AD1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 xml:space="preserve">Industrial vegetation management </w:t>
            </w:r>
          </w:p>
        </w:tc>
        <w:tc>
          <w:tcPr>
            <w:tcW w:w="1085" w:type="pct"/>
            <w:tcBorders>
              <w:top w:val="single" w:sz="4" w:space="0" w:color="auto"/>
              <w:left w:val="nil"/>
              <w:bottom w:val="nil"/>
              <w:right w:val="nil"/>
            </w:tcBorders>
          </w:tcPr>
          <w:p w14:paraId="24ABBAE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1140 g ac/ha</w:t>
            </w:r>
          </w:p>
        </w:tc>
        <w:tc>
          <w:tcPr>
            <w:tcW w:w="411" w:type="pct"/>
            <w:tcBorders>
              <w:top w:val="single" w:sz="4" w:space="0" w:color="auto"/>
              <w:left w:val="nil"/>
              <w:bottom w:val="nil"/>
              <w:right w:val="nil"/>
            </w:tcBorders>
          </w:tcPr>
          <w:p w14:paraId="6B2DFE7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5E871CAD"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1140</w:t>
            </w:r>
          </w:p>
        </w:tc>
      </w:tr>
      <w:tr w:rsidR="00A502AC" w14:paraId="47BD0ECC" w14:textId="77777777" w:rsidTr="00444693">
        <w:tc>
          <w:tcPr>
            <w:tcW w:w="651" w:type="pct"/>
            <w:vMerge/>
            <w:tcBorders>
              <w:top w:val="nil"/>
              <w:left w:val="nil"/>
              <w:right w:val="nil"/>
            </w:tcBorders>
          </w:tcPr>
          <w:p w14:paraId="16988DA5"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757EB540"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18FC5D4E"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Pasture (includes hay freezing, spray topping to reduce seed set, prevention of ryegrass toxicity, perennial grass seed crops and kikuyu/paspalum pasture)</w:t>
            </w:r>
          </w:p>
        </w:tc>
        <w:tc>
          <w:tcPr>
            <w:tcW w:w="1085" w:type="pct"/>
            <w:tcBorders>
              <w:top w:val="nil"/>
              <w:left w:val="nil"/>
              <w:bottom w:val="nil"/>
              <w:right w:val="nil"/>
            </w:tcBorders>
          </w:tcPr>
          <w:p w14:paraId="24944B8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top w:val="nil"/>
              <w:left w:val="nil"/>
              <w:bottom w:val="nil"/>
              <w:right w:val="nil"/>
            </w:tcBorders>
          </w:tcPr>
          <w:p w14:paraId="68228435"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0F36E35D"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14:paraId="17AFBFAC" w14:textId="77777777" w:rsidTr="00444693">
        <w:tc>
          <w:tcPr>
            <w:tcW w:w="651" w:type="pct"/>
            <w:vMerge/>
            <w:tcBorders>
              <w:top w:val="nil"/>
              <w:left w:val="nil"/>
              <w:right w:val="nil"/>
            </w:tcBorders>
          </w:tcPr>
          <w:p w14:paraId="3AED81CD" w14:textId="77777777" w:rsidR="00A502AC" w:rsidRPr="00AC06D7" w:rsidRDefault="00A502AC" w:rsidP="00444693">
            <w:pPr>
              <w:pStyle w:val="BodyText"/>
              <w:widowControl w:val="0"/>
              <w:spacing w:after="0"/>
              <w:rPr>
                <w:rFonts w:ascii="Arial" w:hAnsi="Arial" w:cs="Arial"/>
                <w:sz w:val="17"/>
                <w:szCs w:val="17"/>
              </w:rPr>
            </w:pPr>
          </w:p>
        </w:tc>
        <w:tc>
          <w:tcPr>
            <w:tcW w:w="705" w:type="pct"/>
            <w:vMerge w:val="restart"/>
            <w:tcBorders>
              <w:top w:val="single" w:sz="4" w:space="0" w:color="auto"/>
              <w:left w:val="nil"/>
              <w:right w:val="nil"/>
            </w:tcBorders>
          </w:tcPr>
          <w:p w14:paraId="44995935"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Legume forage</w:t>
            </w:r>
          </w:p>
        </w:tc>
        <w:tc>
          <w:tcPr>
            <w:tcW w:w="1395" w:type="pct"/>
            <w:tcBorders>
              <w:top w:val="single" w:sz="4" w:space="0" w:color="auto"/>
              <w:left w:val="nil"/>
              <w:bottom w:val="nil"/>
              <w:right w:val="nil"/>
            </w:tcBorders>
          </w:tcPr>
          <w:p w14:paraId="4A0027E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Lucerne (ungrazed before spraying)</w:t>
            </w:r>
          </w:p>
        </w:tc>
        <w:tc>
          <w:tcPr>
            <w:tcW w:w="1085" w:type="pct"/>
            <w:tcBorders>
              <w:top w:val="single" w:sz="4" w:space="0" w:color="auto"/>
              <w:left w:val="nil"/>
              <w:bottom w:val="nil"/>
              <w:right w:val="nil"/>
            </w:tcBorders>
          </w:tcPr>
          <w:p w14:paraId="0306FCF2"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top w:val="single" w:sz="4" w:space="0" w:color="auto"/>
              <w:left w:val="nil"/>
              <w:bottom w:val="nil"/>
              <w:right w:val="nil"/>
            </w:tcBorders>
          </w:tcPr>
          <w:p w14:paraId="3E227C59"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4C093129"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14:paraId="50620714" w14:textId="77777777" w:rsidTr="00444693">
        <w:tc>
          <w:tcPr>
            <w:tcW w:w="651" w:type="pct"/>
            <w:vMerge/>
            <w:tcBorders>
              <w:top w:val="nil"/>
              <w:left w:val="nil"/>
              <w:right w:val="nil"/>
            </w:tcBorders>
          </w:tcPr>
          <w:p w14:paraId="4C58F1CA" w14:textId="77777777" w:rsidR="00A502AC" w:rsidRPr="00AC06D7" w:rsidRDefault="00A502AC" w:rsidP="00444693">
            <w:pPr>
              <w:pStyle w:val="BodyText"/>
              <w:widowControl w:val="0"/>
              <w:spacing w:after="0"/>
              <w:rPr>
                <w:rFonts w:ascii="Arial" w:hAnsi="Arial" w:cs="Arial"/>
                <w:sz w:val="17"/>
                <w:szCs w:val="17"/>
              </w:rPr>
            </w:pPr>
          </w:p>
        </w:tc>
        <w:tc>
          <w:tcPr>
            <w:tcW w:w="705" w:type="pct"/>
            <w:vMerge/>
            <w:tcBorders>
              <w:left w:val="nil"/>
              <w:bottom w:val="single" w:sz="4" w:space="0" w:color="auto"/>
              <w:right w:val="nil"/>
            </w:tcBorders>
          </w:tcPr>
          <w:p w14:paraId="0B40B717"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4CBCA5A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Peanuts (BBCH 10-19)</w:t>
            </w:r>
          </w:p>
        </w:tc>
        <w:tc>
          <w:tcPr>
            <w:tcW w:w="1085" w:type="pct"/>
            <w:tcBorders>
              <w:top w:val="nil"/>
              <w:left w:val="nil"/>
              <w:bottom w:val="single" w:sz="4" w:space="0" w:color="auto"/>
              <w:right w:val="nil"/>
            </w:tcBorders>
          </w:tcPr>
          <w:p w14:paraId="7C2AD4C5"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250 g ac/ha</w:t>
            </w:r>
          </w:p>
        </w:tc>
        <w:tc>
          <w:tcPr>
            <w:tcW w:w="411" w:type="pct"/>
            <w:tcBorders>
              <w:top w:val="nil"/>
              <w:left w:val="nil"/>
              <w:bottom w:val="single" w:sz="4" w:space="0" w:color="auto"/>
              <w:right w:val="nil"/>
            </w:tcBorders>
          </w:tcPr>
          <w:p w14:paraId="12318E1E"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single" w:sz="4" w:space="0" w:color="auto"/>
              <w:right w:val="nil"/>
            </w:tcBorders>
          </w:tcPr>
          <w:p w14:paraId="1225D4D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250</w:t>
            </w:r>
          </w:p>
        </w:tc>
      </w:tr>
      <w:tr w:rsidR="00A502AC" w14:paraId="348DF336" w14:textId="77777777" w:rsidTr="00444693">
        <w:tc>
          <w:tcPr>
            <w:tcW w:w="651" w:type="pct"/>
            <w:vMerge/>
            <w:tcBorders>
              <w:top w:val="nil"/>
              <w:left w:val="nil"/>
              <w:right w:val="nil"/>
            </w:tcBorders>
          </w:tcPr>
          <w:p w14:paraId="5BB66A19"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0011272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Maize</w:t>
            </w:r>
            <w:r w:rsidRPr="00AC06D7">
              <w:rPr>
                <w:rStyle w:val="FootnoteReference"/>
                <w:rFonts w:ascii="Arial" w:hAnsi="Arial" w:cs="Arial"/>
                <w:sz w:val="17"/>
                <w:szCs w:val="17"/>
              </w:rPr>
              <w:footnoteReference w:id="66"/>
            </w:r>
          </w:p>
        </w:tc>
        <w:tc>
          <w:tcPr>
            <w:tcW w:w="1395" w:type="pct"/>
            <w:tcBorders>
              <w:top w:val="single" w:sz="4" w:space="0" w:color="auto"/>
              <w:left w:val="nil"/>
              <w:bottom w:val="nil"/>
              <w:right w:val="nil"/>
            </w:tcBorders>
          </w:tcPr>
          <w:p w14:paraId="2D172C5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Sugarcane (over the top spray)</w:t>
            </w:r>
          </w:p>
        </w:tc>
        <w:tc>
          <w:tcPr>
            <w:tcW w:w="1085" w:type="pct"/>
            <w:tcBorders>
              <w:top w:val="single" w:sz="4" w:space="0" w:color="auto"/>
              <w:left w:val="nil"/>
              <w:bottom w:val="nil"/>
              <w:right w:val="nil"/>
            </w:tcBorders>
          </w:tcPr>
          <w:p w14:paraId="6D0C5859" w14:textId="77777777" w:rsidR="00A502AC" w:rsidRPr="00AC06D7" w:rsidRDefault="00A502AC" w:rsidP="00444693">
            <w:pPr>
              <w:pStyle w:val="BodyText"/>
              <w:widowControl w:val="0"/>
              <w:spacing w:after="0"/>
              <w:rPr>
                <w:rFonts w:ascii="Arial" w:hAnsi="Arial" w:cs="Arial"/>
                <w:sz w:val="17"/>
                <w:szCs w:val="17"/>
                <w:highlight w:val="magenta"/>
              </w:rPr>
            </w:pPr>
            <w:r w:rsidRPr="00AC06D7">
              <w:rPr>
                <w:rFonts w:ascii="Arial" w:hAnsi="Arial" w:cs="Arial"/>
                <w:sz w:val="17"/>
                <w:szCs w:val="17"/>
              </w:rPr>
              <w:t>From 1× 400 g ac/ha</w:t>
            </w:r>
          </w:p>
        </w:tc>
        <w:tc>
          <w:tcPr>
            <w:tcW w:w="411" w:type="pct"/>
            <w:tcBorders>
              <w:top w:val="single" w:sz="4" w:space="0" w:color="auto"/>
              <w:left w:val="nil"/>
              <w:bottom w:val="nil"/>
              <w:right w:val="nil"/>
            </w:tcBorders>
          </w:tcPr>
          <w:p w14:paraId="0DA640E7"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3E14870E"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400</w:t>
            </w:r>
          </w:p>
        </w:tc>
      </w:tr>
      <w:tr w:rsidR="00A502AC" w14:paraId="78B08CD7" w14:textId="77777777" w:rsidTr="00444693">
        <w:tc>
          <w:tcPr>
            <w:tcW w:w="651" w:type="pct"/>
            <w:vMerge/>
            <w:tcBorders>
              <w:top w:val="nil"/>
              <w:left w:val="nil"/>
              <w:right w:val="nil"/>
            </w:tcBorders>
          </w:tcPr>
          <w:p w14:paraId="44B83143"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6946BE97"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5A0A8C3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Sugarcane (inter-row spray)</w:t>
            </w:r>
          </w:p>
        </w:tc>
        <w:tc>
          <w:tcPr>
            <w:tcW w:w="1085" w:type="pct"/>
            <w:tcBorders>
              <w:top w:val="nil"/>
              <w:left w:val="nil"/>
              <w:bottom w:val="single" w:sz="4" w:space="0" w:color="auto"/>
              <w:right w:val="nil"/>
            </w:tcBorders>
          </w:tcPr>
          <w:p w14:paraId="61B2AA6B" w14:textId="77777777" w:rsidR="00A502AC" w:rsidRPr="00AC06D7" w:rsidRDefault="00A502AC" w:rsidP="00444693">
            <w:pPr>
              <w:pStyle w:val="BodyText"/>
              <w:widowControl w:val="0"/>
              <w:spacing w:after="0"/>
              <w:rPr>
                <w:rFonts w:ascii="Arial" w:hAnsi="Arial" w:cs="Arial"/>
                <w:sz w:val="17"/>
                <w:szCs w:val="17"/>
                <w:highlight w:val="magenta"/>
              </w:rPr>
            </w:pPr>
            <w:r w:rsidRPr="00AC06D7">
              <w:rPr>
                <w:rFonts w:ascii="Arial" w:hAnsi="Arial" w:cs="Arial"/>
                <w:sz w:val="17"/>
                <w:szCs w:val="17"/>
              </w:rPr>
              <w:t>From 1× 400 g ac/ha</w:t>
            </w:r>
          </w:p>
        </w:tc>
        <w:tc>
          <w:tcPr>
            <w:tcW w:w="411" w:type="pct"/>
            <w:tcBorders>
              <w:top w:val="nil"/>
              <w:left w:val="nil"/>
              <w:bottom w:val="single" w:sz="4" w:space="0" w:color="auto"/>
              <w:right w:val="nil"/>
            </w:tcBorders>
          </w:tcPr>
          <w:p w14:paraId="1E40B5C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single" w:sz="4" w:space="0" w:color="auto"/>
              <w:right w:val="nil"/>
            </w:tcBorders>
          </w:tcPr>
          <w:p w14:paraId="338B0E4E"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400</w:t>
            </w:r>
          </w:p>
        </w:tc>
      </w:tr>
      <w:tr w:rsidR="00A502AC" w14:paraId="55D557D4" w14:textId="77777777" w:rsidTr="00444693">
        <w:tc>
          <w:tcPr>
            <w:tcW w:w="651" w:type="pct"/>
            <w:vMerge/>
            <w:tcBorders>
              <w:top w:val="nil"/>
              <w:left w:val="nil"/>
              <w:right w:val="nil"/>
            </w:tcBorders>
          </w:tcPr>
          <w:p w14:paraId="28181163"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3E5FD16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Orchards</w:t>
            </w:r>
          </w:p>
        </w:tc>
        <w:tc>
          <w:tcPr>
            <w:tcW w:w="1395" w:type="pct"/>
            <w:tcBorders>
              <w:top w:val="single" w:sz="4" w:space="0" w:color="auto"/>
              <w:left w:val="nil"/>
              <w:bottom w:val="nil"/>
              <w:right w:val="nil"/>
            </w:tcBorders>
          </w:tcPr>
          <w:p w14:paraId="7CF1B02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 xml:space="preserve">Orchards, bananas </w:t>
            </w:r>
          </w:p>
        </w:tc>
        <w:tc>
          <w:tcPr>
            <w:tcW w:w="1085" w:type="pct"/>
            <w:tcBorders>
              <w:top w:val="single" w:sz="4" w:space="0" w:color="auto"/>
              <w:left w:val="nil"/>
              <w:bottom w:val="nil"/>
              <w:right w:val="nil"/>
            </w:tcBorders>
          </w:tcPr>
          <w:p w14:paraId="5F00213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1120 g ac/ha</w:t>
            </w:r>
          </w:p>
        </w:tc>
        <w:tc>
          <w:tcPr>
            <w:tcW w:w="411" w:type="pct"/>
            <w:tcBorders>
              <w:left w:val="nil"/>
              <w:bottom w:val="nil"/>
              <w:right w:val="nil"/>
            </w:tcBorders>
          </w:tcPr>
          <w:p w14:paraId="2307DCE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left w:val="nil"/>
              <w:bottom w:val="nil"/>
              <w:right w:val="nil"/>
            </w:tcBorders>
          </w:tcPr>
          <w:p w14:paraId="7FB174A8"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1120</w:t>
            </w:r>
          </w:p>
        </w:tc>
      </w:tr>
      <w:tr w:rsidR="00A502AC" w14:paraId="24C80F3D" w14:textId="77777777" w:rsidTr="00444693">
        <w:tc>
          <w:tcPr>
            <w:tcW w:w="651" w:type="pct"/>
            <w:vMerge/>
            <w:tcBorders>
              <w:top w:val="nil"/>
              <w:left w:val="nil"/>
              <w:right w:val="nil"/>
            </w:tcBorders>
          </w:tcPr>
          <w:p w14:paraId="74973129"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6745E73B"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7FC4ADA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orchards, bananas</w:t>
            </w:r>
          </w:p>
        </w:tc>
        <w:tc>
          <w:tcPr>
            <w:tcW w:w="1085" w:type="pct"/>
            <w:tcBorders>
              <w:top w:val="nil"/>
              <w:left w:val="nil"/>
              <w:bottom w:val="single" w:sz="4" w:space="0" w:color="auto"/>
              <w:right w:val="nil"/>
            </w:tcBorders>
          </w:tcPr>
          <w:p w14:paraId="3746DD1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1120 g ac/ha</w:t>
            </w:r>
          </w:p>
        </w:tc>
        <w:tc>
          <w:tcPr>
            <w:tcW w:w="411" w:type="pct"/>
            <w:tcBorders>
              <w:top w:val="nil"/>
              <w:left w:val="nil"/>
              <w:bottom w:val="single" w:sz="4" w:space="0" w:color="auto"/>
              <w:right w:val="nil"/>
            </w:tcBorders>
          </w:tcPr>
          <w:p w14:paraId="349CE49F"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01FB67C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448</w:t>
            </w:r>
          </w:p>
        </w:tc>
      </w:tr>
      <w:tr w:rsidR="00A502AC" w14:paraId="061E7C66" w14:textId="77777777" w:rsidTr="00444693">
        <w:tc>
          <w:tcPr>
            <w:tcW w:w="651" w:type="pct"/>
            <w:vMerge/>
            <w:tcBorders>
              <w:top w:val="nil"/>
              <w:left w:val="nil"/>
              <w:right w:val="nil"/>
            </w:tcBorders>
          </w:tcPr>
          <w:p w14:paraId="29FD4C83"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756D14A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Potato</w:t>
            </w:r>
          </w:p>
        </w:tc>
        <w:tc>
          <w:tcPr>
            <w:tcW w:w="1395" w:type="pct"/>
            <w:tcBorders>
              <w:top w:val="single" w:sz="4" w:space="0" w:color="auto"/>
              <w:left w:val="nil"/>
              <w:bottom w:val="nil"/>
              <w:right w:val="nil"/>
            </w:tcBorders>
          </w:tcPr>
          <w:p w14:paraId="74BE4D6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Potatoes (pre-harvest)</w:t>
            </w:r>
          </w:p>
        </w:tc>
        <w:tc>
          <w:tcPr>
            <w:tcW w:w="1085" w:type="pct"/>
            <w:tcBorders>
              <w:top w:val="single" w:sz="4" w:space="0" w:color="auto"/>
              <w:left w:val="nil"/>
              <w:bottom w:val="nil"/>
              <w:right w:val="nil"/>
            </w:tcBorders>
          </w:tcPr>
          <w:p w14:paraId="43ACDA5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700 g ac/ha</w:t>
            </w:r>
          </w:p>
        </w:tc>
        <w:tc>
          <w:tcPr>
            <w:tcW w:w="411" w:type="pct"/>
            <w:tcBorders>
              <w:top w:val="single" w:sz="4" w:space="0" w:color="auto"/>
              <w:left w:val="nil"/>
              <w:bottom w:val="nil"/>
              <w:right w:val="nil"/>
            </w:tcBorders>
          </w:tcPr>
          <w:p w14:paraId="5941E93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509BDA9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700</w:t>
            </w:r>
          </w:p>
        </w:tc>
      </w:tr>
      <w:tr w:rsidR="00A502AC" w14:paraId="236C7498" w14:textId="77777777" w:rsidTr="00444693">
        <w:tc>
          <w:tcPr>
            <w:tcW w:w="651" w:type="pct"/>
            <w:vMerge/>
            <w:tcBorders>
              <w:top w:val="nil"/>
              <w:left w:val="nil"/>
              <w:right w:val="nil"/>
            </w:tcBorders>
          </w:tcPr>
          <w:p w14:paraId="5A9713D8"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70E1278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Pulses</w:t>
            </w:r>
          </w:p>
        </w:tc>
        <w:tc>
          <w:tcPr>
            <w:tcW w:w="1395" w:type="pct"/>
            <w:tcBorders>
              <w:top w:val="nil"/>
              <w:left w:val="nil"/>
              <w:bottom w:val="single" w:sz="4" w:space="0" w:color="auto"/>
              <w:right w:val="nil"/>
            </w:tcBorders>
          </w:tcPr>
          <w:p w14:paraId="08B71D26"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Spray topping in pulses</w:t>
            </w:r>
          </w:p>
        </w:tc>
        <w:tc>
          <w:tcPr>
            <w:tcW w:w="1085" w:type="pct"/>
            <w:tcBorders>
              <w:top w:val="nil"/>
              <w:left w:val="nil"/>
              <w:bottom w:val="single" w:sz="4" w:space="0" w:color="auto"/>
              <w:right w:val="nil"/>
            </w:tcBorders>
          </w:tcPr>
          <w:p w14:paraId="73E5F4DF"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 200 g ac/ha</w:t>
            </w:r>
          </w:p>
        </w:tc>
        <w:tc>
          <w:tcPr>
            <w:tcW w:w="411" w:type="pct"/>
            <w:tcBorders>
              <w:top w:val="nil"/>
              <w:left w:val="nil"/>
              <w:bottom w:val="single" w:sz="4" w:space="0" w:color="auto"/>
              <w:right w:val="nil"/>
            </w:tcBorders>
          </w:tcPr>
          <w:p w14:paraId="57F0067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single" w:sz="4" w:space="0" w:color="auto"/>
              <w:right w:val="nil"/>
            </w:tcBorders>
          </w:tcPr>
          <w:p w14:paraId="2E3431EF"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200</w:t>
            </w:r>
          </w:p>
        </w:tc>
      </w:tr>
      <w:tr w:rsidR="00A502AC" w14:paraId="4440C281" w14:textId="77777777" w:rsidTr="00444693">
        <w:tc>
          <w:tcPr>
            <w:tcW w:w="651" w:type="pct"/>
            <w:vMerge/>
            <w:tcBorders>
              <w:top w:val="nil"/>
              <w:left w:val="nil"/>
              <w:right w:val="nil"/>
            </w:tcBorders>
          </w:tcPr>
          <w:p w14:paraId="12C1ABBC"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2AE60DD6"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Vineyards</w:t>
            </w:r>
          </w:p>
        </w:tc>
        <w:tc>
          <w:tcPr>
            <w:tcW w:w="1395" w:type="pct"/>
            <w:tcBorders>
              <w:top w:val="single" w:sz="4" w:space="0" w:color="auto"/>
              <w:left w:val="nil"/>
              <w:bottom w:val="nil"/>
              <w:right w:val="nil"/>
            </w:tcBorders>
          </w:tcPr>
          <w:p w14:paraId="56AD899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Vineyards</w:t>
            </w:r>
          </w:p>
        </w:tc>
        <w:tc>
          <w:tcPr>
            <w:tcW w:w="1085" w:type="pct"/>
            <w:tcBorders>
              <w:top w:val="single" w:sz="4" w:space="0" w:color="auto"/>
              <w:left w:val="nil"/>
              <w:bottom w:val="nil"/>
              <w:right w:val="nil"/>
            </w:tcBorders>
          </w:tcPr>
          <w:p w14:paraId="5A84E85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1120 g ac/ha</w:t>
            </w:r>
          </w:p>
        </w:tc>
        <w:tc>
          <w:tcPr>
            <w:tcW w:w="411" w:type="pct"/>
            <w:tcBorders>
              <w:top w:val="single" w:sz="4" w:space="0" w:color="auto"/>
              <w:left w:val="nil"/>
              <w:bottom w:val="nil"/>
              <w:right w:val="nil"/>
            </w:tcBorders>
          </w:tcPr>
          <w:p w14:paraId="37D2DE39"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2FA41184"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1120</w:t>
            </w:r>
          </w:p>
        </w:tc>
      </w:tr>
      <w:tr w:rsidR="00A502AC" w14:paraId="458CC169" w14:textId="77777777" w:rsidTr="00444693">
        <w:tc>
          <w:tcPr>
            <w:tcW w:w="651" w:type="pct"/>
            <w:vMerge/>
            <w:tcBorders>
              <w:top w:val="nil"/>
              <w:left w:val="nil"/>
              <w:bottom w:val="single" w:sz="4" w:space="0" w:color="auto"/>
              <w:right w:val="nil"/>
            </w:tcBorders>
          </w:tcPr>
          <w:p w14:paraId="0372A8A2"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60BBF331"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256D7C5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vineyards</w:t>
            </w:r>
          </w:p>
        </w:tc>
        <w:tc>
          <w:tcPr>
            <w:tcW w:w="1085" w:type="pct"/>
            <w:tcBorders>
              <w:top w:val="nil"/>
              <w:left w:val="nil"/>
              <w:bottom w:val="single" w:sz="4" w:space="0" w:color="auto"/>
              <w:right w:val="nil"/>
            </w:tcBorders>
          </w:tcPr>
          <w:p w14:paraId="7446D6E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1120 g ac/ha</w:t>
            </w:r>
          </w:p>
        </w:tc>
        <w:tc>
          <w:tcPr>
            <w:tcW w:w="411" w:type="pct"/>
            <w:tcBorders>
              <w:top w:val="nil"/>
              <w:left w:val="nil"/>
              <w:bottom w:val="single" w:sz="4" w:space="0" w:color="auto"/>
              <w:right w:val="nil"/>
            </w:tcBorders>
          </w:tcPr>
          <w:p w14:paraId="5CAF9E48"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585810E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448</w:t>
            </w:r>
          </w:p>
        </w:tc>
      </w:tr>
      <w:tr w:rsidR="00A502AC" w14:paraId="2E3D19ED" w14:textId="77777777" w:rsidTr="00444693">
        <w:tc>
          <w:tcPr>
            <w:tcW w:w="651" w:type="pct"/>
            <w:vMerge w:val="restart"/>
            <w:tcBorders>
              <w:top w:val="single" w:sz="4" w:space="0" w:color="auto"/>
              <w:left w:val="nil"/>
              <w:bottom w:val="nil"/>
              <w:right w:val="nil"/>
            </w:tcBorders>
          </w:tcPr>
          <w:p w14:paraId="43E4B70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Combination products containing diquat</w:t>
            </w:r>
          </w:p>
        </w:tc>
        <w:tc>
          <w:tcPr>
            <w:tcW w:w="705" w:type="pct"/>
            <w:tcBorders>
              <w:top w:val="single" w:sz="4" w:space="0" w:color="auto"/>
              <w:left w:val="nil"/>
              <w:bottom w:val="nil"/>
              <w:right w:val="nil"/>
            </w:tcBorders>
          </w:tcPr>
          <w:p w14:paraId="384E783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Bare soil</w:t>
            </w:r>
          </w:p>
        </w:tc>
        <w:tc>
          <w:tcPr>
            <w:tcW w:w="1395" w:type="pct"/>
            <w:tcBorders>
              <w:top w:val="single" w:sz="4" w:space="0" w:color="auto"/>
              <w:left w:val="nil"/>
              <w:bottom w:val="nil"/>
              <w:right w:val="nil"/>
            </w:tcBorders>
          </w:tcPr>
          <w:p w14:paraId="356776D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 (minimal disturbance)</w:t>
            </w:r>
          </w:p>
        </w:tc>
        <w:tc>
          <w:tcPr>
            <w:tcW w:w="1085" w:type="pct"/>
            <w:tcBorders>
              <w:top w:val="single" w:sz="4" w:space="0" w:color="auto"/>
              <w:left w:val="nil"/>
              <w:bottom w:val="nil"/>
              <w:right w:val="nil"/>
            </w:tcBorders>
          </w:tcPr>
          <w:p w14:paraId="5D46857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2× 432 g ac/ha</w:t>
            </w:r>
          </w:p>
          <w:p w14:paraId="757B405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7d interval</w:t>
            </w:r>
          </w:p>
        </w:tc>
        <w:tc>
          <w:tcPr>
            <w:tcW w:w="411" w:type="pct"/>
            <w:tcBorders>
              <w:top w:val="single" w:sz="4" w:space="0" w:color="auto"/>
              <w:left w:val="nil"/>
              <w:bottom w:val="nil"/>
              <w:right w:val="nil"/>
            </w:tcBorders>
          </w:tcPr>
          <w:p w14:paraId="1460D54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61E1CB3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698</w:t>
            </w:r>
          </w:p>
        </w:tc>
      </w:tr>
      <w:tr w:rsidR="00A502AC" w14:paraId="747F6B37" w14:textId="77777777" w:rsidTr="00444693">
        <w:tc>
          <w:tcPr>
            <w:tcW w:w="651" w:type="pct"/>
            <w:vMerge/>
            <w:tcBorders>
              <w:top w:val="nil"/>
              <w:left w:val="nil"/>
              <w:bottom w:val="nil"/>
              <w:right w:val="nil"/>
            </w:tcBorders>
          </w:tcPr>
          <w:p w14:paraId="79186DFD"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39407B65"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79CAAE86"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 (minimal disturbance)</w:t>
            </w:r>
          </w:p>
        </w:tc>
        <w:tc>
          <w:tcPr>
            <w:tcW w:w="1085" w:type="pct"/>
            <w:tcBorders>
              <w:top w:val="nil"/>
              <w:left w:val="nil"/>
              <w:bottom w:val="nil"/>
              <w:right w:val="nil"/>
            </w:tcBorders>
          </w:tcPr>
          <w:p w14:paraId="6F964CE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nil"/>
              <w:left w:val="nil"/>
              <w:bottom w:val="nil"/>
              <w:right w:val="nil"/>
            </w:tcBorders>
          </w:tcPr>
          <w:p w14:paraId="74112E6E"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522F1D2F"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432</w:t>
            </w:r>
          </w:p>
        </w:tc>
      </w:tr>
      <w:tr w:rsidR="00A502AC" w14:paraId="33803C97" w14:textId="77777777" w:rsidTr="00444693">
        <w:tc>
          <w:tcPr>
            <w:tcW w:w="651" w:type="pct"/>
            <w:vMerge/>
            <w:tcBorders>
              <w:top w:val="nil"/>
              <w:left w:val="nil"/>
              <w:bottom w:val="nil"/>
              <w:right w:val="nil"/>
            </w:tcBorders>
          </w:tcPr>
          <w:p w14:paraId="57410056"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73B6B7AF"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43B1A99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 (full disturbance)</w:t>
            </w:r>
          </w:p>
        </w:tc>
        <w:tc>
          <w:tcPr>
            <w:tcW w:w="1085" w:type="pct"/>
            <w:tcBorders>
              <w:top w:val="nil"/>
              <w:left w:val="nil"/>
              <w:bottom w:val="nil"/>
              <w:right w:val="nil"/>
            </w:tcBorders>
          </w:tcPr>
          <w:p w14:paraId="11C4BB6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324 g ac/ha</w:t>
            </w:r>
          </w:p>
        </w:tc>
        <w:tc>
          <w:tcPr>
            <w:tcW w:w="411" w:type="pct"/>
            <w:tcBorders>
              <w:top w:val="nil"/>
              <w:left w:val="nil"/>
              <w:bottom w:val="nil"/>
              <w:right w:val="nil"/>
            </w:tcBorders>
          </w:tcPr>
          <w:p w14:paraId="43558627"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4308610E"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324</w:t>
            </w:r>
          </w:p>
        </w:tc>
      </w:tr>
      <w:tr w:rsidR="00A502AC" w14:paraId="1B1766DB" w14:textId="77777777" w:rsidTr="00444693">
        <w:tc>
          <w:tcPr>
            <w:tcW w:w="651" w:type="pct"/>
            <w:vMerge/>
            <w:tcBorders>
              <w:top w:val="nil"/>
              <w:left w:val="nil"/>
              <w:bottom w:val="nil"/>
              <w:right w:val="nil"/>
            </w:tcBorders>
          </w:tcPr>
          <w:p w14:paraId="59A132EA"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182B0E7B"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46D7457F"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 xml:space="preserve">Market gardens, nurseries, potatoes (pre/early emergence), rice (pre-emergence), vegetables </w:t>
            </w:r>
          </w:p>
        </w:tc>
        <w:tc>
          <w:tcPr>
            <w:tcW w:w="1085" w:type="pct"/>
            <w:tcBorders>
              <w:top w:val="nil"/>
              <w:left w:val="nil"/>
              <w:bottom w:val="nil"/>
              <w:right w:val="nil"/>
            </w:tcBorders>
          </w:tcPr>
          <w:p w14:paraId="4B91F78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nil"/>
              <w:left w:val="nil"/>
              <w:bottom w:val="nil"/>
              <w:right w:val="nil"/>
            </w:tcBorders>
          </w:tcPr>
          <w:p w14:paraId="39D28A9B"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nil"/>
              <w:right w:val="nil"/>
            </w:tcBorders>
          </w:tcPr>
          <w:p w14:paraId="5D1C207E"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432</w:t>
            </w:r>
          </w:p>
        </w:tc>
      </w:tr>
      <w:tr w:rsidR="00A502AC" w14:paraId="3D70599F" w14:textId="77777777" w:rsidTr="00444693">
        <w:tc>
          <w:tcPr>
            <w:tcW w:w="651" w:type="pct"/>
            <w:vMerge/>
            <w:tcBorders>
              <w:top w:val="nil"/>
              <w:left w:val="nil"/>
              <w:bottom w:val="nil"/>
              <w:right w:val="nil"/>
            </w:tcBorders>
          </w:tcPr>
          <w:p w14:paraId="6BD1944E"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62336FBE"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6A52AC2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market gardens, nurseries, potatoes (pre/early emergence)</w:t>
            </w:r>
          </w:p>
        </w:tc>
        <w:tc>
          <w:tcPr>
            <w:tcW w:w="1085" w:type="pct"/>
            <w:tcBorders>
              <w:top w:val="nil"/>
              <w:left w:val="nil"/>
              <w:bottom w:val="single" w:sz="4" w:space="0" w:color="auto"/>
              <w:right w:val="nil"/>
            </w:tcBorders>
          </w:tcPr>
          <w:p w14:paraId="00A3561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nil"/>
              <w:left w:val="nil"/>
              <w:bottom w:val="single" w:sz="4" w:space="0" w:color="auto"/>
              <w:right w:val="nil"/>
            </w:tcBorders>
          </w:tcPr>
          <w:p w14:paraId="152AAF36"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219071F4"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173</w:t>
            </w:r>
          </w:p>
        </w:tc>
      </w:tr>
      <w:tr w:rsidR="00A502AC" w14:paraId="50BB7063" w14:textId="77777777" w:rsidTr="00444693">
        <w:tc>
          <w:tcPr>
            <w:tcW w:w="651" w:type="pct"/>
            <w:vMerge/>
            <w:tcBorders>
              <w:top w:val="nil"/>
              <w:left w:val="nil"/>
              <w:bottom w:val="nil"/>
              <w:right w:val="nil"/>
            </w:tcBorders>
          </w:tcPr>
          <w:p w14:paraId="1A2AFEE5"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single" w:sz="4" w:space="0" w:color="auto"/>
              <w:right w:val="nil"/>
            </w:tcBorders>
          </w:tcPr>
          <w:p w14:paraId="7E8155F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Cotton</w:t>
            </w:r>
          </w:p>
        </w:tc>
        <w:tc>
          <w:tcPr>
            <w:tcW w:w="1395" w:type="pct"/>
            <w:tcBorders>
              <w:top w:val="single" w:sz="4" w:space="0" w:color="auto"/>
              <w:left w:val="nil"/>
              <w:bottom w:val="single" w:sz="4" w:space="0" w:color="auto"/>
              <w:right w:val="nil"/>
            </w:tcBorders>
          </w:tcPr>
          <w:p w14:paraId="42CC604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Cotton desiccant</w:t>
            </w:r>
          </w:p>
        </w:tc>
        <w:tc>
          <w:tcPr>
            <w:tcW w:w="1085" w:type="pct"/>
            <w:tcBorders>
              <w:top w:val="single" w:sz="4" w:space="0" w:color="auto"/>
              <w:left w:val="nil"/>
              <w:bottom w:val="single" w:sz="4" w:space="0" w:color="auto"/>
              <w:right w:val="nil"/>
            </w:tcBorders>
          </w:tcPr>
          <w:p w14:paraId="3595E1B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216 g ac/ha</w:t>
            </w:r>
          </w:p>
        </w:tc>
        <w:tc>
          <w:tcPr>
            <w:tcW w:w="411" w:type="pct"/>
            <w:tcBorders>
              <w:top w:val="single" w:sz="4" w:space="0" w:color="auto"/>
              <w:left w:val="nil"/>
              <w:bottom w:val="single" w:sz="4" w:space="0" w:color="auto"/>
              <w:right w:val="nil"/>
            </w:tcBorders>
          </w:tcPr>
          <w:p w14:paraId="5200776D"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single" w:sz="4" w:space="0" w:color="auto"/>
              <w:right w:val="nil"/>
            </w:tcBorders>
          </w:tcPr>
          <w:p w14:paraId="76F283E9"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216</w:t>
            </w:r>
          </w:p>
        </w:tc>
      </w:tr>
      <w:tr w:rsidR="00A502AC" w14:paraId="28CBC84E" w14:textId="77777777" w:rsidTr="00444693">
        <w:tc>
          <w:tcPr>
            <w:tcW w:w="651" w:type="pct"/>
            <w:vMerge/>
            <w:tcBorders>
              <w:top w:val="nil"/>
              <w:left w:val="nil"/>
              <w:bottom w:val="nil"/>
              <w:right w:val="nil"/>
            </w:tcBorders>
          </w:tcPr>
          <w:p w14:paraId="41D371C9"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67C1147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Grassland</w:t>
            </w:r>
          </w:p>
        </w:tc>
        <w:tc>
          <w:tcPr>
            <w:tcW w:w="1395" w:type="pct"/>
            <w:tcBorders>
              <w:top w:val="single" w:sz="4" w:space="0" w:color="auto"/>
              <w:left w:val="nil"/>
              <w:bottom w:val="nil"/>
              <w:right w:val="nil"/>
            </w:tcBorders>
          </w:tcPr>
          <w:p w14:paraId="753B215F"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 xml:space="preserve">Pasture, public service areas, rights of way </w:t>
            </w:r>
          </w:p>
        </w:tc>
        <w:tc>
          <w:tcPr>
            <w:tcW w:w="1085" w:type="pct"/>
            <w:tcBorders>
              <w:top w:val="single" w:sz="4" w:space="0" w:color="auto"/>
              <w:left w:val="nil"/>
              <w:bottom w:val="nil"/>
              <w:right w:val="nil"/>
            </w:tcBorders>
          </w:tcPr>
          <w:p w14:paraId="787C3B4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single" w:sz="4" w:space="0" w:color="auto"/>
              <w:left w:val="nil"/>
              <w:bottom w:val="nil"/>
              <w:right w:val="nil"/>
            </w:tcBorders>
          </w:tcPr>
          <w:p w14:paraId="50FB5070"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5449A856"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432</w:t>
            </w:r>
          </w:p>
        </w:tc>
      </w:tr>
      <w:tr w:rsidR="00A502AC" w14:paraId="179ADED3" w14:textId="77777777" w:rsidTr="00444693">
        <w:tc>
          <w:tcPr>
            <w:tcW w:w="651" w:type="pct"/>
            <w:vMerge/>
            <w:tcBorders>
              <w:top w:val="nil"/>
              <w:left w:val="nil"/>
              <w:bottom w:val="nil"/>
              <w:right w:val="nil"/>
            </w:tcBorders>
          </w:tcPr>
          <w:p w14:paraId="2CD022BE"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47D194A9"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4E40F5B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public service areas, rights of way</w:t>
            </w:r>
          </w:p>
        </w:tc>
        <w:tc>
          <w:tcPr>
            <w:tcW w:w="1085" w:type="pct"/>
            <w:tcBorders>
              <w:top w:val="nil"/>
              <w:left w:val="nil"/>
              <w:bottom w:val="nil"/>
              <w:right w:val="nil"/>
            </w:tcBorders>
          </w:tcPr>
          <w:p w14:paraId="2D1FD4B6"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nil"/>
              <w:left w:val="nil"/>
              <w:bottom w:val="nil"/>
              <w:right w:val="nil"/>
            </w:tcBorders>
          </w:tcPr>
          <w:p w14:paraId="3930126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nil"/>
              <w:right w:val="nil"/>
            </w:tcBorders>
          </w:tcPr>
          <w:p w14:paraId="043F9DF1"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173</w:t>
            </w:r>
          </w:p>
        </w:tc>
      </w:tr>
      <w:tr w:rsidR="00A502AC" w14:paraId="7957740F" w14:textId="77777777" w:rsidTr="00444693">
        <w:tc>
          <w:tcPr>
            <w:tcW w:w="651" w:type="pct"/>
            <w:vMerge/>
            <w:tcBorders>
              <w:top w:val="nil"/>
              <w:left w:val="nil"/>
              <w:bottom w:val="nil"/>
              <w:right w:val="nil"/>
            </w:tcBorders>
          </w:tcPr>
          <w:p w14:paraId="2B6307F1"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single" w:sz="4" w:space="0" w:color="auto"/>
              <w:right w:val="nil"/>
            </w:tcBorders>
          </w:tcPr>
          <w:p w14:paraId="1134606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Legume forage</w:t>
            </w:r>
          </w:p>
        </w:tc>
        <w:tc>
          <w:tcPr>
            <w:tcW w:w="1395" w:type="pct"/>
            <w:tcBorders>
              <w:top w:val="single" w:sz="4" w:space="0" w:color="auto"/>
              <w:left w:val="nil"/>
              <w:bottom w:val="single" w:sz="4" w:space="0" w:color="auto"/>
              <w:right w:val="nil"/>
            </w:tcBorders>
          </w:tcPr>
          <w:p w14:paraId="216202B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 xml:space="preserve">Lucerne (grazed before </w:t>
            </w:r>
            <w:r w:rsidRPr="00AC06D7">
              <w:rPr>
                <w:rFonts w:ascii="Arial" w:hAnsi="Arial" w:cs="Arial"/>
                <w:sz w:val="17"/>
                <w:szCs w:val="17"/>
              </w:rPr>
              <w:lastRenderedPageBreak/>
              <w:t>spraying)</w:t>
            </w:r>
            <w:r w:rsidRPr="00AC06D7">
              <w:rPr>
                <w:rStyle w:val="FootnoteReference"/>
                <w:rFonts w:ascii="Arial" w:hAnsi="Arial" w:cs="Arial"/>
                <w:sz w:val="17"/>
                <w:szCs w:val="17"/>
              </w:rPr>
              <w:footnoteReference w:id="67"/>
            </w:r>
          </w:p>
        </w:tc>
        <w:tc>
          <w:tcPr>
            <w:tcW w:w="1085" w:type="pct"/>
            <w:tcBorders>
              <w:top w:val="single" w:sz="4" w:space="0" w:color="auto"/>
              <w:left w:val="nil"/>
              <w:bottom w:val="single" w:sz="4" w:space="0" w:color="auto"/>
              <w:right w:val="nil"/>
            </w:tcBorders>
          </w:tcPr>
          <w:p w14:paraId="480EF70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lastRenderedPageBreak/>
              <w:t>From 1× 324 g ac/ha</w:t>
            </w:r>
          </w:p>
        </w:tc>
        <w:tc>
          <w:tcPr>
            <w:tcW w:w="411" w:type="pct"/>
            <w:tcBorders>
              <w:top w:val="single" w:sz="4" w:space="0" w:color="auto"/>
              <w:left w:val="nil"/>
              <w:bottom w:val="single" w:sz="4" w:space="0" w:color="auto"/>
              <w:right w:val="nil"/>
            </w:tcBorders>
          </w:tcPr>
          <w:p w14:paraId="0127AB80"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single" w:sz="4" w:space="0" w:color="auto"/>
              <w:right w:val="nil"/>
            </w:tcBorders>
          </w:tcPr>
          <w:p w14:paraId="69EB0CD0"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324</w:t>
            </w:r>
          </w:p>
        </w:tc>
      </w:tr>
      <w:tr w:rsidR="00A502AC" w14:paraId="094FFD58" w14:textId="77777777" w:rsidTr="00444693">
        <w:tc>
          <w:tcPr>
            <w:tcW w:w="651" w:type="pct"/>
            <w:vMerge/>
            <w:tcBorders>
              <w:top w:val="nil"/>
              <w:left w:val="nil"/>
              <w:bottom w:val="nil"/>
              <w:right w:val="nil"/>
            </w:tcBorders>
          </w:tcPr>
          <w:p w14:paraId="2B0C495A"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1166DCB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Maize</w:t>
            </w:r>
          </w:p>
        </w:tc>
        <w:tc>
          <w:tcPr>
            <w:tcW w:w="1395" w:type="pct"/>
            <w:tcBorders>
              <w:top w:val="single" w:sz="4" w:space="0" w:color="auto"/>
              <w:left w:val="nil"/>
              <w:bottom w:val="nil"/>
              <w:right w:val="nil"/>
            </w:tcBorders>
          </w:tcPr>
          <w:p w14:paraId="322EE66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Sugarcane (over the top spray)</w:t>
            </w:r>
          </w:p>
        </w:tc>
        <w:tc>
          <w:tcPr>
            <w:tcW w:w="1085" w:type="pct"/>
            <w:tcBorders>
              <w:top w:val="single" w:sz="4" w:space="0" w:color="auto"/>
              <w:left w:val="nil"/>
              <w:bottom w:val="nil"/>
              <w:right w:val="nil"/>
            </w:tcBorders>
          </w:tcPr>
          <w:p w14:paraId="4C48AEB1"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270 g ac/ha</w:t>
            </w:r>
          </w:p>
        </w:tc>
        <w:tc>
          <w:tcPr>
            <w:tcW w:w="411" w:type="pct"/>
            <w:tcBorders>
              <w:top w:val="single" w:sz="4" w:space="0" w:color="auto"/>
              <w:left w:val="nil"/>
              <w:bottom w:val="nil"/>
              <w:right w:val="nil"/>
            </w:tcBorders>
          </w:tcPr>
          <w:p w14:paraId="1B629086"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2F4F1E7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270</w:t>
            </w:r>
          </w:p>
        </w:tc>
      </w:tr>
      <w:tr w:rsidR="00A502AC" w14:paraId="2ADA6CCD" w14:textId="77777777" w:rsidTr="00444693">
        <w:tc>
          <w:tcPr>
            <w:tcW w:w="651" w:type="pct"/>
            <w:vMerge/>
            <w:tcBorders>
              <w:top w:val="nil"/>
              <w:left w:val="nil"/>
              <w:bottom w:val="nil"/>
              <w:right w:val="nil"/>
            </w:tcBorders>
          </w:tcPr>
          <w:p w14:paraId="5CB6CB18"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6B9A4569"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1865CA5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Sugarcane (inter-row spray)</w:t>
            </w:r>
          </w:p>
        </w:tc>
        <w:tc>
          <w:tcPr>
            <w:tcW w:w="1085" w:type="pct"/>
            <w:tcBorders>
              <w:top w:val="nil"/>
              <w:left w:val="nil"/>
              <w:bottom w:val="single" w:sz="4" w:space="0" w:color="auto"/>
              <w:right w:val="nil"/>
            </w:tcBorders>
          </w:tcPr>
          <w:p w14:paraId="1410A641"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270 g ac/ha</w:t>
            </w:r>
          </w:p>
        </w:tc>
        <w:tc>
          <w:tcPr>
            <w:tcW w:w="411" w:type="pct"/>
            <w:tcBorders>
              <w:top w:val="nil"/>
              <w:left w:val="nil"/>
              <w:bottom w:val="single" w:sz="4" w:space="0" w:color="auto"/>
              <w:right w:val="nil"/>
            </w:tcBorders>
          </w:tcPr>
          <w:p w14:paraId="5DC6D0FF"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single" w:sz="4" w:space="0" w:color="auto"/>
              <w:right w:val="nil"/>
            </w:tcBorders>
          </w:tcPr>
          <w:p w14:paraId="2F4CA81F"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270</w:t>
            </w:r>
          </w:p>
        </w:tc>
      </w:tr>
      <w:tr w:rsidR="00A502AC" w14:paraId="0BA2EAA0" w14:textId="77777777" w:rsidTr="00444693">
        <w:tc>
          <w:tcPr>
            <w:tcW w:w="651" w:type="pct"/>
            <w:vMerge/>
            <w:tcBorders>
              <w:top w:val="nil"/>
              <w:left w:val="nil"/>
              <w:bottom w:val="nil"/>
              <w:right w:val="nil"/>
            </w:tcBorders>
          </w:tcPr>
          <w:p w14:paraId="188CCF83"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6D01A2A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Potato</w:t>
            </w:r>
          </w:p>
        </w:tc>
        <w:tc>
          <w:tcPr>
            <w:tcW w:w="1395" w:type="pct"/>
            <w:tcBorders>
              <w:top w:val="single" w:sz="4" w:space="0" w:color="auto"/>
              <w:left w:val="nil"/>
              <w:bottom w:val="nil"/>
              <w:right w:val="nil"/>
            </w:tcBorders>
          </w:tcPr>
          <w:p w14:paraId="72CA37EF"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Potatoes (pre-harvest)</w:t>
            </w:r>
          </w:p>
        </w:tc>
        <w:tc>
          <w:tcPr>
            <w:tcW w:w="1085" w:type="pct"/>
            <w:tcBorders>
              <w:top w:val="single" w:sz="4" w:space="0" w:color="auto"/>
              <w:left w:val="nil"/>
              <w:bottom w:val="nil"/>
              <w:right w:val="nil"/>
            </w:tcBorders>
          </w:tcPr>
          <w:p w14:paraId="52D0C67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 432 g ac/ha</w:t>
            </w:r>
          </w:p>
        </w:tc>
        <w:tc>
          <w:tcPr>
            <w:tcW w:w="411" w:type="pct"/>
            <w:tcBorders>
              <w:top w:val="single" w:sz="4" w:space="0" w:color="auto"/>
              <w:left w:val="nil"/>
              <w:bottom w:val="nil"/>
              <w:right w:val="nil"/>
            </w:tcBorders>
          </w:tcPr>
          <w:p w14:paraId="2E5B43D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7E472D54"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432</w:t>
            </w:r>
          </w:p>
        </w:tc>
      </w:tr>
      <w:tr w:rsidR="00A502AC" w14:paraId="787ED816" w14:textId="77777777" w:rsidTr="00444693">
        <w:tc>
          <w:tcPr>
            <w:tcW w:w="651" w:type="pct"/>
            <w:vMerge/>
            <w:tcBorders>
              <w:top w:val="nil"/>
              <w:left w:val="nil"/>
              <w:bottom w:val="nil"/>
              <w:right w:val="nil"/>
            </w:tcBorders>
          </w:tcPr>
          <w:p w14:paraId="040FC063"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6B545BA5"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1E4CC64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potatoes (pre-harvest)</w:t>
            </w:r>
          </w:p>
        </w:tc>
        <w:tc>
          <w:tcPr>
            <w:tcW w:w="1085" w:type="pct"/>
            <w:tcBorders>
              <w:top w:val="nil"/>
              <w:left w:val="nil"/>
              <w:bottom w:val="single" w:sz="4" w:space="0" w:color="auto"/>
              <w:right w:val="nil"/>
            </w:tcBorders>
          </w:tcPr>
          <w:p w14:paraId="0260271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 432 g ac/ha</w:t>
            </w:r>
          </w:p>
        </w:tc>
        <w:tc>
          <w:tcPr>
            <w:tcW w:w="411" w:type="pct"/>
            <w:tcBorders>
              <w:top w:val="nil"/>
              <w:left w:val="nil"/>
              <w:bottom w:val="single" w:sz="4" w:space="0" w:color="auto"/>
              <w:right w:val="nil"/>
            </w:tcBorders>
          </w:tcPr>
          <w:p w14:paraId="3DC8F3F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6143938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173</w:t>
            </w:r>
          </w:p>
        </w:tc>
      </w:tr>
      <w:tr w:rsidR="00A502AC" w14:paraId="42C57B0B" w14:textId="77777777" w:rsidTr="00444693">
        <w:tc>
          <w:tcPr>
            <w:tcW w:w="651" w:type="pct"/>
            <w:vMerge/>
            <w:tcBorders>
              <w:top w:val="nil"/>
              <w:left w:val="nil"/>
              <w:bottom w:val="nil"/>
              <w:right w:val="nil"/>
            </w:tcBorders>
          </w:tcPr>
          <w:p w14:paraId="3534B97B"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42BC765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Orchards</w:t>
            </w:r>
          </w:p>
        </w:tc>
        <w:tc>
          <w:tcPr>
            <w:tcW w:w="1395" w:type="pct"/>
            <w:tcBorders>
              <w:top w:val="single" w:sz="4" w:space="0" w:color="auto"/>
              <w:left w:val="nil"/>
              <w:bottom w:val="nil"/>
              <w:right w:val="nil"/>
            </w:tcBorders>
          </w:tcPr>
          <w:p w14:paraId="53145BC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Forests, orchards, plantations, bananas, dubosia, tea tree</w:t>
            </w:r>
          </w:p>
        </w:tc>
        <w:tc>
          <w:tcPr>
            <w:tcW w:w="1085" w:type="pct"/>
            <w:tcBorders>
              <w:top w:val="single" w:sz="4" w:space="0" w:color="auto"/>
              <w:left w:val="nil"/>
              <w:bottom w:val="nil"/>
              <w:right w:val="nil"/>
            </w:tcBorders>
          </w:tcPr>
          <w:p w14:paraId="4F115395"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single" w:sz="4" w:space="0" w:color="auto"/>
              <w:left w:val="nil"/>
              <w:bottom w:val="nil"/>
              <w:right w:val="nil"/>
            </w:tcBorders>
          </w:tcPr>
          <w:p w14:paraId="66C04BC0"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7A26EFAB"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432</w:t>
            </w:r>
          </w:p>
        </w:tc>
      </w:tr>
      <w:tr w:rsidR="00A502AC" w14:paraId="60B1539A" w14:textId="77777777" w:rsidTr="00444693">
        <w:tc>
          <w:tcPr>
            <w:tcW w:w="651" w:type="pct"/>
            <w:vMerge/>
            <w:tcBorders>
              <w:top w:val="nil"/>
              <w:left w:val="nil"/>
              <w:bottom w:val="nil"/>
              <w:right w:val="nil"/>
            </w:tcBorders>
          </w:tcPr>
          <w:p w14:paraId="2D0E1BA8"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1147BA86"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07CB6CE4"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application in orchards, plantations, bananas, dubosia</w:t>
            </w:r>
          </w:p>
        </w:tc>
        <w:tc>
          <w:tcPr>
            <w:tcW w:w="1085" w:type="pct"/>
            <w:tcBorders>
              <w:top w:val="nil"/>
              <w:left w:val="nil"/>
              <w:bottom w:val="nil"/>
              <w:right w:val="nil"/>
            </w:tcBorders>
          </w:tcPr>
          <w:p w14:paraId="221D21E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nil"/>
              <w:left w:val="nil"/>
              <w:bottom w:val="nil"/>
              <w:right w:val="nil"/>
            </w:tcBorders>
          </w:tcPr>
          <w:p w14:paraId="52A946F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nil"/>
              <w:right w:val="nil"/>
            </w:tcBorders>
          </w:tcPr>
          <w:p w14:paraId="4313911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173</w:t>
            </w:r>
          </w:p>
        </w:tc>
      </w:tr>
      <w:tr w:rsidR="00A502AC" w14:paraId="46A4DFD1" w14:textId="77777777" w:rsidTr="00444693">
        <w:tc>
          <w:tcPr>
            <w:tcW w:w="651" w:type="pct"/>
            <w:vMerge/>
            <w:tcBorders>
              <w:top w:val="nil"/>
              <w:left w:val="nil"/>
              <w:bottom w:val="nil"/>
              <w:right w:val="nil"/>
            </w:tcBorders>
          </w:tcPr>
          <w:p w14:paraId="0DE122A6"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10FAFCC5"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07BFC977" w14:textId="77777777" w:rsidR="00A502AC" w:rsidRPr="00AC06D7" w:rsidRDefault="00A502AC" w:rsidP="00444693">
            <w:pPr>
              <w:pStyle w:val="BodyText"/>
              <w:widowControl w:val="0"/>
              <w:spacing w:after="0"/>
              <w:rPr>
                <w:rFonts w:ascii="Arial" w:hAnsi="Arial" w:cs="Arial"/>
                <w:sz w:val="17"/>
                <w:szCs w:val="17"/>
                <w:vertAlign w:val="subscript"/>
              </w:rPr>
            </w:pPr>
            <w:r w:rsidRPr="00AC06D7">
              <w:rPr>
                <w:rFonts w:ascii="Arial" w:hAnsi="Arial" w:cs="Arial"/>
                <w:sz w:val="17"/>
                <w:szCs w:val="17"/>
              </w:rPr>
              <w:t>Spot application in avocado, custard apples, lychees, mangos</w:t>
            </w:r>
          </w:p>
        </w:tc>
        <w:tc>
          <w:tcPr>
            <w:tcW w:w="1085" w:type="pct"/>
            <w:tcBorders>
              <w:top w:val="nil"/>
              <w:left w:val="nil"/>
              <w:bottom w:val="single" w:sz="4" w:space="0" w:color="auto"/>
              <w:right w:val="nil"/>
            </w:tcBorders>
          </w:tcPr>
          <w:p w14:paraId="63A0A10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2× 324 g ac/ha</w:t>
            </w:r>
          </w:p>
          <w:p w14:paraId="244EC91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14d interval</w:t>
            </w:r>
          </w:p>
        </w:tc>
        <w:tc>
          <w:tcPr>
            <w:tcW w:w="411" w:type="pct"/>
            <w:tcBorders>
              <w:top w:val="nil"/>
              <w:left w:val="nil"/>
              <w:bottom w:val="single" w:sz="4" w:space="0" w:color="auto"/>
              <w:right w:val="nil"/>
            </w:tcBorders>
          </w:tcPr>
          <w:p w14:paraId="7D8428C6"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521D3C7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179</w:t>
            </w:r>
          </w:p>
        </w:tc>
      </w:tr>
      <w:tr w:rsidR="00A502AC" w14:paraId="1A9E3B37" w14:textId="77777777" w:rsidTr="00444693">
        <w:tc>
          <w:tcPr>
            <w:tcW w:w="651" w:type="pct"/>
            <w:vMerge/>
            <w:tcBorders>
              <w:top w:val="nil"/>
              <w:left w:val="nil"/>
              <w:bottom w:val="nil"/>
              <w:right w:val="nil"/>
            </w:tcBorders>
          </w:tcPr>
          <w:p w14:paraId="3E2B3F2D"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1C236A8E"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Vineyards</w:t>
            </w:r>
          </w:p>
        </w:tc>
        <w:tc>
          <w:tcPr>
            <w:tcW w:w="1395" w:type="pct"/>
            <w:tcBorders>
              <w:top w:val="single" w:sz="4" w:space="0" w:color="auto"/>
              <w:left w:val="nil"/>
              <w:bottom w:val="nil"/>
              <w:right w:val="nil"/>
            </w:tcBorders>
          </w:tcPr>
          <w:p w14:paraId="15BB8ED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Vineyards</w:t>
            </w:r>
          </w:p>
        </w:tc>
        <w:tc>
          <w:tcPr>
            <w:tcW w:w="1085" w:type="pct"/>
            <w:tcBorders>
              <w:top w:val="single" w:sz="4" w:space="0" w:color="auto"/>
              <w:left w:val="nil"/>
              <w:bottom w:val="nil"/>
              <w:right w:val="nil"/>
            </w:tcBorders>
          </w:tcPr>
          <w:p w14:paraId="5762E1D5"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single" w:sz="4" w:space="0" w:color="auto"/>
              <w:left w:val="nil"/>
              <w:bottom w:val="nil"/>
              <w:right w:val="nil"/>
            </w:tcBorders>
          </w:tcPr>
          <w:p w14:paraId="077E9687"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1E616CF8"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432</w:t>
            </w:r>
          </w:p>
        </w:tc>
      </w:tr>
      <w:tr w:rsidR="00A502AC" w14:paraId="244A9EDC" w14:textId="77777777" w:rsidTr="00444693">
        <w:tc>
          <w:tcPr>
            <w:tcW w:w="651" w:type="pct"/>
            <w:vMerge/>
            <w:tcBorders>
              <w:top w:val="nil"/>
              <w:left w:val="nil"/>
              <w:right w:val="nil"/>
            </w:tcBorders>
          </w:tcPr>
          <w:p w14:paraId="43526DA5"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4C45236A"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136C767F"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application in vineyards</w:t>
            </w:r>
          </w:p>
        </w:tc>
        <w:tc>
          <w:tcPr>
            <w:tcW w:w="1085" w:type="pct"/>
            <w:tcBorders>
              <w:top w:val="nil"/>
              <w:left w:val="nil"/>
              <w:bottom w:val="single" w:sz="4" w:space="0" w:color="auto"/>
              <w:right w:val="nil"/>
            </w:tcBorders>
          </w:tcPr>
          <w:p w14:paraId="430AA99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432 g ac/ha</w:t>
            </w:r>
          </w:p>
        </w:tc>
        <w:tc>
          <w:tcPr>
            <w:tcW w:w="411" w:type="pct"/>
            <w:tcBorders>
              <w:top w:val="nil"/>
              <w:left w:val="nil"/>
              <w:bottom w:val="single" w:sz="4" w:space="0" w:color="auto"/>
              <w:right w:val="nil"/>
            </w:tcBorders>
          </w:tcPr>
          <w:p w14:paraId="0B18322A"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3A492CDB"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173</w:t>
            </w:r>
          </w:p>
        </w:tc>
      </w:tr>
      <w:tr w:rsidR="00A502AC" w14:paraId="79BD6189" w14:textId="77777777" w:rsidTr="00444693">
        <w:tc>
          <w:tcPr>
            <w:tcW w:w="651" w:type="pct"/>
            <w:vMerge w:val="restart"/>
            <w:tcBorders>
              <w:top w:val="single" w:sz="4" w:space="0" w:color="auto"/>
              <w:left w:val="nil"/>
              <w:right w:val="nil"/>
            </w:tcBorders>
          </w:tcPr>
          <w:p w14:paraId="5DBD1478"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Combination products containing amitrole</w:t>
            </w:r>
          </w:p>
        </w:tc>
        <w:tc>
          <w:tcPr>
            <w:tcW w:w="705" w:type="pct"/>
            <w:tcBorders>
              <w:top w:val="single" w:sz="4" w:space="0" w:color="auto"/>
              <w:left w:val="nil"/>
              <w:bottom w:val="nil"/>
              <w:right w:val="nil"/>
            </w:tcBorders>
          </w:tcPr>
          <w:p w14:paraId="39C7226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Bare soil</w:t>
            </w:r>
          </w:p>
        </w:tc>
        <w:tc>
          <w:tcPr>
            <w:tcW w:w="1395" w:type="pct"/>
            <w:tcBorders>
              <w:top w:val="single" w:sz="4" w:space="0" w:color="auto"/>
              <w:left w:val="nil"/>
              <w:bottom w:val="nil"/>
              <w:right w:val="nil"/>
            </w:tcBorders>
          </w:tcPr>
          <w:p w14:paraId="2780797B"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 (optical spot spraying)</w:t>
            </w:r>
          </w:p>
        </w:tc>
        <w:tc>
          <w:tcPr>
            <w:tcW w:w="1085" w:type="pct"/>
            <w:tcBorders>
              <w:top w:val="single" w:sz="4" w:space="0" w:color="auto"/>
              <w:left w:val="nil"/>
              <w:bottom w:val="nil"/>
              <w:right w:val="nil"/>
            </w:tcBorders>
          </w:tcPr>
          <w:p w14:paraId="06C11AE9"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1680 g ac/ha</w:t>
            </w:r>
          </w:p>
        </w:tc>
        <w:tc>
          <w:tcPr>
            <w:tcW w:w="411" w:type="pct"/>
            <w:tcBorders>
              <w:left w:val="nil"/>
              <w:bottom w:val="nil"/>
              <w:right w:val="nil"/>
            </w:tcBorders>
          </w:tcPr>
          <w:p w14:paraId="39320B1A"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0.3</w:t>
            </w:r>
          </w:p>
        </w:tc>
        <w:tc>
          <w:tcPr>
            <w:tcW w:w="753" w:type="pct"/>
            <w:tcBorders>
              <w:left w:val="nil"/>
              <w:bottom w:val="nil"/>
              <w:right w:val="nil"/>
            </w:tcBorders>
          </w:tcPr>
          <w:p w14:paraId="4FE0AF99"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504</w:t>
            </w:r>
          </w:p>
        </w:tc>
      </w:tr>
      <w:tr w:rsidR="00A502AC" w14:paraId="7138323C" w14:textId="77777777" w:rsidTr="00444693">
        <w:tc>
          <w:tcPr>
            <w:tcW w:w="651" w:type="pct"/>
            <w:vMerge/>
            <w:tcBorders>
              <w:left w:val="nil"/>
              <w:right w:val="nil"/>
            </w:tcBorders>
          </w:tcPr>
          <w:p w14:paraId="7153C69E"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35F7935C"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75DD02E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Fallow</w:t>
            </w:r>
          </w:p>
        </w:tc>
        <w:tc>
          <w:tcPr>
            <w:tcW w:w="1085" w:type="pct"/>
            <w:tcBorders>
              <w:top w:val="nil"/>
              <w:left w:val="nil"/>
              <w:bottom w:val="single" w:sz="4" w:space="0" w:color="auto"/>
              <w:right w:val="nil"/>
            </w:tcBorders>
          </w:tcPr>
          <w:p w14:paraId="3AC5CAB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top w:val="nil"/>
              <w:left w:val="nil"/>
              <w:bottom w:val="single" w:sz="4" w:space="0" w:color="auto"/>
              <w:right w:val="nil"/>
            </w:tcBorders>
          </w:tcPr>
          <w:p w14:paraId="50FD893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single" w:sz="4" w:space="0" w:color="auto"/>
              <w:right w:val="nil"/>
            </w:tcBorders>
          </w:tcPr>
          <w:p w14:paraId="2985130A"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14:paraId="675076F1" w14:textId="77777777" w:rsidTr="00444693">
        <w:tc>
          <w:tcPr>
            <w:tcW w:w="651" w:type="pct"/>
            <w:vMerge/>
            <w:tcBorders>
              <w:left w:val="nil"/>
              <w:right w:val="nil"/>
            </w:tcBorders>
          </w:tcPr>
          <w:p w14:paraId="13EC0C34"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619CE9A6"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Grassland</w:t>
            </w:r>
          </w:p>
        </w:tc>
        <w:tc>
          <w:tcPr>
            <w:tcW w:w="1395" w:type="pct"/>
            <w:tcBorders>
              <w:top w:val="single" w:sz="4" w:space="0" w:color="auto"/>
              <w:left w:val="nil"/>
              <w:bottom w:val="nil"/>
              <w:right w:val="nil"/>
            </w:tcBorders>
          </w:tcPr>
          <w:p w14:paraId="5BBC7F7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Industrial vegetation management</w:t>
            </w:r>
          </w:p>
        </w:tc>
        <w:tc>
          <w:tcPr>
            <w:tcW w:w="1085" w:type="pct"/>
            <w:tcBorders>
              <w:top w:val="single" w:sz="4" w:space="0" w:color="auto"/>
              <w:left w:val="nil"/>
              <w:bottom w:val="nil"/>
              <w:right w:val="nil"/>
            </w:tcBorders>
          </w:tcPr>
          <w:p w14:paraId="6971C85F"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850 g ac/ha</w:t>
            </w:r>
          </w:p>
        </w:tc>
        <w:tc>
          <w:tcPr>
            <w:tcW w:w="411" w:type="pct"/>
            <w:tcBorders>
              <w:left w:val="nil"/>
              <w:bottom w:val="nil"/>
              <w:right w:val="nil"/>
            </w:tcBorders>
          </w:tcPr>
          <w:p w14:paraId="4D20D8CD"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left w:val="nil"/>
              <w:bottom w:val="nil"/>
              <w:right w:val="nil"/>
            </w:tcBorders>
          </w:tcPr>
          <w:p w14:paraId="002A06B8"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850</w:t>
            </w:r>
          </w:p>
        </w:tc>
      </w:tr>
      <w:tr w:rsidR="00A502AC" w14:paraId="0245D87B" w14:textId="77777777" w:rsidTr="00444693">
        <w:tc>
          <w:tcPr>
            <w:tcW w:w="651" w:type="pct"/>
            <w:vMerge/>
            <w:tcBorders>
              <w:left w:val="nil"/>
              <w:right w:val="nil"/>
            </w:tcBorders>
          </w:tcPr>
          <w:p w14:paraId="14EFDAF0"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nil"/>
              <w:right w:val="nil"/>
            </w:tcBorders>
          </w:tcPr>
          <w:p w14:paraId="50AEF3D1"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nil"/>
              <w:right w:val="nil"/>
            </w:tcBorders>
          </w:tcPr>
          <w:p w14:paraId="62CC6F7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industrial vegetation management</w:t>
            </w:r>
          </w:p>
        </w:tc>
        <w:tc>
          <w:tcPr>
            <w:tcW w:w="1085" w:type="pct"/>
            <w:tcBorders>
              <w:top w:val="nil"/>
              <w:left w:val="nil"/>
              <w:bottom w:val="nil"/>
              <w:right w:val="nil"/>
            </w:tcBorders>
          </w:tcPr>
          <w:p w14:paraId="57DD209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500 g ac/ha</w:t>
            </w:r>
          </w:p>
        </w:tc>
        <w:tc>
          <w:tcPr>
            <w:tcW w:w="411" w:type="pct"/>
            <w:tcBorders>
              <w:top w:val="nil"/>
              <w:left w:val="nil"/>
              <w:bottom w:val="nil"/>
              <w:right w:val="nil"/>
            </w:tcBorders>
          </w:tcPr>
          <w:p w14:paraId="59372993"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nil"/>
              <w:right w:val="nil"/>
            </w:tcBorders>
          </w:tcPr>
          <w:p w14:paraId="3442D08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200</w:t>
            </w:r>
          </w:p>
        </w:tc>
      </w:tr>
      <w:tr w:rsidR="00A502AC" w14:paraId="6A01D5C8" w14:textId="77777777" w:rsidTr="00444693">
        <w:tc>
          <w:tcPr>
            <w:tcW w:w="651" w:type="pct"/>
            <w:vMerge/>
            <w:tcBorders>
              <w:left w:val="nil"/>
              <w:right w:val="nil"/>
            </w:tcBorders>
          </w:tcPr>
          <w:p w14:paraId="4C8EA493"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174C7698"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6B6E71DE"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Pasture</w:t>
            </w:r>
          </w:p>
        </w:tc>
        <w:tc>
          <w:tcPr>
            <w:tcW w:w="1085" w:type="pct"/>
            <w:tcBorders>
              <w:top w:val="nil"/>
              <w:left w:val="nil"/>
              <w:bottom w:val="single" w:sz="4" w:space="0" w:color="auto"/>
              <w:right w:val="nil"/>
            </w:tcBorders>
          </w:tcPr>
          <w:p w14:paraId="07134AE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300 g ac/ha</w:t>
            </w:r>
          </w:p>
        </w:tc>
        <w:tc>
          <w:tcPr>
            <w:tcW w:w="411" w:type="pct"/>
            <w:tcBorders>
              <w:top w:val="nil"/>
              <w:left w:val="nil"/>
              <w:bottom w:val="single" w:sz="4" w:space="0" w:color="auto"/>
              <w:right w:val="nil"/>
            </w:tcBorders>
          </w:tcPr>
          <w:p w14:paraId="0A2C960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nil"/>
              <w:left w:val="nil"/>
              <w:bottom w:val="single" w:sz="4" w:space="0" w:color="auto"/>
              <w:right w:val="nil"/>
            </w:tcBorders>
          </w:tcPr>
          <w:p w14:paraId="6B850AF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300</w:t>
            </w:r>
          </w:p>
        </w:tc>
      </w:tr>
      <w:tr w:rsidR="00A502AC" w14:paraId="0ED9AEA9" w14:textId="77777777" w:rsidTr="00444693">
        <w:tc>
          <w:tcPr>
            <w:tcW w:w="651" w:type="pct"/>
            <w:vMerge/>
            <w:tcBorders>
              <w:left w:val="nil"/>
              <w:right w:val="nil"/>
            </w:tcBorders>
          </w:tcPr>
          <w:p w14:paraId="63733AD6"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56A51422"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Orchards</w:t>
            </w:r>
          </w:p>
        </w:tc>
        <w:tc>
          <w:tcPr>
            <w:tcW w:w="1395" w:type="pct"/>
            <w:tcBorders>
              <w:top w:val="single" w:sz="4" w:space="0" w:color="auto"/>
              <w:left w:val="nil"/>
              <w:bottom w:val="nil"/>
              <w:right w:val="nil"/>
            </w:tcBorders>
          </w:tcPr>
          <w:p w14:paraId="160247E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Orchards</w:t>
            </w:r>
          </w:p>
        </w:tc>
        <w:tc>
          <w:tcPr>
            <w:tcW w:w="1085" w:type="pct"/>
            <w:tcBorders>
              <w:top w:val="single" w:sz="4" w:space="0" w:color="auto"/>
              <w:left w:val="nil"/>
              <w:bottom w:val="nil"/>
              <w:right w:val="nil"/>
            </w:tcBorders>
          </w:tcPr>
          <w:p w14:paraId="708C28F3"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left w:val="nil"/>
              <w:bottom w:val="nil"/>
              <w:right w:val="nil"/>
            </w:tcBorders>
          </w:tcPr>
          <w:p w14:paraId="4C0BE48B"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left w:val="nil"/>
              <w:bottom w:val="nil"/>
              <w:right w:val="nil"/>
            </w:tcBorders>
          </w:tcPr>
          <w:p w14:paraId="7F4B827B"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14:paraId="1ED95442" w14:textId="77777777" w:rsidTr="00444693">
        <w:tc>
          <w:tcPr>
            <w:tcW w:w="651" w:type="pct"/>
            <w:vMerge/>
            <w:tcBorders>
              <w:left w:val="nil"/>
              <w:right w:val="nil"/>
            </w:tcBorders>
          </w:tcPr>
          <w:p w14:paraId="500E342E"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4BF497AF"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016BFFA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orchards</w:t>
            </w:r>
          </w:p>
        </w:tc>
        <w:tc>
          <w:tcPr>
            <w:tcW w:w="1085" w:type="pct"/>
            <w:tcBorders>
              <w:top w:val="nil"/>
              <w:left w:val="nil"/>
              <w:bottom w:val="single" w:sz="4" w:space="0" w:color="auto"/>
              <w:right w:val="nil"/>
            </w:tcBorders>
          </w:tcPr>
          <w:p w14:paraId="273B4C7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 500 g ac/ha</w:t>
            </w:r>
          </w:p>
        </w:tc>
        <w:tc>
          <w:tcPr>
            <w:tcW w:w="411" w:type="pct"/>
            <w:tcBorders>
              <w:top w:val="nil"/>
              <w:left w:val="nil"/>
              <w:bottom w:val="single" w:sz="4" w:space="0" w:color="auto"/>
              <w:right w:val="nil"/>
            </w:tcBorders>
          </w:tcPr>
          <w:p w14:paraId="28F022F5"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1F79CDCF"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200</w:t>
            </w:r>
          </w:p>
        </w:tc>
      </w:tr>
      <w:tr w:rsidR="00A502AC" w14:paraId="3B7B148E" w14:textId="77777777" w:rsidTr="00444693">
        <w:tc>
          <w:tcPr>
            <w:tcW w:w="651" w:type="pct"/>
            <w:vMerge/>
            <w:tcBorders>
              <w:left w:val="nil"/>
              <w:right w:val="nil"/>
            </w:tcBorders>
          </w:tcPr>
          <w:p w14:paraId="12821FD7"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single" w:sz="4" w:space="0" w:color="auto"/>
              <w:right w:val="nil"/>
            </w:tcBorders>
          </w:tcPr>
          <w:p w14:paraId="250C2B40"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Potato</w:t>
            </w:r>
          </w:p>
        </w:tc>
        <w:tc>
          <w:tcPr>
            <w:tcW w:w="1395" w:type="pct"/>
            <w:tcBorders>
              <w:top w:val="single" w:sz="4" w:space="0" w:color="auto"/>
              <w:left w:val="nil"/>
              <w:bottom w:val="single" w:sz="4" w:space="0" w:color="auto"/>
              <w:right w:val="nil"/>
            </w:tcBorders>
          </w:tcPr>
          <w:p w14:paraId="5EE3F18E"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Potatoes (pre-harvest)</w:t>
            </w:r>
          </w:p>
        </w:tc>
        <w:tc>
          <w:tcPr>
            <w:tcW w:w="1085" w:type="pct"/>
            <w:tcBorders>
              <w:top w:val="single" w:sz="4" w:space="0" w:color="auto"/>
              <w:left w:val="nil"/>
              <w:bottom w:val="single" w:sz="4" w:space="0" w:color="auto"/>
              <w:right w:val="nil"/>
            </w:tcBorders>
          </w:tcPr>
          <w:p w14:paraId="69B6B8BA"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 525 g ac/ha</w:t>
            </w:r>
          </w:p>
        </w:tc>
        <w:tc>
          <w:tcPr>
            <w:tcW w:w="411" w:type="pct"/>
            <w:tcBorders>
              <w:top w:val="single" w:sz="4" w:space="0" w:color="auto"/>
              <w:left w:val="nil"/>
              <w:bottom w:val="single" w:sz="4" w:space="0" w:color="auto"/>
              <w:right w:val="nil"/>
            </w:tcBorders>
          </w:tcPr>
          <w:p w14:paraId="21D99B87"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single" w:sz="4" w:space="0" w:color="auto"/>
              <w:right w:val="nil"/>
            </w:tcBorders>
          </w:tcPr>
          <w:p w14:paraId="3430495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525</w:t>
            </w:r>
          </w:p>
        </w:tc>
      </w:tr>
      <w:tr w:rsidR="00A502AC" w14:paraId="091E2FDE" w14:textId="77777777" w:rsidTr="00444693">
        <w:tc>
          <w:tcPr>
            <w:tcW w:w="651" w:type="pct"/>
            <w:vMerge/>
            <w:tcBorders>
              <w:left w:val="nil"/>
              <w:right w:val="nil"/>
            </w:tcBorders>
          </w:tcPr>
          <w:p w14:paraId="7BD06605"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single" w:sz="4" w:space="0" w:color="auto"/>
              <w:left w:val="nil"/>
              <w:bottom w:val="nil"/>
              <w:right w:val="nil"/>
            </w:tcBorders>
          </w:tcPr>
          <w:p w14:paraId="04E6D73D"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Vineyards</w:t>
            </w:r>
          </w:p>
        </w:tc>
        <w:tc>
          <w:tcPr>
            <w:tcW w:w="1395" w:type="pct"/>
            <w:tcBorders>
              <w:top w:val="single" w:sz="4" w:space="0" w:color="auto"/>
              <w:left w:val="nil"/>
              <w:bottom w:val="nil"/>
              <w:right w:val="nil"/>
            </w:tcBorders>
          </w:tcPr>
          <w:p w14:paraId="26DBF7BC"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Vineyards</w:t>
            </w:r>
          </w:p>
        </w:tc>
        <w:tc>
          <w:tcPr>
            <w:tcW w:w="1085" w:type="pct"/>
            <w:tcBorders>
              <w:top w:val="single" w:sz="4" w:space="0" w:color="auto"/>
              <w:left w:val="nil"/>
              <w:bottom w:val="nil"/>
              <w:right w:val="nil"/>
            </w:tcBorders>
          </w:tcPr>
          <w:p w14:paraId="5FBBA017"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From 1× 600 g ac/ha</w:t>
            </w:r>
          </w:p>
        </w:tc>
        <w:tc>
          <w:tcPr>
            <w:tcW w:w="411" w:type="pct"/>
            <w:tcBorders>
              <w:top w:val="single" w:sz="4" w:space="0" w:color="auto"/>
              <w:left w:val="nil"/>
              <w:bottom w:val="nil"/>
              <w:right w:val="nil"/>
            </w:tcBorders>
          </w:tcPr>
          <w:p w14:paraId="3BF9866C"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1.0</w:t>
            </w:r>
          </w:p>
        </w:tc>
        <w:tc>
          <w:tcPr>
            <w:tcW w:w="753" w:type="pct"/>
            <w:tcBorders>
              <w:top w:val="single" w:sz="4" w:space="0" w:color="auto"/>
              <w:left w:val="nil"/>
              <w:bottom w:val="nil"/>
              <w:right w:val="nil"/>
            </w:tcBorders>
          </w:tcPr>
          <w:p w14:paraId="6EA69E92"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600</w:t>
            </w:r>
          </w:p>
        </w:tc>
      </w:tr>
      <w:tr w:rsidR="00A502AC" w14:paraId="7E6227C9" w14:textId="77777777" w:rsidTr="00444693">
        <w:tc>
          <w:tcPr>
            <w:tcW w:w="651" w:type="pct"/>
            <w:vMerge/>
            <w:tcBorders>
              <w:left w:val="nil"/>
              <w:bottom w:val="single" w:sz="4" w:space="0" w:color="auto"/>
              <w:right w:val="nil"/>
            </w:tcBorders>
          </w:tcPr>
          <w:p w14:paraId="661F0F9E" w14:textId="77777777" w:rsidR="00A502AC" w:rsidRPr="00AC06D7" w:rsidRDefault="00A502AC" w:rsidP="00444693">
            <w:pPr>
              <w:pStyle w:val="BodyText"/>
              <w:widowControl w:val="0"/>
              <w:spacing w:after="0"/>
              <w:rPr>
                <w:rFonts w:ascii="Arial" w:hAnsi="Arial" w:cs="Arial"/>
                <w:sz w:val="17"/>
                <w:szCs w:val="17"/>
              </w:rPr>
            </w:pPr>
          </w:p>
        </w:tc>
        <w:tc>
          <w:tcPr>
            <w:tcW w:w="705" w:type="pct"/>
            <w:tcBorders>
              <w:top w:val="nil"/>
              <w:left w:val="nil"/>
              <w:bottom w:val="single" w:sz="4" w:space="0" w:color="auto"/>
              <w:right w:val="nil"/>
            </w:tcBorders>
          </w:tcPr>
          <w:p w14:paraId="50A71489" w14:textId="77777777" w:rsidR="00A502AC" w:rsidRPr="00AC06D7" w:rsidRDefault="00A502AC" w:rsidP="00444693">
            <w:pPr>
              <w:pStyle w:val="BodyText"/>
              <w:widowControl w:val="0"/>
              <w:spacing w:after="0"/>
              <w:rPr>
                <w:rFonts w:ascii="Arial" w:hAnsi="Arial" w:cs="Arial"/>
                <w:sz w:val="17"/>
                <w:szCs w:val="17"/>
              </w:rPr>
            </w:pPr>
          </w:p>
        </w:tc>
        <w:tc>
          <w:tcPr>
            <w:tcW w:w="1395" w:type="pct"/>
            <w:tcBorders>
              <w:top w:val="nil"/>
              <w:left w:val="nil"/>
              <w:bottom w:val="single" w:sz="4" w:space="0" w:color="auto"/>
              <w:right w:val="nil"/>
            </w:tcBorders>
          </w:tcPr>
          <w:p w14:paraId="34CBBA71"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Spot spray in vineyards</w:t>
            </w:r>
          </w:p>
        </w:tc>
        <w:tc>
          <w:tcPr>
            <w:tcW w:w="1085" w:type="pct"/>
            <w:tcBorders>
              <w:top w:val="nil"/>
              <w:left w:val="nil"/>
              <w:bottom w:val="single" w:sz="4" w:space="0" w:color="auto"/>
              <w:right w:val="nil"/>
            </w:tcBorders>
          </w:tcPr>
          <w:p w14:paraId="06BC3F65" w14:textId="77777777" w:rsidR="00A502AC" w:rsidRPr="00AC06D7" w:rsidRDefault="00A502AC" w:rsidP="00444693">
            <w:pPr>
              <w:pStyle w:val="BodyText"/>
              <w:widowControl w:val="0"/>
              <w:spacing w:after="0"/>
              <w:rPr>
                <w:rFonts w:ascii="Arial" w:hAnsi="Arial" w:cs="Arial"/>
                <w:sz w:val="17"/>
                <w:szCs w:val="17"/>
              </w:rPr>
            </w:pPr>
            <w:r w:rsidRPr="00AC06D7">
              <w:rPr>
                <w:rFonts w:ascii="Arial" w:hAnsi="Arial" w:cs="Arial"/>
                <w:sz w:val="17"/>
                <w:szCs w:val="17"/>
              </w:rPr>
              <w:t>1× 500 g ac/ha</w:t>
            </w:r>
          </w:p>
        </w:tc>
        <w:tc>
          <w:tcPr>
            <w:tcW w:w="411" w:type="pct"/>
            <w:tcBorders>
              <w:top w:val="nil"/>
              <w:left w:val="nil"/>
              <w:bottom w:val="single" w:sz="4" w:space="0" w:color="auto"/>
              <w:right w:val="nil"/>
            </w:tcBorders>
          </w:tcPr>
          <w:p w14:paraId="7ED8BDF6"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0.4</w:t>
            </w:r>
          </w:p>
        </w:tc>
        <w:tc>
          <w:tcPr>
            <w:tcW w:w="753" w:type="pct"/>
            <w:tcBorders>
              <w:top w:val="nil"/>
              <w:left w:val="nil"/>
              <w:bottom w:val="single" w:sz="4" w:space="0" w:color="auto"/>
              <w:right w:val="nil"/>
            </w:tcBorders>
          </w:tcPr>
          <w:p w14:paraId="5BFC7004" w14:textId="77777777" w:rsidR="00A502AC" w:rsidRPr="00AC06D7" w:rsidRDefault="00A502AC" w:rsidP="00444693">
            <w:pPr>
              <w:pStyle w:val="BodyText"/>
              <w:widowControl w:val="0"/>
              <w:spacing w:after="0"/>
              <w:jc w:val="center"/>
              <w:rPr>
                <w:rFonts w:ascii="Arial" w:hAnsi="Arial" w:cs="Arial"/>
                <w:sz w:val="17"/>
                <w:szCs w:val="17"/>
              </w:rPr>
            </w:pPr>
            <w:r w:rsidRPr="00AC06D7">
              <w:rPr>
                <w:rFonts w:ascii="Arial" w:hAnsi="Arial" w:cs="Arial"/>
                <w:sz w:val="17"/>
                <w:szCs w:val="17"/>
              </w:rPr>
              <w:t>200</w:t>
            </w:r>
          </w:p>
        </w:tc>
      </w:tr>
    </w:tbl>
    <w:p w14:paraId="70ED3387" w14:textId="77777777" w:rsidR="00A502AC" w:rsidRDefault="00A502AC" w:rsidP="00A502AC">
      <w:pPr>
        <w:tabs>
          <w:tab w:val="left" w:pos="930"/>
        </w:tabs>
        <w:rPr>
          <w:rFonts w:cs="Arial"/>
          <w:sz w:val="17"/>
          <w:szCs w:val="17"/>
        </w:rPr>
      </w:pPr>
      <w:bookmarkStart w:id="716" w:name="_Hlk205474496"/>
      <w:bookmarkStart w:id="717" w:name="_Hlk199248698"/>
      <w:r w:rsidRPr="00D748DB">
        <w:rPr>
          <w:rFonts w:cs="Arial"/>
          <w:sz w:val="17"/>
          <w:szCs w:val="17"/>
        </w:rPr>
        <w:t>Risk assessment scenarios as described in APVMA 2024 but with modification</w:t>
      </w:r>
      <w:r>
        <w:rPr>
          <w:rFonts w:cs="Arial"/>
          <w:sz w:val="17"/>
          <w:szCs w:val="17"/>
        </w:rPr>
        <w:t>s</w:t>
      </w:r>
      <w:r w:rsidRPr="00D748DB">
        <w:rPr>
          <w:rFonts w:cs="Arial"/>
          <w:sz w:val="17"/>
          <w:szCs w:val="17"/>
        </w:rPr>
        <w:t xml:space="preserve"> to account for comments and omissions/errors in original report</w:t>
      </w:r>
    </w:p>
    <w:bookmarkEnd w:id="716"/>
    <w:p w14:paraId="56DEB641" w14:textId="77777777" w:rsidR="00A502AC" w:rsidRDefault="00A502AC" w:rsidP="00A502AC">
      <w:pPr>
        <w:tabs>
          <w:tab w:val="left" w:pos="930"/>
        </w:tabs>
        <w:rPr>
          <w:rFonts w:cs="Arial"/>
          <w:sz w:val="17"/>
          <w:szCs w:val="17"/>
        </w:rPr>
      </w:pPr>
      <w:r>
        <w:rPr>
          <w:rFonts w:cs="Arial"/>
          <w:sz w:val="17"/>
          <w:szCs w:val="17"/>
        </w:rPr>
        <w:t>FFT = fraction of field treated = 0.3 for optical spot sprayer uses (as per on-label instructions), and 0.4 for spot sprayer uses (default value)</w:t>
      </w:r>
    </w:p>
    <w:p w14:paraId="3902D154" w14:textId="77777777" w:rsidR="00A502AC" w:rsidRDefault="00A502AC" w:rsidP="00A502AC">
      <w:pPr>
        <w:tabs>
          <w:tab w:val="left" w:pos="930"/>
        </w:tabs>
        <w:rPr>
          <w:rFonts w:cs="Arial"/>
          <w:sz w:val="17"/>
          <w:szCs w:val="17"/>
        </w:rPr>
      </w:pPr>
      <w:r>
        <w:rPr>
          <w:rFonts w:cs="Arial"/>
          <w:sz w:val="17"/>
          <w:szCs w:val="17"/>
        </w:rPr>
        <w:t>S</w:t>
      </w:r>
      <w:r w:rsidRPr="002C16B6">
        <w:rPr>
          <w:rFonts w:cs="Arial"/>
          <w:sz w:val="17"/>
          <w:szCs w:val="17"/>
        </w:rPr>
        <w:t xml:space="preserve">easonal exposure rates </w:t>
      </w:r>
      <w:r>
        <w:rPr>
          <w:rFonts w:cs="Arial"/>
          <w:sz w:val="17"/>
          <w:szCs w:val="17"/>
        </w:rPr>
        <w:t xml:space="preserve">are </w:t>
      </w:r>
      <w:r w:rsidRPr="002C16B6">
        <w:rPr>
          <w:rFonts w:cs="Arial"/>
          <w:sz w:val="17"/>
          <w:szCs w:val="17"/>
        </w:rPr>
        <w:t xml:space="preserve">based on </w:t>
      </w:r>
      <w:r>
        <w:rPr>
          <w:rFonts w:cs="Arial"/>
          <w:sz w:val="17"/>
          <w:szCs w:val="17"/>
        </w:rPr>
        <w:t xml:space="preserve">the </w:t>
      </w:r>
      <w:r w:rsidRPr="002C16B6">
        <w:rPr>
          <w:rFonts w:cs="Arial"/>
          <w:sz w:val="17"/>
          <w:szCs w:val="17"/>
        </w:rPr>
        <w:t>indicated application rate, frequency</w:t>
      </w:r>
      <w:r>
        <w:rPr>
          <w:rFonts w:cs="Arial"/>
          <w:sz w:val="17"/>
          <w:szCs w:val="17"/>
        </w:rPr>
        <w:t>, FFT</w:t>
      </w:r>
      <w:r w:rsidRPr="002C16B6">
        <w:rPr>
          <w:rFonts w:cs="Arial"/>
          <w:sz w:val="17"/>
          <w:szCs w:val="17"/>
        </w:rPr>
        <w:t xml:space="preserve"> and</w:t>
      </w:r>
      <w:r>
        <w:rPr>
          <w:rFonts w:cs="Arial"/>
          <w:sz w:val="17"/>
          <w:szCs w:val="17"/>
        </w:rPr>
        <w:t xml:space="preserve"> default</w:t>
      </w:r>
      <w:r w:rsidRPr="002C16B6">
        <w:rPr>
          <w:rFonts w:cs="Arial"/>
          <w:sz w:val="17"/>
          <w:szCs w:val="17"/>
        </w:rPr>
        <w:t xml:space="preserve"> DT</w:t>
      </w:r>
      <w:r w:rsidRPr="002C16B6">
        <w:rPr>
          <w:rFonts w:cs="Arial"/>
          <w:sz w:val="17"/>
          <w:szCs w:val="17"/>
          <w:vertAlign w:val="subscript"/>
        </w:rPr>
        <w:t>50</w:t>
      </w:r>
      <w:r>
        <w:rPr>
          <w:rFonts w:cs="Arial"/>
          <w:sz w:val="17"/>
          <w:szCs w:val="17"/>
        </w:rPr>
        <w:t xml:space="preserve"> (10 d)</w:t>
      </w:r>
    </w:p>
    <w:p w14:paraId="3C2544B4" w14:textId="77777777" w:rsidR="00A502AC" w:rsidRDefault="00A502AC" w:rsidP="00A502AC">
      <w:pPr>
        <w:tabs>
          <w:tab w:val="left" w:pos="930"/>
        </w:tabs>
        <w:rPr>
          <w:rFonts w:cs="Arial"/>
          <w:sz w:val="17"/>
          <w:szCs w:val="17"/>
        </w:rPr>
      </w:pPr>
      <w:r>
        <w:rPr>
          <w:rFonts w:cs="Arial"/>
          <w:sz w:val="17"/>
          <w:szCs w:val="17"/>
        </w:rPr>
        <w:tab/>
        <w:t>Seasonal exposure rate, single application = application rate × FFT</w:t>
      </w:r>
    </w:p>
    <w:p w14:paraId="7CC98846" w14:textId="77777777" w:rsidR="00A502AC" w:rsidRDefault="00A502AC" w:rsidP="00A502AC">
      <w:pPr>
        <w:tabs>
          <w:tab w:val="left" w:pos="930"/>
        </w:tabs>
        <w:ind w:left="930"/>
        <w:rPr>
          <w:rFonts w:cs="Arial"/>
          <w:sz w:val="17"/>
          <w:szCs w:val="17"/>
        </w:rPr>
      </w:pPr>
      <w:r>
        <w:rPr>
          <w:rFonts w:cs="Arial"/>
          <w:sz w:val="17"/>
          <w:szCs w:val="17"/>
        </w:rPr>
        <w:t>Seasonal exposure rate, multiple applications = application rate × (1 – EXP(-1 × number of applications × ln(2) ∕ DT</w:t>
      </w:r>
      <w:r w:rsidRPr="00CD180A">
        <w:rPr>
          <w:rFonts w:cs="Arial"/>
          <w:sz w:val="17"/>
          <w:szCs w:val="17"/>
          <w:vertAlign w:val="subscript"/>
        </w:rPr>
        <w:t>50</w:t>
      </w:r>
      <w:r>
        <w:rPr>
          <w:rFonts w:cs="Arial"/>
          <w:sz w:val="17"/>
          <w:szCs w:val="17"/>
        </w:rPr>
        <w:t xml:space="preserve"> × application interval)) ∕ (1 – EXP(-1 × ln(2) ∕ DT</w:t>
      </w:r>
      <w:r w:rsidRPr="00CD180A">
        <w:rPr>
          <w:rFonts w:cs="Arial"/>
          <w:sz w:val="17"/>
          <w:szCs w:val="17"/>
          <w:vertAlign w:val="subscript"/>
        </w:rPr>
        <w:t>50</w:t>
      </w:r>
      <w:r>
        <w:rPr>
          <w:rFonts w:cs="Arial"/>
          <w:sz w:val="17"/>
          <w:szCs w:val="17"/>
        </w:rPr>
        <w:t xml:space="preserve"> × application interval)) × FFT</w:t>
      </w:r>
    </w:p>
    <w:p w14:paraId="244B66E9" w14:textId="03D5BE9D" w:rsidR="009A7378" w:rsidRPr="00AC06D7" w:rsidRDefault="00E53283" w:rsidP="00AC06D7">
      <w:pPr>
        <w:pStyle w:val="Caption"/>
        <w:rPr>
          <w:rStyle w:val="FigurecaptionChar"/>
          <w:szCs w:val="22"/>
        </w:rPr>
      </w:pPr>
      <w:bookmarkStart w:id="718" w:name="_Ref168386683"/>
      <w:bookmarkStart w:id="719" w:name="_Toc230692341"/>
      <w:bookmarkStart w:id="720" w:name="_Toc233036562"/>
      <w:bookmarkEnd w:id="717"/>
      <w:r w:rsidRPr="00AC06D7">
        <w:lastRenderedPageBreak/>
        <w:t>Table</w:t>
      </w:r>
      <w:r w:rsidRPr="00AC06D7">
        <w:rPr>
          <w:rStyle w:val="FigurecaptionChar"/>
          <w:szCs w:val="22"/>
        </w:rPr>
        <w:t xml:space="preserve"> </w:t>
      </w:r>
      <w:r w:rsidRPr="00AC06D7">
        <w:rPr>
          <w:rStyle w:val="FigurecaptionChar"/>
          <w:szCs w:val="22"/>
        </w:rPr>
        <w:fldChar w:fldCharType="begin"/>
      </w:r>
      <w:r w:rsidRPr="00AC06D7">
        <w:rPr>
          <w:rStyle w:val="FigurecaptionChar"/>
          <w:szCs w:val="22"/>
        </w:rPr>
        <w:instrText xml:space="preserve"> SEQ Table \* ARABIC </w:instrText>
      </w:r>
      <w:r w:rsidRPr="00AC06D7">
        <w:rPr>
          <w:rStyle w:val="FigurecaptionChar"/>
          <w:szCs w:val="22"/>
        </w:rPr>
        <w:fldChar w:fldCharType="separate"/>
      </w:r>
      <w:r w:rsidR="00AC06D7">
        <w:rPr>
          <w:rStyle w:val="FigurecaptionChar"/>
          <w:noProof/>
          <w:szCs w:val="22"/>
        </w:rPr>
        <w:t>75</w:t>
      </w:r>
      <w:r w:rsidRPr="00AC06D7">
        <w:rPr>
          <w:rStyle w:val="FigurecaptionChar"/>
          <w:szCs w:val="22"/>
        </w:rPr>
        <w:fldChar w:fldCharType="end"/>
      </w:r>
      <w:bookmarkEnd w:id="718"/>
      <w:r w:rsidRPr="00AC06D7">
        <w:rPr>
          <w:rStyle w:val="FigurecaptionChar"/>
          <w:szCs w:val="22"/>
        </w:rPr>
        <w:t xml:space="preserve">: </w:t>
      </w:r>
      <w:r w:rsidR="00A502AC" w:rsidRPr="00AC06D7">
        <w:rPr>
          <w:rStyle w:val="FigurecaptionChar"/>
          <w:szCs w:val="22"/>
        </w:rPr>
        <w:t>Assessment of</w:t>
      </w:r>
      <w:r w:rsidR="009A7378" w:rsidRPr="00AC06D7">
        <w:rPr>
          <w:rStyle w:val="FigurecaptionChar"/>
          <w:szCs w:val="22"/>
        </w:rPr>
        <w:t xml:space="preserve"> risks to wild mammals (</w:t>
      </w:r>
      <w:r w:rsidR="00A502AC" w:rsidRPr="00AC06D7">
        <w:rPr>
          <w:rStyle w:val="FigurecaptionChar"/>
          <w:szCs w:val="22"/>
        </w:rPr>
        <w:t xml:space="preserve">acute </w:t>
      </w:r>
      <w:r w:rsidR="009A7378" w:rsidRPr="00AC06D7">
        <w:rPr>
          <w:rStyle w:val="FigurecaptionChar"/>
          <w:szCs w:val="22"/>
        </w:rPr>
        <w:t>RAL 6.1 mg/kg bw</w:t>
      </w:r>
      <w:r w:rsidR="00A502AC" w:rsidRPr="00AC06D7">
        <w:rPr>
          <w:rStyle w:val="FigurecaptionChar"/>
          <w:szCs w:val="22"/>
        </w:rPr>
        <w:t>; chronic 3.8 mg ac/kg bw/d</w:t>
      </w:r>
      <w:r w:rsidR="009A7378" w:rsidRPr="00AC06D7">
        <w:rPr>
          <w:rStyle w:val="FigurecaptionChar"/>
          <w:szCs w:val="22"/>
        </w:rPr>
        <w:t>)</w:t>
      </w:r>
      <w:bookmarkEnd w:id="719"/>
      <w:bookmarkEnd w:id="720"/>
    </w:p>
    <w:tbl>
      <w:tblPr>
        <w:tblW w:w="5000" w:type="pct"/>
        <w:tblCellMar>
          <w:top w:w="57" w:type="dxa"/>
          <w:left w:w="57" w:type="dxa"/>
          <w:bottom w:w="57" w:type="dxa"/>
          <w:right w:w="57" w:type="dxa"/>
        </w:tblCellMar>
        <w:tblLook w:val="0000" w:firstRow="0" w:lastRow="0" w:firstColumn="0" w:lastColumn="0" w:noHBand="0" w:noVBand="0"/>
      </w:tblPr>
      <w:tblGrid>
        <w:gridCol w:w="1701"/>
        <w:gridCol w:w="1276"/>
        <w:gridCol w:w="1559"/>
        <w:gridCol w:w="1276"/>
        <w:gridCol w:w="956"/>
        <w:gridCol w:w="956"/>
        <w:gridCol w:w="956"/>
        <w:gridCol w:w="958"/>
      </w:tblGrid>
      <w:tr w:rsidR="00A502AC" w:rsidRPr="00CE16D2" w14:paraId="4047AE18" w14:textId="77777777" w:rsidTr="00444693">
        <w:trPr>
          <w:cantSplit/>
          <w:tblHeader/>
        </w:trPr>
        <w:tc>
          <w:tcPr>
            <w:tcW w:w="882" w:type="pct"/>
            <w:vMerge w:val="restart"/>
            <w:tcBorders>
              <w:top w:val="single" w:sz="4" w:space="0" w:color="auto"/>
            </w:tcBorders>
            <w:shd w:val="clear" w:color="auto" w:fill="5C2946"/>
          </w:tcPr>
          <w:p w14:paraId="4AC6206D" w14:textId="77777777" w:rsidR="00A502AC" w:rsidRPr="00012C56" w:rsidRDefault="00A502AC" w:rsidP="00012C56">
            <w:pPr>
              <w:pStyle w:val="TableHead"/>
            </w:pPr>
            <w:r w:rsidRPr="00012C56">
              <w:t>Situation</w:t>
            </w:r>
          </w:p>
        </w:tc>
        <w:tc>
          <w:tcPr>
            <w:tcW w:w="662" w:type="pct"/>
            <w:vMerge w:val="restart"/>
            <w:tcBorders>
              <w:top w:val="single" w:sz="4" w:space="0" w:color="auto"/>
            </w:tcBorders>
            <w:shd w:val="clear" w:color="auto" w:fill="5C2946"/>
          </w:tcPr>
          <w:p w14:paraId="2DD6C58C" w14:textId="77777777" w:rsidR="00A502AC" w:rsidRPr="00012C56" w:rsidRDefault="00A502AC" w:rsidP="00012C56">
            <w:pPr>
              <w:pStyle w:val="TableHead"/>
            </w:pPr>
            <w:r w:rsidRPr="00012C56">
              <w:t>Crop group</w:t>
            </w:r>
          </w:p>
        </w:tc>
        <w:tc>
          <w:tcPr>
            <w:tcW w:w="809" w:type="pct"/>
            <w:vMerge w:val="restart"/>
            <w:tcBorders>
              <w:top w:val="single" w:sz="4" w:space="0" w:color="auto"/>
            </w:tcBorders>
            <w:shd w:val="clear" w:color="auto" w:fill="5C2946"/>
          </w:tcPr>
          <w:p w14:paraId="23655E6F" w14:textId="77777777" w:rsidR="00A502AC" w:rsidRPr="00012C56" w:rsidRDefault="00A502AC" w:rsidP="00012C56">
            <w:pPr>
              <w:pStyle w:val="TableHead"/>
            </w:pPr>
            <w:r w:rsidRPr="00012C56">
              <w:t>Generic focal species</w:t>
            </w:r>
          </w:p>
        </w:tc>
        <w:tc>
          <w:tcPr>
            <w:tcW w:w="662" w:type="pct"/>
            <w:vMerge w:val="restart"/>
            <w:tcBorders>
              <w:top w:val="single" w:sz="4" w:space="0" w:color="auto"/>
            </w:tcBorders>
            <w:shd w:val="clear" w:color="auto" w:fill="5C2946"/>
          </w:tcPr>
          <w:p w14:paraId="02E4823F" w14:textId="77777777" w:rsidR="00A502AC" w:rsidRPr="00012C56" w:rsidRDefault="00A502AC" w:rsidP="00012C56">
            <w:pPr>
              <w:pStyle w:val="TableHead"/>
            </w:pPr>
            <w:r w:rsidRPr="00012C56">
              <w:t>Crop stage</w:t>
            </w:r>
          </w:p>
        </w:tc>
        <w:tc>
          <w:tcPr>
            <w:tcW w:w="992" w:type="pct"/>
            <w:gridSpan w:val="2"/>
            <w:tcBorders>
              <w:top w:val="single" w:sz="4" w:space="0" w:color="auto"/>
            </w:tcBorders>
            <w:shd w:val="clear" w:color="auto" w:fill="5C2946"/>
          </w:tcPr>
          <w:p w14:paraId="13656E07" w14:textId="77777777" w:rsidR="00A502AC" w:rsidRPr="00CE16D2" w:rsidRDefault="00A502AC" w:rsidP="00012C56">
            <w:pPr>
              <w:pStyle w:val="TableHeadRight"/>
            </w:pPr>
            <w:r>
              <w:t>Shortcut value</w:t>
            </w:r>
          </w:p>
        </w:tc>
        <w:tc>
          <w:tcPr>
            <w:tcW w:w="993" w:type="pct"/>
            <w:gridSpan w:val="2"/>
            <w:tcBorders>
              <w:top w:val="single" w:sz="4" w:space="0" w:color="auto"/>
            </w:tcBorders>
            <w:shd w:val="clear" w:color="auto" w:fill="5C2946"/>
          </w:tcPr>
          <w:p w14:paraId="353AAC6E" w14:textId="77777777" w:rsidR="00A502AC" w:rsidRDefault="00A502AC" w:rsidP="00012C56">
            <w:pPr>
              <w:pStyle w:val="TableHeadRight"/>
            </w:pPr>
            <w:r>
              <w:t xml:space="preserve">Acceptable rate </w:t>
            </w:r>
          </w:p>
          <w:p w14:paraId="26F5D70C" w14:textId="77777777" w:rsidR="00A502AC" w:rsidRPr="00CE16D2" w:rsidRDefault="00A502AC" w:rsidP="00012C56">
            <w:pPr>
              <w:pStyle w:val="TableHeadRight"/>
            </w:pPr>
            <w:r>
              <w:t>(g ac/ha)</w:t>
            </w:r>
          </w:p>
        </w:tc>
      </w:tr>
      <w:tr w:rsidR="00A502AC" w:rsidRPr="00CE16D2" w14:paraId="025E455A" w14:textId="77777777" w:rsidTr="00444693">
        <w:trPr>
          <w:cantSplit/>
          <w:tblHeader/>
        </w:trPr>
        <w:tc>
          <w:tcPr>
            <w:tcW w:w="882" w:type="pct"/>
            <w:vMerge/>
            <w:tcBorders>
              <w:bottom w:val="single" w:sz="4" w:space="0" w:color="auto"/>
            </w:tcBorders>
            <w:shd w:val="clear" w:color="auto" w:fill="5C2946"/>
          </w:tcPr>
          <w:p w14:paraId="18EE942E"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662" w:type="pct"/>
            <w:vMerge/>
            <w:tcBorders>
              <w:bottom w:val="single" w:sz="4" w:space="0" w:color="auto"/>
            </w:tcBorders>
            <w:shd w:val="clear" w:color="auto" w:fill="5C2946"/>
          </w:tcPr>
          <w:p w14:paraId="13B76ACD"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809" w:type="pct"/>
            <w:vMerge/>
            <w:tcBorders>
              <w:bottom w:val="single" w:sz="4" w:space="0" w:color="auto"/>
            </w:tcBorders>
            <w:shd w:val="clear" w:color="auto" w:fill="5C2946"/>
          </w:tcPr>
          <w:p w14:paraId="7E88F5E3"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662" w:type="pct"/>
            <w:vMerge/>
            <w:tcBorders>
              <w:bottom w:val="single" w:sz="4" w:space="0" w:color="auto"/>
            </w:tcBorders>
            <w:shd w:val="clear" w:color="auto" w:fill="5C2946"/>
          </w:tcPr>
          <w:p w14:paraId="674E073D"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496" w:type="pct"/>
            <w:tcBorders>
              <w:bottom w:val="single" w:sz="4" w:space="0" w:color="auto"/>
            </w:tcBorders>
            <w:shd w:val="clear" w:color="auto" w:fill="5C2946"/>
          </w:tcPr>
          <w:p w14:paraId="3778A014" w14:textId="77777777" w:rsidR="00A502AC" w:rsidRPr="00CE16D2" w:rsidRDefault="00A502AC" w:rsidP="00012C56">
            <w:pPr>
              <w:pStyle w:val="TableHeadRight"/>
            </w:pPr>
            <w:r>
              <w:t>acute</w:t>
            </w:r>
          </w:p>
        </w:tc>
        <w:tc>
          <w:tcPr>
            <w:tcW w:w="496" w:type="pct"/>
            <w:tcBorders>
              <w:bottom w:val="single" w:sz="4" w:space="0" w:color="auto"/>
            </w:tcBorders>
            <w:shd w:val="clear" w:color="auto" w:fill="5C2946"/>
          </w:tcPr>
          <w:p w14:paraId="29A1EED7" w14:textId="77777777" w:rsidR="00A502AC" w:rsidRPr="00CE16D2" w:rsidRDefault="00A502AC" w:rsidP="00012C56">
            <w:pPr>
              <w:pStyle w:val="TableHeadRight"/>
            </w:pPr>
            <w:r>
              <w:t>chronic</w:t>
            </w:r>
          </w:p>
        </w:tc>
        <w:tc>
          <w:tcPr>
            <w:tcW w:w="496" w:type="pct"/>
            <w:tcBorders>
              <w:bottom w:val="single" w:sz="4" w:space="0" w:color="auto"/>
            </w:tcBorders>
            <w:shd w:val="clear" w:color="auto" w:fill="5C2946"/>
          </w:tcPr>
          <w:p w14:paraId="44548433" w14:textId="77777777" w:rsidR="00A502AC" w:rsidRPr="00CE16D2" w:rsidRDefault="00A502AC" w:rsidP="00012C56">
            <w:pPr>
              <w:pStyle w:val="TableHeadRight"/>
            </w:pPr>
            <w:r>
              <w:t>acute</w:t>
            </w:r>
          </w:p>
        </w:tc>
        <w:tc>
          <w:tcPr>
            <w:tcW w:w="497" w:type="pct"/>
            <w:tcBorders>
              <w:bottom w:val="single" w:sz="4" w:space="0" w:color="auto"/>
            </w:tcBorders>
            <w:shd w:val="clear" w:color="auto" w:fill="5C2946"/>
          </w:tcPr>
          <w:p w14:paraId="7960670D" w14:textId="77777777" w:rsidR="00A502AC" w:rsidRPr="00CE16D2" w:rsidRDefault="00A502AC" w:rsidP="00012C56">
            <w:pPr>
              <w:pStyle w:val="TableHeadRight"/>
            </w:pPr>
            <w:r>
              <w:t>chronic</w:t>
            </w:r>
          </w:p>
        </w:tc>
      </w:tr>
      <w:tr w:rsidR="00A502AC" w:rsidRPr="00C3293F" w14:paraId="5CE85309" w14:textId="77777777" w:rsidTr="00444693">
        <w:trPr>
          <w:cantSplit/>
          <w:trHeight w:val="13"/>
        </w:trPr>
        <w:tc>
          <w:tcPr>
            <w:tcW w:w="882" w:type="pct"/>
            <w:tcBorders>
              <w:top w:val="single" w:sz="4" w:space="0" w:color="auto"/>
              <w:bottom w:val="single" w:sz="4" w:space="0" w:color="auto"/>
            </w:tcBorders>
          </w:tcPr>
          <w:p w14:paraId="75974943" w14:textId="77777777" w:rsidR="00A502AC" w:rsidRDefault="00A502AC" w:rsidP="00444693">
            <w:pPr>
              <w:pStyle w:val="TableText"/>
              <w:widowControl w:val="0"/>
              <w:suppressAutoHyphens w:val="0"/>
              <w:spacing w:before="0" w:after="0" w:line="240" w:lineRule="auto"/>
              <w:rPr>
                <w:szCs w:val="17"/>
              </w:rPr>
            </w:pPr>
            <w:r>
              <w:rPr>
                <w:szCs w:val="17"/>
              </w:rPr>
              <w:t>General weed control in f</w:t>
            </w:r>
            <w:r w:rsidRPr="00DA6DCD">
              <w:rPr>
                <w:szCs w:val="17"/>
              </w:rPr>
              <w:t>allow</w:t>
            </w:r>
            <w:r>
              <w:rPr>
                <w:szCs w:val="17"/>
              </w:rPr>
              <w:t xml:space="preserve"> (including minimal/full disturbance, and optical spot spraying)</w:t>
            </w:r>
            <w:r w:rsidRPr="00DA6DCD">
              <w:rPr>
                <w:szCs w:val="17"/>
              </w:rPr>
              <w:t xml:space="preserve">, </w:t>
            </w:r>
            <w:r>
              <w:rPr>
                <w:szCs w:val="17"/>
              </w:rPr>
              <w:t>h</w:t>
            </w:r>
            <w:r w:rsidRPr="00DA6DCD">
              <w:rPr>
                <w:szCs w:val="17"/>
              </w:rPr>
              <w:t>ops,</w:t>
            </w:r>
            <w:r>
              <w:rPr>
                <w:szCs w:val="17"/>
              </w:rPr>
              <w:t xml:space="preserve"> </w:t>
            </w:r>
            <w:r w:rsidRPr="00DA6DCD">
              <w:rPr>
                <w:szCs w:val="17"/>
              </w:rPr>
              <w:t xml:space="preserve">market gardens, </w:t>
            </w:r>
            <w:r>
              <w:rPr>
                <w:szCs w:val="17"/>
              </w:rPr>
              <w:t xml:space="preserve">nurseries, </w:t>
            </w:r>
            <w:r w:rsidRPr="00DA6DCD">
              <w:rPr>
                <w:szCs w:val="17"/>
              </w:rPr>
              <w:t xml:space="preserve">row crops, </w:t>
            </w:r>
            <w:r>
              <w:rPr>
                <w:szCs w:val="17"/>
              </w:rPr>
              <w:t xml:space="preserve">potatoes (pre/early emergence), </w:t>
            </w:r>
            <w:r w:rsidRPr="00DA6DCD">
              <w:rPr>
                <w:szCs w:val="17"/>
              </w:rPr>
              <w:t>rice</w:t>
            </w:r>
            <w:r>
              <w:rPr>
                <w:szCs w:val="17"/>
              </w:rPr>
              <w:t xml:space="preserve"> (pre/post sowing)</w:t>
            </w:r>
            <w:r w:rsidRPr="00DA6DCD">
              <w:rPr>
                <w:szCs w:val="17"/>
              </w:rPr>
              <w:t>, vegetables</w:t>
            </w:r>
          </w:p>
        </w:tc>
        <w:tc>
          <w:tcPr>
            <w:tcW w:w="662" w:type="pct"/>
            <w:tcBorders>
              <w:top w:val="single" w:sz="4" w:space="0" w:color="auto"/>
              <w:bottom w:val="single" w:sz="4" w:space="0" w:color="auto"/>
            </w:tcBorders>
          </w:tcPr>
          <w:p w14:paraId="47E278B1" w14:textId="77777777" w:rsidR="00A502AC" w:rsidRDefault="00A502AC" w:rsidP="00444693">
            <w:pPr>
              <w:pStyle w:val="TableText"/>
              <w:widowControl w:val="0"/>
              <w:suppressAutoHyphens w:val="0"/>
              <w:spacing w:before="0" w:after="0" w:line="240" w:lineRule="auto"/>
              <w:rPr>
                <w:szCs w:val="17"/>
              </w:rPr>
            </w:pPr>
            <w:r>
              <w:rPr>
                <w:szCs w:val="17"/>
              </w:rPr>
              <w:t>Bare soil</w:t>
            </w:r>
          </w:p>
        </w:tc>
        <w:tc>
          <w:tcPr>
            <w:tcW w:w="809" w:type="pct"/>
            <w:tcBorders>
              <w:bottom w:val="single" w:sz="4" w:space="0" w:color="auto"/>
            </w:tcBorders>
          </w:tcPr>
          <w:p w14:paraId="563CF7B0"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62" w:type="pct"/>
            <w:tcBorders>
              <w:bottom w:val="single" w:sz="4" w:space="0" w:color="auto"/>
            </w:tcBorders>
          </w:tcPr>
          <w:p w14:paraId="7BF70F86" w14:textId="77777777" w:rsidR="00A502AC" w:rsidRDefault="00A502AC" w:rsidP="00444693">
            <w:pPr>
              <w:pStyle w:val="TableText"/>
              <w:widowControl w:val="0"/>
              <w:suppressAutoHyphens w:val="0"/>
              <w:spacing w:before="0" w:after="0" w:line="240" w:lineRule="auto"/>
              <w:rPr>
                <w:szCs w:val="17"/>
              </w:rPr>
            </w:pPr>
            <w:r>
              <w:rPr>
                <w:szCs w:val="17"/>
              </w:rPr>
              <w:t>BBCH &lt;10</w:t>
            </w:r>
          </w:p>
        </w:tc>
        <w:tc>
          <w:tcPr>
            <w:tcW w:w="496" w:type="pct"/>
            <w:tcBorders>
              <w:bottom w:val="single" w:sz="4" w:space="0" w:color="auto"/>
            </w:tcBorders>
          </w:tcPr>
          <w:p w14:paraId="501B79CB" w14:textId="77777777" w:rsidR="00A502AC" w:rsidRDefault="00A502AC" w:rsidP="00444693">
            <w:pPr>
              <w:pStyle w:val="TableText"/>
              <w:widowControl w:val="0"/>
              <w:suppressAutoHyphens w:val="0"/>
              <w:spacing w:before="0" w:after="0" w:line="240" w:lineRule="auto"/>
              <w:jc w:val="center"/>
            </w:pPr>
            <w:r>
              <w:rPr>
                <w:szCs w:val="17"/>
              </w:rPr>
              <w:t>14.3</w:t>
            </w:r>
          </w:p>
        </w:tc>
        <w:tc>
          <w:tcPr>
            <w:tcW w:w="496" w:type="pct"/>
            <w:tcBorders>
              <w:bottom w:val="single" w:sz="4" w:space="0" w:color="auto"/>
            </w:tcBorders>
          </w:tcPr>
          <w:p w14:paraId="491C5329" w14:textId="77777777" w:rsidR="00A502AC" w:rsidRDefault="00A502AC" w:rsidP="00444693">
            <w:pPr>
              <w:pStyle w:val="TableText"/>
              <w:widowControl w:val="0"/>
              <w:suppressAutoHyphens w:val="0"/>
              <w:spacing w:before="0" w:after="0" w:line="240" w:lineRule="auto"/>
              <w:jc w:val="center"/>
            </w:pPr>
            <w:r>
              <w:t>5.7</w:t>
            </w:r>
          </w:p>
        </w:tc>
        <w:tc>
          <w:tcPr>
            <w:tcW w:w="496" w:type="pct"/>
            <w:tcBorders>
              <w:bottom w:val="single" w:sz="4" w:space="0" w:color="auto"/>
            </w:tcBorders>
            <w:shd w:val="clear" w:color="auto" w:fill="FF0000"/>
          </w:tcPr>
          <w:p w14:paraId="5EAF33BE"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427</w:t>
            </w:r>
          </w:p>
        </w:tc>
        <w:tc>
          <w:tcPr>
            <w:tcW w:w="497" w:type="pct"/>
            <w:tcBorders>
              <w:bottom w:val="single" w:sz="4" w:space="0" w:color="auto"/>
            </w:tcBorders>
          </w:tcPr>
          <w:p w14:paraId="0260F6CA" w14:textId="77777777" w:rsidR="00A502AC" w:rsidRPr="00C3293F" w:rsidRDefault="00A502AC" w:rsidP="00444693">
            <w:pPr>
              <w:pStyle w:val="TableText"/>
              <w:widowControl w:val="0"/>
              <w:suppressAutoHyphens w:val="0"/>
              <w:spacing w:before="0" w:after="0" w:line="240" w:lineRule="auto"/>
              <w:jc w:val="center"/>
            </w:pPr>
            <w:r w:rsidRPr="005278D3">
              <w:t>2531</w:t>
            </w:r>
          </w:p>
        </w:tc>
      </w:tr>
      <w:tr w:rsidR="00A502AC" w:rsidRPr="00C3293F" w14:paraId="1DC7AC66" w14:textId="77777777" w:rsidTr="00444693">
        <w:trPr>
          <w:cantSplit/>
          <w:trHeight w:val="13"/>
        </w:trPr>
        <w:tc>
          <w:tcPr>
            <w:tcW w:w="882" w:type="pct"/>
            <w:vMerge w:val="restart"/>
            <w:tcBorders>
              <w:bottom w:val="single" w:sz="4" w:space="0" w:color="auto"/>
            </w:tcBorders>
          </w:tcPr>
          <w:p w14:paraId="57C66E31" w14:textId="77777777" w:rsidR="00A502AC" w:rsidRDefault="00A502AC" w:rsidP="00444693">
            <w:pPr>
              <w:pStyle w:val="TableText"/>
              <w:widowControl w:val="0"/>
              <w:suppressAutoHyphens w:val="0"/>
              <w:spacing w:before="0" w:after="0" w:line="240" w:lineRule="auto"/>
              <w:rPr>
                <w:szCs w:val="17"/>
              </w:rPr>
            </w:pPr>
            <w:r>
              <w:rPr>
                <w:szCs w:val="17"/>
              </w:rPr>
              <w:t>Pre-harvest desiccation in cotton</w:t>
            </w:r>
          </w:p>
        </w:tc>
        <w:tc>
          <w:tcPr>
            <w:tcW w:w="662" w:type="pct"/>
            <w:vMerge w:val="restart"/>
            <w:tcBorders>
              <w:bottom w:val="single" w:sz="4" w:space="0" w:color="auto"/>
            </w:tcBorders>
          </w:tcPr>
          <w:p w14:paraId="727E2A2F" w14:textId="77777777" w:rsidR="00A502AC" w:rsidRDefault="00A502AC" w:rsidP="00444693">
            <w:pPr>
              <w:pStyle w:val="TableText"/>
              <w:widowControl w:val="0"/>
              <w:suppressAutoHyphens w:val="0"/>
              <w:spacing w:before="0" w:after="0" w:line="240" w:lineRule="auto"/>
              <w:rPr>
                <w:szCs w:val="17"/>
              </w:rPr>
            </w:pPr>
            <w:r>
              <w:rPr>
                <w:szCs w:val="17"/>
              </w:rPr>
              <w:t>Cotton</w:t>
            </w:r>
          </w:p>
        </w:tc>
        <w:tc>
          <w:tcPr>
            <w:tcW w:w="809" w:type="pct"/>
            <w:tcBorders>
              <w:top w:val="single" w:sz="4" w:space="0" w:color="auto"/>
            </w:tcBorders>
          </w:tcPr>
          <w:p w14:paraId="6D254BDA" w14:textId="77777777" w:rsidR="00A502AC" w:rsidRDefault="00A502AC" w:rsidP="00444693">
            <w:pPr>
              <w:pStyle w:val="TableText"/>
              <w:widowControl w:val="0"/>
              <w:suppressAutoHyphens w:val="0"/>
              <w:spacing w:before="0" w:after="0" w:line="240" w:lineRule="auto"/>
              <w:rPr>
                <w:szCs w:val="17"/>
              </w:rPr>
            </w:pPr>
            <w:r>
              <w:rPr>
                <w:szCs w:val="17"/>
              </w:rPr>
              <w:t>Small herbivore</w:t>
            </w:r>
          </w:p>
        </w:tc>
        <w:tc>
          <w:tcPr>
            <w:tcW w:w="662" w:type="pct"/>
            <w:tcBorders>
              <w:top w:val="single" w:sz="4" w:space="0" w:color="auto"/>
            </w:tcBorders>
          </w:tcPr>
          <w:p w14:paraId="4ADBD0EC"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96" w:type="pct"/>
            <w:tcBorders>
              <w:top w:val="single" w:sz="4" w:space="0" w:color="auto"/>
            </w:tcBorders>
          </w:tcPr>
          <w:p w14:paraId="6DEAC8C5" w14:textId="77777777" w:rsidR="00A502AC" w:rsidRDefault="00A502AC" w:rsidP="00444693">
            <w:pPr>
              <w:pStyle w:val="TableText"/>
              <w:widowControl w:val="0"/>
              <w:suppressAutoHyphens w:val="0"/>
              <w:spacing w:before="0" w:after="0" w:line="240" w:lineRule="auto"/>
              <w:jc w:val="center"/>
              <w:rPr>
                <w:szCs w:val="17"/>
              </w:rPr>
            </w:pPr>
            <w:r>
              <w:t>34.1</w:t>
            </w:r>
          </w:p>
        </w:tc>
        <w:tc>
          <w:tcPr>
            <w:tcW w:w="496" w:type="pct"/>
            <w:tcBorders>
              <w:top w:val="single" w:sz="4" w:space="0" w:color="auto"/>
            </w:tcBorders>
          </w:tcPr>
          <w:p w14:paraId="63252201" w14:textId="77777777" w:rsidR="00A502AC" w:rsidRDefault="00A502AC" w:rsidP="00444693">
            <w:pPr>
              <w:pStyle w:val="TableText"/>
              <w:widowControl w:val="0"/>
              <w:suppressAutoHyphens w:val="0"/>
              <w:spacing w:before="0" w:after="0" w:line="240" w:lineRule="auto"/>
              <w:jc w:val="center"/>
            </w:pPr>
            <w:r>
              <w:t>18.1</w:t>
            </w:r>
          </w:p>
        </w:tc>
        <w:tc>
          <w:tcPr>
            <w:tcW w:w="496" w:type="pct"/>
            <w:tcBorders>
              <w:top w:val="single" w:sz="4" w:space="0" w:color="auto"/>
            </w:tcBorders>
            <w:shd w:val="clear" w:color="auto" w:fill="FF0000"/>
          </w:tcPr>
          <w:p w14:paraId="229664B2"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179</w:t>
            </w:r>
          </w:p>
        </w:tc>
        <w:tc>
          <w:tcPr>
            <w:tcW w:w="497" w:type="pct"/>
            <w:tcBorders>
              <w:top w:val="single" w:sz="4" w:space="0" w:color="auto"/>
            </w:tcBorders>
          </w:tcPr>
          <w:p w14:paraId="7EA1BC74" w14:textId="77777777" w:rsidR="00A502AC" w:rsidRPr="00C3293F" w:rsidRDefault="00A502AC" w:rsidP="00444693">
            <w:pPr>
              <w:pStyle w:val="TableText"/>
              <w:widowControl w:val="0"/>
              <w:suppressAutoHyphens w:val="0"/>
              <w:spacing w:before="0" w:after="0" w:line="240" w:lineRule="auto"/>
              <w:jc w:val="center"/>
            </w:pPr>
            <w:r w:rsidRPr="005278D3">
              <w:t>797</w:t>
            </w:r>
          </w:p>
        </w:tc>
      </w:tr>
      <w:tr w:rsidR="00A502AC" w:rsidRPr="00C3293F" w14:paraId="13F4D716" w14:textId="77777777" w:rsidTr="00444693">
        <w:trPr>
          <w:cantSplit/>
          <w:trHeight w:val="13"/>
        </w:trPr>
        <w:tc>
          <w:tcPr>
            <w:tcW w:w="882" w:type="pct"/>
            <w:vMerge/>
            <w:tcBorders>
              <w:bottom w:val="single" w:sz="4" w:space="0" w:color="auto"/>
            </w:tcBorders>
          </w:tcPr>
          <w:p w14:paraId="102D7B15"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3BD786AE" w14:textId="77777777" w:rsidR="00A502AC" w:rsidRDefault="00A502AC" w:rsidP="00444693">
            <w:pPr>
              <w:pStyle w:val="TableText"/>
              <w:widowControl w:val="0"/>
              <w:suppressAutoHyphens w:val="0"/>
              <w:spacing w:before="0" w:after="0" w:line="240" w:lineRule="auto"/>
              <w:rPr>
                <w:szCs w:val="17"/>
              </w:rPr>
            </w:pPr>
          </w:p>
        </w:tc>
        <w:tc>
          <w:tcPr>
            <w:tcW w:w="809" w:type="pct"/>
          </w:tcPr>
          <w:p w14:paraId="5656A7F0"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55757D26"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96" w:type="pct"/>
          </w:tcPr>
          <w:p w14:paraId="174F0847" w14:textId="77777777" w:rsidR="00A502AC" w:rsidRDefault="00A502AC" w:rsidP="00444693">
            <w:pPr>
              <w:pStyle w:val="TableText"/>
              <w:widowControl w:val="0"/>
              <w:suppressAutoHyphens w:val="0"/>
              <w:spacing w:before="0" w:after="0" w:line="240" w:lineRule="auto"/>
              <w:jc w:val="center"/>
              <w:rPr>
                <w:szCs w:val="17"/>
              </w:rPr>
            </w:pPr>
            <w:r>
              <w:t>4.3</w:t>
            </w:r>
          </w:p>
        </w:tc>
        <w:tc>
          <w:tcPr>
            <w:tcW w:w="496" w:type="pct"/>
          </w:tcPr>
          <w:p w14:paraId="4DFD4DBB" w14:textId="77777777" w:rsidR="00A502AC" w:rsidRDefault="00A502AC" w:rsidP="00444693">
            <w:pPr>
              <w:pStyle w:val="TableText"/>
              <w:widowControl w:val="0"/>
              <w:suppressAutoHyphens w:val="0"/>
              <w:spacing w:before="0" w:after="0" w:line="240" w:lineRule="auto"/>
              <w:jc w:val="center"/>
            </w:pPr>
            <w:r>
              <w:t>1.9</w:t>
            </w:r>
          </w:p>
        </w:tc>
        <w:tc>
          <w:tcPr>
            <w:tcW w:w="496" w:type="pct"/>
          </w:tcPr>
          <w:p w14:paraId="099BD2C8" w14:textId="77777777" w:rsidR="00A502AC" w:rsidRPr="00C3293F" w:rsidRDefault="00A502AC" w:rsidP="00444693">
            <w:pPr>
              <w:pStyle w:val="TableText"/>
              <w:widowControl w:val="0"/>
              <w:suppressAutoHyphens w:val="0"/>
              <w:spacing w:before="0" w:after="0" w:line="240" w:lineRule="auto"/>
              <w:jc w:val="center"/>
            </w:pPr>
            <w:r>
              <w:t>1419</w:t>
            </w:r>
          </w:p>
        </w:tc>
        <w:tc>
          <w:tcPr>
            <w:tcW w:w="497" w:type="pct"/>
          </w:tcPr>
          <w:p w14:paraId="39F1FFF3"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C3293F" w14:paraId="4EFA1096" w14:textId="77777777" w:rsidTr="00444693">
        <w:trPr>
          <w:cantSplit/>
          <w:trHeight w:val="13"/>
        </w:trPr>
        <w:tc>
          <w:tcPr>
            <w:tcW w:w="882" w:type="pct"/>
            <w:vMerge/>
            <w:tcBorders>
              <w:bottom w:val="single" w:sz="4" w:space="0" w:color="auto"/>
            </w:tcBorders>
          </w:tcPr>
          <w:p w14:paraId="32EC173F"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644A4D4"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327423CC"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62" w:type="pct"/>
            <w:tcBorders>
              <w:bottom w:val="single" w:sz="4" w:space="0" w:color="auto"/>
            </w:tcBorders>
          </w:tcPr>
          <w:p w14:paraId="2C8E073A"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96" w:type="pct"/>
            <w:tcBorders>
              <w:bottom w:val="single" w:sz="4" w:space="0" w:color="auto"/>
            </w:tcBorders>
          </w:tcPr>
          <w:p w14:paraId="5FB805CC" w14:textId="77777777" w:rsidR="00A502AC" w:rsidRDefault="00A502AC" w:rsidP="00444693">
            <w:pPr>
              <w:pStyle w:val="TableText"/>
              <w:widowControl w:val="0"/>
              <w:suppressAutoHyphens w:val="0"/>
              <w:spacing w:before="0" w:after="0" w:line="240" w:lineRule="auto"/>
              <w:jc w:val="center"/>
              <w:rPr>
                <w:szCs w:val="17"/>
              </w:rPr>
            </w:pPr>
            <w:r>
              <w:t>5.4</w:t>
            </w:r>
          </w:p>
        </w:tc>
        <w:tc>
          <w:tcPr>
            <w:tcW w:w="496" w:type="pct"/>
            <w:tcBorders>
              <w:bottom w:val="single" w:sz="4" w:space="0" w:color="auto"/>
            </w:tcBorders>
          </w:tcPr>
          <w:p w14:paraId="31C3591F" w14:textId="77777777" w:rsidR="00A502AC" w:rsidRDefault="00A502AC" w:rsidP="00444693">
            <w:pPr>
              <w:pStyle w:val="TableText"/>
              <w:widowControl w:val="0"/>
              <w:suppressAutoHyphens w:val="0"/>
              <w:spacing w:before="0" w:after="0" w:line="240" w:lineRule="auto"/>
              <w:jc w:val="center"/>
            </w:pPr>
            <w:r>
              <w:t>1.9</w:t>
            </w:r>
          </w:p>
        </w:tc>
        <w:tc>
          <w:tcPr>
            <w:tcW w:w="496" w:type="pct"/>
            <w:tcBorders>
              <w:bottom w:val="single" w:sz="4" w:space="0" w:color="auto"/>
            </w:tcBorders>
          </w:tcPr>
          <w:p w14:paraId="2E3ED753" w14:textId="77777777" w:rsidR="00A502AC" w:rsidRPr="00C3293F" w:rsidRDefault="00A502AC" w:rsidP="00444693">
            <w:pPr>
              <w:pStyle w:val="TableText"/>
              <w:widowControl w:val="0"/>
              <w:suppressAutoHyphens w:val="0"/>
              <w:spacing w:before="0" w:after="0" w:line="240" w:lineRule="auto"/>
              <w:jc w:val="center"/>
            </w:pPr>
            <w:r>
              <w:t>1130</w:t>
            </w:r>
          </w:p>
        </w:tc>
        <w:tc>
          <w:tcPr>
            <w:tcW w:w="497" w:type="pct"/>
            <w:tcBorders>
              <w:bottom w:val="single" w:sz="4" w:space="0" w:color="auto"/>
            </w:tcBorders>
          </w:tcPr>
          <w:p w14:paraId="3BD7558F"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27611D" w14:paraId="5A573D40" w14:textId="77777777" w:rsidTr="00444693">
        <w:trPr>
          <w:cantSplit/>
          <w:trHeight w:val="13"/>
        </w:trPr>
        <w:tc>
          <w:tcPr>
            <w:tcW w:w="882" w:type="pct"/>
            <w:vMerge w:val="restart"/>
            <w:tcBorders>
              <w:bottom w:val="single" w:sz="4" w:space="0" w:color="auto"/>
            </w:tcBorders>
          </w:tcPr>
          <w:p w14:paraId="6A5B28D3" w14:textId="77777777" w:rsidR="00A502AC" w:rsidRDefault="00A502AC" w:rsidP="00444693">
            <w:pPr>
              <w:pStyle w:val="TableText"/>
              <w:widowControl w:val="0"/>
              <w:suppressAutoHyphens w:val="0"/>
              <w:spacing w:before="0" w:after="0" w:line="240" w:lineRule="auto"/>
              <w:rPr>
                <w:szCs w:val="17"/>
              </w:rPr>
            </w:pPr>
            <w:r>
              <w:rPr>
                <w:szCs w:val="17"/>
              </w:rPr>
              <w:t>General weed control in industrial vegetation management, pasture, public service areas, rights of way</w:t>
            </w:r>
          </w:p>
        </w:tc>
        <w:tc>
          <w:tcPr>
            <w:tcW w:w="662" w:type="pct"/>
            <w:vMerge w:val="restart"/>
            <w:tcBorders>
              <w:bottom w:val="single" w:sz="4" w:space="0" w:color="auto"/>
            </w:tcBorders>
          </w:tcPr>
          <w:p w14:paraId="463A1ACB" w14:textId="77777777" w:rsidR="00A502AC" w:rsidRDefault="00A502AC" w:rsidP="00444693">
            <w:pPr>
              <w:pStyle w:val="TableText"/>
              <w:widowControl w:val="0"/>
              <w:suppressAutoHyphens w:val="0"/>
              <w:spacing w:before="0" w:after="0" w:line="240" w:lineRule="auto"/>
              <w:rPr>
                <w:szCs w:val="17"/>
              </w:rPr>
            </w:pPr>
            <w:r>
              <w:rPr>
                <w:szCs w:val="17"/>
              </w:rPr>
              <w:t>Grassland</w:t>
            </w:r>
          </w:p>
        </w:tc>
        <w:tc>
          <w:tcPr>
            <w:tcW w:w="809" w:type="pct"/>
            <w:tcBorders>
              <w:top w:val="single" w:sz="4" w:space="0" w:color="auto"/>
            </w:tcBorders>
          </w:tcPr>
          <w:p w14:paraId="3E22A60D" w14:textId="77777777" w:rsidR="00A502AC" w:rsidRDefault="00A502AC" w:rsidP="00444693">
            <w:pPr>
              <w:pStyle w:val="TableText"/>
              <w:widowControl w:val="0"/>
              <w:suppressAutoHyphens w:val="0"/>
              <w:spacing w:before="0" w:after="0" w:line="240" w:lineRule="auto"/>
              <w:rPr>
                <w:szCs w:val="17"/>
              </w:rPr>
            </w:pPr>
            <w:r w:rsidRPr="00B6513E">
              <w:rPr>
                <w:szCs w:val="17"/>
              </w:rPr>
              <w:t>Small herbivore</w:t>
            </w:r>
          </w:p>
        </w:tc>
        <w:tc>
          <w:tcPr>
            <w:tcW w:w="662" w:type="pct"/>
            <w:tcBorders>
              <w:top w:val="single" w:sz="4" w:space="0" w:color="auto"/>
            </w:tcBorders>
          </w:tcPr>
          <w:p w14:paraId="5249256D" w14:textId="77777777" w:rsidR="00A502AC" w:rsidRDefault="00A502AC" w:rsidP="00444693">
            <w:pPr>
              <w:pStyle w:val="TableText"/>
              <w:widowControl w:val="0"/>
              <w:suppressAutoHyphens w:val="0"/>
              <w:spacing w:before="0" w:after="0" w:line="240" w:lineRule="auto"/>
              <w:rPr>
                <w:szCs w:val="17"/>
              </w:rPr>
            </w:pPr>
            <w:r>
              <w:rPr>
                <w:szCs w:val="17"/>
              </w:rPr>
              <w:t>All season</w:t>
            </w:r>
          </w:p>
        </w:tc>
        <w:tc>
          <w:tcPr>
            <w:tcW w:w="496" w:type="pct"/>
            <w:tcBorders>
              <w:top w:val="single" w:sz="4" w:space="0" w:color="auto"/>
            </w:tcBorders>
          </w:tcPr>
          <w:p w14:paraId="5B2DA53B" w14:textId="77777777" w:rsidR="00A502AC" w:rsidRDefault="00A502AC" w:rsidP="00444693">
            <w:pPr>
              <w:pStyle w:val="TableText"/>
              <w:widowControl w:val="0"/>
              <w:suppressAutoHyphens w:val="0"/>
              <w:spacing w:before="0" w:after="0" w:line="240" w:lineRule="auto"/>
              <w:jc w:val="center"/>
            </w:pPr>
            <w:r>
              <w:t>136.4</w:t>
            </w:r>
          </w:p>
        </w:tc>
        <w:tc>
          <w:tcPr>
            <w:tcW w:w="496" w:type="pct"/>
            <w:tcBorders>
              <w:top w:val="single" w:sz="4" w:space="0" w:color="auto"/>
            </w:tcBorders>
          </w:tcPr>
          <w:p w14:paraId="0128B216" w14:textId="77777777" w:rsidR="00A502AC" w:rsidRPr="004A0A88" w:rsidRDefault="00A502AC" w:rsidP="00444693">
            <w:pPr>
              <w:pStyle w:val="TableText"/>
              <w:widowControl w:val="0"/>
              <w:suppressAutoHyphens w:val="0"/>
              <w:spacing w:before="0" w:after="0" w:line="240" w:lineRule="auto"/>
              <w:jc w:val="center"/>
            </w:pPr>
            <w:r>
              <w:t>72.3</w:t>
            </w:r>
          </w:p>
        </w:tc>
        <w:tc>
          <w:tcPr>
            <w:tcW w:w="496" w:type="pct"/>
            <w:tcBorders>
              <w:top w:val="single" w:sz="4" w:space="0" w:color="auto"/>
            </w:tcBorders>
            <w:shd w:val="clear" w:color="auto" w:fill="FF0000"/>
          </w:tcPr>
          <w:p w14:paraId="1144ADD1"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45</w:t>
            </w:r>
          </w:p>
        </w:tc>
        <w:tc>
          <w:tcPr>
            <w:tcW w:w="497" w:type="pct"/>
            <w:tcBorders>
              <w:top w:val="single" w:sz="4" w:space="0" w:color="auto"/>
            </w:tcBorders>
            <w:shd w:val="clear" w:color="auto" w:fill="FF0000"/>
          </w:tcPr>
          <w:p w14:paraId="12CCEAC5" w14:textId="77777777" w:rsidR="00A502AC" w:rsidRPr="0027611D" w:rsidRDefault="00A502AC" w:rsidP="00444693">
            <w:pPr>
              <w:pStyle w:val="TableText"/>
              <w:widowControl w:val="0"/>
              <w:suppressAutoHyphens w:val="0"/>
              <w:spacing w:before="0" w:after="0" w:line="240" w:lineRule="auto"/>
              <w:jc w:val="center"/>
              <w:rPr>
                <w:b/>
                <w:bCs/>
              </w:rPr>
            </w:pPr>
            <w:r w:rsidRPr="0027611D">
              <w:rPr>
                <w:b/>
                <w:bCs/>
              </w:rPr>
              <w:t>200</w:t>
            </w:r>
          </w:p>
        </w:tc>
      </w:tr>
      <w:tr w:rsidR="00A502AC" w:rsidRPr="0027611D" w14:paraId="5A1BFA8E" w14:textId="77777777" w:rsidTr="00444693">
        <w:trPr>
          <w:cantSplit/>
          <w:trHeight w:val="13"/>
        </w:trPr>
        <w:tc>
          <w:tcPr>
            <w:tcW w:w="882" w:type="pct"/>
            <w:vMerge/>
            <w:tcBorders>
              <w:bottom w:val="single" w:sz="4" w:space="0" w:color="auto"/>
            </w:tcBorders>
          </w:tcPr>
          <w:p w14:paraId="5FD5B2DA"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43B3B40" w14:textId="77777777" w:rsidR="00A502AC" w:rsidRDefault="00A502AC" w:rsidP="00444693">
            <w:pPr>
              <w:pStyle w:val="TableText"/>
              <w:widowControl w:val="0"/>
              <w:suppressAutoHyphens w:val="0"/>
              <w:spacing w:before="0" w:after="0" w:line="240" w:lineRule="auto"/>
              <w:rPr>
                <w:szCs w:val="17"/>
              </w:rPr>
            </w:pPr>
          </w:p>
        </w:tc>
        <w:tc>
          <w:tcPr>
            <w:tcW w:w="809" w:type="pct"/>
          </w:tcPr>
          <w:p w14:paraId="0F5CC8DD" w14:textId="77777777" w:rsidR="00A502AC" w:rsidRPr="00B6513E" w:rsidRDefault="00A502AC" w:rsidP="00444693">
            <w:pPr>
              <w:pStyle w:val="TableText"/>
              <w:widowControl w:val="0"/>
              <w:suppressAutoHyphens w:val="0"/>
              <w:spacing w:before="0" w:after="0" w:line="240" w:lineRule="auto"/>
              <w:rPr>
                <w:szCs w:val="17"/>
              </w:rPr>
            </w:pPr>
            <w:r>
              <w:rPr>
                <w:szCs w:val="17"/>
              </w:rPr>
              <w:t>Large herbivore</w:t>
            </w:r>
          </w:p>
        </w:tc>
        <w:tc>
          <w:tcPr>
            <w:tcW w:w="662" w:type="pct"/>
          </w:tcPr>
          <w:p w14:paraId="75928C1E" w14:textId="77777777" w:rsidR="00A502AC" w:rsidRDefault="00A502AC" w:rsidP="00444693">
            <w:pPr>
              <w:pStyle w:val="TableText"/>
              <w:widowControl w:val="0"/>
              <w:suppressAutoHyphens w:val="0"/>
              <w:spacing w:before="0" w:after="0" w:line="240" w:lineRule="auto"/>
              <w:rPr>
                <w:szCs w:val="17"/>
              </w:rPr>
            </w:pPr>
            <w:r>
              <w:rPr>
                <w:szCs w:val="17"/>
              </w:rPr>
              <w:t>All season</w:t>
            </w:r>
          </w:p>
        </w:tc>
        <w:tc>
          <w:tcPr>
            <w:tcW w:w="496" w:type="pct"/>
          </w:tcPr>
          <w:p w14:paraId="12163FD4" w14:textId="77777777" w:rsidR="00A502AC" w:rsidRDefault="00A502AC" w:rsidP="00444693">
            <w:pPr>
              <w:pStyle w:val="TableText"/>
              <w:widowControl w:val="0"/>
              <w:suppressAutoHyphens w:val="0"/>
              <w:spacing w:before="0" w:after="0" w:line="240" w:lineRule="auto"/>
              <w:jc w:val="center"/>
            </w:pPr>
            <w:r>
              <w:t>32.6</w:t>
            </w:r>
          </w:p>
        </w:tc>
        <w:tc>
          <w:tcPr>
            <w:tcW w:w="496" w:type="pct"/>
          </w:tcPr>
          <w:p w14:paraId="7A9B7543" w14:textId="77777777" w:rsidR="00A502AC" w:rsidRPr="004A0A88" w:rsidRDefault="00A502AC" w:rsidP="00444693">
            <w:pPr>
              <w:pStyle w:val="TableText"/>
              <w:widowControl w:val="0"/>
              <w:suppressAutoHyphens w:val="0"/>
              <w:spacing w:before="0" w:after="0" w:line="240" w:lineRule="auto"/>
              <w:jc w:val="center"/>
            </w:pPr>
            <w:r>
              <w:t>17.3</w:t>
            </w:r>
          </w:p>
        </w:tc>
        <w:tc>
          <w:tcPr>
            <w:tcW w:w="496" w:type="pct"/>
            <w:shd w:val="clear" w:color="auto" w:fill="FF0000"/>
          </w:tcPr>
          <w:p w14:paraId="38EE95F5"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187</w:t>
            </w:r>
          </w:p>
        </w:tc>
        <w:tc>
          <w:tcPr>
            <w:tcW w:w="497" w:type="pct"/>
            <w:shd w:val="clear" w:color="auto" w:fill="FF0000"/>
          </w:tcPr>
          <w:p w14:paraId="33FBB358" w14:textId="77777777" w:rsidR="00A502AC" w:rsidRPr="0027611D" w:rsidRDefault="00A502AC" w:rsidP="00444693">
            <w:pPr>
              <w:pStyle w:val="TableText"/>
              <w:widowControl w:val="0"/>
              <w:suppressAutoHyphens w:val="0"/>
              <w:spacing w:before="0" w:after="0" w:line="240" w:lineRule="auto"/>
              <w:jc w:val="center"/>
              <w:rPr>
                <w:b/>
                <w:bCs/>
              </w:rPr>
            </w:pPr>
            <w:r w:rsidRPr="0027611D">
              <w:rPr>
                <w:b/>
                <w:bCs/>
              </w:rPr>
              <w:t>834</w:t>
            </w:r>
          </w:p>
        </w:tc>
      </w:tr>
      <w:tr w:rsidR="00A502AC" w:rsidRPr="00C3293F" w14:paraId="71587B75" w14:textId="77777777" w:rsidTr="00444693">
        <w:trPr>
          <w:cantSplit/>
          <w:trHeight w:val="13"/>
        </w:trPr>
        <w:tc>
          <w:tcPr>
            <w:tcW w:w="882" w:type="pct"/>
            <w:vMerge/>
            <w:tcBorders>
              <w:bottom w:val="single" w:sz="4" w:space="0" w:color="auto"/>
            </w:tcBorders>
          </w:tcPr>
          <w:p w14:paraId="7E67ED47"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7406B8DF" w14:textId="77777777" w:rsidR="00A502AC" w:rsidRDefault="00A502AC" w:rsidP="00444693">
            <w:pPr>
              <w:pStyle w:val="TableText"/>
              <w:widowControl w:val="0"/>
              <w:suppressAutoHyphens w:val="0"/>
              <w:spacing w:before="0" w:after="0" w:line="240" w:lineRule="auto"/>
              <w:rPr>
                <w:szCs w:val="17"/>
              </w:rPr>
            </w:pPr>
          </w:p>
        </w:tc>
        <w:tc>
          <w:tcPr>
            <w:tcW w:w="809" w:type="pct"/>
          </w:tcPr>
          <w:p w14:paraId="40EF3B6C" w14:textId="77777777" w:rsidR="00A502AC" w:rsidRPr="00B6513E"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34C7742E" w14:textId="77777777" w:rsidR="00A502AC" w:rsidRDefault="00A502AC" w:rsidP="00444693">
            <w:pPr>
              <w:pStyle w:val="TableText"/>
              <w:widowControl w:val="0"/>
              <w:suppressAutoHyphens w:val="0"/>
              <w:spacing w:before="0" w:after="0" w:line="240" w:lineRule="auto"/>
              <w:rPr>
                <w:szCs w:val="17"/>
              </w:rPr>
            </w:pPr>
            <w:r>
              <w:rPr>
                <w:szCs w:val="17"/>
              </w:rPr>
              <w:t>New sown or late season</w:t>
            </w:r>
          </w:p>
        </w:tc>
        <w:tc>
          <w:tcPr>
            <w:tcW w:w="496" w:type="pct"/>
          </w:tcPr>
          <w:p w14:paraId="62C0C94C" w14:textId="77777777" w:rsidR="00A502AC" w:rsidRDefault="00A502AC" w:rsidP="00444693">
            <w:pPr>
              <w:pStyle w:val="TableText"/>
              <w:widowControl w:val="0"/>
              <w:suppressAutoHyphens w:val="0"/>
              <w:spacing w:before="0" w:after="0" w:line="240" w:lineRule="auto"/>
              <w:jc w:val="center"/>
            </w:pPr>
            <w:r>
              <w:t>14.4</w:t>
            </w:r>
          </w:p>
        </w:tc>
        <w:tc>
          <w:tcPr>
            <w:tcW w:w="496" w:type="pct"/>
          </w:tcPr>
          <w:p w14:paraId="18F7587B" w14:textId="77777777" w:rsidR="00A502AC" w:rsidRPr="004A0A88" w:rsidRDefault="00A502AC" w:rsidP="00444693">
            <w:pPr>
              <w:pStyle w:val="TableText"/>
              <w:widowControl w:val="0"/>
              <w:suppressAutoHyphens w:val="0"/>
              <w:spacing w:before="0" w:after="0" w:line="240" w:lineRule="auto"/>
              <w:jc w:val="center"/>
            </w:pPr>
            <w:r>
              <w:t>6.6</w:t>
            </w:r>
          </w:p>
        </w:tc>
        <w:tc>
          <w:tcPr>
            <w:tcW w:w="496" w:type="pct"/>
            <w:shd w:val="clear" w:color="auto" w:fill="FF0000"/>
          </w:tcPr>
          <w:p w14:paraId="640A216D"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424</w:t>
            </w:r>
          </w:p>
        </w:tc>
        <w:tc>
          <w:tcPr>
            <w:tcW w:w="497" w:type="pct"/>
          </w:tcPr>
          <w:p w14:paraId="73B13C05" w14:textId="77777777" w:rsidR="00A502AC" w:rsidRPr="00C3293F" w:rsidRDefault="00A502AC" w:rsidP="00444693">
            <w:pPr>
              <w:pStyle w:val="TableText"/>
              <w:widowControl w:val="0"/>
              <w:suppressAutoHyphens w:val="0"/>
              <w:spacing w:before="0" w:after="0" w:line="240" w:lineRule="auto"/>
              <w:jc w:val="center"/>
            </w:pPr>
            <w:r w:rsidRPr="005278D3">
              <w:t>2186</w:t>
            </w:r>
          </w:p>
        </w:tc>
      </w:tr>
      <w:tr w:rsidR="00A502AC" w:rsidRPr="00C3293F" w14:paraId="2D93E7D8" w14:textId="77777777" w:rsidTr="00444693">
        <w:trPr>
          <w:cantSplit/>
          <w:trHeight w:val="13"/>
        </w:trPr>
        <w:tc>
          <w:tcPr>
            <w:tcW w:w="882" w:type="pct"/>
            <w:vMerge/>
            <w:tcBorders>
              <w:bottom w:val="single" w:sz="4" w:space="0" w:color="auto"/>
            </w:tcBorders>
          </w:tcPr>
          <w:p w14:paraId="6A852A38"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11B183C8"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62195689" w14:textId="77777777" w:rsidR="00A502AC" w:rsidRPr="00B6513E" w:rsidRDefault="00A502AC" w:rsidP="00444693">
            <w:pPr>
              <w:pStyle w:val="TableText"/>
              <w:widowControl w:val="0"/>
              <w:suppressAutoHyphens w:val="0"/>
              <w:spacing w:before="0" w:after="0" w:line="240" w:lineRule="auto"/>
              <w:rPr>
                <w:szCs w:val="17"/>
              </w:rPr>
            </w:pPr>
            <w:r w:rsidRPr="00336DF4">
              <w:rPr>
                <w:szCs w:val="17"/>
              </w:rPr>
              <w:t>Small insectivore</w:t>
            </w:r>
          </w:p>
        </w:tc>
        <w:tc>
          <w:tcPr>
            <w:tcW w:w="662" w:type="pct"/>
            <w:tcBorders>
              <w:bottom w:val="single" w:sz="4" w:space="0" w:color="auto"/>
            </w:tcBorders>
          </w:tcPr>
          <w:p w14:paraId="0119BF88" w14:textId="77777777" w:rsidR="00A502AC" w:rsidRDefault="00A502AC" w:rsidP="00444693">
            <w:pPr>
              <w:pStyle w:val="TableText"/>
              <w:widowControl w:val="0"/>
              <w:suppressAutoHyphens w:val="0"/>
              <w:spacing w:before="0" w:after="0" w:line="240" w:lineRule="auto"/>
              <w:rPr>
                <w:szCs w:val="17"/>
              </w:rPr>
            </w:pPr>
            <w:r>
              <w:rPr>
                <w:szCs w:val="17"/>
              </w:rPr>
              <w:t>Late season</w:t>
            </w:r>
          </w:p>
        </w:tc>
        <w:tc>
          <w:tcPr>
            <w:tcW w:w="496" w:type="pct"/>
            <w:tcBorders>
              <w:bottom w:val="single" w:sz="4" w:space="0" w:color="auto"/>
            </w:tcBorders>
          </w:tcPr>
          <w:p w14:paraId="53D57E40" w14:textId="77777777" w:rsidR="00A502AC" w:rsidRDefault="00A502AC" w:rsidP="00444693">
            <w:pPr>
              <w:pStyle w:val="TableText"/>
              <w:widowControl w:val="0"/>
              <w:suppressAutoHyphens w:val="0"/>
              <w:spacing w:before="0" w:after="0" w:line="240" w:lineRule="auto"/>
              <w:jc w:val="center"/>
            </w:pPr>
            <w:r>
              <w:t>5.4</w:t>
            </w:r>
          </w:p>
        </w:tc>
        <w:tc>
          <w:tcPr>
            <w:tcW w:w="496" w:type="pct"/>
            <w:tcBorders>
              <w:bottom w:val="single" w:sz="4" w:space="0" w:color="auto"/>
            </w:tcBorders>
          </w:tcPr>
          <w:p w14:paraId="40593FC8" w14:textId="77777777" w:rsidR="00A502AC" w:rsidRPr="004A0A88" w:rsidRDefault="00A502AC" w:rsidP="00444693">
            <w:pPr>
              <w:pStyle w:val="TableText"/>
              <w:widowControl w:val="0"/>
              <w:suppressAutoHyphens w:val="0"/>
              <w:spacing w:before="0" w:after="0" w:line="240" w:lineRule="auto"/>
              <w:jc w:val="center"/>
            </w:pPr>
            <w:r>
              <w:t>1.9</w:t>
            </w:r>
          </w:p>
        </w:tc>
        <w:tc>
          <w:tcPr>
            <w:tcW w:w="496" w:type="pct"/>
            <w:tcBorders>
              <w:bottom w:val="single" w:sz="4" w:space="0" w:color="auto"/>
            </w:tcBorders>
            <w:shd w:val="clear" w:color="auto" w:fill="FF0000"/>
          </w:tcPr>
          <w:p w14:paraId="3AF0BB7D"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1130</w:t>
            </w:r>
          </w:p>
        </w:tc>
        <w:tc>
          <w:tcPr>
            <w:tcW w:w="497" w:type="pct"/>
            <w:tcBorders>
              <w:bottom w:val="single" w:sz="4" w:space="0" w:color="auto"/>
            </w:tcBorders>
          </w:tcPr>
          <w:p w14:paraId="40559076"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C3293F" w14:paraId="321223C8" w14:textId="77777777" w:rsidTr="00444693">
        <w:trPr>
          <w:cantSplit/>
          <w:trHeight w:val="13"/>
        </w:trPr>
        <w:tc>
          <w:tcPr>
            <w:tcW w:w="882" w:type="pct"/>
            <w:vMerge w:val="restart"/>
            <w:tcBorders>
              <w:bottom w:val="single" w:sz="4" w:space="0" w:color="auto"/>
            </w:tcBorders>
          </w:tcPr>
          <w:p w14:paraId="1E320F4E" w14:textId="77777777" w:rsidR="00A502AC" w:rsidRDefault="00A502AC" w:rsidP="00444693">
            <w:pPr>
              <w:pStyle w:val="TableText"/>
              <w:widowControl w:val="0"/>
              <w:suppressAutoHyphens w:val="0"/>
              <w:spacing w:before="0" w:after="0" w:line="240" w:lineRule="auto"/>
              <w:rPr>
                <w:szCs w:val="17"/>
              </w:rPr>
            </w:pPr>
            <w:r>
              <w:t>General weed control in lucerne (ungrazed before application)</w:t>
            </w:r>
          </w:p>
        </w:tc>
        <w:tc>
          <w:tcPr>
            <w:tcW w:w="662" w:type="pct"/>
            <w:vMerge w:val="restart"/>
            <w:tcBorders>
              <w:bottom w:val="single" w:sz="4" w:space="0" w:color="auto"/>
            </w:tcBorders>
          </w:tcPr>
          <w:p w14:paraId="0181E1E8" w14:textId="77777777" w:rsidR="00A502AC" w:rsidRDefault="00A502AC" w:rsidP="00444693">
            <w:pPr>
              <w:pStyle w:val="TableText"/>
              <w:widowControl w:val="0"/>
              <w:suppressAutoHyphens w:val="0"/>
              <w:spacing w:before="0" w:after="0" w:line="240" w:lineRule="auto"/>
              <w:rPr>
                <w:szCs w:val="17"/>
              </w:rPr>
            </w:pPr>
            <w:r>
              <w:rPr>
                <w:szCs w:val="17"/>
              </w:rPr>
              <w:t>Legume forage</w:t>
            </w:r>
          </w:p>
        </w:tc>
        <w:tc>
          <w:tcPr>
            <w:tcW w:w="809" w:type="pct"/>
            <w:tcBorders>
              <w:top w:val="single" w:sz="4" w:space="0" w:color="auto"/>
            </w:tcBorders>
          </w:tcPr>
          <w:p w14:paraId="6EC42817" w14:textId="77777777" w:rsidR="00A502AC" w:rsidRPr="00B6513E" w:rsidRDefault="00A502AC" w:rsidP="00444693">
            <w:pPr>
              <w:pStyle w:val="TableText"/>
              <w:widowControl w:val="0"/>
              <w:suppressAutoHyphens w:val="0"/>
              <w:spacing w:before="0" w:after="0" w:line="240" w:lineRule="auto"/>
              <w:rPr>
                <w:szCs w:val="17"/>
              </w:rPr>
            </w:pPr>
            <w:r>
              <w:rPr>
                <w:szCs w:val="17"/>
              </w:rPr>
              <w:t>Small herbivore</w:t>
            </w:r>
          </w:p>
        </w:tc>
        <w:tc>
          <w:tcPr>
            <w:tcW w:w="662" w:type="pct"/>
            <w:tcBorders>
              <w:top w:val="single" w:sz="4" w:space="0" w:color="auto"/>
            </w:tcBorders>
          </w:tcPr>
          <w:p w14:paraId="7642FE01"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96" w:type="pct"/>
            <w:tcBorders>
              <w:top w:val="single" w:sz="4" w:space="0" w:color="auto"/>
            </w:tcBorders>
          </w:tcPr>
          <w:p w14:paraId="0317574A" w14:textId="77777777" w:rsidR="00A502AC" w:rsidRDefault="00A502AC" w:rsidP="00444693">
            <w:pPr>
              <w:pStyle w:val="TableText"/>
              <w:widowControl w:val="0"/>
              <w:suppressAutoHyphens w:val="0"/>
              <w:spacing w:before="0" w:after="0" w:line="240" w:lineRule="auto"/>
              <w:jc w:val="center"/>
            </w:pPr>
            <w:r>
              <w:t>40.9</w:t>
            </w:r>
          </w:p>
        </w:tc>
        <w:tc>
          <w:tcPr>
            <w:tcW w:w="496" w:type="pct"/>
            <w:tcBorders>
              <w:top w:val="single" w:sz="4" w:space="0" w:color="auto"/>
            </w:tcBorders>
          </w:tcPr>
          <w:p w14:paraId="317C6D27" w14:textId="77777777" w:rsidR="00A502AC" w:rsidRPr="004A0A88" w:rsidRDefault="00A502AC" w:rsidP="00444693">
            <w:pPr>
              <w:pStyle w:val="TableText"/>
              <w:widowControl w:val="0"/>
              <w:suppressAutoHyphens w:val="0"/>
              <w:spacing w:before="0" w:after="0" w:line="240" w:lineRule="auto"/>
              <w:jc w:val="center"/>
            </w:pPr>
            <w:r>
              <w:t>21.7</w:t>
            </w:r>
          </w:p>
        </w:tc>
        <w:tc>
          <w:tcPr>
            <w:tcW w:w="496" w:type="pct"/>
            <w:tcBorders>
              <w:top w:val="single" w:sz="4" w:space="0" w:color="auto"/>
            </w:tcBorders>
            <w:shd w:val="clear" w:color="auto" w:fill="FF0000"/>
          </w:tcPr>
          <w:p w14:paraId="0D743EA6"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149</w:t>
            </w:r>
          </w:p>
        </w:tc>
        <w:tc>
          <w:tcPr>
            <w:tcW w:w="497" w:type="pct"/>
            <w:tcBorders>
              <w:top w:val="single" w:sz="4" w:space="0" w:color="auto"/>
            </w:tcBorders>
          </w:tcPr>
          <w:p w14:paraId="3F9429BE" w14:textId="77777777" w:rsidR="00A502AC" w:rsidRPr="00C3293F" w:rsidRDefault="00A502AC" w:rsidP="00444693">
            <w:pPr>
              <w:pStyle w:val="TableText"/>
              <w:widowControl w:val="0"/>
              <w:suppressAutoHyphens w:val="0"/>
              <w:spacing w:before="0" w:after="0" w:line="240" w:lineRule="auto"/>
              <w:jc w:val="center"/>
            </w:pPr>
            <w:r w:rsidRPr="005278D3">
              <w:t>665</w:t>
            </w:r>
          </w:p>
        </w:tc>
      </w:tr>
      <w:tr w:rsidR="00A502AC" w:rsidRPr="00C3293F" w14:paraId="64688454" w14:textId="77777777" w:rsidTr="00444693">
        <w:trPr>
          <w:cantSplit/>
          <w:trHeight w:val="13"/>
        </w:trPr>
        <w:tc>
          <w:tcPr>
            <w:tcW w:w="882" w:type="pct"/>
            <w:vMerge/>
            <w:tcBorders>
              <w:bottom w:val="single" w:sz="4" w:space="0" w:color="auto"/>
            </w:tcBorders>
          </w:tcPr>
          <w:p w14:paraId="7CF38D9D"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68CB7B3" w14:textId="77777777" w:rsidR="00A502AC" w:rsidRDefault="00A502AC" w:rsidP="00444693">
            <w:pPr>
              <w:pStyle w:val="TableText"/>
              <w:widowControl w:val="0"/>
              <w:suppressAutoHyphens w:val="0"/>
              <w:spacing w:before="0" w:after="0" w:line="240" w:lineRule="auto"/>
              <w:rPr>
                <w:szCs w:val="17"/>
              </w:rPr>
            </w:pPr>
          </w:p>
        </w:tc>
        <w:tc>
          <w:tcPr>
            <w:tcW w:w="809" w:type="pct"/>
          </w:tcPr>
          <w:p w14:paraId="7F7004A6" w14:textId="77777777" w:rsidR="00A502AC" w:rsidRPr="00B6513E"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076F3E1B"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96" w:type="pct"/>
          </w:tcPr>
          <w:p w14:paraId="51AE5791" w14:textId="77777777" w:rsidR="00A502AC" w:rsidRDefault="00A502AC" w:rsidP="00444693">
            <w:pPr>
              <w:pStyle w:val="TableText"/>
              <w:widowControl w:val="0"/>
              <w:suppressAutoHyphens w:val="0"/>
              <w:spacing w:before="0" w:after="0" w:line="240" w:lineRule="auto"/>
              <w:jc w:val="center"/>
            </w:pPr>
            <w:r>
              <w:t>5.2</w:t>
            </w:r>
          </w:p>
        </w:tc>
        <w:tc>
          <w:tcPr>
            <w:tcW w:w="496" w:type="pct"/>
          </w:tcPr>
          <w:p w14:paraId="286233A3" w14:textId="77777777" w:rsidR="00A502AC" w:rsidRPr="004A0A88" w:rsidRDefault="00A502AC" w:rsidP="00444693">
            <w:pPr>
              <w:pStyle w:val="TableText"/>
              <w:widowControl w:val="0"/>
              <w:suppressAutoHyphens w:val="0"/>
              <w:spacing w:before="0" w:after="0" w:line="240" w:lineRule="auto"/>
              <w:jc w:val="center"/>
            </w:pPr>
            <w:r>
              <w:t>2.3</w:t>
            </w:r>
          </w:p>
        </w:tc>
        <w:tc>
          <w:tcPr>
            <w:tcW w:w="496" w:type="pct"/>
          </w:tcPr>
          <w:p w14:paraId="5A63C583" w14:textId="77777777" w:rsidR="00A502AC" w:rsidRPr="00C3293F" w:rsidRDefault="00A502AC" w:rsidP="00444693">
            <w:pPr>
              <w:pStyle w:val="TableText"/>
              <w:widowControl w:val="0"/>
              <w:suppressAutoHyphens w:val="0"/>
              <w:spacing w:before="0" w:after="0" w:line="240" w:lineRule="auto"/>
              <w:jc w:val="center"/>
            </w:pPr>
            <w:r w:rsidRPr="00496A32">
              <w:t>1173</w:t>
            </w:r>
          </w:p>
        </w:tc>
        <w:tc>
          <w:tcPr>
            <w:tcW w:w="497" w:type="pct"/>
          </w:tcPr>
          <w:p w14:paraId="409D0F80" w14:textId="77777777" w:rsidR="00A502AC" w:rsidRPr="00C3293F" w:rsidRDefault="00A502AC" w:rsidP="00444693">
            <w:pPr>
              <w:pStyle w:val="TableText"/>
              <w:widowControl w:val="0"/>
              <w:suppressAutoHyphens w:val="0"/>
              <w:spacing w:before="0" w:after="0" w:line="240" w:lineRule="auto"/>
              <w:jc w:val="center"/>
            </w:pPr>
            <w:r w:rsidRPr="005278D3">
              <w:t>6273</w:t>
            </w:r>
          </w:p>
        </w:tc>
      </w:tr>
      <w:tr w:rsidR="00A502AC" w:rsidRPr="00C3293F" w14:paraId="41016F5A" w14:textId="77777777" w:rsidTr="00444693">
        <w:trPr>
          <w:cantSplit/>
          <w:trHeight w:val="13"/>
        </w:trPr>
        <w:tc>
          <w:tcPr>
            <w:tcW w:w="882" w:type="pct"/>
            <w:vMerge/>
            <w:tcBorders>
              <w:bottom w:val="single" w:sz="4" w:space="0" w:color="auto"/>
            </w:tcBorders>
          </w:tcPr>
          <w:p w14:paraId="18A97AC3"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38D74210"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350E34A2" w14:textId="77777777" w:rsidR="00A502AC" w:rsidRDefault="00A502AC" w:rsidP="00444693">
            <w:pPr>
              <w:pStyle w:val="TableText"/>
              <w:widowControl w:val="0"/>
              <w:suppressAutoHyphens w:val="0"/>
              <w:spacing w:before="0" w:after="0" w:line="240" w:lineRule="auto"/>
              <w:rPr>
                <w:szCs w:val="17"/>
              </w:rPr>
            </w:pPr>
            <w:r w:rsidRPr="00336DF4">
              <w:rPr>
                <w:szCs w:val="17"/>
              </w:rPr>
              <w:t>Small insectivore</w:t>
            </w:r>
          </w:p>
        </w:tc>
        <w:tc>
          <w:tcPr>
            <w:tcW w:w="662" w:type="pct"/>
            <w:tcBorders>
              <w:bottom w:val="single" w:sz="4" w:space="0" w:color="auto"/>
            </w:tcBorders>
          </w:tcPr>
          <w:p w14:paraId="7D05F600" w14:textId="77777777" w:rsidR="00A502AC" w:rsidRDefault="00A502AC" w:rsidP="00444693">
            <w:pPr>
              <w:pStyle w:val="TableText"/>
              <w:widowControl w:val="0"/>
              <w:suppressAutoHyphens w:val="0"/>
              <w:spacing w:before="0" w:after="0" w:line="240" w:lineRule="auto"/>
              <w:rPr>
                <w:szCs w:val="17"/>
              </w:rPr>
            </w:pPr>
            <w:r>
              <w:rPr>
                <w:szCs w:val="17"/>
              </w:rPr>
              <w:t>BBCH ≥20</w:t>
            </w:r>
          </w:p>
        </w:tc>
        <w:tc>
          <w:tcPr>
            <w:tcW w:w="496" w:type="pct"/>
            <w:tcBorders>
              <w:bottom w:val="single" w:sz="4" w:space="0" w:color="auto"/>
            </w:tcBorders>
          </w:tcPr>
          <w:p w14:paraId="68BB6551" w14:textId="77777777" w:rsidR="00A502AC" w:rsidRDefault="00A502AC" w:rsidP="00444693">
            <w:pPr>
              <w:pStyle w:val="TableText"/>
              <w:widowControl w:val="0"/>
              <w:suppressAutoHyphens w:val="0"/>
              <w:spacing w:before="0" w:after="0" w:line="240" w:lineRule="auto"/>
              <w:jc w:val="center"/>
            </w:pPr>
            <w:r>
              <w:t>5.4</w:t>
            </w:r>
          </w:p>
        </w:tc>
        <w:tc>
          <w:tcPr>
            <w:tcW w:w="496" w:type="pct"/>
            <w:tcBorders>
              <w:bottom w:val="single" w:sz="4" w:space="0" w:color="auto"/>
            </w:tcBorders>
          </w:tcPr>
          <w:p w14:paraId="782AD66C" w14:textId="77777777" w:rsidR="00A502AC" w:rsidRDefault="00A502AC" w:rsidP="00444693">
            <w:pPr>
              <w:pStyle w:val="TableText"/>
              <w:widowControl w:val="0"/>
              <w:suppressAutoHyphens w:val="0"/>
              <w:spacing w:before="0" w:after="0" w:line="240" w:lineRule="auto"/>
              <w:jc w:val="center"/>
            </w:pPr>
            <w:r>
              <w:t>1.9</w:t>
            </w:r>
          </w:p>
        </w:tc>
        <w:tc>
          <w:tcPr>
            <w:tcW w:w="496" w:type="pct"/>
            <w:tcBorders>
              <w:bottom w:val="single" w:sz="4" w:space="0" w:color="auto"/>
            </w:tcBorders>
          </w:tcPr>
          <w:p w14:paraId="1E70F30F" w14:textId="77777777" w:rsidR="00A502AC" w:rsidRPr="00C3293F" w:rsidRDefault="00A502AC" w:rsidP="00444693">
            <w:pPr>
              <w:pStyle w:val="TableText"/>
              <w:widowControl w:val="0"/>
              <w:suppressAutoHyphens w:val="0"/>
              <w:spacing w:before="0" w:after="0" w:line="240" w:lineRule="auto"/>
              <w:jc w:val="center"/>
            </w:pPr>
            <w:r w:rsidRPr="00496A32">
              <w:t>1130</w:t>
            </w:r>
          </w:p>
        </w:tc>
        <w:tc>
          <w:tcPr>
            <w:tcW w:w="497" w:type="pct"/>
            <w:tcBorders>
              <w:bottom w:val="single" w:sz="4" w:space="0" w:color="auto"/>
            </w:tcBorders>
          </w:tcPr>
          <w:p w14:paraId="6E2949CF"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C3293F" w14:paraId="27EAB3FD" w14:textId="77777777" w:rsidTr="00444693">
        <w:trPr>
          <w:cantSplit/>
          <w:trHeight w:val="13"/>
        </w:trPr>
        <w:tc>
          <w:tcPr>
            <w:tcW w:w="882" w:type="pct"/>
            <w:vMerge w:val="restart"/>
            <w:tcBorders>
              <w:bottom w:val="single" w:sz="4" w:space="0" w:color="auto"/>
            </w:tcBorders>
          </w:tcPr>
          <w:p w14:paraId="6F19B1EC" w14:textId="77777777" w:rsidR="00A502AC" w:rsidRDefault="00A502AC" w:rsidP="00444693">
            <w:pPr>
              <w:pStyle w:val="TableText"/>
              <w:widowControl w:val="0"/>
              <w:suppressAutoHyphens w:val="0"/>
              <w:spacing w:before="0" w:after="0" w:line="240" w:lineRule="auto"/>
              <w:rPr>
                <w:szCs w:val="17"/>
              </w:rPr>
            </w:pPr>
            <w:r>
              <w:t>General weed control in peanuts (BBCH 10-19), lucerne (grazed before application)</w:t>
            </w:r>
          </w:p>
        </w:tc>
        <w:tc>
          <w:tcPr>
            <w:tcW w:w="662" w:type="pct"/>
            <w:vMerge w:val="restart"/>
            <w:tcBorders>
              <w:bottom w:val="single" w:sz="4" w:space="0" w:color="auto"/>
            </w:tcBorders>
          </w:tcPr>
          <w:p w14:paraId="47CBAFF5" w14:textId="77777777" w:rsidR="00A502AC" w:rsidRDefault="00A502AC" w:rsidP="00444693">
            <w:pPr>
              <w:pStyle w:val="TableText"/>
              <w:widowControl w:val="0"/>
              <w:suppressAutoHyphens w:val="0"/>
              <w:spacing w:before="0" w:after="0" w:line="240" w:lineRule="auto"/>
              <w:rPr>
                <w:szCs w:val="17"/>
              </w:rPr>
            </w:pPr>
            <w:r>
              <w:rPr>
                <w:szCs w:val="17"/>
              </w:rPr>
              <w:t>Legume forage/pulses</w:t>
            </w:r>
          </w:p>
        </w:tc>
        <w:tc>
          <w:tcPr>
            <w:tcW w:w="809" w:type="pct"/>
            <w:tcBorders>
              <w:top w:val="single" w:sz="4" w:space="0" w:color="auto"/>
            </w:tcBorders>
          </w:tcPr>
          <w:p w14:paraId="6C2A2258"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62" w:type="pct"/>
            <w:tcBorders>
              <w:top w:val="single" w:sz="4" w:space="0" w:color="auto"/>
            </w:tcBorders>
          </w:tcPr>
          <w:p w14:paraId="277469BB" w14:textId="77777777" w:rsidR="00A502AC" w:rsidRDefault="00A502AC" w:rsidP="00444693">
            <w:pPr>
              <w:pStyle w:val="TableText"/>
              <w:widowControl w:val="0"/>
              <w:suppressAutoHyphens w:val="0"/>
              <w:spacing w:before="0" w:after="0" w:line="240" w:lineRule="auto"/>
              <w:rPr>
                <w:szCs w:val="17"/>
              </w:rPr>
            </w:pPr>
            <w:r>
              <w:rPr>
                <w:szCs w:val="17"/>
              </w:rPr>
              <w:t>BBCH 10-49</w:t>
            </w:r>
          </w:p>
        </w:tc>
        <w:tc>
          <w:tcPr>
            <w:tcW w:w="496" w:type="pct"/>
            <w:tcBorders>
              <w:top w:val="single" w:sz="4" w:space="0" w:color="auto"/>
            </w:tcBorders>
          </w:tcPr>
          <w:p w14:paraId="3808E3CE" w14:textId="77777777" w:rsidR="00A502AC" w:rsidRDefault="00A502AC" w:rsidP="00444693">
            <w:pPr>
              <w:pStyle w:val="TableText"/>
              <w:widowControl w:val="0"/>
              <w:suppressAutoHyphens w:val="0"/>
              <w:spacing w:before="0" w:after="0" w:line="240" w:lineRule="auto"/>
              <w:jc w:val="center"/>
            </w:pPr>
            <w:r>
              <w:t>17.2</w:t>
            </w:r>
          </w:p>
        </w:tc>
        <w:tc>
          <w:tcPr>
            <w:tcW w:w="496" w:type="pct"/>
            <w:tcBorders>
              <w:top w:val="single" w:sz="4" w:space="0" w:color="auto"/>
            </w:tcBorders>
          </w:tcPr>
          <w:p w14:paraId="48182A81" w14:textId="77777777" w:rsidR="00A502AC" w:rsidRDefault="00A502AC" w:rsidP="00444693">
            <w:pPr>
              <w:pStyle w:val="TableText"/>
              <w:widowControl w:val="0"/>
              <w:suppressAutoHyphens w:val="0"/>
              <w:spacing w:before="0" w:after="0" w:line="240" w:lineRule="auto"/>
              <w:jc w:val="center"/>
            </w:pPr>
            <w:r>
              <w:t>7.8</w:t>
            </w:r>
          </w:p>
        </w:tc>
        <w:tc>
          <w:tcPr>
            <w:tcW w:w="496" w:type="pct"/>
            <w:tcBorders>
              <w:top w:val="single" w:sz="4" w:space="0" w:color="auto"/>
            </w:tcBorders>
          </w:tcPr>
          <w:p w14:paraId="62237A71" w14:textId="77777777" w:rsidR="00A502AC" w:rsidRPr="00C3293F" w:rsidRDefault="00A502AC" w:rsidP="00444693">
            <w:pPr>
              <w:pStyle w:val="TableText"/>
              <w:widowControl w:val="0"/>
              <w:suppressAutoHyphens w:val="0"/>
              <w:spacing w:before="0" w:after="0" w:line="240" w:lineRule="auto"/>
              <w:jc w:val="center"/>
            </w:pPr>
            <w:r w:rsidRPr="00496A32">
              <w:t>355</w:t>
            </w:r>
          </w:p>
        </w:tc>
        <w:tc>
          <w:tcPr>
            <w:tcW w:w="497" w:type="pct"/>
            <w:tcBorders>
              <w:top w:val="single" w:sz="4" w:space="0" w:color="auto"/>
            </w:tcBorders>
          </w:tcPr>
          <w:p w14:paraId="061D2A41" w14:textId="77777777" w:rsidR="00A502AC" w:rsidRPr="00C3293F" w:rsidRDefault="00A502AC" w:rsidP="00444693">
            <w:pPr>
              <w:pStyle w:val="TableText"/>
              <w:widowControl w:val="0"/>
              <w:suppressAutoHyphens w:val="0"/>
              <w:spacing w:before="0" w:after="0" w:line="240" w:lineRule="auto"/>
              <w:jc w:val="center"/>
            </w:pPr>
            <w:r w:rsidRPr="005278D3">
              <w:t>1850</w:t>
            </w:r>
          </w:p>
        </w:tc>
      </w:tr>
      <w:tr w:rsidR="00A502AC" w:rsidRPr="00C3293F" w14:paraId="51ACC4C4" w14:textId="77777777" w:rsidTr="00444693">
        <w:trPr>
          <w:cantSplit/>
          <w:trHeight w:val="13"/>
        </w:trPr>
        <w:tc>
          <w:tcPr>
            <w:tcW w:w="882" w:type="pct"/>
            <w:vMerge/>
            <w:tcBorders>
              <w:bottom w:val="single" w:sz="4" w:space="0" w:color="auto"/>
            </w:tcBorders>
          </w:tcPr>
          <w:p w14:paraId="7207C979"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FC91B9F"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5135758F" w14:textId="77777777" w:rsidR="00A502AC" w:rsidRDefault="00A502AC" w:rsidP="00444693">
            <w:pPr>
              <w:pStyle w:val="TableText"/>
              <w:widowControl w:val="0"/>
              <w:suppressAutoHyphens w:val="0"/>
              <w:spacing w:before="0" w:after="0" w:line="240" w:lineRule="auto"/>
              <w:rPr>
                <w:szCs w:val="17"/>
              </w:rPr>
            </w:pPr>
            <w:r w:rsidRPr="00336DF4">
              <w:rPr>
                <w:szCs w:val="17"/>
              </w:rPr>
              <w:t>Small insectivore</w:t>
            </w:r>
          </w:p>
        </w:tc>
        <w:tc>
          <w:tcPr>
            <w:tcW w:w="662" w:type="pct"/>
            <w:tcBorders>
              <w:bottom w:val="single" w:sz="4" w:space="0" w:color="auto"/>
            </w:tcBorders>
          </w:tcPr>
          <w:p w14:paraId="0AEBBDC7" w14:textId="77777777" w:rsidR="00A502AC" w:rsidRDefault="00A502AC" w:rsidP="00444693">
            <w:pPr>
              <w:pStyle w:val="TableText"/>
              <w:widowControl w:val="0"/>
              <w:suppressAutoHyphens w:val="0"/>
              <w:spacing w:before="0" w:after="0" w:line="240" w:lineRule="auto"/>
              <w:rPr>
                <w:szCs w:val="17"/>
              </w:rPr>
            </w:pPr>
            <w:r>
              <w:rPr>
                <w:szCs w:val="17"/>
              </w:rPr>
              <w:t>BBCH 10-19</w:t>
            </w:r>
          </w:p>
        </w:tc>
        <w:tc>
          <w:tcPr>
            <w:tcW w:w="496" w:type="pct"/>
            <w:tcBorders>
              <w:bottom w:val="single" w:sz="4" w:space="0" w:color="auto"/>
            </w:tcBorders>
          </w:tcPr>
          <w:p w14:paraId="10DC3212" w14:textId="77777777" w:rsidR="00A502AC" w:rsidRDefault="00A502AC" w:rsidP="00444693">
            <w:pPr>
              <w:pStyle w:val="TableText"/>
              <w:widowControl w:val="0"/>
              <w:suppressAutoHyphens w:val="0"/>
              <w:spacing w:before="0" w:after="0" w:line="240" w:lineRule="auto"/>
              <w:jc w:val="center"/>
            </w:pPr>
            <w:r>
              <w:t>7.6</w:t>
            </w:r>
          </w:p>
        </w:tc>
        <w:tc>
          <w:tcPr>
            <w:tcW w:w="496" w:type="pct"/>
            <w:tcBorders>
              <w:bottom w:val="single" w:sz="4" w:space="0" w:color="auto"/>
            </w:tcBorders>
          </w:tcPr>
          <w:p w14:paraId="6A79878C" w14:textId="77777777" w:rsidR="00A502AC" w:rsidRDefault="00A502AC" w:rsidP="00444693">
            <w:pPr>
              <w:pStyle w:val="TableText"/>
              <w:widowControl w:val="0"/>
              <w:suppressAutoHyphens w:val="0"/>
              <w:spacing w:before="0" w:after="0" w:line="240" w:lineRule="auto"/>
              <w:jc w:val="center"/>
            </w:pPr>
            <w:r>
              <w:t>4.2</w:t>
            </w:r>
          </w:p>
        </w:tc>
        <w:tc>
          <w:tcPr>
            <w:tcW w:w="496" w:type="pct"/>
            <w:tcBorders>
              <w:bottom w:val="single" w:sz="4" w:space="0" w:color="auto"/>
            </w:tcBorders>
          </w:tcPr>
          <w:p w14:paraId="5351E9BD" w14:textId="77777777" w:rsidR="00A502AC" w:rsidRPr="00C3293F" w:rsidRDefault="00A502AC" w:rsidP="00444693">
            <w:pPr>
              <w:pStyle w:val="TableText"/>
              <w:widowControl w:val="0"/>
              <w:suppressAutoHyphens w:val="0"/>
              <w:spacing w:before="0" w:after="0" w:line="240" w:lineRule="auto"/>
              <w:jc w:val="center"/>
            </w:pPr>
            <w:r w:rsidRPr="00496A32">
              <w:t>803</w:t>
            </w:r>
          </w:p>
        </w:tc>
        <w:tc>
          <w:tcPr>
            <w:tcW w:w="497" w:type="pct"/>
            <w:tcBorders>
              <w:bottom w:val="single" w:sz="4" w:space="0" w:color="auto"/>
            </w:tcBorders>
          </w:tcPr>
          <w:p w14:paraId="0880D660" w14:textId="77777777" w:rsidR="00A502AC" w:rsidRPr="00C3293F" w:rsidRDefault="00A502AC" w:rsidP="00444693">
            <w:pPr>
              <w:pStyle w:val="TableText"/>
              <w:widowControl w:val="0"/>
              <w:suppressAutoHyphens w:val="0"/>
              <w:spacing w:before="0" w:after="0" w:line="240" w:lineRule="auto"/>
              <w:jc w:val="center"/>
            </w:pPr>
            <w:r w:rsidRPr="005278D3">
              <w:t>3435</w:t>
            </w:r>
          </w:p>
        </w:tc>
      </w:tr>
      <w:tr w:rsidR="00A502AC" w:rsidRPr="0027611D" w14:paraId="737411E3" w14:textId="77777777" w:rsidTr="00444693">
        <w:trPr>
          <w:cantSplit/>
          <w:trHeight w:val="13"/>
        </w:trPr>
        <w:tc>
          <w:tcPr>
            <w:tcW w:w="882" w:type="pct"/>
            <w:vMerge w:val="restart"/>
            <w:tcBorders>
              <w:bottom w:val="single" w:sz="4" w:space="0" w:color="auto"/>
            </w:tcBorders>
          </w:tcPr>
          <w:p w14:paraId="6C056D44" w14:textId="77777777" w:rsidR="00A502AC" w:rsidRDefault="00A502AC" w:rsidP="00444693">
            <w:pPr>
              <w:pStyle w:val="TableText"/>
              <w:widowControl w:val="0"/>
              <w:suppressAutoHyphens w:val="0"/>
              <w:spacing w:before="0" w:after="0" w:line="240" w:lineRule="auto"/>
              <w:rPr>
                <w:szCs w:val="17"/>
              </w:rPr>
            </w:pPr>
            <w:r>
              <w:t>General weed control in sugarcane (over the top spray and inter-row spray)</w:t>
            </w:r>
          </w:p>
        </w:tc>
        <w:tc>
          <w:tcPr>
            <w:tcW w:w="662" w:type="pct"/>
            <w:vMerge w:val="restart"/>
            <w:tcBorders>
              <w:bottom w:val="single" w:sz="4" w:space="0" w:color="auto"/>
            </w:tcBorders>
          </w:tcPr>
          <w:p w14:paraId="273DB048" w14:textId="77777777" w:rsidR="00A502AC" w:rsidRDefault="00A502AC" w:rsidP="00444693">
            <w:pPr>
              <w:pStyle w:val="TableText"/>
              <w:widowControl w:val="0"/>
              <w:suppressAutoHyphens w:val="0"/>
              <w:spacing w:before="0" w:after="0" w:line="240" w:lineRule="auto"/>
              <w:rPr>
                <w:szCs w:val="17"/>
              </w:rPr>
            </w:pPr>
            <w:r>
              <w:rPr>
                <w:szCs w:val="17"/>
              </w:rPr>
              <w:t>Maize</w:t>
            </w:r>
          </w:p>
        </w:tc>
        <w:tc>
          <w:tcPr>
            <w:tcW w:w="809" w:type="pct"/>
            <w:tcBorders>
              <w:top w:val="single" w:sz="4" w:space="0" w:color="auto"/>
            </w:tcBorders>
          </w:tcPr>
          <w:p w14:paraId="04A08743" w14:textId="77777777" w:rsidR="00A502AC" w:rsidRPr="00336DF4" w:rsidRDefault="00A502AC" w:rsidP="00444693">
            <w:pPr>
              <w:pStyle w:val="TableText"/>
              <w:widowControl w:val="0"/>
              <w:suppressAutoHyphens w:val="0"/>
              <w:spacing w:before="0" w:after="0" w:line="240" w:lineRule="auto"/>
              <w:rPr>
                <w:szCs w:val="17"/>
              </w:rPr>
            </w:pPr>
            <w:r>
              <w:rPr>
                <w:szCs w:val="17"/>
              </w:rPr>
              <w:t>Small herbivore</w:t>
            </w:r>
          </w:p>
        </w:tc>
        <w:tc>
          <w:tcPr>
            <w:tcW w:w="662" w:type="pct"/>
            <w:tcBorders>
              <w:top w:val="single" w:sz="4" w:space="0" w:color="auto"/>
            </w:tcBorders>
          </w:tcPr>
          <w:p w14:paraId="1D71C54C" w14:textId="77777777" w:rsidR="00A502AC" w:rsidRDefault="00A502AC" w:rsidP="00444693">
            <w:pPr>
              <w:pStyle w:val="TableText"/>
              <w:widowControl w:val="0"/>
              <w:suppressAutoHyphens w:val="0"/>
              <w:spacing w:before="0" w:after="0" w:line="240" w:lineRule="auto"/>
              <w:rPr>
                <w:szCs w:val="17"/>
              </w:rPr>
            </w:pPr>
            <w:r>
              <w:rPr>
                <w:szCs w:val="17"/>
              </w:rPr>
              <w:t>BBCH 10-29</w:t>
            </w:r>
          </w:p>
        </w:tc>
        <w:tc>
          <w:tcPr>
            <w:tcW w:w="496" w:type="pct"/>
            <w:tcBorders>
              <w:top w:val="single" w:sz="4" w:space="0" w:color="auto"/>
            </w:tcBorders>
          </w:tcPr>
          <w:p w14:paraId="30AAB1AD" w14:textId="77777777" w:rsidR="00A502AC" w:rsidRDefault="00A502AC" w:rsidP="00444693">
            <w:pPr>
              <w:pStyle w:val="TableText"/>
              <w:widowControl w:val="0"/>
              <w:suppressAutoHyphens w:val="0"/>
              <w:spacing w:before="0" w:after="0" w:line="240" w:lineRule="auto"/>
              <w:jc w:val="center"/>
            </w:pPr>
            <w:r>
              <w:t>136.4</w:t>
            </w:r>
          </w:p>
        </w:tc>
        <w:tc>
          <w:tcPr>
            <w:tcW w:w="496" w:type="pct"/>
            <w:tcBorders>
              <w:top w:val="single" w:sz="4" w:space="0" w:color="auto"/>
            </w:tcBorders>
          </w:tcPr>
          <w:p w14:paraId="1F6F151D" w14:textId="77777777" w:rsidR="00A502AC" w:rsidRDefault="00A502AC" w:rsidP="00444693">
            <w:pPr>
              <w:pStyle w:val="TableText"/>
              <w:widowControl w:val="0"/>
              <w:suppressAutoHyphens w:val="0"/>
              <w:spacing w:before="0" w:after="0" w:line="240" w:lineRule="auto"/>
              <w:jc w:val="center"/>
            </w:pPr>
            <w:r>
              <w:t>72.3</w:t>
            </w:r>
          </w:p>
        </w:tc>
        <w:tc>
          <w:tcPr>
            <w:tcW w:w="496" w:type="pct"/>
            <w:tcBorders>
              <w:top w:val="single" w:sz="4" w:space="0" w:color="auto"/>
            </w:tcBorders>
            <w:shd w:val="clear" w:color="auto" w:fill="FF0000"/>
          </w:tcPr>
          <w:p w14:paraId="0389B628"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45</w:t>
            </w:r>
          </w:p>
        </w:tc>
        <w:tc>
          <w:tcPr>
            <w:tcW w:w="497" w:type="pct"/>
            <w:tcBorders>
              <w:top w:val="single" w:sz="4" w:space="0" w:color="auto"/>
            </w:tcBorders>
            <w:shd w:val="clear" w:color="auto" w:fill="FF0000"/>
          </w:tcPr>
          <w:p w14:paraId="551DCDFC" w14:textId="77777777" w:rsidR="00A502AC" w:rsidRPr="0027611D" w:rsidRDefault="00A502AC" w:rsidP="00444693">
            <w:pPr>
              <w:pStyle w:val="TableText"/>
              <w:widowControl w:val="0"/>
              <w:suppressAutoHyphens w:val="0"/>
              <w:spacing w:before="0" w:after="0" w:line="240" w:lineRule="auto"/>
              <w:jc w:val="center"/>
              <w:rPr>
                <w:b/>
                <w:bCs/>
              </w:rPr>
            </w:pPr>
            <w:r w:rsidRPr="0027611D">
              <w:rPr>
                <w:b/>
                <w:bCs/>
              </w:rPr>
              <w:t>200</w:t>
            </w:r>
          </w:p>
        </w:tc>
      </w:tr>
      <w:tr w:rsidR="00A502AC" w:rsidRPr="00C3293F" w14:paraId="0600FE27" w14:textId="77777777" w:rsidTr="00444693">
        <w:trPr>
          <w:cantSplit/>
          <w:trHeight w:val="13"/>
        </w:trPr>
        <w:tc>
          <w:tcPr>
            <w:tcW w:w="882" w:type="pct"/>
            <w:vMerge/>
            <w:tcBorders>
              <w:bottom w:val="single" w:sz="4" w:space="0" w:color="auto"/>
            </w:tcBorders>
          </w:tcPr>
          <w:p w14:paraId="46DF2D65"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7ADD6650" w14:textId="77777777" w:rsidR="00A502AC" w:rsidRDefault="00A502AC" w:rsidP="00444693">
            <w:pPr>
              <w:pStyle w:val="TableText"/>
              <w:widowControl w:val="0"/>
              <w:suppressAutoHyphens w:val="0"/>
              <w:spacing w:before="0" w:after="0" w:line="240" w:lineRule="auto"/>
              <w:rPr>
                <w:szCs w:val="17"/>
              </w:rPr>
            </w:pPr>
          </w:p>
        </w:tc>
        <w:tc>
          <w:tcPr>
            <w:tcW w:w="809" w:type="pct"/>
          </w:tcPr>
          <w:p w14:paraId="1AAAF71D" w14:textId="77777777" w:rsidR="00A502AC" w:rsidRPr="00336DF4"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2BD6C451" w14:textId="77777777" w:rsidR="00A502AC" w:rsidRDefault="00A502AC" w:rsidP="00444693">
            <w:pPr>
              <w:pStyle w:val="TableText"/>
              <w:widowControl w:val="0"/>
              <w:suppressAutoHyphens w:val="0"/>
              <w:spacing w:before="0" w:after="0" w:line="240" w:lineRule="auto"/>
              <w:rPr>
                <w:szCs w:val="17"/>
              </w:rPr>
            </w:pPr>
            <w:r>
              <w:rPr>
                <w:szCs w:val="17"/>
              </w:rPr>
              <w:t>BBCH 10-29</w:t>
            </w:r>
          </w:p>
        </w:tc>
        <w:tc>
          <w:tcPr>
            <w:tcW w:w="496" w:type="pct"/>
          </w:tcPr>
          <w:p w14:paraId="6936146A" w14:textId="77777777" w:rsidR="00A502AC" w:rsidRDefault="00A502AC" w:rsidP="00444693">
            <w:pPr>
              <w:pStyle w:val="TableText"/>
              <w:widowControl w:val="0"/>
              <w:suppressAutoHyphens w:val="0"/>
              <w:spacing w:before="0" w:after="0" w:line="240" w:lineRule="auto"/>
              <w:jc w:val="center"/>
            </w:pPr>
            <w:r>
              <w:t>17.2</w:t>
            </w:r>
          </w:p>
        </w:tc>
        <w:tc>
          <w:tcPr>
            <w:tcW w:w="496" w:type="pct"/>
          </w:tcPr>
          <w:p w14:paraId="5ABA212A" w14:textId="77777777" w:rsidR="00A502AC" w:rsidRDefault="00A502AC" w:rsidP="00444693">
            <w:pPr>
              <w:pStyle w:val="TableText"/>
              <w:widowControl w:val="0"/>
              <w:suppressAutoHyphens w:val="0"/>
              <w:spacing w:before="0" w:after="0" w:line="240" w:lineRule="auto"/>
              <w:jc w:val="center"/>
            </w:pPr>
            <w:r>
              <w:t>7.8</w:t>
            </w:r>
          </w:p>
        </w:tc>
        <w:tc>
          <w:tcPr>
            <w:tcW w:w="496" w:type="pct"/>
            <w:shd w:val="clear" w:color="auto" w:fill="FF0000"/>
          </w:tcPr>
          <w:p w14:paraId="31972F5C"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355</w:t>
            </w:r>
          </w:p>
        </w:tc>
        <w:tc>
          <w:tcPr>
            <w:tcW w:w="497" w:type="pct"/>
          </w:tcPr>
          <w:p w14:paraId="1000B3DE" w14:textId="77777777" w:rsidR="00A502AC" w:rsidRPr="00C3293F" w:rsidRDefault="00A502AC" w:rsidP="00444693">
            <w:pPr>
              <w:pStyle w:val="TableText"/>
              <w:widowControl w:val="0"/>
              <w:suppressAutoHyphens w:val="0"/>
              <w:spacing w:before="0" w:after="0" w:line="240" w:lineRule="auto"/>
              <w:jc w:val="center"/>
            </w:pPr>
            <w:r w:rsidRPr="005278D3">
              <w:t>1850</w:t>
            </w:r>
          </w:p>
        </w:tc>
      </w:tr>
      <w:tr w:rsidR="00A502AC" w:rsidRPr="00C3293F" w14:paraId="53BEFD6B" w14:textId="77777777" w:rsidTr="00444693">
        <w:trPr>
          <w:cantSplit/>
          <w:trHeight w:val="13"/>
        </w:trPr>
        <w:tc>
          <w:tcPr>
            <w:tcW w:w="882" w:type="pct"/>
            <w:vMerge/>
            <w:tcBorders>
              <w:bottom w:val="single" w:sz="4" w:space="0" w:color="auto"/>
            </w:tcBorders>
          </w:tcPr>
          <w:p w14:paraId="6F22E1FA"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8441C6C"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58032497" w14:textId="77777777" w:rsidR="00A502AC" w:rsidRPr="00336DF4" w:rsidRDefault="00A502AC" w:rsidP="00444693">
            <w:pPr>
              <w:pStyle w:val="TableText"/>
              <w:widowControl w:val="0"/>
              <w:suppressAutoHyphens w:val="0"/>
              <w:spacing w:before="0" w:after="0" w:line="240" w:lineRule="auto"/>
              <w:rPr>
                <w:szCs w:val="17"/>
              </w:rPr>
            </w:pPr>
            <w:r>
              <w:rPr>
                <w:szCs w:val="17"/>
              </w:rPr>
              <w:t>Small insectivore</w:t>
            </w:r>
          </w:p>
        </w:tc>
        <w:tc>
          <w:tcPr>
            <w:tcW w:w="662" w:type="pct"/>
            <w:tcBorders>
              <w:bottom w:val="single" w:sz="4" w:space="0" w:color="auto"/>
            </w:tcBorders>
          </w:tcPr>
          <w:p w14:paraId="0B9F8808" w14:textId="77777777" w:rsidR="00A502AC" w:rsidRDefault="00A502AC" w:rsidP="00444693">
            <w:pPr>
              <w:pStyle w:val="TableText"/>
              <w:widowControl w:val="0"/>
              <w:suppressAutoHyphens w:val="0"/>
              <w:spacing w:before="0" w:after="0" w:line="240" w:lineRule="auto"/>
              <w:rPr>
                <w:szCs w:val="17"/>
              </w:rPr>
            </w:pPr>
            <w:r>
              <w:rPr>
                <w:szCs w:val="17"/>
              </w:rPr>
              <w:t>BBCH 10-19</w:t>
            </w:r>
          </w:p>
        </w:tc>
        <w:tc>
          <w:tcPr>
            <w:tcW w:w="496" w:type="pct"/>
            <w:tcBorders>
              <w:bottom w:val="single" w:sz="4" w:space="0" w:color="auto"/>
            </w:tcBorders>
          </w:tcPr>
          <w:p w14:paraId="02323FDA" w14:textId="77777777" w:rsidR="00A502AC" w:rsidRDefault="00A502AC" w:rsidP="00444693">
            <w:pPr>
              <w:pStyle w:val="TableText"/>
              <w:widowControl w:val="0"/>
              <w:suppressAutoHyphens w:val="0"/>
              <w:spacing w:before="0" w:after="0" w:line="240" w:lineRule="auto"/>
              <w:jc w:val="center"/>
            </w:pPr>
            <w:r>
              <w:t>7.6</w:t>
            </w:r>
          </w:p>
        </w:tc>
        <w:tc>
          <w:tcPr>
            <w:tcW w:w="496" w:type="pct"/>
            <w:tcBorders>
              <w:bottom w:val="single" w:sz="4" w:space="0" w:color="auto"/>
            </w:tcBorders>
          </w:tcPr>
          <w:p w14:paraId="5CC8305C" w14:textId="77777777" w:rsidR="00A502AC" w:rsidRDefault="00A502AC" w:rsidP="00444693">
            <w:pPr>
              <w:pStyle w:val="TableText"/>
              <w:widowControl w:val="0"/>
              <w:suppressAutoHyphens w:val="0"/>
              <w:spacing w:before="0" w:after="0" w:line="240" w:lineRule="auto"/>
              <w:jc w:val="center"/>
            </w:pPr>
            <w:r>
              <w:t>4.2</w:t>
            </w:r>
          </w:p>
        </w:tc>
        <w:tc>
          <w:tcPr>
            <w:tcW w:w="496" w:type="pct"/>
            <w:tcBorders>
              <w:bottom w:val="single" w:sz="4" w:space="0" w:color="auto"/>
            </w:tcBorders>
          </w:tcPr>
          <w:p w14:paraId="06F43309" w14:textId="77777777" w:rsidR="00A502AC" w:rsidRPr="00C3293F" w:rsidRDefault="00A502AC" w:rsidP="00444693">
            <w:pPr>
              <w:pStyle w:val="TableText"/>
              <w:widowControl w:val="0"/>
              <w:suppressAutoHyphens w:val="0"/>
              <w:spacing w:before="0" w:after="0" w:line="240" w:lineRule="auto"/>
              <w:jc w:val="center"/>
            </w:pPr>
            <w:r w:rsidRPr="00496A32">
              <w:t>803</w:t>
            </w:r>
          </w:p>
        </w:tc>
        <w:tc>
          <w:tcPr>
            <w:tcW w:w="497" w:type="pct"/>
            <w:tcBorders>
              <w:bottom w:val="single" w:sz="4" w:space="0" w:color="auto"/>
            </w:tcBorders>
          </w:tcPr>
          <w:p w14:paraId="6156A32E" w14:textId="77777777" w:rsidR="00A502AC" w:rsidRPr="00C3293F" w:rsidRDefault="00A502AC" w:rsidP="00444693">
            <w:pPr>
              <w:pStyle w:val="TableText"/>
              <w:widowControl w:val="0"/>
              <w:suppressAutoHyphens w:val="0"/>
              <w:spacing w:before="0" w:after="0" w:line="240" w:lineRule="auto"/>
              <w:jc w:val="center"/>
            </w:pPr>
            <w:r w:rsidRPr="005278D3">
              <w:t>3435</w:t>
            </w:r>
          </w:p>
        </w:tc>
      </w:tr>
      <w:tr w:rsidR="00A502AC" w:rsidRPr="00FE314D" w14:paraId="39A1FEB1" w14:textId="77777777" w:rsidTr="00444693">
        <w:trPr>
          <w:cantSplit/>
          <w:trHeight w:val="13"/>
        </w:trPr>
        <w:tc>
          <w:tcPr>
            <w:tcW w:w="882" w:type="pct"/>
            <w:vMerge w:val="restart"/>
            <w:tcBorders>
              <w:top w:val="single" w:sz="4" w:space="0" w:color="auto"/>
              <w:bottom w:val="single" w:sz="4" w:space="0" w:color="auto"/>
            </w:tcBorders>
          </w:tcPr>
          <w:p w14:paraId="610CC650" w14:textId="77777777" w:rsidR="00A502AC" w:rsidRDefault="00A502AC" w:rsidP="00444693">
            <w:pPr>
              <w:pStyle w:val="TableText"/>
              <w:widowControl w:val="0"/>
              <w:suppressAutoHyphens w:val="0"/>
              <w:spacing w:before="0" w:after="0" w:line="240" w:lineRule="auto"/>
              <w:rPr>
                <w:szCs w:val="17"/>
              </w:rPr>
            </w:pPr>
            <w:r w:rsidRPr="006E2167">
              <w:rPr>
                <w:szCs w:val="17"/>
              </w:rPr>
              <w:t xml:space="preserve">General weed control in </w:t>
            </w:r>
            <w:r>
              <w:rPr>
                <w:szCs w:val="17"/>
              </w:rPr>
              <w:t xml:space="preserve">bananas, dubosia, forests, </w:t>
            </w:r>
            <w:r w:rsidRPr="006E2167">
              <w:rPr>
                <w:szCs w:val="17"/>
              </w:rPr>
              <w:t>orchards, plantations</w:t>
            </w:r>
            <w:r>
              <w:rPr>
                <w:szCs w:val="17"/>
              </w:rPr>
              <w:t>, tea tree, and tropical fruits</w:t>
            </w:r>
          </w:p>
        </w:tc>
        <w:tc>
          <w:tcPr>
            <w:tcW w:w="662" w:type="pct"/>
            <w:vMerge w:val="restart"/>
            <w:tcBorders>
              <w:top w:val="single" w:sz="4" w:space="0" w:color="auto"/>
              <w:bottom w:val="single" w:sz="4" w:space="0" w:color="auto"/>
            </w:tcBorders>
          </w:tcPr>
          <w:p w14:paraId="4220E01A" w14:textId="77777777" w:rsidR="00A502AC" w:rsidRDefault="00A502AC" w:rsidP="00444693">
            <w:pPr>
              <w:pStyle w:val="TableText"/>
              <w:widowControl w:val="0"/>
              <w:suppressAutoHyphens w:val="0"/>
              <w:spacing w:before="0" w:after="0" w:line="240" w:lineRule="auto"/>
              <w:rPr>
                <w:szCs w:val="17"/>
              </w:rPr>
            </w:pPr>
            <w:r>
              <w:rPr>
                <w:szCs w:val="17"/>
              </w:rPr>
              <w:t>Orchards</w:t>
            </w:r>
          </w:p>
        </w:tc>
        <w:tc>
          <w:tcPr>
            <w:tcW w:w="809" w:type="pct"/>
            <w:tcBorders>
              <w:top w:val="single" w:sz="4" w:space="0" w:color="auto"/>
            </w:tcBorders>
          </w:tcPr>
          <w:p w14:paraId="024214A6" w14:textId="77777777" w:rsidR="00A502AC" w:rsidRDefault="00A502AC" w:rsidP="00444693">
            <w:pPr>
              <w:pStyle w:val="TableText"/>
              <w:widowControl w:val="0"/>
              <w:suppressAutoHyphens w:val="0"/>
              <w:spacing w:before="0" w:after="0" w:line="240" w:lineRule="auto"/>
              <w:rPr>
                <w:szCs w:val="17"/>
              </w:rPr>
            </w:pPr>
            <w:r w:rsidRPr="00B6513E">
              <w:rPr>
                <w:szCs w:val="17"/>
              </w:rPr>
              <w:t>Small herbivore</w:t>
            </w:r>
          </w:p>
        </w:tc>
        <w:tc>
          <w:tcPr>
            <w:tcW w:w="662" w:type="pct"/>
            <w:tcBorders>
              <w:top w:val="single" w:sz="4" w:space="0" w:color="auto"/>
            </w:tcBorders>
          </w:tcPr>
          <w:p w14:paraId="3C1ED78E" w14:textId="77777777" w:rsidR="00A502AC" w:rsidRDefault="00A502AC" w:rsidP="00444693">
            <w:pPr>
              <w:pStyle w:val="TableText"/>
              <w:widowControl w:val="0"/>
              <w:suppressAutoHyphens w:val="0"/>
              <w:spacing w:before="0" w:after="0" w:line="240" w:lineRule="auto"/>
              <w:rPr>
                <w:szCs w:val="17"/>
              </w:rPr>
            </w:pPr>
            <w:r w:rsidRPr="00C20C79">
              <w:rPr>
                <w:szCs w:val="17"/>
              </w:rPr>
              <w:t>Ground directed</w:t>
            </w:r>
          </w:p>
        </w:tc>
        <w:tc>
          <w:tcPr>
            <w:tcW w:w="496" w:type="pct"/>
            <w:tcBorders>
              <w:top w:val="single" w:sz="4" w:space="0" w:color="auto"/>
            </w:tcBorders>
          </w:tcPr>
          <w:p w14:paraId="064045B9" w14:textId="77777777" w:rsidR="00A502AC" w:rsidRDefault="00A502AC" w:rsidP="00444693">
            <w:pPr>
              <w:pStyle w:val="TableText"/>
              <w:widowControl w:val="0"/>
              <w:suppressAutoHyphens w:val="0"/>
              <w:spacing w:before="0" w:after="0" w:line="240" w:lineRule="auto"/>
              <w:jc w:val="center"/>
            </w:pPr>
            <w:r>
              <w:t>136.4</w:t>
            </w:r>
          </w:p>
        </w:tc>
        <w:tc>
          <w:tcPr>
            <w:tcW w:w="496" w:type="pct"/>
            <w:tcBorders>
              <w:top w:val="single" w:sz="4" w:space="0" w:color="auto"/>
            </w:tcBorders>
          </w:tcPr>
          <w:p w14:paraId="6ABF7A3C" w14:textId="77777777" w:rsidR="00A502AC" w:rsidRDefault="00A502AC" w:rsidP="00444693">
            <w:pPr>
              <w:pStyle w:val="TableText"/>
              <w:widowControl w:val="0"/>
              <w:suppressAutoHyphens w:val="0"/>
              <w:spacing w:before="0" w:after="0" w:line="240" w:lineRule="auto"/>
              <w:jc w:val="center"/>
            </w:pPr>
            <w:r>
              <w:t>72.3</w:t>
            </w:r>
          </w:p>
        </w:tc>
        <w:tc>
          <w:tcPr>
            <w:tcW w:w="496" w:type="pct"/>
            <w:tcBorders>
              <w:top w:val="single" w:sz="4" w:space="0" w:color="auto"/>
            </w:tcBorders>
            <w:shd w:val="clear" w:color="auto" w:fill="FF0000"/>
          </w:tcPr>
          <w:p w14:paraId="4EC13A32"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45</w:t>
            </w:r>
          </w:p>
        </w:tc>
        <w:tc>
          <w:tcPr>
            <w:tcW w:w="497" w:type="pct"/>
            <w:tcBorders>
              <w:top w:val="single" w:sz="4" w:space="0" w:color="auto"/>
            </w:tcBorders>
            <w:shd w:val="clear" w:color="auto" w:fill="FF0000"/>
          </w:tcPr>
          <w:p w14:paraId="65E2674E" w14:textId="77777777" w:rsidR="00A502AC" w:rsidRPr="00FE314D" w:rsidRDefault="00A502AC" w:rsidP="00444693">
            <w:pPr>
              <w:pStyle w:val="TableText"/>
              <w:widowControl w:val="0"/>
              <w:suppressAutoHyphens w:val="0"/>
              <w:spacing w:before="0" w:after="0" w:line="240" w:lineRule="auto"/>
              <w:jc w:val="center"/>
              <w:rPr>
                <w:b/>
                <w:bCs/>
              </w:rPr>
            </w:pPr>
            <w:r w:rsidRPr="00FE314D">
              <w:rPr>
                <w:b/>
                <w:bCs/>
              </w:rPr>
              <w:t>200</w:t>
            </w:r>
          </w:p>
        </w:tc>
      </w:tr>
      <w:tr w:rsidR="00A502AC" w:rsidRPr="00FE314D" w14:paraId="357F3407" w14:textId="77777777" w:rsidTr="00444693">
        <w:trPr>
          <w:cantSplit/>
          <w:trHeight w:val="13"/>
        </w:trPr>
        <w:tc>
          <w:tcPr>
            <w:tcW w:w="882" w:type="pct"/>
            <w:vMerge/>
            <w:tcBorders>
              <w:bottom w:val="single" w:sz="4" w:space="0" w:color="auto"/>
            </w:tcBorders>
          </w:tcPr>
          <w:p w14:paraId="16B4A099"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A81CE52" w14:textId="77777777" w:rsidR="00A502AC" w:rsidRDefault="00A502AC" w:rsidP="00444693">
            <w:pPr>
              <w:pStyle w:val="TableText"/>
              <w:widowControl w:val="0"/>
              <w:suppressAutoHyphens w:val="0"/>
              <w:spacing w:before="0" w:after="0" w:line="240" w:lineRule="auto"/>
              <w:rPr>
                <w:szCs w:val="17"/>
              </w:rPr>
            </w:pPr>
          </w:p>
        </w:tc>
        <w:tc>
          <w:tcPr>
            <w:tcW w:w="809" w:type="pct"/>
          </w:tcPr>
          <w:p w14:paraId="50D4F73B" w14:textId="77777777" w:rsidR="00A502AC" w:rsidRDefault="00A502AC" w:rsidP="00444693">
            <w:pPr>
              <w:pStyle w:val="TableText"/>
              <w:widowControl w:val="0"/>
              <w:suppressAutoHyphens w:val="0"/>
              <w:spacing w:before="0" w:after="0" w:line="240" w:lineRule="auto"/>
              <w:rPr>
                <w:szCs w:val="17"/>
              </w:rPr>
            </w:pPr>
            <w:r>
              <w:rPr>
                <w:szCs w:val="17"/>
              </w:rPr>
              <w:t>Large herbivore</w:t>
            </w:r>
          </w:p>
        </w:tc>
        <w:tc>
          <w:tcPr>
            <w:tcW w:w="662" w:type="pct"/>
          </w:tcPr>
          <w:p w14:paraId="151D6B4D" w14:textId="77777777" w:rsidR="00A502AC" w:rsidRDefault="00A502AC" w:rsidP="00444693">
            <w:pPr>
              <w:pStyle w:val="TableText"/>
              <w:widowControl w:val="0"/>
              <w:suppressAutoHyphens w:val="0"/>
              <w:spacing w:before="0" w:after="0" w:line="240" w:lineRule="auto"/>
              <w:rPr>
                <w:szCs w:val="17"/>
              </w:rPr>
            </w:pPr>
            <w:r w:rsidRPr="00C20C79">
              <w:rPr>
                <w:szCs w:val="17"/>
              </w:rPr>
              <w:t>Ground directed</w:t>
            </w:r>
          </w:p>
        </w:tc>
        <w:tc>
          <w:tcPr>
            <w:tcW w:w="496" w:type="pct"/>
          </w:tcPr>
          <w:p w14:paraId="24AA2CC9" w14:textId="77777777" w:rsidR="00A502AC" w:rsidRDefault="00A502AC" w:rsidP="00444693">
            <w:pPr>
              <w:pStyle w:val="TableText"/>
              <w:widowControl w:val="0"/>
              <w:suppressAutoHyphens w:val="0"/>
              <w:spacing w:before="0" w:after="0" w:line="240" w:lineRule="auto"/>
              <w:jc w:val="center"/>
            </w:pPr>
            <w:r>
              <w:t>35.1</w:t>
            </w:r>
          </w:p>
        </w:tc>
        <w:tc>
          <w:tcPr>
            <w:tcW w:w="496" w:type="pct"/>
          </w:tcPr>
          <w:p w14:paraId="2F84DD42" w14:textId="77777777" w:rsidR="00A502AC" w:rsidRDefault="00A502AC" w:rsidP="00444693">
            <w:pPr>
              <w:pStyle w:val="TableText"/>
              <w:widowControl w:val="0"/>
              <w:suppressAutoHyphens w:val="0"/>
              <w:spacing w:before="0" w:after="0" w:line="240" w:lineRule="auto"/>
              <w:jc w:val="center"/>
            </w:pPr>
            <w:r>
              <w:t>14.3</w:t>
            </w:r>
          </w:p>
        </w:tc>
        <w:tc>
          <w:tcPr>
            <w:tcW w:w="496" w:type="pct"/>
            <w:shd w:val="clear" w:color="auto" w:fill="FF0000"/>
          </w:tcPr>
          <w:p w14:paraId="1728F656"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174</w:t>
            </w:r>
          </w:p>
        </w:tc>
        <w:tc>
          <w:tcPr>
            <w:tcW w:w="497" w:type="pct"/>
            <w:shd w:val="clear" w:color="auto" w:fill="FF0000"/>
          </w:tcPr>
          <w:p w14:paraId="197EEE0D" w14:textId="77777777" w:rsidR="00A502AC" w:rsidRPr="00FE314D" w:rsidRDefault="00A502AC" w:rsidP="00444693">
            <w:pPr>
              <w:pStyle w:val="TableText"/>
              <w:widowControl w:val="0"/>
              <w:suppressAutoHyphens w:val="0"/>
              <w:spacing w:before="0" w:after="0" w:line="240" w:lineRule="auto"/>
              <w:jc w:val="center"/>
              <w:rPr>
                <w:b/>
                <w:bCs/>
              </w:rPr>
            </w:pPr>
            <w:r w:rsidRPr="00FE314D">
              <w:rPr>
                <w:b/>
                <w:bCs/>
              </w:rPr>
              <w:t>1009</w:t>
            </w:r>
          </w:p>
        </w:tc>
      </w:tr>
      <w:tr w:rsidR="00A502AC" w:rsidRPr="00C3293F" w14:paraId="037B2111" w14:textId="77777777" w:rsidTr="00444693">
        <w:trPr>
          <w:cantSplit/>
          <w:trHeight w:val="13"/>
        </w:trPr>
        <w:tc>
          <w:tcPr>
            <w:tcW w:w="882" w:type="pct"/>
            <w:vMerge/>
            <w:tcBorders>
              <w:bottom w:val="single" w:sz="4" w:space="0" w:color="auto"/>
            </w:tcBorders>
          </w:tcPr>
          <w:p w14:paraId="6BFBB912"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32F7E126" w14:textId="77777777" w:rsidR="00A502AC" w:rsidRDefault="00A502AC" w:rsidP="00444693">
            <w:pPr>
              <w:pStyle w:val="TableText"/>
              <w:widowControl w:val="0"/>
              <w:suppressAutoHyphens w:val="0"/>
              <w:spacing w:before="0" w:after="0" w:line="240" w:lineRule="auto"/>
              <w:rPr>
                <w:szCs w:val="17"/>
              </w:rPr>
            </w:pPr>
          </w:p>
        </w:tc>
        <w:tc>
          <w:tcPr>
            <w:tcW w:w="809" w:type="pct"/>
          </w:tcPr>
          <w:p w14:paraId="6A854126"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1521408C" w14:textId="77777777" w:rsidR="00A502AC" w:rsidRDefault="00A502AC" w:rsidP="00444693">
            <w:pPr>
              <w:pStyle w:val="TableText"/>
              <w:widowControl w:val="0"/>
              <w:suppressAutoHyphens w:val="0"/>
              <w:spacing w:before="0" w:after="0" w:line="240" w:lineRule="auto"/>
              <w:rPr>
                <w:szCs w:val="17"/>
              </w:rPr>
            </w:pPr>
            <w:r w:rsidRPr="00C20C79">
              <w:rPr>
                <w:szCs w:val="17"/>
              </w:rPr>
              <w:t>Ground directed</w:t>
            </w:r>
          </w:p>
        </w:tc>
        <w:tc>
          <w:tcPr>
            <w:tcW w:w="496" w:type="pct"/>
          </w:tcPr>
          <w:p w14:paraId="37B60A5C" w14:textId="77777777" w:rsidR="00A502AC" w:rsidRDefault="00A502AC" w:rsidP="00444693">
            <w:pPr>
              <w:pStyle w:val="TableText"/>
              <w:widowControl w:val="0"/>
              <w:suppressAutoHyphens w:val="0"/>
              <w:spacing w:before="0" w:after="0" w:line="240" w:lineRule="auto"/>
              <w:jc w:val="center"/>
            </w:pPr>
            <w:r>
              <w:t>17.2</w:t>
            </w:r>
          </w:p>
        </w:tc>
        <w:tc>
          <w:tcPr>
            <w:tcW w:w="496" w:type="pct"/>
          </w:tcPr>
          <w:p w14:paraId="5DB83A8B" w14:textId="77777777" w:rsidR="00A502AC" w:rsidRDefault="00A502AC" w:rsidP="00444693">
            <w:pPr>
              <w:pStyle w:val="TableText"/>
              <w:widowControl w:val="0"/>
              <w:suppressAutoHyphens w:val="0"/>
              <w:spacing w:before="0" w:after="0" w:line="240" w:lineRule="auto"/>
              <w:jc w:val="center"/>
            </w:pPr>
            <w:r>
              <w:t>7.8</w:t>
            </w:r>
          </w:p>
        </w:tc>
        <w:tc>
          <w:tcPr>
            <w:tcW w:w="496" w:type="pct"/>
            <w:shd w:val="clear" w:color="auto" w:fill="FF0000"/>
          </w:tcPr>
          <w:p w14:paraId="7FAADF80"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355</w:t>
            </w:r>
          </w:p>
        </w:tc>
        <w:tc>
          <w:tcPr>
            <w:tcW w:w="497" w:type="pct"/>
          </w:tcPr>
          <w:p w14:paraId="594D3F1D" w14:textId="77777777" w:rsidR="00A502AC" w:rsidRPr="00C3293F" w:rsidRDefault="00A502AC" w:rsidP="00444693">
            <w:pPr>
              <w:pStyle w:val="TableText"/>
              <w:widowControl w:val="0"/>
              <w:suppressAutoHyphens w:val="0"/>
              <w:spacing w:before="0" w:after="0" w:line="240" w:lineRule="auto"/>
              <w:jc w:val="center"/>
            </w:pPr>
            <w:r w:rsidRPr="005278D3">
              <w:t>1850</w:t>
            </w:r>
          </w:p>
        </w:tc>
      </w:tr>
      <w:tr w:rsidR="00A502AC" w:rsidRPr="00C3293F" w14:paraId="113FC89C" w14:textId="77777777" w:rsidTr="00444693">
        <w:trPr>
          <w:cantSplit/>
          <w:trHeight w:val="13"/>
        </w:trPr>
        <w:tc>
          <w:tcPr>
            <w:tcW w:w="882" w:type="pct"/>
            <w:vMerge/>
            <w:tcBorders>
              <w:bottom w:val="single" w:sz="4" w:space="0" w:color="auto"/>
            </w:tcBorders>
          </w:tcPr>
          <w:p w14:paraId="25B04160"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75C8BC30"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30E8861C" w14:textId="77777777" w:rsidR="00A502AC" w:rsidRDefault="00A502AC" w:rsidP="00444693">
            <w:pPr>
              <w:pStyle w:val="TableText"/>
              <w:widowControl w:val="0"/>
              <w:suppressAutoHyphens w:val="0"/>
              <w:spacing w:before="0" w:after="0" w:line="240" w:lineRule="auto"/>
              <w:rPr>
                <w:szCs w:val="17"/>
              </w:rPr>
            </w:pPr>
            <w:r w:rsidRPr="00336DF4">
              <w:rPr>
                <w:szCs w:val="17"/>
              </w:rPr>
              <w:t>Small insectivore</w:t>
            </w:r>
          </w:p>
        </w:tc>
        <w:tc>
          <w:tcPr>
            <w:tcW w:w="662" w:type="pct"/>
            <w:tcBorders>
              <w:bottom w:val="single" w:sz="4" w:space="0" w:color="auto"/>
            </w:tcBorders>
          </w:tcPr>
          <w:p w14:paraId="636D9FA2" w14:textId="77777777" w:rsidR="00A502AC" w:rsidRDefault="00A502AC" w:rsidP="00444693">
            <w:pPr>
              <w:pStyle w:val="TableText"/>
              <w:widowControl w:val="0"/>
              <w:suppressAutoHyphens w:val="0"/>
              <w:spacing w:before="0" w:after="0" w:line="240" w:lineRule="auto"/>
              <w:rPr>
                <w:szCs w:val="17"/>
              </w:rPr>
            </w:pPr>
            <w:r w:rsidRPr="00C20C79">
              <w:rPr>
                <w:szCs w:val="17"/>
              </w:rPr>
              <w:t>Ground directed</w:t>
            </w:r>
          </w:p>
        </w:tc>
        <w:tc>
          <w:tcPr>
            <w:tcW w:w="496" w:type="pct"/>
            <w:tcBorders>
              <w:bottom w:val="single" w:sz="4" w:space="0" w:color="auto"/>
            </w:tcBorders>
          </w:tcPr>
          <w:p w14:paraId="7F920448" w14:textId="77777777" w:rsidR="00A502AC" w:rsidRDefault="00A502AC" w:rsidP="00444693">
            <w:pPr>
              <w:pStyle w:val="TableText"/>
              <w:widowControl w:val="0"/>
              <w:suppressAutoHyphens w:val="0"/>
              <w:spacing w:before="0" w:after="0" w:line="240" w:lineRule="auto"/>
              <w:jc w:val="center"/>
            </w:pPr>
            <w:r>
              <w:t>5.4</w:t>
            </w:r>
          </w:p>
        </w:tc>
        <w:tc>
          <w:tcPr>
            <w:tcW w:w="496" w:type="pct"/>
            <w:tcBorders>
              <w:bottom w:val="single" w:sz="4" w:space="0" w:color="auto"/>
            </w:tcBorders>
          </w:tcPr>
          <w:p w14:paraId="1FBB36B8" w14:textId="77777777" w:rsidR="00A502AC" w:rsidRDefault="00A502AC" w:rsidP="00444693">
            <w:pPr>
              <w:pStyle w:val="TableText"/>
              <w:widowControl w:val="0"/>
              <w:suppressAutoHyphens w:val="0"/>
              <w:spacing w:before="0" w:after="0" w:line="240" w:lineRule="auto"/>
              <w:jc w:val="center"/>
            </w:pPr>
            <w:r>
              <w:t>1.9</w:t>
            </w:r>
          </w:p>
        </w:tc>
        <w:tc>
          <w:tcPr>
            <w:tcW w:w="496" w:type="pct"/>
            <w:tcBorders>
              <w:bottom w:val="single" w:sz="4" w:space="0" w:color="auto"/>
            </w:tcBorders>
          </w:tcPr>
          <w:p w14:paraId="6C2EEE5C" w14:textId="77777777" w:rsidR="00A502AC" w:rsidRPr="00C3293F" w:rsidRDefault="00A502AC" w:rsidP="00444693">
            <w:pPr>
              <w:pStyle w:val="TableText"/>
              <w:widowControl w:val="0"/>
              <w:suppressAutoHyphens w:val="0"/>
              <w:spacing w:before="0" w:after="0" w:line="240" w:lineRule="auto"/>
              <w:jc w:val="center"/>
            </w:pPr>
            <w:r w:rsidRPr="005101D2">
              <w:t>1130</w:t>
            </w:r>
          </w:p>
        </w:tc>
        <w:tc>
          <w:tcPr>
            <w:tcW w:w="497" w:type="pct"/>
            <w:tcBorders>
              <w:bottom w:val="single" w:sz="4" w:space="0" w:color="auto"/>
            </w:tcBorders>
          </w:tcPr>
          <w:p w14:paraId="5F7B1E21"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FE314D" w14:paraId="37ECD9CB" w14:textId="77777777" w:rsidTr="00444693">
        <w:trPr>
          <w:cantSplit/>
          <w:trHeight w:val="13"/>
        </w:trPr>
        <w:tc>
          <w:tcPr>
            <w:tcW w:w="882" w:type="pct"/>
            <w:vMerge w:val="restart"/>
          </w:tcPr>
          <w:p w14:paraId="56FFBC5F" w14:textId="77777777" w:rsidR="00A502AC" w:rsidRDefault="00A502AC" w:rsidP="00444693">
            <w:pPr>
              <w:pStyle w:val="TableText"/>
              <w:widowControl w:val="0"/>
              <w:suppressAutoHyphens w:val="0"/>
              <w:spacing w:before="0" w:after="0" w:line="240" w:lineRule="auto"/>
              <w:rPr>
                <w:szCs w:val="17"/>
              </w:rPr>
            </w:pPr>
            <w:r>
              <w:t>General weed control in p</w:t>
            </w:r>
            <w:r w:rsidRPr="004F1343">
              <w:t>otatoes</w:t>
            </w:r>
            <w:r>
              <w:t xml:space="preserve"> </w:t>
            </w:r>
            <w:r>
              <w:lastRenderedPageBreak/>
              <w:t>(pre-harvest)</w:t>
            </w:r>
          </w:p>
        </w:tc>
        <w:tc>
          <w:tcPr>
            <w:tcW w:w="662" w:type="pct"/>
            <w:vMerge w:val="restart"/>
          </w:tcPr>
          <w:p w14:paraId="2BEA6F17" w14:textId="77777777" w:rsidR="00A502AC" w:rsidRDefault="00A502AC" w:rsidP="00444693">
            <w:pPr>
              <w:pStyle w:val="TableText"/>
              <w:widowControl w:val="0"/>
              <w:suppressAutoHyphens w:val="0"/>
              <w:spacing w:before="0" w:after="0" w:line="240" w:lineRule="auto"/>
              <w:rPr>
                <w:szCs w:val="17"/>
              </w:rPr>
            </w:pPr>
            <w:r>
              <w:rPr>
                <w:szCs w:val="17"/>
              </w:rPr>
              <w:lastRenderedPageBreak/>
              <w:t>Potatoes</w:t>
            </w:r>
          </w:p>
        </w:tc>
        <w:tc>
          <w:tcPr>
            <w:tcW w:w="809" w:type="pct"/>
            <w:tcBorders>
              <w:top w:val="single" w:sz="4" w:space="0" w:color="auto"/>
            </w:tcBorders>
          </w:tcPr>
          <w:p w14:paraId="5BB49261" w14:textId="77777777" w:rsidR="00A502AC" w:rsidRPr="00336DF4" w:rsidRDefault="00A502AC" w:rsidP="00444693">
            <w:pPr>
              <w:pStyle w:val="TableText"/>
              <w:widowControl w:val="0"/>
              <w:suppressAutoHyphens w:val="0"/>
              <w:spacing w:before="0" w:after="0" w:line="240" w:lineRule="auto"/>
              <w:rPr>
                <w:szCs w:val="17"/>
              </w:rPr>
            </w:pPr>
            <w:r w:rsidRPr="00B6513E">
              <w:rPr>
                <w:szCs w:val="17"/>
              </w:rPr>
              <w:t>Small herbivore</w:t>
            </w:r>
          </w:p>
        </w:tc>
        <w:tc>
          <w:tcPr>
            <w:tcW w:w="662" w:type="pct"/>
            <w:tcBorders>
              <w:top w:val="single" w:sz="4" w:space="0" w:color="auto"/>
            </w:tcBorders>
          </w:tcPr>
          <w:p w14:paraId="396088F4" w14:textId="77777777" w:rsidR="00A502AC" w:rsidRPr="00C20C79" w:rsidRDefault="00A502AC" w:rsidP="00444693">
            <w:pPr>
              <w:pStyle w:val="TableText"/>
              <w:widowControl w:val="0"/>
              <w:suppressAutoHyphens w:val="0"/>
              <w:spacing w:before="0" w:after="0" w:line="240" w:lineRule="auto"/>
              <w:rPr>
                <w:szCs w:val="17"/>
              </w:rPr>
            </w:pPr>
            <w:r>
              <w:rPr>
                <w:szCs w:val="17"/>
              </w:rPr>
              <w:t>BBCH ≥40</w:t>
            </w:r>
          </w:p>
        </w:tc>
        <w:tc>
          <w:tcPr>
            <w:tcW w:w="496" w:type="pct"/>
            <w:tcBorders>
              <w:top w:val="single" w:sz="4" w:space="0" w:color="auto"/>
            </w:tcBorders>
          </w:tcPr>
          <w:p w14:paraId="4772B9D4" w14:textId="77777777" w:rsidR="00A502AC" w:rsidRDefault="00A502AC" w:rsidP="00444693">
            <w:pPr>
              <w:pStyle w:val="TableText"/>
              <w:widowControl w:val="0"/>
              <w:suppressAutoHyphens w:val="0"/>
              <w:spacing w:before="0" w:after="0" w:line="240" w:lineRule="auto"/>
              <w:jc w:val="center"/>
            </w:pPr>
            <w:r>
              <w:t>40.9</w:t>
            </w:r>
          </w:p>
        </w:tc>
        <w:tc>
          <w:tcPr>
            <w:tcW w:w="496" w:type="pct"/>
            <w:tcBorders>
              <w:top w:val="single" w:sz="4" w:space="0" w:color="auto"/>
            </w:tcBorders>
          </w:tcPr>
          <w:p w14:paraId="174FD4E8" w14:textId="77777777" w:rsidR="00A502AC" w:rsidRDefault="00A502AC" w:rsidP="00444693">
            <w:pPr>
              <w:pStyle w:val="TableText"/>
              <w:widowControl w:val="0"/>
              <w:suppressAutoHyphens w:val="0"/>
              <w:spacing w:before="0" w:after="0" w:line="240" w:lineRule="auto"/>
              <w:jc w:val="center"/>
            </w:pPr>
            <w:r>
              <w:t>21.7</w:t>
            </w:r>
          </w:p>
        </w:tc>
        <w:tc>
          <w:tcPr>
            <w:tcW w:w="496" w:type="pct"/>
            <w:tcBorders>
              <w:top w:val="single" w:sz="4" w:space="0" w:color="auto"/>
            </w:tcBorders>
            <w:shd w:val="clear" w:color="auto" w:fill="FF0000"/>
          </w:tcPr>
          <w:p w14:paraId="6CA7886B"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149</w:t>
            </w:r>
          </w:p>
        </w:tc>
        <w:tc>
          <w:tcPr>
            <w:tcW w:w="497" w:type="pct"/>
            <w:tcBorders>
              <w:top w:val="single" w:sz="4" w:space="0" w:color="auto"/>
            </w:tcBorders>
            <w:shd w:val="clear" w:color="auto" w:fill="FF0000"/>
          </w:tcPr>
          <w:p w14:paraId="72295D4A" w14:textId="77777777" w:rsidR="00A502AC" w:rsidRPr="00FE314D" w:rsidRDefault="00A502AC" w:rsidP="00444693">
            <w:pPr>
              <w:pStyle w:val="TableText"/>
              <w:widowControl w:val="0"/>
              <w:suppressAutoHyphens w:val="0"/>
              <w:spacing w:before="0" w:after="0" w:line="240" w:lineRule="auto"/>
              <w:jc w:val="center"/>
              <w:rPr>
                <w:b/>
                <w:bCs/>
              </w:rPr>
            </w:pPr>
            <w:r w:rsidRPr="00FE314D">
              <w:rPr>
                <w:b/>
                <w:bCs/>
              </w:rPr>
              <w:t>665</w:t>
            </w:r>
          </w:p>
        </w:tc>
      </w:tr>
      <w:tr w:rsidR="00A502AC" w:rsidRPr="00C3293F" w14:paraId="0D877D3B" w14:textId="77777777" w:rsidTr="00444693">
        <w:trPr>
          <w:cantSplit/>
          <w:trHeight w:val="13"/>
        </w:trPr>
        <w:tc>
          <w:tcPr>
            <w:tcW w:w="882" w:type="pct"/>
            <w:vMerge/>
          </w:tcPr>
          <w:p w14:paraId="146C089B" w14:textId="77777777" w:rsidR="00A502AC" w:rsidRDefault="00A502AC" w:rsidP="00444693">
            <w:pPr>
              <w:pStyle w:val="TableText"/>
              <w:widowControl w:val="0"/>
              <w:suppressAutoHyphens w:val="0"/>
              <w:spacing w:before="0" w:after="0" w:line="240" w:lineRule="auto"/>
              <w:rPr>
                <w:szCs w:val="17"/>
              </w:rPr>
            </w:pPr>
          </w:p>
        </w:tc>
        <w:tc>
          <w:tcPr>
            <w:tcW w:w="662" w:type="pct"/>
            <w:vMerge/>
          </w:tcPr>
          <w:p w14:paraId="0F92DD35" w14:textId="77777777" w:rsidR="00A502AC" w:rsidRDefault="00A502AC" w:rsidP="00444693">
            <w:pPr>
              <w:pStyle w:val="TableText"/>
              <w:widowControl w:val="0"/>
              <w:suppressAutoHyphens w:val="0"/>
              <w:spacing w:before="0" w:after="0" w:line="240" w:lineRule="auto"/>
              <w:rPr>
                <w:szCs w:val="17"/>
              </w:rPr>
            </w:pPr>
          </w:p>
        </w:tc>
        <w:tc>
          <w:tcPr>
            <w:tcW w:w="809" w:type="pct"/>
          </w:tcPr>
          <w:p w14:paraId="103CE4E4" w14:textId="77777777" w:rsidR="00A502AC" w:rsidRPr="00336DF4" w:rsidRDefault="00A502AC" w:rsidP="00444693">
            <w:pPr>
              <w:pStyle w:val="TableText"/>
              <w:widowControl w:val="0"/>
              <w:suppressAutoHyphens w:val="0"/>
              <w:spacing w:before="0" w:after="0" w:line="240" w:lineRule="auto"/>
              <w:rPr>
                <w:szCs w:val="17"/>
              </w:rPr>
            </w:pPr>
            <w:r>
              <w:rPr>
                <w:szCs w:val="17"/>
              </w:rPr>
              <w:t>Large herbivore</w:t>
            </w:r>
          </w:p>
        </w:tc>
        <w:tc>
          <w:tcPr>
            <w:tcW w:w="662" w:type="pct"/>
          </w:tcPr>
          <w:p w14:paraId="0B25BFDF" w14:textId="77777777" w:rsidR="00A502AC" w:rsidRPr="00C20C79" w:rsidRDefault="00A502AC" w:rsidP="00444693">
            <w:pPr>
              <w:pStyle w:val="TableText"/>
              <w:widowControl w:val="0"/>
              <w:suppressAutoHyphens w:val="0"/>
              <w:spacing w:before="0" w:after="0" w:line="240" w:lineRule="auto"/>
              <w:rPr>
                <w:szCs w:val="17"/>
              </w:rPr>
            </w:pPr>
            <w:r>
              <w:rPr>
                <w:szCs w:val="17"/>
              </w:rPr>
              <w:t>BBCH ≥40</w:t>
            </w:r>
          </w:p>
        </w:tc>
        <w:tc>
          <w:tcPr>
            <w:tcW w:w="496" w:type="pct"/>
          </w:tcPr>
          <w:p w14:paraId="423E749A" w14:textId="77777777" w:rsidR="00A502AC" w:rsidRDefault="00A502AC" w:rsidP="00444693">
            <w:pPr>
              <w:pStyle w:val="TableText"/>
              <w:widowControl w:val="0"/>
              <w:suppressAutoHyphens w:val="0"/>
              <w:spacing w:before="0" w:after="0" w:line="240" w:lineRule="auto"/>
              <w:jc w:val="center"/>
            </w:pPr>
            <w:r>
              <w:t>10.5</w:t>
            </w:r>
          </w:p>
        </w:tc>
        <w:tc>
          <w:tcPr>
            <w:tcW w:w="496" w:type="pct"/>
          </w:tcPr>
          <w:p w14:paraId="710C0053" w14:textId="77777777" w:rsidR="00A502AC" w:rsidRDefault="00A502AC" w:rsidP="00444693">
            <w:pPr>
              <w:pStyle w:val="TableText"/>
              <w:widowControl w:val="0"/>
              <w:suppressAutoHyphens w:val="0"/>
              <w:spacing w:before="0" w:after="0" w:line="240" w:lineRule="auto"/>
              <w:jc w:val="center"/>
            </w:pPr>
            <w:r>
              <w:t>4.3</w:t>
            </w:r>
          </w:p>
        </w:tc>
        <w:tc>
          <w:tcPr>
            <w:tcW w:w="496" w:type="pct"/>
            <w:shd w:val="clear" w:color="auto" w:fill="FF0000"/>
          </w:tcPr>
          <w:p w14:paraId="74755BD2"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581</w:t>
            </w:r>
          </w:p>
        </w:tc>
        <w:tc>
          <w:tcPr>
            <w:tcW w:w="497" w:type="pct"/>
          </w:tcPr>
          <w:p w14:paraId="5550883D" w14:textId="77777777" w:rsidR="00A502AC" w:rsidRPr="00C3293F" w:rsidRDefault="00A502AC" w:rsidP="00444693">
            <w:pPr>
              <w:pStyle w:val="TableText"/>
              <w:widowControl w:val="0"/>
              <w:suppressAutoHyphens w:val="0"/>
              <w:spacing w:before="0" w:after="0" w:line="240" w:lineRule="auto"/>
              <w:jc w:val="center"/>
            </w:pPr>
            <w:r w:rsidRPr="005278D3">
              <w:t>3355</w:t>
            </w:r>
          </w:p>
        </w:tc>
      </w:tr>
      <w:tr w:rsidR="00A502AC" w:rsidRPr="00C3293F" w14:paraId="05E1E5A1" w14:textId="77777777" w:rsidTr="00444693">
        <w:trPr>
          <w:cantSplit/>
          <w:trHeight w:val="13"/>
        </w:trPr>
        <w:tc>
          <w:tcPr>
            <w:tcW w:w="882" w:type="pct"/>
            <w:vMerge/>
          </w:tcPr>
          <w:p w14:paraId="21DBF795" w14:textId="77777777" w:rsidR="00A502AC" w:rsidRDefault="00A502AC" w:rsidP="00444693">
            <w:pPr>
              <w:pStyle w:val="TableText"/>
              <w:widowControl w:val="0"/>
              <w:suppressAutoHyphens w:val="0"/>
              <w:spacing w:before="0" w:after="0" w:line="240" w:lineRule="auto"/>
              <w:rPr>
                <w:szCs w:val="17"/>
              </w:rPr>
            </w:pPr>
          </w:p>
        </w:tc>
        <w:tc>
          <w:tcPr>
            <w:tcW w:w="662" w:type="pct"/>
            <w:vMerge/>
          </w:tcPr>
          <w:p w14:paraId="0EB5DCFC" w14:textId="77777777" w:rsidR="00A502AC" w:rsidRDefault="00A502AC" w:rsidP="00444693">
            <w:pPr>
              <w:pStyle w:val="TableText"/>
              <w:widowControl w:val="0"/>
              <w:suppressAutoHyphens w:val="0"/>
              <w:spacing w:before="0" w:after="0" w:line="240" w:lineRule="auto"/>
              <w:rPr>
                <w:szCs w:val="17"/>
              </w:rPr>
            </w:pPr>
          </w:p>
        </w:tc>
        <w:tc>
          <w:tcPr>
            <w:tcW w:w="809" w:type="pct"/>
          </w:tcPr>
          <w:p w14:paraId="71EB5874" w14:textId="77777777" w:rsidR="00A502AC" w:rsidRPr="00336DF4"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6CAD6116" w14:textId="77777777" w:rsidR="00A502AC" w:rsidRPr="00C20C79" w:rsidRDefault="00A502AC" w:rsidP="00444693">
            <w:pPr>
              <w:pStyle w:val="TableText"/>
              <w:widowControl w:val="0"/>
              <w:suppressAutoHyphens w:val="0"/>
              <w:spacing w:before="0" w:after="0" w:line="240" w:lineRule="auto"/>
              <w:rPr>
                <w:szCs w:val="17"/>
              </w:rPr>
            </w:pPr>
            <w:r>
              <w:rPr>
                <w:szCs w:val="17"/>
              </w:rPr>
              <w:t>BBCH ≥40</w:t>
            </w:r>
          </w:p>
        </w:tc>
        <w:tc>
          <w:tcPr>
            <w:tcW w:w="496" w:type="pct"/>
          </w:tcPr>
          <w:p w14:paraId="52726813" w14:textId="77777777" w:rsidR="00A502AC" w:rsidRDefault="00A502AC" w:rsidP="00444693">
            <w:pPr>
              <w:pStyle w:val="TableText"/>
              <w:widowControl w:val="0"/>
              <w:suppressAutoHyphens w:val="0"/>
              <w:spacing w:before="0" w:after="0" w:line="240" w:lineRule="auto"/>
              <w:jc w:val="center"/>
            </w:pPr>
            <w:r>
              <w:t>5.2</w:t>
            </w:r>
          </w:p>
        </w:tc>
        <w:tc>
          <w:tcPr>
            <w:tcW w:w="496" w:type="pct"/>
          </w:tcPr>
          <w:p w14:paraId="0A0F8E14" w14:textId="77777777" w:rsidR="00A502AC" w:rsidRDefault="00A502AC" w:rsidP="00444693">
            <w:pPr>
              <w:pStyle w:val="TableText"/>
              <w:widowControl w:val="0"/>
              <w:suppressAutoHyphens w:val="0"/>
              <w:spacing w:before="0" w:after="0" w:line="240" w:lineRule="auto"/>
              <w:jc w:val="center"/>
            </w:pPr>
            <w:r>
              <w:t>2.3</w:t>
            </w:r>
          </w:p>
        </w:tc>
        <w:tc>
          <w:tcPr>
            <w:tcW w:w="496" w:type="pct"/>
          </w:tcPr>
          <w:p w14:paraId="11CA3B55" w14:textId="77777777" w:rsidR="00A502AC" w:rsidRPr="00C3293F" w:rsidRDefault="00A502AC" w:rsidP="00444693">
            <w:pPr>
              <w:pStyle w:val="TableText"/>
              <w:widowControl w:val="0"/>
              <w:suppressAutoHyphens w:val="0"/>
              <w:spacing w:before="0" w:after="0" w:line="240" w:lineRule="auto"/>
              <w:jc w:val="center"/>
            </w:pPr>
            <w:r w:rsidRPr="005101D2">
              <w:t>1173</w:t>
            </w:r>
          </w:p>
        </w:tc>
        <w:tc>
          <w:tcPr>
            <w:tcW w:w="497" w:type="pct"/>
          </w:tcPr>
          <w:p w14:paraId="1652E9D9" w14:textId="77777777" w:rsidR="00A502AC" w:rsidRPr="00C3293F" w:rsidRDefault="00A502AC" w:rsidP="00444693">
            <w:pPr>
              <w:pStyle w:val="TableText"/>
              <w:widowControl w:val="0"/>
              <w:suppressAutoHyphens w:val="0"/>
              <w:spacing w:before="0" w:after="0" w:line="240" w:lineRule="auto"/>
              <w:jc w:val="center"/>
            </w:pPr>
            <w:r w:rsidRPr="005278D3">
              <w:t>6273</w:t>
            </w:r>
          </w:p>
        </w:tc>
      </w:tr>
      <w:tr w:rsidR="00A502AC" w:rsidRPr="00C3293F" w14:paraId="5702A3C2" w14:textId="77777777" w:rsidTr="00444693">
        <w:trPr>
          <w:cantSplit/>
          <w:trHeight w:val="13"/>
        </w:trPr>
        <w:tc>
          <w:tcPr>
            <w:tcW w:w="882" w:type="pct"/>
            <w:vMerge/>
            <w:tcBorders>
              <w:bottom w:val="single" w:sz="4" w:space="0" w:color="auto"/>
            </w:tcBorders>
          </w:tcPr>
          <w:p w14:paraId="46330304"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2E078CC4"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72B00CA6" w14:textId="77777777" w:rsidR="00A502AC" w:rsidRPr="00336DF4" w:rsidRDefault="00A502AC" w:rsidP="00444693">
            <w:pPr>
              <w:pStyle w:val="TableText"/>
              <w:widowControl w:val="0"/>
              <w:suppressAutoHyphens w:val="0"/>
              <w:spacing w:before="0" w:after="0" w:line="240" w:lineRule="auto"/>
              <w:rPr>
                <w:szCs w:val="17"/>
              </w:rPr>
            </w:pPr>
            <w:r w:rsidRPr="00336DF4">
              <w:rPr>
                <w:szCs w:val="17"/>
              </w:rPr>
              <w:t>Small insectivore</w:t>
            </w:r>
          </w:p>
        </w:tc>
        <w:tc>
          <w:tcPr>
            <w:tcW w:w="662" w:type="pct"/>
            <w:tcBorders>
              <w:bottom w:val="single" w:sz="4" w:space="0" w:color="auto"/>
            </w:tcBorders>
          </w:tcPr>
          <w:p w14:paraId="66E22727" w14:textId="77777777" w:rsidR="00A502AC" w:rsidRPr="00C20C79" w:rsidRDefault="00A502AC" w:rsidP="00444693">
            <w:pPr>
              <w:pStyle w:val="TableText"/>
              <w:widowControl w:val="0"/>
              <w:suppressAutoHyphens w:val="0"/>
              <w:spacing w:before="0" w:after="0" w:line="240" w:lineRule="auto"/>
              <w:rPr>
                <w:szCs w:val="17"/>
              </w:rPr>
            </w:pPr>
            <w:r>
              <w:rPr>
                <w:szCs w:val="17"/>
              </w:rPr>
              <w:t>BBCH ≥20</w:t>
            </w:r>
          </w:p>
        </w:tc>
        <w:tc>
          <w:tcPr>
            <w:tcW w:w="496" w:type="pct"/>
            <w:tcBorders>
              <w:bottom w:val="single" w:sz="4" w:space="0" w:color="auto"/>
            </w:tcBorders>
          </w:tcPr>
          <w:p w14:paraId="0D04DDE9" w14:textId="77777777" w:rsidR="00A502AC" w:rsidRDefault="00A502AC" w:rsidP="00444693">
            <w:pPr>
              <w:pStyle w:val="TableText"/>
              <w:widowControl w:val="0"/>
              <w:suppressAutoHyphens w:val="0"/>
              <w:spacing w:before="0" w:after="0" w:line="240" w:lineRule="auto"/>
              <w:jc w:val="center"/>
            </w:pPr>
            <w:r>
              <w:t>5.4</w:t>
            </w:r>
          </w:p>
        </w:tc>
        <w:tc>
          <w:tcPr>
            <w:tcW w:w="496" w:type="pct"/>
            <w:tcBorders>
              <w:bottom w:val="single" w:sz="4" w:space="0" w:color="auto"/>
            </w:tcBorders>
          </w:tcPr>
          <w:p w14:paraId="0EC1E5DA" w14:textId="77777777" w:rsidR="00A502AC" w:rsidRDefault="00A502AC" w:rsidP="00444693">
            <w:pPr>
              <w:pStyle w:val="TableText"/>
              <w:widowControl w:val="0"/>
              <w:suppressAutoHyphens w:val="0"/>
              <w:spacing w:before="0" w:after="0" w:line="240" w:lineRule="auto"/>
              <w:jc w:val="center"/>
            </w:pPr>
            <w:r>
              <w:t>1.9</w:t>
            </w:r>
          </w:p>
        </w:tc>
        <w:tc>
          <w:tcPr>
            <w:tcW w:w="496" w:type="pct"/>
            <w:tcBorders>
              <w:bottom w:val="single" w:sz="4" w:space="0" w:color="auto"/>
            </w:tcBorders>
          </w:tcPr>
          <w:p w14:paraId="3F9B8422" w14:textId="77777777" w:rsidR="00A502AC" w:rsidRPr="00C3293F" w:rsidRDefault="00A502AC" w:rsidP="00444693">
            <w:pPr>
              <w:pStyle w:val="TableText"/>
              <w:widowControl w:val="0"/>
              <w:suppressAutoHyphens w:val="0"/>
              <w:spacing w:before="0" w:after="0" w:line="240" w:lineRule="auto"/>
              <w:jc w:val="center"/>
            </w:pPr>
            <w:r w:rsidRPr="005101D2">
              <w:t>1130</w:t>
            </w:r>
          </w:p>
        </w:tc>
        <w:tc>
          <w:tcPr>
            <w:tcW w:w="497" w:type="pct"/>
            <w:tcBorders>
              <w:bottom w:val="single" w:sz="4" w:space="0" w:color="auto"/>
            </w:tcBorders>
          </w:tcPr>
          <w:p w14:paraId="4C28DF12"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C3293F" w14:paraId="1A8CD0C2" w14:textId="77777777" w:rsidTr="00444693">
        <w:trPr>
          <w:cantSplit/>
          <w:trHeight w:val="13"/>
        </w:trPr>
        <w:tc>
          <w:tcPr>
            <w:tcW w:w="882" w:type="pct"/>
            <w:vMerge w:val="restart"/>
          </w:tcPr>
          <w:p w14:paraId="1B512ABC" w14:textId="77777777" w:rsidR="00A502AC" w:rsidRDefault="00A502AC" w:rsidP="00444693">
            <w:pPr>
              <w:pStyle w:val="TableText"/>
              <w:widowControl w:val="0"/>
              <w:suppressAutoHyphens w:val="0"/>
              <w:spacing w:before="0" w:after="0" w:line="240" w:lineRule="auto"/>
              <w:rPr>
                <w:szCs w:val="17"/>
              </w:rPr>
            </w:pPr>
            <w:r>
              <w:rPr>
                <w:szCs w:val="17"/>
              </w:rPr>
              <w:t>Spray topping in pulses</w:t>
            </w:r>
          </w:p>
        </w:tc>
        <w:tc>
          <w:tcPr>
            <w:tcW w:w="662" w:type="pct"/>
            <w:vMerge w:val="restart"/>
          </w:tcPr>
          <w:p w14:paraId="13E13F4C" w14:textId="77777777" w:rsidR="00A502AC" w:rsidRDefault="00A502AC" w:rsidP="00444693">
            <w:pPr>
              <w:pStyle w:val="TableText"/>
              <w:widowControl w:val="0"/>
              <w:suppressAutoHyphens w:val="0"/>
              <w:spacing w:before="0" w:after="0" w:line="240" w:lineRule="auto"/>
              <w:rPr>
                <w:szCs w:val="17"/>
              </w:rPr>
            </w:pPr>
            <w:r>
              <w:rPr>
                <w:szCs w:val="17"/>
              </w:rPr>
              <w:t>Pulses</w:t>
            </w:r>
          </w:p>
        </w:tc>
        <w:tc>
          <w:tcPr>
            <w:tcW w:w="809" w:type="pct"/>
            <w:tcBorders>
              <w:top w:val="single" w:sz="4" w:space="0" w:color="auto"/>
            </w:tcBorders>
          </w:tcPr>
          <w:p w14:paraId="434607A6" w14:textId="77777777" w:rsidR="00A502AC" w:rsidRPr="00336DF4" w:rsidRDefault="00A502AC" w:rsidP="00444693">
            <w:pPr>
              <w:pStyle w:val="TableText"/>
              <w:widowControl w:val="0"/>
              <w:suppressAutoHyphens w:val="0"/>
              <w:spacing w:before="0" w:after="0" w:line="240" w:lineRule="auto"/>
              <w:rPr>
                <w:szCs w:val="17"/>
              </w:rPr>
            </w:pPr>
            <w:r w:rsidRPr="00B6513E">
              <w:rPr>
                <w:szCs w:val="17"/>
              </w:rPr>
              <w:t>Small herbivore</w:t>
            </w:r>
          </w:p>
        </w:tc>
        <w:tc>
          <w:tcPr>
            <w:tcW w:w="662" w:type="pct"/>
            <w:tcBorders>
              <w:top w:val="single" w:sz="4" w:space="0" w:color="auto"/>
            </w:tcBorders>
          </w:tcPr>
          <w:p w14:paraId="70A03841" w14:textId="77777777" w:rsidR="00A502AC" w:rsidRPr="00C20C79" w:rsidRDefault="00A502AC" w:rsidP="00444693">
            <w:pPr>
              <w:pStyle w:val="TableText"/>
              <w:widowControl w:val="0"/>
              <w:suppressAutoHyphens w:val="0"/>
              <w:spacing w:before="0" w:after="0" w:line="240" w:lineRule="auto"/>
              <w:rPr>
                <w:szCs w:val="17"/>
              </w:rPr>
            </w:pPr>
            <w:r>
              <w:rPr>
                <w:szCs w:val="17"/>
              </w:rPr>
              <w:t>BBCH ≥50</w:t>
            </w:r>
          </w:p>
        </w:tc>
        <w:tc>
          <w:tcPr>
            <w:tcW w:w="496" w:type="pct"/>
            <w:tcBorders>
              <w:top w:val="single" w:sz="4" w:space="0" w:color="auto"/>
            </w:tcBorders>
          </w:tcPr>
          <w:p w14:paraId="4D9B045B" w14:textId="77777777" w:rsidR="00A502AC" w:rsidRDefault="00A502AC" w:rsidP="00444693">
            <w:pPr>
              <w:pStyle w:val="TableText"/>
              <w:widowControl w:val="0"/>
              <w:suppressAutoHyphens w:val="0"/>
              <w:spacing w:before="0" w:after="0" w:line="240" w:lineRule="auto"/>
              <w:jc w:val="center"/>
            </w:pPr>
            <w:r>
              <w:t>40.9</w:t>
            </w:r>
          </w:p>
        </w:tc>
        <w:tc>
          <w:tcPr>
            <w:tcW w:w="496" w:type="pct"/>
            <w:tcBorders>
              <w:top w:val="single" w:sz="4" w:space="0" w:color="auto"/>
            </w:tcBorders>
          </w:tcPr>
          <w:p w14:paraId="4F0302E1" w14:textId="77777777" w:rsidR="00A502AC" w:rsidRDefault="00A502AC" w:rsidP="00444693">
            <w:pPr>
              <w:pStyle w:val="TableText"/>
              <w:widowControl w:val="0"/>
              <w:suppressAutoHyphens w:val="0"/>
              <w:spacing w:before="0" w:after="0" w:line="240" w:lineRule="auto"/>
              <w:jc w:val="center"/>
            </w:pPr>
            <w:r>
              <w:t>21.7</w:t>
            </w:r>
          </w:p>
        </w:tc>
        <w:tc>
          <w:tcPr>
            <w:tcW w:w="496" w:type="pct"/>
            <w:tcBorders>
              <w:top w:val="single" w:sz="4" w:space="0" w:color="auto"/>
            </w:tcBorders>
            <w:shd w:val="clear" w:color="auto" w:fill="FF0000"/>
          </w:tcPr>
          <w:p w14:paraId="41925A30"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149</w:t>
            </w:r>
          </w:p>
        </w:tc>
        <w:tc>
          <w:tcPr>
            <w:tcW w:w="497" w:type="pct"/>
            <w:tcBorders>
              <w:top w:val="single" w:sz="4" w:space="0" w:color="auto"/>
            </w:tcBorders>
          </w:tcPr>
          <w:p w14:paraId="269AC539" w14:textId="77777777" w:rsidR="00A502AC" w:rsidRPr="00C3293F" w:rsidRDefault="00A502AC" w:rsidP="00444693">
            <w:pPr>
              <w:pStyle w:val="TableText"/>
              <w:widowControl w:val="0"/>
              <w:suppressAutoHyphens w:val="0"/>
              <w:spacing w:before="0" w:after="0" w:line="240" w:lineRule="auto"/>
              <w:jc w:val="center"/>
            </w:pPr>
            <w:r w:rsidRPr="005278D3">
              <w:t>665</w:t>
            </w:r>
          </w:p>
        </w:tc>
      </w:tr>
      <w:tr w:rsidR="00A502AC" w:rsidRPr="00C3293F" w14:paraId="72302C9B" w14:textId="77777777" w:rsidTr="00444693">
        <w:trPr>
          <w:cantSplit/>
          <w:trHeight w:val="13"/>
        </w:trPr>
        <w:tc>
          <w:tcPr>
            <w:tcW w:w="882" w:type="pct"/>
            <w:vMerge/>
          </w:tcPr>
          <w:p w14:paraId="27316D08" w14:textId="77777777" w:rsidR="00A502AC" w:rsidRDefault="00A502AC" w:rsidP="00444693">
            <w:pPr>
              <w:pStyle w:val="TableText"/>
              <w:widowControl w:val="0"/>
              <w:suppressAutoHyphens w:val="0"/>
              <w:spacing w:before="0" w:after="0" w:line="240" w:lineRule="auto"/>
              <w:rPr>
                <w:szCs w:val="17"/>
              </w:rPr>
            </w:pPr>
          </w:p>
        </w:tc>
        <w:tc>
          <w:tcPr>
            <w:tcW w:w="662" w:type="pct"/>
            <w:vMerge/>
          </w:tcPr>
          <w:p w14:paraId="2E309B7B" w14:textId="77777777" w:rsidR="00A502AC" w:rsidRDefault="00A502AC" w:rsidP="00444693">
            <w:pPr>
              <w:pStyle w:val="TableText"/>
              <w:widowControl w:val="0"/>
              <w:suppressAutoHyphens w:val="0"/>
              <w:spacing w:before="0" w:after="0" w:line="240" w:lineRule="auto"/>
              <w:rPr>
                <w:szCs w:val="17"/>
              </w:rPr>
            </w:pPr>
          </w:p>
        </w:tc>
        <w:tc>
          <w:tcPr>
            <w:tcW w:w="809" w:type="pct"/>
          </w:tcPr>
          <w:p w14:paraId="19C993C7" w14:textId="77777777" w:rsidR="00A502AC" w:rsidRPr="00336DF4" w:rsidRDefault="00A502AC" w:rsidP="00444693">
            <w:pPr>
              <w:pStyle w:val="TableText"/>
              <w:widowControl w:val="0"/>
              <w:suppressAutoHyphens w:val="0"/>
              <w:spacing w:before="0" w:after="0" w:line="240" w:lineRule="auto"/>
              <w:rPr>
                <w:szCs w:val="17"/>
              </w:rPr>
            </w:pPr>
            <w:r>
              <w:rPr>
                <w:szCs w:val="17"/>
              </w:rPr>
              <w:t>Large herbivore</w:t>
            </w:r>
          </w:p>
        </w:tc>
        <w:tc>
          <w:tcPr>
            <w:tcW w:w="662" w:type="pct"/>
          </w:tcPr>
          <w:p w14:paraId="653707D1" w14:textId="77777777" w:rsidR="00A502AC" w:rsidRPr="00C20C79" w:rsidRDefault="00A502AC" w:rsidP="00444693">
            <w:pPr>
              <w:pStyle w:val="TableText"/>
              <w:widowControl w:val="0"/>
              <w:suppressAutoHyphens w:val="0"/>
              <w:spacing w:before="0" w:after="0" w:line="240" w:lineRule="auto"/>
              <w:rPr>
                <w:szCs w:val="17"/>
              </w:rPr>
            </w:pPr>
            <w:r>
              <w:rPr>
                <w:szCs w:val="17"/>
              </w:rPr>
              <w:t>BBCH ≥50</w:t>
            </w:r>
          </w:p>
        </w:tc>
        <w:tc>
          <w:tcPr>
            <w:tcW w:w="496" w:type="pct"/>
          </w:tcPr>
          <w:p w14:paraId="0B33C48E" w14:textId="77777777" w:rsidR="00A502AC" w:rsidRDefault="00A502AC" w:rsidP="00444693">
            <w:pPr>
              <w:pStyle w:val="TableText"/>
              <w:widowControl w:val="0"/>
              <w:suppressAutoHyphens w:val="0"/>
              <w:spacing w:before="0" w:after="0" w:line="240" w:lineRule="auto"/>
              <w:jc w:val="center"/>
            </w:pPr>
            <w:r>
              <w:t>10.5</w:t>
            </w:r>
          </w:p>
        </w:tc>
        <w:tc>
          <w:tcPr>
            <w:tcW w:w="496" w:type="pct"/>
          </w:tcPr>
          <w:p w14:paraId="5C083714" w14:textId="77777777" w:rsidR="00A502AC" w:rsidRDefault="00A502AC" w:rsidP="00444693">
            <w:pPr>
              <w:pStyle w:val="TableText"/>
              <w:widowControl w:val="0"/>
              <w:suppressAutoHyphens w:val="0"/>
              <w:spacing w:before="0" w:after="0" w:line="240" w:lineRule="auto"/>
              <w:jc w:val="center"/>
            </w:pPr>
            <w:r>
              <w:t>4.3</w:t>
            </w:r>
          </w:p>
        </w:tc>
        <w:tc>
          <w:tcPr>
            <w:tcW w:w="496" w:type="pct"/>
          </w:tcPr>
          <w:p w14:paraId="4235DCA6" w14:textId="77777777" w:rsidR="00A502AC" w:rsidRPr="00C3293F" w:rsidRDefault="00A502AC" w:rsidP="00444693">
            <w:pPr>
              <w:pStyle w:val="TableText"/>
              <w:widowControl w:val="0"/>
              <w:suppressAutoHyphens w:val="0"/>
              <w:spacing w:before="0" w:after="0" w:line="240" w:lineRule="auto"/>
              <w:jc w:val="center"/>
            </w:pPr>
            <w:r w:rsidRPr="005101D2">
              <w:t>581</w:t>
            </w:r>
          </w:p>
        </w:tc>
        <w:tc>
          <w:tcPr>
            <w:tcW w:w="497" w:type="pct"/>
          </w:tcPr>
          <w:p w14:paraId="275E92BD" w14:textId="77777777" w:rsidR="00A502AC" w:rsidRPr="00C3293F" w:rsidRDefault="00A502AC" w:rsidP="00444693">
            <w:pPr>
              <w:pStyle w:val="TableText"/>
              <w:widowControl w:val="0"/>
              <w:suppressAutoHyphens w:val="0"/>
              <w:spacing w:before="0" w:after="0" w:line="240" w:lineRule="auto"/>
              <w:jc w:val="center"/>
            </w:pPr>
            <w:r w:rsidRPr="005278D3">
              <w:t>3355</w:t>
            </w:r>
          </w:p>
        </w:tc>
      </w:tr>
      <w:tr w:rsidR="00A502AC" w:rsidRPr="00C3293F" w14:paraId="66EFB3A3" w14:textId="77777777" w:rsidTr="00444693">
        <w:trPr>
          <w:cantSplit/>
          <w:trHeight w:val="13"/>
        </w:trPr>
        <w:tc>
          <w:tcPr>
            <w:tcW w:w="882" w:type="pct"/>
            <w:vMerge/>
          </w:tcPr>
          <w:p w14:paraId="3D2C2F3E" w14:textId="77777777" w:rsidR="00A502AC" w:rsidRDefault="00A502AC" w:rsidP="00444693">
            <w:pPr>
              <w:pStyle w:val="TableText"/>
              <w:widowControl w:val="0"/>
              <w:suppressAutoHyphens w:val="0"/>
              <w:spacing w:before="0" w:after="0" w:line="240" w:lineRule="auto"/>
              <w:rPr>
                <w:szCs w:val="17"/>
              </w:rPr>
            </w:pPr>
          </w:p>
        </w:tc>
        <w:tc>
          <w:tcPr>
            <w:tcW w:w="662" w:type="pct"/>
            <w:vMerge/>
          </w:tcPr>
          <w:p w14:paraId="631D3DF4" w14:textId="77777777" w:rsidR="00A502AC" w:rsidRDefault="00A502AC" w:rsidP="00444693">
            <w:pPr>
              <w:pStyle w:val="TableText"/>
              <w:widowControl w:val="0"/>
              <w:suppressAutoHyphens w:val="0"/>
              <w:spacing w:before="0" w:after="0" w:line="240" w:lineRule="auto"/>
              <w:rPr>
                <w:szCs w:val="17"/>
              </w:rPr>
            </w:pPr>
          </w:p>
        </w:tc>
        <w:tc>
          <w:tcPr>
            <w:tcW w:w="809" w:type="pct"/>
          </w:tcPr>
          <w:p w14:paraId="73DEB113" w14:textId="77777777" w:rsidR="00A502AC" w:rsidRPr="00336DF4" w:rsidRDefault="00A502AC" w:rsidP="00444693">
            <w:pPr>
              <w:pStyle w:val="TableText"/>
              <w:widowControl w:val="0"/>
              <w:suppressAutoHyphens w:val="0"/>
              <w:spacing w:before="0" w:after="0" w:line="240" w:lineRule="auto"/>
              <w:rPr>
                <w:szCs w:val="17"/>
              </w:rPr>
            </w:pPr>
            <w:r>
              <w:rPr>
                <w:szCs w:val="17"/>
              </w:rPr>
              <w:t>Small omnivore</w:t>
            </w:r>
          </w:p>
        </w:tc>
        <w:tc>
          <w:tcPr>
            <w:tcW w:w="662" w:type="pct"/>
          </w:tcPr>
          <w:p w14:paraId="413C1446" w14:textId="77777777" w:rsidR="00A502AC" w:rsidRPr="00C20C79" w:rsidRDefault="00A502AC" w:rsidP="00444693">
            <w:pPr>
              <w:pStyle w:val="TableText"/>
              <w:widowControl w:val="0"/>
              <w:suppressAutoHyphens w:val="0"/>
              <w:spacing w:before="0" w:after="0" w:line="240" w:lineRule="auto"/>
              <w:rPr>
                <w:szCs w:val="17"/>
              </w:rPr>
            </w:pPr>
            <w:r>
              <w:rPr>
                <w:szCs w:val="17"/>
              </w:rPr>
              <w:t>BBCH ≥50</w:t>
            </w:r>
          </w:p>
        </w:tc>
        <w:tc>
          <w:tcPr>
            <w:tcW w:w="496" w:type="pct"/>
          </w:tcPr>
          <w:p w14:paraId="38E28A56" w14:textId="77777777" w:rsidR="00A502AC" w:rsidRDefault="00A502AC" w:rsidP="00444693">
            <w:pPr>
              <w:pStyle w:val="TableText"/>
              <w:widowControl w:val="0"/>
              <w:suppressAutoHyphens w:val="0"/>
              <w:spacing w:before="0" w:after="0" w:line="240" w:lineRule="auto"/>
              <w:jc w:val="center"/>
            </w:pPr>
            <w:r>
              <w:t>5.2</w:t>
            </w:r>
          </w:p>
        </w:tc>
        <w:tc>
          <w:tcPr>
            <w:tcW w:w="496" w:type="pct"/>
          </w:tcPr>
          <w:p w14:paraId="65E1D4F7" w14:textId="77777777" w:rsidR="00A502AC" w:rsidRDefault="00A502AC" w:rsidP="00444693">
            <w:pPr>
              <w:pStyle w:val="TableText"/>
              <w:widowControl w:val="0"/>
              <w:suppressAutoHyphens w:val="0"/>
              <w:spacing w:before="0" w:after="0" w:line="240" w:lineRule="auto"/>
              <w:jc w:val="center"/>
            </w:pPr>
            <w:r>
              <w:t>2.3</w:t>
            </w:r>
          </w:p>
        </w:tc>
        <w:tc>
          <w:tcPr>
            <w:tcW w:w="496" w:type="pct"/>
          </w:tcPr>
          <w:p w14:paraId="23B3EBC3" w14:textId="77777777" w:rsidR="00A502AC" w:rsidRPr="00C3293F" w:rsidRDefault="00A502AC" w:rsidP="00444693">
            <w:pPr>
              <w:pStyle w:val="TableText"/>
              <w:widowControl w:val="0"/>
              <w:suppressAutoHyphens w:val="0"/>
              <w:spacing w:before="0" w:after="0" w:line="240" w:lineRule="auto"/>
              <w:jc w:val="center"/>
            </w:pPr>
            <w:r w:rsidRPr="005101D2">
              <w:t>1173</w:t>
            </w:r>
          </w:p>
        </w:tc>
        <w:tc>
          <w:tcPr>
            <w:tcW w:w="497" w:type="pct"/>
          </w:tcPr>
          <w:p w14:paraId="48685E1F" w14:textId="77777777" w:rsidR="00A502AC" w:rsidRPr="00C3293F" w:rsidRDefault="00A502AC" w:rsidP="00444693">
            <w:pPr>
              <w:pStyle w:val="TableText"/>
              <w:widowControl w:val="0"/>
              <w:suppressAutoHyphens w:val="0"/>
              <w:spacing w:before="0" w:after="0" w:line="240" w:lineRule="auto"/>
              <w:jc w:val="center"/>
            </w:pPr>
            <w:r w:rsidRPr="005278D3">
              <w:t>6273</w:t>
            </w:r>
          </w:p>
        </w:tc>
      </w:tr>
      <w:tr w:rsidR="00A502AC" w:rsidRPr="00C3293F" w14:paraId="1D58569A" w14:textId="77777777" w:rsidTr="00444693">
        <w:trPr>
          <w:cantSplit/>
          <w:trHeight w:val="13"/>
        </w:trPr>
        <w:tc>
          <w:tcPr>
            <w:tcW w:w="882" w:type="pct"/>
            <w:vMerge/>
          </w:tcPr>
          <w:p w14:paraId="14CB4F08" w14:textId="77777777" w:rsidR="00A502AC" w:rsidRDefault="00A502AC" w:rsidP="00444693">
            <w:pPr>
              <w:pStyle w:val="TableText"/>
              <w:widowControl w:val="0"/>
              <w:suppressAutoHyphens w:val="0"/>
              <w:spacing w:before="0" w:after="0" w:line="240" w:lineRule="auto"/>
              <w:rPr>
                <w:szCs w:val="17"/>
              </w:rPr>
            </w:pPr>
          </w:p>
        </w:tc>
        <w:tc>
          <w:tcPr>
            <w:tcW w:w="662" w:type="pct"/>
            <w:vMerge/>
          </w:tcPr>
          <w:p w14:paraId="56A39F13" w14:textId="77777777" w:rsidR="00A502AC" w:rsidRDefault="00A502AC" w:rsidP="00444693">
            <w:pPr>
              <w:pStyle w:val="TableText"/>
              <w:widowControl w:val="0"/>
              <w:suppressAutoHyphens w:val="0"/>
              <w:spacing w:before="0" w:after="0" w:line="240" w:lineRule="auto"/>
              <w:rPr>
                <w:szCs w:val="17"/>
              </w:rPr>
            </w:pPr>
          </w:p>
        </w:tc>
        <w:tc>
          <w:tcPr>
            <w:tcW w:w="809" w:type="pct"/>
          </w:tcPr>
          <w:p w14:paraId="5E1A8C71" w14:textId="77777777" w:rsidR="00A502AC" w:rsidRPr="00336DF4" w:rsidRDefault="00A502AC" w:rsidP="00444693">
            <w:pPr>
              <w:pStyle w:val="TableText"/>
              <w:widowControl w:val="0"/>
              <w:suppressAutoHyphens w:val="0"/>
              <w:spacing w:before="0" w:after="0" w:line="240" w:lineRule="auto"/>
              <w:rPr>
                <w:szCs w:val="17"/>
              </w:rPr>
            </w:pPr>
          </w:p>
        </w:tc>
        <w:tc>
          <w:tcPr>
            <w:tcW w:w="662" w:type="pct"/>
          </w:tcPr>
          <w:p w14:paraId="3B8AC483" w14:textId="77777777" w:rsidR="00A502AC" w:rsidRPr="00C20C79" w:rsidRDefault="00A502AC" w:rsidP="00444693">
            <w:pPr>
              <w:pStyle w:val="TableText"/>
              <w:widowControl w:val="0"/>
              <w:suppressAutoHyphens w:val="0"/>
              <w:spacing w:before="0" w:after="0" w:line="240" w:lineRule="auto"/>
              <w:rPr>
                <w:szCs w:val="17"/>
              </w:rPr>
            </w:pPr>
            <w:r>
              <w:rPr>
                <w:szCs w:val="17"/>
              </w:rPr>
              <w:t>BBCH 81-99</w:t>
            </w:r>
          </w:p>
        </w:tc>
        <w:tc>
          <w:tcPr>
            <w:tcW w:w="496" w:type="pct"/>
          </w:tcPr>
          <w:p w14:paraId="55A199EC" w14:textId="77777777" w:rsidR="00A502AC" w:rsidRDefault="00A502AC" w:rsidP="00444693">
            <w:pPr>
              <w:pStyle w:val="TableText"/>
              <w:widowControl w:val="0"/>
              <w:suppressAutoHyphens w:val="0"/>
              <w:spacing w:before="0" w:after="0" w:line="240" w:lineRule="auto"/>
              <w:jc w:val="center"/>
            </w:pPr>
            <w:r>
              <w:t>14.4</w:t>
            </w:r>
          </w:p>
        </w:tc>
        <w:tc>
          <w:tcPr>
            <w:tcW w:w="496" w:type="pct"/>
          </w:tcPr>
          <w:p w14:paraId="339AE5C0" w14:textId="77777777" w:rsidR="00A502AC" w:rsidRDefault="00A502AC" w:rsidP="00444693">
            <w:pPr>
              <w:pStyle w:val="TableText"/>
              <w:widowControl w:val="0"/>
              <w:suppressAutoHyphens w:val="0"/>
              <w:spacing w:before="0" w:after="0" w:line="240" w:lineRule="auto"/>
              <w:jc w:val="center"/>
            </w:pPr>
            <w:r>
              <w:t>6.6</w:t>
            </w:r>
          </w:p>
        </w:tc>
        <w:tc>
          <w:tcPr>
            <w:tcW w:w="496" w:type="pct"/>
          </w:tcPr>
          <w:p w14:paraId="586CC99F" w14:textId="77777777" w:rsidR="00A502AC" w:rsidRPr="00C3293F" w:rsidRDefault="00A502AC" w:rsidP="00444693">
            <w:pPr>
              <w:pStyle w:val="TableText"/>
              <w:widowControl w:val="0"/>
              <w:suppressAutoHyphens w:val="0"/>
              <w:spacing w:before="0" w:after="0" w:line="240" w:lineRule="auto"/>
              <w:jc w:val="center"/>
            </w:pPr>
            <w:r w:rsidRPr="005101D2">
              <w:t>424</w:t>
            </w:r>
          </w:p>
        </w:tc>
        <w:tc>
          <w:tcPr>
            <w:tcW w:w="497" w:type="pct"/>
          </w:tcPr>
          <w:p w14:paraId="607FAE8E" w14:textId="77777777" w:rsidR="00A502AC" w:rsidRPr="00C3293F" w:rsidRDefault="00A502AC" w:rsidP="00444693">
            <w:pPr>
              <w:pStyle w:val="TableText"/>
              <w:widowControl w:val="0"/>
              <w:suppressAutoHyphens w:val="0"/>
              <w:spacing w:before="0" w:after="0" w:line="240" w:lineRule="auto"/>
              <w:jc w:val="center"/>
            </w:pPr>
            <w:r w:rsidRPr="005278D3">
              <w:t>2186</w:t>
            </w:r>
          </w:p>
        </w:tc>
      </w:tr>
      <w:tr w:rsidR="00A502AC" w:rsidRPr="00C3293F" w14:paraId="0426F3AC" w14:textId="77777777" w:rsidTr="00444693">
        <w:trPr>
          <w:cantSplit/>
          <w:trHeight w:val="13"/>
        </w:trPr>
        <w:tc>
          <w:tcPr>
            <w:tcW w:w="882" w:type="pct"/>
            <w:vMerge/>
            <w:tcBorders>
              <w:bottom w:val="single" w:sz="4" w:space="0" w:color="auto"/>
            </w:tcBorders>
          </w:tcPr>
          <w:p w14:paraId="60FF23B1"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37091DA9"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73C3A67F" w14:textId="77777777" w:rsidR="00A502AC" w:rsidRPr="00336DF4" w:rsidRDefault="00A502AC" w:rsidP="00444693">
            <w:pPr>
              <w:pStyle w:val="TableText"/>
              <w:widowControl w:val="0"/>
              <w:suppressAutoHyphens w:val="0"/>
              <w:spacing w:before="0" w:after="0" w:line="240" w:lineRule="auto"/>
              <w:rPr>
                <w:szCs w:val="17"/>
              </w:rPr>
            </w:pPr>
            <w:r w:rsidRPr="00336DF4">
              <w:rPr>
                <w:szCs w:val="17"/>
              </w:rPr>
              <w:t>Small insectivore</w:t>
            </w:r>
          </w:p>
        </w:tc>
        <w:tc>
          <w:tcPr>
            <w:tcW w:w="662" w:type="pct"/>
            <w:tcBorders>
              <w:bottom w:val="single" w:sz="4" w:space="0" w:color="auto"/>
            </w:tcBorders>
          </w:tcPr>
          <w:p w14:paraId="33D748A1" w14:textId="77777777" w:rsidR="00A502AC" w:rsidRPr="00C20C79" w:rsidRDefault="00A502AC" w:rsidP="00444693">
            <w:pPr>
              <w:pStyle w:val="TableText"/>
              <w:widowControl w:val="0"/>
              <w:suppressAutoHyphens w:val="0"/>
              <w:spacing w:before="0" w:after="0" w:line="240" w:lineRule="auto"/>
              <w:rPr>
                <w:szCs w:val="17"/>
              </w:rPr>
            </w:pPr>
            <w:r>
              <w:rPr>
                <w:szCs w:val="17"/>
              </w:rPr>
              <w:t>BBCH ≥20</w:t>
            </w:r>
          </w:p>
        </w:tc>
        <w:tc>
          <w:tcPr>
            <w:tcW w:w="496" w:type="pct"/>
            <w:tcBorders>
              <w:bottom w:val="single" w:sz="4" w:space="0" w:color="auto"/>
            </w:tcBorders>
          </w:tcPr>
          <w:p w14:paraId="650A10F1" w14:textId="77777777" w:rsidR="00A502AC" w:rsidRDefault="00A502AC" w:rsidP="00444693">
            <w:pPr>
              <w:pStyle w:val="TableText"/>
              <w:widowControl w:val="0"/>
              <w:suppressAutoHyphens w:val="0"/>
              <w:spacing w:before="0" w:after="0" w:line="240" w:lineRule="auto"/>
              <w:jc w:val="center"/>
            </w:pPr>
            <w:r>
              <w:t>5.4</w:t>
            </w:r>
          </w:p>
        </w:tc>
        <w:tc>
          <w:tcPr>
            <w:tcW w:w="496" w:type="pct"/>
            <w:tcBorders>
              <w:bottom w:val="single" w:sz="4" w:space="0" w:color="auto"/>
            </w:tcBorders>
          </w:tcPr>
          <w:p w14:paraId="4E38E031" w14:textId="77777777" w:rsidR="00A502AC" w:rsidRDefault="00A502AC" w:rsidP="00444693">
            <w:pPr>
              <w:pStyle w:val="TableText"/>
              <w:widowControl w:val="0"/>
              <w:suppressAutoHyphens w:val="0"/>
              <w:spacing w:before="0" w:after="0" w:line="240" w:lineRule="auto"/>
              <w:jc w:val="center"/>
            </w:pPr>
            <w:r>
              <w:t>1.9</w:t>
            </w:r>
          </w:p>
        </w:tc>
        <w:tc>
          <w:tcPr>
            <w:tcW w:w="496" w:type="pct"/>
            <w:tcBorders>
              <w:bottom w:val="single" w:sz="4" w:space="0" w:color="auto"/>
            </w:tcBorders>
          </w:tcPr>
          <w:p w14:paraId="76FD8E31" w14:textId="77777777" w:rsidR="00A502AC" w:rsidRPr="00C3293F" w:rsidRDefault="00A502AC" w:rsidP="00444693">
            <w:pPr>
              <w:pStyle w:val="TableText"/>
              <w:widowControl w:val="0"/>
              <w:suppressAutoHyphens w:val="0"/>
              <w:spacing w:before="0" w:after="0" w:line="240" w:lineRule="auto"/>
              <w:jc w:val="center"/>
            </w:pPr>
            <w:r w:rsidRPr="005101D2">
              <w:t>1130</w:t>
            </w:r>
          </w:p>
        </w:tc>
        <w:tc>
          <w:tcPr>
            <w:tcW w:w="497" w:type="pct"/>
            <w:tcBorders>
              <w:bottom w:val="single" w:sz="4" w:space="0" w:color="auto"/>
            </w:tcBorders>
          </w:tcPr>
          <w:p w14:paraId="7844D832" w14:textId="77777777" w:rsidR="00A502AC" w:rsidRPr="00C3293F" w:rsidRDefault="00A502AC" w:rsidP="00444693">
            <w:pPr>
              <w:pStyle w:val="TableText"/>
              <w:widowControl w:val="0"/>
              <w:suppressAutoHyphens w:val="0"/>
              <w:spacing w:before="0" w:after="0" w:line="240" w:lineRule="auto"/>
              <w:jc w:val="center"/>
            </w:pPr>
            <w:r w:rsidRPr="005278D3">
              <w:t>7594</w:t>
            </w:r>
          </w:p>
        </w:tc>
      </w:tr>
      <w:tr w:rsidR="00A502AC" w:rsidRPr="00FE314D" w14:paraId="13D1B69B" w14:textId="77777777" w:rsidTr="00444693">
        <w:trPr>
          <w:cantSplit/>
          <w:trHeight w:val="13"/>
        </w:trPr>
        <w:tc>
          <w:tcPr>
            <w:tcW w:w="882" w:type="pct"/>
            <w:vMerge w:val="restart"/>
            <w:tcBorders>
              <w:bottom w:val="single" w:sz="4" w:space="0" w:color="auto"/>
            </w:tcBorders>
          </w:tcPr>
          <w:p w14:paraId="655ECA8D" w14:textId="77777777" w:rsidR="00A502AC" w:rsidRDefault="00A502AC" w:rsidP="00444693">
            <w:pPr>
              <w:pStyle w:val="TableText"/>
              <w:widowControl w:val="0"/>
              <w:suppressAutoHyphens w:val="0"/>
              <w:spacing w:before="0" w:after="0" w:line="240" w:lineRule="auto"/>
              <w:rPr>
                <w:szCs w:val="17"/>
              </w:rPr>
            </w:pPr>
            <w:r>
              <w:rPr>
                <w:szCs w:val="17"/>
              </w:rPr>
              <w:t>General weed control in vineyards</w:t>
            </w:r>
          </w:p>
        </w:tc>
        <w:tc>
          <w:tcPr>
            <w:tcW w:w="662" w:type="pct"/>
            <w:vMerge w:val="restart"/>
            <w:tcBorders>
              <w:bottom w:val="single" w:sz="4" w:space="0" w:color="auto"/>
            </w:tcBorders>
          </w:tcPr>
          <w:p w14:paraId="008D5E7D" w14:textId="77777777" w:rsidR="00A502AC" w:rsidRDefault="00A502AC" w:rsidP="00444693">
            <w:pPr>
              <w:pStyle w:val="TableText"/>
              <w:widowControl w:val="0"/>
              <w:suppressAutoHyphens w:val="0"/>
              <w:spacing w:before="0" w:after="0" w:line="240" w:lineRule="auto"/>
              <w:rPr>
                <w:szCs w:val="17"/>
              </w:rPr>
            </w:pPr>
            <w:r>
              <w:rPr>
                <w:szCs w:val="17"/>
              </w:rPr>
              <w:t>Vineyards</w:t>
            </w:r>
          </w:p>
        </w:tc>
        <w:tc>
          <w:tcPr>
            <w:tcW w:w="809" w:type="pct"/>
            <w:tcBorders>
              <w:top w:val="single" w:sz="4" w:space="0" w:color="auto"/>
            </w:tcBorders>
          </w:tcPr>
          <w:p w14:paraId="4A6E9E07" w14:textId="77777777" w:rsidR="00A502AC" w:rsidRDefault="00A502AC" w:rsidP="00444693">
            <w:pPr>
              <w:pStyle w:val="TableText"/>
              <w:widowControl w:val="0"/>
              <w:suppressAutoHyphens w:val="0"/>
              <w:spacing w:before="0" w:after="0" w:line="240" w:lineRule="auto"/>
              <w:rPr>
                <w:szCs w:val="17"/>
              </w:rPr>
            </w:pPr>
            <w:r w:rsidRPr="00B6513E">
              <w:rPr>
                <w:szCs w:val="17"/>
              </w:rPr>
              <w:t>Small herbivore</w:t>
            </w:r>
          </w:p>
        </w:tc>
        <w:tc>
          <w:tcPr>
            <w:tcW w:w="662" w:type="pct"/>
            <w:tcBorders>
              <w:top w:val="single" w:sz="4" w:space="0" w:color="auto"/>
            </w:tcBorders>
          </w:tcPr>
          <w:p w14:paraId="10B14A5D" w14:textId="77777777" w:rsidR="00A502AC" w:rsidRDefault="00A502AC" w:rsidP="00444693">
            <w:pPr>
              <w:pStyle w:val="TableText"/>
              <w:widowControl w:val="0"/>
              <w:suppressAutoHyphens w:val="0"/>
              <w:spacing w:before="0" w:after="0" w:line="240" w:lineRule="auto"/>
              <w:rPr>
                <w:szCs w:val="17"/>
              </w:rPr>
            </w:pPr>
            <w:r w:rsidRPr="00065967">
              <w:rPr>
                <w:szCs w:val="17"/>
              </w:rPr>
              <w:t>Ground directed</w:t>
            </w:r>
          </w:p>
        </w:tc>
        <w:tc>
          <w:tcPr>
            <w:tcW w:w="496" w:type="pct"/>
            <w:tcBorders>
              <w:top w:val="single" w:sz="4" w:space="0" w:color="auto"/>
            </w:tcBorders>
          </w:tcPr>
          <w:p w14:paraId="7C7E8C3A" w14:textId="77777777" w:rsidR="00A502AC" w:rsidRDefault="00A502AC" w:rsidP="00444693">
            <w:pPr>
              <w:pStyle w:val="TableText"/>
              <w:widowControl w:val="0"/>
              <w:suppressAutoHyphens w:val="0"/>
              <w:spacing w:before="0" w:after="0" w:line="240" w:lineRule="auto"/>
              <w:jc w:val="center"/>
            </w:pPr>
            <w:r>
              <w:t>136.4</w:t>
            </w:r>
          </w:p>
        </w:tc>
        <w:tc>
          <w:tcPr>
            <w:tcW w:w="496" w:type="pct"/>
            <w:tcBorders>
              <w:top w:val="single" w:sz="4" w:space="0" w:color="auto"/>
            </w:tcBorders>
          </w:tcPr>
          <w:p w14:paraId="1DD680FD" w14:textId="77777777" w:rsidR="00A502AC" w:rsidRDefault="00A502AC" w:rsidP="00444693">
            <w:pPr>
              <w:pStyle w:val="TableText"/>
              <w:widowControl w:val="0"/>
              <w:suppressAutoHyphens w:val="0"/>
              <w:spacing w:before="0" w:after="0" w:line="240" w:lineRule="auto"/>
              <w:jc w:val="center"/>
            </w:pPr>
            <w:r>
              <w:t>72.3</w:t>
            </w:r>
          </w:p>
        </w:tc>
        <w:tc>
          <w:tcPr>
            <w:tcW w:w="496" w:type="pct"/>
            <w:tcBorders>
              <w:top w:val="single" w:sz="4" w:space="0" w:color="auto"/>
            </w:tcBorders>
            <w:shd w:val="clear" w:color="auto" w:fill="FF0000"/>
          </w:tcPr>
          <w:p w14:paraId="491F1D63"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45</w:t>
            </w:r>
          </w:p>
        </w:tc>
        <w:tc>
          <w:tcPr>
            <w:tcW w:w="497" w:type="pct"/>
            <w:tcBorders>
              <w:top w:val="single" w:sz="4" w:space="0" w:color="auto"/>
            </w:tcBorders>
            <w:shd w:val="clear" w:color="auto" w:fill="FF0000"/>
          </w:tcPr>
          <w:p w14:paraId="49B730A3" w14:textId="77777777" w:rsidR="00A502AC" w:rsidRPr="00FE314D" w:rsidRDefault="00A502AC" w:rsidP="00444693">
            <w:pPr>
              <w:pStyle w:val="TableText"/>
              <w:widowControl w:val="0"/>
              <w:suppressAutoHyphens w:val="0"/>
              <w:spacing w:before="0" w:after="0" w:line="240" w:lineRule="auto"/>
              <w:jc w:val="center"/>
              <w:rPr>
                <w:b/>
                <w:bCs/>
              </w:rPr>
            </w:pPr>
            <w:r w:rsidRPr="00FE314D">
              <w:rPr>
                <w:b/>
                <w:bCs/>
              </w:rPr>
              <w:t>200</w:t>
            </w:r>
          </w:p>
        </w:tc>
      </w:tr>
      <w:tr w:rsidR="00A502AC" w:rsidRPr="00C3293F" w14:paraId="00E9A89D" w14:textId="77777777" w:rsidTr="00444693">
        <w:trPr>
          <w:cantSplit/>
          <w:trHeight w:val="13"/>
        </w:trPr>
        <w:tc>
          <w:tcPr>
            <w:tcW w:w="882" w:type="pct"/>
            <w:vMerge/>
            <w:tcBorders>
              <w:bottom w:val="single" w:sz="4" w:space="0" w:color="auto"/>
            </w:tcBorders>
          </w:tcPr>
          <w:p w14:paraId="6F572688"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7D6E2185" w14:textId="77777777" w:rsidR="00A502AC" w:rsidRDefault="00A502AC" w:rsidP="00444693">
            <w:pPr>
              <w:pStyle w:val="TableText"/>
              <w:widowControl w:val="0"/>
              <w:suppressAutoHyphens w:val="0"/>
              <w:spacing w:before="0" w:after="0" w:line="240" w:lineRule="auto"/>
              <w:rPr>
                <w:szCs w:val="17"/>
              </w:rPr>
            </w:pPr>
          </w:p>
        </w:tc>
        <w:tc>
          <w:tcPr>
            <w:tcW w:w="809" w:type="pct"/>
          </w:tcPr>
          <w:p w14:paraId="0508DDBC" w14:textId="77777777" w:rsidR="00A502AC" w:rsidRDefault="00A502AC" w:rsidP="00444693">
            <w:pPr>
              <w:pStyle w:val="TableText"/>
              <w:widowControl w:val="0"/>
              <w:suppressAutoHyphens w:val="0"/>
              <w:spacing w:before="0" w:after="0" w:line="240" w:lineRule="auto"/>
              <w:rPr>
                <w:szCs w:val="17"/>
              </w:rPr>
            </w:pPr>
            <w:r>
              <w:rPr>
                <w:szCs w:val="17"/>
              </w:rPr>
              <w:t>Large herbivore</w:t>
            </w:r>
          </w:p>
        </w:tc>
        <w:tc>
          <w:tcPr>
            <w:tcW w:w="662" w:type="pct"/>
          </w:tcPr>
          <w:p w14:paraId="402F36DC" w14:textId="77777777" w:rsidR="00A502AC" w:rsidRDefault="00A502AC" w:rsidP="00444693">
            <w:pPr>
              <w:pStyle w:val="TableText"/>
              <w:widowControl w:val="0"/>
              <w:suppressAutoHyphens w:val="0"/>
              <w:spacing w:before="0" w:after="0" w:line="240" w:lineRule="auto"/>
              <w:rPr>
                <w:szCs w:val="17"/>
              </w:rPr>
            </w:pPr>
            <w:r w:rsidRPr="00065967">
              <w:rPr>
                <w:szCs w:val="17"/>
              </w:rPr>
              <w:t>Ground directed</w:t>
            </w:r>
          </w:p>
        </w:tc>
        <w:tc>
          <w:tcPr>
            <w:tcW w:w="496" w:type="pct"/>
          </w:tcPr>
          <w:p w14:paraId="6E586D49" w14:textId="77777777" w:rsidR="00A502AC" w:rsidRDefault="00A502AC" w:rsidP="00444693">
            <w:pPr>
              <w:pStyle w:val="TableText"/>
              <w:widowControl w:val="0"/>
              <w:suppressAutoHyphens w:val="0"/>
              <w:spacing w:before="0" w:after="0" w:line="240" w:lineRule="auto"/>
              <w:jc w:val="center"/>
            </w:pPr>
            <w:r>
              <w:t>27.2</w:t>
            </w:r>
          </w:p>
        </w:tc>
        <w:tc>
          <w:tcPr>
            <w:tcW w:w="496" w:type="pct"/>
          </w:tcPr>
          <w:p w14:paraId="516581C7" w14:textId="77777777" w:rsidR="00A502AC" w:rsidRDefault="00A502AC" w:rsidP="00444693">
            <w:pPr>
              <w:pStyle w:val="TableText"/>
              <w:widowControl w:val="0"/>
              <w:suppressAutoHyphens w:val="0"/>
              <w:spacing w:before="0" w:after="0" w:line="240" w:lineRule="auto"/>
              <w:jc w:val="center"/>
            </w:pPr>
            <w:r>
              <w:t>11.1</w:t>
            </w:r>
          </w:p>
        </w:tc>
        <w:tc>
          <w:tcPr>
            <w:tcW w:w="496" w:type="pct"/>
            <w:shd w:val="clear" w:color="auto" w:fill="FF0000"/>
          </w:tcPr>
          <w:p w14:paraId="3E309DAA"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224</w:t>
            </w:r>
          </w:p>
        </w:tc>
        <w:tc>
          <w:tcPr>
            <w:tcW w:w="497" w:type="pct"/>
          </w:tcPr>
          <w:p w14:paraId="6A1D4B96" w14:textId="77777777" w:rsidR="00A502AC" w:rsidRPr="00C3293F" w:rsidRDefault="00A502AC" w:rsidP="00444693">
            <w:pPr>
              <w:pStyle w:val="TableText"/>
              <w:widowControl w:val="0"/>
              <w:suppressAutoHyphens w:val="0"/>
              <w:spacing w:before="0" w:after="0" w:line="240" w:lineRule="auto"/>
              <w:jc w:val="center"/>
            </w:pPr>
            <w:r w:rsidRPr="005278D3">
              <w:t>1300</w:t>
            </w:r>
          </w:p>
        </w:tc>
      </w:tr>
      <w:tr w:rsidR="00A502AC" w:rsidRPr="00C3293F" w14:paraId="01A1AA75" w14:textId="77777777" w:rsidTr="00444693">
        <w:trPr>
          <w:cantSplit/>
          <w:trHeight w:val="13"/>
        </w:trPr>
        <w:tc>
          <w:tcPr>
            <w:tcW w:w="882" w:type="pct"/>
            <w:vMerge/>
            <w:tcBorders>
              <w:bottom w:val="single" w:sz="4" w:space="0" w:color="auto"/>
            </w:tcBorders>
          </w:tcPr>
          <w:p w14:paraId="1EF650D3" w14:textId="77777777" w:rsidR="00A502AC" w:rsidRDefault="00A502AC" w:rsidP="00444693">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6A87748F" w14:textId="77777777" w:rsidR="00A502AC" w:rsidRDefault="00A502AC" w:rsidP="00444693">
            <w:pPr>
              <w:pStyle w:val="TableText"/>
              <w:widowControl w:val="0"/>
              <w:suppressAutoHyphens w:val="0"/>
              <w:spacing w:before="0" w:after="0" w:line="240" w:lineRule="auto"/>
              <w:rPr>
                <w:szCs w:val="17"/>
              </w:rPr>
            </w:pPr>
          </w:p>
        </w:tc>
        <w:tc>
          <w:tcPr>
            <w:tcW w:w="809" w:type="pct"/>
            <w:tcBorders>
              <w:bottom w:val="single" w:sz="4" w:space="0" w:color="auto"/>
            </w:tcBorders>
          </w:tcPr>
          <w:p w14:paraId="698F8958"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62" w:type="pct"/>
            <w:tcBorders>
              <w:bottom w:val="single" w:sz="4" w:space="0" w:color="auto"/>
            </w:tcBorders>
          </w:tcPr>
          <w:p w14:paraId="4294F300" w14:textId="77777777" w:rsidR="00A502AC" w:rsidRDefault="00A502AC" w:rsidP="00444693">
            <w:pPr>
              <w:pStyle w:val="TableText"/>
              <w:widowControl w:val="0"/>
              <w:suppressAutoHyphens w:val="0"/>
              <w:spacing w:before="0" w:after="0" w:line="240" w:lineRule="auto"/>
              <w:rPr>
                <w:szCs w:val="17"/>
              </w:rPr>
            </w:pPr>
            <w:r w:rsidRPr="00065967">
              <w:rPr>
                <w:szCs w:val="17"/>
              </w:rPr>
              <w:t>Ground directed</w:t>
            </w:r>
          </w:p>
        </w:tc>
        <w:tc>
          <w:tcPr>
            <w:tcW w:w="496" w:type="pct"/>
            <w:tcBorders>
              <w:bottom w:val="single" w:sz="4" w:space="0" w:color="auto"/>
            </w:tcBorders>
          </w:tcPr>
          <w:p w14:paraId="673B0E68" w14:textId="77777777" w:rsidR="00A502AC" w:rsidRDefault="00A502AC" w:rsidP="00444693">
            <w:pPr>
              <w:pStyle w:val="TableText"/>
              <w:widowControl w:val="0"/>
              <w:suppressAutoHyphens w:val="0"/>
              <w:spacing w:before="0" w:after="0" w:line="240" w:lineRule="auto"/>
              <w:jc w:val="center"/>
            </w:pPr>
            <w:r>
              <w:t>17.2</w:t>
            </w:r>
          </w:p>
        </w:tc>
        <w:tc>
          <w:tcPr>
            <w:tcW w:w="496" w:type="pct"/>
            <w:tcBorders>
              <w:bottom w:val="single" w:sz="4" w:space="0" w:color="auto"/>
            </w:tcBorders>
          </w:tcPr>
          <w:p w14:paraId="5FA48997" w14:textId="77777777" w:rsidR="00A502AC" w:rsidRDefault="00A502AC" w:rsidP="00444693">
            <w:pPr>
              <w:pStyle w:val="TableText"/>
              <w:widowControl w:val="0"/>
              <w:suppressAutoHyphens w:val="0"/>
              <w:spacing w:before="0" w:after="0" w:line="240" w:lineRule="auto"/>
              <w:jc w:val="center"/>
            </w:pPr>
            <w:r>
              <w:t>7.8</w:t>
            </w:r>
          </w:p>
        </w:tc>
        <w:tc>
          <w:tcPr>
            <w:tcW w:w="496" w:type="pct"/>
            <w:tcBorders>
              <w:bottom w:val="single" w:sz="4" w:space="0" w:color="auto"/>
            </w:tcBorders>
            <w:shd w:val="clear" w:color="auto" w:fill="FF0000"/>
          </w:tcPr>
          <w:p w14:paraId="463F4F94" w14:textId="77777777" w:rsidR="00A502AC" w:rsidRPr="00401A10" w:rsidRDefault="00A502AC" w:rsidP="00444693">
            <w:pPr>
              <w:pStyle w:val="TableText"/>
              <w:widowControl w:val="0"/>
              <w:suppressAutoHyphens w:val="0"/>
              <w:spacing w:before="0" w:after="0" w:line="240" w:lineRule="auto"/>
              <w:jc w:val="center"/>
              <w:rPr>
                <w:b/>
                <w:bCs/>
              </w:rPr>
            </w:pPr>
            <w:r w:rsidRPr="00401A10">
              <w:rPr>
                <w:b/>
                <w:bCs/>
              </w:rPr>
              <w:t>355</w:t>
            </w:r>
          </w:p>
        </w:tc>
        <w:tc>
          <w:tcPr>
            <w:tcW w:w="497" w:type="pct"/>
            <w:tcBorders>
              <w:bottom w:val="single" w:sz="4" w:space="0" w:color="auto"/>
            </w:tcBorders>
          </w:tcPr>
          <w:p w14:paraId="05DCC5EC" w14:textId="77777777" w:rsidR="00A502AC" w:rsidRPr="00C3293F" w:rsidRDefault="00A502AC" w:rsidP="00444693">
            <w:pPr>
              <w:pStyle w:val="TableText"/>
              <w:widowControl w:val="0"/>
              <w:suppressAutoHyphens w:val="0"/>
              <w:spacing w:before="0" w:after="0" w:line="240" w:lineRule="auto"/>
              <w:jc w:val="center"/>
            </w:pPr>
            <w:r w:rsidRPr="005278D3">
              <w:t>1850</w:t>
            </w:r>
          </w:p>
        </w:tc>
      </w:tr>
    </w:tbl>
    <w:p w14:paraId="7C1AE34A" w14:textId="79DD34D9" w:rsidR="00A502AC" w:rsidRPr="00401A10" w:rsidRDefault="00A502AC" w:rsidP="00A502AC">
      <w:pPr>
        <w:pStyle w:val="SourceTableNote"/>
        <w:widowControl w:val="0"/>
        <w:suppressAutoHyphens w:val="0"/>
        <w:spacing w:line="240" w:lineRule="auto"/>
        <w:rPr>
          <w:sz w:val="17"/>
          <w:szCs w:val="17"/>
        </w:rPr>
      </w:pPr>
      <w:r w:rsidRPr="00401A10">
        <w:rPr>
          <w:sz w:val="17"/>
          <w:szCs w:val="17"/>
        </w:rPr>
        <w:t xml:space="preserve">Crop groups and situations as indicated in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p>
    <w:p w14:paraId="2E8E9594"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Generic focal species and shortcut values for indicated crop groups from EFSA (2009)</w:t>
      </w:r>
    </w:p>
    <w:p w14:paraId="2F0D26CF"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RAL = regulatory acceptable level</w:t>
      </w:r>
    </w:p>
    <w:p w14:paraId="26969716" w14:textId="77777777" w:rsidR="00A502AC" w:rsidRPr="00401A10" w:rsidRDefault="00A502AC" w:rsidP="00A502AC">
      <w:pPr>
        <w:pStyle w:val="SourceTableNote"/>
        <w:widowControl w:val="0"/>
        <w:suppressAutoHyphens w:val="0"/>
        <w:spacing w:line="240" w:lineRule="auto"/>
        <w:ind w:left="567"/>
        <w:rPr>
          <w:sz w:val="17"/>
          <w:szCs w:val="17"/>
        </w:rPr>
      </w:pPr>
      <w:r w:rsidRPr="00401A10">
        <w:rPr>
          <w:sz w:val="17"/>
          <w:szCs w:val="17"/>
        </w:rPr>
        <w:t>Acute = geomean LD</w:t>
      </w:r>
      <w:r w:rsidRPr="00401A10">
        <w:rPr>
          <w:sz w:val="17"/>
          <w:szCs w:val="17"/>
          <w:vertAlign w:val="subscript"/>
        </w:rPr>
        <w:t>50</w:t>
      </w:r>
      <w:r w:rsidRPr="00401A10">
        <w:rPr>
          <w:sz w:val="17"/>
          <w:szCs w:val="17"/>
        </w:rPr>
        <w:t xml:space="preserve"> 61 mg/kg bw (Duerden 1994, Farnworth et al. 1993, Fletcher 1967, Heylings &amp; Farnworth 1992, Kimbrough &amp; Gaines 1970, Murray &amp; Gibson 1972) and assessment factor of 10</w:t>
      </w:r>
    </w:p>
    <w:p w14:paraId="7A2EF032"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ab/>
        <w:t>Chronic = NOAEL 3.8 mg/kg bw/d (Lindsay 1982a, 1982b) and assessment factor of 1</w:t>
      </w:r>
    </w:p>
    <w:p w14:paraId="75C199C2"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Maximum acceptable rate (g ac/ha)</w:t>
      </w:r>
    </w:p>
    <w:p w14:paraId="1F34A163" w14:textId="77777777" w:rsidR="00A502AC" w:rsidRPr="00401A10" w:rsidRDefault="00A502AC" w:rsidP="00A502AC">
      <w:pPr>
        <w:pStyle w:val="SourceTableNote"/>
        <w:widowControl w:val="0"/>
        <w:suppressAutoHyphens w:val="0"/>
        <w:spacing w:line="240" w:lineRule="auto"/>
        <w:ind w:firstLine="567"/>
        <w:rPr>
          <w:sz w:val="17"/>
          <w:szCs w:val="17"/>
        </w:rPr>
      </w:pPr>
      <w:r w:rsidRPr="00401A10">
        <w:rPr>
          <w:sz w:val="17"/>
          <w:szCs w:val="17"/>
        </w:rPr>
        <w:t xml:space="preserve">= RAL × 1000 </w:t>
      </w:r>
      <w:r>
        <w:rPr>
          <w:sz w:val="17"/>
          <w:szCs w:val="17"/>
        </w:rPr>
        <w:t>∕</w:t>
      </w:r>
      <w:r w:rsidRPr="00401A10">
        <w:rPr>
          <w:sz w:val="17"/>
          <w:szCs w:val="17"/>
        </w:rPr>
        <w:t xml:space="preserve"> (shortcut value × PT</w:t>
      </w:r>
      <w:r>
        <w:rPr>
          <w:sz w:val="17"/>
          <w:szCs w:val="17"/>
        </w:rPr>
        <w:t xml:space="preserve"> </w:t>
      </w:r>
      <w:r w:rsidRPr="00401A10">
        <w:rPr>
          <w:sz w:val="17"/>
          <w:szCs w:val="17"/>
        </w:rPr>
        <w:t>(acute 1.0, chronic 0.5) × TWA factor (acute 1.0, chronic 0.53))</w:t>
      </w:r>
    </w:p>
    <w:p w14:paraId="41201AD2" w14:textId="10275604" w:rsidR="00A502AC" w:rsidRPr="00401A10" w:rsidRDefault="00A502AC" w:rsidP="00A502AC">
      <w:pPr>
        <w:pStyle w:val="SourceTableNote"/>
        <w:widowControl w:val="0"/>
        <w:suppressAutoHyphens w:val="0"/>
        <w:spacing w:line="240" w:lineRule="auto"/>
        <w:rPr>
          <w:sz w:val="17"/>
          <w:szCs w:val="17"/>
        </w:rPr>
      </w:pPr>
      <w:r>
        <w:rPr>
          <w:sz w:val="17"/>
          <w:szCs w:val="17"/>
        </w:rPr>
        <w:t>Acceptable rates in bold</w:t>
      </w:r>
      <w:r w:rsidRPr="00401A10">
        <w:rPr>
          <w:sz w:val="17"/>
          <w:szCs w:val="17"/>
        </w:rPr>
        <w:t xml:space="preserve"> indicate where the acceptable use rate is lower than the maximum seasonal rate for the use situation</w:t>
      </w:r>
      <w:r>
        <w:rPr>
          <w:sz w:val="17"/>
          <w:szCs w:val="17"/>
        </w:rPr>
        <w:t>s</w:t>
      </w:r>
      <w:r w:rsidRPr="00401A10">
        <w:rPr>
          <w:sz w:val="17"/>
          <w:szCs w:val="17"/>
        </w:rPr>
        <w:t xml:space="preserve"> as quoted in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r w:rsidRPr="00401A10">
        <w:rPr>
          <w:sz w:val="17"/>
          <w:szCs w:val="17"/>
        </w:rPr>
        <w:t xml:space="preserve">. </w:t>
      </w:r>
      <w:r>
        <w:rPr>
          <w:sz w:val="17"/>
          <w:szCs w:val="17"/>
        </w:rPr>
        <w:t>Therefore, f</w:t>
      </w:r>
      <w:r w:rsidRPr="00401A10">
        <w:rPr>
          <w:sz w:val="17"/>
          <w:szCs w:val="17"/>
        </w:rPr>
        <w:t>urther refinement would be required to demonstrate an acceptable risk for one or more on-label use rates.</w:t>
      </w:r>
    </w:p>
    <w:p w14:paraId="240C25ED" w14:textId="3CE3BA21" w:rsidR="009A7378" w:rsidRPr="00AC06D7" w:rsidRDefault="00E53283" w:rsidP="00AC06D7">
      <w:pPr>
        <w:pStyle w:val="Caption"/>
      </w:pPr>
      <w:bookmarkStart w:id="721" w:name="_Ref168386684"/>
      <w:bookmarkStart w:id="722" w:name="_Toc230692342"/>
      <w:bookmarkStart w:id="723" w:name="_Toc233036563"/>
      <w:r w:rsidRPr="00AC06D7">
        <w:t xml:space="preserve">Table </w:t>
      </w:r>
      <w:fldSimple w:instr=" SEQ Table \* ARABIC ">
        <w:r w:rsidR="00AC06D7">
          <w:rPr>
            <w:noProof/>
          </w:rPr>
          <w:t>76</w:t>
        </w:r>
      </w:fldSimple>
      <w:bookmarkEnd w:id="721"/>
      <w:r w:rsidRPr="00AC06D7">
        <w:t xml:space="preserve">: </w:t>
      </w:r>
      <w:r w:rsidR="00A502AC" w:rsidRPr="00AC06D7">
        <w:t>Assessment of</w:t>
      </w:r>
      <w:r w:rsidR="009A7378" w:rsidRPr="00AC06D7">
        <w:t xml:space="preserve"> risks to birds (</w:t>
      </w:r>
      <w:r w:rsidR="00A502AC" w:rsidRPr="00AC06D7">
        <w:t xml:space="preserve">acute </w:t>
      </w:r>
      <w:r w:rsidR="009A7378" w:rsidRPr="00AC06D7">
        <w:t>RAL 5.7 mg/kg bw</w:t>
      </w:r>
      <w:r w:rsidR="00A502AC" w:rsidRPr="00AC06D7">
        <w:t>; chronic RAL 2.7 mg ac/kg bw/d</w:t>
      </w:r>
      <w:r w:rsidR="009A7378" w:rsidRPr="00AC06D7">
        <w:t>)</w:t>
      </w:r>
      <w:bookmarkEnd w:id="722"/>
      <w:bookmarkEnd w:id="723"/>
    </w:p>
    <w:tbl>
      <w:tblPr>
        <w:tblW w:w="5000" w:type="pct"/>
        <w:tblCellMar>
          <w:top w:w="57" w:type="dxa"/>
          <w:left w:w="57" w:type="dxa"/>
          <w:bottom w:w="57" w:type="dxa"/>
          <w:right w:w="57" w:type="dxa"/>
        </w:tblCellMar>
        <w:tblLook w:val="0000" w:firstRow="0" w:lastRow="0" w:firstColumn="0" w:lastColumn="0" w:noHBand="0" w:noVBand="0"/>
      </w:tblPr>
      <w:tblGrid>
        <w:gridCol w:w="1682"/>
        <w:gridCol w:w="1258"/>
        <w:gridCol w:w="1677"/>
        <w:gridCol w:w="1259"/>
        <w:gridCol w:w="939"/>
        <w:gridCol w:w="939"/>
        <w:gridCol w:w="941"/>
        <w:gridCol w:w="943"/>
      </w:tblGrid>
      <w:tr w:rsidR="00A502AC" w:rsidRPr="00CE16D2" w14:paraId="48D2B64C" w14:textId="77777777" w:rsidTr="00444693">
        <w:trPr>
          <w:cantSplit/>
          <w:tblHeader/>
        </w:trPr>
        <w:tc>
          <w:tcPr>
            <w:tcW w:w="873" w:type="pct"/>
            <w:vMerge w:val="restart"/>
            <w:tcBorders>
              <w:top w:val="single" w:sz="4" w:space="0" w:color="auto"/>
            </w:tcBorders>
            <w:shd w:val="clear" w:color="auto" w:fill="5C2946"/>
          </w:tcPr>
          <w:p w14:paraId="5FB1779F" w14:textId="77777777" w:rsidR="00A502AC" w:rsidRPr="00012C56" w:rsidRDefault="00A502AC" w:rsidP="00012C56">
            <w:pPr>
              <w:pStyle w:val="TableHead"/>
            </w:pPr>
            <w:r w:rsidRPr="00012C56">
              <w:t>Situation</w:t>
            </w:r>
          </w:p>
        </w:tc>
        <w:tc>
          <w:tcPr>
            <w:tcW w:w="653" w:type="pct"/>
            <w:vMerge w:val="restart"/>
            <w:tcBorders>
              <w:top w:val="single" w:sz="4" w:space="0" w:color="auto"/>
            </w:tcBorders>
            <w:shd w:val="clear" w:color="auto" w:fill="5C2946"/>
          </w:tcPr>
          <w:p w14:paraId="3646F3C4" w14:textId="77777777" w:rsidR="00A502AC" w:rsidRPr="00012C56" w:rsidRDefault="00A502AC" w:rsidP="00012C56">
            <w:pPr>
              <w:pStyle w:val="TableHead"/>
            </w:pPr>
            <w:r w:rsidRPr="00012C56">
              <w:t>Crop group</w:t>
            </w:r>
          </w:p>
        </w:tc>
        <w:tc>
          <w:tcPr>
            <w:tcW w:w="870" w:type="pct"/>
            <w:vMerge w:val="restart"/>
            <w:tcBorders>
              <w:top w:val="single" w:sz="4" w:space="0" w:color="auto"/>
            </w:tcBorders>
            <w:shd w:val="clear" w:color="auto" w:fill="5C2946"/>
          </w:tcPr>
          <w:p w14:paraId="5B027A59" w14:textId="77777777" w:rsidR="00A502AC" w:rsidRPr="00012C56" w:rsidRDefault="00A502AC" w:rsidP="00012C56">
            <w:pPr>
              <w:pStyle w:val="TableHead"/>
            </w:pPr>
            <w:r w:rsidRPr="00012C56">
              <w:t>Generic focal species</w:t>
            </w:r>
          </w:p>
        </w:tc>
        <w:tc>
          <w:tcPr>
            <w:tcW w:w="653" w:type="pct"/>
            <w:vMerge w:val="restart"/>
            <w:tcBorders>
              <w:top w:val="single" w:sz="4" w:space="0" w:color="auto"/>
            </w:tcBorders>
            <w:shd w:val="clear" w:color="auto" w:fill="5C2946"/>
          </w:tcPr>
          <w:p w14:paraId="091C8180" w14:textId="77777777" w:rsidR="00A502AC" w:rsidRPr="00CE16D2" w:rsidRDefault="00A502AC" w:rsidP="00012C56">
            <w:pPr>
              <w:pStyle w:val="TableHeadRight"/>
            </w:pPr>
            <w:r>
              <w:t>Crop stage</w:t>
            </w:r>
          </w:p>
        </w:tc>
        <w:tc>
          <w:tcPr>
            <w:tcW w:w="974" w:type="pct"/>
            <w:gridSpan w:val="2"/>
            <w:tcBorders>
              <w:top w:val="single" w:sz="4" w:space="0" w:color="auto"/>
            </w:tcBorders>
            <w:shd w:val="clear" w:color="auto" w:fill="5C2946"/>
          </w:tcPr>
          <w:p w14:paraId="25A0C4D2" w14:textId="77777777" w:rsidR="00A502AC" w:rsidRPr="00CE16D2" w:rsidRDefault="00A502AC" w:rsidP="00012C56">
            <w:pPr>
              <w:pStyle w:val="TableHeadRight"/>
            </w:pPr>
            <w:r>
              <w:t>Shortcut value</w:t>
            </w:r>
          </w:p>
        </w:tc>
        <w:tc>
          <w:tcPr>
            <w:tcW w:w="977" w:type="pct"/>
            <w:gridSpan w:val="2"/>
            <w:tcBorders>
              <w:top w:val="single" w:sz="4" w:space="0" w:color="auto"/>
            </w:tcBorders>
            <w:shd w:val="clear" w:color="auto" w:fill="5C2946"/>
          </w:tcPr>
          <w:p w14:paraId="23AB8468" w14:textId="77777777" w:rsidR="00A502AC" w:rsidRDefault="00A502AC" w:rsidP="00012C56">
            <w:pPr>
              <w:pStyle w:val="TableHeadRight"/>
            </w:pPr>
            <w:r>
              <w:t xml:space="preserve">Acceptable rate </w:t>
            </w:r>
          </w:p>
          <w:p w14:paraId="060354A3" w14:textId="77777777" w:rsidR="00A502AC" w:rsidRPr="00CE16D2" w:rsidRDefault="00A502AC" w:rsidP="00012C56">
            <w:pPr>
              <w:pStyle w:val="TableHeadRight"/>
            </w:pPr>
            <w:r>
              <w:t>(g ac/ha)</w:t>
            </w:r>
          </w:p>
        </w:tc>
      </w:tr>
      <w:tr w:rsidR="00A502AC" w:rsidRPr="00CE16D2" w14:paraId="3E2DDB1A" w14:textId="77777777" w:rsidTr="00444693">
        <w:trPr>
          <w:cantSplit/>
          <w:tblHeader/>
        </w:trPr>
        <w:tc>
          <w:tcPr>
            <w:tcW w:w="873" w:type="pct"/>
            <w:vMerge/>
            <w:tcBorders>
              <w:bottom w:val="single" w:sz="4" w:space="0" w:color="auto"/>
            </w:tcBorders>
            <w:shd w:val="clear" w:color="auto" w:fill="5C2946"/>
          </w:tcPr>
          <w:p w14:paraId="56A86D94"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653" w:type="pct"/>
            <w:vMerge/>
            <w:tcBorders>
              <w:bottom w:val="single" w:sz="4" w:space="0" w:color="auto"/>
            </w:tcBorders>
            <w:shd w:val="clear" w:color="auto" w:fill="5C2946"/>
          </w:tcPr>
          <w:p w14:paraId="1680BD28"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870" w:type="pct"/>
            <w:vMerge/>
            <w:tcBorders>
              <w:bottom w:val="single" w:sz="4" w:space="0" w:color="auto"/>
            </w:tcBorders>
            <w:shd w:val="clear" w:color="auto" w:fill="5C2946"/>
          </w:tcPr>
          <w:p w14:paraId="63E55AB5" w14:textId="77777777" w:rsidR="00A502AC" w:rsidRDefault="00A502AC" w:rsidP="00444693">
            <w:pPr>
              <w:pStyle w:val="TableHead"/>
              <w:keepNext w:val="0"/>
              <w:keepLines w:val="0"/>
              <w:widowControl w:val="0"/>
              <w:suppressAutoHyphens w:val="0"/>
              <w:spacing w:before="0" w:after="0" w:line="240" w:lineRule="auto"/>
              <w:jc w:val="center"/>
              <w:rPr>
                <w:rFonts w:ascii="Arial" w:hAnsi="Arial"/>
                <w:b/>
                <w:bCs w:val="0"/>
                <w:sz w:val="17"/>
                <w:szCs w:val="17"/>
              </w:rPr>
            </w:pPr>
          </w:p>
        </w:tc>
        <w:tc>
          <w:tcPr>
            <w:tcW w:w="653" w:type="pct"/>
            <w:vMerge/>
            <w:tcBorders>
              <w:bottom w:val="single" w:sz="4" w:space="0" w:color="auto"/>
            </w:tcBorders>
            <w:shd w:val="clear" w:color="auto" w:fill="5C2946"/>
          </w:tcPr>
          <w:p w14:paraId="70D5ADEA" w14:textId="77777777" w:rsidR="00A502AC" w:rsidRDefault="00A502AC" w:rsidP="00012C56">
            <w:pPr>
              <w:pStyle w:val="TableHeadRight"/>
            </w:pPr>
          </w:p>
        </w:tc>
        <w:tc>
          <w:tcPr>
            <w:tcW w:w="487" w:type="pct"/>
            <w:tcBorders>
              <w:bottom w:val="single" w:sz="4" w:space="0" w:color="auto"/>
            </w:tcBorders>
            <w:shd w:val="clear" w:color="auto" w:fill="5C2946"/>
          </w:tcPr>
          <w:p w14:paraId="507DD3E1" w14:textId="77777777" w:rsidR="00A502AC" w:rsidRPr="00CE16D2" w:rsidRDefault="00A502AC" w:rsidP="00012C56">
            <w:pPr>
              <w:pStyle w:val="TableHeadRight"/>
            </w:pPr>
            <w:r>
              <w:t>acute</w:t>
            </w:r>
          </w:p>
        </w:tc>
        <w:tc>
          <w:tcPr>
            <w:tcW w:w="487" w:type="pct"/>
            <w:tcBorders>
              <w:bottom w:val="single" w:sz="4" w:space="0" w:color="auto"/>
            </w:tcBorders>
            <w:shd w:val="clear" w:color="auto" w:fill="5C2946"/>
          </w:tcPr>
          <w:p w14:paraId="063651E8" w14:textId="77777777" w:rsidR="00A502AC" w:rsidRPr="00CE16D2" w:rsidRDefault="00A502AC" w:rsidP="00012C56">
            <w:pPr>
              <w:pStyle w:val="TableHeadRight"/>
            </w:pPr>
            <w:r>
              <w:t>chronic</w:t>
            </w:r>
          </w:p>
        </w:tc>
        <w:tc>
          <w:tcPr>
            <w:tcW w:w="488" w:type="pct"/>
            <w:tcBorders>
              <w:bottom w:val="single" w:sz="4" w:space="0" w:color="auto"/>
            </w:tcBorders>
            <w:shd w:val="clear" w:color="auto" w:fill="5C2946"/>
          </w:tcPr>
          <w:p w14:paraId="6CF0EBB9" w14:textId="77777777" w:rsidR="00A502AC" w:rsidRPr="00CE16D2" w:rsidRDefault="00A502AC" w:rsidP="00012C56">
            <w:pPr>
              <w:pStyle w:val="TableHeadRight"/>
            </w:pPr>
            <w:r>
              <w:t>acute</w:t>
            </w:r>
          </w:p>
        </w:tc>
        <w:tc>
          <w:tcPr>
            <w:tcW w:w="489" w:type="pct"/>
            <w:tcBorders>
              <w:bottom w:val="single" w:sz="4" w:space="0" w:color="auto"/>
            </w:tcBorders>
            <w:shd w:val="clear" w:color="auto" w:fill="5C2946"/>
          </w:tcPr>
          <w:p w14:paraId="71900C1E" w14:textId="77777777" w:rsidR="00A502AC" w:rsidRPr="00CE16D2" w:rsidRDefault="00A502AC" w:rsidP="00012C56">
            <w:pPr>
              <w:pStyle w:val="TableHeadRight"/>
            </w:pPr>
            <w:r>
              <w:t>chronic</w:t>
            </w:r>
          </w:p>
        </w:tc>
      </w:tr>
      <w:tr w:rsidR="00A502AC" w:rsidRPr="00C3293F" w14:paraId="79B2D6DA" w14:textId="77777777" w:rsidTr="00444693">
        <w:trPr>
          <w:cantSplit/>
          <w:trHeight w:val="13"/>
        </w:trPr>
        <w:tc>
          <w:tcPr>
            <w:tcW w:w="873" w:type="pct"/>
            <w:vMerge w:val="restart"/>
          </w:tcPr>
          <w:p w14:paraId="003B4632" w14:textId="77777777" w:rsidR="00A502AC" w:rsidRDefault="00A502AC" w:rsidP="00444693">
            <w:pPr>
              <w:pStyle w:val="TableText"/>
              <w:widowControl w:val="0"/>
              <w:suppressAutoHyphens w:val="0"/>
              <w:spacing w:before="0" w:after="0" w:line="240" w:lineRule="auto"/>
              <w:rPr>
                <w:szCs w:val="17"/>
              </w:rPr>
            </w:pPr>
            <w:r>
              <w:rPr>
                <w:szCs w:val="17"/>
              </w:rPr>
              <w:t>General weed control in f</w:t>
            </w:r>
            <w:r w:rsidRPr="00DA6DCD">
              <w:rPr>
                <w:szCs w:val="17"/>
              </w:rPr>
              <w:t>allow</w:t>
            </w:r>
            <w:r>
              <w:rPr>
                <w:szCs w:val="17"/>
              </w:rPr>
              <w:t xml:space="preserve"> (including minimal/full disturbance, and optical spot spraying)</w:t>
            </w:r>
            <w:r w:rsidRPr="00DA6DCD">
              <w:rPr>
                <w:szCs w:val="17"/>
              </w:rPr>
              <w:t xml:space="preserve">, </w:t>
            </w:r>
            <w:r>
              <w:rPr>
                <w:szCs w:val="17"/>
              </w:rPr>
              <w:t>h</w:t>
            </w:r>
            <w:r w:rsidRPr="00DA6DCD">
              <w:rPr>
                <w:szCs w:val="17"/>
              </w:rPr>
              <w:t>ops,</w:t>
            </w:r>
            <w:r>
              <w:rPr>
                <w:szCs w:val="17"/>
              </w:rPr>
              <w:t xml:space="preserve"> </w:t>
            </w:r>
            <w:r w:rsidRPr="00DA6DCD">
              <w:rPr>
                <w:szCs w:val="17"/>
              </w:rPr>
              <w:t xml:space="preserve">market gardens, </w:t>
            </w:r>
            <w:r>
              <w:rPr>
                <w:szCs w:val="17"/>
              </w:rPr>
              <w:t xml:space="preserve">nurseries, </w:t>
            </w:r>
            <w:r w:rsidRPr="00DA6DCD">
              <w:rPr>
                <w:szCs w:val="17"/>
              </w:rPr>
              <w:t xml:space="preserve">row crops, </w:t>
            </w:r>
            <w:r>
              <w:rPr>
                <w:szCs w:val="17"/>
              </w:rPr>
              <w:t xml:space="preserve">potatoes (pre/early emergence), </w:t>
            </w:r>
            <w:r w:rsidRPr="00DA6DCD">
              <w:rPr>
                <w:szCs w:val="17"/>
              </w:rPr>
              <w:t>rice</w:t>
            </w:r>
            <w:r>
              <w:rPr>
                <w:szCs w:val="17"/>
              </w:rPr>
              <w:t xml:space="preserve"> (pre/post sowing)</w:t>
            </w:r>
            <w:r w:rsidRPr="00DA6DCD">
              <w:rPr>
                <w:szCs w:val="17"/>
              </w:rPr>
              <w:t>, vegetables</w:t>
            </w:r>
          </w:p>
        </w:tc>
        <w:tc>
          <w:tcPr>
            <w:tcW w:w="653" w:type="pct"/>
            <w:vMerge w:val="restart"/>
          </w:tcPr>
          <w:p w14:paraId="7D00A628" w14:textId="77777777" w:rsidR="00A502AC" w:rsidRDefault="00A502AC" w:rsidP="00444693">
            <w:pPr>
              <w:pStyle w:val="TableText"/>
              <w:widowControl w:val="0"/>
              <w:suppressAutoHyphens w:val="0"/>
              <w:spacing w:before="0" w:after="0" w:line="240" w:lineRule="auto"/>
              <w:rPr>
                <w:szCs w:val="17"/>
              </w:rPr>
            </w:pPr>
            <w:r>
              <w:rPr>
                <w:szCs w:val="17"/>
              </w:rPr>
              <w:t>Bare soil</w:t>
            </w:r>
          </w:p>
        </w:tc>
        <w:tc>
          <w:tcPr>
            <w:tcW w:w="870" w:type="pct"/>
            <w:tcBorders>
              <w:top w:val="single" w:sz="4" w:space="0" w:color="auto"/>
            </w:tcBorders>
          </w:tcPr>
          <w:p w14:paraId="1CF33D01" w14:textId="77777777" w:rsidR="00A502AC" w:rsidRDefault="00A502AC" w:rsidP="00444693">
            <w:pPr>
              <w:pStyle w:val="TableText"/>
              <w:widowControl w:val="0"/>
              <w:suppressAutoHyphens w:val="0"/>
              <w:spacing w:before="0" w:after="0" w:line="240" w:lineRule="auto"/>
              <w:rPr>
                <w:szCs w:val="17"/>
              </w:rPr>
            </w:pPr>
            <w:r>
              <w:rPr>
                <w:szCs w:val="17"/>
              </w:rPr>
              <w:t>Small granivore</w:t>
            </w:r>
          </w:p>
        </w:tc>
        <w:tc>
          <w:tcPr>
            <w:tcW w:w="653" w:type="pct"/>
            <w:tcBorders>
              <w:top w:val="single" w:sz="4" w:space="0" w:color="auto"/>
            </w:tcBorders>
          </w:tcPr>
          <w:p w14:paraId="3A780397" w14:textId="77777777" w:rsidR="00A502AC" w:rsidRDefault="00A502AC" w:rsidP="00444693">
            <w:pPr>
              <w:pStyle w:val="TableText"/>
              <w:widowControl w:val="0"/>
              <w:suppressAutoHyphens w:val="0"/>
              <w:spacing w:before="0" w:after="0" w:line="240" w:lineRule="auto"/>
              <w:rPr>
                <w:szCs w:val="17"/>
              </w:rPr>
            </w:pPr>
            <w:r>
              <w:rPr>
                <w:szCs w:val="17"/>
              </w:rPr>
              <w:t>BBCH &lt;10</w:t>
            </w:r>
          </w:p>
        </w:tc>
        <w:tc>
          <w:tcPr>
            <w:tcW w:w="487" w:type="pct"/>
            <w:tcBorders>
              <w:top w:val="single" w:sz="4" w:space="0" w:color="auto"/>
            </w:tcBorders>
          </w:tcPr>
          <w:p w14:paraId="292E827C" w14:textId="77777777" w:rsidR="00A502AC" w:rsidRDefault="00A502AC" w:rsidP="00444693">
            <w:pPr>
              <w:pStyle w:val="TableText"/>
              <w:widowControl w:val="0"/>
              <w:suppressAutoHyphens w:val="0"/>
              <w:spacing w:before="0" w:after="0" w:line="240" w:lineRule="auto"/>
              <w:jc w:val="center"/>
            </w:pPr>
            <w:r>
              <w:t>24.7</w:t>
            </w:r>
          </w:p>
        </w:tc>
        <w:tc>
          <w:tcPr>
            <w:tcW w:w="487" w:type="pct"/>
            <w:tcBorders>
              <w:top w:val="single" w:sz="4" w:space="0" w:color="auto"/>
            </w:tcBorders>
          </w:tcPr>
          <w:p w14:paraId="7850A596" w14:textId="77777777" w:rsidR="00A502AC" w:rsidRDefault="00A502AC" w:rsidP="00444693">
            <w:pPr>
              <w:pStyle w:val="TableText"/>
              <w:widowControl w:val="0"/>
              <w:suppressAutoHyphens w:val="0"/>
              <w:spacing w:before="0" w:after="0" w:line="240" w:lineRule="auto"/>
              <w:jc w:val="center"/>
            </w:pPr>
            <w:r>
              <w:t>11.4</w:t>
            </w:r>
          </w:p>
        </w:tc>
        <w:tc>
          <w:tcPr>
            <w:tcW w:w="488" w:type="pct"/>
            <w:tcBorders>
              <w:top w:val="single" w:sz="4" w:space="0" w:color="auto"/>
            </w:tcBorders>
            <w:shd w:val="clear" w:color="auto" w:fill="FF0000"/>
          </w:tcPr>
          <w:p w14:paraId="48ED63D4"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231</w:t>
            </w:r>
          </w:p>
        </w:tc>
        <w:tc>
          <w:tcPr>
            <w:tcW w:w="489" w:type="pct"/>
            <w:tcBorders>
              <w:top w:val="single" w:sz="4" w:space="0" w:color="auto"/>
            </w:tcBorders>
          </w:tcPr>
          <w:p w14:paraId="561B8B10" w14:textId="77777777" w:rsidR="00A502AC" w:rsidRPr="00C3293F" w:rsidRDefault="00A502AC" w:rsidP="00444693">
            <w:pPr>
              <w:pStyle w:val="TableText"/>
              <w:widowControl w:val="0"/>
              <w:suppressAutoHyphens w:val="0"/>
              <w:spacing w:before="0" w:after="0" w:line="240" w:lineRule="auto"/>
              <w:jc w:val="center"/>
            </w:pPr>
            <w:r w:rsidRPr="00E22F6A">
              <w:t>899</w:t>
            </w:r>
          </w:p>
        </w:tc>
      </w:tr>
      <w:tr w:rsidR="00A502AC" w:rsidRPr="00C3293F" w14:paraId="48430438" w14:textId="77777777" w:rsidTr="00444693">
        <w:trPr>
          <w:cantSplit/>
          <w:trHeight w:val="13"/>
        </w:trPr>
        <w:tc>
          <w:tcPr>
            <w:tcW w:w="873" w:type="pct"/>
            <w:vMerge/>
          </w:tcPr>
          <w:p w14:paraId="5CE95491"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7E5E23C0" w14:textId="77777777" w:rsidR="00A502AC" w:rsidRDefault="00A502AC" w:rsidP="00444693">
            <w:pPr>
              <w:pStyle w:val="TableText"/>
              <w:widowControl w:val="0"/>
              <w:suppressAutoHyphens w:val="0"/>
              <w:spacing w:before="0" w:after="0" w:line="240" w:lineRule="auto"/>
              <w:rPr>
                <w:szCs w:val="17"/>
              </w:rPr>
            </w:pPr>
          </w:p>
        </w:tc>
        <w:tc>
          <w:tcPr>
            <w:tcW w:w="870" w:type="pct"/>
          </w:tcPr>
          <w:p w14:paraId="7C8E7E39"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53" w:type="pct"/>
          </w:tcPr>
          <w:p w14:paraId="018D4C1E" w14:textId="77777777" w:rsidR="00A502AC" w:rsidRDefault="00A502AC" w:rsidP="00444693">
            <w:pPr>
              <w:pStyle w:val="TableText"/>
              <w:widowControl w:val="0"/>
              <w:suppressAutoHyphens w:val="0"/>
              <w:spacing w:before="0" w:after="0" w:line="240" w:lineRule="auto"/>
              <w:rPr>
                <w:szCs w:val="17"/>
              </w:rPr>
            </w:pPr>
            <w:r w:rsidRPr="009F3875">
              <w:rPr>
                <w:szCs w:val="17"/>
              </w:rPr>
              <w:t>BBCH &lt;10</w:t>
            </w:r>
          </w:p>
        </w:tc>
        <w:tc>
          <w:tcPr>
            <w:tcW w:w="487" w:type="pct"/>
          </w:tcPr>
          <w:p w14:paraId="24ADD4AC" w14:textId="77777777" w:rsidR="00A502AC" w:rsidRDefault="00A502AC" w:rsidP="00444693">
            <w:pPr>
              <w:pStyle w:val="TableText"/>
              <w:widowControl w:val="0"/>
              <w:suppressAutoHyphens w:val="0"/>
              <w:spacing w:before="0" w:after="0" w:line="240" w:lineRule="auto"/>
              <w:jc w:val="center"/>
            </w:pPr>
            <w:r>
              <w:t>17.4</w:t>
            </w:r>
          </w:p>
        </w:tc>
        <w:tc>
          <w:tcPr>
            <w:tcW w:w="487" w:type="pct"/>
          </w:tcPr>
          <w:p w14:paraId="3BC47FAF" w14:textId="77777777" w:rsidR="00A502AC" w:rsidRDefault="00A502AC" w:rsidP="00444693">
            <w:pPr>
              <w:pStyle w:val="TableText"/>
              <w:widowControl w:val="0"/>
              <w:suppressAutoHyphens w:val="0"/>
              <w:spacing w:before="0" w:after="0" w:line="240" w:lineRule="auto"/>
              <w:jc w:val="center"/>
            </w:pPr>
            <w:r>
              <w:t>8.2</w:t>
            </w:r>
          </w:p>
        </w:tc>
        <w:tc>
          <w:tcPr>
            <w:tcW w:w="488" w:type="pct"/>
            <w:shd w:val="clear" w:color="auto" w:fill="FF0000"/>
          </w:tcPr>
          <w:p w14:paraId="7C634090"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328</w:t>
            </w:r>
          </w:p>
        </w:tc>
        <w:tc>
          <w:tcPr>
            <w:tcW w:w="489" w:type="pct"/>
          </w:tcPr>
          <w:p w14:paraId="06B0D0B3" w14:textId="77777777" w:rsidR="00A502AC" w:rsidRPr="00C3293F" w:rsidRDefault="00A502AC" w:rsidP="00444693">
            <w:pPr>
              <w:pStyle w:val="TableText"/>
              <w:widowControl w:val="0"/>
              <w:suppressAutoHyphens w:val="0"/>
              <w:spacing w:before="0" w:after="0" w:line="240" w:lineRule="auto"/>
              <w:jc w:val="center"/>
            </w:pPr>
            <w:r w:rsidRPr="00E22F6A">
              <w:t>1250</w:t>
            </w:r>
          </w:p>
        </w:tc>
      </w:tr>
      <w:tr w:rsidR="00A502AC" w:rsidRPr="00C3293F" w14:paraId="36A1A612" w14:textId="77777777" w:rsidTr="00444693">
        <w:trPr>
          <w:cantSplit/>
          <w:trHeight w:val="13"/>
        </w:trPr>
        <w:tc>
          <w:tcPr>
            <w:tcW w:w="873" w:type="pct"/>
            <w:vMerge/>
            <w:tcBorders>
              <w:bottom w:val="single" w:sz="4" w:space="0" w:color="auto"/>
            </w:tcBorders>
          </w:tcPr>
          <w:p w14:paraId="4E05C417" w14:textId="77777777" w:rsidR="00A502AC" w:rsidRDefault="00A502AC" w:rsidP="00444693">
            <w:pPr>
              <w:pStyle w:val="TableText"/>
              <w:widowControl w:val="0"/>
              <w:suppressAutoHyphens w:val="0"/>
              <w:spacing w:before="0" w:after="0" w:line="240" w:lineRule="auto"/>
              <w:rPr>
                <w:szCs w:val="17"/>
              </w:rPr>
            </w:pPr>
          </w:p>
        </w:tc>
        <w:tc>
          <w:tcPr>
            <w:tcW w:w="653" w:type="pct"/>
            <w:vMerge/>
            <w:tcBorders>
              <w:bottom w:val="single" w:sz="4" w:space="0" w:color="auto"/>
            </w:tcBorders>
          </w:tcPr>
          <w:p w14:paraId="4E4087D6"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1CA802A6"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Borders>
              <w:bottom w:val="single" w:sz="4" w:space="0" w:color="auto"/>
            </w:tcBorders>
          </w:tcPr>
          <w:p w14:paraId="747A4EFA" w14:textId="77777777" w:rsidR="00A502AC" w:rsidRDefault="00A502AC" w:rsidP="00444693">
            <w:pPr>
              <w:pStyle w:val="TableText"/>
              <w:widowControl w:val="0"/>
              <w:suppressAutoHyphens w:val="0"/>
              <w:spacing w:before="0" w:after="0" w:line="240" w:lineRule="auto"/>
              <w:rPr>
                <w:szCs w:val="17"/>
              </w:rPr>
            </w:pPr>
            <w:r w:rsidRPr="009F3875">
              <w:rPr>
                <w:szCs w:val="17"/>
              </w:rPr>
              <w:t>BBCH &lt;10</w:t>
            </w:r>
          </w:p>
        </w:tc>
        <w:tc>
          <w:tcPr>
            <w:tcW w:w="487" w:type="pct"/>
            <w:tcBorders>
              <w:bottom w:val="single" w:sz="4" w:space="0" w:color="auto"/>
            </w:tcBorders>
          </w:tcPr>
          <w:p w14:paraId="1334C143" w14:textId="77777777" w:rsidR="00A502AC" w:rsidRDefault="00A502AC" w:rsidP="00444693">
            <w:pPr>
              <w:pStyle w:val="TableText"/>
              <w:widowControl w:val="0"/>
              <w:suppressAutoHyphens w:val="0"/>
              <w:spacing w:before="0" w:after="0" w:line="240" w:lineRule="auto"/>
              <w:jc w:val="center"/>
            </w:pPr>
            <w:r>
              <w:t>10.9</w:t>
            </w:r>
          </w:p>
        </w:tc>
        <w:tc>
          <w:tcPr>
            <w:tcW w:w="487" w:type="pct"/>
            <w:tcBorders>
              <w:bottom w:val="single" w:sz="4" w:space="0" w:color="auto"/>
            </w:tcBorders>
          </w:tcPr>
          <w:p w14:paraId="69E6E54E" w14:textId="77777777" w:rsidR="00A502AC" w:rsidRDefault="00A502AC" w:rsidP="00444693">
            <w:pPr>
              <w:pStyle w:val="TableText"/>
              <w:widowControl w:val="0"/>
              <w:suppressAutoHyphens w:val="0"/>
              <w:spacing w:before="0" w:after="0" w:line="240" w:lineRule="auto"/>
              <w:jc w:val="center"/>
            </w:pPr>
            <w:r>
              <w:t>5.9</w:t>
            </w:r>
          </w:p>
        </w:tc>
        <w:tc>
          <w:tcPr>
            <w:tcW w:w="488" w:type="pct"/>
            <w:tcBorders>
              <w:bottom w:val="single" w:sz="4" w:space="0" w:color="auto"/>
            </w:tcBorders>
            <w:shd w:val="clear" w:color="auto" w:fill="FF0000"/>
          </w:tcPr>
          <w:p w14:paraId="59F7C37E"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523</w:t>
            </w:r>
          </w:p>
        </w:tc>
        <w:tc>
          <w:tcPr>
            <w:tcW w:w="489" w:type="pct"/>
            <w:tcBorders>
              <w:bottom w:val="single" w:sz="4" w:space="0" w:color="auto"/>
            </w:tcBorders>
          </w:tcPr>
          <w:p w14:paraId="111390AB" w14:textId="77777777" w:rsidR="00A502AC" w:rsidRPr="00C3293F" w:rsidRDefault="00A502AC" w:rsidP="00444693">
            <w:pPr>
              <w:pStyle w:val="TableText"/>
              <w:widowControl w:val="0"/>
              <w:suppressAutoHyphens w:val="0"/>
              <w:spacing w:before="0" w:after="0" w:line="240" w:lineRule="auto"/>
              <w:jc w:val="center"/>
            </w:pPr>
            <w:r w:rsidRPr="00E22F6A">
              <w:t>1738</w:t>
            </w:r>
          </w:p>
        </w:tc>
      </w:tr>
      <w:tr w:rsidR="00A502AC" w:rsidRPr="00C3293F" w14:paraId="34FFEA62" w14:textId="77777777" w:rsidTr="00444693">
        <w:trPr>
          <w:cantSplit/>
          <w:trHeight w:val="13"/>
        </w:trPr>
        <w:tc>
          <w:tcPr>
            <w:tcW w:w="873" w:type="pct"/>
            <w:vMerge w:val="restart"/>
          </w:tcPr>
          <w:p w14:paraId="726CD1FC" w14:textId="77777777" w:rsidR="00A502AC" w:rsidRDefault="00A502AC" w:rsidP="00444693">
            <w:pPr>
              <w:pStyle w:val="TableText"/>
              <w:widowControl w:val="0"/>
              <w:suppressAutoHyphens w:val="0"/>
              <w:spacing w:before="0" w:after="0" w:line="240" w:lineRule="auto"/>
              <w:rPr>
                <w:szCs w:val="17"/>
              </w:rPr>
            </w:pPr>
            <w:r>
              <w:rPr>
                <w:szCs w:val="17"/>
              </w:rPr>
              <w:t>Pre-harvest desiccation in cotton</w:t>
            </w:r>
          </w:p>
        </w:tc>
        <w:tc>
          <w:tcPr>
            <w:tcW w:w="653" w:type="pct"/>
            <w:vMerge w:val="restart"/>
          </w:tcPr>
          <w:p w14:paraId="53C09B65" w14:textId="77777777" w:rsidR="00A502AC" w:rsidRDefault="00A502AC" w:rsidP="00444693">
            <w:pPr>
              <w:pStyle w:val="TableText"/>
              <w:widowControl w:val="0"/>
              <w:suppressAutoHyphens w:val="0"/>
              <w:spacing w:before="0" w:after="0" w:line="240" w:lineRule="auto"/>
              <w:rPr>
                <w:szCs w:val="17"/>
              </w:rPr>
            </w:pPr>
            <w:r>
              <w:rPr>
                <w:szCs w:val="17"/>
              </w:rPr>
              <w:t>Cotton</w:t>
            </w:r>
          </w:p>
        </w:tc>
        <w:tc>
          <w:tcPr>
            <w:tcW w:w="870" w:type="pct"/>
            <w:tcBorders>
              <w:top w:val="single" w:sz="4" w:space="0" w:color="auto"/>
            </w:tcBorders>
          </w:tcPr>
          <w:p w14:paraId="1F164C6F"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53" w:type="pct"/>
            <w:tcBorders>
              <w:top w:val="single" w:sz="4" w:space="0" w:color="auto"/>
            </w:tcBorders>
          </w:tcPr>
          <w:p w14:paraId="357EF087"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87" w:type="pct"/>
            <w:tcBorders>
              <w:top w:val="single" w:sz="4" w:space="0" w:color="auto"/>
            </w:tcBorders>
          </w:tcPr>
          <w:p w14:paraId="61DE3957" w14:textId="77777777" w:rsidR="00A502AC" w:rsidRDefault="00A502AC" w:rsidP="00444693">
            <w:pPr>
              <w:pStyle w:val="TableText"/>
              <w:widowControl w:val="0"/>
              <w:suppressAutoHyphens w:val="0"/>
              <w:spacing w:before="0" w:after="0" w:line="240" w:lineRule="auto"/>
              <w:jc w:val="center"/>
              <w:rPr>
                <w:szCs w:val="17"/>
              </w:rPr>
            </w:pPr>
            <w:r>
              <w:rPr>
                <w:szCs w:val="17"/>
              </w:rPr>
              <w:t>4.4</w:t>
            </w:r>
          </w:p>
        </w:tc>
        <w:tc>
          <w:tcPr>
            <w:tcW w:w="487" w:type="pct"/>
            <w:tcBorders>
              <w:top w:val="single" w:sz="4" w:space="0" w:color="auto"/>
            </w:tcBorders>
          </w:tcPr>
          <w:p w14:paraId="254AB7B1" w14:textId="77777777" w:rsidR="00A502AC" w:rsidRDefault="00A502AC" w:rsidP="00444693">
            <w:pPr>
              <w:pStyle w:val="TableText"/>
              <w:widowControl w:val="0"/>
              <w:suppressAutoHyphens w:val="0"/>
              <w:spacing w:before="0" w:after="0" w:line="240" w:lineRule="auto"/>
              <w:jc w:val="center"/>
            </w:pPr>
            <w:r>
              <w:t>2.8</w:t>
            </w:r>
          </w:p>
        </w:tc>
        <w:tc>
          <w:tcPr>
            <w:tcW w:w="488" w:type="pct"/>
            <w:tcBorders>
              <w:top w:val="single" w:sz="4" w:space="0" w:color="auto"/>
            </w:tcBorders>
          </w:tcPr>
          <w:p w14:paraId="3E75C928" w14:textId="77777777" w:rsidR="00A502AC" w:rsidRPr="00C3293F" w:rsidRDefault="00A502AC" w:rsidP="00444693">
            <w:pPr>
              <w:pStyle w:val="TableText"/>
              <w:widowControl w:val="0"/>
              <w:suppressAutoHyphens w:val="0"/>
              <w:spacing w:before="0" w:after="0" w:line="240" w:lineRule="auto"/>
              <w:jc w:val="center"/>
            </w:pPr>
            <w:r w:rsidRPr="00EC4DE5">
              <w:t>1295</w:t>
            </w:r>
          </w:p>
        </w:tc>
        <w:tc>
          <w:tcPr>
            <w:tcW w:w="489" w:type="pct"/>
            <w:tcBorders>
              <w:top w:val="single" w:sz="4" w:space="0" w:color="auto"/>
            </w:tcBorders>
          </w:tcPr>
          <w:p w14:paraId="47B2E4CA" w14:textId="77777777" w:rsidR="00A502AC" w:rsidRPr="00C3293F" w:rsidRDefault="00A502AC" w:rsidP="00444693">
            <w:pPr>
              <w:pStyle w:val="TableText"/>
              <w:widowControl w:val="0"/>
              <w:suppressAutoHyphens w:val="0"/>
              <w:spacing w:before="0" w:after="0" w:line="240" w:lineRule="auto"/>
              <w:jc w:val="center"/>
            </w:pPr>
            <w:r w:rsidRPr="00E22F6A">
              <w:t>3661</w:t>
            </w:r>
          </w:p>
        </w:tc>
      </w:tr>
      <w:tr w:rsidR="00A502AC" w:rsidRPr="00C3293F" w14:paraId="160586C8" w14:textId="77777777" w:rsidTr="00444693">
        <w:trPr>
          <w:cantSplit/>
          <w:trHeight w:val="13"/>
        </w:trPr>
        <w:tc>
          <w:tcPr>
            <w:tcW w:w="873" w:type="pct"/>
            <w:vMerge/>
          </w:tcPr>
          <w:p w14:paraId="58CF72A3"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296DCA88" w14:textId="77777777" w:rsidR="00A502AC" w:rsidRDefault="00A502AC" w:rsidP="00444693">
            <w:pPr>
              <w:pStyle w:val="TableText"/>
              <w:widowControl w:val="0"/>
              <w:suppressAutoHyphens w:val="0"/>
              <w:spacing w:before="0" w:after="0" w:line="240" w:lineRule="auto"/>
              <w:rPr>
                <w:szCs w:val="17"/>
              </w:rPr>
            </w:pPr>
          </w:p>
        </w:tc>
        <w:tc>
          <w:tcPr>
            <w:tcW w:w="870" w:type="pct"/>
          </w:tcPr>
          <w:p w14:paraId="73FF8BC9"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Pr>
          <w:p w14:paraId="2DA289B1" w14:textId="77777777" w:rsidR="00A502AC" w:rsidRDefault="00A502AC" w:rsidP="00444693">
            <w:pPr>
              <w:pStyle w:val="TableText"/>
              <w:widowControl w:val="0"/>
              <w:suppressAutoHyphens w:val="0"/>
              <w:spacing w:before="0" w:after="0" w:line="240" w:lineRule="auto"/>
              <w:rPr>
                <w:szCs w:val="17"/>
              </w:rPr>
            </w:pPr>
            <w:r>
              <w:rPr>
                <w:szCs w:val="17"/>
              </w:rPr>
              <w:t>BBCH ≥20</w:t>
            </w:r>
          </w:p>
        </w:tc>
        <w:tc>
          <w:tcPr>
            <w:tcW w:w="487" w:type="pct"/>
          </w:tcPr>
          <w:p w14:paraId="4F8925E3" w14:textId="77777777" w:rsidR="00A502AC" w:rsidRDefault="00A502AC" w:rsidP="00444693">
            <w:pPr>
              <w:pStyle w:val="TableText"/>
              <w:widowControl w:val="0"/>
              <w:suppressAutoHyphens w:val="0"/>
              <w:spacing w:before="0" w:after="0" w:line="240" w:lineRule="auto"/>
              <w:jc w:val="center"/>
              <w:rPr>
                <w:szCs w:val="17"/>
              </w:rPr>
            </w:pPr>
            <w:r>
              <w:rPr>
                <w:szCs w:val="17"/>
              </w:rPr>
              <w:t>3.0</w:t>
            </w:r>
          </w:p>
        </w:tc>
        <w:tc>
          <w:tcPr>
            <w:tcW w:w="487" w:type="pct"/>
          </w:tcPr>
          <w:p w14:paraId="5B7F6675" w14:textId="77777777" w:rsidR="00A502AC" w:rsidRDefault="00A502AC" w:rsidP="00444693">
            <w:pPr>
              <w:pStyle w:val="TableText"/>
              <w:widowControl w:val="0"/>
              <w:suppressAutoHyphens w:val="0"/>
              <w:spacing w:before="0" w:after="0" w:line="240" w:lineRule="auto"/>
              <w:jc w:val="center"/>
            </w:pPr>
            <w:r>
              <w:t>1.1</w:t>
            </w:r>
          </w:p>
        </w:tc>
        <w:tc>
          <w:tcPr>
            <w:tcW w:w="488" w:type="pct"/>
          </w:tcPr>
          <w:p w14:paraId="418A6D0C" w14:textId="77777777" w:rsidR="00A502AC" w:rsidRPr="00C3293F" w:rsidRDefault="00A502AC" w:rsidP="00444693">
            <w:pPr>
              <w:pStyle w:val="TableText"/>
              <w:widowControl w:val="0"/>
              <w:suppressAutoHyphens w:val="0"/>
              <w:spacing w:before="0" w:after="0" w:line="240" w:lineRule="auto"/>
              <w:jc w:val="center"/>
            </w:pPr>
            <w:r w:rsidRPr="00EC4DE5">
              <w:t>1900</w:t>
            </w:r>
          </w:p>
        </w:tc>
        <w:tc>
          <w:tcPr>
            <w:tcW w:w="489" w:type="pct"/>
          </w:tcPr>
          <w:p w14:paraId="76863754" w14:textId="77777777" w:rsidR="00A502AC" w:rsidRPr="00C3293F" w:rsidRDefault="00A502AC" w:rsidP="00444693">
            <w:pPr>
              <w:pStyle w:val="TableText"/>
              <w:widowControl w:val="0"/>
              <w:suppressAutoHyphens w:val="0"/>
              <w:spacing w:before="0" w:after="0" w:line="240" w:lineRule="auto"/>
              <w:jc w:val="center"/>
            </w:pPr>
            <w:r w:rsidRPr="00E22F6A">
              <w:t>9320</w:t>
            </w:r>
          </w:p>
        </w:tc>
      </w:tr>
      <w:tr w:rsidR="00A502AC" w:rsidRPr="004E0D09" w14:paraId="674603E8" w14:textId="77777777" w:rsidTr="00444693">
        <w:trPr>
          <w:cantSplit/>
          <w:trHeight w:val="13"/>
        </w:trPr>
        <w:tc>
          <w:tcPr>
            <w:tcW w:w="873" w:type="pct"/>
            <w:vMerge w:val="restart"/>
            <w:tcBorders>
              <w:top w:val="single" w:sz="4" w:space="0" w:color="auto"/>
            </w:tcBorders>
          </w:tcPr>
          <w:p w14:paraId="6D106478" w14:textId="77777777" w:rsidR="00A502AC" w:rsidRDefault="00A502AC" w:rsidP="00444693">
            <w:pPr>
              <w:pStyle w:val="TableText"/>
              <w:widowControl w:val="0"/>
              <w:suppressAutoHyphens w:val="0"/>
              <w:spacing w:before="0" w:after="0" w:line="240" w:lineRule="auto"/>
              <w:rPr>
                <w:szCs w:val="17"/>
              </w:rPr>
            </w:pPr>
            <w:r>
              <w:rPr>
                <w:szCs w:val="17"/>
              </w:rPr>
              <w:lastRenderedPageBreak/>
              <w:t>General weed control in industrial vegetation management, pasture, public service areas, rights of way</w:t>
            </w:r>
          </w:p>
        </w:tc>
        <w:tc>
          <w:tcPr>
            <w:tcW w:w="653" w:type="pct"/>
            <w:vMerge w:val="restart"/>
            <w:tcBorders>
              <w:top w:val="single" w:sz="4" w:space="0" w:color="auto"/>
            </w:tcBorders>
          </w:tcPr>
          <w:p w14:paraId="28EB4A2E" w14:textId="77777777" w:rsidR="00A502AC" w:rsidRDefault="00A502AC" w:rsidP="00444693">
            <w:pPr>
              <w:pStyle w:val="TableText"/>
              <w:widowControl w:val="0"/>
              <w:suppressAutoHyphens w:val="0"/>
              <w:spacing w:before="0" w:after="0" w:line="240" w:lineRule="auto"/>
              <w:rPr>
                <w:szCs w:val="17"/>
              </w:rPr>
            </w:pPr>
            <w:r>
              <w:rPr>
                <w:szCs w:val="17"/>
              </w:rPr>
              <w:t>Grassland</w:t>
            </w:r>
          </w:p>
        </w:tc>
        <w:tc>
          <w:tcPr>
            <w:tcW w:w="870" w:type="pct"/>
            <w:tcBorders>
              <w:top w:val="single" w:sz="4" w:space="0" w:color="auto"/>
            </w:tcBorders>
          </w:tcPr>
          <w:p w14:paraId="6589807B" w14:textId="77777777" w:rsidR="00A502AC" w:rsidRDefault="00A502AC" w:rsidP="00444693">
            <w:pPr>
              <w:pStyle w:val="TableText"/>
              <w:widowControl w:val="0"/>
              <w:suppressAutoHyphens w:val="0"/>
              <w:spacing w:before="0" w:after="0" w:line="240" w:lineRule="auto"/>
              <w:rPr>
                <w:szCs w:val="17"/>
              </w:rPr>
            </w:pPr>
            <w:r>
              <w:rPr>
                <w:szCs w:val="17"/>
              </w:rPr>
              <w:t>Small granivore</w:t>
            </w:r>
          </w:p>
        </w:tc>
        <w:tc>
          <w:tcPr>
            <w:tcW w:w="653" w:type="pct"/>
            <w:tcBorders>
              <w:top w:val="single" w:sz="4" w:space="0" w:color="auto"/>
            </w:tcBorders>
          </w:tcPr>
          <w:p w14:paraId="6712CA3E" w14:textId="77777777" w:rsidR="00A502AC" w:rsidRDefault="00A502AC" w:rsidP="00444693">
            <w:pPr>
              <w:pStyle w:val="TableText"/>
              <w:widowControl w:val="0"/>
              <w:suppressAutoHyphens w:val="0"/>
              <w:spacing w:before="0" w:after="0" w:line="240" w:lineRule="auto"/>
              <w:rPr>
                <w:szCs w:val="17"/>
              </w:rPr>
            </w:pPr>
            <w:r>
              <w:rPr>
                <w:szCs w:val="17"/>
              </w:rPr>
              <w:t>Late season</w:t>
            </w:r>
          </w:p>
        </w:tc>
        <w:tc>
          <w:tcPr>
            <w:tcW w:w="487" w:type="pct"/>
            <w:tcBorders>
              <w:top w:val="single" w:sz="4" w:space="0" w:color="auto"/>
            </w:tcBorders>
          </w:tcPr>
          <w:p w14:paraId="56E5AB60" w14:textId="77777777" w:rsidR="00A502AC" w:rsidRDefault="00A502AC" w:rsidP="00444693">
            <w:pPr>
              <w:pStyle w:val="TableText"/>
              <w:widowControl w:val="0"/>
              <w:suppressAutoHyphens w:val="0"/>
              <w:spacing w:before="0" w:after="0" w:line="240" w:lineRule="auto"/>
              <w:jc w:val="center"/>
            </w:pPr>
            <w:r>
              <w:t>24.7</w:t>
            </w:r>
          </w:p>
        </w:tc>
        <w:tc>
          <w:tcPr>
            <w:tcW w:w="487" w:type="pct"/>
            <w:tcBorders>
              <w:top w:val="single" w:sz="4" w:space="0" w:color="auto"/>
            </w:tcBorders>
          </w:tcPr>
          <w:p w14:paraId="43EC6F92" w14:textId="77777777" w:rsidR="00A502AC" w:rsidRPr="004A0A88" w:rsidRDefault="00A502AC" w:rsidP="00444693">
            <w:pPr>
              <w:pStyle w:val="TableText"/>
              <w:widowControl w:val="0"/>
              <w:suppressAutoHyphens w:val="0"/>
              <w:spacing w:before="0" w:after="0" w:line="240" w:lineRule="auto"/>
              <w:jc w:val="center"/>
            </w:pPr>
            <w:r>
              <w:t>11.4</w:t>
            </w:r>
          </w:p>
        </w:tc>
        <w:tc>
          <w:tcPr>
            <w:tcW w:w="488" w:type="pct"/>
            <w:tcBorders>
              <w:top w:val="single" w:sz="4" w:space="0" w:color="auto"/>
            </w:tcBorders>
            <w:shd w:val="clear" w:color="auto" w:fill="FF0000"/>
          </w:tcPr>
          <w:p w14:paraId="60810AE1"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231</w:t>
            </w:r>
          </w:p>
        </w:tc>
        <w:tc>
          <w:tcPr>
            <w:tcW w:w="489" w:type="pct"/>
            <w:tcBorders>
              <w:top w:val="single" w:sz="4" w:space="0" w:color="auto"/>
            </w:tcBorders>
            <w:shd w:val="clear" w:color="auto" w:fill="FF0000"/>
          </w:tcPr>
          <w:p w14:paraId="518B4795"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899</w:t>
            </w:r>
          </w:p>
        </w:tc>
      </w:tr>
      <w:tr w:rsidR="00A502AC" w:rsidRPr="004E0D09" w14:paraId="3F1EC341" w14:textId="77777777" w:rsidTr="00444693">
        <w:trPr>
          <w:cantSplit/>
          <w:trHeight w:val="13"/>
        </w:trPr>
        <w:tc>
          <w:tcPr>
            <w:tcW w:w="873" w:type="pct"/>
            <w:vMerge/>
          </w:tcPr>
          <w:p w14:paraId="0410C0E3"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11C483A2" w14:textId="77777777" w:rsidR="00A502AC" w:rsidRDefault="00A502AC" w:rsidP="00444693">
            <w:pPr>
              <w:pStyle w:val="TableText"/>
              <w:widowControl w:val="0"/>
              <w:suppressAutoHyphens w:val="0"/>
              <w:spacing w:before="0" w:after="0" w:line="240" w:lineRule="auto"/>
              <w:rPr>
                <w:szCs w:val="17"/>
              </w:rPr>
            </w:pPr>
          </w:p>
        </w:tc>
        <w:tc>
          <w:tcPr>
            <w:tcW w:w="870" w:type="pct"/>
          </w:tcPr>
          <w:p w14:paraId="3AFA960C" w14:textId="77777777" w:rsidR="00A502AC" w:rsidRPr="00B6513E" w:rsidRDefault="00A502AC" w:rsidP="00444693">
            <w:pPr>
              <w:pStyle w:val="TableText"/>
              <w:widowControl w:val="0"/>
              <w:suppressAutoHyphens w:val="0"/>
              <w:spacing w:before="0" w:after="0" w:line="240" w:lineRule="auto"/>
              <w:rPr>
                <w:szCs w:val="17"/>
              </w:rPr>
            </w:pPr>
            <w:r>
              <w:rPr>
                <w:szCs w:val="17"/>
              </w:rPr>
              <w:t>Large herbivore</w:t>
            </w:r>
          </w:p>
        </w:tc>
        <w:tc>
          <w:tcPr>
            <w:tcW w:w="653" w:type="pct"/>
          </w:tcPr>
          <w:p w14:paraId="3A5B2D0A" w14:textId="77777777" w:rsidR="00A502AC" w:rsidRDefault="00A502AC" w:rsidP="00444693">
            <w:pPr>
              <w:pStyle w:val="TableText"/>
              <w:widowControl w:val="0"/>
              <w:suppressAutoHyphens w:val="0"/>
              <w:spacing w:before="0" w:after="0" w:line="240" w:lineRule="auto"/>
              <w:rPr>
                <w:szCs w:val="17"/>
              </w:rPr>
            </w:pPr>
            <w:r>
              <w:rPr>
                <w:szCs w:val="17"/>
              </w:rPr>
              <w:t>Growing shoots</w:t>
            </w:r>
          </w:p>
        </w:tc>
        <w:tc>
          <w:tcPr>
            <w:tcW w:w="487" w:type="pct"/>
          </w:tcPr>
          <w:p w14:paraId="56DBBAF0" w14:textId="77777777" w:rsidR="00A502AC" w:rsidRDefault="00A502AC" w:rsidP="00444693">
            <w:pPr>
              <w:pStyle w:val="TableText"/>
              <w:widowControl w:val="0"/>
              <w:suppressAutoHyphens w:val="0"/>
              <w:spacing w:before="0" w:after="0" w:line="240" w:lineRule="auto"/>
              <w:jc w:val="center"/>
            </w:pPr>
            <w:r>
              <w:t>30.5</w:t>
            </w:r>
          </w:p>
        </w:tc>
        <w:tc>
          <w:tcPr>
            <w:tcW w:w="487" w:type="pct"/>
          </w:tcPr>
          <w:p w14:paraId="469F6F04" w14:textId="77777777" w:rsidR="00A502AC" w:rsidRPr="004A0A88" w:rsidRDefault="00A502AC" w:rsidP="00444693">
            <w:pPr>
              <w:pStyle w:val="TableText"/>
              <w:widowControl w:val="0"/>
              <w:suppressAutoHyphens w:val="0"/>
              <w:spacing w:before="0" w:after="0" w:line="240" w:lineRule="auto"/>
              <w:jc w:val="center"/>
            </w:pPr>
            <w:r>
              <w:t>16.2</w:t>
            </w:r>
          </w:p>
        </w:tc>
        <w:tc>
          <w:tcPr>
            <w:tcW w:w="488" w:type="pct"/>
            <w:shd w:val="clear" w:color="auto" w:fill="FF0000"/>
          </w:tcPr>
          <w:p w14:paraId="6D72C085"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187</w:t>
            </w:r>
          </w:p>
        </w:tc>
        <w:tc>
          <w:tcPr>
            <w:tcW w:w="489" w:type="pct"/>
            <w:shd w:val="clear" w:color="auto" w:fill="FF0000"/>
          </w:tcPr>
          <w:p w14:paraId="6650A6E0"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633</w:t>
            </w:r>
          </w:p>
        </w:tc>
      </w:tr>
      <w:tr w:rsidR="00A502AC" w:rsidRPr="004E0D09" w14:paraId="20C1743D" w14:textId="77777777" w:rsidTr="00444693">
        <w:trPr>
          <w:cantSplit/>
          <w:trHeight w:val="13"/>
        </w:trPr>
        <w:tc>
          <w:tcPr>
            <w:tcW w:w="873" w:type="pct"/>
            <w:vMerge/>
          </w:tcPr>
          <w:p w14:paraId="1A357353"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0F960169" w14:textId="77777777" w:rsidR="00A502AC" w:rsidRDefault="00A502AC" w:rsidP="00444693">
            <w:pPr>
              <w:pStyle w:val="TableText"/>
              <w:widowControl w:val="0"/>
              <w:suppressAutoHyphens w:val="0"/>
              <w:spacing w:before="0" w:after="0" w:line="240" w:lineRule="auto"/>
              <w:rPr>
                <w:szCs w:val="17"/>
              </w:rPr>
            </w:pPr>
          </w:p>
        </w:tc>
        <w:tc>
          <w:tcPr>
            <w:tcW w:w="870" w:type="pct"/>
          </w:tcPr>
          <w:p w14:paraId="08C0CCD9" w14:textId="77777777" w:rsidR="00A502AC" w:rsidRPr="00B6513E"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Pr>
          <w:p w14:paraId="677F610B" w14:textId="77777777" w:rsidR="00A502AC" w:rsidRDefault="00A502AC" w:rsidP="00444693">
            <w:pPr>
              <w:pStyle w:val="TableText"/>
              <w:widowControl w:val="0"/>
              <w:suppressAutoHyphens w:val="0"/>
              <w:spacing w:before="0" w:after="0" w:line="240" w:lineRule="auto"/>
              <w:rPr>
                <w:szCs w:val="17"/>
              </w:rPr>
            </w:pPr>
            <w:r>
              <w:rPr>
                <w:szCs w:val="17"/>
              </w:rPr>
              <w:t>Growing shoots</w:t>
            </w:r>
          </w:p>
        </w:tc>
        <w:tc>
          <w:tcPr>
            <w:tcW w:w="487" w:type="pct"/>
          </w:tcPr>
          <w:p w14:paraId="1CBAD663" w14:textId="77777777" w:rsidR="00A502AC" w:rsidRDefault="00A502AC" w:rsidP="00444693">
            <w:pPr>
              <w:pStyle w:val="TableText"/>
              <w:widowControl w:val="0"/>
              <w:suppressAutoHyphens w:val="0"/>
              <w:spacing w:before="0" w:after="0" w:line="240" w:lineRule="auto"/>
              <w:jc w:val="center"/>
            </w:pPr>
            <w:r>
              <w:t>26.8</w:t>
            </w:r>
          </w:p>
        </w:tc>
        <w:tc>
          <w:tcPr>
            <w:tcW w:w="487" w:type="pct"/>
          </w:tcPr>
          <w:p w14:paraId="46BF6350" w14:textId="77777777" w:rsidR="00A502AC" w:rsidRPr="004A0A88" w:rsidRDefault="00A502AC" w:rsidP="00444693">
            <w:pPr>
              <w:pStyle w:val="TableText"/>
              <w:widowControl w:val="0"/>
              <w:suppressAutoHyphens w:val="0"/>
              <w:spacing w:before="0" w:after="0" w:line="240" w:lineRule="auto"/>
              <w:jc w:val="center"/>
            </w:pPr>
            <w:r>
              <w:t>11.3</w:t>
            </w:r>
          </w:p>
        </w:tc>
        <w:tc>
          <w:tcPr>
            <w:tcW w:w="488" w:type="pct"/>
            <w:shd w:val="clear" w:color="auto" w:fill="FF0000"/>
          </w:tcPr>
          <w:p w14:paraId="3751DB9D"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213</w:t>
            </w:r>
          </w:p>
        </w:tc>
        <w:tc>
          <w:tcPr>
            <w:tcW w:w="489" w:type="pct"/>
            <w:shd w:val="clear" w:color="auto" w:fill="FF0000"/>
          </w:tcPr>
          <w:p w14:paraId="5A62F0EC"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907</w:t>
            </w:r>
          </w:p>
        </w:tc>
      </w:tr>
      <w:tr w:rsidR="00A502AC" w:rsidRPr="00C3293F" w14:paraId="7F3C5A0B" w14:textId="77777777" w:rsidTr="00444693">
        <w:trPr>
          <w:cantSplit/>
          <w:trHeight w:val="13"/>
        </w:trPr>
        <w:tc>
          <w:tcPr>
            <w:tcW w:w="873" w:type="pct"/>
            <w:vMerge w:val="restart"/>
            <w:tcBorders>
              <w:top w:val="single" w:sz="4" w:space="0" w:color="auto"/>
            </w:tcBorders>
          </w:tcPr>
          <w:p w14:paraId="38950E38" w14:textId="77777777" w:rsidR="00A502AC" w:rsidRDefault="00A502AC" w:rsidP="00444693">
            <w:pPr>
              <w:pStyle w:val="TableText"/>
              <w:widowControl w:val="0"/>
              <w:suppressAutoHyphens w:val="0"/>
              <w:spacing w:before="0" w:after="0" w:line="240" w:lineRule="auto"/>
              <w:rPr>
                <w:szCs w:val="17"/>
              </w:rPr>
            </w:pPr>
            <w:r>
              <w:t>General weed control in lucerne (ungrazed before application)</w:t>
            </w:r>
          </w:p>
        </w:tc>
        <w:tc>
          <w:tcPr>
            <w:tcW w:w="653" w:type="pct"/>
            <w:vMerge w:val="restart"/>
            <w:tcBorders>
              <w:top w:val="single" w:sz="4" w:space="0" w:color="auto"/>
            </w:tcBorders>
          </w:tcPr>
          <w:p w14:paraId="494F4DD0" w14:textId="77777777" w:rsidR="00A502AC" w:rsidRDefault="00A502AC" w:rsidP="00444693">
            <w:pPr>
              <w:pStyle w:val="TableText"/>
              <w:widowControl w:val="0"/>
              <w:suppressAutoHyphens w:val="0"/>
              <w:spacing w:before="0" w:after="0" w:line="240" w:lineRule="auto"/>
              <w:rPr>
                <w:szCs w:val="17"/>
              </w:rPr>
            </w:pPr>
            <w:r>
              <w:rPr>
                <w:szCs w:val="17"/>
              </w:rPr>
              <w:t>Legume forage</w:t>
            </w:r>
          </w:p>
        </w:tc>
        <w:tc>
          <w:tcPr>
            <w:tcW w:w="870" w:type="pct"/>
            <w:tcBorders>
              <w:top w:val="single" w:sz="4" w:space="0" w:color="auto"/>
            </w:tcBorders>
          </w:tcPr>
          <w:p w14:paraId="02690BBE" w14:textId="77777777" w:rsidR="00A502AC" w:rsidRPr="00B6513E" w:rsidRDefault="00A502AC" w:rsidP="00444693">
            <w:pPr>
              <w:pStyle w:val="TableText"/>
              <w:widowControl w:val="0"/>
              <w:suppressAutoHyphens w:val="0"/>
              <w:spacing w:before="0" w:after="0" w:line="240" w:lineRule="auto"/>
              <w:rPr>
                <w:szCs w:val="17"/>
              </w:rPr>
            </w:pPr>
            <w:r>
              <w:rPr>
                <w:szCs w:val="17"/>
              </w:rPr>
              <w:t>Small granivore</w:t>
            </w:r>
          </w:p>
        </w:tc>
        <w:tc>
          <w:tcPr>
            <w:tcW w:w="653" w:type="pct"/>
            <w:tcBorders>
              <w:top w:val="single" w:sz="4" w:space="0" w:color="auto"/>
            </w:tcBorders>
          </w:tcPr>
          <w:p w14:paraId="12F43013"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87" w:type="pct"/>
            <w:tcBorders>
              <w:top w:val="single" w:sz="4" w:space="0" w:color="auto"/>
            </w:tcBorders>
          </w:tcPr>
          <w:p w14:paraId="3CE4F749" w14:textId="77777777" w:rsidR="00A502AC" w:rsidRDefault="00A502AC" w:rsidP="00444693">
            <w:pPr>
              <w:pStyle w:val="TableText"/>
              <w:widowControl w:val="0"/>
              <w:suppressAutoHyphens w:val="0"/>
              <w:spacing w:before="0" w:after="0" w:line="240" w:lineRule="auto"/>
              <w:jc w:val="center"/>
            </w:pPr>
            <w:r>
              <w:t>7.4</w:t>
            </w:r>
          </w:p>
        </w:tc>
        <w:tc>
          <w:tcPr>
            <w:tcW w:w="487" w:type="pct"/>
            <w:tcBorders>
              <w:top w:val="single" w:sz="4" w:space="0" w:color="auto"/>
            </w:tcBorders>
          </w:tcPr>
          <w:p w14:paraId="36EF86B5" w14:textId="77777777" w:rsidR="00A502AC" w:rsidRPr="004A0A88" w:rsidRDefault="00A502AC" w:rsidP="00444693">
            <w:pPr>
              <w:pStyle w:val="TableText"/>
              <w:widowControl w:val="0"/>
              <w:suppressAutoHyphens w:val="0"/>
              <w:spacing w:before="0" w:after="0" w:line="240" w:lineRule="auto"/>
              <w:jc w:val="center"/>
            </w:pPr>
            <w:r>
              <w:t>3.4</w:t>
            </w:r>
          </w:p>
        </w:tc>
        <w:tc>
          <w:tcPr>
            <w:tcW w:w="488" w:type="pct"/>
            <w:tcBorders>
              <w:top w:val="single" w:sz="4" w:space="0" w:color="auto"/>
            </w:tcBorders>
          </w:tcPr>
          <w:p w14:paraId="1E0FA9C5" w14:textId="77777777" w:rsidR="00A502AC" w:rsidRPr="00C3293F" w:rsidRDefault="00A502AC" w:rsidP="00444693">
            <w:pPr>
              <w:pStyle w:val="TableText"/>
              <w:widowControl w:val="0"/>
              <w:suppressAutoHyphens w:val="0"/>
              <w:spacing w:before="0" w:after="0" w:line="240" w:lineRule="auto"/>
              <w:jc w:val="center"/>
            </w:pPr>
            <w:r w:rsidRPr="00EC4DE5">
              <w:t>770</w:t>
            </w:r>
          </w:p>
        </w:tc>
        <w:tc>
          <w:tcPr>
            <w:tcW w:w="489" w:type="pct"/>
            <w:tcBorders>
              <w:top w:val="single" w:sz="4" w:space="0" w:color="auto"/>
            </w:tcBorders>
          </w:tcPr>
          <w:p w14:paraId="59F0A024" w14:textId="77777777" w:rsidR="00A502AC" w:rsidRPr="00C3293F" w:rsidRDefault="00A502AC" w:rsidP="00444693">
            <w:pPr>
              <w:pStyle w:val="TableText"/>
              <w:widowControl w:val="0"/>
              <w:suppressAutoHyphens w:val="0"/>
              <w:spacing w:before="0" w:after="0" w:line="240" w:lineRule="auto"/>
              <w:jc w:val="center"/>
            </w:pPr>
            <w:r w:rsidRPr="00E22F6A">
              <w:t>3015</w:t>
            </w:r>
          </w:p>
        </w:tc>
      </w:tr>
      <w:tr w:rsidR="00A502AC" w:rsidRPr="00C3293F" w14:paraId="6E8E05D4" w14:textId="77777777" w:rsidTr="00444693">
        <w:trPr>
          <w:cantSplit/>
          <w:trHeight w:val="13"/>
        </w:trPr>
        <w:tc>
          <w:tcPr>
            <w:tcW w:w="873" w:type="pct"/>
            <w:vMerge/>
          </w:tcPr>
          <w:p w14:paraId="49575773"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36C2AF91" w14:textId="77777777" w:rsidR="00A502AC" w:rsidRDefault="00A502AC" w:rsidP="00444693">
            <w:pPr>
              <w:pStyle w:val="TableText"/>
              <w:widowControl w:val="0"/>
              <w:suppressAutoHyphens w:val="0"/>
              <w:spacing w:before="0" w:after="0" w:line="240" w:lineRule="auto"/>
              <w:rPr>
                <w:szCs w:val="17"/>
              </w:rPr>
            </w:pPr>
          </w:p>
        </w:tc>
        <w:tc>
          <w:tcPr>
            <w:tcW w:w="870" w:type="pct"/>
          </w:tcPr>
          <w:p w14:paraId="65D630E1" w14:textId="77777777" w:rsidR="00A502AC" w:rsidRPr="00B6513E" w:rsidRDefault="00A502AC" w:rsidP="00444693">
            <w:pPr>
              <w:pStyle w:val="TableText"/>
              <w:widowControl w:val="0"/>
              <w:suppressAutoHyphens w:val="0"/>
              <w:spacing w:before="0" w:after="0" w:line="240" w:lineRule="auto"/>
              <w:rPr>
                <w:szCs w:val="17"/>
              </w:rPr>
            </w:pPr>
            <w:r>
              <w:rPr>
                <w:szCs w:val="17"/>
              </w:rPr>
              <w:t>Small omnivore</w:t>
            </w:r>
          </w:p>
        </w:tc>
        <w:tc>
          <w:tcPr>
            <w:tcW w:w="653" w:type="pct"/>
          </w:tcPr>
          <w:p w14:paraId="651E1475" w14:textId="77777777" w:rsidR="00A502AC" w:rsidRDefault="00A502AC" w:rsidP="00444693">
            <w:pPr>
              <w:pStyle w:val="TableText"/>
              <w:widowControl w:val="0"/>
              <w:suppressAutoHyphens w:val="0"/>
              <w:spacing w:before="0" w:after="0" w:line="240" w:lineRule="auto"/>
              <w:rPr>
                <w:szCs w:val="17"/>
              </w:rPr>
            </w:pPr>
            <w:r>
              <w:rPr>
                <w:szCs w:val="17"/>
              </w:rPr>
              <w:t>BBCH ≥50</w:t>
            </w:r>
          </w:p>
        </w:tc>
        <w:tc>
          <w:tcPr>
            <w:tcW w:w="487" w:type="pct"/>
          </w:tcPr>
          <w:p w14:paraId="4E03BBD9" w14:textId="77777777" w:rsidR="00A502AC" w:rsidRDefault="00A502AC" w:rsidP="00444693">
            <w:pPr>
              <w:pStyle w:val="TableText"/>
              <w:widowControl w:val="0"/>
              <w:suppressAutoHyphens w:val="0"/>
              <w:spacing w:before="0" w:after="0" w:line="240" w:lineRule="auto"/>
              <w:jc w:val="center"/>
            </w:pPr>
            <w:r>
              <w:t>7.2</w:t>
            </w:r>
          </w:p>
        </w:tc>
        <w:tc>
          <w:tcPr>
            <w:tcW w:w="487" w:type="pct"/>
          </w:tcPr>
          <w:p w14:paraId="004A4A87" w14:textId="77777777" w:rsidR="00A502AC" w:rsidRPr="004A0A88" w:rsidRDefault="00A502AC" w:rsidP="00444693">
            <w:pPr>
              <w:pStyle w:val="TableText"/>
              <w:widowControl w:val="0"/>
              <w:suppressAutoHyphens w:val="0"/>
              <w:spacing w:before="0" w:after="0" w:line="240" w:lineRule="auto"/>
              <w:jc w:val="center"/>
            </w:pPr>
            <w:r>
              <w:t>3.3</w:t>
            </w:r>
          </w:p>
        </w:tc>
        <w:tc>
          <w:tcPr>
            <w:tcW w:w="488" w:type="pct"/>
          </w:tcPr>
          <w:p w14:paraId="3D19D697" w14:textId="77777777" w:rsidR="00A502AC" w:rsidRPr="00C3293F" w:rsidRDefault="00A502AC" w:rsidP="00444693">
            <w:pPr>
              <w:pStyle w:val="TableText"/>
              <w:widowControl w:val="0"/>
              <w:suppressAutoHyphens w:val="0"/>
              <w:spacing w:before="0" w:after="0" w:line="240" w:lineRule="auto"/>
              <w:jc w:val="center"/>
            </w:pPr>
            <w:r w:rsidRPr="00EC4DE5">
              <w:t>792</w:t>
            </w:r>
          </w:p>
        </w:tc>
        <w:tc>
          <w:tcPr>
            <w:tcW w:w="489" w:type="pct"/>
          </w:tcPr>
          <w:p w14:paraId="234A2584" w14:textId="77777777" w:rsidR="00A502AC" w:rsidRPr="00C3293F" w:rsidRDefault="00A502AC" w:rsidP="00444693">
            <w:pPr>
              <w:pStyle w:val="TableText"/>
              <w:widowControl w:val="0"/>
              <w:suppressAutoHyphens w:val="0"/>
              <w:spacing w:before="0" w:after="0" w:line="240" w:lineRule="auto"/>
              <w:jc w:val="center"/>
            </w:pPr>
            <w:r w:rsidRPr="00E22F6A">
              <w:t>3107</w:t>
            </w:r>
          </w:p>
        </w:tc>
      </w:tr>
      <w:tr w:rsidR="00A502AC" w:rsidRPr="00C3293F" w14:paraId="1C6BF25E" w14:textId="77777777" w:rsidTr="00444693">
        <w:trPr>
          <w:cantSplit/>
          <w:trHeight w:val="13"/>
        </w:trPr>
        <w:tc>
          <w:tcPr>
            <w:tcW w:w="873" w:type="pct"/>
            <w:vMerge/>
            <w:tcBorders>
              <w:bottom w:val="single" w:sz="4" w:space="0" w:color="auto"/>
            </w:tcBorders>
          </w:tcPr>
          <w:p w14:paraId="59827DCA" w14:textId="77777777" w:rsidR="00A502AC" w:rsidRDefault="00A502AC" w:rsidP="00444693">
            <w:pPr>
              <w:pStyle w:val="TableText"/>
              <w:widowControl w:val="0"/>
              <w:suppressAutoHyphens w:val="0"/>
              <w:spacing w:before="0" w:after="0" w:line="240" w:lineRule="auto"/>
              <w:rPr>
                <w:szCs w:val="17"/>
              </w:rPr>
            </w:pPr>
          </w:p>
        </w:tc>
        <w:tc>
          <w:tcPr>
            <w:tcW w:w="653" w:type="pct"/>
            <w:vMerge/>
            <w:tcBorders>
              <w:bottom w:val="single" w:sz="4" w:space="0" w:color="auto"/>
            </w:tcBorders>
          </w:tcPr>
          <w:p w14:paraId="7E209E3F"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4463DE5B"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Borders>
              <w:bottom w:val="single" w:sz="4" w:space="0" w:color="auto"/>
            </w:tcBorders>
          </w:tcPr>
          <w:p w14:paraId="4656327C" w14:textId="77777777" w:rsidR="00A502AC" w:rsidRDefault="00A502AC" w:rsidP="00444693">
            <w:pPr>
              <w:pStyle w:val="TableText"/>
              <w:widowControl w:val="0"/>
              <w:suppressAutoHyphens w:val="0"/>
              <w:spacing w:before="0" w:after="0" w:line="240" w:lineRule="auto"/>
              <w:rPr>
                <w:szCs w:val="17"/>
              </w:rPr>
            </w:pPr>
            <w:r>
              <w:rPr>
                <w:szCs w:val="17"/>
              </w:rPr>
              <w:t>BBCH ≥20</w:t>
            </w:r>
          </w:p>
        </w:tc>
        <w:tc>
          <w:tcPr>
            <w:tcW w:w="487" w:type="pct"/>
            <w:tcBorders>
              <w:bottom w:val="single" w:sz="4" w:space="0" w:color="auto"/>
            </w:tcBorders>
          </w:tcPr>
          <w:p w14:paraId="73DB8853" w14:textId="77777777" w:rsidR="00A502AC" w:rsidRDefault="00A502AC" w:rsidP="00444693">
            <w:pPr>
              <w:pStyle w:val="TableText"/>
              <w:widowControl w:val="0"/>
              <w:suppressAutoHyphens w:val="0"/>
              <w:spacing w:before="0" w:after="0" w:line="240" w:lineRule="auto"/>
              <w:jc w:val="center"/>
            </w:pPr>
            <w:r>
              <w:t>25.2</w:t>
            </w:r>
          </w:p>
        </w:tc>
        <w:tc>
          <w:tcPr>
            <w:tcW w:w="487" w:type="pct"/>
            <w:tcBorders>
              <w:bottom w:val="single" w:sz="4" w:space="0" w:color="auto"/>
            </w:tcBorders>
          </w:tcPr>
          <w:p w14:paraId="4809CAB8" w14:textId="77777777" w:rsidR="00A502AC" w:rsidRDefault="00A502AC" w:rsidP="00444693">
            <w:pPr>
              <w:pStyle w:val="TableText"/>
              <w:widowControl w:val="0"/>
              <w:suppressAutoHyphens w:val="0"/>
              <w:spacing w:before="0" w:after="0" w:line="240" w:lineRule="auto"/>
              <w:jc w:val="center"/>
            </w:pPr>
            <w:r>
              <w:t>9.7</w:t>
            </w:r>
          </w:p>
        </w:tc>
        <w:tc>
          <w:tcPr>
            <w:tcW w:w="488" w:type="pct"/>
            <w:tcBorders>
              <w:bottom w:val="single" w:sz="4" w:space="0" w:color="auto"/>
            </w:tcBorders>
            <w:shd w:val="clear" w:color="auto" w:fill="FF0000"/>
          </w:tcPr>
          <w:p w14:paraId="3AB2C458"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226</w:t>
            </w:r>
          </w:p>
        </w:tc>
        <w:tc>
          <w:tcPr>
            <w:tcW w:w="489" w:type="pct"/>
            <w:tcBorders>
              <w:bottom w:val="single" w:sz="4" w:space="0" w:color="auto"/>
            </w:tcBorders>
          </w:tcPr>
          <w:p w14:paraId="77233317" w14:textId="77777777" w:rsidR="00A502AC" w:rsidRPr="00C3293F" w:rsidRDefault="00A502AC" w:rsidP="00444693">
            <w:pPr>
              <w:pStyle w:val="TableText"/>
              <w:widowControl w:val="0"/>
              <w:suppressAutoHyphens w:val="0"/>
              <w:spacing w:before="0" w:after="0" w:line="240" w:lineRule="auto"/>
              <w:jc w:val="center"/>
            </w:pPr>
            <w:r w:rsidRPr="00E22F6A">
              <w:t>1057</w:t>
            </w:r>
          </w:p>
        </w:tc>
      </w:tr>
      <w:tr w:rsidR="00A502AC" w:rsidRPr="00C3293F" w14:paraId="7B2736AF" w14:textId="77777777" w:rsidTr="00444693">
        <w:trPr>
          <w:cantSplit/>
          <w:trHeight w:val="13"/>
        </w:trPr>
        <w:tc>
          <w:tcPr>
            <w:tcW w:w="873" w:type="pct"/>
            <w:vMerge w:val="restart"/>
            <w:tcBorders>
              <w:top w:val="single" w:sz="4" w:space="0" w:color="auto"/>
            </w:tcBorders>
          </w:tcPr>
          <w:p w14:paraId="743DC11C" w14:textId="77777777" w:rsidR="00A502AC" w:rsidRDefault="00A502AC" w:rsidP="00444693">
            <w:pPr>
              <w:pStyle w:val="TableText"/>
              <w:widowControl w:val="0"/>
              <w:suppressAutoHyphens w:val="0"/>
              <w:spacing w:before="0" w:after="0" w:line="240" w:lineRule="auto"/>
              <w:rPr>
                <w:szCs w:val="17"/>
              </w:rPr>
            </w:pPr>
            <w:r>
              <w:t>General weed control in peanuts (BBCH 10-19), lucerne (grazed before application)</w:t>
            </w:r>
          </w:p>
        </w:tc>
        <w:tc>
          <w:tcPr>
            <w:tcW w:w="653" w:type="pct"/>
            <w:vMerge w:val="restart"/>
            <w:tcBorders>
              <w:top w:val="single" w:sz="4" w:space="0" w:color="auto"/>
            </w:tcBorders>
          </w:tcPr>
          <w:p w14:paraId="00263B86" w14:textId="77777777" w:rsidR="00A502AC" w:rsidRDefault="00A502AC" w:rsidP="00444693">
            <w:pPr>
              <w:pStyle w:val="TableText"/>
              <w:widowControl w:val="0"/>
              <w:suppressAutoHyphens w:val="0"/>
              <w:spacing w:before="0" w:after="0" w:line="240" w:lineRule="auto"/>
              <w:rPr>
                <w:szCs w:val="17"/>
              </w:rPr>
            </w:pPr>
            <w:r>
              <w:rPr>
                <w:szCs w:val="17"/>
              </w:rPr>
              <w:t>Legume forage</w:t>
            </w:r>
          </w:p>
        </w:tc>
        <w:tc>
          <w:tcPr>
            <w:tcW w:w="870" w:type="pct"/>
            <w:tcBorders>
              <w:top w:val="single" w:sz="4" w:space="0" w:color="auto"/>
            </w:tcBorders>
          </w:tcPr>
          <w:p w14:paraId="55C629F8" w14:textId="77777777" w:rsidR="00A502AC" w:rsidRDefault="00A502AC" w:rsidP="00444693">
            <w:pPr>
              <w:pStyle w:val="TableText"/>
              <w:widowControl w:val="0"/>
              <w:suppressAutoHyphens w:val="0"/>
              <w:spacing w:before="0" w:after="0" w:line="240" w:lineRule="auto"/>
              <w:rPr>
                <w:szCs w:val="17"/>
              </w:rPr>
            </w:pPr>
            <w:r>
              <w:rPr>
                <w:szCs w:val="17"/>
              </w:rPr>
              <w:t>Small granivore</w:t>
            </w:r>
          </w:p>
        </w:tc>
        <w:tc>
          <w:tcPr>
            <w:tcW w:w="653" w:type="pct"/>
            <w:tcBorders>
              <w:top w:val="single" w:sz="4" w:space="0" w:color="auto"/>
            </w:tcBorders>
          </w:tcPr>
          <w:p w14:paraId="2E44E1F8" w14:textId="77777777" w:rsidR="00A502AC" w:rsidRDefault="00A502AC" w:rsidP="00444693">
            <w:pPr>
              <w:pStyle w:val="TableText"/>
              <w:widowControl w:val="0"/>
              <w:suppressAutoHyphens w:val="0"/>
              <w:spacing w:before="0" w:after="0" w:line="240" w:lineRule="auto"/>
              <w:rPr>
                <w:szCs w:val="17"/>
              </w:rPr>
            </w:pPr>
            <w:r>
              <w:rPr>
                <w:szCs w:val="17"/>
              </w:rPr>
              <w:t>BBCH 10-49</w:t>
            </w:r>
          </w:p>
        </w:tc>
        <w:tc>
          <w:tcPr>
            <w:tcW w:w="487" w:type="pct"/>
            <w:tcBorders>
              <w:top w:val="single" w:sz="4" w:space="0" w:color="auto"/>
            </w:tcBorders>
          </w:tcPr>
          <w:p w14:paraId="239DA4E9" w14:textId="77777777" w:rsidR="00A502AC" w:rsidRDefault="00A502AC" w:rsidP="00444693">
            <w:pPr>
              <w:pStyle w:val="TableText"/>
              <w:widowControl w:val="0"/>
              <w:suppressAutoHyphens w:val="0"/>
              <w:spacing w:before="0" w:after="0" w:line="240" w:lineRule="auto"/>
              <w:jc w:val="center"/>
            </w:pPr>
            <w:r>
              <w:t>24.7</w:t>
            </w:r>
          </w:p>
        </w:tc>
        <w:tc>
          <w:tcPr>
            <w:tcW w:w="487" w:type="pct"/>
            <w:tcBorders>
              <w:top w:val="single" w:sz="4" w:space="0" w:color="auto"/>
            </w:tcBorders>
          </w:tcPr>
          <w:p w14:paraId="71CC52DC" w14:textId="77777777" w:rsidR="00A502AC" w:rsidRDefault="00A502AC" w:rsidP="00444693">
            <w:pPr>
              <w:pStyle w:val="TableText"/>
              <w:widowControl w:val="0"/>
              <w:suppressAutoHyphens w:val="0"/>
              <w:spacing w:before="0" w:after="0" w:line="240" w:lineRule="auto"/>
              <w:jc w:val="center"/>
            </w:pPr>
            <w:r>
              <w:t>11.4</w:t>
            </w:r>
          </w:p>
        </w:tc>
        <w:tc>
          <w:tcPr>
            <w:tcW w:w="488" w:type="pct"/>
            <w:tcBorders>
              <w:top w:val="single" w:sz="4" w:space="0" w:color="auto"/>
            </w:tcBorders>
            <w:shd w:val="clear" w:color="auto" w:fill="FF0000"/>
          </w:tcPr>
          <w:p w14:paraId="4693C86B"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231</w:t>
            </w:r>
          </w:p>
        </w:tc>
        <w:tc>
          <w:tcPr>
            <w:tcW w:w="489" w:type="pct"/>
            <w:tcBorders>
              <w:top w:val="single" w:sz="4" w:space="0" w:color="auto"/>
            </w:tcBorders>
          </w:tcPr>
          <w:p w14:paraId="2E7C8C83" w14:textId="77777777" w:rsidR="00A502AC" w:rsidRPr="00C3293F" w:rsidRDefault="00A502AC" w:rsidP="00444693">
            <w:pPr>
              <w:pStyle w:val="TableText"/>
              <w:widowControl w:val="0"/>
              <w:suppressAutoHyphens w:val="0"/>
              <w:spacing w:before="0" w:after="0" w:line="240" w:lineRule="auto"/>
              <w:jc w:val="center"/>
            </w:pPr>
            <w:r w:rsidRPr="00E22F6A">
              <w:t>899</w:t>
            </w:r>
          </w:p>
        </w:tc>
      </w:tr>
      <w:tr w:rsidR="00A502AC" w:rsidRPr="00C3293F" w14:paraId="1352F68F" w14:textId="77777777" w:rsidTr="00444693">
        <w:trPr>
          <w:cantSplit/>
          <w:trHeight w:val="13"/>
        </w:trPr>
        <w:tc>
          <w:tcPr>
            <w:tcW w:w="873" w:type="pct"/>
            <w:vMerge/>
          </w:tcPr>
          <w:p w14:paraId="2A69C126"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3623A619" w14:textId="77777777" w:rsidR="00A502AC" w:rsidRDefault="00A502AC" w:rsidP="00444693">
            <w:pPr>
              <w:pStyle w:val="TableText"/>
              <w:widowControl w:val="0"/>
              <w:suppressAutoHyphens w:val="0"/>
              <w:spacing w:before="0" w:after="0" w:line="240" w:lineRule="auto"/>
              <w:rPr>
                <w:szCs w:val="17"/>
              </w:rPr>
            </w:pPr>
          </w:p>
        </w:tc>
        <w:tc>
          <w:tcPr>
            <w:tcW w:w="870" w:type="pct"/>
          </w:tcPr>
          <w:p w14:paraId="10A7D803"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53" w:type="pct"/>
          </w:tcPr>
          <w:p w14:paraId="1216B725" w14:textId="77777777" w:rsidR="00A502AC" w:rsidRDefault="00A502AC" w:rsidP="00444693">
            <w:pPr>
              <w:pStyle w:val="TableText"/>
              <w:widowControl w:val="0"/>
              <w:suppressAutoHyphens w:val="0"/>
              <w:spacing w:before="0" w:after="0" w:line="240" w:lineRule="auto"/>
              <w:rPr>
                <w:szCs w:val="17"/>
              </w:rPr>
            </w:pPr>
            <w:r>
              <w:rPr>
                <w:szCs w:val="17"/>
              </w:rPr>
              <w:t>BBCH 10-49</w:t>
            </w:r>
          </w:p>
        </w:tc>
        <w:tc>
          <w:tcPr>
            <w:tcW w:w="487" w:type="pct"/>
          </w:tcPr>
          <w:p w14:paraId="0C7CC7EF" w14:textId="77777777" w:rsidR="00A502AC" w:rsidRDefault="00A502AC" w:rsidP="00444693">
            <w:pPr>
              <w:pStyle w:val="TableText"/>
              <w:widowControl w:val="0"/>
              <w:suppressAutoHyphens w:val="0"/>
              <w:spacing w:before="0" w:after="0" w:line="240" w:lineRule="auto"/>
              <w:jc w:val="center"/>
            </w:pPr>
            <w:r>
              <w:t>24.0</w:t>
            </w:r>
          </w:p>
        </w:tc>
        <w:tc>
          <w:tcPr>
            <w:tcW w:w="487" w:type="pct"/>
          </w:tcPr>
          <w:p w14:paraId="2A0EC5DC" w14:textId="77777777" w:rsidR="00A502AC" w:rsidRDefault="00A502AC" w:rsidP="00444693">
            <w:pPr>
              <w:pStyle w:val="TableText"/>
              <w:widowControl w:val="0"/>
              <w:suppressAutoHyphens w:val="0"/>
              <w:spacing w:before="0" w:after="0" w:line="240" w:lineRule="auto"/>
              <w:jc w:val="center"/>
            </w:pPr>
            <w:r>
              <w:t>10.9</w:t>
            </w:r>
          </w:p>
        </w:tc>
        <w:tc>
          <w:tcPr>
            <w:tcW w:w="488" w:type="pct"/>
            <w:shd w:val="clear" w:color="auto" w:fill="FF0000"/>
          </w:tcPr>
          <w:p w14:paraId="13C95EF1"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238</w:t>
            </w:r>
          </w:p>
        </w:tc>
        <w:tc>
          <w:tcPr>
            <w:tcW w:w="489" w:type="pct"/>
          </w:tcPr>
          <w:p w14:paraId="2F4C0B1C" w14:textId="77777777" w:rsidR="00A502AC" w:rsidRPr="00C3293F" w:rsidRDefault="00A502AC" w:rsidP="00444693">
            <w:pPr>
              <w:pStyle w:val="TableText"/>
              <w:widowControl w:val="0"/>
              <w:suppressAutoHyphens w:val="0"/>
              <w:spacing w:before="0" w:after="0" w:line="240" w:lineRule="auto"/>
              <w:jc w:val="center"/>
            </w:pPr>
            <w:r w:rsidRPr="00E22F6A">
              <w:t>941</w:t>
            </w:r>
          </w:p>
        </w:tc>
      </w:tr>
      <w:tr w:rsidR="00A502AC" w:rsidRPr="00C3293F" w14:paraId="5D96B242" w14:textId="77777777" w:rsidTr="00444693">
        <w:trPr>
          <w:cantSplit/>
          <w:trHeight w:val="13"/>
        </w:trPr>
        <w:tc>
          <w:tcPr>
            <w:tcW w:w="873" w:type="pct"/>
            <w:vMerge/>
            <w:tcBorders>
              <w:bottom w:val="single" w:sz="4" w:space="0" w:color="auto"/>
            </w:tcBorders>
          </w:tcPr>
          <w:p w14:paraId="70C98711" w14:textId="77777777" w:rsidR="00A502AC" w:rsidRDefault="00A502AC" w:rsidP="00444693">
            <w:pPr>
              <w:pStyle w:val="TableText"/>
              <w:widowControl w:val="0"/>
              <w:suppressAutoHyphens w:val="0"/>
              <w:spacing w:before="0" w:after="0" w:line="240" w:lineRule="auto"/>
              <w:rPr>
                <w:szCs w:val="17"/>
              </w:rPr>
            </w:pPr>
          </w:p>
        </w:tc>
        <w:tc>
          <w:tcPr>
            <w:tcW w:w="653" w:type="pct"/>
            <w:vMerge/>
            <w:tcBorders>
              <w:bottom w:val="single" w:sz="4" w:space="0" w:color="auto"/>
            </w:tcBorders>
          </w:tcPr>
          <w:p w14:paraId="7E4F7D13"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4A7E434E"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Borders>
              <w:bottom w:val="single" w:sz="4" w:space="0" w:color="auto"/>
            </w:tcBorders>
          </w:tcPr>
          <w:p w14:paraId="68E8D57C" w14:textId="77777777" w:rsidR="00A502AC" w:rsidRDefault="00A502AC" w:rsidP="00444693">
            <w:pPr>
              <w:pStyle w:val="TableText"/>
              <w:widowControl w:val="0"/>
              <w:suppressAutoHyphens w:val="0"/>
              <w:spacing w:before="0" w:after="0" w:line="240" w:lineRule="auto"/>
              <w:rPr>
                <w:szCs w:val="17"/>
              </w:rPr>
            </w:pPr>
            <w:r>
              <w:rPr>
                <w:szCs w:val="17"/>
              </w:rPr>
              <w:t>BBCH 10-19</w:t>
            </w:r>
          </w:p>
        </w:tc>
        <w:tc>
          <w:tcPr>
            <w:tcW w:w="487" w:type="pct"/>
            <w:tcBorders>
              <w:bottom w:val="single" w:sz="4" w:space="0" w:color="auto"/>
            </w:tcBorders>
          </w:tcPr>
          <w:p w14:paraId="4752E132" w14:textId="77777777" w:rsidR="00A502AC" w:rsidRDefault="00A502AC" w:rsidP="00444693">
            <w:pPr>
              <w:pStyle w:val="TableText"/>
              <w:widowControl w:val="0"/>
              <w:suppressAutoHyphens w:val="0"/>
              <w:spacing w:before="0" w:after="0" w:line="240" w:lineRule="auto"/>
              <w:jc w:val="center"/>
            </w:pPr>
            <w:r>
              <w:t>26.8</w:t>
            </w:r>
          </w:p>
        </w:tc>
        <w:tc>
          <w:tcPr>
            <w:tcW w:w="487" w:type="pct"/>
            <w:tcBorders>
              <w:bottom w:val="single" w:sz="4" w:space="0" w:color="auto"/>
            </w:tcBorders>
          </w:tcPr>
          <w:p w14:paraId="51960B43" w14:textId="77777777" w:rsidR="00A502AC" w:rsidRDefault="00A502AC" w:rsidP="00444693">
            <w:pPr>
              <w:pStyle w:val="TableText"/>
              <w:widowControl w:val="0"/>
              <w:suppressAutoHyphens w:val="0"/>
              <w:spacing w:before="0" w:after="0" w:line="240" w:lineRule="auto"/>
              <w:jc w:val="center"/>
            </w:pPr>
            <w:r>
              <w:t>11.3</w:t>
            </w:r>
          </w:p>
        </w:tc>
        <w:tc>
          <w:tcPr>
            <w:tcW w:w="488" w:type="pct"/>
            <w:tcBorders>
              <w:bottom w:val="single" w:sz="4" w:space="0" w:color="auto"/>
            </w:tcBorders>
            <w:shd w:val="clear" w:color="auto" w:fill="FF0000"/>
          </w:tcPr>
          <w:p w14:paraId="043AE9DA"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213</w:t>
            </w:r>
          </w:p>
        </w:tc>
        <w:tc>
          <w:tcPr>
            <w:tcW w:w="489" w:type="pct"/>
            <w:tcBorders>
              <w:bottom w:val="single" w:sz="4" w:space="0" w:color="auto"/>
            </w:tcBorders>
          </w:tcPr>
          <w:p w14:paraId="632A01DF" w14:textId="77777777" w:rsidR="00A502AC" w:rsidRPr="00C3293F" w:rsidRDefault="00A502AC" w:rsidP="00444693">
            <w:pPr>
              <w:pStyle w:val="TableText"/>
              <w:widowControl w:val="0"/>
              <w:suppressAutoHyphens w:val="0"/>
              <w:spacing w:before="0" w:after="0" w:line="240" w:lineRule="auto"/>
              <w:jc w:val="center"/>
            </w:pPr>
            <w:r w:rsidRPr="00E22F6A">
              <w:t>907</w:t>
            </w:r>
          </w:p>
        </w:tc>
      </w:tr>
      <w:tr w:rsidR="00A502AC" w:rsidRPr="00C3293F" w14:paraId="5FAAB83C" w14:textId="77777777" w:rsidTr="00444693">
        <w:trPr>
          <w:cantSplit/>
          <w:trHeight w:val="13"/>
        </w:trPr>
        <w:tc>
          <w:tcPr>
            <w:tcW w:w="873" w:type="pct"/>
            <w:vMerge w:val="restart"/>
            <w:tcBorders>
              <w:top w:val="single" w:sz="4" w:space="0" w:color="auto"/>
            </w:tcBorders>
          </w:tcPr>
          <w:p w14:paraId="79417D8B" w14:textId="77777777" w:rsidR="00A502AC" w:rsidRDefault="00A502AC" w:rsidP="00444693">
            <w:pPr>
              <w:pStyle w:val="TableText"/>
              <w:widowControl w:val="0"/>
              <w:suppressAutoHyphens w:val="0"/>
              <w:spacing w:before="0" w:after="0" w:line="240" w:lineRule="auto"/>
              <w:rPr>
                <w:szCs w:val="17"/>
              </w:rPr>
            </w:pPr>
            <w:r>
              <w:t>General weed control in sugarcane (over the top spray and inter-row spray)</w:t>
            </w:r>
          </w:p>
        </w:tc>
        <w:tc>
          <w:tcPr>
            <w:tcW w:w="653" w:type="pct"/>
            <w:vMerge w:val="restart"/>
            <w:tcBorders>
              <w:top w:val="single" w:sz="4" w:space="0" w:color="auto"/>
            </w:tcBorders>
          </w:tcPr>
          <w:p w14:paraId="607A2917" w14:textId="77777777" w:rsidR="00A502AC" w:rsidRDefault="00A502AC" w:rsidP="00444693">
            <w:pPr>
              <w:pStyle w:val="TableText"/>
              <w:widowControl w:val="0"/>
              <w:suppressAutoHyphens w:val="0"/>
              <w:spacing w:before="0" w:after="0" w:line="240" w:lineRule="auto"/>
              <w:rPr>
                <w:szCs w:val="17"/>
              </w:rPr>
            </w:pPr>
            <w:r>
              <w:rPr>
                <w:szCs w:val="17"/>
              </w:rPr>
              <w:t>Maize</w:t>
            </w:r>
          </w:p>
        </w:tc>
        <w:tc>
          <w:tcPr>
            <w:tcW w:w="870" w:type="pct"/>
            <w:tcBorders>
              <w:top w:val="single" w:sz="4" w:space="0" w:color="auto"/>
            </w:tcBorders>
          </w:tcPr>
          <w:p w14:paraId="49875143" w14:textId="77777777" w:rsidR="00A502AC" w:rsidRPr="00336DF4" w:rsidRDefault="00A502AC" w:rsidP="00444693">
            <w:pPr>
              <w:pStyle w:val="TableText"/>
              <w:widowControl w:val="0"/>
              <w:suppressAutoHyphens w:val="0"/>
              <w:spacing w:before="0" w:after="0" w:line="240" w:lineRule="auto"/>
              <w:rPr>
                <w:szCs w:val="17"/>
              </w:rPr>
            </w:pPr>
            <w:r>
              <w:rPr>
                <w:szCs w:val="17"/>
              </w:rPr>
              <w:t>Medium herbivore/ granivore</w:t>
            </w:r>
          </w:p>
        </w:tc>
        <w:tc>
          <w:tcPr>
            <w:tcW w:w="653" w:type="pct"/>
            <w:tcBorders>
              <w:top w:val="single" w:sz="4" w:space="0" w:color="auto"/>
            </w:tcBorders>
          </w:tcPr>
          <w:p w14:paraId="6745657B" w14:textId="77777777" w:rsidR="00A502AC" w:rsidRDefault="00A502AC" w:rsidP="00444693">
            <w:pPr>
              <w:pStyle w:val="TableText"/>
              <w:widowControl w:val="0"/>
              <w:suppressAutoHyphens w:val="0"/>
              <w:spacing w:before="0" w:after="0" w:line="240" w:lineRule="auto"/>
              <w:rPr>
                <w:szCs w:val="17"/>
              </w:rPr>
            </w:pPr>
            <w:r>
              <w:rPr>
                <w:szCs w:val="17"/>
              </w:rPr>
              <w:t>BBCH 10-29</w:t>
            </w:r>
          </w:p>
        </w:tc>
        <w:tc>
          <w:tcPr>
            <w:tcW w:w="487" w:type="pct"/>
            <w:tcBorders>
              <w:top w:val="single" w:sz="4" w:space="0" w:color="auto"/>
            </w:tcBorders>
          </w:tcPr>
          <w:p w14:paraId="6C532055" w14:textId="77777777" w:rsidR="00A502AC" w:rsidRDefault="00A502AC" w:rsidP="00444693">
            <w:pPr>
              <w:pStyle w:val="TableText"/>
              <w:widowControl w:val="0"/>
              <w:suppressAutoHyphens w:val="0"/>
              <w:spacing w:before="0" w:after="0" w:line="240" w:lineRule="auto"/>
              <w:jc w:val="center"/>
            </w:pPr>
            <w:r>
              <w:t>55.6</w:t>
            </w:r>
          </w:p>
        </w:tc>
        <w:tc>
          <w:tcPr>
            <w:tcW w:w="487" w:type="pct"/>
            <w:tcBorders>
              <w:top w:val="single" w:sz="4" w:space="0" w:color="auto"/>
            </w:tcBorders>
          </w:tcPr>
          <w:p w14:paraId="4C0C585C" w14:textId="77777777" w:rsidR="00A502AC" w:rsidRDefault="00A502AC" w:rsidP="00444693">
            <w:pPr>
              <w:pStyle w:val="TableText"/>
              <w:widowControl w:val="0"/>
              <w:suppressAutoHyphens w:val="0"/>
              <w:spacing w:before="0" w:after="0" w:line="240" w:lineRule="auto"/>
              <w:jc w:val="center"/>
            </w:pPr>
            <w:r>
              <w:t>22.7</w:t>
            </w:r>
          </w:p>
        </w:tc>
        <w:tc>
          <w:tcPr>
            <w:tcW w:w="488" w:type="pct"/>
            <w:tcBorders>
              <w:top w:val="single" w:sz="4" w:space="0" w:color="auto"/>
            </w:tcBorders>
            <w:shd w:val="clear" w:color="auto" w:fill="FF0000"/>
          </w:tcPr>
          <w:p w14:paraId="10A6A874"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103</w:t>
            </w:r>
          </w:p>
        </w:tc>
        <w:tc>
          <w:tcPr>
            <w:tcW w:w="489" w:type="pct"/>
            <w:tcBorders>
              <w:top w:val="single" w:sz="4" w:space="0" w:color="auto"/>
            </w:tcBorders>
          </w:tcPr>
          <w:p w14:paraId="64991440" w14:textId="77777777" w:rsidR="00A502AC" w:rsidRPr="00C3293F" w:rsidRDefault="00A502AC" w:rsidP="00444693">
            <w:pPr>
              <w:pStyle w:val="TableText"/>
              <w:widowControl w:val="0"/>
              <w:suppressAutoHyphens w:val="0"/>
              <w:spacing w:before="0" w:after="0" w:line="240" w:lineRule="auto"/>
              <w:jc w:val="center"/>
            </w:pPr>
            <w:r w:rsidRPr="00E22F6A">
              <w:t>452</w:t>
            </w:r>
          </w:p>
        </w:tc>
      </w:tr>
      <w:tr w:rsidR="00A502AC" w:rsidRPr="00C3293F" w14:paraId="60EBCC3E" w14:textId="77777777" w:rsidTr="00444693">
        <w:trPr>
          <w:cantSplit/>
          <w:trHeight w:val="13"/>
        </w:trPr>
        <w:tc>
          <w:tcPr>
            <w:tcW w:w="873" w:type="pct"/>
            <w:vMerge/>
            <w:tcBorders>
              <w:top w:val="single" w:sz="4" w:space="0" w:color="auto"/>
            </w:tcBorders>
          </w:tcPr>
          <w:p w14:paraId="336ABF99" w14:textId="77777777" w:rsidR="00A502AC" w:rsidRDefault="00A502AC" w:rsidP="00444693">
            <w:pPr>
              <w:pStyle w:val="TableText"/>
              <w:widowControl w:val="0"/>
              <w:suppressAutoHyphens w:val="0"/>
              <w:spacing w:before="0" w:after="0" w:line="240" w:lineRule="auto"/>
            </w:pPr>
          </w:p>
        </w:tc>
        <w:tc>
          <w:tcPr>
            <w:tcW w:w="653" w:type="pct"/>
            <w:vMerge/>
            <w:tcBorders>
              <w:top w:val="single" w:sz="4" w:space="0" w:color="auto"/>
            </w:tcBorders>
          </w:tcPr>
          <w:p w14:paraId="21451658" w14:textId="77777777" w:rsidR="00A502AC" w:rsidRDefault="00A502AC" w:rsidP="00444693">
            <w:pPr>
              <w:pStyle w:val="TableText"/>
              <w:widowControl w:val="0"/>
              <w:suppressAutoHyphens w:val="0"/>
              <w:spacing w:before="0" w:after="0" w:line="240" w:lineRule="auto"/>
              <w:rPr>
                <w:szCs w:val="17"/>
              </w:rPr>
            </w:pPr>
          </w:p>
        </w:tc>
        <w:tc>
          <w:tcPr>
            <w:tcW w:w="870" w:type="pct"/>
          </w:tcPr>
          <w:p w14:paraId="7276E590" w14:textId="77777777" w:rsidR="00A502AC" w:rsidRDefault="00A502AC" w:rsidP="00444693">
            <w:pPr>
              <w:pStyle w:val="TableText"/>
              <w:widowControl w:val="0"/>
              <w:suppressAutoHyphens w:val="0"/>
              <w:spacing w:before="0" w:after="0" w:line="240" w:lineRule="auto"/>
              <w:rPr>
                <w:szCs w:val="17"/>
              </w:rPr>
            </w:pPr>
            <w:r>
              <w:rPr>
                <w:szCs w:val="17"/>
              </w:rPr>
              <w:t>Medium granivore</w:t>
            </w:r>
          </w:p>
        </w:tc>
        <w:tc>
          <w:tcPr>
            <w:tcW w:w="653" w:type="pct"/>
          </w:tcPr>
          <w:p w14:paraId="5651BCF9" w14:textId="77777777" w:rsidR="00A502AC" w:rsidRDefault="00A502AC" w:rsidP="00444693">
            <w:pPr>
              <w:pStyle w:val="TableText"/>
              <w:widowControl w:val="0"/>
              <w:suppressAutoHyphens w:val="0"/>
              <w:spacing w:before="0" w:after="0" w:line="240" w:lineRule="auto"/>
              <w:rPr>
                <w:szCs w:val="17"/>
              </w:rPr>
            </w:pPr>
            <w:r>
              <w:rPr>
                <w:szCs w:val="17"/>
              </w:rPr>
              <w:t>BBCH 10-29</w:t>
            </w:r>
          </w:p>
        </w:tc>
        <w:tc>
          <w:tcPr>
            <w:tcW w:w="487" w:type="pct"/>
          </w:tcPr>
          <w:p w14:paraId="18CB7972" w14:textId="77777777" w:rsidR="00A502AC" w:rsidRDefault="00A502AC" w:rsidP="00444693">
            <w:pPr>
              <w:pStyle w:val="TableText"/>
              <w:widowControl w:val="0"/>
              <w:suppressAutoHyphens w:val="0"/>
              <w:spacing w:before="0" w:after="0" w:line="240" w:lineRule="auto"/>
              <w:jc w:val="center"/>
            </w:pPr>
            <w:r>
              <w:t>6.6</w:t>
            </w:r>
          </w:p>
        </w:tc>
        <w:tc>
          <w:tcPr>
            <w:tcW w:w="487" w:type="pct"/>
          </w:tcPr>
          <w:p w14:paraId="50FECDD9" w14:textId="77777777" w:rsidR="00A502AC" w:rsidRDefault="00A502AC" w:rsidP="00444693">
            <w:pPr>
              <w:pStyle w:val="TableText"/>
              <w:widowControl w:val="0"/>
              <w:suppressAutoHyphens w:val="0"/>
              <w:spacing w:before="0" w:after="0" w:line="240" w:lineRule="auto"/>
              <w:jc w:val="center"/>
            </w:pPr>
            <w:r>
              <w:t>3.0</w:t>
            </w:r>
          </w:p>
        </w:tc>
        <w:tc>
          <w:tcPr>
            <w:tcW w:w="488" w:type="pct"/>
          </w:tcPr>
          <w:p w14:paraId="5A2BE9F4" w14:textId="77777777" w:rsidR="00A502AC" w:rsidRPr="00C3293F" w:rsidRDefault="00A502AC" w:rsidP="00444693">
            <w:pPr>
              <w:pStyle w:val="TableText"/>
              <w:widowControl w:val="0"/>
              <w:suppressAutoHyphens w:val="0"/>
              <w:spacing w:before="0" w:after="0" w:line="240" w:lineRule="auto"/>
              <w:jc w:val="center"/>
            </w:pPr>
            <w:r w:rsidRPr="00EC4DE5">
              <w:t>864</w:t>
            </w:r>
          </w:p>
        </w:tc>
        <w:tc>
          <w:tcPr>
            <w:tcW w:w="489" w:type="pct"/>
          </w:tcPr>
          <w:p w14:paraId="61BB1399" w14:textId="77777777" w:rsidR="00A502AC" w:rsidRPr="00C3293F" w:rsidRDefault="00A502AC" w:rsidP="00444693">
            <w:pPr>
              <w:pStyle w:val="TableText"/>
              <w:widowControl w:val="0"/>
              <w:suppressAutoHyphens w:val="0"/>
              <w:spacing w:before="0" w:after="0" w:line="240" w:lineRule="auto"/>
              <w:jc w:val="center"/>
            </w:pPr>
            <w:r w:rsidRPr="00E22F6A">
              <w:t>3417</w:t>
            </w:r>
          </w:p>
        </w:tc>
      </w:tr>
      <w:tr w:rsidR="00A502AC" w:rsidRPr="00C3293F" w14:paraId="0C1E84A1" w14:textId="77777777" w:rsidTr="00444693">
        <w:trPr>
          <w:cantSplit/>
          <w:trHeight w:val="13"/>
        </w:trPr>
        <w:tc>
          <w:tcPr>
            <w:tcW w:w="873" w:type="pct"/>
            <w:vMerge/>
          </w:tcPr>
          <w:p w14:paraId="5107436F"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1EB2DC28" w14:textId="77777777" w:rsidR="00A502AC" w:rsidRDefault="00A502AC" w:rsidP="00444693">
            <w:pPr>
              <w:pStyle w:val="TableText"/>
              <w:widowControl w:val="0"/>
              <w:suppressAutoHyphens w:val="0"/>
              <w:spacing w:before="0" w:after="0" w:line="240" w:lineRule="auto"/>
              <w:rPr>
                <w:szCs w:val="17"/>
              </w:rPr>
            </w:pPr>
          </w:p>
        </w:tc>
        <w:tc>
          <w:tcPr>
            <w:tcW w:w="870" w:type="pct"/>
          </w:tcPr>
          <w:p w14:paraId="4EB4B469" w14:textId="77777777" w:rsidR="00A502AC" w:rsidRPr="00336DF4" w:rsidRDefault="00A502AC" w:rsidP="00444693">
            <w:pPr>
              <w:pStyle w:val="TableText"/>
              <w:widowControl w:val="0"/>
              <w:suppressAutoHyphens w:val="0"/>
              <w:spacing w:before="0" w:after="0" w:line="240" w:lineRule="auto"/>
              <w:rPr>
                <w:szCs w:val="17"/>
              </w:rPr>
            </w:pPr>
            <w:r>
              <w:rPr>
                <w:szCs w:val="17"/>
              </w:rPr>
              <w:t>Small omnivore</w:t>
            </w:r>
          </w:p>
        </w:tc>
        <w:tc>
          <w:tcPr>
            <w:tcW w:w="653" w:type="pct"/>
          </w:tcPr>
          <w:p w14:paraId="0579FDBC" w14:textId="77777777" w:rsidR="00A502AC" w:rsidRDefault="00A502AC" w:rsidP="00444693">
            <w:pPr>
              <w:pStyle w:val="TableText"/>
              <w:widowControl w:val="0"/>
              <w:suppressAutoHyphens w:val="0"/>
              <w:spacing w:before="0" w:after="0" w:line="240" w:lineRule="auto"/>
              <w:rPr>
                <w:szCs w:val="17"/>
              </w:rPr>
            </w:pPr>
            <w:r>
              <w:rPr>
                <w:szCs w:val="17"/>
              </w:rPr>
              <w:t>BBCH 10-29</w:t>
            </w:r>
          </w:p>
        </w:tc>
        <w:tc>
          <w:tcPr>
            <w:tcW w:w="487" w:type="pct"/>
          </w:tcPr>
          <w:p w14:paraId="3407C3C1" w14:textId="77777777" w:rsidR="00A502AC" w:rsidRDefault="00A502AC" w:rsidP="00444693">
            <w:pPr>
              <w:pStyle w:val="TableText"/>
              <w:widowControl w:val="0"/>
              <w:suppressAutoHyphens w:val="0"/>
              <w:spacing w:before="0" w:after="0" w:line="240" w:lineRule="auto"/>
              <w:jc w:val="center"/>
            </w:pPr>
            <w:r>
              <w:t>24.0</w:t>
            </w:r>
          </w:p>
        </w:tc>
        <w:tc>
          <w:tcPr>
            <w:tcW w:w="487" w:type="pct"/>
          </w:tcPr>
          <w:p w14:paraId="28ED8E45" w14:textId="77777777" w:rsidR="00A502AC" w:rsidRDefault="00A502AC" w:rsidP="00444693">
            <w:pPr>
              <w:pStyle w:val="TableText"/>
              <w:widowControl w:val="0"/>
              <w:suppressAutoHyphens w:val="0"/>
              <w:spacing w:before="0" w:after="0" w:line="240" w:lineRule="auto"/>
              <w:jc w:val="center"/>
            </w:pPr>
            <w:r>
              <w:t>10.9</w:t>
            </w:r>
          </w:p>
        </w:tc>
        <w:tc>
          <w:tcPr>
            <w:tcW w:w="488" w:type="pct"/>
            <w:shd w:val="clear" w:color="auto" w:fill="FF0000"/>
          </w:tcPr>
          <w:p w14:paraId="3C77A7A9"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238</w:t>
            </w:r>
          </w:p>
        </w:tc>
        <w:tc>
          <w:tcPr>
            <w:tcW w:w="489" w:type="pct"/>
          </w:tcPr>
          <w:p w14:paraId="5567D9E2" w14:textId="77777777" w:rsidR="00A502AC" w:rsidRPr="00C3293F" w:rsidRDefault="00A502AC" w:rsidP="00444693">
            <w:pPr>
              <w:pStyle w:val="TableText"/>
              <w:widowControl w:val="0"/>
              <w:suppressAutoHyphens w:val="0"/>
              <w:spacing w:before="0" w:after="0" w:line="240" w:lineRule="auto"/>
              <w:jc w:val="center"/>
            </w:pPr>
            <w:r w:rsidRPr="00E22F6A">
              <w:t>941</w:t>
            </w:r>
          </w:p>
        </w:tc>
      </w:tr>
      <w:tr w:rsidR="00A502AC" w:rsidRPr="00C3293F" w14:paraId="6B8CC6DB" w14:textId="77777777" w:rsidTr="00444693">
        <w:trPr>
          <w:cantSplit/>
          <w:trHeight w:val="13"/>
        </w:trPr>
        <w:tc>
          <w:tcPr>
            <w:tcW w:w="873" w:type="pct"/>
            <w:vMerge/>
          </w:tcPr>
          <w:p w14:paraId="09D2B995" w14:textId="77777777" w:rsidR="00A502AC" w:rsidRDefault="00A502AC" w:rsidP="00444693">
            <w:pPr>
              <w:pStyle w:val="TableText"/>
              <w:widowControl w:val="0"/>
              <w:suppressAutoHyphens w:val="0"/>
              <w:spacing w:before="0" w:after="0" w:line="240" w:lineRule="auto"/>
              <w:rPr>
                <w:szCs w:val="17"/>
              </w:rPr>
            </w:pPr>
          </w:p>
        </w:tc>
        <w:tc>
          <w:tcPr>
            <w:tcW w:w="653" w:type="pct"/>
            <w:vMerge/>
          </w:tcPr>
          <w:p w14:paraId="7426393B" w14:textId="77777777" w:rsidR="00A502AC" w:rsidRDefault="00A502AC" w:rsidP="00444693">
            <w:pPr>
              <w:pStyle w:val="TableText"/>
              <w:widowControl w:val="0"/>
              <w:suppressAutoHyphens w:val="0"/>
              <w:spacing w:before="0" w:after="0" w:line="240" w:lineRule="auto"/>
              <w:rPr>
                <w:szCs w:val="17"/>
              </w:rPr>
            </w:pPr>
          </w:p>
        </w:tc>
        <w:tc>
          <w:tcPr>
            <w:tcW w:w="870" w:type="pct"/>
          </w:tcPr>
          <w:p w14:paraId="796E7DCC"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Pr>
          <w:p w14:paraId="1EDCF492" w14:textId="77777777" w:rsidR="00A502AC" w:rsidRDefault="00A502AC" w:rsidP="00444693">
            <w:pPr>
              <w:pStyle w:val="TableText"/>
              <w:widowControl w:val="0"/>
              <w:suppressAutoHyphens w:val="0"/>
              <w:spacing w:before="0" w:after="0" w:line="240" w:lineRule="auto"/>
              <w:rPr>
                <w:szCs w:val="17"/>
              </w:rPr>
            </w:pPr>
            <w:r>
              <w:rPr>
                <w:szCs w:val="17"/>
              </w:rPr>
              <w:t>BBCH 10-19</w:t>
            </w:r>
          </w:p>
        </w:tc>
        <w:tc>
          <w:tcPr>
            <w:tcW w:w="487" w:type="pct"/>
          </w:tcPr>
          <w:p w14:paraId="1D9F4973" w14:textId="77777777" w:rsidR="00A502AC" w:rsidRDefault="00A502AC" w:rsidP="00444693">
            <w:pPr>
              <w:pStyle w:val="TableText"/>
              <w:widowControl w:val="0"/>
              <w:suppressAutoHyphens w:val="0"/>
              <w:spacing w:before="0" w:after="0" w:line="240" w:lineRule="auto"/>
              <w:jc w:val="center"/>
            </w:pPr>
            <w:r>
              <w:t>26.8</w:t>
            </w:r>
          </w:p>
        </w:tc>
        <w:tc>
          <w:tcPr>
            <w:tcW w:w="487" w:type="pct"/>
          </w:tcPr>
          <w:p w14:paraId="02D19467" w14:textId="77777777" w:rsidR="00A502AC" w:rsidRDefault="00A502AC" w:rsidP="00444693">
            <w:pPr>
              <w:pStyle w:val="TableText"/>
              <w:widowControl w:val="0"/>
              <w:suppressAutoHyphens w:val="0"/>
              <w:spacing w:before="0" w:after="0" w:line="240" w:lineRule="auto"/>
              <w:jc w:val="center"/>
            </w:pPr>
            <w:r>
              <w:t>11.3</w:t>
            </w:r>
          </w:p>
        </w:tc>
        <w:tc>
          <w:tcPr>
            <w:tcW w:w="488" w:type="pct"/>
            <w:shd w:val="clear" w:color="auto" w:fill="FF0000"/>
          </w:tcPr>
          <w:p w14:paraId="3D36DBCE"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213</w:t>
            </w:r>
          </w:p>
        </w:tc>
        <w:tc>
          <w:tcPr>
            <w:tcW w:w="489" w:type="pct"/>
          </w:tcPr>
          <w:p w14:paraId="7C9B4401" w14:textId="77777777" w:rsidR="00A502AC" w:rsidRPr="00C3293F" w:rsidRDefault="00A502AC" w:rsidP="00444693">
            <w:pPr>
              <w:pStyle w:val="TableText"/>
              <w:widowControl w:val="0"/>
              <w:suppressAutoHyphens w:val="0"/>
              <w:spacing w:before="0" w:after="0" w:line="240" w:lineRule="auto"/>
              <w:jc w:val="center"/>
            </w:pPr>
            <w:r w:rsidRPr="00E22F6A">
              <w:t>907</w:t>
            </w:r>
          </w:p>
        </w:tc>
      </w:tr>
      <w:tr w:rsidR="00A502AC" w:rsidRPr="00C3293F" w14:paraId="61E6C15D" w14:textId="77777777" w:rsidTr="00444693">
        <w:trPr>
          <w:cantSplit/>
          <w:trHeight w:val="13"/>
        </w:trPr>
        <w:tc>
          <w:tcPr>
            <w:tcW w:w="873" w:type="pct"/>
            <w:vMerge/>
            <w:tcBorders>
              <w:bottom w:val="single" w:sz="4" w:space="0" w:color="auto"/>
            </w:tcBorders>
          </w:tcPr>
          <w:p w14:paraId="12B5C05D" w14:textId="77777777" w:rsidR="00A502AC" w:rsidRDefault="00A502AC" w:rsidP="00444693">
            <w:pPr>
              <w:pStyle w:val="TableText"/>
              <w:widowControl w:val="0"/>
              <w:suppressAutoHyphens w:val="0"/>
              <w:spacing w:before="0" w:after="0" w:line="240" w:lineRule="auto"/>
              <w:rPr>
                <w:szCs w:val="17"/>
              </w:rPr>
            </w:pPr>
          </w:p>
        </w:tc>
        <w:tc>
          <w:tcPr>
            <w:tcW w:w="653" w:type="pct"/>
            <w:vMerge/>
            <w:tcBorders>
              <w:bottom w:val="single" w:sz="4" w:space="0" w:color="auto"/>
            </w:tcBorders>
          </w:tcPr>
          <w:p w14:paraId="61A16C8D"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08CE42FB" w14:textId="77777777" w:rsidR="00A502AC" w:rsidRPr="00336DF4" w:rsidRDefault="00A502AC" w:rsidP="00444693">
            <w:pPr>
              <w:pStyle w:val="TableText"/>
              <w:widowControl w:val="0"/>
              <w:suppressAutoHyphens w:val="0"/>
              <w:spacing w:before="0" w:after="0" w:line="240" w:lineRule="auto"/>
              <w:rPr>
                <w:szCs w:val="17"/>
              </w:rPr>
            </w:pPr>
            <w:r>
              <w:rPr>
                <w:szCs w:val="17"/>
              </w:rPr>
              <w:t>Small insectivore/worm feeding</w:t>
            </w:r>
          </w:p>
        </w:tc>
        <w:tc>
          <w:tcPr>
            <w:tcW w:w="653" w:type="pct"/>
            <w:tcBorders>
              <w:bottom w:val="single" w:sz="4" w:space="0" w:color="auto"/>
            </w:tcBorders>
          </w:tcPr>
          <w:p w14:paraId="6BEC3DEB" w14:textId="77777777" w:rsidR="00A502AC" w:rsidRDefault="00A502AC" w:rsidP="00444693">
            <w:pPr>
              <w:pStyle w:val="TableText"/>
              <w:widowControl w:val="0"/>
              <w:suppressAutoHyphens w:val="0"/>
              <w:spacing w:before="0" w:after="0" w:line="240" w:lineRule="auto"/>
              <w:rPr>
                <w:szCs w:val="17"/>
              </w:rPr>
            </w:pPr>
            <w:r>
              <w:rPr>
                <w:szCs w:val="17"/>
              </w:rPr>
              <w:t>BBCH 10-19</w:t>
            </w:r>
          </w:p>
        </w:tc>
        <w:tc>
          <w:tcPr>
            <w:tcW w:w="487" w:type="pct"/>
            <w:tcBorders>
              <w:bottom w:val="single" w:sz="4" w:space="0" w:color="auto"/>
            </w:tcBorders>
          </w:tcPr>
          <w:p w14:paraId="61105D0D" w14:textId="77777777" w:rsidR="00A502AC" w:rsidRDefault="00A502AC" w:rsidP="00444693">
            <w:pPr>
              <w:pStyle w:val="TableText"/>
              <w:widowControl w:val="0"/>
              <w:suppressAutoHyphens w:val="0"/>
              <w:spacing w:before="0" w:after="0" w:line="240" w:lineRule="auto"/>
              <w:jc w:val="center"/>
            </w:pPr>
            <w:r>
              <w:t>10.5</w:t>
            </w:r>
          </w:p>
        </w:tc>
        <w:tc>
          <w:tcPr>
            <w:tcW w:w="487" w:type="pct"/>
            <w:tcBorders>
              <w:bottom w:val="single" w:sz="4" w:space="0" w:color="auto"/>
            </w:tcBorders>
          </w:tcPr>
          <w:p w14:paraId="4BCE9F27" w14:textId="77777777" w:rsidR="00A502AC" w:rsidRDefault="00A502AC" w:rsidP="00444693">
            <w:pPr>
              <w:pStyle w:val="TableText"/>
              <w:widowControl w:val="0"/>
              <w:suppressAutoHyphens w:val="0"/>
              <w:spacing w:before="0" w:after="0" w:line="240" w:lineRule="auto"/>
              <w:jc w:val="center"/>
            </w:pPr>
            <w:r>
              <w:t>5.7</w:t>
            </w:r>
          </w:p>
        </w:tc>
        <w:tc>
          <w:tcPr>
            <w:tcW w:w="488" w:type="pct"/>
            <w:tcBorders>
              <w:bottom w:val="single" w:sz="4" w:space="0" w:color="auto"/>
            </w:tcBorders>
          </w:tcPr>
          <w:p w14:paraId="50BC766E" w14:textId="77777777" w:rsidR="00A502AC" w:rsidRPr="00C3293F" w:rsidRDefault="00A502AC" w:rsidP="00444693">
            <w:pPr>
              <w:pStyle w:val="TableText"/>
              <w:widowControl w:val="0"/>
              <w:suppressAutoHyphens w:val="0"/>
              <w:spacing w:before="0" w:after="0" w:line="240" w:lineRule="auto"/>
              <w:jc w:val="center"/>
            </w:pPr>
            <w:r w:rsidRPr="00EC4DE5">
              <w:t>543</w:t>
            </w:r>
          </w:p>
        </w:tc>
        <w:tc>
          <w:tcPr>
            <w:tcW w:w="489" w:type="pct"/>
            <w:tcBorders>
              <w:bottom w:val="single" w:sz="4" w:space="0" w:color="auto"/>
            </w:tcBorders>
          </w:tcPr>
          <w:p w14:paraId="69183CF0" w14:textId="77777777" w:rsidR="00A502AC" w:rsidRPr="00C3293F" w:rsidRDefault="00A502AC" w:rsidP="00444693">
            <w:pPr>
              <w:pStyle w:val="TableText"/>
              <w:widowControl w:val="0"/>
              <w:suppressAutoHyphens w:val="0"/>
              <w:spacing w:before="0" w:after="0" w:line="240" w:lineRule="auto"/>
              <w:jc w:val="center"/>
            </w:pPr>
            <w:r w:rsidRPr="00E22F6A">
              <w:t>1799</w:t>
            </w:r>
          </w:p>
        </w:tc>
      </w:tr>
      <w:tr w:rsidR="00A502AC" w:rsidRPr="004E0D09" w14:paraId="6218EBEC" w14:textId="77777777" w:rsidTr="00444693">
        <w:trPr>
          <w:cantSplit/>
          <w:trHeight w:val="13"/>
        </w:trPr>
        <w:tc>
          <w:tcPr>
            <w:tcW w:w="873" w:type="pct"/>
            <w:vMerge w:val="restart"/>
            <w:tcBorders>
              <w:top w:val="single" w:sz="4" w:space="0" w:color="auto"/>
            </w:tcBorders>
          </w:tcPr>
          <w:p w14:paraId="6C95087D" w14:textId="77777777" w:rsidR="00A502AC" w:rsidRDefault="00A502AC" w:rsidP="00444693">
            <w:pPr>
              <w:pStyle w:val="TableText"/>
              <w:widowControl w:val="0"/>
              <w:suppressAutoHyphens w:val="0"/>
              <w:spacing w:before="0" w:after="0" w:line="240" w:lineRule="auto"/>
              <w:rPr>
                <w:szCs w:val="17"/>
              </w:rPr>
            </w:pPr>
            <w:r w:rsidRPr="006E2167">
              <w:rPr>
                <w:szCs w:val="17"/>
              </w:rPr>
              <w:t xml:space="preserve">General weed control in </w:t>
            </w:r>
            <w:r>
              <w:rPr>
                <w:szCs w:val="17"/>
              </w:rPr>
              <w:t xml:space="preserve">bananas, dubosia, forests, </w:t>
            </w:r>
            <w:r w:rsidRPr="006E2167">
              <w:rPr>
                <w:szCs w:val="17"/>
              </w:rPr>
              <w:t>orchards, plantations</w:t>
            </w:r>
            <w:r>
              <w:rPr>
                <w:szCs w:val="17"/>
              </w:rPr>
              <w:t>, tea tree, vineyards</w:t>
            </w:r>
          </w:p>
        </w:tc>
        <w:tc>
          <w:tcPr>
            <w:tcW w:w="653" w:type="pct"/>
            <w:vMerge w:val="restart"/>
            <w:tcBorders>
              <w:top w:val="single" w:sz="4" w:space="0" w:color="auto"/>
            </w:tcBorders>
          </w:tcPr>
          <w:p w14:paraId="2C739F58" w14:textId="77777777" w:rsidR="00A502AC" w:rsidRDefault="00A502AC" w:rsidP="00444693">
            <w:pPr>
              <w:pStyle w:val="TableText"/>
              <w:widowControl w:val="0"/>
              <w:suppressAutoHyphens w:val="0"/>
              <w:spacing w:before="0" w:after="0" w:line="240" w:lineRule="auto"/>
              <w:rPr>
                <w:szCs w:val="17"/>
              </w:rPr>
            </w:pPr>
            <w:r>
              <w:rPr>
                <w:szCs w:val="17"/>
              </w:rPr>
              <w:t>Orchards</w:t>
            </w:r>
          </w:p>
        </w:tc>
        <w:tc>
          <w:tcPr>
            <w:tcW w:w="870" w:type="pct"/>
            <w:tcBorders>
              <w:top w:val="single" w:sz="4" w:space="0" w:color="auto"/>
            </w:tcBorders>
          </w:tcPr>
          <w:p w14:paraId="6AB4B73A" w14:textId="77777777" w:rsidR="00A502AC" w:rsidRDefault="00A502AC" w:rsidP="00444693">
            <w:pPr>
              <w:pStyle w:val="TableText"/>
              <w:widowControl w:val="0"/>
              <w:suppressAutoHyphens w:val="0"/>
              <w:spacing w:before="0" w:after="0" w:line="240" w:lineRule="auto"/>
              <w:rPr>
                <w:szCs w:val="17"/>
              </w:rPr>
            </w:pPr>
            <w:r>
              <w:rPr>
                <w:szCs w:val="17"/>
              </w:rPr>
              <w:t>Small granivore</w:t>
            </w:r>
          </w:p>
        </w:tc>
        <w:tc>
          <w:tcPr>
            <w:tcW w:w="653" w:type="pct"/>
            <w:tcBorders>
              <w:top w:val="single" w:sz="4" w:space="0" w:color="auto"/>
            </w:tcBorders>
          </w:tcPr>
          <w:p w14:paraId="31E6181E" w14:textId="77777777" w:rsidR="00A502AC" w:rsidRDefault="00A502AC" w:rsidP="00444693">
            <w:pPr>
              <w:pStyle w:val="TableText"/>
              <w:widowControl w:val="0"/>
              <w:suppressAutoHyphens w:val="0"/>
              <w:spacing w:before="0" w:after="0" w:line="240" w:lineRule="auto"/>
              <w:rPr>
                <w:szCs w:val="17"/>
              </w:rPr>
            </w:pPr>
            <w:r w:rsidRPr="00C20C79">
              <w:rPr>
                <w:szCs w:val="17"/>
              </w:rPr>
              <w:t>Ground directed</w:t>
            </w:r>
          </w:p>
        </w:tc>
        <w:tc>
          <w:tcPr>
            <w:tcW w:w="487" w:type="pct"/>
            <w:tcBorders>
              <w:top w:val="single" w:sz="4" w:space="0" w:color="auto"/>
            </w:tcBorders>
          </w:tcPr>
          <w:p w14:paraId="63380DE3" w14:textId="77777777" w:rsidR="00A502AC" w:rsidRDefault="00A502AC" w:rsidP="00444693">
            <w:pPr>
              <w:pStyle w:val="TableText"/>
              <w:widowControl w:val="0"/>
              <w:suppressAutoHyphens w:val="0"/>
              <w:spacing w:before="0" w:after="0" w:line="240" w:lineRule="auto"/>
              <w:jc w:val="center"/>
            </w:pPr>
            <w:r>
              <w:t>27.4</w:t>
            </w:r>
          </w:p>
        </w:tc>
        <w:tc>
          <w:tcPr>
            <w:tcW w:w="487" w:type="pct"/>
            <w:tcBorders>
              <w:top w:val="single" w:sz="4" w:space="0" w:color="auto"/>
            </w:tcBorders>
          </w:tcPr>
          <w:p w14:paraId="7879B93E" w14:textId="77777777" w:rsidR="00A502AC" w:rsidRDefault="00A502AC" w:rsidP="00444693">
            <w:pPr>
              <w:pStyle w:val="TableText"/>
              <w:widowControl w:val="0"/>
              <w:suppressAutoHyphens w:val="0"/>
              <w:spacing w:before="0" w:after="0" w:line="240" w:lineRule="auto"/>
              <w:jc w:val="center"/>
            </w:pPr>
            <w:r>
              <w:t>12.6</w:t>
            </w:r>
          </w:p>
        </w:tc>
        <w:tc>
          <w:tcPr>
            <w:tcW w:w="488" w:type="pct"/>
            <w:tcBorders>
              <w:top w:val="single" w:sz="4" w:space="0" w:color="auto"/>
            </w:tcBorders>
            <w:shd w:val="clear" w:color="auto" w:fill="FF0000"/>
          </w:tcPr>
          <w:p w14:paraId="70C4826C"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208</w:t>
            </w:r>
          </w:p>
        </w:tc>
        <w:tc>
          <w:tcPr>
            <w:tcW w:w="489" w:type="pct"/>
            <w:tcBorders>
              <w:top w:val="single" w:sz="4" w:space="0" w:color="auto"/>
            </w:tcBorders>
            <w:shd w:val="clear" w:color="auto" w:fill="FF0000"/>
          </w:tcPr>
          <w:p w14:paraId="3DCC4FA9"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814</w:t>
            </w:r>
          </w:p>
        </w:tc>
      </w:tr>
      <w:tr w:rsidR="00A502AC" w:rsidRPr="00C3293F" w14:paraId="5A00CC4A" w14:textId="77777777" w:rsidTr="00444693">
        <w:trPr>
          <w:cantSplit/>
          <w:trHeight w:val="13"/>
        </w:trPr>
        <w:tc>
          <w:tcPr>
            <w:tcW w:w="873" w:type="pct"/>
            <w:vMerge/>
            <w:tcBorders>
              <w:top w:val="single" w:sz="4" w:space="0" w:color="auto"/>
            </w:tcBorders>
          </w:tcPr>
          <w:p w14:paraId="711F9B4B" w14:textId="77777777" w:rsidR="00A502AC" w:rsidRPr="006E2167" w:rsidRDefault="00A502AC" w:rsidP="00444693">
            <w:pPr>
              <w:pStyle w:val="TableText"/>
              <w:widowControl w:val="0"/>
              <w:suppressAutoHyphens w:val="0"/>
              <w:spacing w:before="0" w:after="0" w:line="240" w:lineRule="auto"/>
              <w:rPr>
                <w:szCs w:val="17"/>
              </w:rPr>
            </w:pPr>
          </w:p>
        </w:tc>
        <w:tc>
          <w:tcPr>
            <w:tcW w:w="653" w:type="pct"/>
            <w:vMerge/>
            <w:tcBorders>
              <w:top w:val="single" w:sz="4" w:space="0" w:color="auto"/>
            </w:tcBorders>
          </w:tcPr>
          <w:p w14:paraId="64956EED"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53CD5C7A" w14:textId="77777777" w:rsidR="00A502AC" w:rsidRDefault="00A502AC" w:rsidP="00444693">
            <w:pPr>
              <w:pStyle w:val="TableText"/>
              <w:widowControl w:val="0"/>
              <w:suppressAutoHyphens w:val="0"/>
              <w:spacing w:before="0" w:after="0" w:line="240" w:lineRule="auto"/>
              <w:rPr>
                <w:szCs w:val="17"/>
              </w:rPr>
            </w:pPr>
            <w:r>
              <w:rPr>
                <w:szCs w:val="17"/>
              </w:rPr>
              <w:t>Small insectivore/worm feeding</w:t>
            </w:r>
          </w:p>
        </w:tc>
        <w:tc>
          <w:tcPr>
            <w:tcW w:w="653" w:type="pct"/>
            <w:tcBorders>
              <w:bottom w:val="single" w:sz="4" w:space="0" w:color="auto"/>
            </w:tcBorders>
          </w:tcPr>
          <w:p w14:paraId="0861A11F" w14:textId="77777777" w:rsidR="00A502AC" w:rsidRPr="00C20C79" w:rsidRDefault="00A502AC" w:rsidP="00444693">
            <w:pPr>
              <w:pStyle w:val="TableText"/>
              <w:widowControl w:val="0"/>
              <w:suppressAutoHyphens w:val="0"/>
              <w:spacing w:before="0" w:after="0" w:line="240" w:lineRule="auto"/>
              <w:rPr>
                <w:szCs w:val="17"/>
              </w:rPr>
            </w:pPr>
            <w:r w:rsidRPr="00C20C79">
              <w:rPr>
                <w:szCs w:val="17"/>
              </w:rPr>
              <w:t>Ground directed</w:t>
            </w:r>
          </w:p>
        </w:tc>
        <w:tc>
          <w:tcPr>
            <w:tcW w:w="487" w:type="pct"/>
            <w:tcBorders>
              <w:bottom w:val="single" w:sz="4" w:space="0" w:color="auto"/>
            </w:tcBorders>
          </w:tcPr>
          <w:p w14:paraId="246ECBD9" w14:textId="77777777" w:rsidR="00A502AC" w:rsidRDefault="00A502AC" w:rsidP="00444693">
            <w:pPr>
              <w:pStyle w:val="TableText"/>
              <w:widowControl w:val="0"/>
              <w:suppressAutoHyphens w:val="0"/>
              <w:spacing w:before="0" w:after="0" w:line="240" w:lineRule="auto"/>
              <w:jc w:val="center"/>
            </w:pPr>
            <w:r>
              <w:t>7.4</w:t>
            </w:r>
          </w:p>
        </w:tc>
        <w:tc>
          <w:tcPr>
            <w:tcW w:w="487" w:type="pct"/>
            <w:tcBorders>
              <w:bottom w:val="single" w:sz="4" w:space="0" w:color="auto"/>
            </w:tcBorders>
          </w:tcPr>
          <w:p w14:paraId="498F1667" w14:textId="77777777" w:rsidR="00A502AC" w:rsidRDefault="00A502AC" w:rsidP="00444693">
            <w:pPr>
              <w:pStyle w:val="TableText"/>
              <w:widowControl w:val="0"/>
              <w:suppressAutoHyphens w:val="0"/>
              <w:spacing w:before="0" w:after="0" w:line="240" w:lineRule="auto"/>
              <w:jc w:val="center"/>
            </w:pPr>
            <w:r>
              <w:t>2.7</w:t>
            </w:r>
          </w:p>
        </w:tc>
        <w:tc>
          <w:tcPr>
            <w:tcW w:w="488" w:type="pct"/>
            <w:tcBorders>
              <w:bottom w:val="single" w:sz="4" w:space="0" w:color="auto"/>
            </w:tcBorders>
            <w:shd w:val="clear" w:color="auto" w:fill="FF0000"/>
          </w:tcPr>
          <w:p w14:paraId="115B4DB4" w14:textId="77777777" w:rsidR="00A502AC" w:rsidRPr="004E0D09" w:rsidRDefault="00A502AC" w:rsidP="00444693">
            <w:pPr>
              <w:pStyle w:val="TableText"/>
              <w:widowControl w:val="0"/>
              <w:suppressAutoHyphens w:val="0"/>
              <w:spacing w:before="0" w:after="0" w:line="240" w:lineRule="auto"/>
              <w:jc w:val="center"/>
              <w:rPr>
                <w:b/>
                <w:bCs/>
              </w:rPr>
            </w:pPr>
            <w:r w:rsidRPr="004E0D09">
              <w:rPr>
                <w:b/>
                <w:bCs/>
              </w:rPr>
              <w:t>770</w:t>
            </w:r>
          </w:p>
        </w:tc>
        <w:tc>
          <w:tcPr>
            <w:tcW w:w="489" w:type="pct"/>
            <w:tcBorders>
              <w:bottom w:val="single" w:sz="4" w:space="0" w:color="auto"/>
            </w:tcBorders>
          </w:tcPr>
          <w:p w14:paraId="76C0B586" w14:textId="77777777" w:rsidR="00A502AC" w:rsidRPr="00C3293F" w:rsidRDefault="00A502AC" w:rsidP="00444693">
            <w:pPr>
              <w:pStyle w:val="TableText"/>
              <w:widowControl w:val="0"/>
              <w:suppressAutoHyphens w:val="0"/>
              <w:spacing w:before="0" w:after="0" w:line="240" w:lineRule="auto"/>
              <w:jc w:val="center"/>
            </w:pPr>
            <w:r w:rsidRPr="009E6209">
              <w:t>3797</w:t>
            </w:r>
          </w:p>
        </w:tc>
      </w:tr>
      <w:tr w:rsidR="00A502AC" w:rsidRPr="00C3293F" w14:paraId="5CD6A975" w14:textId="77777777" w:rsidTr="00444693">
        <w:trPr>
          <w:cantSplit/>
          <w:trHeight w:val="13"/>
        </w:trPr>
        <w:tc>
          <w:tcPr>
            <w:tcW w:w="873" w:type="pct"/>
            <w:vMerge w:val="restart"/>
            <w:tcBorders>
              <w:top w:val="single" w:sz="4" w:space="0" w:color="auto"/>
            </w:tcBorders>
          </w:tcPr>
          <w:p w14:paraId="6BAA2166" w14:textId="77777777" w:rsidR="00A502AC" w:rsidRDefault="00A502AC" w:rsidP="00444693">
            <w:pPr>
              <w:pStyle w:val="TableText"/>
              <w:widowControl w:val="0"/>
              <w:suppressAutoHyphens w:val="0"/>
              <w:spacing w:before="0" w:after="0" w:line="240" w:lineRule="auto"/>
              <w:rPr>
                <w:szCs w:val="17"/>
              </w:rPr>
            </w:pPr>
            <w:r>
              <w:t>General weed control in p</w:t>
            </w:r>
            <w:r w:rsidRPr="004F1343">
              <w:t>otatoes</w:t>
            </w:r>
            <w:r>
              <w:t xml:space="preserve"> (pre-harvest)</w:t>
            </w:r>
          </w:p>
        </w:tc>
        <w:tc>
          <w:tcPr>
            <w:tcW w:w="653" w:type="pct"/>
            <w:vMerge w:val="restart"/>
            <w:tcBorders>
              <w:top w:val="single" w:sz="4" w:space="0" w:color="auto"/>
            </w:tcBorders>
          </w:tcPr>
          <w:p w14:paraId="78D0432F" w14:textId="77777777" w:rsidR="00A502AC" w:rsidRDefault="00A502AC" w:rsidP="00444693">
            <w:pPr>
              <w:pStyle w:val="TableText"/>
              <w:widowControl w:val="0"/>
              <w:suppressAutoHyphens w:val="0"/>
              <w:spacing w:before="0" w:after="0" w:line="240" w:lineRule="auto"/>
              <w:rPr>
                <w:szCs w:val="17"/>
              </w:rPr>
            </w:pPr>
            <w:r>
              <w:rPr>
                <w:szCs w:val="17"/>
              </w:rPr>
              <w:t>Potatoes</w:t>
            </w:r>
          </w:p>
        </w:tc>
        <w:tc>
          <w:tcPr>
            <w:tcW w:w="870" w:type="pct"/>
            <w:tcBorders>
              <w:top w:val="single" w:sz="4" w:space="0" w:color="auto"/>
            </w:tcBorders>
          </w:tcPr>
          <w:p w14:paraId="68AE4919"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53" w:type="pct"/>
            <w:tcBorders>
              <w:top w:val="single" w:sz="4" w:space="0" w:color="auto"/>
            </w:tcBorders>
          </w:tcPr>
          <w:p w14:paraId="01373AFF" w14:textId="77777777" w:rsidR="00A502AC" w:rsidRPr="00C20C79" w:rsidRDefault="00A502AC" w:rsidP="00444693">
            <w:pPr>
              <w:pStyle w:val="TableText"/>
              <w:widowControl w:val="0"/>
              <w:suppressAutoHyphens w:val="0"/>
              <w:spacing w:before="0" w:after="0" w:line="240" w:lineRule="auto"/>
              <w:rPr>
                <w:szCs w:val="17"/>
              </w:rPr>
            </w:pPr>
            <w:r>
              <w:rPr>
                <w:szCs w:val="17"/>
              </w:rPr>
              <w:t>BBCH ≥40</w:t>
            </w:r>
          </w:p>
        </w:tc>
        <w:tc>
          <w:tcPr>
            <w:tcW w:w="487" w:type="pct"/>
            <w:tcBorders>
              <w:top w:val="single" w:sz="4" w:space="0" w:color="auto"/>
            </w:tcBorders>
          </w:tcPr>
          <w:p w14:paraId="3EDF063A" w14:textId="77777777" w:rsidR="00A502AC" w:rsidRDefault="00A502AC" w:rsidP="00444693">
            <w:pPr>
              <w:pStyle w:val="TableText"/>
              <w:widowControl w:val="0"/>
              <w:suppressAutoHyphens w:val="0"/>
              <w:spacing w:before="0" w:after="0" w:line="240" w:lineRule="auto"/>
              <w:jc w:val="center"/>
            </w:pPr>
            <w:r>
              <w:t>7.2</w:t>
            </w:r>
          </w:p>
        </w:tc>
        <w:tc>
          <w:tcPr>
            <w:tcW w:w="487" w:type="pct"/>
            <w:tcBorders>
              <w:top w:val="single" w:sz="4" w:space="0" w:color="auto"/>
            </w:tcBorders>
          </w:tcPr>
          <w:p w14:paraId="0CFEC4C1" w14:textId="77777777" w:rsidR="00A502AC" w:rsidRDefault="00A502AC" w:rsidP="00444693">
            <w:pPr>
              <w:pStyle w:val="TableText"/>
              <w:widowControl w:val="0"/>
              <w:suppressAutoHyphens w:val="0"/>
              <w:spacing w:before="0" w:after="0" w:line="240" w:lineRule="auto"/>
              <w:jc w:val="center"/>
            </w:pPr>
            <w:r>
              <w:t>3.3</w:t>
            </w:r>
          </w:p>
        </w:tc>
        <w:tc>
          <w:tcPr>
            <w:tcW w:w="488" w:type="pct"/>
            <w:tcBorders>
              <w:top w:val="single" w:sz="4" w:space="0" w:color="auto"/>
            </w:tcBorders>
          </w:tcPr>
          <w:p w14:paraId="24CECB59" w14:textId="77777777" w:rsidR="00A502AC" w:rsidRPr="00C3293F" w:rsidRDefault="00A502AC" w:rsidP="00444693">
            <w:pPr>
              <w:pStyle w:val="TableText"/>
              <w:widowControl w:val="0"/>
              <w:suppressAutoHyphens w:val="0"/>
              <w:spacing w:before="0" w:after="0" w:line="240" w:lineRule="auto"/>
              <w:jc w:val="center"/>
            </w:pPr>
            <w:r w:rsidRPr="00C174DB">
              <w:t>792</w:t>
            </w:r>
          </w:p>
        </w:tc>
        <w:tc>
          <w:tcPr>
            <w:tcW w:w="489" w:type="pct"/>
            <w:tcBorders>
              <w:top w:val="single" w:sz="4" w:space="0" w:color="auto"/>
            </w:tcBorders>
          </w:tcPr>
          <w:p w14:paraId="2C5BE7C1" w14:textId="77777777" w:rsidR="00A502AC" w:rsidRPr="00C3293F" w:rsidRDefault="00A502AC" w:rsidP="00444693">
            <w:pPr>
              <w:pStyle w:val="TableText"/>
              <w:widowControl w:val="0"/>
              <w:suppressAutoHyphens w:val="0"/>
              <w:spacing w:before="0" w:after="0" w:line="240" w:lineRule="auto"/>
              <w:jc w:val="center"/>
            </w:pPr>
            <w:r w:rsidRPr="009E6209">
              <w:t>3107</w:t>
            </w:r>
          </w:p>
        </w:tc>
      </w:tr>
      <w:tr w:rsidR="00A502AC" w:rsidRPr="00C3293F" w14:paraId="0DED061D" w14:textId="77777777" w:rsidTr="00444693">
        <w:trPr>
          <w:cantSplit/>
          <w:trHeight w:val="13"/>
        </w:trPr>
        <w:tc>
          <w:tcPr>
            <w:tcW w:w="873" w:type="pct"/>
            <w:vMerge/>
            <w:tcBorders>
              <w:top w:val="single" w:sz="4" w:space="0" w:color="auto"/>
              <w:bottom w:val="single" w:sz="4" w:space="0" w:color="auto"/>
            </w:tcBorders>
          </w:tcPr>
          <w:p w14:paraId="322FDF3F" w14:textId="77777777" w:rsidR="00A502AC" w:rsidRDefault="00A502AC" w:rsidP="00444693">
            <w:pPr>
              <w:pStyle w:val="TableText"/>
              <w:widowControl w:val="0"/>
              <w:suppressAutoHyphens w:val="0"/>
              <w:spacing w:before="0" w:after="0" w:line="240" w:lineRule="auto"/>
              <w:rPr>
                <w:szCs w:val="17"/>
              </w:rPr>
            </w:pPr>
          </w:p>
        </w:tc>
        <w:tc>
          <w:tcPr>
            <w:tcW w:w="653" w:type="pct"/>
            <w:vMerge/>
            <w:tcBorders>
              <w:top w:val="single" w:sz="4" w:space="0" w:color="auto"/>
              <w:bottom w:val="single" w:sz="4" w:space="0" w:color="auto"/>
            </w:tcBorders>
          </w:tcPr>
          <w:p w14:paraId="71944362"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5FE9FC16"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Borders>
              <w:bottom w:val="single" w:sz="4" w:space="0" w:color="auto"/>
            </w:tcBorders>
          </w:tcPr>
          <w:p w14:paraId="2E78D101" w14:textId="77777777" w:rsidR="00A502AC" w:rsidRPr="00C20C79" w:rsidRDefault="00A502AC" w:rsidP="00444693">
            <w:pPr>
              <w:pStyle w:val="TableText"/>
              <w:widowControl w:val="0"/>
              <w:suppressAutoHyphens w:val="0"/>
              <w:spacing w:before="0" w:after="0" w:line="240" w:lineRule="auto"/>
              <w:rPr>
                <w:szCs w:val="17"/>
              </w:rPr>
            </w:pPr>
            <w:r>
              <w:rPr>
                <w:szCs w:val="17"/>
              </w:rPr>
              <w:t>BBCH ≥20</w:t>
            </w:r>
          </w:p>
        </w:tc>
        <w:tc>
          <w:tcPr>
            <w:tcW w:w="487" w:type="pct"/>
            <w:tcBorders>
              <w:bottom w:val="single" w:sz="4" w:space="0" w:color="auto"/>
            </w:tcBorders>
          </w:tcPr>
          <w:p w14:paraId="6BF6D440" w14:textId="77777777" w:rsidR="00A502AC" w:rsidRDefault="00A502AC" w:rsidP="00444693">
            <w:pPr>
              <w:pStyle w:val="TableText"/>
              <w:widowControl w:val="0"/>
              <w:suppressAutoHyphens w:val="0"/>
              <w:spacing w:before="0" w:after="0" w:line="240" w:lineRule="auto"/>
              <w:jc w:val="center"/>
            </w:pPr>
            <w:r>
              <w:t>25.2</w:t>
            </w:r>
          </w:p>
        </w:tc>
        <w:tc>
          <w:tcPr>
            <w:tcW w:w="487" w:type="pct"/>
            <w:tcBorders>
              <w:bottom w:val="single" w:sz="4" w:space="0" w:color="auto"/>
            </w:tcBorders>
          </w:tcPr>
          <w:p w14:paraId="773980A0" w14:textId="77777777" w:rsidR="00A502AC" w:rsidRDefault="00A502AC" w:rsidP="00444693">
            <w:pPr>
              <w:pStyle w:val="TableText"/>
              <w:widowControl w:val="0"/>
              <w:suppressAutoHyphens w:val="0"/>
              <w:spacing w:before="0" w:after="0" w:line="240" w:lineRule="auto"/>
              <w:jc w:val="center"/>
            </w:pPr>
            <w:r>
              <w:t>9.7</w:t>
            </w:r>
          </w:p>
        </w:tc>
        <w:tc>
          <w:tcPr>
            <w:tcW w:w="488" w:type="pct"/>
            <w:tcBorders>
              <w:bottom w:val="single" w:sz="4" w:space="0" w:color="auto"/>
            </w:tcBorders>
            <w:shd w:val="clear" w:color="auto" w:fill="FF0000"/>
          </w:tcPr>
          <w:p w14:paraId="7408712F" w14:textId="77777777" w:rsidR="00A502AC" w:rsidRPr="004E0D09" w:rsidRDefault="00A502AC" w:rsidP="00444693">
            <w:pPr>
              <w:pStyle w:val="TableText"/>
              <w:widowControl w:val="0"/>
              <w:suppressAutoHyphens w:val="0"/>
              <w:spacing w:before="0" w:after="0" w:line="240" w:lineRule="auto"/>
              <w:jc w:val="center"/>
              <w:rPr>
                <w:b/>
                <w:bCs/>
              </w:rPr>
            </w:pPr>
            <w:r>
              <w:rPr>
                <w:b/>
                <w:bCs/>
              </w:rPr>
              <w:t>226</w:t>
            </w:r>
          </w:p>
        </w:tc>
        <w:tc>
          <w:tcPr>
            <w:tcW w:w="489" w:type="pct"/>
            <w:tcBorders>
              <w:bottom w:val="single" w:sz="4" w:space="0" w:color="auto"/>
            </w:tcBorders>
          </w:tcPr>
          <w:p w14:paraId="02EB0A0B" w14:textId="77777777" w:rsidR="00A502AC" w:rsidRPr="00C3293F" w:rsidRDefault="00A502AC" w:rsidP="00444693">
            <w:pPr>
              <w:pStyle w:val="TableText"/>
              <w:widowControl w:val="0"/>
              <w:suppressAutoHyphens w:val="0"/>
              <w:spacing w:before="0" w:after="0" w:line="240" w:lineRule="auto"/>
              <w:jc w:val="center"/>
            </w:pPr>
            <w:r>
              <w:t>1057</w:t>
            </w:r>
          </w:p>
        </w:tc>
      </w:tr>
      <w:tr w:rsidR="00A502AC" w:rsidRPr="00C3293F" w14:paraId="71CFC1A8" w14:textId="77777777" w:rsidTr="00444693">
        <w:trPr>
          <w:cantSplit/>
          <w:trHeight w:val="13"/>
        </w:trPr>
        <w:tc>
          <w:tcPr>
            <w:tcW w:w="873" w:type="pct"/>
            <w:vMerge w:val="restart"/>
            <w:tcBorders>
              <w:top w:val="single" w:sz="4" w:space="0" w:color="auto"/>
            </w:tcBorders>
          </w:tcPr>
          <w:p w14:paraId="59105044" w14:textId="77777777" w:rsidR="00A502AC" w:rsidRDefault="00A502AC" w:rsidP="00444693">
            <w:pPr>
              <w:pStyle w:val="TableText"/>
              <w:widowControl w:val="0"/>
              <w:suppressAutoHyphens w:val="0"/>
              <w:spacing w:before="0" w:after="0" w:line="240" w:lineRule="auto"/>
              <w:rPr>
                <w:szCs w:val="17"/>
              </w:rPr>
            </w:pPr>
            <w:r>
              <w:rPr>
                <w:szCs w:val="17"/>
              </w:rPr>
              <w:t>Spray topping in pulses</w:t>
            </w:r>
          </w:p>
        </w:tc>
        <w:tc>
          <w:tcPr>
            <w:tcW w:w="653" w:type="pct"/>
            <w:vMerge w:val="restart"/>
            <w:tcBorders>
              <w:top w:val="single" w:sz="4" w:space="0" w:color="auto"/>
            </w:tcBorders>
          </w:tcPr>
          <w:p w14:paraId="61E4275A" w14:textId="77777777" w:rsidR="00A502AC" w:rsidRDefault="00A502AC" w:rsidP="00444693">
            <w:pPr>
              <w:pStyle w:val="TableText"/>
              <w:widowControl w:val="0"/>
              <w:suppressAutoHyphens w:val="0"/>
              <w:spacing w:before="0" w:after="0" w:line="240" w:lineRule="auto"/>
              <w:rPr>
                <w:szCs w:val="17"/>
              </w:rPr>
            </w:pPr>
            <w:r>
              <w:rPr>
                <w:szCs w:val="17"/>
              </w:rPr>
              <w:t>Pulses</w:t>
            </w:r>
          </w:p>
        </w:tc>
        <w:tc>
          <w:tcPr>
            <w:tcW w:w="870" w:type="pct"/>
            <w:tcBorders>
              <w:top w:val="single" w:sz="4" w:space="0" w:color="auto"/>
            </w:tcBorders>
          </w:tcPr>
          <w:p w14:paraId="08C6A20F" w14:textId="77777777" w:rsidR="00A502AC" w:rsidRDefault="00A502AC" w:rsidP="00444693">
            <w:pPr>
              <w:pStyle w:val="TableText"/>
              <w:widowControl w:val="0"/>
              <w:suppressAutoHyphens w:val="0"/>
              <w:spacing w:before="0" w:after="0" w:line="240" w:lineRule="auto"/>
              <w:rPr>
                <w:szCs w:val="17"/>
              </w:rPr>
            </w:pPr>
            <w:r>
              <w:rPr>
                <w:szCs w:val="17"/>
              </w:rPr>
              <w:t>Small granivore</w:t>
            </w:r>
          </w:p>
        </w:tc>
        <w:tc>
          <w:tcPr>
            <w:tcW w:w="653" w:type="pct"/>
            <w:tcBorders>
              <w:top w:val="single" w:sz="4" w:space="0" w:color="auto"/>
            </w:tcBorders>
          </w:tcPr>
          <w:p w14:paraId="4743BE50" w14:textId="77777777" w:rsidR="00A502AC" w:rsidRPr="00C20C79" w:rsidRDefault="00A502AC" w:rsidP="00444693">
            <w:pPr>
              <w:pStyle w:val="TableText"/>
              <w:widowControl w:val="0"/>
              <w:suppressAutoHyphens w:val="0"/>
              <w:spacing w:before="0" w:after="0" w:line="240" w:lineRule="auto"/>
              <w:rPr>
                <w:szCs w:val="17"/>
              </w:rPr>
            </w:pPr>
            <w:r>
              <w:rPr>
                <w:szCs w:val="17"/>
              </w:rPr>
              <w:t>BBCH ≥50</w:t>
            </w:r>
          </w:p>
        </w:tc>
        <w:tc>
          <w:tcPr>
            <w:tcW w:w="487" w:type="pct"/>
            <w:tcBorders>
              <w:top w:val="single" w:sz="4" w:space="0" w:color="auto"/>
            </w:tcBorders>
          </w:tcPr>
          <w:p w14:paraId="0CE8EAFE" w14:textId="77777777" w:rsidR="00A502AC" w:rsidRDefault="00A502AC" w:rsidP="00444693">
            <w:pPr>
              <w:pStyle w:val="TableText"/>
              <w:widowControl w:val="0"/>
              <w:suppressAutoHyphens w:val="0"/>
              <w:spacing w:before="0" w:after="0" w:line="240" w:lineRule="auto"/>
              <w:jc w:val="center"/>
            </w:pPr>
            <w:r>
              <w:t>7.4</w:t>
            </w:r>
          </w:p>
        </w:tc>
        <w:tc>
          <w:tcPr>
            <w:tcW w:w="487" w:type="pct"/>
            <w:tcBorders>
              <w:top w:val="single" w:sz="4" w:space="0" w:color="auto"/>
            </w:tcBorders>
          </w:tcPr>
          <w:p w14:paraId="5E8BC346" w14:textId="77777777" w:rsidR="00A502AC" w:rsidRDefault="00A502AC" w:rsidP="00444693">
            <w:pPr>
              <w:pStyle w:val="TableText"/>
              <w:widowControl w:val="0"/>
              <w:suppressAutoHyphens w:val="0"/>
              <w:spacing w:before="0" w:after="0" w:line="240" w:lineRule="auto"/>
              <w:jc w:val="center"/>
            </w:pPr>
            <w:r>
              <w:t>3.4</w:t>
            </w:r>
          </w:p>
        </w:tc>
        <w:tc>
          <w:tcPr>
            <w:tcW w:w="488" w:type="pct"/>
            <w:tcBorders>
              <w:top w:val="single" w:sz="4" w:space="0" w:color="auto"/>
            </w:tcBorders>
          </w:tcPr>
          <w:p w14:paraId="32CF4CB1" w14:textId="77777777" w:rsidR="00A502AC" w:rsidRPr="00C3293F" w:rsidRDefault="00A502AC" w:rsidP="00444693">
            <w:pPr>
              <w:pStyle w:val="TableText"/>
              <w:widowControl w:val="0"/>
              <w:suppressAutoHyphens w:val="0"/>
              <w:spacing w:before="0" w:after="0" w:line="240" w:lineRule="auto"/>
              <w:jc w:val="center"/>
            </w:pPr>
            <w:r w:rsidRPr="00C174DB">
              <w:t>770</w:t>
            </w:r>
          </w:p>
        </w:tc>
        <w:tc>
          <w:tcPr>
            <w:tcW w:w="489" w:type="pct"/>
            <w:tcBorders>
              <w:top w:val="single" w:sz="4" w:space="0" w:color="auto"/>
            </w:tcBorders>
          </w:tcPr>
          <w:p w14:paraId="55BDEA3B" w14:textId="77777777" w:rsidR="00A502AC" w:rsidRPr="00C3293F" w:rsidRDefault="00A502AC" w:rsidP="00444693">
            <w:pPr>
              <w:pStyle w:val="TableText"/>
              <w:widowControl w:val="0"/>
              <w:suppressAutoHyphens w:val="0"/>
              <w:spacing w:before="0" w:after="0" w:line="240" w:lineRule="auto"/>
              <w:jc w:val="center"/>
            </w:pPr>
            <w:r w:rsidRPr="009E6209">
              <w:t>3015</w:t>
            </w:r>
          </w:p>
        </w:tc>
      </w:tr>
      <w:tr w:rsidR="00A502AC" w:rsidRPr="00C3293F" w14:paraId="4C75230E" w14:textId="77777777" w:rsidTr="00444693">
        <w:trPr>
          <w:cantSplit/>
          <w:trHeight w:val="13"/>
        </w:trPr>
        <w:tc>
          <w:tcPr>
            <w:tcW w:w="873" w:type="pct"/>
            <w:vMerge/>
            <w:tcBorders>
              <w:top w:val="single" w:sz="4" w:space="0" w:color="auto"/>
            </w:tcBorders>
          </w:tcPr>
          <w:p w14:paraId="4A453D45" w14:textId="77777777" w:rsidR="00A502AC" w:rsidRDefault="00A502AC" w:rsidP="00444693">
            <w:pPr>
              <w:pStyle w:val="TableText"/>
              <w:widowControl w:val="0"/>
              <w:suppressAutoHyphens w:val="0"/>
              <w:spacing w:before="0" w:after="0" w:line="240" w:lineRule="auto"/>
              <w:rPr>
                <w:szCs w:val="17"/>
              </w:rPr>
            </w:pPr>
          </w:p>
        </w:tc>
        <w:tc>
          <w:tcPr>
            <w:tcW w:w="653" w:type="pct"/>
            <w:vMerge/>
            <w:tcBorders>
              <w:top w:val="single" w:sz="4" w:space="0" w:color="auto"/>
            </w:tcBorders>
          </w:tcPr>
          <w:p w14:paraId="5D4C67FE" w14:textId="77777777" w:rsidR="00A502AC" w:rsidRDefault="00A502AC" w:rsidP="00444693">
            <w:pPr>
              <w:pStyle w:val="TableText"/>
              <w:widowControl w:val="0"/>
              <w:suppressAutoHyphens w:val="0"/>
              <w:spacing w:before="0" w:after="0" w:line="240" w:lineRule="auto"/>
              <w:rPr>
                <w:szCs w:val="17"/>
              </w:rPr>
            </w:pPr>
          </w:p>
        </w:tc>
        <w:tc>
          <w:tcPr>
            <w:tcW w:w="870" w:type="pct"/>
          </w:tcPr>
          <w:p w14:paraId="573E52A4" w14:textId="77777777" w:rsidR="00A502AC" w:rsidRDefault="00A502AC" w:rsidP="00444693">
            <w:pPr>
              <w:pStyle w:val="TableText"/>
              <w:widowControl w:val="0"/>
              <w:suppressAutoHyphens w:val="0"/>
              <w:spacing w:before="0" w:after="0" w:line="240" w:lineRule="auto"/>
              <w:rPr>
                <w:szCs w:val="17"/>
              </w:rPr>
            </w:pPr>
            <w:r>
              <w:rPr>
                <w:szCs w:val="17"/>
              </w:rPr>
              <w:t>Small omnivore</w:t>
            </w:r>
          </w:p>
        </w:tc>
        <w:tc>
          <w:tcPr>
            <w:tcW w:w="653" w:type="pct"/>
          </w:tcPr>
          <w:p w14:paraId="0CF52F7A" w14:textId="77777777" w:rsidR="00A502AC" w:rsidRPr="00C20C79" w:rsidRDefault="00A502AC" w:rsidP="00444693">
            <w:pPr>
              <w:pStyle w:val="TableText"/>
              <w:widowControl w:val="0"/>
              <w:suppressAutoHyphens w:val="0"/>
              <w:spacing w:before="0" w:after="0" w:line="240" w:lineRule="auto"/>
              <w:rPr>
                <w:szCs w:val="17"/>
              </w:rPr>
            </w:pPr>
            <w:r>
              <w:rPr>
                <w:szCs w:val="17"/>
              </w:rPr>
              <w:t>BBCH ≥50</w:t>
            </w:r>
          </w:p>
        </w:tc>
        <w:tc>
          <w:tcPr>
            <w:tcW w:w="487" w:type="pct"/>
          </w:tcPr>
          <w:p w14:paraId="352B2341" w14:textId="77777777" w:rsidR="00A502AC" w:rsidRDefault="00A502AC" w:rsidP="00444693">
            <w:pPr>
              <w:pStyle w:val="TableText"/>
              <w:widowControl w:val="0"/>
              <w:suppressAutoHyphens w:val="0"/>
              <w:spacing w:before="0" w:after="0" w:line="240" w:lineRule="auto"/>
              <w:jc w:val="center"/>
            </w:pPr>
            <w:r>
              <w:t>7.2</w:t>
            </w:r>
          </w:p>
        </w:tc>
        <w:tc>
          <w:tcPr>
            <w:tcW w:w="487" w:type="pct"/>
          </w:tcPr>
          <w:p w14:paraId="52F43679" w14:textId="77777777" w:rsidR="00A502AC" w:rsidRDefault="00A502AC" w:rsidP="00444693">
            <w:pPr>
              <w:pStyle w:val="TableText"/>
              <w:widowControl w:val="0"/>
              <w:suppressAutoHyphens w:val="0"/>
              <w:spacing w:before="0" w:after="0" w:line="240" w:lineRule="auto"/>
              <w:jc w:val="center"/>
            </w:pPr>
            <w:r>
              <w:t>3.3</w:t>
            </w:r>
          </w:p>
        </w:tc>
        <w:tc>
          <w:tcPr>
            <w:tcW w:w="488" w:type="pct"/>
          </w:tcPr>
          <w:p w14:paraId="7DDAB331" w14:textId="77777777" w:rsidR="00A502AC" w:rsidRPr="00C3293F" w:rsidRDefault="00A502AC" w:rsidP="00444693">
            <w:pPr>
              <w:pStyle w:val="TableText"/>
              <w:widowControl w:val="0"/>
              <w:suppressAutoHyphens w:val="0"/>
              <w:spacing w:before="0" w:after="0" w:line="240" w:lineRule="auto"/>
              <w:jc w:val="center"/>
            </w:pPr>
            <w:r w:rsidRPr="00C174DB">
              <w:t>792</w:t>
            </w:r>
          </w:p>
        </w:tc>
        <w:tc>
          <w:tcPr>
            <w:tcW w:w="489" w:type="pct"/>
          </w:tcPr>
          <w:p w14:paraId="4A196CF1" w14:textId="77777777" w:rsidR="00A502AC" w:rsidRPr="00C3293F" w:rsidRDefault="00A502AC" w:rsidP="00444693">
            <w:pPr>
              <w:pStyle w:val="TableText"/>
              <w:widowControl w:val="0"/>
              <w:suppressAutoHyphens w:val="0"/>
              <w:spacing w:before="0" w:after="0" w:line="240" w:lineRule="auto"/>
              <w:jc w:val="center"/>
            </w:pPr>
            <w:r w:rsidRPr="009E6209">
              <w:t>3107</w:t>
            </w:r>
          </w:p>
        </w:tc>
      </w:tr>
      <w:tr w:rsidR="00A502AC" w:rsidRPr="00C3293F" w14:paraId="15016C9C" w14:textId="77777777" w:rsidTr="00444693">
        <w:trPr>
          <w:cantSplit/>
          <w:trHeight w:val="13"/>
        </w:trPr>
        <w:tc>
          <w:tcPr>
            <w:tcW w:w="873" w:type="pct"/>
            <w:vMerge/>
            <w:tcBorders>
              <w:top w:val="single" w:sz="4" w:space="0" w:color="auto"/>
              <w:bottom w:val="single" w:sz="4" w:space="0" w:color="auto"/>
            </w:tcBorders>
          </w:tcPr>
          <w:p w14:paraId="44CEB131" w14:textId="77777777" w:rsidR="00A502AC" w:rsidRDefault="00A502AC" w:rsidP="00444693">
            <w:pPr>
              <w:pStyle w:val="TableText"/>
              <w:widowControl w:val="0"/>
              <w:suppressAutoHyphens w:val="0"/>
              <w:spacing w:before="0" w:after="0" w:line="240" w:lineRule="auto"/>
              <w:rPr>
                <w:szCs w:val="17"/>
              </w:rPr>
            </w:pPr>
          </w:p>
        </w:tc>
        <w:tc>
          <w:tcPr>
            <w:tcW w:w="653" w:type="pct"/>
            <w:vMerge/>
            <w:tcBorders>
              <w:top w:val="single" w:sz="4" w:space="0" w:color="auto"/>
              <w:bottom w:val="single" w:sz="4" w:space="0" w:color="auto"/>
            </w:tcBorders>
          </w:tcPr>
          <w:p w14:paraId="48708E3A" w14:textId="77777777" w:rsidR="00A502AC" w:rsidRDefault="00A502AC" w:rsidP="00444693">
            <w:pPr>
              <w:pStyle w:val="TableText"/>
              <w:widowControl w:val="0"/>
              <w:suppressAutoHyphens w:val="0"/>
              <w:spacing w:before="0" w:after="0" w:line="240" w:lineRule="auto"/>
              <w:rPr>
                <w:szCs w:val="17"/>
              </w:rPr>
            </w:pPr>
          </w:p>
        </w:tc>
        <w:tc>
          <w:tcPr>
            <w:tcW w:w="870" w:type="pct"/>
            <w:tcBorders>
              <w:bottom w:val="single" w:sz="4" w:space="0" w:color="auto"/>
            </w:tcBorders>
          </w:tcPr>
          <w:p w14:paraId="210D105A" w14:textId="77777777" w:rsidR="00A502AC" w:rsidRDefault="00A502AC" w:rsidP="00444693">
            <w:pPr>
              <w:pStyle w:val="TableText"/>
              <w:widowControl w:val="0"/>
              <w:suppressAutoHyphens w:val="0"/>
              <w:spacing w:before="0" w:after="0" w:line="240" w:lineRule="auto"/>
              <w:rPr>
                <w:szCs w:val="17"/>
              </w:rPr>
            </w:pPr>
            <w:r>
              <w:rPr>
                <w:szCs w:val="17"/>
              </w:rPr>
              <w:t>Small insectivore</w:t>
            </w:r>
          </w:p>
        </w:tc>
        <w:tc>
          <w:tcPr>
            <w:tcW w:w="653" w:type="pct"/>
            <w:tcBorders>
              <w:bottom w:val="single" w:sz="4" w:space="0" w:color="auto"/>
            </w:tcBorders>
          </w:tcPr>
          <w:p w14:paraId="0D3918E7" w14:textId="77777777" w:rsidR="00A502AC" w:rsidRPr="00C20C79" w:rsidRDefault="00A502AC" w:rsidP="00444693">
            <w:pPr>
              <w:pStyle w:val="TableText"/>
              <w:widowControl w:val="0"/>
              <w:suppressAutoHyphens w:val="0"/>
              <w:spacing w:before="0" w:after="0" w:line="240" w:lineRule="auto"/>
              <w:rPr>
                <w:szCs w:val="17"/>
              </w:rPr>
            </w:pPr>
            <w:r>
              <w:rPr>
                <w:szCs w:val="17"/>
              </w:rPr>
              <w:t>BBCH ≥20</w:t>
            </w:r>
          </w:p>
        </w:tc>
        <w:tc>
          <w:tcPr>
            <w:tcW w:w="487" w:type="pct"/>
            <w:tcBorders>
              <w:bottom w:val="single" w:sz="4" w:space="0" w:color="auto"/>
            </w:tcBorders>
          </w:tcPr>
          <w:p w14:paraId="627CFEFA" w14:textId="77777777" w:rsidR="00A502AC" w:rsidRDefault="00A502AC" w:rsidP="00444693">
            <w:pPr>
              <w:pStyle w:val="TableText"/>
              <w:widowControl w:val="0"/>
              <w:suppressAutoHyphens w:val="0"/>
              <w:spacing w:before="0" w:after="0" w:line="240" w:lineRule="auto"/>
              <w:jc w:val="center"/>
            </w:pPr>
            <w:r>
              <w:t>25.2</w:t>
            </w:r>
          </w:p>
        </w:tc>
        <w:tc>
          <w:tcPr>
            <w:tcW w:w="487" w:type="pct"/>
            <w:tcBorders>
              <w:bottom w:val="single" w:sz="4" w:space="0" w:color="auto"/>
            </w:tcBorders>
          </w:tcPr>
          <w:p w14:paraId="704EAB56" w14:textId="77777777" w:rsidR="00A502AC" w:rsidRDefault="00A502AC" w:rsidP="00444693">
            <w:pPr>
              <w:pStyle w:val="TableText"/>
              <w:widowControl w:val="0"/>
              <w:suppressAutoHyphens w:val="0"/>
              <w:spacing w:before="0" w:after="0" w:line="240" w:lineRule="auto"/>
              <w:jc w:val="center"/>
            </w:pPr>
            <w:r>
              <w:t>9.7</w:t>
            </w:r>
          </w:p>
        </w:tc>
        <w:tc>
          <w:tcPr>
            <w:tcW w:w="488" w:type="pct"/>
            <w:tcBorders>
              <w:bottom w:val="single" w:sz="4" w:space="0" w:color="auto"/>
            </w:tcBorders>
          </w:tcPr>
          <w:p w14:paraId="150FFF60" w14:textId="77777777" w:rsidR="00A502AC" w:rsidRPr="00C3293F" w:rsidRDefault="00A502AC" w:rsidP="00444693">
            <w:pPr>
              <w:pStyle w:val="TableText"/>
              <w:widowControl w:val="0"/>
              <w:suppressAutoHyphens w:val="0"/>
              <w:spacing w:before="0" w:after="0" w:line="240" w:lineRule="auto"/>
              <w:jc w:val="center"/>
            </w:pPr>
            <w:r>
              <w:t>226</w:t>
            </w:r>
          </w:p>
        </w:tc>
        <w:tc>
          <w:tcPr>
            <w:tcW w:w="489" w:type="pct"/>
            <w:tcBorders>
              <w:bottom w:val="single" w:sz="4" w:space="0" w:color="auto"/>
            </w:tcBorders>
          </w:tcPr>
          <w:p w14:paraId="21C4C68A" w14:textId="77777777" w:rsidR="00A502AC" w:rsidRPr="00C3293F" w:rsidRDefault="00A502AC" w:rsidP="00444693">
            <w:pPr>
              <w:pStyle w:val="TableText"/>
              <w:widowControl w:val="0"/>
              <w:suppressAutoHyphens w:val="0"/>
              <w:spacing w:before="0" w:after="0" w:line="240" w:lineRule="auto"/>
              <w:jc w:val="center"/>
            </w:pPr>
            <w:r>
              <w:t>1057</w:t>
            </w:r>
          </w:p>
        </w:tc>
      </w:tr>
    </w:tbl>
    <w:p w14:paraId="43DAE721" w14:textId="1F7A814D" w:rsidR="00A502AC" w:rsidRPr="00401A10" w:rsidRDefault="00A502AC" w:rsidP="00A502AC">
      <w:pPr>
        <w:pStyle w:val="SourceTableNote"/>
        <w:widowControl w:val="0"/>
        <w:suppressAutoHyphens w:val="0"/>
        <w:spacing w:line="240" w:lineRule="auto"/>
        <w:rPr>
          <w:sz w:val="17"/>
          <w:szCs w:val="17"/>
        </w:rPr>
      </w:pPr>
      <w:r w:rsidRPr="00401A10">
        <w:rPr>
          <w:sz w:val="17"/>
          <w:szCs w:val="17"/>
        </w:rPr>
        <w:t xml:space="preserve">Crop groups and situations as indicated in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p>
    <w:p w14:paraId="3FE1B9D3"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Generic focal species and shortcut values for indicated crop groups from EFSA (2009)</w:t>
      </w:r>
    </w:p>
    <w:p w14:paraId="51A2AF84"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RAL = regulatory acceptable level</w:t>
      </w:r>
    </w:p>
    <w:p w14:paraId="693428F4" w14:textId="77777777" w:rsidR="00A502AC" w:rsidRPr="00401A10" w:rsidRDefault="00A502AC" w:rsidP="00A502AC">
      <w:pPr>
        <w:pStyle w:val="SourceTableNote"/>
        <w:widowControl w:val="0"/>
        <w:suppressAutoHyphens w:val="0"/>
        <w:spacing w:line="240" w:lineRule="auto"/>
        <w:ind w:left="567"/>
        <w:rPr>
          <w:sz w:val="17"/>
          <w:szCs w:val="17"/>
        </w:rPr>
      </w:pPr>
      <w:r w:rsidRPr="00401A10">
        <w:rPr>
          <w:sz w:val="17"/>
          <w:szCs w:val="17"/>
        </w:rPr>
        <w:t>Acute = geomean LD</w:t>
      </w:r>
      <w:r w:rsidRPr="00401A10">
        <w:rPr>
          <w:sz w:val="17"/>
          <w:szCs w:val="17"/>
          <w:vertAlign w:val="subscript"/>
        </w:rPr>
        <w:t>50</w:t>
      </w:r>
      <w:r w:rsidRPr="00401A10">
        <w:rPr>
          <w:sz w:val="17"/>
          <w:szCs w:val="17"/>
        </w:rPr>
        <w:t xml:space="preserve"> 57 mg/kg bw (Fink et al. 1979, Hubbard et al. 2014 and Johnson 1998) and assessment factor of 10</w:t>
      </w:r>
    </w:p>
    <w:p w14:paraId="1113F5DB" w14:textId="77777777" w:rsidR="00A502AC" w:rsidRPr="00401A10" w:rsidRDefault="00A502AC" w:rsidP="00A502AC">
      <w:pPr>
        <w:pStyle w:val="SourceTableNote"/>
        <w:widowControl w:val="0"/>
        <w:suppressAutoHyphens w:val="0"/>
        <w:spacing w:line="240" w:lineRule="auto"/>
        <w:ind w:left="567"/>
        <w:rPr>
          <w:sz w:val="17"/>
          <w:szCs w:val="17"/>
        </w:rPr>
      </w:pPr>
      <w:r w:rsidRPr="00401A10">
        <w:rPr>
          <w:sz w:val="17"/>
          <w:szCs w:val="17"/>
        </w:rPr>
        <w:t>Chronic = NOEL 2.7 mg/kg bw/d (Fink et al. 1982) and assessment factor of 1</w:t>
      </w:r>
    </w:p>
    <w:p w14:paraId="45CB8489" w14:textId="77777777" w:rsidR="00A502AC" w:rsidRPr="00401A10" w:rsidRDefault="00A502AC" w:rsidP="00A502AC">
      <w:pPr>
        <w:pStyle w:val="SourceTableNote"/>
        <w:widowControl w:val="0"/>
        <w:suppressAutoHyphens w:val="0"/>
        <w:spacing w:line="240" w:lineRule="auto"/>
        <w:rPr>
          <w:sz w:val="17"/>
          <w:szCs w:val="17"/>
        </w:rPr>
      </w:pPr>
      <w:r w:rsidRPr="00401A10">
        <w:rPr>
          <w:sz w:val="17"/>
          <w:szCs w:val="17"/>
        </w:rPr>
        <w:t>Maximum acceptable rate (g ac/ha)</w:t>
      </w:r>
    </w:p>
    <w:p w14:paraId="2BA85B88" w14:textId="77777777" w:rsidR="00A502AC" w:rsidRDefault="00A502AC" w:rsidP="00A502AC">
      <w:pPr>
        <w:pStyle w:val="SourceTableNote"/>
        <w:widowControl w:val="0"/>
        <w:suppressAutoHyphens w:val="0"/>
        <w:spacing w:line="240" w:lineRule="auto"/>
        <w:ind w:firstLine="567"/>
        <w:rPr>
          <w:sz w:val="17"/>
          <w:szCs w:val="17"/>
        </w:rPr>
      </w:pPr>
      <w:r w:rsidRPr="00401A10">
        <w:rPr>
          <w:sz w:val="17"/>
          <w:szCs w:val="17"/>
        </w:rPr>
        <w:t xml:space="preserve">= RAL × 1000 </w:t>
      </w:r>
      <w:r>
        <w:rPr>
          <w:sz w:val="17"/>
          <w:szCs w:val="17"/>
        </w:rPr>
        <w:t>∕</w:t>
      </w:r>
      <w:r w:rsidRPr="00401A10">
        <w:rPr>
          <w:sz w:val="17"/>
          <w:szCs w:val="17"/>
        </w:rPr>
        <w:t xml:space="preserve"> (shortcut value × PT</w:t>
      </w:r>
      <w:r>
        <w:rPr>
          <w:sz w:val="17"/>
          <w:szCs w:val="17"/>
        </w:rPr>
        <w:t xml:space="preserve"> </w:t>
      </w:r>
      <w:r w:rsidRPr="00401A10">
        <w:rPr>
          <w:sz w:val="17"/>
          <w:szCs w:val="17"/>
        </w:rPr>
        <w:t>(acute 1.0, chronic 0.5) × TWA factor (acute 1.0, chronic 0.53))</w:t>
      </w:r>
    </w:p>
    <w:p w14:paraId="74CC2920" w14:textId="76406FB6" w:rsidR="00A502AC" w:rsidRPr="00401A10" w:rsidRDefault="00A502AC" w:rsidP="00A502AC">
      <w:pPr>
        <w:pStyle w:val="SourceTableNote"/>
        <w:widowControl w:val="0"/>
        <w:suppressAutoHyphens w:val="0"/>
        <w:spacing w:line="240" w:lineRule="auto"/>
        <w:rPr>
          <w:sz w:val="17"/>
          <w:szCs w:val="17"/>
        </w:rPr>
      </w:pPr>
      <w:r>
        <w:rPr>
          <w:sz w:val="17"/>
          <w:szCs w:val="17"/>
        </w:rPr>
        <w:t>Acceptable rates in bold</w:t>
      </w:r>
      <w:r w:rsidRPr="00401A10">
        <w:rPr>
          <w:sz w:val="17"/>
          <w:szCs w:val="17"/>
        </w:rPr>
        <w:t xml:space="preserve"> indicate where the acceptable use rate is lower than the maximum seasonal rate for the use situation</w:t>
      </w:r>
      <w:r>
        <w:rPr>
          <w:sz w:val="17"/>
          <w:szCs w:val="17"/>
        </w:rPr>
        <w:t>s</w:t>
      </w:r>
      <w:r w:rsidRPr="00401A10">
        <w:rPr>
          <w:sz w:val="17"/>
          <w:szCs w:val="17"/>
        </w:rPr>
        <w:t xml:space="preserve"> as quoted in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r w:rsidRPr="00401A10">
        <w:rPr>
          <w:sz w:val="17"/>
          <w:szCs w:val="17"/>
        </w:rPr>
        <w:t xml:space="preserve">. </w:t>
      </w:r>
      <w:r>
        <w:rPr>
          <w:sz w:val="17"/>
          <w:szCs w:val="17"/>
        </w:rPr>
        <w:t>Therefore, f</w:t>
      </w:r>
      <w:r w:rsidRPr="00401A10">
        <w:rPr>
          <w:sz w:val="17"/>
          <w:szCs w:val="17"/>
        </w:rPr>
        <w:t>urther refinement would be required to demonstrate an acceptable risk for one or more on-label use rates.</w:t>
      </w:r>
    </w:p>
    <w:p w14:paraId="570F313B" w14:textId="580F89A1" w:rsidR="00CE1436" w:rsidRPr="00B10F80" w:rsidRDefault="00CE1436" w:rsidP="00AC06D7">
      <w:pPr>
        <w:pStyle w:val="AppendixH2"/>
      </w:pPr>
      <w:bookmarkStart w:id="724" w:name="_Toc216682525"/>
      <w:bookmarkStart w:id="725" w:name="_Toc231480933"/>
      <w:r w:rsidRPr="00B10F80">
        <w:lastRenderedPageBreak/>
        <w:t>Refined risk assessments</w:t>
      </w:r>
      <w:bookmarkEnd w:id="724"/>
      <w:bookmarkEnd w:id="725"/>
    </w:p>
    <w:p w14:paraId="7CE08D08" w14:textId="77777777" w:rsidR="00CE1436" w:rsidRPr="00C51CC9" w:rsidRDefault="00CE1436" w:rsidP="00AC06D7">
      <w:pPr>
        <w:pStyle w:val="NormalText"/>
      </w:pPr>
      <w:bookmarkStart w:id="726" w:name="_Hlk204346878"/>
      <w:r w:rsidRPr="00C51CC9">
        <w:t>Quantitative refinements of the risk assessment have been included to account for the following factors:</w:t>
      </w:r>
    </w:p>
    <w:p w14:paraId="4D8F5BA0" w14:textId="77777777" w:rsidR="00CE1436" w:rsidRPr="00C51CC9" w:rsidRDefault="00CE1436" w:rsidP="00AC06D7">
      <w:pPr>
        <w:pStyle w:val="NormalText"/>
        <w:ind w:left="567"/>
      </w:pPr>
      <w:bookmarkStart w:id="727" w:name="_Hlk204347131"/>
      <w:bookmarkStart w:id="728" w:name="_Hlk200099707"/>
      <w:bookmarkEnd w:id="726"/>
      <w:r w:rsidRPr="00C51CC9">
        <w:t>Small herbivorous mammals – The body weight for the small herbivorous mammal has been adjusted to 50 g. All other parameters are the default values used in EFSA (2009) and the shortcut values have been adjusted accordingly.</w:t>
      </w:r>
    </w:p>
    <w:p w14:paraId="0FBADC60" w14:textId="77777777" w:rsidR="00CE1436" w:rsidRPr="00C51CC9" w:rsidRDefault="00CE1436" w:rsidP="00AC06D7">
      <w:pPr>
        <w:pStyle w:val="NormalText"/>
        <w:ind w:left="567"/>
      </w:pPr>
      <w:r w:rsidRPr="00C51CC9">
        <w:t>Large herbivorous mammals – The daily energy expenditure (DEE) has been adjusted to reflect an allometric equation for non-eutherian mammals. The assumed body weight (1500 g) has also been adjusted to reflect Australian species. All other parameters are the default values used in EFSA (2009) and the shortcut values have been adjusted accordingly.</w:t>
      </w:r>
    </w:p>
    <w:p w14:paraId="0EA4FAC9" w14:textId="77777777" w:rsidR="00CE1436" w:rsidRPr="00C51CC9" w:rsidRDefault="00CE1436" w:rsidP="00AC06D7">
      <w:pPr>
        <w:pStyle w:val="NormalText"/>
        <w:ind w:left="567"/>
      </w:pPr>
      <w:bookmarkStart w:id="729" w:name="_Hlk204346977"/>
      <w:bookmarkEnd w:id="727"/>
      <w:r w:rsidRPr="00C51CC9">
        <w:t>Crop interception – Crop interception/deposition values have been adjusted to reflect those from EFSA (2020), where appropriate for the combination of crop, growth stage and food item.</w:t>
      </w:r>
    </w:p>
    <w:p w14:paraId="6A35B56D" w14:textId="77777777" w:rsidR="00CE1436" w:rsidRPr="00C51CC9" w:rsidRDefault="00CE1436" w:rsidP="00AC06D7">
      <w:pPr>
        <w:pStyle w:val="NormalText"/>
        <w:ind w:left="567"/>
      </w:pPr>
      <w:bookmarkStart w:id="730" w:name="_Hlk204346984"/>
      <w:bookmarkEnd w:id="729"/>
      <w:r w:rsidRPr="00C51CC9">
        <w:t>Residue decline – For insect food items a DT</w:t>
      </w:r>
      <w:r w:rsidRPr="00C51CC9">
        <w:rPr>
          <w:vertAlign w:val="subscript"/>
        </w:rPr>
        <w:t>50</w:t>
      </w:r>
      <w:r w:rsidRPr="00C51CC9">
        <w:t xml:space="preserve"> of 4.6 d has been established, this will be used to refine the MAF and TWA for relevant food items where appropriate. For all other food items the default DT</w:t>
      </w:r>
      <w:r w:rsidRPr="00C51CC9">
        <w:rPr>
          <w:vertAlign w:val="subscript"/>
        </w:rPr>
        <w:t>50</w:t>
      </w:r>
      <w:r w:rsidRPr="00C51CC9">
        <w:t xml:space="preserve"> (10 d) will be applied.</w:t>
      </w:r>
    </w:p>
    <w:p w14:paraId="297E1095" w14:textId="6CB507C1" w:rsidR="00CE1436" w:rsidRPr="00C51CC9" w:rsidRDefault="00CE1436" w:rsidP="00AC06D7">
      <w:pPr>
        <w:pStyle w:val="NormalText"/>
      </w:pPr>
      <w:bookmarkStart w:id="731" w:name="_Hlk204346895"/>
      <w:bookmarkEnd w:id="728"/>
      <w:bookmarkEnd w:id="730"/>
      <w:r w:rsidRPr="00C51CC9">
        <w:t xml:space="preserve">Risk assessments have been </w:t>
      </w:r>
      <w:r w:rsidRPr="00CE1436">
        <w:t>conducted, incorporating the quantitative refinements identified above where relevant, for the combinations of crops groups, exposure routes (acute/chronic) and generic focal species with unresolved risks (</w:t>
      </w:r>
      <w:r w:rsidRPr="00CE1436">
        <w:rPr>
          <w:highlight w:val="magenta"/>
        </w:rPr>
        <w:fldChar w:fldCharType="begin"/>
      </w:r>
      <w:r w:rsidRPr="00CE1436">
        <w:instrText xml:space="preserve"> REF _Ref220573311 \h </w:instrText>
      </w:r>
      <w:r w:rsidRPr="00CE1436">
        <w:rPr>
          <w:highlight w:val="magenta"/>
        </w:rPr>
        <w:instrText xml:space="preserve"> \* MERGEFORMAT </w:instrText>
      </w:r>
      <w:r w:rsidRPr="00CE1436">
        <w:rPr>
          <w:highlight w:val="magenta"/>
        </w:rPr>
      </w:r>
      <w:r w:rsidRPr="00CE1436">
        <w:rPr>
          <w:highlight w:val="magenta"/>
        </w:rPr>
        <w:fldChar w:fldCharType="separate"/>
      </w:r>
      <w:r w:rsidR="008A397D" w:rsidRPr="008A397D">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CE1436">
        <w:rPr>
          <w:highlight w:val="magenta"/>
        </w:rPr>
        <w:fldChar w:fldCharType="end"/>
      </w:r>
      <w:r w:rsidRPr="00CE1436">
        <w:t xml:space="preserve"> for wild mammals; </w:t>
      </w:r>
      <w:r w:rsidRPr="00CE1436">
        <w:rPr>
          <w:highlight w:val="magenta"/>
        </w:rPr>
        <w:fldChar w:fldCharType="begin"/>
      </w:r>
      <w:r w:rsidRPr="00CE1436">
        <w:instrText xml:space="preserve"> REF _Ref220573323 \h </w:instrText>
      </w:r>
      <w:r w:rsidRPr="00CE1436">
        <w:rPr>
          <w:highlight w:val="magenta"/>
        </w:rPr>
        <w:instrText xml:space="preserve"> \* MERGEFORMAT </w:instrText>
      </w:r>
      <w:r w:rsidRPr="00CE1436">
        <w:rPr>
          <w:highlight w:val="magenta"/>
        </w:rPr>
      </w:r>
      <w:r w:rsidRPr="00CE1436">
        <w:rPr>
          <w:highlight w:val="magenta"/>
        </w:rPr>
        <w:fldChar w:fldCharType="separate"/>
      </w:r>
      <w:r w:rsidR="008A397D" w:rsidRPr="008A397D">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CE1436">
        <w:rPr>
          <w:highlight w:val="magenta"/>
        </w:rPr>
        <w:fldChar w:fldCharType="end"/>
      </w:r>
      <w:r w:rsidRPr="00CE1436">
        <w:t xml:space="preserve"> for birds). Only application timings</w:t>
      </w:r>
      <w:r w:rsidRPr="00C51CC9">
        <w:t xml:space="preserve"> considered relevant for the use situation have been considered. A comprehensive set of on-label use rates have been considered, but not every iteration of minor variations (e.g. within ± 5 g/ha) for the same use pattern, between different product labels, has been included.</w:t>
      </w:r>
    </w:p>
    <w:p w14:paraId="644EF2E0" w14:textId="49C43483" w:rsidR="00CE1436" w:rsidRPr="00AC06D7" w:rsidRDefault="00CE1436" w:rsidP="00AC06D7">
      <w:pPr>
        <w:pStyle w:val="Caption"/>
        <w:rPr>
          <w:rStyle w:val="FigurecaptionChar"/>
          <w:szCs w:val="22"/>
        </w:rPr>
      </w:pPr>
      <w:bookmarkStart w:id="732" w:name="_Ref220573311"/>
      <w:bookmarkStart w:id="733" w:name="_Toc230692343"/>
      <w:bookmarkStart w:id="734" w:name="_Toc233036564"/>
      <w:bookmarkEnd w:id="731"/>
      <w:r w:rsidRPr="00AC06D7">
        <w:t>Table</w:t>
      </w:r>
      <w:r w:rsidRPr="00AC06D7">
        <w:rPr>
          <w:rStyle w:val="FigurecaptionChar"/>
          <w:szCs w:val="22"/>
        </w:rPr>
        <w:t xml:space="preserve"> </w:t>
      </w:r>
      <w:r w:rsidRPr="00AC06D7">
        <w:rPr>
          <w:rStyle w:val="FigurecaptionChar"/>
          <w:szCs w:val="22"/>
        </w:rPr>
        <w:fldChar w:fldCharType="begin"/>
      </w:r>
      <w:r w:rsidRPr="00AC06D7">
        <w:rPr>
          <w:rStyle w:val="FigurecaptionChar"/>
          <w:szCs w:val="22"/>
        </w:rPr>
        <w:instrText xml:space="preserve"> SEQ Table \* ARABIC </w:instrText>
      </w:r>
      <w:r w:rsidRPr="00AC06D7">
        <w:rPr>
          <w:rStyle w:val="FigurecaptionChar"/>
          <w:szCs w:val="22"/>
        </w:rPr>
        <w:fldChar w:fldCharType="separate"/>
      </w:r>
      <w:r w:rsidR="00AC06D7">
        <w:rPr>
          <w:rStyle w:val="FigurecaptionChar"/>
          <w:noProof/>
          <w:szCs w:val="22"/>
        </w:rPr>
        <w:t>77</w:t>
      </w:r>
      <w:r w:rsidRPr="00AC06D7">
        <w:rPr>
          <w:rStyle w:val="FigurecaptionChar"/>
          <w:szCs w:val="22"/>
        </w:rPr>
        <w:fldChar w:fldCharType="end"/>
      </w:r>
      <w:bookmarkEnd w:id="732"/>
      <w:r w:rsidRPr="00AC06D7">
        <w:rPr>
          <w:rStyle w:val="FigurecaptionChar"/>
          <w:szCs w:val="22"/>
        </w:rPr>
        <w:t>: Refined assessment of risks to wild mammals (acute RAL 6.1 mg/kg bw</w:t>
      </w:r>
      <w:r w:rsidRPr="00AC06D7">
        <w:t>; chronic 3.8 mg ac/kg bw/d</w:t>
      </w:r>
      <w:r w:rsidRPr="00AC06D7">
        <w:rPr>
          <w:rStyle w:val="FigurecaptionChar"/>
          <w:szCs w:val="22"/>
        </w:rPr>
        <w:t>)</w:t>
      </w:r>
      <w:bookmarkEnd w:id="733"/>
      <w:bookmarkEnd w:id="734"/>
    </w:p>
    <w:tbl>
      <w:tblPr>
        <w:tblW w:w="5000" w:type="pct"/>
        <w:tblCellMar>
          <w:top w:w="57" w:type="dxa"/>
          <w:left w:w="57" w:type="dxa"/>
          <w:bottom w:w="57" w:type="dxa"/>
          <w:right w:w="57" w:type="dxa"/>
        </w:tblCellMar>
        <w:tblLook w:val="0000" w:firstRow="0" w:lastRow="0" w:firstColumn="0" w:lastColumn="0" w:noHBand="0" w:noVBand="0"/>
      </w:tblPr>
      <w:tblGrid>
        <w:gridCol w:w="947"/>
        <w:gridCol w:w="999"/>
        <w:gridCol w:w="920"/>
        <w:gridCol w:w="947"/>
        <w:gridCol w:w="866"/>
        <w:gridCol w:w="599"/>
        <w:gridCol w:w="601"/>
        <w:gridCol w:w="599"/>
        <w:gridCol w:w="601"/>
        <w:gridCol w:w="599"/>
        <w:gridCol w:w="601"/>
        <w:gridCol w:w="601"/>
        <w:gridCol w:w="758"/>
      </w:tblGrid>
      <w:tr w:rsidR="00CE1436" w:rsidRPr="00CE16D2" w14:paraId="3153282A" w14:textId="77777777" w:rsidTr="00444693">
        <w:trPr>
          <w:cantSplit/>
          <w:tblHeader/>
        </w:trPr>
        <w:tc>
          <w:tcPr>
            <w:tcW w:w="491" w:type="pct"/>
            <w:tcBorders>
              <w:top w:val="single" w:sz="4" w:space="0" w:color="auto"/>
              <w:bottom w:val="single" w:sz="4" w:space="0" w:color="auto"/>
            </w:tcBorders>
            <w:shd w:val="clear" w:color="auto" w:fill="5C2946"/>
          </w:tcPr>
          <w:p w14:paraId="43C877E8" w14:textId="77777777" w:rsidR="00CE1436" w:rsidRPr="00012C56" w:rsidRDefault="00CE1436" w:rsidP="00012C56">
            <w:pPr>
              <w:pStyle w:val="TableHead"/>
            </w:pPr>
            <w:r w:rsidRPr="00012C56">
              <w:t>Crop group</w:t>
            </w:r>
          </w:p>
        </w:tc>
        <w:tc>
          <w:tcPr>
            <w:tcW w:w="518" w:type="pct"/>
            <w:tcBorders>
              <w:top w:val="single" w:sz="4" w:space="0" w:color="auto"/>
              <w:bottom w:val="single" w:sz="4" w:space="0" w:color="auto"/>
            </w:tcBorders>
            <w:shd w:val="clear" w:color="auto" w:fill="5C2946"/>
          </w:tcPr>
          <w:p w14:paraId="7CACD4C5" w14:textId="77777777" w:rsidR="00CE1436" w:rsidRPr="00012C56" w:rsidRDefault="00CE1436" w:rsidP="00012C56">
            <w:pPr>
              <w:pStyle w:val="TableHead"/>
            </w:pPr>
            <w:r w:rsidRPr="00012C56">
              <w:t>Generic focal species</w:t>
            </w:r>
          </w:p>
        </w:tc>
        <w:tc>
          <w:tcPr>
            <w:tcW w:w="477" w:type="pct"/>
            <w:tcBorders>
              <w:top w:val="single" w:sz="4" w:space="0" w:color="auto"/>
              <w:bottom w:val="single" w:sz="4" w:space="0" w:color="auto"/>
            </w:tcBorders>
            <w:shd w:val="clear" w:color="auto" w:fill="5C2946"/>
          </w:tcPr>
          <w:p w14:paraId="0D6B9370" w14:textId="77777777" w:rsidR="00CE1436" w:rsidRPr="00012C56" w:rsidRDefault="00CE1436" w:rsidP="00012C56">
            <w:pPr>
              <w:pStyle w:val="TableHead"/>
            </w:pPr>
            <w:r w:rsidRPr="00012C56">
              <w:t>Crop stage</w:t>
            </w:r>
          </w:p>
        </w:tc>
        <w:tc>
          <w:tcPr>
            <w:tcW w:w="491" w:type="pct"/>
            <w:tcBorders>
              <w:top w:val="single" w:sz="4" w:space="0" w:color="auto"/>
              <w:bottom w:val="single" w:sz="4" w:space="0" w:color="auto"/>
            </w:tcBorders>
            <w:shd w:val="clear" w:color="auto" w:fill="5C2946"/>
          </w:tcPr>
          <w:p w14:paraId="7303EB8D" w14:textId="77777777" w:rsidR="00CE1436" w:rsidRPr="00012C56" w:rsidRDefault="00CE1436" w:rsidP="00012C56">
            <w:pPr>
              <w:pStyle w:val="TableHead"/>
            </w:pPr>
            <w:r w:rsidRPr="00012C56">
              <w:t>Exposure</w:t>
            </w:r>
          </w:p>
        </w:tc>
        <w:tc>
          <w:tcPr>
            <w:tcW w:w="449" w:type="pct"/>
            <w:tcBorders>
              <w:top w:val="single" w:sz="4" w:space="0" w:color="auto"/>
              <w:bottom w:val="single" w:sz="4" w:space="0" w:color="auto"/>
            </w:tcBorders>
            <w:shd w:val="clear" w:color="auto" w:fill="5C2946"/>
          </w:tcPr>
          <w:p w14:paraId="78708571" w14:textId="77777777" w:rsidR="00CE1436" w:rsidRDefault="00CE1436" w:rsidP="00012C56">
            <w:pPr>
              <w:pStyle w:val="TableHeadRight"/>
            </w:pPr>
            <w:r>
              <w:t>Shortcut value</w:t>
            </w:r>
          </w:p>
        </w:tc>
        <w:tc>
          <w:tcPr>
            <w:tcW w:w="311" w:type="pct"/>
            <w:tcBorders>
              <w:top w:val="single" w:sz="4" w:space="0" w:color="auto"/>
              <w:bottom w:val="single" w:sz="4" w:space="0" w:color="auto"/>
            </w:tcBorders>
            <w:shd w:val="clear" w:color="auto" w:fill="5C2946"/>
          </w:tcPr>
          <w:p w14:paraId="0FBC3EC2" w14:textId="77777777" w:rsidR="00CE1436" w:rsidRDefault="00CE1436" w:rsidP="00012C56">
            <w:pPr>
              <w:pStyle w:val="TableHeadRight"/>
            </w:pPr>
            <w:r>
              <w:t>AR</w:t>
            </w:r>
          </w:p>
        </w:tc>
        <w:tc>
          <w:tcPr>
            <w:tcW w:w="312" w:type="pct"/>
            <w:tcBorders>
              <w:top w:val="single" w:sz="4" w:space="0" w:color="auto"/>
              <w:bottom w:val="single" w:sz="4" w:space="0" w:color="auto"/>
            </w:tcBorders>
            <w:shd w:val="clear" w:color="auto" w:fill="5C2946"/>
          </w:tcPr>
          <w:p w14:paraId="43C051F2" w14:textId="77777777" w:rsidR="00CE1436" w:rsidRDefault="00CE1436" w:rsidP="00012C56">
            <w:pPr>
              <w:pStyle w:val="TableHeadRight"/>
            </w:pPr>
            <w:r>
              <w:t>MAF</w:t>
            </w:r>
          </w:p>
        </w:tc>
        <w:tc>
          <w:tcPr>
            <w:tcW w:w="311" w:type="pct"/>
            <w:tcBorders>
              <w:top w:val="single" w:sz="4" w:space="0" w:color="auto"/>
              <w:bottom w:val="single" w:sz="4" w:space="0" w:color="auto"/>
            </w:tcBorders>
            <w:shd w:val="clear" w:color="auto" w:fill="5C2946"/>
          </w:tcPr>
          <w:p w14:paraId="441496F7" w14:textId="77777777" w:rsidR="00CE1436" w:rsidRDefault="00CE1436" w:rsidP="00012C56">
            <w:pPr>
              <w:pStyle w:val="TableHeadRight"/>
            </w:pPr>
            <w:r>
              <w:t>PT</w:t>
            </w:r>
          </w:p>
        </w:tc>
        <w:tc>
          <w:tcPr>
            <w:tcW w:w="312" w:type="pct"/>
            <w:tcBorders>
              <w:top w:val="single" w:sz="4" w:space="0" w:color="auto"/>
              <w:bottom w:val="single" w:sz="4" w:space="0" w:color="auto"/>
            </w:tcBorders>
            <w:shd w:val="clear" w:color="auto" w:fill="5C2946"/>
          </w:tcPr>
          <w:p w14:paraId="64F06AB4" w14:textId="77777777" w:rsidR="00CE1436" w:rsidRDefault="00CE1436" w:rsidP="00012C56">
            <w:pPr>
              <w:pStyle w:val="TableHeadRight"/>
            </w:pPr>
            <w:r>
              <w:t>TWA</w:t>
            </w:r>
          </w:p>
        </w:tc>
        <w:tc>
          <w:tcPr>
            <w:tcW w:w="311" w:type="pct"/>
            <w:tcBorders>
              <w:top w:val="single" w:sz="4" w:space="0" w:color="auto"/>
              <w:bottom w:val="single" w:sz="4" w:space="0" w:color="auto"/>
            </w:tcBorders>
            <w:shd w:val="clear" w:color="auto" w:fill="5C2946"/>
          </w:tcPr>
          <w:p w14:paraId="763A6796" w14:textId="77777777" w:rsidR="00CE1436" w:rsidRDefault="00CE1436" w:rsidP="00012C56">
            <w:pPr>
              <w:pStyle w:val="TableHeadRight"/>
            </w:pPr>
            <w:r>
              <w:t>DDD</w:t>
            </w:r>
          </w:p>
        </w:tc>
        <w:tc>
          <w:tcPr>
            <w:tcW w:w="312" w:type="pct"/>
            <w:tcBorders>
              <w:top w:val="single" w:sz="4" w:space="0" w:color="auto"/>
              <w:bottom w:val="single" w:sz="4" w:space="0" w:color="auto"/>
            </w:tcBorders>
            <w:shd w:val="clear" w:color="auto" w:fill="5C2946"/>
          </w:tcPr>
          <w:p w14:paraId="39A4CA6C" w14:textId="77777777" w:rsidR="00CE1436" w:rsidRPr="00CE16D2" w:rsidRDefault="00CE1436" w:rsidP="00012C56">
            <w:pPr>
              <w:pStyle w:val="TableHeadRight"/>
            </w:pPr>
            <w:r>
              <w:t>RAL</w:t>
            </w:r>
          </w:p>
        </w:tc>
        <w:tc>
          <w:tcPr>
            <w:tcW w:w="312" w:type="pct"/>
            <w:tcBorders>
              <w:top w:val="single" w:sz="4" w:space="0" w:color="auto"/>
              <w:bottom w:val="single" w:sz="4" w:space="0" w:color="auto"/>
            </w:tcBorders>
            <w:shd w:val="clear" w:color="auto" w:fill="5C2946"/>
          </w:tcPr>
          <w:p w14:paraId="01F65E7D" w14:textId="77777777" w:rsidR="00CE1436" w:rsidRPr="00CE16D2" w:rsidRDefault="00CE1436" w:rsidP="00012C56">
            <w:pPr>
              <w:pStyle w:val="TableHeadRight"/>
            </w:pPr>
            <w:r>
              <w:t>RQ</w:t>
            </w:r>
          </w:p>
        </w:tc>
        <w:tc>
          <w:tcPr>
            <w:tcW w:w="393" w:type="pct"/>
            <w:tcBorders>
              <w:top w:val="single" w:sz="4" w:space="0" w:color="auto"/>
              <w:bottom w:val="single" w:sz="4" w:space="0" w:color="auto"/>
            </w:tcBorders>
            <w:shd w:val="clear" w:color="auto" w:fill="5C2946"/>
          </w:tcPr>
          <w:p w14:paraId="63939F4D" w14:textId="77777777" w:rsidR="00CE1436" w:rsidRPr="00CE16D2" w:rsidRDefault="00CE1436" w:rsidP="00012C56">
            <w:pPr>
              <w:pStyle w:val="TableHeadRight"/>
            </w:pPr>
            <w:r>
              <w:t>Max rate</w:t>
            </w:r>
          </w:p>
        </w:tc>
      </w:tr>
      <w:tr w:rsidR="00CE1436" w:rsidRPr="0027505E" w14:paraId="3D5B8084" w14:textId="77777777" w:rsidTr="00444693">
        <w:trPr>
          <w:cantSplit/>
          <w:trHeight w:val="13"/>
        </w:trPr>
        <w:tc>
          <w:tcPr>
            <w:tcW w:w="5000" w:type="pct"/>
            <w:gridSpan w:val="13"/>
            <w:tcBorders>
              <w:top w:val="single" w:sz="4" w:space="0" w:color="auto"/>
              <w:bottom w:val="single" w:sz="4" w:space="0" w:color="auto"/>
            </w:tcBorders>
          </w:tcPr>
          <w:p w14:paraId="5E389FE8" w14:textId="77777777" w:rsidR="00CE1436" w:rsidRPr="00AC06D7" w:rsidRDefault="00CE1436" w:rsidP="00AC06D7">
            <w:pPr>
              <w:pStyle w:val="TableSubHead0"/>
            </w:pPr>
            <w:r w:rsidRPr="00AC06D7">
              <w:t>General weed control in fallow (including minimal/full disturbance, and optical spot spraying), hops, market gardens, nurseries, row crops, potatoes (pre/early emergence), rice (pre/post sowing), vegetables</w:t>
            </w:r>
          </w:p>
        </w:tc>
      </w:tr>
      <w:tr w:rsidR="00CE1436" w:rsidRPr="00C3293F" w14:paraId="090652B4" w14:textId="77777777" w:rsidTr="00444693">
        <w:trPr>
          <w:cantSplit/>
          <w:trHeight w:val="13"/>
        </w:trPr>
        <w:tc>
          <w:tcPr>
            <w:tcW w:w="491" w:type="pct"/>
            <w:vMerge w:val="restart"/>
            <w:tcBorders>
              <w:top w:val="single" w:sz="4" w:space="0" w:color="auto"/>
              <w:bottom w:val="single" w:sz="4" w:space="0" w:color="auto"/>
            </w:tcBorders>
          </w:tcPr>
          <w:p w14:paraId="7A5E1DBE" w14:textId="77777777" w:rsidR="00CE1436" w:rsidRDefault="00CE1436" w:rsidP="00444693">
            <w:pPr>
              <w:pStyle w:val="TableText"/>
              <w:widowControl w:val="0"/>
              <w:suppressAutoHyphens w:val="0"/>
              <w:spacing w:before="0" w:after="0" w:line="240" w:lineRule="auto"/>
              <w:rPr>
                <w:szCs w:val="17"/>
              </w:rPr>
            </w:pPr>
            <w:r>
              <w:rPr>
                <w:szCs w:val="17"/>
              </w:rPr>
              <w:t>Bare soil</w:t>
            </w:r>
          </w:p>
        </w:tc>
        <w:tc>
          <w:tcPr>
            <w:tcW w:w="518" w:type="pct"/>
            <w:vMerge w:val="restart"/>
            <w:tcBorders>
              <w:top w:val="single" w:sz="4" w:space="0" w:color="auto"/>
              <w:bottom w:val="single" w:sz="4" w:space="0" w:color="auto"/>
            </w:tcBorders>
          </w:tcPr>
          <w:p w14:paraId="07A80168" w14:textId="77777777" w:rsidR="00CE1436" w:rsidRDefault="00CE1436" w:rsidP="00444693">
            <w:pPr>
              <w:pStyle w:val="TableText"/>
              <w:widowControl w:val="0"/>
              <w:suppressAutoHyphens w:val="0"/>
              <w:spacing w:before="0" w:after="0" w:line="240" w:lineRule="auto"/>
              <w:rPr>
                <w:szCs w:val="17"/>
              </w:rPr>
            </w:pPr>
            <w:r>
              <w:rPr>
                <w:szCs w:val="17"/>
              </w:rPr>
              <w:t>Small omnivore</w:t>
            </w:r>
          </w:p>
        </w:tc>
        <w:tc>
          <w:tcPr>
            <w:tcW w:w="477" w:type="pct"/>
            <w:vMerge w:val="restart"/>
            <w:tcBorders>
              <w:top w:val="single" w:sz="4" w:space="0" w:color="auto"/>
              <w:bottom w:val="single" w:sz="4" w:space="0" w:color="auto"/>
            </w:tcBorders>
          </w:tcPr>
          <w:p w14:paraId="534A9E2A" w14:textId="77777777" w:rsidR="00CE1436" w:rsidRDefault="00CE1436" w:rsidP="00444693">
            <w:pPr>
              <w:pStyle w:val="TableText"/>
              <w:widowControl w:val="0"/>
              <w:suppressAutoHyphens w:val="0"/>
              <w:spacing w:before="0" w:after="0" w:line="240" w:lineRule="auto"/>
              <w:rPr>
                <w:szCs w:val="17"/>
              </w:rPr>
            </w:pPr>
            <w:r>
              <w:rPr>
                <w:szCs w:val="17"/>
              </w:rPr>
              <w:t>BBCH &lt;10</w:t>
            </w:r>
          </w:p>
        </w:tc>
        <w:tc>
          <w:tcPr>
            <w:tcW w:w="491" w:type="pct"/>
            <w:tcBorders>
              <w:top w:val="single" w:sz="4" w:space="0" w:color="auto"/>
            </w:tcBorders>
          </w:tcPr>
          <w:p w14:paraId="70A2919D" w14:textId="77777777" w:rsidR="00CE1436" w:rsidRDefault="00CE1436" w:rsidP="00444693">
            <w:pPr>
              <w:pStyle w:val="TableText"/>
              <w:widowControl w:val="0"/>
              <w:suppressAutoHyphens w:val="0"/>
              <w:spacing w:before="0" w:after="0" w:line="240" w:lineRule="auto"/>
              <w:jc w:val="center"/>
              <w:rPr>
                <w:szCs w:val="17"/>
              </w:rPr>
            </w:pPr>
            <w:r>
              <w:rPr>
                <w:szCs w:val="17"/>
              </w:rPr>
              <w:t>Acute</w:t>
            </w:r>
          </w:p>
        </w:tc>
        <w:tc>
          <w:tcPr>
            <w:tcW w:w="449" w:type="pct"/>
            <w:tcBorders>
              <w:top w:val="single" w:sz="4" w:space="0" w:color="auto"/>
            </w:tcBorders>
          </w:tcPr>
          <w:p w14:paraId="27B92481"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Borders>
              <w:top w:val="single" w:sz="4" w:space="0" w:color="auto"/>
            </w:tcBorders>
          </w:tcPr>
          <w:p w14:paraId="04BA3512" w14:textId="77777777" w:rsidR="00CE1436" w:rsidRDefault="00CE1436" w:rsidP="00444693">
            <w:pPr>
              <w:pStyle w:val="TableText"/>
              <w:widowControl w:val="0"/>
              <w:suppressAutoHyphens w:val="0"/>
              <w:spacing w:before="0" w:after="0" w:line="240" w:lineRule="auto"/>
              <w:jc w:val="center"/>
              <w:rPr>
                <w:szCs w:val="17"/>
              </w:rPr>
            </w:pPr>
            <w:r>
              <w:rPr>
                <w:szCs w:val="17"/>
              </w:rPr>
              <w:t>1505</w:t>
            </w:r>
          </w:p>
        </w:tc>
        <w:tc>
          <w:tcPr>
            <w:tcW w:w="312" w:type="pct"/>
            <w:tcBorders>
              <w:top w:val="single" w:sz="4" w:space="0" w:color="auto"/>
            </w:tcBorders>
          </w:tcPr>
          <w:p w14:paraId="76929C9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Borders>
              <w:top w:val="single" w:sz="4" w:space="0" w:color="auto"/>
            </w:tcBorders>
          </w:tcPr>
          <w:p w14:paraId="718E881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0408244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Borders>
              <w:top w:val="single" w:sz="4" w:space="0" w:color="auto"/>
            </w:tcBorders>
            <w:vAlign w:val="center"/>
          </w:tcPr>
          <w:p w14:paraId="4764F27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22</w:t>
            </w:r>
          </w:p>
        </w:tc>
        <w:tc>
          <w:tcPr>
            <w:tcW w:w="312" w:type="pct"/>
            <w:tcBorders>
              <w:top w:val="single" w:sz="4" w:space="0" w:color="auto"/>
            </w:tcBorders>
            <w:vAlign w:val="center"/>
          </w:tcPr>
          <w:p w14:paraId="06B59E70"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008BE9CF"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3.5</w:t>
            </w:r>
          </w:p>
        </w:tc>
        <w:tc>
          <w:tcPr>
            <w:tcW w:w="393" w:type="pct"/>
            <w:tcBorders>
              <w:top w:val="single" w:sz="4" w:space="0" w:color="auto"/>
            </w:tcBorders>
            <w:vAlign w:val="center"/>
          </w:tcPr>
          <w:p w14:paraId="129569BE"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17C0BD69" w14:textId="77777777" w:rsidTr="00444693">
        <w:trPr>
          <w:cantSplit/>
          <w:trHeight w:val="13"/>
        </w:trPr>
        <w:tc>
          <w:tcPr>
            <w:tcW w:w="491" w:type="pct"/>
            <w:vMerge/>
            <w:tcBorders>
              <w:bottom w:val="single" w:sz="4" w:space="0" w:color="auto"/>
            </w:tcBorders>
          </w:tcPr>
          <w:p w14:paraId="529F769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A95E4C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3765499" w14:textId="77777777" w:rsidR="00CE1436" w:rsidRDefault="00CE1436" w:rsidP="00444693">
            <w:pPr>
              <w:pStyle w:val="TableText"/>
              <w:widowControl w:val="0"/>
              <w:suppressAutoHyphens w:val="0"/>
              <w:spacing w:before="0" w:after="0" w:line="240" w:lineRule="auto"/>
              <w:rPr>
                <w:szCs w:val="17"/>
              </w:rPr>
            </w:pPr>
          </w:p>
        </w:tc>
        <w:tc>
          <w:tcPr>
            <w:tcW w:w="491" w:type="pct"/>
          </w:tcPr>
          <w:p w14:paraId="1D98552A"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7807EF2A"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636F2653" w14:textId="77777777" w:rsidR="00CE1436" w:rsidRDefault="00CE1436" w:rsidP="00444693">
            <w:pPr>
              <w:pStyle w:val="TableText"/>
              <w:widowControl w:val="0"/>
              <w:suppressAutoHyphens w:val="0"/>
              <w:spacing w:before="0" w:after="0" w:line="240" w:lineRule="auto"/>
              <w:jc w:val="center"/>
              <w:rPr>
                <w:szCs w:val="17"/>
              </w:rPr>
            </w:pPr>
            <w:r>
              <w:rPr>
                <w:szCs w:val="17"/>
              </w:rPr>
              <w:t>675</w:t>
            </w:r>
          </w:p>
        </w:tc>
        <w:tc>
          <w:tcPr>
            <w:tcW w:w="312" w:type="pct"/>
          </w:tcPr>
          <w:p w14:paraId="3A1E38F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347C040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4B3E93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5505FCC7" w14:textId="77777777" w:rsidR="00CE1436" w:rsidRPr="003B78B6" w:rsidRDefault="00CE1436" w:rsidP="00444693">
            <w:pPr>
              <w:pStyle w:val="TableText"/>
              <w:widowControl w:val="0"/>
              <w:suppressAutoHyphens w:val="0"/>
              <w:spacing w:before="0" w:after="0" w:line="240" w:lineRule="auto"/>
              <w:jc w:val="center"/>
            </w:pPr>
            <w:r>
              <w:rPr>
                <w:color w:val="1A1B1A"/>
                <w:szCs w:val="17"/>
              </w:rPr>
              <w:t>9.7</w:t>
            </w:r>
          </w:p>
        </w:tc>
        <w:tc>
          <w:tcPr>
            <w:tcW w:w="312" w:type="pct"/>
            <w:vAlign w:val="center"/>
          </w:tcPr>
          <w:p w14:paraId="61BF416C"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013DB1F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93" w:type="pct"/>
            <w:vAlign w:val="center"/>
          </w:tcPr>
          <w:p w14:paraId="36E20403"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C3293F" w14:paraId="181896C2" w14:textId="77777777" w:rsidTr="00444693">
        <w:trPr>
          <w:cantSplit/>
          <w:trHeight w:val="13"/>
        </w:trPr>
        <w:tc>
          <w:tcPr>
            <w:tcW w:w="491" w:type="pct"/>
            <w:vMerge/>
            <w:tcBorders>
              <w:bottom w:val="single" w:sz="4" w:space="0" w:color="auto"/>
            </w:tcBorders>
          </w:tcPr>
          <w:p w14:paraId="582F2DA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4F8191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CE77FFD" w14:textId="77777777" w:rsidR="00CE1436" w:rsidRDefault="00CE1436" w:rsidP="00444693">
            <w:pPr>
              <w:pStyle w:val="TableText"/>
              <w:widowControl w:val="0"/>
              <w:suppressAutoHyphens w:val="0"/>
              <w:spacing w:before="0" w:after="0" w:line="240" w:lineRule="auto"/>
              <w:rPr>
                <w:szCs w:val="17"/>
              </w:rPr>
            </w:pPr>
          </w:p>
        </w:tc>
        <w:tc>
          <w:tcPr>
            <w:tcW w:w="491" w:type="pct"/>
          </w:tcPr>
          <w:p w14:paraId="3825F7AF"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239BC832"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2A5BF4EA" w14:textId="77777777" w:rsidR="00CE1436" w:rsidRDefault="00CE1436" w:rsidP="00444693">
            <w:pPr>
              <w:pStyle w:val="TableText"/>
              <w:widowControl w:val="0"/>
              <w:suppressAutoHyphens w:val="0"/>
              <w:spacing w:before="0" w:after="0" w:line="240" w:lineRule="auto"/>
              <w:jc w:val="center"/>
              <w:rPr>
                <w:szCs w:val="17"/>
              </w:rPr>
            </w:pPr>
            <w:r>
              <w:rPr>
                <w:szCs w:val="17"/>
              </w:rPr>
              <w:t>600</w:t>
            </w:r>
          </w:p>
        </w:tc>
        <w:tc>
          <w:tcPr>
            <w:tcW w:w="312" w:type="pct"/>
          </w:tcPr>
          <w:p w14:paraId="24CF8B2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491B12D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EAEA59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7D1433E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8.6</w:t>
            </w:r>
          </w:p>
        </w:tc>
        <w:tc>
          <w:tcPr>
            <w:tcW w:w="312" w:type="pct"/>
            <w:vAlign w:val="center"/>
          </w:tcPr>
          <w:p w14:paraId="0B1803C8"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3355C1A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7BF2439B"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1B4FFF8D" w14:textId="77777777" w:rsidTr="00444693">
        <w:trPr>
          <w:cantSplit/>
          <w:trHeight w:val="13"/>
        </w:trPr>
        <w:tc>
          <w:tcPr>
            <w:tcW w:w="491" w:type="pct"/>
            <w:vMerge/>
            <w:tcBorders>
              <w:bottom w:val="single" w:sz="4" w:space="0" w:color="auto"/>
            </w:tcBorders>
          </w:tcPr>
          <w:p w14:paraId="025C574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B8D57F3"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873C33E" w14:textId="77777777" w:rsidR="00CE1436" w:rsidRDefault="00CE1436" w:rsidP="00444693">
            <w:pPr>
              <w:pStyle w:val="TableText"/>
              <w:widowControl w:val="0"/>
              <w:suppressAutoHyphens w:val="0"/>
              <w:spacing w:before="0" w:after="0" w:line="240" w:lineRule="auto"/>
              <w:rPr>
                <w:szCs w:val="17"/>
              </w:rPr>
            </w:pPr>
          </w:p>
        </w:tc>
        <w:tc>
          <w:tcPr>
            <w:tcW w:w="491" w:type="pct"/>
          </w:tcPr>
          <w:p w14:paraId="3C161AAF"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370A7A66"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28067831" w14:textId="77777777" w:rsidR="00CE1436" w:rsidRDefault="00CE1436" w:rsidP="00444693">
            <w:pPr>
              <w:pStyle w:val="TableText"/>
              <w:widowControl w:val="0"/>
              <w:suppressAutoHyphens w:val="0"/>
              <w:spacing w:before="0" w:after="0" w:line="240" w:lineRule="auto"/>
              <w:jc w:val="center"/>
              <w:rPr>
                <w:szCs w:val="17"/>
              </w:rPr>
            </w:pPr>
            <w:r>
              <w:rPr>
                <w:szCs w:val="17"/>
              </w:rPr>
              <w:t>595</w:t>
            </w:r>
          </w:p>
        </w:tc>
        <w:tc>
          <w:tcPr>
            <w:tcW w:w="312" w:type="pct"/>
          </w:tcPr>
          <w:p w14:paraId="1B3DC12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2B2898D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F7D34F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1166E4E5" w14:textId="77777777" w:rsidR="00CE1436" w:rsidRPr="003B78B6" w:rsidRDefault="00CE1436" w:rsidP="00444693">
            <w:pPr>
              <w:pStyle w:val="TableText"/>
              <w:widowControl w:val="0"/>
              <w:suppressAutoHyphens w:val="0"/>
              <w:spacing w:before="0" w:after="0" w:line="240" w:lineRule="auto"/>
              <w:jc w:val="center"/>
            </w:pPr>
            <w:r>
              <w:rPr>
                <w:color w:val="1A1B1A"/>
                <w:szCs w:val="17"/>
              </w:rPr>
              <w:t>8.5</w:t>
            </w:r>
          </w:p>
        </w:tc>
        <w:tc>
          <w:tcPr>
            <w:tcW w:w="312" w:type="pct"/>
            <w:vAlign w:val="center"/>
          </w:tcPr>
          <w:p w14:paraId="3367D8E5"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31F8896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26BC27CF"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30EB3EBA" w14:textId="77777777" w:rsidTr="00444693">
        <w:trPr>
          <w:cantSplit/>
          <w:trHeight w:val="13"/>
        </w:trPr>
        <w:tc>
          <w:tcPr>
            <w:tcW w:w="491" w:type="pct"/>
            <w:vMerge/>
            <w:tcBorders>
              <w:bottom w:val="single" w:sz="4" w:space="0" w:color="auto"/>
            </w:tcBorders>
          </w:tcPr>
          <w:p w14:paraId="670B856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009E80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7176168" w14:textId="77777777" w:rsidR="00CE1436" w:rsidRDefault="00CE1436" w:rsidP="00444693">
            <w:pPr>
              <w:pStyle w:val="TableText"/>
              <w:widowControl w:val="0"/>
              <w:suppressAutoHyphens w:val="0"/>
              <w:spacing w:before="0" w:after="0" w:line="240" w:lineRule="auto"/>
              <w:rPr>
                <w:szCs w:val="17"/>
              </w:rPr>
            </w:pPr>
          </w:p>
        </w:tc>
        <w:tc>
          <w:tcPr>
            <w:tcW w:w="491" w:type="pct"/>
          </w:tcPr>
          <w:p w14:paraId="3700BF34"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32B4015D"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3EA50D99" w14:textId="77777777" w:rsidR="00CE1436" w:rsidRDefault="00CE1436" w:rsidP="00444693">
            <w:pPr>
              <w:pStyle w:val="TableText"/>
              <w:widowControl w:val="0"/>
              <w:suppressAutoHyphens w:val="0"/>
              <w:spacing w:before="0" w:after="0" w:line="240" w:lineRule="auto"/>
              <w:jc w:val="center"/>
              <w:rPr>
                <w:szCs w:val="17"/>
              </w:rPr>
            </w:pPr>
            <w:r>
              <w:rPr>
                <w:szCs w:val="17"/>
              </w:rPr>
              <w:t>525</w:t>
            </w:r>
          </w:p>
        </w:tc>
        <w:tc>
          <w:tcPr>
            <w:tcW w:w="312" w:type="pct"/>
          </w:tcPr>
          <w:p w14:paraId="5D0784F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485D90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DE3590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35DA3A14" w14:textId="77777777" w:rsidR="00CE1436" w:rsidRPr="003B78B6" w:rsidRDefault="00CE1436" w:rsidP="00444693">
            <w:pPr>
              <w:pStyle w:val="TableText"/>
              <w:widowControl w:val="0"/>
              <w:suppressAutoHyphens w:val="0"/>
              <w:spacing w:before="0" w:after="0" w:line="240" w:lineRule="auto"/>
              <w:jc w:val="center"/>
            </w:pPr>
            <w:r>
              <w:rPr>
                <w:color w:val="1A1B1A"/>
                <w:szCs w:val="17"/>
              </w:rPr>
              <w:t>7.5</w:t>
            </w:r>
          </w:p>
        </w:tc>
        <w:tc>
          <w:tcPr>
            <w:tcW w:w="312" w:type="pct"/>
            <w:vAlign w:val="center"/>
          </w:tcPr>
          <w:p w14:paraId="0FF2EC62"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75631A4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75F41C36"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17419F6F" w14:textId="77777777" w:rsidTr="00444693">
        <w:trPr>
          <w:cantSplit/>
          <w:trHeight w:val="13"/>
        </w:trPr>
        <w:tc>
          <w:tcPr>
            <w:tcW w:w="491" w:type="pct"/>
            <w:vMerge/>
            <w:tcBorders>
              <w:bottom w:val="single" w:sz="4" w:space="0" w:color="auto"/>
            </w:tcBorders>
          </w:tcPr>
          <w:p w14:paraId="4BD229D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89B961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3D8BACD" w14:textId="77777777" w:rsidR="00CE1436" w:rsidRDefault="00CE1436" w:rsidP="00444693">
            <w:pPr>
              <w:pStyle w:val="TableText"/>
              <w:widowControl w:val="0"/>
              <w:suppressAutoHyphens w:val="0"/>
              <w:spacing w:before="0" w:after="0" w:line="240" w:lineRule="auto"/>
              <w:rPr>
                <w:szCs w:val="17"/>
              </w:rPr>
            </w:pPr>
          </w:p>
        </w:tc>
        <w:tc>
          <w:tcPr>
            <w:tcW w:w="491" w:type="pct"/>
          </w:tcPr>
          <w:p w14:paraId="0C834642"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232B0827"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44E48028" w14:textId="77777777" w:rsidR="00CE1436" w:rsidRDefault="00CE1436" w:rsidP="00444693">
            <w:pPr>
              <w:pStyle w:val="TableText"/>
              <w:widowControl w:val="0"/>
              <w:suppressAutoHyphens w:val="0"/>
              <w:spacing w:before="0" w:after="0" w:line="240" w:lineRule="auto"/>
              <w:jc w:val="center"/>
              <w:rPr>
                <w:szCs w:val="17"/>
              </w:rPr>
            </w:pPr>
            <w:r>
              <w:rPr>
                <w:szCs w:val="17"/>
              </w:rPr>
              <w:t>510</w:t>
            </w:r>
          </w:p>
        </w:tc>
        <w:tc>
          <w:tcPr>
            <w:tcW w:w="312" w:type="pct"/>
          </w:tcPr>
          <w:p w14:paraId="0D155D0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79E3E2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CC3B7A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5B6A9A07" w14:textId="77777777" w:rsidR="00CE1436" w:rsidRPr="003B78B6" w:rsidRDefault="00CE1436" w:rsidP="00444693">
            <w:pPr>
              <w:pStyle w:val="TableText"/>
              <w:widowControl w:val="0"/>
              <w:suppressAutoHyphens w:val="0"/>
              <w:spacing w:before="0" w:after="0" w:line="240" w:lineRule="auto"/>
              <w:jc w:val="center"/>
            </w:pPr>
            <w:r>
              <w:rPr>
                <w:color w:val="1A1B1A"/>
                <w:szCs w:val="17"/>
              </w:rPr>
              <w:t>7.3</w:t>
            </w:r>
          </w:p>
        </w:tc>
        <w:tc>
          <w:tcPr>
            <w:tcW w:w="312" w:type="pct"/>
            <w:vAlign w:val="center"/>
          </w:tcPr>
          <w:p w14:paraId="23A3D623"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5F5ABD2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3717631A"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C3293F" w14:paraId="450FB85B" w14:textId="77777777" w:rsidTr="00444693">
        <w:trPr>
          <w:cantSplit/>
          <w:trHeight w:val="13"/>
        </w:trPr>
        <w:tc>
          <w:tcPr>
            <w:tcW w:w="491" w:type="pct"/>
            <w:vMerge/>
            <w:tcBorders>
              <w:bottom w:val="single" w:sz="4" w:space="0" w:color="auto"/>
            </w:tcBorders>
          </w:tcPr>
          <w:p w14:paraId="4B8E27A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793688A"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D1E452E" w14:textId="77777777" w:rsidR="00CE1436" w:rsidRDefault="00CE1436" w:rsidP="00444693">
            <w:pPr>
              <w:pStyle w:val="TableText"/>
              <w:widowControl w:val="0"/>
              <w:suppressAutoHyphens w:val="0"/>
              <w:spacing w:before="0" w:after="0" w:line="240" w:lineRule="auto"/>
              <w:rPr>
                <w:szCs w:val="17"/>
              </w:rPr>
            </w:pPr>
          </w:p>
        </w:tc>
        <w:tc>
          <w:tcPr>
            <w:tcW w:w="491" w:type="pct"/>
          </w:tcPr>
          <w:p w14:paraId="6D50E7C0"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53D79C1F"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118D3658" w14:textId="77777777" w:rsidR="00CE1436" w:rsidRDefault="00CE1436" w:rsidP="00444693">
            <w:pPr>
              <w:pStyle w:val="TableText"/>
              <w:widowControl w:val="0"/>
              <w:suppressAutoHyphens w:val="0"/>
              <w:spacing w:before="0" w:after="0" w:line="240" w:lineRule="auto"/>
              <w:jc w:val="center"/>
              <w:rPr>
                <w:szCs w:val="17"/>
              </w:rPr>
            </w:pPr>
            <w:r>
              <w:rPr>
                <w:szCs w:val="17"/>
              </w:rPr>
              <w:t>504</w:t>
            </w:r>
          </w:p>
        </w:tc>
        <w:tc>
          <w:tcPr>
            <w:tcW w:w="312" w:type="pct"/>
          </w:tcPr>
          <w:p w14:paraId="716A82B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1E25A1E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4C0619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036D062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7.2</w:t>
            </w:r>
          </w:p>
        </w:tc>
        <w:tc>
          <w:tcPr>
            <w:tcW w:w="312" w:type="pct"/>
            <w:vAlign w:val="center"/>
          </w:tcPr>
          <w:p w14:paraId="089191EF"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5398452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13A1E660"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73D70AD3" w14:textId="77777777" w:rsidTr="00444693">
        <w:trPr>
          <w:cantSplit/>
          <w:trHeight w:val="13"/>
        </w:trPr>
        <w:tc>
          <w:tcPr>
            <w:tcW w:w="491" w:type="pct"/>
            <w:vMerge/>
            <w:tcBorders>
              <w:bottom w:val="single" w:sz="4" w:space="0" w:color="auto"/>
            </w:tcBorders>
          </w:tcPr>
          <w:p w14:paraId="07205FD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0097A5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6A76780" w14:textId="77777777" w:rsidR="00CE1436" w:rsidRDefault="00CE1436" w:rsidP="00444693">
            <w:pPr>
              <w:pStyle w:val="TableText"/>
              <w:widowControl w:val="0"/>
              <w:suppressAutoHyphens w:val="0"/>
              <w:spacing w:before="0" w:after="0" w:line="240" w:lineRule="auto"/>
              <w:rPr>
                <w:szCs w:val="17"/>
              </w:rPr>
            </w:pPr>
          </w:p>
        </w:tc>
        <w:tc>
          <w:tcPr>
            <w:tcW w:w="491" w:type="pct"/>
          </w:tcPr>
          <w:p w14:paraId="5F3A51B2"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5B5D0A00"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1B557EB0" w14:textId="77777777" w:rsidR="00CE1436" w:rsidRDefault="00CE1436" w:rsidP="00444693">
            <w:pPr>
              <w:pStyle w:val="TableText"/>
              <w:widowControl w:val="0"/>
              <w:suppressAutoHyphens w:val="0"/>
              <w:spacing w:before="0" w:after="0" w:line="240" w:lineRule="auto"/>
              <w:jc w:val="center"/>
              <w:rPr>
                <w:szCs w:val="17"/>
              </w:rPr>
            </w:pPr>
            <w:r>
              <w:rPr>
                <w:szCs w:val="17"/>
              </w:rPr>
              <w:t>500</w:t>
            </w:r>
          </w:p>
        </w:tc>
        <w:tc>
          <w:tcPr>
            <w:tcW w:w="312" w:type="pct"/>
          </w:tcPr>
          <w:p w14:paraId="39E9F3D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5F3D3B8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B21868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6031E23F" w14:textId="77777777" w:rsidR="00CE1436" w:rsidRPr="003B78B6" w:rsidRDefault="00CE1436" w:rsidP="00444693">
            <w:pPr>
              <w:pStyle w:val="TableText"/>
              <w:widowControl w:val="0"/>
              <w:suppressAutoHyphens w:val="0"/>
              <w:spacing w:before="0" w:after="0" w:line="240" w:lineRule="auto"/>
              <w:jc w:val="center"/>
            </w:pPr>
            <w:r>
              <w:rPr>
                <w:color w:val="1A1B1A"/>
                <w:szCs w:val="17"/>
              </w:rPr>
              <w:t>7.2</w:t>
            </w:r>
          </w:p>
        </w:tc>
        <w:tc>
          <w:tcPr>
            <w:tcW w:w="312" w:type="pct"/>
            <w:vAlign w:val="center"/>
          </w:tcPr>
          <w:p w14:paraId="74C16D7D"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3B92561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77FE5A31"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6A13B633" w14:textId="77777777" w:rsidTr="00444693">
        <w:trPr>
          <w:cantSplit/>
          <w:trHeight w:val="13"/>
        </w:trPr>
        <w:tc>
          <w:tcPr>
            <w:tcW w:w="491" w:type="pct"/>
            <w:vMerge/>
            <w:tcBorders>
              <w:bottom w:val="single" w:sz="4" w:space="0" w:color="auto"/>
            </w:tcBorders>
          </w:tcPr>
          <w:p w14:paraId="1BC738C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4D9714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4DB5B80" w14:textId="77777777" w:rsidR="00CE1436" w:rsidRDefault="00CE1436" w:rsidP="00444693">
            <w:pPr>
              <w:pStyle w:val="TableText"/>
              <w:widowControl w:val="0"/>
              <w:suppressAutoHyphens w:val="0"/>
              <w:spacing w:before="0" w:after="0" w:line="240" w:lineRule="auto"/>
              <w:rPr>
                <w:szCs w:val="17"/>
              </w:rPr>
            </w:pPr>
          </w:p>
        </w:tc>
        <w:tc>
          <w:tcPr>
            <w:tcW w:w="491" w:type="pct"/>
          </w:tcPr>
          <w:p w14:paraId="4E522BDE"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4169D2D8"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13CA713A" w14:textId="77777777" w:rsidR="00CE1436" w:rsidRDefault="00CE1436" w:rsidP="00444693">
            <w:pPr>
              <w:pStyle w:val="TableText"/>
              <w:widowControl w:val="0"/>
              <w:suppressAutoHyphens w:val="0"/>
              <w:spacing w:before="0" w:after="0" w:line="240" w:lineRule="auto"/>
              <w:jc w:val="center"/>
              <w:rPr>
                <w:szCs w:val="17"/>
              </w:rPr>
            </w:pPr>
            <w:r>
              <w:rPr>
                <w:szCs w:val="17"/>
              </w:rPr>
              <w:t>450</w:t>
            </w:r>
          </w:p>
        </w:tc>
        <w:tc>
          <w:tcPr>
            <w:tcW w:w="312" w:type="pct"/>
          </w:tcPr>
          <w:p w14:paraId="58667FD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6F43E0D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A1510E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3536AA10" w14:textId="77777777" w:rsidR="00CE1436" w:rsidRPr="003B78B6" w:rsidRDefault="00CE1436" w:rsidP="00444693">
            <w:pPr>
              <w:pStyle w:val="TableText"/>
              <w:widowControl w:val="0"/>
              <w:suppressAutoHyphens w:val="0"/>
              <w:spacing w:before="0" w:after="0" w:line="240" w:lineRule="auto"/>
              <w:jc w:val="center"/>
            </w:pPr>
            <w:r>
              <w:rPr>
                <w:color w:val="1A1B1A"/>
                <w:szCs w:val="17"/>
              </w:rPr>
              <w:t>6.4</w:t>
            </w:r>
          </w:p>
        </w:tc>
        <w:tc>
          <w:tcPr>
            <w:tcW w:w="312" w:type="pct"/>
            <w:vAlign w:val="center"/>
          </w:tcPr>
          <w:p w14:paraId="0D27057A"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2D09CEBF"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6C4D3C6B"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C3293F" w14:paraId="7DD1FC77" w14:textId="77777777" w:rsidTr="00444693">
        <w:trPr>
          <w:cantSplit/>
          <w:trHeight w:val="13"/>
        </w:trPr>
        <w:tc>
          <w:tcPr>
            <w:tcW w:w="491" w:type="pct"/>
            <w:vMerge/>
            <w:tcBorders>
              <w:bottom w:val="single" w:sz="4" w:space="0" w:color="auto"/>
            </w:tcBorders>
          </w:tcPr>
          <w:p w14:paraId="1141C0E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29354B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9259353" w14:textId="77777777" w:rsidR="00CE1436" w:rsidRDefault="00CE1436" w:rsidP="00444693">
            <w:pPr>
              <w:pStyle w:val="TableText"/>
              <w:widowControl w:val="0"/>
              <w:suppressAutoHyphens w:val="0"/>
              <w:spacing w:before="0" w:after="0" w:line="240" w:lineRule="auto"/>
              <w:rPr>
                <w:szCs w:val="17"/>
              </w:rPr>
            </w:pPr>
          </w:p>
        </w:tc>
        <w:tc>
          <w:tcPr>
            <w:tcW w:w="491" w:type="pct"/>
          </w:tcPr>
          <w:p w14:paraId="01919C64"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4A295582"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2EC24A60"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shd w:val="clear" w:color="auto" w:fill="D5D7D5" w:themeFill="text1" w:themeFillTint="33"/>
          </w:tcPr>
          <w:p w14:paraId="6EAC0443" w14:textId="77777777" w:rsidR="00CE1436" w:rsidRDefault="00CE1436" w:rsidP="00444693">
            <w:pPr>
              <w:pStyle w:val="TableText"/>
              <w:widowControl w:val="0"/>
              <w:suppressAutoHyphens w:val="0"/>
              <w:spacing w:before="0" w:after="0" w:line="240" w:lineRule="auto"/>
              <w:jc w:val="center"/>
              <w:rPr>
                <w:szCs w:val="17"/>
              </w:rPr>
            </w:pPr>
            <w:r>
              <w:rPr>
                <w:szCs w:val="17"/>
              </w:rPr>
              <w:t>1.48</w:t>
            </w:r>
            <w:r w:rsidRPr="00DA6F86">
              <w:rPr>
                <w:szCs w:val="17"/>
                <w:vertAlign w:val="superscript"/>
              </w:rPr>
              <w:t>d</w:t>
            </w:r>
          </w:p>
        </w:tc>
        <w:tc>
          <w:tcPr>
            <w:tcW w:w="311" w:type="pct"/>
          </w:tcPr>
          <w:p w14:paraId="582C71C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C16C23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5026157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9.1</w:t>
            </w:r>
          </w:p>
        </w:tc>
        <w:tc>
          <w:tcPr>
            <w:tcW w:w="312" w:type="pct"/>
            <w:vAlign w:val="center"/>
          </w:tcPr>
          <w:p w14:paraId="601273BC"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3EEED6A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93" w:type="pct"/>
            <w:vAlign w:val="center"/>
          </w:tcPr>
          <w:p w14:paraId="6BAD98F6" w14:textId="77777777" w:rsidR="00CE1436" w:rsidRPr="00C3293F" w:rsidRDefault="00CE1436" w:rsidP="00444693">
            <w:pPr>
              <w:pStyle w:val="TableText"/>
              <w:widowControl w:val="0"/>
              <w:suppressAutoHyphens w:val="0"/>
              <w:spacing w:before="0" w:after="0" w:line="240" w:lineRule="auto"/>
              <w:jc w:val="center"/>
            </w:pPr>
            <w:r>
              <w:rPr>
                <w:color w:val="1A1B1A"/>
                <w:szCs w:val="17"/>
              </w:rPr>
              <w:t>288</w:t>
            </w:r>
          </w:p>
        </w:tc>
      </w:tr>
      <w:tr w:rsidR="00CE1436" w:rsidRPr="00C3293F" w14:paraId="779D75E1" w14:textId="77777777" w:rsidTr="00444693">
        <w:trPr>
          <w:cantSplit/>
          <w:trHeight w:val="13"/>
        </w:trPr>
        <w:tc>
          <w:tcPr>
            <w:tcW w:w="491" w:type="pct"/>
            <w:vMerge/>
            <w:tcBorders>
              <w:bottom w:val="single" w:sz="4" w:space="0" w:color="auto"/>
            </w:tcBorders>
          </w:tcPr>
          <w:p w14:paraId="7BCF5F0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D7DB53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A9DA379" w14:textId="77777777" w:rsidR="00CE1436" w:rsidRDefault="00CE1436" w:rsidP="00444693">
            <w:pPr>
              <w:pStyle w:val="TableText"/>
              <w:widowControl w:val="0"/>
              <w:suppressAutoHyphens w:val="0"/>
              <w:spacing w:before="0" w:after="0" w:line="240" w:lineRule="auto"/>
              <w:rPr>
                <w:szCs w:val="17"/>
              </w:rPr>
            </w:pPr>
          </w:p>
        </w:tc>
        <w:tc>
          <w:tcPr>
            <w:tcW w:w="491" w:type="pct"/>
          </w:tcPr>
          <w:p w14:paraId="4C951E0A"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0FAE519C"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2D7D7755"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tcPr>
          <w:p w14:paraId="4157D16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6109D20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0CB66C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2632D36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6.2</w:t>
            </w:r>
          </w:p>
        </w:tc>
        <w:tc>
          <w:tcPr>
            <w:tcW w:w="312" w:type="pct"/>
            <w:vAlign w:val="center"/>
          </w:tcPr>
          <w:p w14:paraId="06E43072"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7B2330B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1.0</w:t>
            </w:r>
          </w:p>
        </w:tc>
        <w:tc>
          <w:tcPr>
            <w:tcW w:w="393" w:type="pct"/>
            <w:vAlign w:val="center"/>
          </w:tcPr>
          <w:p w14:paraId="1011029A"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C3293F" w14:paraId="437F77C4" w14:textId="77777777" w:rsidTr="00444693">
        <w:trPr>
          <w:cantSplit/>
          <w:trHeight w:val="13"/>
        </w:trPr>
        <w:tc>
          <w:tcPr>
            <w:tcW w:w="491" w:type="pct"/>
            <w:vMerge/>
            <w:tcBorders>
              <w:bottom w:val="single" w:sz="4" w:space="0" w:color="auto"/>
            </w:tcBorders>
          </w:tcPr>
          <w:p w14:paraId="6EC031D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E44338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978E38E" w14:textId="77777777" w:rsidR="00CE1436" w:rsidRDefault="00CE1436" w:rsidP="00444693">
            <w:pPr>
              <w:pStyle w:val="TableText"/>
              <w:widowControl w:val="0"/>
              <w:suppressAutoHyphens w:val="0"/>
              <w:spacing w:before="0" w:after="0" w:line="240" w:lineRule="auto"/>
              <w:rPr>
                <w:szCs w:val="17"/>
              </w:rPr>
            </w:pPr>
          </w:p>
        </w:tc>
        <w:tc>
          <w:tcPr>
            <w:tcW w:w="491" w:type="pct"/>
          </w:tcPr>
          <w:p w14:paraId="2DBEBCEB"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09624071"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194EE3F4" w14:textId="77777777" w:rsidR="00CE1436"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Pr>
          <w:p w14:paraId="028BC44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46F4EFC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DA0141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412FA2E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5.7</w:t>
            </w:r>
          </w:p>
        </w:tc>
        <w:tc>
          <w:tcPr>
            <w:tcW w:w="312" w:type="pct"/>
            <w:vAlign w:val="center"/>
          </w:tcPr>
          <w:p w14:paraId="5B8A3F81"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61B316CC" w14:textId="77777777" w:rsidR="00CE1436" w:rsidRDefault="00CE1436" w:rsidP="00444693">
            <w:pPr>
              <w:pStyle w:val="TableText"/>
              <w:widowControl w:val="0"/>
              <w:suppressAutoHyphens w:val="0"/>
              <w:spacing w:before="0" w:after="0" w:line="240" w:lineRule="auto"/>
              <w:jc w:val="center"/>
            </w:pPr>
            <w:r>
              <w:rPr>
                <w:color w:val="1A1B1A"/>
                <w:szCs w:val="17"/>
              </w:rPr>
              <w:t>0.94</w:t>
            </w:r>
          </w:p>
        </w:tc>
        <w:tc>
          <w:tcPr>
            <w:tcW w:w="393" w:type="pct"/>
            <w:vAlign w:val="center"/>
          </w:tcPr>
          <w:p w14:paraId="2E7E6F45"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26D8EDED" w14:textId="77777777" w:rsidTr="00444693">
        <w:trPr>
          <w:cantSplit/>
          <w:trHeight w:val="13"/>
        </w:trPr>
        <w:tc>
          <w:tcPr>
            <w:tcW w:w="491" w:type="pct"/>
            <w:vMerge/>
            <w:tcBorders>
              <w:bottom w:val="single" w:sz="4" w:space="0" w:color="auto"/>
            </w:tcBorders>
          </w:tcPr>
          <w:p w14:paraId="0C2281E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2DE63B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8A54E48" w14:textId="77777777" w:rsidR="00CE1436" w:rsidRDefault="00CE1436" w:rsidP="00444693">
            <w:pPr>
              <w:pStyle w:val="TableText"/>
              <w:widowControl w:val="0"/>
              <w:suppressAutoHyphens w:val="0"/>
              <w:spacing w:before="0" w:after="0" w:line="240" w:lineRule="auto"/>
              <w:rPr>
                <w:szCs w:val="17"/>
              </w:rPr>
            </w:pPr>
          </w:p>
        </w:tc>
        <w:tc>
          <w:tcPr>
            <w:tcW w:w="491" w:type="pct"/>
          </w:tcPr>
          <w:p w14:paraId="08B90D55"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3E411BF1"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62D9D0E1" w14:textId="77777777" w:rsidR="00CE1436" w:rsidRDefault="00CE1436" w:rsidP="00444693">
            <w:pPr>
              <w:pStyle w:val="TableText"/>
              <w:widowControl w:val="0"/>
              <w:suppressAutoHyphens w:val="0"/>
              <w:spacing w:before="0" w:after="0" w:line="240" w:lineRule="auto"/>
              <w:jc w:val="center"/>
              <w:rPr>
                <w:szCs w:val="17"/>
              </w:rPr>
            </w:pPr>
            <w:r>
              <w:rPr>
                <w:szCs w:val="17"/>
              </w:rPr>
              <w:t>390</w:t>
            </w:r>
          </w:p>
        </w:tc>
        <w:tc>
          <w:tcPr>
            <w:tcW w:w="312" w:type="pct"/>
          </w:tcPr>
          <w:p w14:paraId="592F29E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1670E1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99417F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716749FF" w14:textId="77777777" w:rsidR="00CE1436" w:rsidRPr="003B78B6" w:rsidRDefault="00CE1436" w:rsidP="00444693">
            <w:pPr>
              <w:pStyle w:val="TableText"/>
              <w:widowControl w:val="0"/>
              <w:suppressAutoHyphens w:val="0"/>
              <w:spacing w:before="0" w:after="0" w:line="240" w:lineRule="auto"/>
              <w:jc w:val="center"/>
            </w:pPr>
            <w:r>
              <w:rPr>
                <w:color w:val="1A1B1A"/>
                <w:szCs w:val="17"/>
              </w:rPr>
              <w:t>5.6</w:t>
            </w:r>
          </w:p>
        </w:tc>
        <w:tc>
          <w:tcPr>
            <w:tcW w:w="312" w:type="pct"/>
            <w:vAlign w:val="center"/>
          </w:tcPr>
          <w:p w14:paraId="228EB1F3"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574D89EC" w14:textId="77777777" w:rsidR="00CE1436" w:rsidRPr="0027505E" w:rsidRDefault="00CE1436" w:rsidP="00444693">
            <w:pPr>
              <w:pStyle w:val="TableText"/>
              <w:widowControl w:val="0"/>
              <w:suppressAutoHyphens w:val="0"/>
              <w:spacing w:before="0" w:after="0" w:line="240" w:lineRule="auto"/>
              <w:jc w:val="center"/>
            </w:pPr>
            <w:r>
              <w:rPr>
                <w:color w:val="1A1B1A"/>
                <w:szCs w:val="17"/>
              </w:rPr>
              <w:t>0.91</w:t>
            </w:r>
          </w:p>
        </w:tc>
        <w:tc>
          <w:tcPr>
            <w:tcW w:w="393" w:type="pct"/>
            <w:vAlign w:val="center"/>
          </w:tcPr>
          <w:p w14:paraId="54B109FC"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1D5CA92E" w14:textId="77777777" w:rsidTr="00444693">
        <w:trPr>
          <w:cantSplit/>
          <w:trHeight w:val="13"/>
        </w:trPr>
        <w:tc>
          <w:tcPr>
            <w:tcW w:w="491" w:type="pct"/>
            <w:vMerge/>
            <w:tcBorders>
              <w:bottom w:val="single" w:sz="4" w:space="0" w:color="auto"/>
            </w:tcBorders>
          </w:tcPr>
          <w:p w14:paraId="6B2C6DB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27A16C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0C83ED6" w14:textId="77777777" w:rsidR="00CE1436" w:rsidRDefault="00CE1436" w:rsidP="00444693">
            <w:pPr>
              <w:pStyle w:val="TableText"/>
              <w:widowControl w:val="0"/>
              <w:suppressAutoHyphens w:val="0"/>
              <w:spacing w:before="0" w:after="0" w:line="240" w:lineRule="auto"/>
              <w:rPr>
                <w:szCs w:val="17"/>
              </w:rPr>
            </w:pPr>
          </w:p>
        </w:tc>
        <w:tc>
          <w:tcPr>
            <w:tcW w:w="491" w:type="pct"/>
          </w:tcPr>
          <w:p w14:paraId="5D1F6537"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187AE824"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3E287BE7" w14:textId="77777777" w:rsidR="00CE1436" w:rsidRDefault="00CE1436" w:rsidP="00444693">
            <w:pPr>
              <w:pStyle w:val="TableText"/>
              <w:widowControl w:val="0"/>
              <w:suppressAutoHyphens w:val="0"/>
              <w:spacing w:before="0" w:after="0" w:line="240" w:lineRule="auto"/>
              <w:jc w:val="center"/>
              <w:rPr>
                <w:szCs w:val="17"/>
              </w:rPr>
            </w:pPr>
            <w:r>
              <w:rPr>
                <w:szCs w:val="17"/>
              </w:rPr>
              <w:t>375</w:t>
            </w:r>
          </w:p>
        </w:tc>
        <w:tc>
          <w:tcPr>
            <w:tcW w:w="312" w:type="pct"/>
          </w:tcPr>
          <w:p w14:paraId="32262A0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7D282C7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93E686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3A375663" w14:textId="77777777" w:rsidR="00CE1436" w:rsidRPr="003B78B6" w:rsidRDefault="00CE1436" w:rsidP="00444693">
            <w:pPr>
              <w:pStyle w:val="TableText"/>
              <w:widowControl w:val="0"/>
              <w:suppressAutoHyphens w:val="0"/>
              <w:spacing w:before="0" w:after="0" w:line="240" w:lineRule="auto"/>
              <w:jc w:val="center"/>
            </w:pPr>
            <w:r>
              <w:rPr>
                <w:color w:val="1A1B1A"/>
                <w:szCs w:val="17"/>
              </w:rPr>
              <w:t>5.4</w:t>
            </w:r>
          </w:p>
        </w:tc>
        <w:tc>
          <w:tcPr>
            <w:tcW w:w="312" w:type="pct"/>
            <w:vAlign w:val="center"/>
          </w:tcPr>
          <w:p w14:paraId="77F9E52F"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48DA3861" w14:textId="77777777" w:rsidR="00CE1436" w:rsidRPr="0027505E" w:rsidRDefault="00CE1436" w:rsidP="00444693">
            <w:pPr>
              <w:pStyle w:val="TableText"/>
              <w:widowControl w:val="0"/>
              <w:suppressAutoHyphens w:val="0"/>
              <w:spacing w:before="0" w:after="0" w:line="240" w:lineRule="auto"/>
              <w:jc w:val="center"/>
            </w:pPr>
            <w:r>
              <w:rPr>
                <w:color w:val="1A1B1A"/>
                <w:szCs w:val="17"/>
              </w:rPr>
              <w:t>0.88</w:t>
            </w:r>
          </w:p>
        </w:tc>
        <w:tc>
          <w:tcPr>
            <w:tcW w:w="393" w:type="pct"/>
            <w:vAlign w:val="center"/>
          </w:tcPr>
          <w:p w14:paraId="76B1C843"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6F5A93E7" w14:textId="77777777" w:rsidTr="00444693">
        <w:trPr>
          <w:cantSplit/>
          <w:trHeight w:val="13"/>
        </w:trPr>
        <w:tc>
          <w:tcPr>
            <w:tcW w:w="491" w:type="pct"/>
            <w:vMerge/>
            <w:tcBorders>
              <w:bottom w:val="single" w:sz="4" w:space="0" w:color="auto"/>
            </w:tcBorders>
          </w:tcPr>
          <w:p w14:paraId="06D3007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7C6666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153FAC0" w14:textId="77777777" w:rsidR="00CE1436" w:rsidRDefault="00CE1436" w:rsidP="00444693">
            <w:pPr>
              <w:pStyle w:val="TableText"/>
              <w:widowControl w:val="0"/>
              <w:suppressAutoHyphens w:val="0"/>
              <w:spacing w:before="0" w:after="0" w:line="240" w:lineRule="auto"/>
              <w:rPr>
                <w:szCs w:val="17"/>
              </w:rPr>
            </w:pPr>
          </w:p>
        </w:tc>
        <w:tc>
          <w:tcPr>
            <w:tcW w:w="491" w:type="pct"/>
          </w:tcPr>
          <w:p w14:paraId="4DC77675"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7818571E"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58D31A53" w14:textId="77777777" w:rsidR="00CE1436" w:rsidRDefault="00CE1436" w:rsidP="00444693">
            <w:pPr>
              <w:pStyle w:val="TableText"/>
              <w:widowControl w:val="0"/>
              <w:suppressAutoHyphens w:val="0"/>
              <w:spacing w:before="0" w:after="0" w:line="240" w:lineRule="auto"/>
              <w:jc w:val="center"/>
              <w:rPr>
                <w:szCs w:val="17"/>
              </w:rPr>
            </w:pPr>
            <w:r>
              <w:rPr>
                <w:szCs w:val="17"/>
              </w:rPr>
              <w:t>350</w:t>
            </w:r>
          </w:p>
        </w:tc>
        <w:tc>
          <w:tcPr>
            <w:tcW w:w="312" w:type="pct"/>
          </w:tcPr>
          <w:p w14:paraId="35A5C8E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34183AB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090D28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6EE83A6F" w14:textId="77777777" w:rsidR="00CE1436" w:rsidRPr="003B78B6" w:rsidRDefault="00CE1436" w:rsidP="00444693">
            <w:pPr>
              <w:pStyle w:val="TableText"/>
              <w:widowControl w:val="0"/>
              <w:suppressAutoHyphens w:val="0"/>
              <w:spacing w:before="0" w:after="0" w:line="240" w:lineRule="auto"/>
              <w:jc w:val="center"/>
            </w:pPr>
            <w:r>
              <w:rPr>
                <w:color w:val="1A1B1A"/>
                <w:szCs w:val="17"/>
              </w:rPr>
              <w:t>5.0</w:t>
            </w:r>
          </w:p>
        </w:tc>
        <w:tc>
          <w:tcPr>
            <w:tcW w:w="312" w:type="pct"/>
            <w:vAlign w:val="center"/>
          </w:tcPr>
          <w:p w14:paraId="5E16AE88"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27327B23" w14:textId="77777777" w:rsidR="00CE1436" w:rsidRPr="0027505E" w:rsidRDefault="00CE1436" w:rsidP="00444693">
            <w:pPr>
              <w:pStyle w:val="TableText"/>
              <w:widowControl w:val="0"/>
              <w:suppressAutoHyphens w:val="0"/>
              <w:spacing w:before="0" w:after="0" w:line="240" w:lineRule="auto"/>
              <w:jc w:val="center"/>
            </w:pPr>
            <w:r>
              <w:rPr>
                <w:color w:val="1A1B1A"/>
                <w:szCs w:val="17"/>
              </w:rPr>
              <w:t>0.82</w:t>
            </w:r>
          </w:p>
        </w:tc>
        <w:tc>
          <w:tcPr>
            <w:tcW w:w="393" w:type="pct"/>
            <w:vAlign w:val="center"/>
          </w:tcPr>
          <w:p w14:paraId="56AABE7D"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30A9B82A" w14:textId="77777777" w:rsidTr="00444693">
        <w:trPr>
          <w:cantSplit/>
          <w:trHeight w:val="13"/>
        </w:trPr>
        <w:tc>
          <w:tcPr>
            <w:tcW w:w="491" w:type="pct"/>
            <w:vMerge/>
            <w:tcBorders>
              <w:bottom w:val="single" w:sz="4" w:space="0" w:color="auto"/>
            </w:tcBorders>
          </w:tcPr>
          <w:p w14:paraId="00E9049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66228D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EC58FFA" w14:textId="77777777" w:rsidR="00CE1436" w:rsidRDefault="00CE1436" w:rsidP="00444693">
            <w:pPr>
              <w:pStyle w:val="TableText"/>
              <w:widowControl w:val="0"/>
              <w:suppressAutoHyphens w:val="0"/>
              <w:spacing w:before="0" w:after="0" w:line="240" w:lineRule="auto"/>
              <w:rPr>
                <w:szCs w:val="17"/>
              </w:rPr>
            </w:pPr>
          </w:p>
        </w:tc>
        <w:tc>
          <w:tcPr>
            <w:tcW w:w="491" w:type="pct"/>
          </w:tcPr>
          <w:p w14:paraId="7C316748"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0E5420AF"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4C767FDD" w14:textId="77777777" w:rsidR="00CE1436" w:rsidRDefault="00CE1436" w:rsidP="00444693">
            <w:pPr>
              <w:pStyle w:val="TableText"/>
              <w:widowControl w:val="0"/>
              <w:suppressAutoHyphens w:val="0"/>
              <w:spacing w:before="0" w:after="0" w:line="240" w:lineRule="auto"/>
              <w:jc w:val="center"/>
              <w:rPr>
                <w:szCs w:val="17"/>
              </w:rPr>
            </w:pPr>
            <w:r>
              <w:rPr>
                <w:szCs w:val="17"/>
              </w:rPr>
              <w:t>324</w:t>
            </w:r>
          </w:p>
        </w:tc>
        <w:tc>
          <w:tcPr>
            <w:tcW w:w="312" w:type="pct"/>
            <w:shd w:val="clear" w:color="auto" w:fill="D5D7D5" w:themeFill="text1" w:themeFillTint="33"/>
          </w:tcPr>
          <w:p w14:paraId="79141427" w14:textId="77777777" w:rsidR="00CE1436" w:rsidRDefault="00CE1436" w:rsidP="00444693">
            <w:pPr>
              <w:pStyle w:val="TableText"/>
              <w:widowControl w:val="0"/>
              <w:suppressAutoHyphens w:val="0"/>
              <w:spacing w:before="0" w:after="0" w:line="240" w:lineRule="auto"/>
              <w:jc w:val="center"/>
              <w:rPr>
                <w:szCs w:val="17"/>
              </w:rPr>
            </w:pPr>
            <w:r>
              <w:rPr>
                <w:szCs w:val="17"/>
              </w:rPr>
              <w:t>1.48</w:t>
            </w:r>
            <w:r w:rsidRPr="00DA6F86">
              <w:rPr>
                <w:szCs w:val="17"/>
                <w:vertAlign w:val="superscript"/>
              </w:rPr>
              <w:t>d</w:t>
            </w:r>
          </w:p>
        </w:tc>
        <w:tc>
          <w:tcPr>
            <w:tcW w:w="311" w:type="pct"/>
          </w:tcPr>
          <w:p w14:paraId="1256185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BF0013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116C803E" w14:textId="77777777" w:rsidR="00CE1436" w:rsidRPr="003B78B6" w:rsidRDefault="00CE1436" w:rsidP="00444693">
            <w:pPr>
              <w:pStyle w:val="TableText"/>
              <w:widowControl w:val="0"/>
              <w:suppressAutoHyphens w:val="0"/>
              <w:spacing w:before="0" w:after="0" w:line="240" w:lineRule="auto"/>
              <w:jc w:val="center"/>
            </w:pPr>
            <w:r>
              <w:rPr>
                <w:color w:val="1A1B1A"/>
                <w:szCs w:val="17"/>
              </w:rPr>
              <w:t>6.9</w:t>
            </w:r>
          </w:p>
        </w:tc>
        <w:tc>
          <w:tcPr>
            <w:tcW w:w="312" w:type="pct"/>
            <w:vAlign w:val="center"/>
          </w:tcPr>
          <w:p w14:paraId="0A808067"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7ECA9388" w14:textId="77777777" w:rsidR="00CE1436" w:rsidRPr="0027505E" w:rsidRDefault="00CE1436" w:rsidP="00444693">
            <w:pPr>
              <w:pStyle w:val="TableText"/>
              <w:widowControl w:val="0"/>
              <w:suppressAutoHyphens w:val="0"/>
              <w:spacing w:before="0" w:after="0" w:line="240" w:lineRule="auto"/>
              <w:jc w:val="center"/>
            </w:pPr>
            <w:r>
              <w:rPr>
                <w:b/>
                <w:bCs/>
                <w:color w:val="1A1B1A"/>
                <w:szCs w:val="17"/>
              </w:rPr>
              <w:t>1.1</w:t>
            </w:r>
          </w:p>
        </w:tc>
        <w:tc>
          <w:tcPr>
            <w:tcW w:w="393" w:type="pct"/>
            <w:vAlign w:val="center"/>
          </w:tcPr>
          <w:p w14:paraId="3C8AB760" w14:textId="77777777" w:rsidR="00CE1436" w:rsidRPr="0027505E" w:rsidRDefault="00CE1436" w:rsidP="00444693">
            <w:pPr>
              <w:pStyle w:val="TableText"/>
              <w:widowControl w:val="0"/>
              <w:suppressAutoHyphens w:val="0"/>
              <w:spacing w:before="0" w:after="0" w:line="240" w:lineRule="auto"/>
              <w:jc w:val="center"/>
            </w:pPr>
            <w:r>
              <w:rPr>
                <w:color w:val="1A1B1A"/>
                <w:szCs w:val="17"/>
              </w:rPr>
              <w:t>288</w:t>
            </w:r>
          </w:p>
        </w:tc>
      </w:tr>
      <w:tr w:rsidR="00CE1436" w:rsidRPr="00C3293F" w14:paraId="394D0A24" w14:textId="77777777" w:rsidTr="00444693">
        <w:trPr>
          <w:cantSplit/>
          <w:trHeight w:val="13"/>
        </w:trPr>
        <w:tc>
          <w:tcPr>
            <w:tcW w:w="491" w:type="pct"/>
            <w:vMerge/>
            <w:tcBorders>
              <w:bottom w:val="single" w:sz="4" w:space="0" w:color="auto"/>
            </w:tcBorders>
          </w:tcPr>
          <w:p w14:paraId="7A0AF86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1E761E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4A3AB77" w14:textId="77777777" w:rsidR="00CE1436" w:rsidRDefault="00CE1436" w:rsidP="00444693">
            <w:pPr>
              <w:pStyle w:val="TableText"/>
              <w:widowControl w:val="0"/>
              <w:suppressAutoHyphens w:val="0"/>
              <w:spacing w:before="0" w:after="0" w:line="240" w:lineRule="auto"/>
              <w:rPr>
                <w:szCs w:val="17"/>
              </w:rPr>
            </w:pPr>
          </w:p>
        </w:tc>
        <w:tc>
          <w:tcPr>
            <w:tcW w:w="491" w:type="pct"/>
          </w:tcPr>
          <w:p w14:paraId="45F5D82F"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037368E8" w14:textId="77777777" w:rsidR="00CE1436"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7D8C39FC" w14:textId="77777777" w:rsidR="00CE1436"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Pr>
          <w:p w14:paraId="0799711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2494FCB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2AECAA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06A10C9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4.6</w:t>
            </w:r>
          </w:p>
        </w:tc>
        <w:tc>
          <w:tcPr>
            <w:tcW w:w="312" w:type="pct"/>
            <w:vAlign w:val="center"/>
          </w:tcPr>
          <w:p w14:paraId="6B6BA403"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1B8004AA" w14:textId="77777777" w:rsidR="00CE1436" w:rsidRDefault="00CE1436" w:rsidP="00444693">
            <w:pPr>
              <w:pStyle w:val="TableText"/>
              <w:widowControl w:val="0"/>
              <w:suppressAutoHyphens w:val="0"/>
              <w:spacing w:before="0" w:after="0" w:line="240" w:lineRule="auto"/>
              <w:jc w:val="center"/>
            </w:pPr>
            <w:r>
              <w:rPr>
                <w:color w:val="1A1B1A"/>
                <w:szCs w:val="17"/>
              </w:rPr>
              <w:t>0.76</w:t>
            </w:r>
          </w:p>
        </w:tc>
        <w:tc>
          <w:tcPr>
            <w:tcW w:w="393" w:type="pct"/>
            <w:vAlign w:val="center"/>
          </w:tcPr>
          <w:p w14:paraId="193FA296"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51859D3D" w14:textId="77777777" w:rsidTr="00444693">
        <w:trPr>
          <w:cantSplit/>
          <w:trHeight w:val="13"/>
        </w:trPr>
        <w:tc>
          <w:tcPr>
            <w:tcW w:w="491" w:type="pct"/>
            <w:vMerge/>
            <w:tcBorders>
              <w:bottom w:val="single" w:sz="4" w:space="0" w:color="auto"/>
            </w:tcBorders>
          </w:tcPr>
          <w:p w14:paraId="5B8AE30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A33E56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3F53953" w14:textId="77777777" w:rsidR="00CE1436" w:rsidRDefault="00CE1436" w:rsidP="00444693">
            <w:pPr>
              <w:pStyle w:val="TableText"/>
              <w:widowControl w:val="0"/>
              <w:suppressAutoHyphens w:val="0"/>
              <w:spacing w:before="0" w:after="0" w:line="240" w:lineRule="auto"/>
              <w:rPr>
                <w:szCs w:val="17"/>
              </w:rPr>
            </w:pPr>
          </w:p>
        </w:tc>
        <w:tc>
          <w:tcPr>
            <w:tcW w:w="491" w:type="pct"/>
          </w:tcPr>
          <w:p w14:paraId="61A4FDF1"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11AEE9C2"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7E4A7DD5" w14:textId="77777777" w:rsidR="00CE1436" w:rsidRDefault="00CE1436" w:rsidP="00444693">
            <w:pPr>
              <w:pStyle w:val="TableText"/>
              <w:widowControl w:val="0"/>
              <w:suppressAutoHyphens w:val="0"/>
              <w:spacing w:before="0" w:after="0" w:line="240" w:lineRule="auto"/>
              <w:jc w:val="center"/>
              <w:rPr>
                <w:szCs w:val="17"/>
              </w:rPr>
            </w:pPr>
            <w:r>
              <w:rPr>
                <w:szCs w:val="17"/>
              </w:rPr>
              <w:t>300</w:t>
            </w:r>
          </w:p>
        </w:tc>
        <w:tc>
          <w:tcPr>
            <w:tcW w:w="312" w:type="pct"/>
          </w:tcPr>
          <w:p w14:paraId="0ACA43B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C94E70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770A53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477EA0AB" w14:textId="77777777" w:rsidR="00CE1436" w:rsidRPr="003B78B6" w:rsidRDefault="00CE1436" w:rsidP="00444693">
            <w:pPr>
              <w:pStyle w:val="TableText"/>
              <w:widowControl w:val="0"/>
              <w:suppressAutoHyphens w:val="0"/>
              <w:spacing w:before="0" w:after="0" w:line="240" w:lineRule="auto"/>
              <w:jc w:val="center"/>
            </w:pPr>
            <w:r>
              <w:rPr>
                <w:color w:val="1A1B1A"/>
                <w:szCs w:val="17"/>
              </w:rPr>
              <w:t>4.3</w:t>
            </w:r>
          </w:p>
        </w:tc>
        <w:tc>
          <w:tcPr>
            <w:tcW w:w="312" w:type="pct"/>
            <w:vAlign w:val="center"/>
          </w:tcPr>
          <w:p w14:paraId="5FE6A5B9"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2E708FBC" w14:textId="77777777" w:rsidR="00CE1436" w:rsidRPr="0027505E" w:rsidRDefault="00CE1436" w:rsidP="00444693">
            <w:pPr>
              <w:pStyle w:val="TableText"/>
              <w:widowControl w:val="0"/>
              <w:suppressAutoHyphens w:val="0"/>
              <w:spacing w:before="0" w:after="0" w:line="240" w:lineRule="auto"/>
              <w:jc w:val="center"/>
            </w:pPr>
            <w:r>
              <w:rPr>
                <w:color w:val="1A1B1A"/>
                <w:szCs w:val="17"/>
              </w:rPr>
              <w:t>0.70</w:t>
            </w:r>
          </w:p>
        </w:tc>
        <w:tc>
          <w:tcPr>
            <w:tcW w:w="393" w:type="pct"/>
            <w:vAlign w:val="center"/>
          </w:tcPr>
          <w:p w14:paraId="2F46FDDC"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542C903E" w14:textId="77777777" w:rsidTr="00444693">
        <w:trPr>
          <w:cantSplit/>
          <w:trHeight w:val="13"/>
        </w:trPr>
        <w:tc>
          <w:tcPr>
            <w:tcW w:w="491" w:type="pct"/>
            <w:vMerge/>
            <w:tcBorders>
              <w:bottom w:val="single" w:sz="4" w:space="0" w:color="auto"/>
            </w:tcBorders>
          </w:tcPr>
          <w:p w14:paraId="0DEE0F7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0D42E1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6F7C984" w14:textId="77777777" w:rsidR="00CE1436" w:rsidRDefault="00CE1436" w:rsidP="00444693">
            <w:pPr>
              <w:pStyle w:val="TableText"/>
              <w:widowControl w:val="0"/>
              <w:suppressAutoHyphens w:val="0"/>
              <w:spacing w:before="0" w:after="0" w:line="240" w:lineRule="auto"/>
              <w:rPr>
                <w:szCs w:val="17"/>
              </w:rPr>
            </w:pPr>
          </w:p>
        </w:tc>
        <w:tc>
          <w:tcPr>
            <w:tcW w:w="491" w:type="pct"/>
          </w:tcPr>
          <w:p w14:paraId="4AFAC583"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117821DD"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48B7C4A5" w14:textId="77777777" w:rsidR="00CE1436" w:rsidRDefault="00CE1436" w:rsidP="00444693">
            <w:pPr>
              <w:pStyle w:val="TableText"/>
              <w:widowControl w:val="0"/>
              <w:suppressAutoHyphens w:val="0"/>
              <w:spacing w:before="0" w:after="0" w:line="240" w:lineRule="auto"/>
              <w:jc w:val="center"/>
              <w:rPr>
                <w:szCs w:val="17"/>
              </w:rPr>
            </w:pPr>
            <w:r>
              <w:rPr>
                <w:szCs w:val="17"/>
              </w:rPr>
              <w:t>243</w:t>
            </w:r>
          </w:p>
        </w:tc>
        <w:tc>
          <w:tcPr>
            <w:tcW w:w="312" w:type="pct"/>
          </w:tcPr>
          <w:p w14:paraId="4CFFD1F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D2703B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CC7520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75A2FE14" w14:textId="77777777" w:rsidR="00CE1436" w:rsidRPr="003B78B6" w:rsidRDefault="00CE1436" w:rsidP="00444693">
            <w:pPr>
              <w:pStyle w:val="TableText"/>
              <w:widowControl w:val="0"/>
              <w:suppressAutoHyphens w:val="0"/>
              <w:spacing w:before="0" w:after="0" w:line="240" w:lineRule="auto"/>
              <w:jc w:val="center"/>
            </w:pPr>
            <w:r>
              <w:rPr>
                <w:color w:val="1A1B1A"/>
                <w:szCs w:val="17"/>
              </w:rPr>
              <w:t>3.5</w:t>
            </w:r>
          </w:p>
        </w:tc>
        <w:tc>
          <w:tcPr>
            <w:tcW w:w="312" w:type="pct"/>
            <w:vAlign w:val="center"/>
          </w:tcPr>
          <w:p w14:paraId="08FA4B2B"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05225484" w14:textId="77777777" w:rsidR="00CE1436" w:rsidRPr="0027505E" w:rsidRDefault="00CE1436" w:rsidP="00444693">
            <w:pPr>
              <w:pStyle w:val="TableText"/>
              <w:widowControl w:val="0"/>
              <w:suppressAutoHyphens w:val="0"/>
              <w:spacing w:before="0" w:after="0" w:line="240" w:lineRule="auto"/>
              <w:jc w:val="center"/>
            </w:pPr>
            <w:r>
              <w:rPr>
                <w:color w:val="1A1B1A"/>
                <w:szCs w:val="17"/>
              </w:rPr>
              <w:t>0.57</w:t>
            </w:r>
          </w:p>
        </w:tc>
        <w:tc>
          <w:tcPr>
            <w:tcW w:w="393" w:type="pct"/>
            <w:vAlign w:val="center"/>
          </w:tcPr>
          <w:p w14:paraId="1110FFA8"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5C42B32B" w14:textId="77777777" w:rsidTr="00444693">
        <w:trPr>
          <w:cantSplit/>
          <w:trHeight w:val="13"/>
        </w:trPr>
        <w:tc>
          <w:tcPr>
            <w:tcW w:w="491" w:type="pct"/>
            <w:vMerge/>
            <w:tcBorders>
              <w:bottom w:val="single" w:sz="4" w:space="0" w:color="auto"/>
            </w:tcBorders>
          </w:tcPr>
          <w:p w14:paraId="4CA68DE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C9F195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E9C9F9B" w14:textId="77777777" w:rsidR="00CE1436" w:rsidRDefault="00CE1436" w:rsidP="00444693">
            <w:pPr>
              <w:pStyle w:val="TableText"/>
              <w:widowControl w:val="0"/>
              <w:suppressAutoHyphens w:val="0"/>
              <w:spacing w:before="0" w:after="0" w:line="240" w:lineRule="auto"/>
              <w:rPr>
                <w:szCs w:val="17"/>
              </w:rPr>
            </w:pPr>
          </w:p>
        </w:tc>
        <w:tc>
          <w:tcPr>
            <w:tcW w:w="491" w:type="pct"/>
          </w:tcPr>
          <w:p w14:paraId="09A3FE90"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73699A86"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3559FA12"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shd w:val="clear" w:color="auto" w:fill="D5D7D5" w:themeFill="text1" w:themeFillTint="33"/>
          </w:tcPr>
          <w:p w14:paraId="57DB53E3" w14:textId="77777777" w:rsidR="00CE1436" w:rsidRDefault="00CE1436" w:rsidP="00444693">
            <w:pPr>
              <w:pStyle w:val="TableText"/>
              <w:widowControl w:val="0"/>
              <w:suppressAutoHyphens w:val="0"/>
              <w:spacing w:before="0" w:after="0" w:line="240" w:lineRule="auto"/>
              <w:jc w:val="center"/>
              <w:rPr>
                <w:szCs w:val="17"/>
              </w:rPr>
            </w:pPr>
            <w:r>
              <w:rPr>
                <w:szCs w:val="17"/>
              </w:rPr>
              <w:t>1.48</w:t>
            </w:r>
            <w:r w:rsidRPr="00DA6F86">
              <w:rPr>
                <w:szCs w:val="17"/>
                <w:vertAlign w:val="superscript"/>
              </w:rPr>
              <w:t>d</w:t>
            </w:r>
          </w:p>
        </w:tc>
        <w:tc>
          <w:tcPr>
            <w:tcW w:w="311" w:type="pct"/>
          </w:tcPr>
          <w:p w14:paraId="142E130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69C5B5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7768FF1B" w14:textId="77777777" w:rsidR="00CE1436" w:rsidRPr="003B78B6"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120F9B3C"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7BC2F9FA" w14:textId="77777777" w:rsidR="00CE1436" w:rsidRPr="0027505E" w:rsidRDefault="00CE1436" w:rsidP="00444693">
            <w:pPr>
              <w:pStyle w:val="TableText"/>
              <w:widowControl w:val="0"/>
              <w:suppressAutoHyphens w:val="0"/>
              <w:spacing w:before="0" w:after="0" w:line="240" w:lineRule="auto"/>
              <w:jc w:val="center"/>
            </w:pPr>
            <w:r>
              <w:rPr>
                <w:color w:val="1A1B1A"/>
                <w:szCs w:val="17"/>
              </w:rPr>
              <w:t>0.75</w:t>
            </w:r>
          </w:p>
        </w:tc>
        <w:tc>
          <w:tcPr>
            <w:tcW w:w="393" w:type="pct"/>
            <w:vAlign w:val="center"/>
          </w:tcPr>
          <w:p w14:paraId="01FCD9F8" w14:textId="77777777" w:rsidR="00CE1436" w:rsidRPr="0027505E" w:rsidRDefault="00CE1436" w:rsidP="00444693">
            <w:pPr>
              <w:pStyle w:val="TableText"/>
              <w:widowControl w:val="0"/>
              <w:suppressAutoHyphens w:val="0"/>
              <w:spacing w:before="0" w:after="0" w:line="240" w:lineRule="auto"/>
              <w:jc w:val="center"/>
            </w:pPr>
            <w:r>
              <w:rPr>
                <w:color w:val="1A1B1A"/>
                <w:szCs w:val="17"/>
              </w:rPr>
              <w:t>288</w:t>
            </w:r>
          </w:p>
        </w:tc>
      </w:tr>
      <w:tr w:rsidR="00CE1436" w:rsidRPr="0027505E" w14:paraId="3532AC93" w14:textId="77777777" w:rsidTr="00444693">
        <w:trPr>
          <w:cantSplit/>
          <w:trHeight w:val="13"/>
        </w:trPr>
        <w:tc>
          <w:tcPr>
            <w:tcW w:w="491" w:type="pct"/>
            <w:vMerge/>
            <w:tcBorders>
              <w:bottom w:val="single" w:sz="4" w:space="0" w:color="auto"/>
            </w:tcBorders>
          </w:tcPr>
          <w:p w14:paraId="05E05BA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B29F1A3"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327C25E" w14:textId="77777777" w:rsidR="00CE1436" w:rsidRDefault="00CE1436" w:rsidP="00444693">
            <w:pPr>
              <w:pStyle w:val="TableText"/>
              <w:widowControl w:val="0"/>
              <w:suppressAutoHyphens w:val="0"/>
              <w:spacing w:before="0" w:after="0" w:line="240" w:lineRule="auto"/>
              <w:rPr>
                <w:szCs w:val="17"/>
              </w:rPr>
            </w:pPr>
          </w:p>
        </w:tc>
        <w:tc>
          <w:tcPr>
            <w:tcW w:w="491" w:type="pct"/>
          </w:tcPr>
          <w:p w14:paraId="07588D48"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6B30C3AB" w14:textId="77777777" w:rsidR="00CE1436" w:rsidRPr="00532CBF" w:rsidRDefault="00CE1436" w:rsidP="00444693">
            <w:pPr>
              <w:pStyle w:val="TableText"/>
              <w:widowControl w:val="0"/>
              <w:suppressAutoHyphens w:val="0"/>
              <w:spacing w:before="0" w:after="0" w:line="240" w:lineRule="auto"/>
              <w:jc w:val="center"/>
              <w:rPr>
                <w:szCs w:val="17"/>
              </w:rPr>
            </w:pPr>
            <w:r>
              <w:rPr>
                <w:szCs w:val="17"/>
              </w:rPr>
              <w:t>14.3</w:t>
            </w:r>
          </w:p>
        </w:tc>
        <w:tc>
          <w:tcPr>
            <w:tcW w:w="311" w:type="pct"/>
          </w:tcPr>
          <w:p w14:paraId="48CF6005"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56A3850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5A33E00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326F92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59317AB3" w14:textId="77777777" w:rsidR="00CE1436" w:rsidRPr="003B78B6"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5A3D18F1" w14:textId="77777777" w:rsidR="00CE1436" w:rsidRPr="00CC515D"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74F2AF50" w14:textId="77777777" w:rsidR="00CE1436" w:rsidRPr="0027505E" w:rsidRDefault="00CE1436" w:rsidP="00444693">
            <w:pPr>
              <w:pStyle w:val="TableText"/>
              <w:widowControl w:val="0"/>
              <w:suppressAutoHyphens w:val="0"/>
              <w:spacing w:before="0" w:after="0" w:line="240" w:lineRule="auto"/>
              <w:jc w:val="center"/>
            </w:pPr>
            <w:r>
              <w:rPr>
                <w:color w:val="1A1B1A"/>
                <w:szCs w:val="17"/>
              </w:rPr>
              <w:t>0.51</w:t>
            </w:r>
          </w:p>
        </w:tc>
        <w:tc>
          <w:tcPr>
            <w:tcW w:w="393" w:type="pct"/>
            <w:vAlign w:val="center"/>
          </w:tcPr>
          <w:p w14:paraId="1D3C8122"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023BB536" w14:textId="77777777" w:rsidTr="00444693">
        <w:trPr>
          <w:cantSplit/>
          <w:trHeight w:val="13"/>
        </w:trPr>
        <w:tc>
          <w:tcPr>
            <w:tcW w:w="491" w:type="pct"/>
            <w:vMerge/>
            <w:tcBorders>
              <w:bottom w:val="single" w:sz="4" w:space="0" w:color="auto"/>
            </w:tcBorders>
          </w:tcPr>
          <w:p w14:paraId="7413583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52C4DD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FB3D1F5" w14:textId="77777777" w:rsidR="00CE1436" w:rsidRDefault="00CE1436" w:rsidP="00444693">
            <w:pPr>
              <w:pStyle w:val="TableText"/>
              <w:widowControl w:val="0"/>
              <w:suppressAutoHyphens w:val="0"/>
              <w:spacing w:before="0" w:after="0" w:line="240" w:lineRule="auto"/>
              <w:rPr>
                <w:szCs w:val="17"/>
              </w:rPr>
            </w:pPr>
          </w:p>
        </w:tc>
        <w:tc>
          <w:tcPr>
            <w:tcW w:w="491" w:type="pct"/>
          </w:tcPr>
          <w:p w14:paraId="208A6019"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77956C7B"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3A6F9CE0" w14:textId="77777777" w:rsidR="00CE1436"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66E2105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998F68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C37541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01A2D506" w14:textId="77777777" w:rsidR="00CE1436" w:rsidRPr="003B78B6" w:rsidRDefault="00CE1436" w:rsidP="00444693">
            <w:pPr>
              <w:pStyle w:val="TableText"/>
              <w:widowControl w:val="0"/>
              <w:suppressAutoHyphens w:val="0"/>
              <w:spacing w:before="0" w:after="0" w:line="240" w:lineRule="auto"/>
              <w:jc w:val="center"/>
            </w:pPr>
            <w:r>
              <w:rPr>
                <w:color w:val="1A1B1A"/>
                <w:szCs w:val="17"/>
              </w:rPr>
              <w:t>2.9</w:t>
            </w:r>
          </w:p>
        </w:tc>
        <w:tc>
          <w:tcPr>
            <w:tcW w:w="312" w:type="pct"/>
            <w:vAlign w:val="center"/>
          </w:tcPr>
          <w:p w14:paraId="5ED2FDA7"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5F59CB88" w14:textId="77777777" w:rsidR="00CE1436" w:rsidRPr="0027505E" w:rsidRDefault="00CE1436" w:rsidP="00444693">
            <w:pPr>
              <w:pStyle w:val="TableText"/>
              <w:widowControl w:val="0"/>
              <w:suppressAutoHyphens w:val="0"/>
              <w:spacing w:before="0" w:after="0" w:line="240" w:lineRule="auto"/>
              <w:jc w:val="center"/>
            </w:pPr>
            <w:r>
              <w:rPr>
                <w:color w:val="1A1B1A"/>
                <w:szCs w:val="17"/>
              </w:rPr>
              <w:t>0.47</w:t>
            </w:r>
          </w:p>
        </w:tc>
        <w:tc>
          <w:tcPr>
            <w:tcW w:w="393" w:type="pct"/>
            <w:vAlign w:val="center"/>
          </w:tcPr>
          <w:p w14:paraId="12E1F9E0"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60003FCA" w14:textId="77777777" w:rsidTr="00444693">
        <w:trPr>
          <w:cantSplit/>
          <w:trHeight w:val="13"/>
        </w:trPr>
        <w:tc>
          <w:tcPr>
            <w:tcW w:w="491" w:type="pct"/>
            <w:vMerge/>
            <w:tcBorders>
              <w:bottom w:val="single" w:sz="4" w:space="0" w:color="auto"/>
            </w:tcBorders>
          </w:tcPr>
          <w:p w14:paraId="47A379E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587C5D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4BCD74B" w14:textId="77777777" w:rsidR="00CE1436" w:rsidRDefault="00CE1436" w:rsidP="00444693">
            <w:pPr>
              <w:pStyle w:val="TableText"/>
              <w:widowControl w:val="0"/>
              <w:suppressAutoHyphens w:val="0"/>
              <w:spacing w:before="0" w:after="0" w:line="240" w:lineRule="auto"/>
              <w:rPr>
                <w:szCs w:val="17"/>
              </w:rPr>
            </w:pPr>
          </w:p>
        </w:tc>
        <w:tc>
          <w:tcPr>
            <w:tcW w:w="491" w:type="pct"/>
          </w:tcPr>
          <w:p w14:paraId="7B9C0F17"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2CFBE410"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5668F348" w14:textId="77777777" w:rsidR="00CE1436" w:rsidRDefault="00CE1436" w:rsidP="00444693">
            <w:pPr>
              <w:pStyle w:val="TableText"/>
              <w:widowControl w:val="0"/>
              <w:suppressAutoHyphens w:val="0"/>
              <w:spacing w:before="0" w:after="0" w:line="240" w:lineRule="auto"/>
              <w:jc w:val="center"/>
              <w:rPr>
                <w:szCs w:val="17"/>
              </w:rPr>
            </w:pPr>
            <w:r>
              <w:rPr>
                <w:szCs w:val="17"/>
              </w:rPr>
              <w:t>188</w:t>
            </w:r>
          </w:p>
        </w:tc>
        <w:tc>
          <w:tcPr>
            <w:tcW w:w="312" w:type="pct"/>
          </w:tcPr>
          <w:p w14:paraId="1349F73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179D953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372BE4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33FA1BA2" w14:textId="77777777" w:rsidR="00CE1436" w:rsidRPr="003B78B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D02E308"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12CC60D5" w14:textId="77777777" w:rsidR="00CE1436" w:rsidRPr="0027505E" w:rsidRDefault="00CE1436" w:rsidP="00444693">
            <w:pPr>
              <w:pStyle w:val="TableText"/>
              <w:widowControl w:val="0"/>
              <w:suppressAutoHyphens w:val="0"/>
              <w:spacing w:before="0" w:after="0" w:line="240" w:lineRule="auto"/>
              <w:jc w:val="center"/>
            </w:pPr>
            <w:r>
              <w:rPr>
                <w:color w:val="1A1B1A"/>
                <w:szCs w:val="17"/>
              </w:rPr>
              <w:t>0.44</w:t>
            </w:r>
          </w:p>
        </w:tc>
        <w:tc>
          <w:tcPr>
            <w:tcW w:w="393" w:type="pct"/>
            <w:vAlign w:val="center"/>
          </w:tcPr>
          <w:p w14:paraId="45AB8453"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33DA4B47" w14:textId="77777777" w:rsidTr="00444693">
        <w:trPr>
          <w:cantSplit/>
          <w:trHeight w:val="13"/>
        </w:trPr>
        <w:tc>
          <w:tcPr>
            <w:tcW w:w="491" w:type="pct"/>
            <w:vMerge/>
            <w:tcBorders>
              <w:bottom w:val="single" w:sz="4" w:space="0" w:color="auto"/>
            </w:tcBorders>
          </w:tcPr>
          <w:p w14:paraId="049C07D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0E5ACA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61E666E" w14:textId="77777777" w:rsidR="00CE1436" w:rsidRDefault="00CE1436" w:rsidP="00444693">
            <w:pPr>
              <w:pStyle w:val="TableText"/>
              <w:widowControl w:val="0"/>
              <w:suppressAutoHyphens w:val="0"/>
              <w:spacing w:before="0" w:after="0" w:line="240" w:lineRule="auto"/>
              <w:rPr>
                <w:szCs w:val="17"/>
              </w:rPr>
            </w:pPr>
          </w:p>
        </w:tc>
        <w:tc>
          <w:tcPr>
            <w:tcW w:w="491" w:type="pct"/>
          </w:tcPr>
          <w:p w14:paraId="474C4DEC"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555626E8"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651F79C1" w14:textId="77777777" w:rsidR="00CE1436" w:rsidRDefault="00CE1436" w:rsidP="00444693">
            <w:pPr>
              <w:pStyle w:val="TableText"/>
              <w:widowControl w:val="0"/>
              <w:suppressAutoHyphens w:val="0"/>
              <w:spacing w:before="0" w:after="0" w:line="240" w:lineRule="auto"/>
              <w:jc w:val="center"/>
              <w:rPr>
                <w:szCs w:val="17"/>
              </w:rPr>
            </w:pPr>
            <w:r>
              <w:rPr>
                <w:szCs w:val="17"/>
              </w:rPr>
              <w:t>185</w:t>
            </w:r>
          </w:p>
        </w:tc>
        <w:tc>
          <w:tcPr>
            <w:tcW w:w="312" w:type="pct"/>
          </w:tcPr>
          <w:p w14:paraId="038EDB6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1A839C5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610951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05352A2B" w14:textId="77777777" w:rsidR="00CE1436" w:rsidRPr="003B78B6"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639F62AD"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74996362" w14:textId="77777777" w:rsidR="00CE1436" w:rsidRPr="0027505E" w:rsidRDefault="00CE1436" w:rsidP="00444693">
            <w:pPr>
              <w:pStyle w:val="TableText"/>
              <w:widowControl w:val="0"/>
              <w:suppressAutoHyphens w:val="0"/>
              <w:spacing w:before="0" w:after="0" w:line="240" w:lineRule="auto"/>
              <w:jc w:val="center"/>
            </w:pPr>
            <w:r>
              <w:rPr>
                <w:color w:val="1A1B1A"/>
                <w:szCs w:val="17"/>
              </w:rPr>
              <w:t>0.43</w:t>
            </w:r>
          </w:p>
        </w:tc>
        <w:tc>
          <w:tcPr>
            <w:tcW w:w="393" w:type="pct"/>
            <w:vAlign w:val="center"/>
          </w:tcPr>
          <w:p w14:paraId="3B868CF4"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6EC67189" w14:textId="77777777" w:rsidTr="00444693">
        <w:trPr>
          <w:cantSplit/>
          <w:trHeight w:val="13"/>
        </w:trPr>
        <w:tc>
          <w:tcPr>
            <w:tcW w:w="491" w:type="pct"/>
            <w:vMerge/>
            <w:tcBorders>
              <w:bottom w:val="single" w:sz="4" w:space="0" w:color="auto"/>
            </w:tcBorders>
          </w:tcPr>
          <w:p w14:paraId="5886A61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09E2B73"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EF5C0FC" w14:textId="77777777" w:rsidR="00CE1436" w:rsidRDefault="00CE1436" w:rsidP="00444693">
            <w:pPr>
              <w:pStyle w:val="TableText"/>
              <w:widowControl w:val="0"/>
              <w:suppressAutoHyphens w:val="0"/>
              <w:spacing w:before="0" w:after="0" w:line="240" w:lineRule="auto"/>
              <w:rPr>
                <w:szCs w:val="17"/>
              </w:rPr>
            </w:pPr>
          </w:p>
        </w:tc>
        <w:tc>
          <w:tcPr>
            <w:tcW w:w="491" w:type="pct"/>
          </w:tcPr>
          <w:p w14:paraId="04F92DBC"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665C42E3"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7C7EE424" w14:textId="77777777" w:rsidR="00CE1436" w:rsidRDefault="00CE1436" w:rsidP="00444693">
            <w:pPr>
              <w:pStyle w:val="TableText"/>
              <w:widowControl w:val="0"/>
              <w:suppressAutoHyphens w:val="0"/>
              <w:spacing w:before="0" w:after="0" w:line="240" w:lineRule="auto"/>
              <w:jc w:val="center"/>
              <w:rPr>
                <w:szCs w:val="17"/>
              </w:rPr>
            </w:pPr>
            <w:r>
              <w:rPr>
                <w:szCs w:val="17"/>
              </w:rPr>
              <w:t>173</w:t>
            </w:r>
          </w:p>
        </w:tc>
        <w:tc>
          <w:tcPr>
            <w:tcW w:w="312" w:type="pct"/>
          </w:tcPr>
          <w:p w14:paraId="2B03259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32C552D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707E52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64EF34AD" w14:textId="77777777" w:rsidR="00CE1436" w:rsidRPr="003B78B6" w:rsidRDefault="00CE1436" w:rsidP="00444693">
            <w:pPr>
              <w:pStyle w:val="TableText"/>
              <w:widowControl w:val="0"/>
              <w:suppressAutoHyphens w:val="0"/>
              <w:spacing w:before="0" w:after="0" w:line="240" w:lineRule="auto"/>
              <w:jc w:val="center"/>
            </w:pPr>
            <w:r>
              <w:rPr>
                <w:color w:val="1A1B1A"/>
                <w:szCs w:val="17"/>
              </w:rPr>
              <w:t>2.5</w:t>
            </w:r>
          </w:p>
        </w:tc>
        <w:tc>
          <w:tcPr>
            <w:tcW w:w="312" w:type="pct"/>
            <w:vAlign w:val="center"/>
          </w:tcPr>
          <w:p w14:paraId="47C4C86F"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634A2044" w14:textId="77777777" w:rsidR="00CE1436" w:rsidRPr="0027505E" w:rsidRDefault="00CE1436" w:rsidP="00444693">
            <w:pPr>
              <w:pStyle w:val="TableText"/>
              <w:widowControl w:val="0"/>
              <w:suppressAutoHyphens w:val="0"/>
              <w:spacing w:before="0" w:after="0" w:line="240" w:lineRule="auto"/>
              <w:jc w:val="center"/>
            </w:pPr>
            <w:r>
              <w:rPr>
                <w:color w:val="1A1B1A"/>
                <w:szCs w:val="17"/>
              </w:rPr>
              <w:t>0.41</w:t>
            </w:r>
          </w:p>
        </w:tc>
        <w:tc>
          <w:tcPr>
            <w:tcW w:w="393" w:type="pct"/>
            <w:vAlign w:val="center"/>
          </w:tcPr>
          <w:p w14:paraId="2DC4B7A8"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03D54AE8" w14:textId="77777777" w:rsidTr="00444693">
        <w:trPr>
          <w:cantSplit/>
          <w:trHeight w:val="13"/>
        </w:trPr>
        <w:tc>
          <w:tcPr>
            <w:tcW w:w="491" w:type="pct"/>
            <w:vMerge/>
            <w:tcBorders>
              <w:bottom w:val="single" w:sz="4" w:space="0" w:color="auto"/>
            </w:tcBorders>
          </w:tcPr>
          <w:p w14:paraId="4DFE75E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5FCFBC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554B0C1" w14:textId="77777777" w:rsidR="00CE1436" w:rsidRDefault="00CE1436" w:rsidP="00444693">
            <w:pPr>
              <w:pStyle w:val="TableText"/>
              <w:widowControl w:val="0"/>
              <w:suppressAutoHyphens w:val="0"/>
              <w:spacing w:before="0" w:after="0" w:line="240" w:lineRule="auto"/>
              <w:rPr>
                <w:szCs w:val="17"/>
              </w:rPr>
            </w:pPr>
          </w:p>
        </w:tc>
        <w:tc>
          <w:tcPr>
            <w:tcW w:w="491" w:type="pct"/>
          </w:tcPr>
          <w:p w14:paraId="5D0DA850"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6FFEFAD9"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23EA455A"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shd w:val="clear" w:color="auto" w:fill="D5D7D5" w:themeFill="text1" w:themeFillTint="33"/>
          </w:tcPr>
          <w:p w14:paraId="6D736489" w14:textId="77777777" w:rsidR="00CE1436" w:rsidRDefault="00CE1436" w:rsidP="00444693">
            <w:pPr>
              <w:pStyle w:val="TableText"/>
              <w:widowControl w:val="0"/>
              <w:suppressAutoHyphens w:val="0"/>
              <w:spacing w:before="0" w:after="0" w:line="240" w:lineRule="auto"/>
              <w:jc w:val="center"/>
              <w:rPr>
                <w:szCs w:val="17"/>
              </w:rPr>
            </w:pPr>
            <w:r>
              <w:rPr>
                <w:szCs w:val="17"/>
              </w:rPr>
              <w:t>1.48</w:t>
            </w:r>
            <w:r w:rsidRPr="00DA6F86">
              <w:rPr>
                <w:szCs w:val="17"/>
                <w:vertAlign w:val="superscript"/>
              </w:rPr>
              <w:t>d</w:t>
            </w:r>
          </w:p>
        </w:tc>
        <w:tc>
          <w:tcPr>
            <w:tcW w:w="311" w:type="pct"/>
          </w:tcPr>
          <w:p w14:paraId="7EE4C99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A1770F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605580FB" w14:textId="77777777" w:rsidR="00CE1436" w:rsidRPr="003B78B6" w:rsidRDefault="00CE1436" w:rsidP="00444693">
            <w:pPr>
              <w:pStyle w:val="TableText"/>
              <w:widowControl w:val="0"/>
              <w:suppressAutoHyphens w:val="0"/>
              <w:spacing w:before="0" w:after="0" w:line="240" w:lineRule="auto"/>
              <w:jc w:val="center"/>
            </w:pPr>
            <w:r>
              <w:rPr>
                <w:color w:val="1A1B1A"/>
                <w:szCs w:val="17"/>
              </w:rPr>
              <w:t>3.4</w:t>
            </w:r>
          </w:p>
        </w:tc>
        <w:tc>
          <w:tcPr>
            <w:tcW w:w="312" w:type="pct"/>
            <w:vAlign w:val="center"/>
          </w:tcPr>
          <w:p w14:paraId="4B420170"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3E3E00E0" w14:textId="77777777" w:rsidR="00CE1436" w:rsidRPr="0027505E" w:rsidRDefault="00CE1436" w:rsidP="00444693">
            <w:pPr>
              <w:pStyle w:val="TableText"/>
              <w:widowControl w:val="0"/>
              <w:suppressAutoHyphens w:val="0"/>
              <w:spacing w:before="0" w:after="0" w:line="240" w:lineRule="auto"/>
              <w:jc w:val="center"/>
            </w:pPr>
            <w:r>
              <w:rPr>
                <w:color w:val="1A1B1A"/>
                <w:szCs w:val="17"/>
              </w:rPr>
              <w:t>0.56</w:t>
            </w:r>
          </w:p>
        </w:tc>
        <w:tc>
          <w:tcPr>
            <w:tcW w:w="393" w:type="pct"/>
            <w:vAlign w:val="center"/>
          </w:tcPr>
          <w:p w14:paraId="6BB46D62" w14:textId="77777777" w:rsidR="00CE1436" w:rsidRPr="0027505E" w:rsidRDefault="00CE1436" w:rsidP="00444693">
            <w:pPr>
              <w:pStyle w:val="TableText"/>
              <w:widowControl w:val="0"/>
              <w:suppressAutoHyphens w:val="0"/>
              <w:spacing w:before="0" w:after="0" w:line="240" w:lineRule="auto"/>
              <w:jc w:val="center"/>
            </w:pPr>
            <w:r>
              <w:rPr>
                <w:color w:val="1A1B1A"/>
                <w:szCs w:val="17"/>
              </w:rPr>
              <w:t>288</w:t>
            </w:r>
          </w:p>
        </w:tc>
      </w:tr>
      <w:tr w:rsidR="00CE1436" w:rsidRPr="0027505E" w14:paraId="138CF355" w14:textId="77777777" w:rsidTr="00444693">
        <w:trPr>
          <w:cantSplit/>
          <w:trHeight w:val="13"/>
        </w:trPr>
        <w:tc>
          <w:tcPr>
            <w:tcW w:w="491" w:type="pct"/>
            <w:vMerge/>
            <w:tcBorders>
              <w:bottom w:val="single" w:sz="4" w:space="0" w:color="auto"/>
            </w:tcBorders>
          </w:tcPr>
          <w:p w14:paraId="28A754F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673416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EA1C730" w14:textId="77777777" w:rsidR="00CE1436" w:rsidRDefault="00CE1436" w:rsidP="00444693">
            <w:pPr>
              <w:pStyle w:val="TableText"/>
              <w:widowControl w:val="0"/>
              <w:suppressAutoHyphens w:val="0"/>
              <w:spacing w:before="0" w:after="0" w:line="240" w:lineRule="auto"/>
              <w:rPr>
                <w:szCs w:val="17"/>
              </w:rPr>
            </w:pPr>
          </w:p>
        </w:tc>
        <w:tc>
          <w:tcPr>
            <w:tcW w:w="491" w:type="pct"/>
          </w:tcPr>
          <w:p w14:paraId="1F637F6A"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471BCC77"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107FCB99"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tcPr>
          <w:p w14:paraId="11B2624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03722D3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E3E745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4D0339FA" w14:textId="77777777" w:rsidR="00CE1436" w:rsidRPr="003B78B6"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0FD40104"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5337BE15" w14:textId="77777777" w:rsidR="00CE1436" w:rsidRPr="0027505E" w:rsidRDefault="00CE1436" w:rsidP="00444693">
            <w:pPr>
              <w:pStyle w:val="TableText"/>
              <w:widowControl w:val="0"/>
              <w:suppressAutoHyphens w:val="0"/>
              <w:spacing w:before="0" w:after="0" w:line="240" w:lineRule="auto"/>
              <w:jc w:val="center"/>
            </w:pPr>
            <w:r>
              <w:rPr>
                <w:color w:val="1A1B1A"/>
                <w:szCs w:val="17"/>
              </w:rPr>
              <w:t>0.38</w:t>
            </w:r>
          </w:p>
        </w:tc>
        <w:tc>
          <w:tcPr>
            <w:tcW w:w="393" w:type="pct"/>
            <w:vAlign w:val="center"/>
          </w:tcPr>
          <w:p w14:paraId="1C841E59"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50599463" w14:textId="77777777" w:rsidTr="00444693">
        <w:trPr>
          <w:cantSplit/>
          <w:trHeight w:val="13"/>
        </w:trPr>
        <w:tc>
          <w:tcPr>
            <w:tcW w:w="491" w:type="pct"/>
            <w:vMerge/>
            <w:tcBorders>
              <w:bottom w:val="single" w:sz="4" w:space="0" w:color="auto"/>
            </w:tcBorders>
          </w:tcPr>
          <w:p w14:paraId="215FC3C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1E71A4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E75C2C" w14:textId="77777777" w:rsidR="00CE1436" w:rsidRDefault="00CE1436" w:rsidP="00444693">
            <w:pPr>
              <w:pStyle w:val="TableText"/>
              <w:widowControl w:val="0"/>
              <w:suppressAutoHyphens w:val="0"/>
              <w:spacing w:before="0" w:after="0" w:line="240" w:lineRule="auto"/>
              <w:rPr>
                <w:szCs w:val="17"/>
              </w:rPr>
            </w:pPr>
          </w:p>
        </w:tc>
        <w:tc>
          <w:tcPr>
            <w:tcW w:w="491" w:type="pct"/>
          </w:tcPr>
          <w:p w14:paraId="4BC7EA1C"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4F6D241D"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290F549D"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4C2DC9F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13AA457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638220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327D3B2F" w14:textId="77777777" w:rsidR="00CE1436" w:rsidRPr="003B78B6" w:rsidRDefault="00CE1436" w:rsidP="00444693">
            <w:pPr>
              <w:pStyle w:val="TableText"/>
              <w:widowControl w:val="0"/>
              <w:suppressAutoHyphens w:val="0"/>
              <w:spacing w:before="0" w:after="0" w:line="240" w:lineRule="auto"/>
              <w:jc w:val="center"/>
            </w:pPr>
            <w:r>
              <w:rPr>
                <w:color w:val="1A1B1A"/>
                <w:szCs w:val="17"/>
              </w:rPr>
              <w:t>2.1</w:t>
            </w:r>
          </w:p>
        </w:tc>
        <w:tc>
          <w:tcPr>
            <w:tcW w:w="312" w:type="pct"/>
            <w:vAlign w:val="center"/>
          </w:tcPr>
          <w:p w14:paraId="0954441B"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00C584F9" w14:textId="77777777" w:rsidR="00CE1436" w:rsidRPr="0027505E" w:rsidRDefault="00CE1436" w:rsidP="00444693">
            <w:pPr>
              <w:pStyle w:val="TableText"/>
              <w:widowControl w:val="0"/>
              <w:suppressAutoHyphens w:val="0"/>
              <w:spacing w:before="0" w:after="0" w:line="240" w:lineRule="auto"/>
              <w:jc w:val="center"/>
            </w:pPr>
            <w:r>
              <w:rPr>
                <w:color w:val="1A1B1A"/>
                <w:szCs w:val="17"/>
              </w:rPr>
              <w:t>0.35</w:t>
            </w:r>
          </w:p>
        </w:tc>
        <w:tc>
          <w:tcPr>
            <w:tcW w:w="393" w:type="pct"/>
            <w:vAlign w:val="center"/>
          </w:tcPr>
          <w:p w14:paraId="348AEAAC"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1BED13DE" w14:textId="77777777" w:rsidTr="00444693">
        <w:trPr>
          <w:cantSplit/>
          <w:trHeight w:val="13"/>
        </w:trPr>
        <w:tc>
          <w:tcPr>
            <w:tcW w:w="491" w:type="pct"/>
            <w:vMerge/>
            <w:tcBorders>
              <w:bottom w:val="single" w:sz="4" w:space="0" w:color="auto"/>
            </w:tcBorders>
          </w:tcPr>
          <w:p w14:paraId="179E7F6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689937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6EC07C9" w14:textId="77777777" w:rsidR="00CE1436" w:rsidRDefault="00CE1436" w:rsidP="00444693">
            <w:pPr>
              <w:pStyle w:val="TableText"/>
              <w:widowControl w:val="0"/>
              <w:suppressAutoHyphens w:val="0"/>
              <w:spacing w:before="0" w:after="0" w:line="240" w:lineRule="auto"/>
              <w:rPr>
                <w:szCs w:val="17"/>
              </w:rPr>
            </w:pPr>
          </w:p>
        </w:tc>
        <w:tc>
          <w:tcPr>
            <w:tcW w:w="491" w:type="pct"/>
          </w:tcPr>
          <w:p w14:paraId="37F3A102" w14:textId="77777777" w:rsidR="00CE1436" w:rsidRDefault="00CE1436" w:rsidP="00444693">
            <w:pPr>
              <w:pStyle w:val="TableText"/>
              <w:widowControl w:val="0"/>
              <w:suppressAutoHyphens w:val="0"/>
              <w:spacing w:before="0" w:after="0" w:line="240" w:lineRule="auto"/>
              <w:jc w:val="center"/>
              <w:rPr>
                <w:szCs w:val="17"/>
              </w:rPr>
            </w:pPr>
          </w:p>
        </w:tc>
        <w:tc>
          <w:tcPr>
            <w:tcW w:w="449" w:type="pct"/>
          </w:tcPr>
          <w:p w14:paraId="18748E4A"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Pr>
          <w:p w14:paraId="4A836813" w14:textId="77777777" w:rsidR="00CE1436" w:rsidRDefault="00CE1436" w:rsidP="00444693">
            <w:pPr>
              <w:pStyle w:val="TableText"/>
              <w:widowControl w:val="0"/>
              <w:suppressAutoHyphens w:val="0"/>
              <w:spacing w:before="0" w:after="0" w:line="240" w:lineRule="auto"/>
              <w:jc w:val="center"/>
              <w:rPr>
                <w:szCs w:val="17"/>
              </w:rPr>
            </w:pPr>
            <w:r>
              <w:rPr>
                <w:szCs w:val="17"/>
              </w:rPr>
              <w:t>113</w:t>
            </w:r>
          </w:p>
        </w:tc>
        <w:tc>
          <w:tcPr>
            <w:tcW w:w="312" w:type="pct"/>
          </w:tcPr>
          <w:p w14:paraId="2E3C8DC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Pr>
          <w:p w14:paraId="6417BBD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D8E424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vAlign w:val="center"/>
          </w:tcPr>
          <w:p w14:paraId="5591A4D0"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4F6CA5B0"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161D40E2" w14:textId="77777777" w:rsidR="00CE1436" w:rsidRPr="0027505E" w:rsidRDefault="00CE1436" w:rsidP="00444693">
            <w:pPr>
              <w:pStyle w:val="TableText"/>
              <w:widowControl w:val="0"/>
              <w:suppressAutoHyphens w:val="0"/>
              <w:spacing w:before="0" w:after="0" w:line="240" w:lineRule="auto"/>
              <w:jc w:val="center"/>
            </w:pPr>
            <w:r>
              <w:rPr>
                <w:color w:val="1A1B1A"/>
                <w:szCs w:val="17"/>
              </w:rPr>
              <w:t>0.26</w:t>
            </w:r>
          </w:p>
        </w:tc>
        <w:tc>
          <w:tcPr>
            <w:tcW w:w="393" w:type="pct"/>
            <w:vAlign w:val="center"/>
          </w:tcPr>
          <w:p w14:paraId="7B4EDFCF" w14:textId="77777777" w:rsidR="00CE1436" w:rsidRPr="0027505E" w:rsidRDefault="00CE1436" w:rsidP="00444693">
            <w:pPr>
              <w:pStyle w:val="TableText"/>
              <w:widowControl w:val="0"/>
              <w:suppressAutoHyphens w:val="0"/>
              <w:spacing w:before="0" w:after="0" w:line="240" w:lineRule="auto"/>
              <w:jc w:val="center"/>
            </w:pPr>
            <w:r>
              <w:rPr>
                <w:color w:val="1A1B1A"/>
                <w:szCs w:val="17"/>
              </w:rPr>
              <w:t>427</w:t>
            </w:r>
          </w:p>
        </w:tc>
      </w:tr>
      <w:tr w:rsidR="00CE1436" w:rsidRPr="00C3293F" w14:paraId="4A0854EC" w14:textId="77777777" w:rsidTr="00444693">
        <w:trPr>
          <w:cantSplit/>
          <w:trHeight w:val="13"/>
        </w:trPr>
        <w:tc>
          <w:tcPr>
            <w:tcW w:w="491" w:type="pct"/>
            <w:vMerge/>
            <w:tcBorders>
              <w:bottom w:val="single" w:sz="4" w:space="0" w:color="auto"/>
            </w:tcBorders>
          </w:tcPr>
          <w:p w14:paraId="711FF54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2127A03"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DFCCC9"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29C01310" w14:textId="77777777" w:rsidR="00CE1436" w:rsidRDefault="00CE1436" w:rsidP="00444693">
            <w:pPr>
              <w:pStyle w:val="TableText"/>
              <w:widowControl w:val="0"/>
              <w:suppressAutoHyphens w:val="0"/>
              <w:spacing w:before="0" w:after="0" w:line="240" w:lineRule="auto"/>
              <w:jc w:val="center"/>
              <w:rPr>
                <w:szCs w:val="17"/>
              </w:rPr>
            </w:pPr>
          </w:p>
        </w:tc>
        <w:tc>
          <w:tcPr>
            <w:tcW w:w="449" w:type="pct"/>
            <w:tcBorders>
              <w:bottom w:val="single" w:sz="4" w:space="0" w:color="auto"/>
            </w:tcBorders>
          </w:tcPr>
          <w:p w14:paraId="48A810B3" w14:textId="77777777" w:rsidR="00CE1436" w:rsidRPr="00426E98" w:rsidRDefault="00CE1436" w:rsidP="00444693">
            <w:pPr>
              <w:pStyle w:val="TableText"/>
              <w:widowControl w:val="0"/>
              <w:suppressAutoHyphens w:val="0"/>
              <w:spacing w:before="0" w:after="0" w:line="240" w:lineRule="auto"/>
              <w:jc w:val="center"/>
              <w:rPr>
                <w:szCs w:val="17"/>
              </w:rPr>
            </w:pPr>
            <w:r w:rsidRPr="00532CBF">
              <w:rPr>
                <w:szCs w:val="17"/>
              </w:rPr>
              <w:t>14.3</w:t>
            </w:r>
          </w:p>
        </w:tc>
        <w:tc>
          <w:tcPr>
            <w:tcW w:w="311" w:type="pct"/>
            <w:tcBorders>
              <w:bottom w:val="single" w:sz="4" w:space="0" w:color="auto"/>
            </w:tcBorders>
          </w:tcPr>
          <w:p w14:paraId="72956C3B" w14:textId="77777777" w:rsidR="00CE1436" w:rsidRDefault="00CE1436" w:rsidP="00444693">
            <w:pPr>
              <w:pStyle w:val="TableText"/>
              <w:widowControl w:val="0"/>
              <w:suppressAutoHyphens w:val="0"/>
              <w:spacing w:before="0" w:after="0" w:line="240" w:lineRule="auto"/>
              <w:jc w:val="center"/>
              <w:rPr>
                <w:szCs w:val="17"/>
              </w:rPr>
            </w:pPr>
            <w:r>
              <w:rPr>
                <w:szCs w:val="17"/>
              </w:rPr>
              <w:t>108</w:t>
            </w:r>
          </w:p>
        </w:tc>
        <w:tc>
          <w:tcPr>
            <w:tcW w:w="312" w:type="pct"/>
            <w:tcBorders>
              <w:bottom w:val="single" w:sz="4" w:space="0" w:color="auto"/>
            </w:tcBorders>
          </w:tcPr>
          <w:p w14:paraId="6965FF0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Borders>
              <w:bottom w:val="single" w:sz="4" w:space="0" w:color="auto"/>
            </w:tcBorders>
          </w:tcPr>
          <w:p w14:paraId="08F5A97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53728EE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1" w:type="pct"/>
            <w:tcBorders>
              <w:bottom w:val="single" w:sz="4" w:space="0" w:color="auto"/>
            </w:tcBorders>
            <w:vAlign w:val="center"/>
          </w:tcPr>
          <w:p w14:paraId="6CE1CE05"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1.5</w:t>
            </w:r>
          </w:p>
        </w:tc>
        <w:tc>
          <w:tcPr>
            <w:tcW w:w="312" w:type="pct"/>
            <w:tcBorders>
              <w:bottom w:val="single" w:sz="4" w:space="0" w:color="auto"/>
            </w:tcBorders>
            <w:vAlign w:val="center"/>
          </w:tcPr>
          <w:p w14:paraId="2DA9914D" w14:textId="77777777" w:rsidR="00CE1436" w:rsidRPr="000056F1"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bottom w:val="single" w:sz="4" w:space="0" w:color="auto"/>
            </w:tcBorders>
            <w:vAlign w:val="center"/>
          </w:tcPr>
          <w:p w14:paraId="5D37F7A2" w14:textId="77777777" w:rsidR="00CE1436" w:rsidRDefault="00CE1436" w:rsidP="00444693">
            <w:pPr>
              <w:pStyle w:val="TableText"/>
              <w:widowControl w:val="0"/>
              <w:suppressAutoHyphens w:val="0"/>
              <w:spacing w:before="0" w:after="0" w:line="240" w:lineRule="auto"/>
              <w:jc w:val="center"/>
            </w:pPr>
            <w:r>
              <w:rPr>
                <w:color w:val="1A1B1A"/>
                <w:szCs w:val="17"/>
              </w:rPr>
              <w:t>0.25</w:t>
            </w:r>
          </w:p>
        </w:tc>
        <w:tc>
          <w:tcPr>
            <w:tcW w:w="393" w:type="pct"/>
            <w:tcBorders>
              <w:bottom w:val="single" w:sz="4" w:space="0" w:color="auto"/>
            </w:tcBorders>
            <w:vAlign w:val="center"/>
          </w:tcPr>
          <w:p w14:paraId="4723F8B0" w14:textId="77777777" w:rsidR="00CE1436" w:rsidRPr="00C3293F" w:rsidRDefault="00CE1436" w:rsidP="00444693">
            <w:pPr>
              <w:pStyle w:val="TableText"/>
              <w:widowControl w:val="0"/>
              <w:suppressAutoHyphens w:val="0"/>
              <w:spacing w:before="0" w:after="0" w:line="240" w:lineRule="auto"/>
              <w:jc w:val="center"/>
            </w:pPr>
            <w:r>
              <w:rPr>
                <w:color w:val="1A1B1A"/>
                <w:szCs w:val="17"/>
              </w:rPr>
              <w:t>427</w:t>
            </w:r>
          </w:p>
        </w:tc>
      </w:tr>
      <w:tr w:rsidR="00CE1436" w:rsidRPr="0027505E" w14:paraId="18C30C88" w14:textId="77777777" w:rsidTr="00444693">
        <w:trPr>
          <w:cantSplit/>
          <w:trHeight w:val="13"/>
        </w:trPr>
        <w:tc>
          <w:tcPr>
            <w:tcW w:w="5000" w:type="pct"/>
            <w:gridSpan w:val="13"/>
            <w:tcBorders>
              <w:top w:val="single" w:sz="4" w:space="0" w:color="auto"/>
              <w:bottom w:val="single" w:sz="4" w:space="0" w:color="auto"/>
            </w:tcBorders>
          </w:tcPr>
          <w:p w14:paraId="3CAECB89" w14:textId="77777777" w:rsidR="00CE1436" w:rsidRPr="0027505E" w:rsidRDefault="00CE1436" w:rsidP="00AC06D7">
            <w:pPr>
              <w:pStyle w:val="TableSubHead0"/>
            </w:pPr>
            <w:r w:rsidRPr="005D3DCC">
              <w:t>Pre-harvest desiccation in cotton</w:t>
            </w:r>
          </w:p>
        </w:tc>
      </w:tr>
      <w:tr w:rsidR="00CE1436" w:rsidRPr="00C3293F" w14:paraId="2A45A837" w14:textId="77777777" w:rsidTr="00444693">
        <w:trPr>
          <w:cantSplit/>
          <w:trHeight w:val="13"/>
        </w:trPr>
        <w:tc>
          <w:tcPr>
            <w:tcW w:w="491" w:type="pct"/>
            <w:tcBorders>
              <w:top w:val="single" w:sz="4" w:space="0" w:color="auto"/>
              <w:bottom w:val="single" w:sz="4" w:space="0" w:color="auto"/>
            </w:tcBorders>
          </w:tcPr>
          <w:p w14:paraId="0DC47502" w14:textId="77777777" w:rsidR="00CE1436" w:rsidRDefault="00CE1436" w:rsidP="00444693">
            <w:pPr>
              <w:pStyle w:val="TableText"/>
              <w:widowControl w:val="0"/>
              <w:suppressAutoHyphens w:val="0"/>
              <w:spacing w:before="0" w:after="0" w:line="240" w:lineRule="auto"/>
              <w:rPr>
                <w:szCs w:val="17"/>
              </w:rPr>
            </w:pPr>
            <w:r>
              <w:rPr>
                <w:szCs w:val="17"/>
              </w:rPr>
              <w:t>Cotton</w:t>
            </w:r>
          </w:p>
        </w:tc>
        <w:tc>
          <w:tcPr>
            <w:tcW w:w="518" w:type="pct"/>
            <w:tcBorders>
              <w:top w:val="single" w:sz="4" w:space="0" w:color="auto"/>
              <w:bottom w:val="single" w:sz="4" w:space="0" w:color="auto"/>
            </w:tcBorders>
          </w:tcPr>
          <w:p w14:paraId="44C978A9" w14:textId="77777777" w:rsidR="00CE1436" w:rsidRDefault="00CE1436" w:rsidP="00444693">
            <w:pPr>
              <w:pStyle w:val="TableText"/>
              <w:widowControl w:val="0"/>
              <w:suppressAutoHyphens w:val="0"/>
              <w:spacing w:before="0" w:after="0" w:line="240" w:lineRule="auto"/>
              <w:rPr>
                <w:szCs w:val="17"/>
              </w:rPr>
            </w:pPr>
            <w:r>
              <w:rPr>
                <w:szCs w:val="17"/>
              </w:rPr>
              <w:t>Small herbivore</w:t>
            </w:r>
          </w:p>
        </w:tc>
        <w:tc>
          <w:tcPr>
            <w:tcW w:w="477" w:type="pct"/>
            <w:tcBorders>
              <w:top w:val="single" w:sz="4" w:space="0" w:color="auto"/>
              <w:bottom w:val="single" w:sz="4" w:space="0" w:color="auto"/>
            </w:tcBorders>
          </w:tcPr>
          <w:p w14:paraId="0026C84F" w14:textId="77777777" w:rsidR="00CE1436" w:rsidRDefault="00CE1436" w:rsidP="00444693">
            <w:pPr>
              <w:pStyle w:val="TableText"/>
              <w:widowControl w:val="0"/>
              <w:suppressAutoHyphens w:val="0"/>
              <w:spacing w:before="0" w:after="0" w:line="240" w:lineRule="auto"/>
              <w:rPr>
                <w:szCs w:val="17"/>
              </w:rPr>
            </w:pPr>
            <w:r>
              <w:rPr>
                <w:szCs w:val="17"/>
              </w:rPr>
              <w:t>BBCH ≥50</w:t>
            </w:r>
          </w:p>
        </w:tc>
        <w:tc>
          <w:tcPr>
            <w:tcW w:w="491" w:type="pct"/>
            <w:tcBorders>
              <w:top w:val="single" w:sz="4" w:space="0" w:color="auto"/>
              <w:bottom w:val="single" w:sz="4" w:space="0" w:color="auto"/>
            </w:tcBorders>
          </w:tcPr>
          <w:p w14:paraId="6ADF3B2A"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bottom w:val="single" w:sz="4" w:space="0" w:color="auto"/>
            </w:tcBorders>
            <w:shd w:val="clear" w:color="auto" w:fill="D5D7D5" w:themeFill="text1" w:themeFillTint="33"/>
          </w:tcPr>
          <w:p w14:paraId="10EDAA81" w14:textId="77777777" w:rsidR="00CE1436" w:rsidRDefault="00CE1436" w:rsidP="00444693">
            <w:pPr>
              <w:pStyle w:val="TableText"/>
              <w:widowControl w:val="0"/>
              <w:suppressAutoHyphens w:val="0"/>
              <w:spacing w:before="0" w:after="0" w:line="240" w:lineRule="auto"/>
              <w:jc w:val="center"/>
            </w:pPr>
            <w:r>
              <w:t>28.0</w:t>
            </w:r>
            <w:r w:rsidRPr="00077A92">
              <w:rPr>
                <w:vertAlign w:val="superscript"/>
              </w:rPr>
              <w:t>a</w:t>
            </w:r>
            <w:r>
              <w:rPr>
                <w:vertAlign w:val="superscript"/>
              </w:rPr>
              <w:t>,c</w:t>
            </w:r>
          </w:p>
        </w:tc>
        <w:tc>
          <w:tcPr>
            <w:tcW w:w="311" w:type="pct"/>
            <w:tcBorders>
              <w:top w:val="single" w:sz="4" w:space="0" w:color="auto"/>
              <w:bottom w:val="single" w:sz="4" w:space="0" w:color="auto"/>
            </w:tcBorders>
          </w:tcPr>
          <w:p w14:paraId="08B2DC7A" w14:textId="77777777" w:rsidR="00CE1436" w:rsidRDefault="00CE1436" w:rsidP="00444693">
            <w:pPr>
              <w:pStyle w:val="TableText"/>
              <w:widowControl w:val="0"/>
              <w:suppressAutoHyphens w:val="0"/>
              <w:spacing w:before="0" w:after="0" w:line="240" w:lineRule="auto"/>
              <w:jc w:val="center"/>
            </w:pPr>
            <w:r>
              <w:t>216</w:t>
            </w:r>
          </w:p>
        </w:tc>
        <w:tc>
          <w:tcPr>
            <w:tcW w:w="312" w:type="pct"/>
            <w:tcBorders>
              <w:top w:val="single" w:sz="4" w:space="0" w:color="auto"/>
              <w:bottom w:val="single" w:sz="4" w:space="0" w:color="auto"/>
            </w:tcBorders>
          </w:tcPr>
          <w:p w14:paraId="50C0DDFB"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bottom w:val="single" w:sz="4" w:space="0" w:color="auto"/>
            </w:tcBorders>
          </w:tcPr>
          <w:p w14:paraId="1210BFBA"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bottom w:val="single" w:sz="4" w:space="0" w:color="auto"/>
            </w:tcBorders>
          </w:tcPr>
          <w:p w14:paraId="2797F85F"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bottom w:val="single" w:sz="4" w:space="0" w:color="auto"/>
            </w:tcBorders>
          </w:tcPr>
          <w:p w14:paraId="0C201807" w14:textId="77777777" w:rsidR="00CE1436" w:rsidRDefault="00CE1436" w:rsidP="00444693">
            <w:pPr>
              <w:pStyle w:val="TableText"/>
              <w:widowControl w:val="0"/>
              <w:suppressAutoHyphens w:val="0"/>
              <w:spacing w:before="0" w:after="0" w:line="240" w:lineRule="auto"/>
              <w:jc w:val="center"/>
            </w:pPr>
            <w:r w:rsidRPr="003B78B6">
              <w:t>6.0</w:t>
            </w:r>
          </w:p>
        </w:tc>
        <w:tc>
          <w:tcPr>
            <w:tcW w:w="312" w:type="pct"/>
            <w:tcBorders>
              <w:top w:val="single" w:sz="4" w:space="0" w:color="auto"/>
              <w:bottom w:val="single" w:sz="4" w:space="0" w:color="auto"/>
            </w:tcBorders>
          </w:tcPr>
          <w:p w14:paraId="46466AE8" w14:textId="77777777" w:rsidR="00CE1436" w:rsidRDefault="00CE1436" w:rsidP="00444693">
            <w:pPr>
              <w:pStyle w:val="TableText"/>
              <w:widowControl w:val="0"/>
              <w:suppressAutoHyphens w:val="0"/>
              <w:spacing w:before="0" w:after="0" w:line="240" w:lineRule="auto"/>
              <w:jc w:val="center"/>
              <w:rPr>
                <w:szCs w:val="17"/>
              </w:rPr>
            </w:pPr>
            <w:r>
              <w:rPr>
                <w:szCs w:val="17"/>
              </w:rPr>
              <w:t>6.1</w:t>
            </w:r>
          </w:p>
        </w:tc>
        <w:tc>
          <w:tcPr>
            <w:tcW w:w="312" w:type="pct"/>
            <w:tcBorders>
              <w:top w:val="single" w:sz="4" w:space="0" w:color="auto"/>
              <w:bottom w:val="single" w:sz="4" w:space="0" w:color="auto"/>
            </w:tcBorders>
          </w:tcPr>
          <w:p w14:paraId="16802020" w14:textId="77777777" w:rsidR="00CE1436" w:rsidRDefault="00CE1436" w:rsidP="00444693">
            <w:pPr>
              <w:pStyle w:val="TableText"/>
              <w:widowControl w:val="0"/>
              <w:suppressAutoHyphens w:val="0"/>
              <w:spacing w:before="0" w:after="0" w:line="240" w:lineRule="auto"/>
              <w:jc w:val="center"/>
              <w:rPr>
                <w:szCs w:val="17"/>
              </w:rPr>
            </w:pPr>
            <w:r w:rsidRPr="0027505E">
              <w:t>0.99</w:t>
            </w:r>
          </w:p>
        </w:tc>
        <w:tc>
          <w:tcPr>
            <w:tcW w:w="393" w:type="pct"/>
            <w:tcBorders>
              <w:top w:val="single" w:sz="4" w:space="0" w:color="auto"/>
              <w:bottom w:val="single" w:sz="4" w:space="0" w:color="auto"/>
            </w:tcBorders>
          </w:tcPr>
          <w:p w14:paraId="4C5D16EF" w14:textId="77777777" w:rsidR="00CE1436" w:rsidRPr="00C3293F" w:rsidRDefault="00CE1436" w:rsidP="00444693">
            <w:pPr>
              <w:pStyle w:val="TableText"/>
              <w:widowControl w:val="0"/>
              <w:suppressAutoHyphens w:val="0"/>
              <w:spacing w:before="0" w:after="0" w:line="240" w:lineRule="auto"/>
              <w:jc w:val="center"/>
            </w:pPr>
            <w:r w:rsidRPr="0027505E">
              <w:t>218</w:t>
            </w:r>
          </w:p>
        </w:tc>
      </w:tr>
      <w:tr w:rsidR="00CE1436" w:rsidRPr="0027505E" w14:paraId="073B0103" w14:textId="77777777" w:rsidTr="00444693">
        <w:trPr>
          <w:cantSplit/>
          <w:trHeight w:val="13"/>
        </w:trPr>
        <w:tc>
          <w:tcPr>
            <w:tcW w:w="5000" w:type="pct"/>
            <w:gridSpan w:val="13"/>
            <w:tcBorders>
              <w:bottom w:val="single" w:sz="4" w:space="0" w:color="auto"/>
            </w:tcBorders>
          </w:tcPr>
          <w:p w14:paraId="4D531435" w14:textId="77777777" w:rsidR="00CE1436" w:rsidRPr="0027505E" w:rsidRDefault="00CE1436" w:rsidP="00AC06D7">
            <w:pPr>
              <w:pStyle w:val="TableSubHead0"/>
            </w:pPr>
            <w:r w:rsidRPr="005D3DCC">
              <w:t>General weed control in industrial vegetation management, pasture, public service areas, rights of way</w:t>
            </w:r>
          </w:p>
        </w:tc>
      </w:tr>
      <w:tr w:rsidR="00CE1436" w:rsidRPr="00401A10" w14:paraId="25AE1B11" w14:textId="77777777" w:rsidTr="00444693">
        <w:trPr>
          <w:cantSplit/>
          <w:trHeight w:val="13"/>
        </w:trPr>
        <w:tc>
          <w:tcPr>
            <w:tcW w:w="491" w:type="pct"/>
            <w:vMerge w:val="restart"/>
            <w:tcBorders>
              <w:bottom w:val="single" w:sz="4" w:space="0" w:color="auto"/>
            </w:tcBorders>
          </w:tcPr>
          <w:p w14:paraId="7DA275B3" w14:textId="77777777" w:rsidR="00CE1436" w:rsidRDefault="00CE1436" w:rsidP="00444693">
            <w:pPr>
              <w:pStyle w:val="TableText"/>
              <w:widowControl w:val="0"/>
              <w:suppressAutoHyphens w:val="0"/>
              <w:spacing w:before="0" w:after="0" w:line="240" w:lineRule="auto"/>
              <w:rPr>
                <w:szCs w:val="17"/>
              </w:rPr>
            </w:pPr>
            <w:r>
              <w:rPr>
                <w:szCs w:val="17"/>
              </w:rPr>
              <w:t>Grassland</w:t>
            </w:r>
          </w:p>
        </w:tc>
        <w:tc>
          <w:tcPr>
            <w:tcW w:w="518" w:type="pct"/>
            <w:vMerge w:val="restart"/>
            <w:tcBorders>
              <w:bottom w:val="single" w:sz="4" w:space="0" w:color="auto"/>
            </w:tcBorders>
          </w:tcPr>
          <w:p w14:paraId="5C8A5B46" w14:textId="77777777" w:rsidR="00CE1436"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42DC6106" w14:textId="77777777" w:rsidR="00CE1436" w:rsidRDefault="00CE1436" w:rsidP="00444693">
            <w:pPr>
              <w:pStyle w:val="TableText"/>
              <w:widowControl w:val="0"/>
              <w:suppressAutoHyphens w:val="0"/>
              <w:spacing w:before="0" w:after="0" w:line="240" w:lineRule="auto"/>
              <w:rPr>
                <w:szCs w:val="17"/>
              </w:rPr>
            </w:pPr>
            <w:r>
              <w:rPr>
                <w:szCs w:val="17"/>
              </w:rPr>
              <w:t>All season</w:t>
            </w:r>
          </w:p>
        </w:tc>
        <w:tc>
          <w:tcPr>
            <w:tcW w:w="491" w:type="pct"/>
            <w:tcBorders>
              <w:top w:val="single" w:sz="4" w:space="0" w:color="auto"/>
            </w:tcBorders>
          </w:tcPr>
          <w:p w14:paraId="1B82FFCB"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0B9BD5B5" w14:textId="77777777" w:rsidR="00CE1436" w:rsidRDefault="00CE1436" w:rsidP="00444693">
            <w:pPr>
              <w:pStyle w:val="TableText"/>
              <w:widowControl w:val="0"/>
              <w:suppressAutoHyphens w:val="0"/>
              <w:spacing w:before="0" w:after="0" w:line="240" w:lineRule="auto"/>
              <w:jc w:val="center"/>
            </w:pPr>
            <w:r w:rsidRPr="00B14C17">
              <w:t>112.0</w:t>
            </w:r>
            <w:r w:rsidRPr="00B14C17">
              <w:rPr>
                <w:vertAlign w:val="superscript"/>
              </w:rPr>
              <w:t>a</w:t>
            </w:r>
          </w:p>
        </w:tc>
        <w:tc>
          <w:tcPr>
            <w:tcW w:w="311" w:type="pct"/>
            <w:tcBorders>
              <w:top w:val="single" w:sz="4" w:space="0" w:color="auto"/>
            </w:tcBorders>
          </w:tcPr>
          <w:p w14:paraId="746234C0" w14:textId="77777777" w:rsidR="00CE1436" w:rsidRDefault="00CE1436" w:rsidP="00444693">
            <w:pPr>
              <w:pStyle w:val="TableText"/>
              <w:widowControl w:val="0"/>
              <w:suppressAutoHyphens w:val="0"/>
              <w:spacing w:before="0" w:after="0" w:line="240" w:lineRule="auto"/>
              <w:jc w:val="center"/>
            </w:pPr>
            <w:r>
              <w:t>1140</w:t>
            </w:r>
          </w:p>
        </w:tc>
        <w:tc>
          <w:tcPr>
            <w:tcW w:w="312" w:type="pct"/>
            <w:tcBorders>
              <w:top w:val="single" w:sz="4" w:space="0" w:color="auto"/>
            </w:tcBorders>
          </w:tcPr>
          <w:p w14:paraId="768EAC32"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5A710382"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3CA06A1E"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7113DD35" w14:textId="77777777" w:rsidR="00CE1436" w:rsidRDefault="00CE1436" w:rsidP="00444693">
            <w:pPr>
              <w:pStyle w:val="TableText"/>
              <w:widowControl w:val="0"/>
              <w:suppressAutoHyphens w:val="0"/>
              <w:spacing w:before="0" w:after="0" w:line="240" w:lineRule="auto"/>
              <w:jc w:val="center"/>
            </w:pPr>
            <w:r>
              <w:rPr>
                <w:color w:val="1A1B1A"/>
                <w:szCs w:val="17"/>
              </w:rPr>
              <w:t>128</w:t>
            </w:r>
          </w:p>
        </w:tc>
        <w:tc>
          <w:tcPr>
            <w:tcW w:w="312" w:type="pct"/>
            <w:tcBorders>
              <w:top w:val="single" w:sz="4" w:space="0" w:color="auto"/>
            </w:tcBorders>
            <w:vAlign w:val="center"/>
          </w:tcPr>
          <w:p w14:paraId="221A3211"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61FF7AB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tcBorders>
              <w:top w:val="single" w:sz="4" w:space="0" w:color="auto"/>
            </w:tcBorders>
            <w:vAlign w:val="center"/>
          </w:tcPr>
          <w:p w14:paraId="21145FDB"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1275C87F" w14:textId="77777777" w:rsidTr="00444693">
        <w:trPr>
          <w:cantSplit/>
          <w:trHeight w:val="13"/>
        </w:trPr>
        <w:tc>
          <w:tcPr>
            <w:tcW w:w="491" w:type="pct"/>
            <w:vMerge/>
            <w:tcBorders>
              <w:bottom w:val="single" w:sz="4" w:space="0" w:color="auto"/>
            </w:tcBorders>
          </w:tcPr>
          <w:p w14:paraId="2351321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CFB912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9FCFF47" w14:textId="77777777" w:rsidR="00CE1436" w:rsidRDefault="00CE1436" w:rsidP="00444693">
            <w:pPr>
              <w:pStyle w:val="TableText"/>
              <w:widowControl w:val="0"/>
              <w:suppressAutoHyphens w:val="0"/>
              <w:spacing w:before="0" w:after="0" w:line="240" w:lineRule="auto"/>
              <w:rPr>
                <w:szCs w:val="17"/>
              </w:rPr>
            </w:pPr>
          </w:p>
        </w:tc>
        <w:tc>
          <w:tcPr>
            <w:tcW w:w="491" w:type="pct"/>
          </w:tcPr>
          <w:p w14:paraId="59DA2CE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1FA2351"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14299C24" w14:textId="77777777" w:rsidR="00CE1436" w:rsidRDefault="00CE1436" w:rsidP="00444693">
            <w:pPr>
              <w:pStyle w:val="TableText"/>
              <w:widowControl w:val="0"/>
              <w:suppressAutoHyphens w:val="0"/>
              <w:spacing w:before="0" w:after="0" w:line="240" w:lineRule="auto"/>
              <w:jc w:val="center"/>
            </w:pPr>
            <w:r>
              <w:t>1125</w:t>
            </w:r>
          </w:p>
        </w:tc>
        <w:tc>
          <w:tcPr>
            <w:tcW w:w="312" w:type="pct"/>
          </w:tcPr>
          <w:p w14:paraId="1B57D00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2D4197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DE1FFA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218F166" w14:textId="77777777" w:rsidR="00CE1436" w:rsidRPr="003B78B6" w:rsidRDefault="00CE1436" w:rsidP="00444693">
            <w:pPr>
              <w:pStyle w:val="TableText"/>
              <w:widowControl w:val="0"/>
              <w:suppressAutoHyphens w:val="0"/>
              <w:spacing w:before="0" w:after="0" w:line="240" w:lineRule="auto"/>
              <w:jc w:val="center"/>
            </w:pPr>
            <w:r>
              <w:rPr>
                <w:color w:val="1A1B1A"/>
                <w:szCs w:val="17"/>
              </w:rPr>
              <w:t>126</w:t>
            </w:r>
          </w:p>
        </w:tc>
        <w:tc>
          <w:tcPr>
            <w:tcW w:w="312" w:type="pct"/>
            <w:vAlign w:val="center"/>
          </w:tcPr>
          <w:p w14:paraId="61F1A02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0D9A110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vAlign w:val="center"/>
          </w:tcPr>
          <w:p w14:paraId="6A8BDBA2"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28BE9D6E" w14:textId="77777777" w:rsidTr="00444693">
        <w:trPr>
          <w:cantSplit/>
          <w:trHeight w:val="13"/>
        </w:trPr>
        <w:tc>
          <w:tcPr>
            <w:tcW w:w="491" w:type="pct"/>
            <w:vMerge/>
            <w:tcBorders>
              <w:bottom w:val="single" w:sz="4" w:space="0" w:color="auto"/>
            </w:tcBorders>
          </w:tcPr>
          <w:p w14:paraId="4B99602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60B15A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24AA52D" w14:textId="77777777" w:rsidR="00CE1436" w:rsidRDefault="00CE1436" w:rsidP="00444693">
            <w:pPr>
              <w:pStyle w:val="TableText"/>
              <w:widowControl w:val="0"/>
              <w:suppressAutoHyphens w:val="0"/>
              <w:spacing w:before="0" w:after="0" w:line="240" w:lineRule="auto"/>
              <w:rPr>
                <w:szCs w:val="17"/>
              </w:rPr>
            </w:pPr>
          </w:p>
        </w:tc>
        <w:tc>
          <w:tcPr>
            <w:tcW w:w="491" w:type="pct"/>
          </w:tcPr>
          <w:p w14:paraId="04AF6C5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8DC19E7"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0EDA8AA7" w14:textId="77777777" w:rsidR="00CE1436" w:rsidRDefault="00CE1436" w:rsidP="00444693">
            <w:pPr>
              <w:pStyle w:val="TableText"/>
              <w:widowControl w:val="0"/>
              <w:suppressAutoHyphens w:val="0"/>
              <w:spacing w:before="0" w:after="0" w:line="240" w:lineRule="auto"/>
              <w:jc w:val="center"/>
            </w:pPr>
            <w:r>
              <w:t>1000</w:t>
            </w:r>
          </w:p>
        </w:tc>
        <w:tc>
          <w:tcPr>
            <w:tcW w:w="312" w:type="pct"/>
          </w:tcPr>
          <w:p w14:paraId="7105E7C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A98D512"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432D40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CFDDF9F" w14:textId="77777777" w:rsidR="00CE1436" w:rsidRPr="003B78B6" w:rsidRDefault="00CE1436" w:rsidP="00444693">
            <w:pPr>
              <w:pStyle w:val="TableText"/>
              <w:widowControl w:val="0"/>
              <w:suppressAutoHyphens w:val="0"/>
              <w:spacing w:before="0" w:after="0" w:line="240" w:lineRule="auto"/>
              <w:jc w:val="center"/>
            </w:pPr>
            <w:r>
              <w:rPr>
                <w:color w:val="1A1B1A"/>
                <w:szCs w:val="17"/>
              </w:rPr>
              <w:t>112</w:t>
            </w:r>
          </w:p>
        </w:tc>
        <w:tc>
          <w:tcPr>
            <w:tcW w:w="312" w:type="pct"/>
            <w:vAlign w:val="center"/>
          </w:tcPr>
          <w:p w14:paraId="4278BBF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CD0C1F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5FADC72B"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58115D81" w14:textId="77777777" w:rsidTr="00444693">
        <w:trPr>
          <w:cantSplit/>
          <w:trHeight w:val="13"/>
        </w:trPr>
        <w:tc>
          <w:tcPr>
            <w:tcW w:w="491" w:type="pct"/>
            <w:vMerge/>
            <w:tcBorders>
              <w:bottom w:val="single" w:sz="4" w:space="0" w:color="auto"/>
            </w:tcBorders>
          </w:tcPr>
          <w:p w14:paraId="33AA528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82C455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56D7EC3" w14:textId="77777777" w:rsidR="00CE1436" w:rsidRDefault="00CE1436" w:rsidP="00444693">
            <w:pPr>
              <w:pStyle w:val="TableText"/>
              <w:widowControl w:val="0"/>
              <w:suppressAutoHyphens w:val="0"/>
              <w:spacing w:before="0" w:after="0" w:line="240" w:lineRule="auto"/>
              <w:rPr>
                <w:szCs w:val="17"/>
              </w:rPr>
            </w:pPr>
          </w:p>
        </w:tc>
        <w:tc>
          <w:tcPr>
            <w:tcW w:w="491" w:type="pct"/>
          </w:tcPr>
          <w:p w14:paraId="14A4DC5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3A6368D"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6A876822" w14:textId="77777777" w:rsidR="00CE1436" w:rsidRDefault="00CE1436" w:rsidP="00444693">
            <w:pPr>
              <w:pStyle w:val="TableText"/>
              <w:widowControl w:val="0"/>
              <w:suppressAutoHyphens w:val="0"/>
              <w:spacing w:before="0" w:after="0" w:line="240" w:lineRule="auto"/>
              <w:jc w:val="center"/>
            </w:pPr>
            <w:r>
              <w:t>850</w:t>
            </w:r>
          </w:p>
        </w:tc>
        <w:tc>
          <w:tcPr>
            <w:tcW w:w="312" w:type="pct"/>
          </w:tcPr>
          <w:p w14:paraId="67B2C0E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FA06FD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8EF248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95858CE" w14:textId="77777777" w:rsidR="00CE1436" w:rsidRDefault="00CE1436" w:rsidP="00444693">
            <w:pPr>
              <w:pStyle w:val="TableText"/>
              <w:widowControl w:val="0"/>
              <w:suppressAutoHyphens w:val="0"/>
              <w:spacing w:before="0" w:after="0" w:line="240" w:lineRule="auto"/>
              <w:jc w:val="center"/>
            </w:pPr>
            <w:r>
              <w:rPr>
                <w:color w:val="1A1B1A"/>
                <w:szCs w:val="17"/>
              </w:rPr>
              <w:t>95</w:t>
            </w:r>
          </w:p>
        </w:tc>
        <w:tc>
          <w:tcPr>
            <w:tcW w:w="312" w:type="pct"/>
            <w:vAlign w:val="center"/>
          </w:tcPr>
          <w:p w14:paraId="7D53BEE8"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10CFD5F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93" w:type="pct"/>
            <w:vAlign w:val="center"/>
          </w:tcPr>
          <w:p w14:paraId="104F94EF"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42B4C600" w14:textId="77777777" w:rsidTr="00444693">
        <w:trPr>
          <w:cantSplit/>
          <w:trHeight w:val="13"/>
        </w:trPr>
        <w:tc>
          <w:tcPr>
            <w:tcW w:w="491" w:type="pct"/>
            <w:vMerge/>
            <w:tcBorders>
              <w:bottom w:val="single" w:sz="4" w:space="0" w:color="auto"/>
            </w:tcBorders>
          </w:tcPr>
          <w:p w14:paraId="2D3CFF0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811396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7D3767C" w14:textId="77777777" w:rsidR="00CE1436" w:rsidRDefault="00CE1436" w:rsidP="00444693">
            <w:pPr>
              <w:pStyle w:val="TableText"/>
              <w:widowControl w:val="0"/>
              <w:suppressAutoHyphens w:val="0"/>
              <w:spacing w:before="0" w:after="0" w:line="240" w:lineRule="auto"/>
              <w:rPr>
                <w:szCs w:val="17"/>
              </w:rPr>
            </w:pPr>
          </w:p>
        </w:tc>
        <w:tc>
          <w:tcPr>
            <w:tcW w:w="491" w:type="pct"/>
          </w:tcPr>
          <w:p w14:paraId="367565F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0D666D0"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4C33137A" w14:textId="77777777" w:rsidR="00CE1436" w:rsidRDefault="00CE1436" w:rsidP="00444693">
            <w:pPr>
              <w:pStyle w:val="TableText"/>
              <w:widowControl w:val="0"/>
              <w:suppressAutoHyphens w:val="0"/>
              <w:spacing w:before="0" w:after="0" w:line="240" w:lineRule="auto"/>
              <w:jc w:val="center"/>
            </w:pPr>
            <w:r>
              <w:t>840</w:t>
            </w:r>
          </w:p>
        </w:tc>
        <w:tc>
          <w:tcPr>
            <w:tcW w:w="312" w:type="pct"/>
          </w:tcPr>
          <w:p w14:paraId="5E7F07F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A613DA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F8664D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1D66E28" w14:textId="77777777" w:rsidR="00CE1436" w:rsidRPr="003B78B6" w:rsidRDefault="00CE1436" w:rsidP="00444693">
            <w:pPr>
              <w:pStyle w:val="TableText"/>
              <w:widowControl w:val="0"/>
              <w:suppressAutoHyphens w:val="0"/>
              <w:spacing w:before="0" w:after="0" w:line="240" w:lineRule="auto"/>
              <w:jc w:val="center"/>
            </w:pPr>
            <w:r>
              <w:rPr>
                <w:color w:val="1A1B1A"/>
                <w:szCs w:val="17"/>
              </w:rPr>
              <w:t>94</w:t>
            </w:r>
          </w:p>
        </w:tc>
        <w:tc>
          <w:tcPr>
            <w:tcW w:w="312" w:type="pct"/>
            <w:vAlign w:val="center"/>
          </w:tcPr>
          <w:p w14:paraId="0A4CD245"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02B5D7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93" w:type="pct"/>
            <w:vAlign w:val="center"/>
          </w:tcPr>
          <w:p w14:paraId="5AAD3AC7"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520822E6" w14:textId="77777777" w:rsidTr="00444693">
        <w:trPr>
          <w:cantSplit/>
          <w:trHeight w:val="13"/>
        </w:trPr>
        <w:tc>
          <w:tcPr>
            <w:tcW w:w="491" w:type="pct"/>
            <w:vMerge/>
            <w:tcBorders>
              <w:bottom w:val="single" w:sz="4" w:space="0" w:color="auto"/>
            </w:tcBorders>
          </w:tcPr>
          <w:p w14:paraId="2C1CC27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65C5E16"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092678F" w14:textId="77777777" w:rsidR="00CE1436" w:rsidRDefault="00CE1436" w:rsidP="00444693">
            <w:pPr>
              <w:pStyle w:val="TableText"/>
              <w:widowControl w:val="0"/>
              <w:suppressAutoHyphens w:val="0"/>
              <w:spacing w:before="0" w:after="0" w:line="240" w:lineRule="auto"/>
              <w:rPr>
                <w:szCs w:val="17"/>
              </w:rPr>
            </w:pPr>
          </w:p>
        </w:tc>
        <w:tc>
          <w:tcPr>
            <w:tcW w:w="491" w:type="pct"/>
          </w:tcPr>
          <w:p w14:paraId="0B9B8C3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95E63A8"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65221549" w14:textId="77777777" w:rsidR="00CE1436" w:rsidRDefault="00CE1436" w:rsidP="00444693">
            <w:pPr>
              <w:pStyle w:val="TableText"/>
              <w:widowControl w:val="0"/>
              <w:suppressAutoHyphens w:val="0"/>
              <w:spacing w:before="0" w:after="0" w:line="240" w:lineRule="auto"/>
              <w:jc w:val="center"/>
            </w:pPr>
            <w:r>
              <w:t>750</w:t>
            </w:r>
          </w:p>
        </w:tc>
        <w:tc>
          <w:tcPr>
            <w:tcW w:w="312" w:type="pct"/>
          </w:tcPr>
          <w:p w14:paraId="67976D3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74656D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07F1B6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74A0977" w14:textId="77777777" w:rsidR="00CE1436" w:rsidRPr="003B78B6" w:rsidRDefault="00CE1436" w:rsidP="00444693">
            <w:pPr>
              <w:pStyle w:val="TableText"/>
              <w:widowControl w:val="0"/>
              <w:suppressAutoHyphens w:val="0"/>
              <w:spacing w:before="0" w:after="0" w:line="240" w:lineRule="auto"/>
              <w:jc w:val="center"/>
            </w:pPr>
            <w:r>
              <w:rPr>
                <w:color w:val="1A1B1A"/>
                <w:szCs w:val="17"/>
              </w:rPr>
              <w:t>84</w:t>
            </w:r>
          </w:p>
        </w:tc>
        <w:tc>
          <w:tcPr>
            <w:tcW w:w="312" w:type="pct"/>
            <w:vAlign w:val="center"/>
          </w:tcPr>
          <w:p w14:paraId="7E5A010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DE671D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6CAA082A"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3416D784" w14:textId="77777777" w:rsidTr="00444693">
        <w:trPr>
          <w:cantSplit/>
          <w:trHeight w:val="13"/>
        </w:trPr>
        <w:tc>
          <w:tcPr>
            <w:tcW w:w="491" w:type="pct"/>
            <w:vMerge/>
            <w:tcBorders>
              <w:bottom w:val="single" w:sz="4" w:space="0" w:color="auto"/>
            </w:tcBorders>
          </w:tcPr>
          <w:p w14:paraId="1D2FC44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C89686D"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E7803E0" w14:textId="77777777" w:rsidR="00CE1436" w:rsidRDefault="00CE1436" w:rsidP="00444693">
            <w:pPr>
              <w:pStyle w:val="TableText"/>
              <w:widowControl w:val="0"/>
              <w:suppressAutoHyphens w:val="0"/>
              <w:spacing w:before="0" w:after="0" w:line="240" w:lineRule="auto"/>
              <w:rPr>
                <w:szCs w:val="17"/>
              </w:rPr>
            </w:pPr>
          </w:p>
        </w:tc>
        <w:tc>
          <w:tcPr>
            <w:tcW w:w="491" w:type="pct"/>
          </w:tcPr>
          <w:p w14:paraId="6D397FE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1EC2DA9"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6CA09285"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6721E84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AD8143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E8BDBC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67AD5FC" w14:textId="77777777" w:rsidR="00CE1436"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316FC7B1"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284C8C0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1BA56B6C"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74E30B07" w14:textId="77777777" w:rsidTr="00444693">
        <w:trPr>
          <w:cantSplit/>
          <w:trHeight w:val="13"/>
        </w:trPr>
        <w:tc>
          <w:tcPr>
            <w:tcW w:w="491" w:type="pct"/>
            <w:vMerge/>
            <w:tcBorders>
              <w:bottom w:val="single" w:sz="4" w:space="0" w:color="auto"/>
            </w:tcBorders>
          </w:tcPr>
          <w:p w14:paraId="6B56AF2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78A60F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2B65F2A" w14:textId="77777777" w:rsidR="00CE1436" w:rsidRDefault="00CE1436" w:rsidP="00444693">
            <w:pPr>
              <w:pStyle w:val="TableText"/>
              <w:widowControl w:val="0"/>
              <w:suppressAutoHyphens w:val="0"/>
              <w:spacing w:before="0" w:after="0" w:line="240" w:lineRule="auto"/>
              <w:rPr>
                <w:szCs w:val="17"/>
              </w:rPr>
            </w:pPr>
          </w:p>
        </w:tc>
        <w:tc>
          <w:tcPr>
            <w:tcW w:w="491" w:type="pct"/>
          </w:tcPr>
          <w:p w14:paraId="796D7EB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8A3E023"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41DAAA02"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7CB8DBF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ADBEA1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1AFB63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CEF2C1D" w14:textId="77777777" w:rsidR="00CE1436" w:rsidRPr="003B78B6"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4E7C01D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0660775F"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3DD02332"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463E7616" w14:textId="77777777" w:rsidTr="00444693">
        <w:trPr>
          <w:cantSplit/>
          <w:trHeight w:val="13"/>
        </w:trPr>
        <w:tc>
          <w:tcPr>
            <w:tcW w:w="491" w:type="pct"/>
            <w:vMerge/>
            <w:tcBorders>
              <w:bottom w:val="single" w:sz="4" w:space="0" w:color="auto"/>
            </w:tcBorders>
          </w:tcPr>
          <w:p w14:paraId="452B11E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5A258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D5E93BF" w14:textId="77777777" w:rsidR="00CE1436" w:rsidRDefault="00CE1436" w:rsidP="00444693">
            <w:pPr>
              <w:pStyle w:val="TableText"/>
              <w:widowControl w:val="0"/>
              <w:suppressAutoHyphens w:val="0"/>
              <w:spacing w:before="0" w:after="0" w:line="240" w:lineRule="auto"/>
              <w:rPr>
                <w:szCs w:val="17"/>
              </w:rPr>
            </w:pPr>
          </w:p>
        </w:tc>
        <w:tc>
          <w:tcPr>
            <w:tcW w:w="491" w:type="pct"/>
          </w:tcPr>
          <w:p w14:paraId="7056C8D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C640B17"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350A5EAD"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69DEED3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83F0CB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5D7384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C978C74" w14:textId="77777777" w:rsidR="00CE1436" w:rsidRPr="003B78B6" w:rsidRDefault="00CE1436" w:rsidP="00444693">
            <w:pPr>
              <w:pStyle w:val="TableText"/>
              <w:widowControl w:val="0"/>
              <w:suppressAutoHyphens w:val="0"/>
              <w:spacing w:before="0" w:after="0" w:line="240" w:lineRule="auto"/>
              <w:jc w:val="center"/>
            </w:pPr>
            <w:r>
              <w:rPr>
                <w:color w:val="1A1B1A"/>
                <w:szCs w:val="17"/>
              </w:rPr>
              <w:t>56</w:t>
            </w:r>
          </w:p>
        </w:tc>
        <w:tc>
          <w:tcPr>
            <w:tcW w:w="312" w:type="pct"/>
            <w:vAlign w:val="center"/>
          </w:tcPr>
          <w:p w14:paraId="5CF43DF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0FA2870"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9.2</w:t>
            </w:r>
          </w:p>
        </w:tc>
        <w:tc>
          <w:tcPr>
            <w:tcW w:w="393" w:type="pct"/>
            <w:vAlign w:val="center"/>
          </w:tcPr>
          <w:p w14:paraId="37EE2642"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506BFE56" w14:textId="77777777" w:rsidTr="00444693">
        <w:trPr>
          <w:cantSplit/>
          <w:trHeight w:val="13"/>
        </w:trPr>
        <w:tc>
          <w:tcPr>
            <w:tcW w:w="491" w:type="pct"/>
            <w:vMerge/>
            <w:tcBorders>
              <w:bottom w:val="single" w:sz="4" w:space="0" w:color="auto"/>
            </w:tcBorders>
          </w:tcPr>
          <w:p w14:paraId="6545081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454ACAE"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F7163E1" w14:textId="77777777" w:rsidR="00CE1436" w:rsidRDefault="00CE1436" w:rsidP="00444693">
            <w:pPr>
              <w:pStyle w:val="TableText"/>
              <w:widowControl w:val="0"/>
              <w:suppressAutoHyphens w:val="0"/>
              <w:spacing w:before="0" w:after="0" w:line="240" w:lineRule="auto"/>
              <w:rPr>
                <w:szCs w:val="17"/>
              </w:rPr>
            </w:pPr>
          </w:p>
        </w:tc>
        <w:tc>
          <w:tcPr>
            <w:tcW w:w="491" w:type="pct"/>
          </w:tcPr>
          <w:p w14:paraId="1C11925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927169F"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1B9BD2DE"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43F540D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2C5B97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66A0FDB"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DEF32C8" w14:textId="77777777" w:rsidR="00CE1436" w:rsidRDefault="00CE1436" w:rsidP="00444693">
            <w:pPr>
              <w:pStyle w:val="TableText"/>
              <w:widowControl w:val="0"/>
              <w:suppressAutoHyphens w:val="0"/>
              <w:spacing w:before="0" w:after="0" w:line="240" w:lineRule="auto"/>
              <w:jc w:val="center"/>
            </w:pPr>
            <w:r>
              <w:rPr>
                <w:color w:val="1A1B1A"/>
                <w:szCs w:val="17"/>
              </w:rPr>
              <w:t>48</w:t>
            </w:r>
          </w:p>
        </w:tc>
        <w:tc>
          <w:tcPr>
            <w:tcW w:w="312" w:type="pct"/>
            <w:vAlign w:val="center"/>
          </w:tcPr>
          <w:p w14:paraId="2C7BDD8D"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26EF3B3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7.9</w:t>
            </w:r>
          </w:p>
        </w:tc>
        <w:tc>
          <w:tcPr>
            <w:tcW w:w="393" w:type="pct"/>
            <w:vAlign w:val="center"/>
          </w:tcPr>
          <w:p w14:paraId="42BFBABF"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5261E300" w14:textId="77777777" w:rsidTr="00444693">
        <w:trPr>
          <w:cantSplit/>
          <w:trHeight w:val="13"/>
        </w:trPr>
        <w:tc>
          <w:tcPr>
            <w:tcW w:w="491" w:type="pct"/>
            <w:vMerge/>
            <w:tcBorders>
              <w:bottom w:val="single" w:sz="4" w:space="0" w:color="auto"/>
            </w:tcBorders>
          </w:tcPr>
          <w:p w14:paraId="5A0917F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9EA0A3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296E0DC" w14:textId="77777777" w:rsidR="00CE1436" w:rsidRDefault="00CE1436" w:rsidP="00444693">
            <w:pPr>
              <w:pStyle w:val="TableText"/>
              <w:widowControl w:val="0"/>
              <w:suppressAutoHyphens w:val="0"/>
              <w:spacing w:before="0" w:after="0" w:line="240" w:lineRule="auto"/>
              <w:rPr>
                <w:szCs w:val="17"/>
              </w:rPr>
            </w:pPr>
          </w:p>
        </w:tc>
        <w:tc>
          <w:tcPr>
            <w:tcW w:w="491" w:type="pct"/>
          </w:tcPr>
          <w:p w14:paraId="413D1B95"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057FDCA"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2AB02658"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42BBD06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A365EA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2DADE3A"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18C2692" w14:textId="77777777" w:rsidR="00CE1436" w:rsidRPr="003B78B6" w:rsidRDefault="00CE1436" w:rsidP="00444693">
            <w:pPr>
              <w:pStyle w:val="TableText"/>
              <w:widowControl w:val="0"/>
              <w:suppressAutoHyphens w:val="0"/>
              <w:spacing w:before="0" w:after="0" w:line="240" w:lineRule="auto"/>
              <w:jc w:val="center"/>
            </w:pPr>
            <w:r>
              <w:rPr>
                <w:color w:val="1A1B1A"/>
                <w:szCs w:val="17"/>
              </w:rPr>
              <w:t>45</w:t>
            </w:r>
          </w:p>
        </w:tc>
        <w:tc>
          <w:tcPr>
            <w:tcW w:w="312" w:type="pct"/>
            <w:vAlign w:val="center"/>
          </w:tcPr>
          <w:p w14:paraId="68B07E2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5E4E3E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7.3</w:t>
            </w:r>
          </w:p>
        </w:tc>
        <w:tc>
          <w:tcPr>
            <w:tcW w:w="393" w:type="pct"/>
            <w:vAlign w:val="center"/>
          </w:tcPr>
          <w:p w14:paraId="4907FC2B"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59A92F8B" w14:textId="77777777" w:rsidTr="00444693">
        <w:trPr>
          <w:cantSplit/>
          <w:trHeight w:val="13"/>
        </w:trPr>
        <w:tc>
          <w:tcPr>
            <w:tcW w:w="491" w:type="pct"/>
            <w:vMerge/>
            <w:tcBorders>
              <w:bottom w:val="single" w:sz="4" w:space="0" w:color="auto"/>
            </w:tcBorders>
          </w:tcPr>
          <w:p w14:paraId="104E47A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61E89B0"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C94E021" w14:textId="77777777" w:rsidR="00CE1436" w:rsidRDefault="00CE1436" w:rsidP="00444693">
            <w:pPr>
              <w:pStyle w:val="TableText"/>
              <w:widowControl w:val="0"/>
              <w:suppressAutoHyphens w:val="0"/>
              <w:spacing w:before="0" w:after="0" w:line="240" w:lineRule="auto"/>
              <w:rPr>
                <w:szCs w:val="17"/>
              </w:rPr>
            </w:pPr>
          </w:p>
        </w:tc>
        <w:tc>
          <w:tcPr>
            <w:tcW w:w="491" w:type="pct"/>
          </w:tcPr>
          <w:p w14:paraId="76673ED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1E354E9"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393D6A80"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042B941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6DCAC7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AD12BF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590A1A9" w14:textId="77777777" w:rsidR="00CE1436" w:rsidRPr="003B78B6" w:rsidRDefault="00CE1436" w:rsidP="00444693">
            <w:pPr>
              <w:pStyle w:val="TableText"/>
              <w:widowControl w:val="0"/>
              <w:suppressAutoHyphens w:val="0"/>
              <w:spacing w:before="0" w:after="0" w:line="240" w:lineRule="auto"/>
              <w:jc w:val="center"/>
            </w:pPr>
            <w:r>
              <w:rPr>
                <w:color w:val="1A1B1A"/>
                <w:szCs w:val="17"/>
              </w:rPr>
              <w:t>36</w:t>
            </w:r>
          </w:p>
        </w:tc>
        <w:tc>
          <w:tcPr>
            <w:tcW w:w="312" w:type="pct"/>
            <w:vAlign w:val="center"/>
          </w:tcPr>
          <w:p w14:paraId="08969EB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552E56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5.9</w:t>
            </w:r>
          </w:p>
        </w:tc>
        <w:tc>
          <w:tcPr>
            <w:tcW w:w="393" w:type="pct"/>
            <w:vAlign w:val="center"/>
          </w:tcPr>
          <w:p w14:paraId="2836CED3"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4B20C871" w14:textId="77777777" w:rsidTr="00444693">
        <w:trPr>
          <w:cantSplit/>
          <w:trHeight w:val="13"/>
        </w:trPr>
        <w:tc>
          <w:tcPr>
            <w:tcW w:w="491" w:type="pct"/>
            <w:vMerge/>
            <w:tcBorders>
              <w:bottom w:val="single" w:sz="4" w:space="0" w:color="auto"/>
            </w:tcBorders>
          </w:tcPr>
          <w:p w14:paraId="4A91DED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91F5EF5"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38AD052" w14:textId="77777777" w:rsidR="00CE1436" w:rsidRDefault="00CE1436" w:rsidP="00444693">
            <w:pPr>
              <w:pStyle w:val="TableText"/>
              <w:widowControl w:val="0"/>
              <w:suppressAutoHyphens w:val="0"/>
              <w:spacing w:before="0" w:after="0" w:line="240" w:lineRule="auto"/>
              <w:rPr>
                <w:szCs w:val="17"/>
              </w:rPr>
            </w:pPr>
          </w:p>
        </w:tc>
        <w:tc>
          <w:tcPr>
            <w:tcW w:w="491" w:type="pct"/>
          </w:tcPr>
          <w:p w14:paraId="1F66A22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F68374B"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1C1E12C3" w14:textId="77777777" w:rsidR="00CE1436" w:rsidRDefault="00CE1436" w:rsidP="00444693">
            <w:pPr>
              <w:pStyle w:val="TableText"/>
              <w:widowControl w:val="0"/>
              <w:suppressAutoHyphens w:val="0"/>
              <w:spacing w:before="0" w:after="0" w:line="240" w:lineRule="auto"/>
              <w:jc w:val="center"/>
            </w:pPr>
            <w:r>
              <w:t>300</w:t>
            </w:r>
          </w:p>
        </w:tc>
        <w:tc>
          <w:tcPr>
            <w:tcW w:w="312" w:type="pct"/>
          </w:tcPr>
          <w:p w14:paraId="48C2868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9AEB72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EB597DA"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78F7EFB" w14:textId="77777777" w:rsidR="00CE1436" w:rsidRPr="003B78B6" w:rsidRDefault="00CE1436" w:rsidP="00444693">
            <w:pPr>
              <w:pStyle w:val="TableText"/>
              <w:widowControl w:val="0"/>
              <w:suppressAutoHyphens w:val="0"/>
              <w:spacing w:before="0" w:after="0" w:line="240" w:lineRule="auto"/>
              <w:jc w:val="center"/>
            </w:pPr>
            <w:r>
              <w:rPr>
                <w:color w:val="1A1B1A"/>
                <w:szCs w:val="17"/>
              </w:rPr>
              <w:t>34</w:t>
            </w:r>
          </w:p>
        </w:tc>
        <w:tc>
          <w:tcPr>
            <w:tcW w:w="312" w:type="pct"/>
            <w:vAlign w:val="center"/>
          </w:tcPr>
          <w:p w14:paraId="6707358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A9D6DC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5.5</w:t>
            </w:r>
          </w:p>
        </w:tc>
        <w:tc>
          <w:tcPr>
            <w:tcW w:w="393" w:type="pct"/>
            <w:vAlign w:val="center"/>
          </w:tcPr>
          <w:p w14:paraId="24898785"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0AFA45A9" w14:textId="77777777" w:rsidTr="00444693">
        <w:trPr>
          <w:cantSplit/>
          <w:trHeight w:val="13"/>
        </w:trPr>
        <w:tc>
          <w:tcPr>
            <w:tcW w:w="491" w:type="pct"/>
            <w:vMerge/>
            <w:tcBorders>
              <w:bottom w:val="single" w:sz="4" w:space="0" w:color="auto"/>
            </w:tcBorders>
          </w:tcPr>
          <w:p w14:paraId="43B669B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801B8E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51FCE64" w14:textId="77777777" w:rsidR="00CE1436" w:rsidRDefault="00CE1436" w:rsidP="00444693">
            <w:pPr>
              <w:pStyle w:val="TableText"/>
              <w:widowControl w:val="0"/>
              <w:suppressAutoHyphens w:val="0"/>
              <w:spacing w:before="0" w:after="0" w:line="240" w:lineRule="auto"/>
              <w:rPr>
                <w:szCs w:val="17"/>
              </w:rPr>
            </w:pPr>
          </w:p>
        </w:tc>
        <w:tc>
          <w:tcPr>
            <w:tcW w:w="491" w:type="pct"/>
          </w:tcPr>
          <w:p w14:paraId="303D7C9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1E1716A"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00C8D112" w14:textId="77777777" w:rsidR="00CE1436" w:rsidRDefault="00CE1436" w:rsidP="00444693">
            <w:pPr>
              <w:pStyle w:val="TableText"/>
              <w:widowControl w:val="0"/>
              <w:suppressAutoHyphens w:val="0"/>
              <w:spacing w:before="0" w:after="0" w:line="240" w:lineRule="auto"/>
              <w:jc w:val="center"/>
            </w:pPr>
            <w:r>
              <w:t>216</w:t>
            </w:r>
          </w:p>
        </w:tc>
        <w:tc>
          <w:tcPr>
            <w:tcW w:w="312" w:type="pct"/>
          </w:tcPr>
          <w:p w14:paraId="33093FA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4DCF37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B7602BA"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9536283" w14:textId="77777777" w:rsidR="00CE1436" w:rsidRPr="003B78B6" w:rsidRDefault="00CE1436" w:rsidP="00444693">
            <w:pPr>
              <w:pStyle w:val="TableText"/>
              <w:widowControl w:val="0"/>
              <w:suppressAutoHyphens w:val="0"/>
              <w:spacing w:before="0" w:after="0" w:line="240" w:lineRule="auto"/>
              <w:jc w:val="center"/>
            </w:pPr>
            <w:r>
              <w:rPr>
                <w:color w:val="1A1B1A"/>
                <w:szCs w:val="17"/>
              </w:rPr>
              <w:t>24</w:t>
            </w:r>
          </w:p>
        </w:tc>
        <w:tc>
          <w:tcPr>
            <w:tcW w:w="312" w:type="pct"/>
            <w:vAlign w:val="center"/>
          </w:tcPr>
          <w:p w14:paraId="3EF721F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9DF690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4.0</w:t>
            </w:r>
          </w:p>
        </w:tc>
        <w:tc>
          <w:tcPr>
            <w:tcW w:w="393" w:type="pct"/>
            <w:vAlign w:val="center"/>
          </w:tcPr>
          <w:p w14:paraId="7ACC4EDC"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73FDAD92" w14:textId="77777777" w:rsidTr="00444693">
        <w:trPr>
          <w:cantSplit/>
          <w:trHeight w:val="13"/>
        </w:trPr>
        <w:tc>
          <w:tcPr>
            <w:tcW w:w="491" w:type="pct"/>
            <w:vMerge/>
            <w:tcBorders>
              <w:bottom w:val="single" w:sz="4" w:space="0" w:color="auto"/>
            </w:tcBorders>
          </w:tcPr>
          <w:p w14:paraId="3E4F221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CDA861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6572F18" w14:textId="77777777" w:rsidR="00CE1436" w:rsidRDefault="00CE1436" w:rsidP="00444693">
            <w:pPr>
              <w:pStyle w:val="TableText"/>
              <w:widowControl w:val="0"/>
              <w:suppressAutoHyphens w:val="0"/>
              <w:spacing w:before="0" w:after="0" w:line="240" w:lineRule="auto"/>
              <w:rPr>
                <w:szCs w:val="17"/>
              </w:rPr>
            </w:pPr>
          </w:p>
        </w:tc>
        <w:tc>
          <w:tcPr>
            <w:tcW w:w="491" w:type="pct"/>
          </w:tcPr>
          <w:p w14:paraId="39B6869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A56CED0"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5F48C79E" w14:textId="77777777" w:rsidR="00CE1436" w:rsidRDefault="00CE1436" w:rsidP="00444693">
            <w:pPr>
              <w:pStyle w:val="TableText"/>
              <w:widowControl w:val="0"/>
              <w:suppressAutoHyphens w:val="0"/>
              <w:spacing w:before="0" w:after="0" w:line="240" w:lineRule="auto"/>
              <w:jc w:val="center"/>
            </w:pPr>
            <w:r>
              <w:t>203</w:t>
            </w:r>
          </w:p>
        </w:tc>
        <w:tc>
          <w:tcPr>
            <w:tcW w:w="312" w:type="pct"/>
          </w:tcPr>
          <w:p w14:paraId="061EF23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C3FA89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134471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D97C560" w14:textId="77777777" w:rsidR="00CE1436"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327BB810"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4F50FC8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93" w:type="pct"/>
            <w:vAlign w:val="center"/>
          </w:tcPr>
          <w:p w14:paraId="70F4A227"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401A10" w14:paraId="6D276496" w14:textId="77777777" w:rsidTr="00444693">
        <w:trPr>
          <w:cantSplit/>
          <w:trHeight w:val="13"/>
        </w:trPr>
        <w:tc>
          <w:tcPr>
            <w:tcW w:w="491" w:type="pct"/>
            <w:vMerge/>
            <w:tcBorders>
              <w:bottom w:val="single" w:sz="4" w:space="0" w:color="auto"/>
            </w:tcBorders>
          </w:tcPr>
          <w:p w14:paraId="65F8C08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2FF236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0FE2C3D" w14:textId="77777777" w:rsidR="00CE1436" w:rsidRDefault="00CE1436" w:rsidP="00444693">
            <w:pPr>
              <w:pStyle w:val="TableText"/>
              <w:widowControl w:val="0"/>
              <w:suppressAutoHyphens w:val="0"/>
              <w:spacing w:before="0" w:after="0" w:line="240" w:lineRule="auto"/>
              <w:rPr>
                <w:szCs w:val="17"/>
              </w:rPr>
            </w:pPr>
          </w:p>
        </w:tc>
        <w:tc>
          <w:tcPr>
            <w:tcW w:w="491" w:type="pct"/>
          </w:tcPr>
          <w:p w14:paraId="11F409B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A264883"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09B8B3EB"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0DDAE82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20A143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7B5495B"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0CC12B0" w14:textId="77777777" w:rsidR="00CE143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2FF58955"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79A25FD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93" w:type="pct"/>
            <w:vAlign w:val="center"/>
          </w:tcPr>
          <w:p w14:paraId="654397E7"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401A10" w14:paraId="2665D18B" w14:textId="77777777" w:rsidTr="00444693">
        <w:trPr>
          <w:cantSplit/>
          <w:trHeight w:val="13"/>
        </w:trPr>
        <w:tc>
          <w:tcPr>
            <w:tcW w:w="491" w:type="pct"/>
            <w:vMerge/>
            <w:tcBorders>
              <w:bottom w:val="single" w:sz="4" w:space="0" w:color="auto"/>
            </w:tcBorders>
          </w:tcPr>
          <w:p w14:paraId="1B4ACF5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02332D"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F71F9A7" w14:textId="77777777" w:rsidR="00CE1436" w:rsidRDefault="00CE1436" w:rsidP="00444693">
            <w:pPr>
              <w:pStyle w:val="TableText"/>
              <w:widowControl w:val="0"/>
              <w:suppressAutoHyphens w:val="0"/>
              <w:spacing w:before="0" w:after="0" w:line="240" w:lineRule="auto"/>
              <w:rPr>
                <w:szCs w:val="17"/>
              </w:rPr>
            </w:pPr>
          </w:p>
        </w:tc>
        <w:tc>
          <w:tcPr>
            <w:tcW w:w="491" w:type="pct"/>
          </w:tcPr>
          <w:p w14:paraId="228326E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C783E57"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4BFC61F4"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2C46990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B69245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BA3068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83F21DF" w14:textId="77777777" w:rsidR="00CE1436"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690328F9"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3947C4C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3.2</w:t>
            </w:r>
          </w:p>
        </w:tc>
        <w:tc>
          <w:tcPr>
            <w:tcW w:w="393" w:type="pct"/>
            <w:vAlign w:val="center"/>
          </w:tcPr>
          <w:p w14:paraId="1155DF57"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344026AA" w14:textId="77777777" w:rsidTr="00444693">
        <w:trPr>
          <w:cantSplit/>
          <w:trHeight w:val="13"/>
        </w:trPr>
        <w:tc>
          <w:tcPr>
            <w:tcW w:w="491" w:type="pct"/>
            <w:vMerge/>
            <w:tcBorders>
              <w:bottom w:val="single" w:sz="4" w:space="0" w:color="auto"/>
            </w:tcBorders>
          </w:tcPr>
          <w:p w14:paraId="2B24792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1493EE3"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1FE6341" w14:textId="77777777" w:rsidR="00CE1436" w:rsidRDefault="00CE1436" w:rsidP="00444693">
            <w:pPr>
              <w:pStyle w:val="TableText"/>
              <w:widowControl w:val="0"/>
              <w:suppressAutoHyphens w:val="0"/>
              <w:spacing w:before="0" w:after="0" w:line="240" w:lineRule="auto"/>
              <w:rPr>
                <w:szCs w:val="17"/>
              </w:rPr>
            </w:pPr>
          </w:p>
        </w:tc>
        <w:tc>
          <w:tcPr>
            <w:tcW w:w="491" w:type="pct"/>
          </w:tcPr>
          <w:p w14:paraId="773297D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AF719A5"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249FBE5D" w14:textId="77777777" w:rsidR="00CE1436" w:rsidRDefault="00CE1436" w:rsidP="00444693">
            <w:pPr>
              <w:pStyle w:val="TableText"/>
              <w:widowControl w:val="0"/>
              <w:suppressAutoHyphens w:val="0"/>
              <w:spacing w:before="0" w:after="0" w:line="240" w:lineRule="auto"/>
              <w:jc w:val="center"/>
            </w:pPr>
            <w:r>
              <w:t>165</w:t>
            </w:r>
          </w:p>
        </w:tc>
        <w:tc>
          <w:tcPr>
            <w:tcW w:w="312" w:type="pct"/>
          </w:tcPr>
          <w:p w14:paraId="1F56AD2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B3DBA4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A206BCB"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8D42C73" w14:textId="77777777" w:rsidR="00CE1436" w:rsidRPr="003B78B6"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7EBA3295"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833733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3.0</w:t>
            </w:r>
          </w:p>
        </w:tc>
        <w:tc>
          <w:tcPr>
            <w:tcW w:w="393" w:type="pct"/>
            <w:vAlign w:val="center"/>
          </w:tcPr>
          <w:p w14:paraId="78D8E7C3"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1528A9D8" w14:textId="77777777" w:rsidTr="00444693">
        <w:trPr>
          <w:cantSplit/>
          <w:trHeight w:val="13"/>
        </w:trPr>
        <w:tc>
          <w:tcPr>
            <w:tcW w:w="491" w:type="pct"/>
            <w:vMerge/>
            <w:tcBorders>
              <w:bottom w:val="single" w:sz="4" w:space="0" w:color="auto"/>
            </w:tcBorders>
          </w:tcPr>
          <w:p w14:paraId="1C18274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5A8326C"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0A352B3" w14:textId="77777777" w:rsidR="00CE1436" w:rsidRDefault="00CE1436" w:rsidP="00444693">
            <w:pPr>
              <w:pStyle w:val="TableText"/>
              <w:widowControl w:val="0"/>
              <w:suppressAutoHyphens w:val="0"/>
              <w:spacing w:before="0" w:after="0" w:line="240" w:lineRule="auto"/>
              <w:rPr>
                <w:szCs w:val="17"/>
              </w:rPr>
            </w:pPr>
          </w:p>
        </w:tc>
        <w:tc>
          <w:tcPr>
            <w:tcW w:w="491" w:type="pct"/>
          </w:tcPr>
          <w:p w14:paraId="14A83B0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4EC3BA8"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45B9540A" w14:textId="77777777" w:rsidR="00CE1436" w:rsidRDefault="00CE1436" w:rsidP="00444693">
            <w:pPr>
              <w:pStyle w:val="TableText"/>
              <w:widowControl w:val="0"/>
              <w:suppressAutoHyphens w:val="0"/>
              <w:spacing w:before="0" w:after="0" w:line="240" w:lineRule="auto"/>
              <w:jc w:val="center"/>
            </w:pPr>
            <w:r>
              <w:t>160</w:t>
            </w:r>
          </w:p>
        </w:tc>
        <w:tc>
          <w:tcPr>
            <w:tcW w:w="312" w:type="pct"/>
          </w:tcPr>
          <w:p w14:paraId="71D9E81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FA8FA5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099BD7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5076057" w14:textId="77777777" w:rsidR="00CE1436" w:rsidRPr="003B78B6"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4707D414"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25FE161"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2.9</w:t>
            </w:r>
          </w:p>
        </w:tc>
        <w:tc>
          <w:tcPr>
            <w:tcW w:w="393" w:type="pct"/>
            <w:vAlign w:val="center"/>
          </w:tcPr>
          <w:p w14:paraId="0355FF1D"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7AA7D9FC" w14:textId="77777777" w:rsidTr="00444693">
        <w:trPr>
          <w:cantSplit/>
          <w:trHeight w:val="13"/>
        </w:trPr>
        <w:tc>
          <w:tcPr>
            <w:tcW w:w="491" w:type="pct"/>
            <w:vMerge/>
            <w:tcBorders>
              <w:bottom w:val="single" w:sz="4" w:space="0" w:color="auto"/>
            </w:tcBorders>
          </w:tcPr>
          <w:p w14:paraId="540880A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53DA2C6"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89A60AC" w14:textId="77777777" w:rsidR="00CE1436" w:rsidRDefault="00CE1436" w:rsidP="00444693">
            <w:pPr>
              <w:pStyle w:val="TableText"/>
              <w:widowControl w:val="0"/>
              <w:suppressAutoHyphens w:val="0"/>
              <w:spacing w:before="0" w:after="0" w:line="240" w:lineRule="auto"/>
              <w:rPr>
                <w:szCs w:val="17"/>
              </w:rPr>
            </w:pPr>
          </w:p>
        </w:tc>
        <w:tc>
          <w:tcPr>
            <w:tcW w:w="491" w:type="pct"/>
          </w:tcPr>
          <w:p w14:paraId="257B58B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806263E" w14:textId="77777777" w:rsidR="00CE1436"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6EF5C4E1" w14:textId="77777777" w:rsidR="00CE1436" w:rsidRDefault="00CE1436" w:rsidP="00444693">
            <w:pPr>
              <w:pStyle w:val="TableText"/>
              <w:widowControl w:val="0"/>
              <w:suppressAutoHyphens w:val="0"/>
              <w:spacing w:before="0" w:after="0" w:line="240" w:lineRule="auto"/>
              <w:jc w:val="center"/>
            </w:pPr>
            <w:r>
              <w:t>150</w:t>
            </w:r>
          </w:p>
        </w:tc>
        <w:tc>
          <w:tcPr>
            <w:tcW w:w="312" w:type="pct"/>
          </w:tcPr>
          <w:p w14:paraId="658ED9F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44C6D5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30B5435"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4AA5889" w14:textId="77777777" w:rsidR="00CE1436"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66134D2B"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0D845CD1"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2.8</w:t>
            </w:r>
          </w:p>
        </w:tc>
        <w:tc>
          <w:tcPr>
            <w:tcW w:w="393" w:type="pct"/>
            <w:vAlign w:val="center"/>
          </w:tcPr>
          <w:p w14:paraId="29E96A83"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2426CBA1" w14:textId="77777777" w:rsidTr="00444693">
        <w:trPr>
          <w:cantSplit/>
          <w:trHeight w:val="13"/>
        </w:trPr>
        <w:tc>
          <w:tcPr>
            <w:tcW w:w="491" w:type="pct"/>
            <w:vMerge/>
            <w:tcBorders>
              <w:bottom w:val="single" w:sz="4" w:space="0" w:color="auto"/>
            </w:tcBorders>
          </w:tcPr>
          <w:p w14:paraId="146293C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4CD180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B1FCEB5" w14:textId="77777777" w:rsidR="00CE1436" w:rsidRDefault="00CE1436" w:rsidP="00444693">
            <w:pPr>
              <w:pStyle w:val="TableText"/>
              <w:widowControl w:val="0"/>
              <w:suppressAutoHyphens w:val="0"/>
              <w:spacing w:before="0" w:after="0" w:line="240" w:lineRule="auto"/>
              <w:rPr>
                <w:szCs w:val="17"/>
              </w:rPr>
            </w:pPr>
          </w:p>
        </w:tc>
        <w:tc>
          <w:tcPr>
            <w:tcW w:w="491" w:type="pct"/>
          </w:tcPr>
          <w:p w14:paraId="3E49F3D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61D0D5F"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1396D62C" w14:textId="77777777" w:rsidR="00CE1436" w:rsidRDefault="00CE1436" w:rsidP="00444693">
            <w:pPr>
              <w:pStyle w:val="TableText"/>
              <w:widowControl w:val="0"/>
              <w:suppressAutoHyphens w:val="0"/>
              <w:spacing w:before="0" w:after="0" w:line="240" w:lineRule="auto"/>
              <w:jc w:val="center"/>
            </w:pPr>
            <w:r>
              <w:t>108</w:t>
            </w:r>
          </w:p>
        </w:tc>
        <w:tc>
          <w:tcPr>
            <w:tcW w:w="312" w:type="pct"/>
          </w:tcPr>
          <w:p w14:paraId="1CA3159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780709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56C1AC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F4D5BC1" w14:textId="77777777" w:rsidR="00CE1436" w:rsidRPr="003B78B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45C5CBD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028B61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93" w:type="pct"/>
            <w:vAlign w:val="center"/>
          </w:tcPr>
          <w:p w14:paraId="44DE6DCB"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2E212962" w14:textId="77777777" w:rsidTr="00444693">
        <w:trPr>
          <w:cantSplit/>
          <w:trHeight w:val="13"/>
        </w:trPr>
        <w:tc>
          <w:tcPr>
            <w:tcW w:w="491" w:type="pct"/>
            <w:vMerge/>
            <w:tcBorders>
              <w:bottom w:val="single" w:sz="4" w:space="0" w:color="auto"/>
            </w:tcBorders>
          </w:tcPr>
          <w:p w14:paraId="7F5EB2E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F01684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40B813B" w14:textId="77777777" w:rsidR="00CE1436" w:rsidRDefault="00CE1436" w:rsidP="00444693">
            <w:pPr>
              <w:pStyle w:val="TableText"/>
              <w:widowControl w:val="0"/>
              <w:suppressAutoHyphens w:val="0"/>
              <w:spacing w:before="0" w:after="0" w:line="240" w:lineRule="auto"/>
              <w:rPr>
                <w:szCs w:val="17"/>
              </w:rPr>
            </w:pPr>
          </w:p>
        </w:tc>
        <w:tc>
          <w:tcPr>
            <w:tcW w:w="491" w:type="pct"/>
          </w:tcPr>
          <w:p w14:paraId="686988E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3B4EE6A" w14:textId="77777777" w:rsidR="00CE1436" w:rsidRPr="00B14C17" w:rsidRDefault="00CE1436" w:rsidP="00444693">
            <w:pPr>
              <w:pStyle w:val="TableText"/>
              <w:widowControl w:val="0"/>
              <w:suppressAutoHyphens w:val="0"/>
              <w:spacing w:before="0" w:after="0" w:line="240" w:lineRule="auto"/>
              <w:jc w:val="center"/>
            </w:pPr>
            <w:r w:rsidRPr="00233360">
              <w:t>112.0</w:t>
            </w:r>
            <w:r w:rsidRPr="00233360">
              <w:rPr>
                <w:vertAlign w:val="superscript"/>
              </w:rPr>
              <w:t>a</w:t>
            </w:r>
          </w:p>
        </w:tc>
        <w:tc>
          <w:tcPr>
            <w:tcW w:w="311" w:type="pct"/>
          </w:tcPr>
          <w:p w14:paraId="3F2B27B5" w14:textId="77777777" w:rsidR="00CE1436" w:rsidRDefault="00CE1436" w:rsidP="00444693">
            <w:pPr>
              <w:pStyle w:val="TableText"/>
              <w:widowControl w:val="0"/>
              <w:suppressAutoHyphens w:val="0"/>
              <w:spacing w:before="0" w:after="0" w:line="240" w:lineRule="auto"/>
              <w:jc w:val="center"/>
            </w:pPr>
            <w:r>
              <w:t>100</w:t>
            </w:r>
          </w:p>
        </w:tc>
        <w:tc>
          <w:tcPr>
            <w:tcW w:w="312" w:type="pct"/>
          </w:tcPr>
          <w:p w14:paraId="759F245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5430D4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861429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645A1E8"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28611A7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040671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31C00233"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441DCB81" w14:textId="77777777" w:rsidTr="00444693">
        <w:trPr>
          <w:cantSplit/>
          <w:trHeight w:val="13"/>
        </w:trPr>
        <w:tc>
          <w:tcPr>
            <w:tcW w:w="491" w:type="pct"/>
            <w:vMerge/>
            <w:tcBorders>
              <w:bottom w:val="single" w:sz="4" w:space="0" w:color="auto"/>
            </w:tcBorders>
          </w:tcPr>
          <w:p w14:paraId="493D59A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1A67A8C"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AB81CE1"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0438E3A5"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1581E6D1" w14:textId="77777777" w:rsidR="00CE1436" w:rsidRDefault="00CE1436" w:rsidP="00444693">
            <w:pPr>
              <w:pStyle w:val="TableText"/>
              <w:widowControl w:val="0"/>
              <w:suppressAutoHyphens w:val="0"/>
              <w:spacing w:before="0" w:after="0" w:line="240" w:lineRule="auto"/>
              <w:jc w:val="center"/>
            </w:pPr>
            <w:r w:rsidRPr="00B14C17">
              <w:t>112.0</w:t>
            </w:r>
            <w:r w:rsidRPr="00B14C17">
              <w:rPr>
                <w:vertAlign w:val="superscript"/>
              </w:rPr>
              <w:t>a</w:t>
            </w:r>
          </w:p>
        </w:tc>
        <w:tc>
          <w:tcPr>
            <w:tcW w:w="311" w:type="pct"/>
            <w:tcBorders>
              <w:bottom w:val="single" w:sz="4" w:space="0" w:color="auto"/>
            </w:tcBorders>
          </w:tcPr>
          <w:p w14:paraId="3380AA68" w14:textId="77777777" w:rsidR="00CE1436" w:rsidRDefault="00CE1436" w:rsidP="00444693">
            <w:pPr>
              <w:pStyle w:val="TableText"/>
              <w:widowControl w:val="0"/>
              <w:suppressAutoHyphens w:val="0"/>
              <w:spacing w:before="0" w:after="0" w:line="240" w:lineRule="auto"/>
              <w:jc w:val="center"/>
            </w:pPr>
            <w:r>
              <w:t>75</w:t>
            </w:r>
          </w:p>
        </w:tc>
        <w:tc>
          <w:tcPr>
            <w:tcW w:w="312" w:type="pct"/>
            <w:tcBorders>
              <w:bottom w:val="single" w:sz="4" w:space="0" w:color="auto"/>
            </w:tcBorders>
          </w:tcPr>
          <w:p w14:paraId="6A162062"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6DE5502D"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141C2DD"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22DD5D25" w14:textId="77777777" w:rsidR="00CE1436" w:rsidRDefault="00CE1436" w:rsidP="00444693">
            <w:pPr>
              <w:pStyle w:val="TableText"/>
              <w:widowControl w:val="0"/>
              <w:suppressAutoHyphens w:val="0"/>
              <w:spacing w:before="0" w:after="0" w:line="240" w:lineRule="auto"/>
              <w:jc w:val="center"/>
            </w:pPr>
            <w:r>
              <w:rPr>
                <w:color w:val="1A1B1A"/>
                <w:szCs w:val="17"/>
              </w:rPr>
              <w:t>8.4</w:t>
            </w:r>
          </w:p>
        </w:tc>
        <w:tc>
          <w:tcPr>
            <w:tcW w:w="312" w:type="pct"/>
            <w:tcBorders>
              <w:bottom w:val="single" w:sz="4" w:space="0" w:color="auto"/>
            </w:tcBorders>
            <w:vAlign w:val="center"/>
          </w:tcPr>
          <w:p w14:paraId="214B2B83"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bottom w:val="single" w:sz="4" w:space="0" w:color="auto"/>
            </w:tcBorders>
            <w:shd w:val="clear" w:color="auto" w:fill="FF0000"/>
            <w:vAlign w:val="center"/>
          </w:tcPr>
          <w:p w14:paraId="5BD0F69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tcBorders>
              <w:bottom w:val="single" w:sz="4" w:space="0" w:color="auto"/>
            </w:tcBorders>
            <w:vAlign w:val="center"/>
          </w:tcPr>
          <w:p w14:paraId="7A91BD73"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6B7ABC" w14:paraId="36627EB2" w14:textId="77777777" w:rsidTr="00444693">
        <w:trPr>
          <w:cantSplit/>
          <w:trHeight w:val="13"/>
        </w:trPr>
        <w:tc>
          <w:tcPr>
            <w:tcW w:w="491" w:type="pct"/>
            <w:vMerge/>
            <w:tcBorders>
              <w:bottom w:val="single" w:sz="4" w:space="0" w:color="auto"/>
            </w:tcBorders>
          </w:tcPr>
          <w:p w14:paraId="4614EEE7"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2C1DE1FF" w14:textId="77777777" w:rsidR="00CE1436" w:rsidRPr="00B6513E" w:rsidRDefault="00CE1436" w:rsidP="00444693">
            <w:pPr>
              <w:pStyle w:val="TableText"/>
              <w:widowControl w:val="0"/>
              <w:suppressAutoHyphens w:val="0"/>
              <w:spacing w:before="0" w:after="0" w:line="240" w:lineRule="auto"/>
              <w:rPr>
                <w:szCs w:val="17"/>
              </w:rPr>
            </w:pPr>
            <w:r>
              <w:rPr>
                <w:szCs w:val="17"/>
              </w:rPr>
              <w:t>Large herbivore</w:t>
            </w:r>
          </w:p>
        </w:tc>
        <w:tc>
          <w:tcPr>
            <w:tcW w:w="477" w:type="pct"/>
            <w:vMerge w:val="restart"/>
            <w:tcBorders>
              <w:bottom w:val="single" w:sz="4" w:space="0" w:color="auto"/>
            </w:tcBorders>
          </w:tcPr>
          <w:p w14:paraId="1173B175" w14:textId="77777777" w:rsidR="00CE1436" w:rsidRDefault="00CE1436" w:rsidP="00444693">
            <w:pPr>
              <w:pStyle w:val="TableText"/>
              <w:widowControl w:val="0"/>
              <w:suppressAutoHyphens w:val="0"/>
              <w:spacing w:before="0" w:after="0" w:line="240" w:lineRule="auto"/>
              <w:rPr>
                <w:szCs w:val="17"/>
              </w:rPr>
            </w:pPr>
            <w:r>
              <w:rPr>
                <w:szCs w:val="17"/>
              </w:rPr>
              <w:t>All season</w:t>
            </w:r>
          </w:p>
        </w:tc>
        <w:tc>
          <w:tcPr>
            <w:tcW w:w="491" w:type="pct"/>
            <w:tcBorders>
              <w:top w:val="single" w:sz="4" w:space="0" w:color="auto"/>
            </w:tcBorders>
          </w:tcPr>
          <w:p w14:paraId="1E6B835D"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1D9B408F" w14:textId="77777777" w:rsidR="00CE1436" w:rsidRDefault="00CE1436" w:rsidP="00444693">
            <w:pPr>
              <w:pStyle w:val="TableText"/>
              <w:widowControl w:val="0"/>
              <w:suppressAutoHyphens w:val="0"/>
              <w:spacing w:before="0" w:after="0" w:line="240" w:lineRule="auto"/>
              <w:jc w:val="center"/>
            </w:pPr>
            <w:r>
              <w:t>26.6</w:t>
            </w:r>
            <w:r w:rsidRPr="00077A92">
              <w:rPr>
                <w:vertAlign w:val="superscript"/>
              </w:rPr>
              <w:t>b</w:t>
            </w:r>
          </w:p>
        </w:tc>
        <w:tc>
          <w:tcPr>
            <w:tcW w:w="311" w:type="pct"/>
            <w:tcBorders>
              <w:top w:val="single" w:sz="4" w:space="0" w:color="auto"/>
            </w:tcBorders>
          </w:tcPr>
          <w:p w14:paraId="68086325" w14:textId="77777777" w:rsidR="00CE1436" w:rsidRDefault="00CE1436" w:rsidP="00444693">
            <w:pPr>
              <w:pStyle w:val="TableText"/>
              <w:widowControl w:val="0"/>
              <w:suppressAutoHyphens w:val="0"/>
              <w:spacing w:before="0" w:after="0" w:line="240" w:lineRule="auto"/>
              <w:jc w:val="center"/>
            </w:pPr>
            <w:r>
              <w:t>1140</w:t>
            </w:r>
          </w:p>
        </w:tc>
        <w:tc>
          <w:tcPr>
            <w:tcW w:w="312" w:type="pct"/>
            <w:tcBorders>
              <w:top w:val="single" w:sz="4" w:space="0" w:color="auto"/>
            </w:tcBorders>
          </w:tcPr>
          <w:p w14:paraId="24D0814C"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6DFD07F0"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1F267F65"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22F20D40" w14:textId="77777777" w:rsidR="00CE1436" w:rsidRDefault="00CE1436" w:rsidP="00444693">
            <w:pPr>
              <w:pStyle w:val="TableText"/>
              <w:widowControl w:val="0"/>
              <w:suppressAutoHyphens w:val="0"/>
              <w:spacing w:before="0" w:after="0" w:line="240" w:lineRule="auto"/>
              <w:jc w:val="center"/>
            </w:pPr>
            <w:r>
              <w:rPr>
                <w:color w:val="1A1B1A"/>
                <w:szCs w:val="17"/>
              </w:rPr>
              <w:t>30</w:t>
            </w:r>
          </w:p>
        </w:tc>
        <w:tc>
          <w:tcPr>
            <w:tcW w:w="312" w:type="pct"/>
            <w:tcBorders>
              <w:top w:val="single" w:sz="4" w:space="0" w:color="auto"/>
            </w:tcBorders>
            <w:vAlign w:val="center"/>
          </w:tcPr>
          <w:p w14:paraId="3AF315A2"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1A91C95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5.0</w:t>
            </w:r>
          </w:p>
        </w:tc>
        <w:tc>
          <w:tcPr>
            <w:tcW w:w="393" w:type="pct"/>
            <w:tcBorders>
              <w:top w:val="single" w:sz="4" w:space="0" w:color="auto"/>
            </w:tcBorders>
            <w:vAlign w:val="center"/>
          </w:tcPr>
          <w:p w14:paraId="65E5A7C8"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27505E" w14:paraId="1524E323" w14:textId="77777777" w:rsidTr="00444693">
        <w:trPr>
          <w:cantSplit/>
          <w:trHeight w:val="13"/>
        </w:trPr>
        <w:tc>
          <w:tcPr>
            <w:tcW w:w="491" w:type="pct"/>
            <w:vMerge/>
            <w:tcBorders>
              <w:bottom w:val="single" w:sz="4" w:space="0" w:color="auto"/>
            </w:tcBorders>
          </w:tcPr>
          <w:p w14:paraId="7BA340B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0F776D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096EA66" w14:textId="77777777" w:rsidR="00CE1436" w:rsidRDefault="00CE1436" w:rsidP="00444693">
            <w:pPr>
              <w:pStyle w:val="TableText"/>
              <w:widowControl w:val="0"/>
              <w:suppressAutoHyphens w:val="0"/>
              <w:spacing w:before="0" w:after="0" w:line="240" w:lineRule="auto"/>
              <w:rPr>
                <w:szCs w:val="17"/>
              </w:rPr>
            </w:pPr>
          </w:p>
        </w:tc>
        <w:tc>
          <w:tcPr>
            <w:tcW w:w="491" w:type="pct"/>
          </w:tcPr>
          <w:p w14:paraId="68AB322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AAFFFFA"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1CFBCC53" w14:textId="77777777" w:rsidR="00CE1436" w:rsidRDefault="00CE1436" w:rsidP="00444693">
            <w:pPr>
              <w:pStyle w:val="TableText"/>
              <w:widowControl w:val="0"/>
              <w:suppressAutoHyphens w:val="0"/>
              <w:spacing w:before="0" w:after="0" w:line="240" w:lineRule="auto"/>
              <w:jc w:val="center"/>
            </w:pPr>
            <w:r>
              <w:t>1125</w:t>
            </w:r>
          </w:p>
        </w:tc>
        <w:tc>
          <w:tcPr>
            <w:tcW w:w="312" w:type="pct"/>
          </w:tcPr>
          <w:p w14:paraId="02DA4FF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C3A78F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A3F8B7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2D5A4F1" w14:textId="77777777" w:rsidR="00CE1436" w:rsidRPr="003B78B6" w:rsidRDefault="00CE1436" w:rsidP="00444693">
            <w:pPr>
              <w:pStyle w:val="TableText"/>
              <w:widowControl w:val="0"/>
              <w:suppressAutoHyphens w:val="0"/>
              <w:spacing w:before="0" w:after="0" w:line="240" w:lineRule="auto"/>
              <w:jc w:val="center"/>
            </w:pPr>
            <w:r>
              <w:rPr>
                <w:color w:val="1A1B1A"/>
                <w:szCs w:val="17"/>
              </w:rPr>
              <w:t>30</w:t>
            </w:r>
          </w:p>
        </w:tc>
        <w:tc>
          <w:tcPr>
            <w:tcW w:w="312" w:type="pct"/>
            <w:vAlign w:val="center"/>
          </w:tcPr>
          <w:p w14:paraId="49258AD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04D2DE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4.9</w:t>
            </w:r>
          </w:p>
        </w:tc>
        <w:tc>
          <w:tcPr>
            <w:tcW w:w="393" w:type="pct"/>
            <w:vAlign w:val="center"/>
          </w:tcPr>
          <w:p w14:paraId="6BE6ED27"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1C2D247B" w14:textId="77777777" w:rsidTr="00444693">
        <w:trPr>
          <w:cantSplit/>
          <w:trHeight w:val="13"/>
        </w:trPr>
        <w:tc>
          <w:tcPr>
            <w:tcW w:w="491" w:type="pct"/>
            <w:vMerge/>
            <w:tcBorders>
              <w:bottom w:val="single" w:sz="4" w:space="0" w:color="auto"/>
            </w:tcBorders>
          </w:tcPr>
          <w:p w14:paraId="432A73D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EAA7C1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D680DD1" w14:textId="77777777" w:rsidR="00CE1436" w:rsidRDefault="00CE1436" w:rsidP="00444693">
            <w:pPr>
              <w:pStyle w:val="TableText"/>
              <w:widowControl w:val="0"/>
              <w:suppressAutoHyphens w:val="0"/>
              <w:spacing w:before="0" w:after="0" w:line="240" w:lineRule="auto"/>
              <w:rPr>
                <w:szCs w:val="17"/>
              </w:rPr>
            </w:pPr>
          </w:p>
        </w:tc>
        <w:tc>
          <w:tcPr>
            <w:tcW w:w="491" w:type="pct"/>
          </w:tcPr>
          <w:p w14:paraId="1BE70E5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A1E5D41"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49EC2FD3" w14:textId="77777777" w:rsidR="00CE1436" w:rsidRDefault="00CE1436" w:rsidP="00444693">
            <w:pPr>
              <w:pStyle w:val="TableText"/>
              <w:widowControl w:val="0"/>
              <w:suppressAutoHyphens w:val="0"/>
              <w:spacing w:before="0" w:after="0" w:line="240" w:lineRule="auto"/>
              <w:jc w:val="center"/>
            </w:pPr>
            <w:r>
              <w:t>1000</w:t>
            </w:r>
          </w:p>
        </w:tc>
        <w:tc>
          <w:tcPr>
            <w:tcW w:w="312" w:type="pct"/>
          </w:tcPr>
          <w:p w14:paraId="04F387C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DAB78E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64A6A4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FDBBAEC" w14:textId="77777777" w:rsidR="00CE1436" w:rsidRPr="003B78B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B9ED21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6EF8F6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4.4</w:t>
            </w:r>
          </w:p>
        </w:tc>
        <w:tc>
          <w:tcPr>
            <w:tcW w:w="393" w:type="pct"/>
            <w:vAlign w:val="center"/>
          </w:tcPr>
          <w:p w14:paraId="5F5D5FB2"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6B7ABC" w14:paraId="2F1CCE0E" w14:textId="77777777" w:rsidTr="00444693">
        <w:trPr>
          <w:cantSplit/>
          <w:trHeight w:val="13"/>
        </w:trPr>
        <w:tc>
          <w:tcPr>
            <w:tcW w:w="491" w:type="pct"/>
            <w:vMerge/>
            <w:tcBorders>
              <w:bottom w:val="single" w:sz="4" w:space="0" w:color="auto"/>
            </w:tcBorders>
          </w:tcPr>
          <w:p w14:paraId="0ADD3CF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47928C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71EFC1E" w14:textId="77777777" w:rsidR="00CE1436" w:rsidRDefault="00CE1436" w:rsidP="00444693">
            <w:pPr>
              <w:pStyle w:val="TableText"/>
              <w:widowControl w:val="0"/>
              <w:suppressAutoHyphens w:val="0"/>
              <w:spacing w:before="0" w:after="0" w:line="240" w:lineRule="auto"/>
              <w:rPr>
                <w:szCs w:val="17"/>
              </w:rPr>
            </w:pPr>
          </w:p>
        </w:tc>
        <w:tc>
          <w:tcPr>
            <w:tcW w:w="491" w:type="pct"/>
          </w:tcPr>
          <w:p w14:paraId="1ABAD4D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C8493C1"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5524FD72" w14:textId="77777777" w:rsidR="00CE1436" w:rsidRDefault="00CE1436" w:rsidP="00444693">
            <w:pPr>
              <w:pStyle w:val="TableText"/>
              <w:widowControl w:val="0"/>
              <w:suppressAutoHyphens w:val="0"/>
              <w:spacing w:before="0" w:after="0" w:line="240" w:lineRule="auto"/>
              <w:jc w:val="center"/>
            </w:pPr>
            <w:r>
              <w:t>850</w:t>
            </w:r>
          </w:p>
        </w:tc>
        <w:tc>
          <w:tcPr>
            <w:tcW w:w="312" w:type="pct"/>
          </w:tcPr>
          <w:p w14:paraId="071BF04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5DEBDC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D231BC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6EECDF6" w14:textId="77777777" w:rsidR="00CE1436"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32601037"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2A5ACA2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93" w:type="pct"/>
            <w:vAlign w:val="center"/>
          </w:tcPr>
          <w:p w14:paraId="7809E82C"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27505E" w14:paraId="7E284F40" w14:textId="77777777" w:rsidTr="00444693">
        <w:trPr>
          <w:cantSplit/>
          <w:trHeight w:val="13"/>
        </w:trPr>
        <w:tc>
          <w:tcPr>
            <w:tcW w:w="491" w:type="pct"/>
            <w:vMerge/>
            <w:tcBorders>
              <w:bottom w:val="single" w:sz="4" w:space="0" w:color="auto"/>
            </w:tcBorders>
          </w:tcPr>
          <w:p w14:paraId="7F19C27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A46C8E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895B55C" w14:textId="77777777" w:rsidR="00CE1436" w:rsidRDefault="00CE1436" w:rsidP="00444693">
            <w:pPr>
              <w:pStyle w:val="TableText"/>
              <w:widowControl w:val="0"/>
              <w:suppressAutoHyphens w:val="0"/>
              <w:spacing w:before="0" w:after="0" w:line="240" w:lineRule="auto"/>
              <w:rPr>
                <w:szCs w:val="17"/>
              </w:rPr>
            </w:pPr>
          </w:p>
        </w:tc>
        <w:tc>
          <w:tcPr>
            <w:tcW w:w="491" w:type="pct"/>
          </w:tcPr>
          <w:p w14:paraId="125B5EC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6505974"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63848A76" w14:textId="77777777" w:rsidR="00CE1436" w:rsidRDefault="00CE1436" w:rsidP="00444693">
            <w:pPr>
              <w:pStyle w:val="TableText"/>
              <w:widowControl w:val="0"/>
              <w:suppressAutoHyphens w:val="0"/>
              <w:spacing w:before="0" w:after="0" w:line="240" w:lineRule="auto"/>
              <w:jc w:val="center"/>
            </w:pPr>
            <w:r>
              <w:t>840</w:t>
            </w:r>
          </w:p>
        </w:tc>
        <w:tc>
          <w:tcPr>
            <w:tcW w:w="312" w:type="pct"/>
          </w:tcPr>
          <w:p w14:paraId="6EC0AA1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04AB47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CF9E70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A203755" w14:textId="77777777" w:rsidR="00CE1436" w:rsidRPr="003B78B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60F7783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0CCBD7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93" w:type="pct"/>
            <w:vAlign w:val="center"/>
          </w:tcPr>
          <w:p w14:paraId="198E2B85"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6ADDC344" w14:textId="77777777" w:rsidTr="00444693">
        <w:trPr>
          <w:cantSplit/>
          <w:trHeight w:val="13"/>
        </w:trPr>
        <w:tc>
          <w:tcPr>
            <w:tcW w:w="491" w:type="pct"/>
            <w:vMerge/>
            <w:tcBorders>
              <w:bottom w:val="single" w:sz="4" w:space="0" w:color="auto"/>
            </w:tcBorders>
          </w:tcPr>
          <w:p w14:paraId="6B75447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CD0203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7716EA5" w14:textId="77777777" w:rsidR="00CE1436" w:rsidRDefault="00CE1436" w:rsidP="00444693">
            <w:pPr>
              <w:pStyle w:val="TableText"/>
              <w:widowControl w:val="0"/>
              <w:suppressAutoHyphens w:val="0"/>
              <w:spacing w:before="0" w:after="0" w:line="240" w:lineRule="auto"/>
              <w:rPr>
                <w:szCs w:val="17"/>
              </w:rPr>
            </w:pPr>
          </w:p>
        </w:tc>
        <w:tc>
          <w:tcPr>
            <w:tcW w:w="491" w:type="pct"/>
          </w:tcPr>
          <w:p w14:paraId="45AE896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3DA2FF9"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746F5173" w14:textId="77777777" w:rsidR="00CE1436" w:rsidRDefault="00CE1436" w:rsidP="00444693">
            <w:pPr>
              <w:pStyle w:val="TableText"/>
              <w:widowControl w:val="0"/>
              <w:suppressAutoHyphens w:val="0"/>
              <w:spacing w:before="0" w:after="0" w:line="240" w:lineRule="auto"/>
              <w:jc w:val="center"/>
            </w:pPr>
            <w:r>
              <w:t>750</w:t>
            </w:r>
          </w:p>
        </w:tc>
        <w:tc>
          <w:tcPr>
            <w:tcW w:w="312" w:type="pct"/>
          </w:tcPr>
          <w:p w14:paraId="6D949B7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91E0E3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113F49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59A85D7" w14:textId="77777777" w:rsidR="00CE1436" w:rsidRPr="003B78B6" w:rsidRDefault="00CE1436" w:rsidP="00444693">
            <w:pPr>
              <w:pStyle w:val="TableText"/>
              <w:widowControl w:val="0"/>
              <w:suppressAutoHyphens w:val="0"/>
              <w:spacing w:before="0" w:after="0" w:line="240" w:lineRule="auto"/>
              <w:jc w:val="center"/>
            </w:pPr>
            <w:r>
              <w:rPr>
                <w:color w:val="1A1B1A"/>
                <w:szCs w:val="17"/>
              </w:rPr>
              <w:t>20</w:t>
            </w:r>
          </w:p>
        </w:tc>
        <w:tc>
          <w:tcPr>
            <w:tcW w:w="312" w:type="pct"/>
            <w:vAlign w:val="center"/>
          </w:tcPr>
          <w:p w14:paraId="540D6C2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1FB3FA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3.3</w:t>
            </w:r>
          </w:p>
        </w:tc>
        <w:tc>
          <w:tcPr>
            <w:tcW w:w="393" w:type="pct"/>
            <w:vAlign w:val="center"/>
          </w:tcPr>
          <w:p w14:paraId="3EC6C76F"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6B7ABC" w14:paraId="6274E278" w14:textId="77777777" w:rsidTr="00444693">
        <w:trPr>
          <w:cantSplit/>
          <w:trHeight w:val="13"/>
        </w:trPr>
        <w:tc>
          <w:tcPr>
            <w:tcW w:w="491" w:type="pct"/>
            <w:vMerge/>
            <w:tcBorders>
              <w:bottom w:val="single" w:sz="4" w:space="0" w:color="auto"/>
            </w:tcBorders>
          </w:tcPr>
          <w:p w14:paraId="5898EEA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E086CA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43E649F" w14:textId="77777777" w:rsidR="00CE1436" w:rsidRDefault="00CE1436" w:rsidP="00444693">
            <w:pPr>
              <w:pStyle w:val="TableText"/>
              <w:widowControl w:val="0"/>
              <w:suppressAutoHyphens w:val="0"/>
              <w:spacing w:before="0" w:after="0" w:line="240" w:lineRule="auto"/>
              <w:rPr>
                <w:szCs w:val="17"/>
              </w:rPr>
            </w:pPr>
          </w:p>
        </w:tc>
        <w:tc>
          <w:tcPr>
            <w:tcW w:w="491" w:type="pct"/>
          </w:tcPr>
          <w:p w14:paraId="08A6E2B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554F7E7"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27B715D6"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35CD801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7B6F76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13DDB1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D0C10A6" w14:textId="77777777" w:rsidR="00CE143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42E788B8"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4774E19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93" w:type="pct"/>
            <w:vAlign w:val="center"/>
          </w:tcPr>
          <w:p w14:paraId="69FE7900"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27505E" w14:paraId="6276A196" w14:textId="77777777" w:rsidTr="00444693">
        <w:trPr>
          <w:cantSplit/>
          <w:trHeight w:val="13"/>
        </w:trPr>
        <w:tc>
          <w:tcPr>
            <w:tcW w:w="491" w:type="pct"/>
            <w:vMerge/>
            <w:tcBorders>
              <w:bottom w:val="single" w:sz="4" w:space="0" w:color="auto"/>
            </w:tcBorders>
          </w:tcPr>
          <w:p w14:paraId="3920FDE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1B90E0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35C52EC" w14:textId="77777777" w:rsidR="00CE1436" w:rsidRDefault="00CE1436" w:rsidP="00444693">
            <w:pPr>
              <w:pStyle w:val="TableText"/>
              <w:widowControl w:val="0"/>
              <w:suppressAutoHyphens w:val="0"/>
              <w:spacing w:before="0" w:after="0" w:line="240" w:lineRule="auto"/>
              <w:rPr>
                <w:szCs w:val="17"/>
              </w:rPr>
            </w:pPr>
          </w:p>
        </w:tc>
        <w:tc>
          <w:tcPr>
            <w:tcW w:w="491" w:type="pct"/>
          </w:tcPr>
          <w:p w14:paraId="37E617E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12FCF9D"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723C7394"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142AE1C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C24C0F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90AF77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4C3FA6C"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1D6B06E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DF4CDE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93" w:type="pct"/>
            <w:vAlign w:val="center"/>
          </w:tcPr>
          <w:p w14:paraId="238C8FD5"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3531B471" w14:textId="77777777" w:rsidTr="00444693">
        <w:trPr>
          <w:cantSplit/>
          <w:trHeight w:val="13"/>
        </w:trPr>
        <w:tc>
          <w:tcPr>
            <w:tcW w:w="491" w:type="pct"/>
            <w:vMerge/>
            <w:tcBorders>
              <w:bottom w:val="single" w:sz="4" w:space="0" w:color="auto"/>
            </w:tcBorders>
          </w:tcPr>
          <w:p w14:paraId="7C21F51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DC39DD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48BF789" w14:textId="77777777" w:rsidR="00CE1436" w:rsidRDefault="00CE1436" w:rsidP="00444693">
            <w:pPr>
              <w:pStyle w:val="TableText"/>
              <w:widowControl w:val="0"/>
              <w:suppressAutoHyphens w:val="0"/>
              <w:spacing w:before="0" w:after="0" w:line="240" w:lineRule="auto"/>
              <w:rPr>
                <w:szCs w:val="17"/>
              </w:rPr>
            </w:pPr>
          </w:p>
        </w:tc>
        <w:tc>
          <w:tcPr>
            <w:tcW w:w="491" w:type="pct"/>
          </w:tcPr>
          <w:p w14:paraId="58A40AD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8411CFF"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65022745"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1EA96A9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46B0B9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9A9109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5EEAEDF" w14:textId="77777777" w:rsidR="00CE1436" w:rsidRPr="003B78B6"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10B7936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D9FA47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93" w:type="pct"/>
            <w:vAlign w:val="center"/>
          </w:tcPr>
          <w:p w14:paraId="2074A02D"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6B7ABC" w14:paraId="63182E76" w14:textId="77777777" w:rsidTr="00444693">
        <w:trPr>
          <w:cantSplit/>
          <w:trHeight w:val="13"/>
        </w:trPr>
        <w:tc>
          <w:tcPr>
            <w:tcW w:w="491" w:type="pct"/>
            <w:vMerge/>
            <w:tcBorders>
              <w:bottom w:val="single" w:sz="4" w:space="0" w:color="auto"/>
            </w:tcBorders>
          </w:tcPr>
          <w:p w14:paraId="4EE4219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E8EC0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2B3AA67" w14:textId="77777777" w:rsidR="00CE1436" w:rsidRDefault="00CE1436" w:rsidP="00444693">
            <w:pPr>
              <w:pStyle w:val="TableText"/>
              <w:widowControl w:val="0"/>
              <w:suppressAutoHyphens w:val="0"/>
              <w:spacing w:before="0" w:after="0" w:line="240" w:lineRule="auto"/>
              <w:rPr>
                <w:szCs w:val="17"/>
              </w:rPr>
            </w:pPr>
          </w:p>
        </w:tc>
        <w:tc>
          <w:tcPr>
            <w:tcW w:w="491" w:type="pct"/>
          </w:tcPr>
          <w:p w14:paraId="619CED6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C4DA81E"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2A377D36"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2DCB533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C4338B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9E3D45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4560437" w14:textId="77777777" w:rsidR="00CE143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52ECA06D"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5AD3456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93" w:type="pct"/>
            <w:vAlign w:val="center"/>
          </w:tcPr>
          <w:p w14:paraId="761A1EB0"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27505E" w14:paraId="7206EBB7" w14:textId="77777777" w:rsidTr="00444693">
        <w:trPr>
          <w:cantSplit/>
          <w:trHeight w:val="13"/>
        </w:trPr>
        <w:tc>
          <w:tcPr>
            <w:tcW w:w="491" w:type="pct"/>
            <w:vMerge/>
            <w:tcBorders>
              <w:bottom w:val="single" w:sz="4" w:space="0" w:color="auto"/>
            </w:tcBorders>
          </w:tcPr>
          <w:p w14:paraId="31BB4DB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9A05D8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832241F" w14:textId="77777777" w:rsidR="00CE1436" w:rsidRDefault="00CE1436" w:rsidP="00444693">
            <w:pPr>
              <w:pStyle w:val="TableText"/>
              <w:widowControl w:val="0"/>
              <w:suppressAutoHyphens w:val="0"/>
              <w:spacing w:before="0" w:after="0" w:line="240" w:lineRule="auto"/>
              <w:rPr>
                <w:szCs w:val="17"/>
              </w:rPr>
            </w:pPr>
          </w:p>
        </w:tc>
        <w:tc>
          <w:tcPr>
            <w:tcW w:w="491" w:type="pct"/>
          </w:tcPr>
          <w:p w14:paraId="56A085C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7387523"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7BF29DBF"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259AA70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9061D6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AA2767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5A7BE14"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0F33A8A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BD91E80"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93" w:type="pct"/>
            <w:vAlign w:val="center"/>
          </w:tcPr>
          <w:p w14:paraId="6373F18F"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02656291" w14:textId="77777777" w:rsidTr="00444693">
        <w:trPr>
          <w:cantSplit/>
          <w:trHeight w:val="13"/>
        </w:trPr>
        <w:tc>
          <w:tcPr>
            <w:tcW w:w="491" w:type="pct"/>
            <w:vMerge/>
            <w:tcBorders>
              <w:bottom w:val="single" w:sz="4" w:space="0" w:color="auto"/>
            </w:tcBorders>
          </w:tcPr>
          <w:p w14:paraId="0E8DB37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D2B540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2431198" w14:textId="77777777" w:rsidR="00CE1436" w:rsidRDefault="00CE1436" w:rsidP="00444693">
            <w:pPr>
              <w:pStyle w:val="TableText"/>
              <w:widowControl w:val="0"/>
              <w:suppressAutoHyphens w:val="0"/>
              <w:spacing w:before="0" w:after="0" w:line="240" w:lineRule="auto"/>
              <w:rPr>
                <w:szCs w:val="17"/>
              </w:rPr>
            </w:pPr>
          </w:p>
        </w:tc>
        <w:tc>
          <w:tcPr>
            <w:tcW w:w="491" w:type="pct"/>
          </w:tcPr>
          <w:p w14:paraId="5206BCA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781051F"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5BAE7304"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4E7F4AD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467645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D811A9A"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CE633E1" w14:textId="77777777" w:rsidR="00CE1436" w:rsidRPr="003B78B6" w:rsidRDefault="00CE1436" w:rsidP="00444693">
            <w:pPr>
              <w:pStyle w:val="TableText"/>
              <w:widowControl w:val="0"/>
              <w:suppressAutoHyphens w:val="0"/>
              <w:spacing w:before="0" w:after="0" w:line="240" w:lineRule="auto"/>
              <w:jc w:val="center"/>
            </w:pPr>
            <w:r>
              <w:rPr>
                <w:color w:val="1A1B1A"/>
                <w:szCs w:val="17"/>
              </w:rPr>
              <w:t>8.6</w:t>
            </w:r>
          </w:p>
        </w:tc>
        <w:tc>
          <w:tcPr>
            <w:tcW w:w="312" w:type="pct"/>
            <w:vAlign w:val="center"/>
          </w:tcPr>
          <w:p w14:paraId="1660FF7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235C2C4"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037D8BB5"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51242879" w14:textId="77777777" w:rsidTr="00444693">
        <w:trPr>
          <w:cantSplit/>
          <w:trHeight w:val="13"/>
        </w:trPr>
        <w:tc>
          <w:tcPr>
            <w:tcW w:w="491" w:type="pct"/>
            <w:vMerge/>
            <w:tcBorders>
              <w:bottom w:val="single" w:sz="4" w:space="0" w:color="auto"/>
            </w:tcBorders>
          </w:tcPr>
          <w:p w14:paraId="068316E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E12D85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40351F3" w14:textId="77777777" w:rsidR="00CE1436" w:rsidRDefault="00CE1436" w:rsidP="00444693">
            <w:pPr>
              <w:pStyle w:val="TableText"/>
              <w:widowControl w:val="0"/>
              <w:suppressAutoHyphens w:val="0"/>
              <w:spacing w:before="0" w:after="0" w:line="240" w:lineRule="auto"/>
              <w:rPr>
                <w:szCs w:val="17"/>
              </w:rPr>
            </w:pPr>
          </w:p>
        </w:tc>
        <w:tc>
          <w:tcPr>
            <w:tcW w:w="491" w:type="pct"/>
          </w:tcPr>
          <w:p w14:paraId="6E6BB0A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4655E59"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2FE14816" w14:textId="77777777" w:rsidR="00CE1436" w:rsidRDefault="00CE1436" w:rsidP="00444693">
            <w:pPr>
              <w:pStyle w:val="TableText"/>
              <w:widowControl w:val="0"/>
              <w:suppressAutoHyphens w:val="0"/>
              <w:spacing w:before="0" w:after="0" w:line="240" w:lineRule="auto"/>
              <w:jc w:val="center"/>
            </w:pPr>
            <w:r>
              <w:t>300</w:t>
            </w:r>
          </w:p>
        </w:tc>
        <w:tc>
          <w:tcPr>
            <w:tcW w:w="312" w:type="pct"/>
          </w:tcPr>
          <w:p w14:paraId="70973FF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57DEDF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B1F646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E5C1331" w14:textId="77777777" w:rsidR="00CE1436" w:rsidRPr="003B78B6" w:rsidRDefault="00CE1436" w:rsidP="00444693">
            <w:pPr>
              <w:pStyle w:val="TableText"/>
              <w:widowControl w:val="0"/>
              <w:suppressAutoHyphens w:val="0"/>
              <w:spacing w:before="0" w:after="0" w:line="240" w:lineRule="auto"/>
              <w:jc w:val="center"/>
            </w:pPr>
            <w:r>
              <w:rPr>
                <w:color w:val="1A1B1A"/>
                <w:szCs w:val="17"/>
              </w:rPr>
              <w:t>8.0</w:t>
            </w:r>
          </w:p>
        </w:tc>
        <w:tc>
          <w:tcPr>
            <w:tcW w:w="312" w:type="pct"/>
            <w:vAlign w:val="center"/>
          </w:tcPr>
          <w:p w14:paraId="2D59332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20CAF8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93" w:type="pct"/>
            <w:vAlign w:val="center"/>
          </w:tcPr>
          <w:p w14:paraId="4BB746CE"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53302EC8" w14:textId="77777777" w:rsidTr="00444693">
        <w:trPr>
          <w:cantSplit/>
          <w:trHeight w:val="13"/>
        </w:trPr>
        <w:tc>
          <w:tcPr>
            <w:tcW w:w="491" w:type="pct"/>
            <w:vMerge/>
            <w:tcBorders>
              <w:bottom w:val="single" w:sz="4" w:space="0" w:color="auto"/>
            </w:tcBorders>
          </w:tcPr>
          <w:p w14:paraId="7331896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E71911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5D7A9EB" w14:textId="77777777" w:rsidR="00CE1436" w:rsidRDefault="00CE1436" w:rsidP="00444693">
            <w:pPr>
              <w:pStyle w:val="TableText"/>
              <w:widowControl w:val="0"/>
              <w:suppressAutoHyphens w:val="0"/>
              <w:spacing w:before="0" w:after="0" w:line="240" w:lineRule="auto"/>
              <w:rPr>
                <w:szCs w:val="17"/>
              </w:rPr>
            </w:pPr>
          </w:p>
        </w:tc>
        <w:tc>
          <w:tcPr>
            <w:tcW w:w="491" w:type="pct"/>
          </w:tcPr>
          <w:p w14:paraId="6D9E8DA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6AD7ECF"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78E6B31F" w14:textId="77777777" w:rsidR="00CE1436" w:rsidRDefault="00CE1436" w:rsidP="00444693">
            <w:pPr>
              <w:pStyle w:val="TableText"/>
              <w:widowControl w:val="0"/>
              <w:suppressAutoHyphens w:val="0"/>
              <w:spacing w:before="0" w:after="0" w:line="240" w:lineRule="auto"/>
              <w:jc w:val="center"/>
            </w:pPr>
            <w:r>
              <w:t>216</w:t>
            </w:r>
          </w:p>
        </w:tc>
        <w:tc>
          <w:tcPr>
            <w:tcW w:w="312" w:type="pct"/>
          </w:tcPr>
          <w:p w14:paraId="4572AA1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AF3271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D3074A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6F8F555" w14:textId="77777777" w:rsidR="00CE1436" w:rsidRPr="003B78B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7E8613F"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8E77D89"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0.94</w:t>
            </w:r>
          </w:p>
        </w:tc>
        <w:tc>
          <w:tcPr>
            <w:tcW w:w="393" w:type="pct"/>
            <w:vAlign w:val="center"/>
          </w:tcPr>
          <w:p w14:paraId="73C7CDD4"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6B7ABC" w14:paraId="1FB645D3" w14:textId="77777777" w:rsidTr="00444693">
        <w:trPr>
          <w:cantSplit/>
          <w:trHeight w:val="13"/>
        </w:trPr>
        <w:tc>
          <w:tcPr>
            <w:tcW w:w="491" w:type="pct"/>
            <w:vMerge/>
            <w:tcBorders>
              <w:bottom w:val="single" w:sz="4" w:space="0" w:color="auto"/>
            </w:tcBorders>
          </w:tcPr>
          <w:p w14:paraId="7A7F96B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BC6693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5C012D0" w14:textId="77777777" w:rsidR="00CE1436" w:rsidRDefault="00CE1436" w:rsidP="00444693">
            <w:pPr>
              <w:pStyle w:val="TableText"/>
              <w:widowControl w:val="0"/>
              <w:suppressAutoHyphens w:val="0"/>
              <w:spacing w:before="0" w:after="0" w:line="240" w:lineRule="auto"/>
              <w:rPr>
                <w:szCs w:val="17"/>
              </w:rPr>
            </w:pPr>
          </w:p>
        </w:tc>
        <w:tc>
          <w:tcPr>
            <w:tcW w:w="491" w:type="pct"/>
          </w:tcPr>
          <w:p w14:paraId="449EA49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51DAF7E"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2EE23ECE" w14:textId="77777777" w:rsidR="00CE1436" w:rsidRDefault="00CE1436" w:rsidP="00444693">
            <w:pPr>
              <w:pStyle w:val="TableText"/>
              <w:widowControl w:val="0"/>
              <w:suppressAutoHyphens w:val="0"/>
              <w:spacing w:before="0" w:after="0" w:line="240" w:lineRule="auto"/>
              <w:jc w:val="center"/>
            </w:pPr>
            <w:r>
              <w:t>203</w:t>
            </w:r>
          </w:p>
        </w:tc>
        <w:tc>
          <w:tcPr>
            <w:tcW w:w="312" w:type="pct"/>
          </w:tcPr>
          <w:p w14:paraId="389029F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DA7E83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D8451E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8462504" w14:textId="77777777" w:rsidR="00CE1436" w:rsidRDefault="00CE1436" w:rsidP="00444693">
            <w:pPr>
              <w:pStyle w:val="TableText"/>
              <w:widowControl w:val="0"/>
              <w:suppressAutoHyphens w:val="0"/>
              <w:spacing w:before="0" w:after="0" w:line="240" w:lineRule="auto"/>
              <w:jc w:val="center"/>
            </w:pPr>
            <w:r>
              <w:rPr>
                <w:color w:val="1A1B1A"/>
                <w:szCs w:val="17"/>
              </w:rPr>
              <w:t>5.4</w:t>
            </w:r>
          </w:p>
        </w:tc>
        <w:tc>
          <w:tcPr>
            <w:tcW w:w="312" w:type="pct"/>
            <w:vAlign w:val="center"/>
          </w:tcPr>
          <w:p w14:paraId="1606E319"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2142E4FD" w14:textId="77777777" w:rsidR="00CE1436" w:rsidRDefault="00CE1436" w:rsidP="00444693">
            <w:pPr>
              <w:pStyle w:val="TableText"/>
              <w:widowControl w:val="0"/>
              <w:suppressAutoHyphens w:val="0"/>
              <w:spacing w:before="0" w:after="0" w:line="240" w:lineRule="auto"/>
              <w:jc w:val="center"/>
            </w:pPr>
            <w:r>
              <w:rPr>
                <w:color w:val="1A1B1A"/>
                <w:szCs w:val="17"/>
              </w:rPr>
              <w:t>0.89</w:t>
            </w:r>
          </w:p>
        </w:tc>
        <w:tc>
          <w:tcPr>
            <w:tcW w:w="393" w:type="pct"/>
            <w:vAlign w:val="center"/>
          </w:tcPr>
          <w:p w14:paraId="1E578C83"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6B7ABC" w14:paraId="6378E60B" w14:textId="77777777" w:rsidTr="00444693">
        <w:trPr>
          <w:cantSplit/>
          <w:trHeight w:val="13"/>
        </w:trPr>
        <w:tc>
          <w:tcPr>
            <w:tcW w:w="491" w:type="pct"/>
            <w:vMerge/>
            <w:tcBorders>
              <w:bottom w:val="single" w:sz="4" w:space="0" w:color="auto"/>
            </w:tcBorders>
          </w:tcPr>
          <w:p w14:paraId="2EA1670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0FA33F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9A7411A" w14:textId="77777777" w:rsidR="00CE1436" w:rsidRDefault="00CE1436" w:rsidP="00444693">
            <w:pPr>
              <w:pStyle w:val="TableText"/>
              <w:widowControl w:val="0"/>
              <w:suppressAutoHyphens w:val="0"/>
              <w:spacing w:before="0" w:after="0" w:line="240" w:lineRule="auto"/>
              <w:rPr>
                <w:szCs w:val="17"/>
              </w:rPr>
            </w:pPr>
          </w:p>
        </w:tc>
        <w:tc>
          <w:tcPr>
            <w:tcW w:w="491" w:type="pct"/>
          </w:tcPr>
          <w:p w14:paraId="40793DC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6444E55"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057DC9E1"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45B67CA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4D8EA3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09CECE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F396655" w14:textId="77777777" w:rsidR="00CE1436" w:rsidRDefault="00CE1436" w:rsidP="00444693">
            <w:pPr>
              <w:pStyle w:val="TableText"/>
              <w:widowControl w:val="0"/>
              <w:suppressAutoHyphens w:val="0"/>
              <w:spacing w:before="0" w:after="0" w:line="240" w:lineRule="auto"/>
              <w:jc w:val="center"/>
            </w:pPr>
            <w:r>
              <w:rPr>
                <w:color w:val="1A1B1A"/>
                <w:szCs w:val="17"/>
              </w:rPr>
              <w:t>5.3</w:t>
            </w:r>
          </w:p>
        </w:tc>
        <w:tc>
          <w:tcPr>
            <w:tcW w:w="312" w:type="pct"/>
            <w:vAlign w:val="center"/>
          </w:tcPr>
          <w:p w14:paraId="0817B3DB"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105B9E78" w14:textId="77777777" w:rsidR="00CE1436" w:rsidRDefault="00CE1436" w:rsidP="00444693">
            <w:pPr>
              <w:pStyle w:val="TableText"/>
              <w:widowControl w:val="0"/>
              <w:suppressAutoHyphens w:val="0"/>
              <w:spacing w:before="0" w:after="0" w:line="240" w:lineRule="auto"/>
              <w:jc w:val="center"/>
            </w:pPr>
            <w:r>
              <w:rPr>
                <w:color w:val="1A1B1A"/>
                <w:szCs w:val="17"/>
              </w:rPr>
              <w:t>0.87</w:t>
            </w:r>
          </w:p>
        </w:tc>
        <w:tc>
          <w:tcPr>
            <w:tcW w:w="393" w:type="pct"/>
            <w:vAlign w:val="center"/>
          </w:tcPr>
          <w:p w14:paraId="25DB2721"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6B7ABC" w14:paraId="1046FF7D" w14:textId="77777777" w:rsidTr="00444693">
        <w:trPr>
          <w:cantSplit/>
          <w:trHeight w:val="13"/>
        </w:trPr>
        <w:tc>
          <w:tcPr>
            <w:tcW w:w="491" w:type="pct"/>
            <w:vMerge/>
            <w:tcBorders>
              <w:bottom w:val="single" w:sz="4" w:space="0" w:color="auto"/>
            </w:tcBorders>
          </w:tcPr>
          <w:p w14:paraId="301E11A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C9835D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6558052" w14:textId="77777777" w:rsidR="00CE1436" w:rsidRDefault="00CE1436" w:rsidP="00444693">
            <w:pPr>
              <w:pStyle w:val="TableText"/>
              <w:widowControl w:val="0"/>
              <w:suppressAutoHyphens w:val="0"/>
              <w:spacing w:before="0" w:after="0" w:line="240" w:lineRule="auto"/>
              <w:rPr>
                <w:szCs w:val="17"/>
              </w:rPr>
            </w:pPr>
          </w:p>
        </w:tc>
        <w:tc>
          <w:tcPr>
            <w:tcW w:w="491" w:type="pct"/>
          </w:tcPr>
          <w:p w14:paraId="5928AB1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8399C3B"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252B405A"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07508A0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7CBCD0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085CFB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87DE26A" w14:textId="77777777" w:rsidR="00CE1436"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2063D4ED"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30EC4876" w14:textId="77777777" w:rsidR="00CE1436" w:rsidRDefault="00CE1436" w:rsidP="00444693">
            <w:pPr>
              <w:pStyle w:val="TableText"/>
              <w:widowControl w:val="0"/>
              <w:suppressAutoHyphens w:val="0"/>
              <w:spacing w:before="0" w:after="0" w:line="240" w:lineRule="auto"/>
              <w:jc w:val="center"/>
            </w:pPr>
            <w:r>
              <w:rPr>
                <w:color w:val="1A1B1A"/>
                <w:szCs w:val="17"/>
              </w:rPr>
              <w:t>0.75</w:t>
            </w:r>
          </w:p>
        </w:tc>
        <w:tc>
          <w:tcPr>
            <w:tcW w:w="393" w:type="pct"/>
            <w:vAlign w:val="center"/>
          </w:tcPr>
          <w:p w14:paraId="73A4B1D4"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27505E" w14:paraId="11039FD6" w14:textId="77777777" w:rsidTr="00444693">
        <w:trPr>
          <w:cantSplit/>
          <w:trHeight w:val="13"/>
        </w:trPr>
        <w:tc>
          <w:tcPr>
            <w:tcW w:w="491" w:type="pct"/>
            <w:vMerge/>
            <w:tcBorders>
              <w:bottom w:val="single" w:sz="4" w:space="0" w:color="auto"/>
            </w:tcBorders>
          </w:tcPr>
          <w:p w14:paraId="0EC4206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51CAA0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7B46DE6" w14:textId="77777777" w:rsidR="00CE1436" w:rsidRDefault="00CE1436" w:rsidP="00444693">
            <w:pPr>
              <w:pStyle w:val="TableText"/>
              <w:widowControl w:val="0"/>
              <w:suppressAutoHyphens w:val="0"/>
              <w:spacing w:before="0" w:after="0" w:line="240" w:lineRule="auto"/>
              <w:rPr>
                <w:szCs w:val="17"/>
              </w:rPr>
            </w:pPr>
          </w:p>
        </w:tc>
        <w:tc>
          <w:tcPr>
            <w:tcW w:w="491" w:type="pct"/>
          </w:tcPr>
          <w:p w14:paraId="2FE8B45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D5C739C"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2ECBEC02" w14:textId="77777777" w:rsidR="00CE1436" w:rsidRDefault="00CE1436" w:rsidP="00444693">
            <w:pPr>
              <w:pStyle w:val="TableText"/>
              <w:widowControl w:val="0"/>
              <w:suppressAutoHyphens w:val="0"/>
              <w:spacing w:before="0" w:after="0" w:line="240" w:lineRule="auto"/>
              <w:jc w:val="center"/>
            </w:pPr>
            <w:r>
              <w:t>165</w:t>
            </w:r>
          </w:p>
        </w:tc>
        <w:tc>
          <w:tcPr>
            <w:tcW w:w="312" w:type="pct"/>
          </w:tcPr>
          <w:p w14:paraId="6029D56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FEBBD1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1C2B0F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50BCCBF" w14:textId="77777777" w:rsidR="00CE1436" w:rsidRPr="003B78B6" w:rsidRDefault="00CE1436" w:rsidP="00444693">
            <w:pPr>
              <w:pStyle w:val="TableText"/>
              <w:widowControl w:val="0"/>
              <w:suppressAutoHyphens w:val="0"/>
              <w:spacing w:before="0" w:after="0" w:line="240" w:lineRule="auto"/>
              <w:jc w:val="center"/>
            </w:pPr>
            <w:r>
              <w:rPr>
                <w:color w:val="1A1B1A"/>
                <w:szCs w:val="17"/>
              </w:rPr>
              <w:t>4.4</w:t>
            </w:r>
          </w:p>
        </w:tc>
        <w:tc>
          <w:tcPr>
            <w:tcW w:w="312" w:type="pct"/>
            <w:vAlign w:val="center"/>
          </w:tcPr>
          <w:p w14:paraId="20BA8D2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FC531B6" w14:textId="77777777" w:rsidR="00CE1436" w:rsidRPr="0027505E" w:rsidRDefault="00CE1436" w:rsidP="00444693">
            <w:pPr>
              <w:pStyle w:val="TableText"/>
              <w:widowControl w:val="0"/>
              <w:suppressAutoHyphens w:val="0"/>
              <w:spacing w:before="0" w:after="0" w:line="240" w:lineRule="auto"/>
              <w:jc w:val="center"/>
            </w:pPr>
            <w:r>
              <w:rPr>
                <w:color w:val="1A1B1A"/>
                <w:szCs w:val="17"/>
              </w:rPr>
              <w:t>0.72</w:t>
            </w:r>
          </w:p>
        </w:tc>
        <w:tc>
          <w:tcPr>
            <w:tcW w:w="393" w:type="pct"/>
            <w:vAlign w:val="center"/>
          </w:tcPr>
          <w:p w14:paraId="3B10DD39"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171441A7" w14:textId="77777777" w:rsidTr="00444693">
        <w:trPr>
          <w:cantSplit/>
          <w:trHeight w:val="13"/>
        </w:trPr>
        <w:tc>
          <w:tcPr>
            <w:tcW w:w="491" w:type="pct"/>
            <w:vMerge/>
            <w:tcBorders>
              <w:bottom w:val="single" w:sz="4" w:space="0" w:color="auto"/>
            </w:tcBorders>
          </w:tcPr>
          <w:p w14:paraId="53179D3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BF679C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ABAA3A" w14:textId="77777777" w:rsidR="00CE1436" w:rsidRDefault="00CE1436" w:rsidP="00444693">
            <w:pPr>
              <w:pStyle w:val="TableText"/>
              <w:widowControl w:val="0"/>
              <w:suppressAutoHyphens w:val="0"/>
              <w:spacing w:before="0" w:after="0" w:line="240" w:lineRule="auto"/>
              <w:rPr>
                <w:szCs w:val="17"/>
              </w:rPr>
            </w:pPr>
          </w:p>
        </w:tc>
        <w:tc>
          <w:tcPr>
            <w:tcW w:w="491" w:type="pct"/>
          </w:tcPr>
          <w:p w14:paraId="59AE5D7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1449BBD"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10175EA8" w14:textId="77777777" w:rsidR="00CE1436" w:rsidRDefault="00CE1436" w:rsidP="00444693">
            <w:pPr>
              <w:pStyle w:val="TableText"/>
              <w:widowControl w:val="0"/>
              <w:suppressAutoHyphens w:val="0"/>
              <w:spacing w:before="0" w:after="0" w:line="240" w:lineRule="auto"/>
              <w:jc w:val="center"/>
            </w:pPr>
            <w:r>
              <w:t>160</w:t>
            </w:r>
          </w:p>
        </w:tc>
        <w:tc>
          <w:tcPr>
            <w:tcW w:w="312" w:type="pct"/>
          </w:tcPr>
          <w:p w14:paraId="6B9700F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B0CC47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3DA070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E4CBD22" w14:textId="77777777" w:rsidR="00CE1436" w:rsidRPr="003B78B6" w:rsidRDefault="00CE1436" w:rsidP="00444693">
            <w:pPr>
              <w:pStyle w:val="TableText"/>
              <w:widowControl w:val="0"/>
              <w:suppressAutoHyphens w:val="0"/>
              <w:spacing w:before="0" w:after="0" w:line="240" w:lineRule="auto"/>
              <w:jc w:val="center"/>
            </w:pPr>
            <w:r>
              <w:rPr>
                <w:color w:val="1A1B1A"/>
                <w:szCs w:val="17"/>
              </w:rPr>
              <w:t>4.3</w:t>
            </w:r>
          </w:p>
        </w:tc>
        <w:tc>
          <w:tcPr>
            <w:tcW w:w="312" w:type="pct"/>
            <w:vAlign w:val="center"/>
          </w:tcPr>
          <w:p w14:paraId="1100AB8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61C11C5A" w14:textId="77777777" w:rsidR="00CE1436" w:rsidRPr="0027505E" w:rsidRDefault="00CE1436" w:rsidP="00444693">
            <w:pPr>
              <w:pStyle w:val="TableText"/>
              <w:widowControl w:val="0"/>
              <w:suppressAutoHyphens w:val="0"/>
              <w:spacing w:before="0" w:after="0" w:line="240" w:lineRule="auto"/>
              <w:jc w:val="center"/>
            </w:pPr>
            <w:r>
              <w:rPr>
                <w:color w:val="1A1B1A"/>
                <w:szCs w:val="17"/>
              </w:rPr>
              <w:t>0.70</w:t>
            </w:r>
          </w:p>
        </w:tc>
        <w:tc>
          <w:tcPr>
            <w:tcW w:w="393" w:type="pct"/>
            <w:vAlign w:val="center"/>
          </w:tcPr>
          <w:p w14:paraId="48699F62"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6B7ABC" w14:paraId="71849082" w14:textId="77777777" w:rsidTr="00444693">
        <w:trPr>
          <w:cantSplit/>
          <w:trHeight w:val="13"/>
        </w:trPr>
        <w:tc>
          <w:tcPr>
            <w:tcW w:w="491" w:type="pct"/>
            <w:vMerge/>
            <w:tcBorders>
              <w:bottom w:val="single" w:sz="4" w:space="0" w:color="auto"/>
            </w:tcBorders>
          </w:tcPr>
          <w:p w14:paraId="7F276F5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6E76E5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780E4B0" w14:textId="77777777" w:rsidR="00CE1436" w:rsidRDefault="00CE1436" w:rsidP="00444693">
            <w:pPr>
              <w:pStyle w:val="TableText"/>
              <w:widowControl w:val="0"/>
              <w:suppressAutoHyphens w:val="0"/>
              <w:spacing w:before="0" w:after="0" w:line="240" w:lineRule="auto"/>
              <w:rPr>
                <w:szCs w:val="17"/>
              </w:rPr>
            </w:pPr>
          </w:p>
        </w:tc>
        <w:tc>
          <w:tcPr>
            <w:tcW w:w="491" w:type="pct"/>
          </w:tcPr>
          <w:p w14:paraId="46D1E8B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DD87CFA" w14:textId="77777777" w:rsidR="00CE1436"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753F893D" w14:textId="77777777" w:rsidR="00CE1436" w:rsidRDefault="00CE1436" w:rsidP="00444693">
            <w:pPr>
              <w:pStyle w:val="TableText"/>
              <w:widowControl w:val="0"/>
              <w:suppressAutoHyphens w:val="0"/>
              <w:spacing w:before="0" w:after="0" w:line="240" w:lineRule="auto"/>
              <w:jc w:val="center"/>
            </w:pPr>
            <w:r>
              <w:t>150</w:t>
            </w:r>
          </w:p>
        </w:tc>
        <w:tc>
          <w:tcPr>
            <w:tcW w:w="312" w:type="pct"/>
          </w:tcPr>
          <w:p w14:paraId="2180E44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8C1EF5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3072F3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5AA8E84" w14:textId="77777777" w:rsidR="00CE1436" w:rsidRDefault="00CE1436" w:rsidP="00444693">
            <w:pPr>
              <w:pStyle w:val="TableText"/>
              <w:widowControl w:val="0"/>
              <w:suppressAutoHyphens w:val="0"/>
              <w:spacing w:before="0" w:after="0" w:line="240" w:lineRule="auto"/>
              <w:jc w:val="center"/>
            </w:pPr>
            <w:r>
              <w:rPr>
                <w:color w:val="1A1B1A"/>
                <w:szCs w:val="17"/>
              </w:rPr>
              <w:t>4.0</w:t>
            </w:r>
          </w:p>
        </w:tc>
        <w:tc>
          <w:tcPr>
            <w:tcW w:w="312" w:type="pct"/>
            <w:vAlign w:val="center"/>
          </w:tcPr>
          <w:p w14:paraId="2B2A59D0"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12C43DC8" w14:textId="77777777" w:rsidR="00CE1436" w:rsidRDefault="00CE1436" w:rsidP="00444693">
            <w:pPr>
              <w:pStyle w:val="TableText"/>
              <w:widowControl w:val="0"/>
              <w:suppressAutoHyphens w:val="0"/>
              <w:spacing w:before="0" w:after="0" w:line="240" w:lineRule="auto"/>
              <w:jc w:val="center"/>
            </w:pPr>
            <w:r>
              <w:rPr>
                <w:color w:val="1A1B1A"/>
                <w:szCs w:val="17"/>
              </w:rPr>
              <w:t>0.65</w:t>
            </w:r>
          </w:p>
        </w:tc>
        <w:tc>
          <w:tcPr>
            <w:tcW w:w="393" w:type="pct"/>
            <w:vAlign w:val="center"/>
          </w:tcPr>
          <w:p w14:paraId="0D82E47F"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27505E" w14:paraId="29276577" w14:textId="77777777" w:rsidTr="00444693">
        <w:trPr>
          <w:cantSplit/>
          <w:trHeight w:val="13"/>
        </w:trPr>
        <w:tc>
          <w:tcPr>
            <w:tcW w:w="491" w:type="pct"/>
            <w:vMerge/>
            <w:tcBorders>
              <w:bottom w:val="single" w:sz="4" w:space="0" w:color="auto"/>
            </w:tcBorders>
          </w:tcPr>
          <w:p w14:paraId="05A8CA2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7602EF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FF733D6" w14:textId="77777777" w:rsidR="00CE1436" w:rsidRDefault="00CE1436" w:rsidP="00444693">
            <w:pPr>
              <w:pStyle w:val="TableText"/>
              <w:widowControl w:val="0"/>
              <w:suppressAutoHyphens w:val="0"/>
              <w:spacing w:before="0" w:after="0" w:line="240" w:lineRule="auto"/>
              <w:rPr>
                <w:szCs w:val="17"/>
              </w:rPr>
            </w:pPr>
          </w:p>
        </w:tc>
        <w:tc>
          <w:tcPr>
            <w:tcW w:w="491" w:type="pct"/>
          </w:tcPr>
          <w:p w14:paraId="498CA515"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3A5F8B6"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01432F0B" w14:textId="77777777" w:rsidR="00CE1436" w:rsidRDefault="00CE1436" w:rsidP="00444693">
            <w:pPr>
              <w:pStyle w:val="TableText"/>
              <w:widowControl w:val="0"/>
              <w:suppressAutoHyphens w:val="0"/>
              <w:spacing w:before="0" w:after="0" w:line="240" w:lineRule="auto"/>
              <w:jc w:val="center"/>
            </w:pPr>
            <w:r>
              <w:t>108</w:t>
            </w:r>
          </w:p>
        </w:tc>
        <w:tc>
          <w:tcPr>
            <w:tcW w:w="312" w:type="pct"/>
          </w:tcPr>
          <w:p w14:paraId="0970731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9FB244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2AA7EC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1CDAFFF" w14:textId="77777777" w:rsidR="00CE1436" w:rsidRPr="003B78B6" w:rsidRDefault="00CE1436" w:rsidP="00444693">
            <w:pPr>
              <w:pStyle w:val="TableText"/>
              <w:widowControl w:val="0"/>
              <w:suppressAutoHyphens w:val="0"/>
              <w:spacing w:before="0" w:after="0" w:line="240" w:lineRule="auto"/>
              <w:jc w:val="center"/>
            </w:pPr>
            <w:r>
              <w:rPr>
                <w:color w:val="1A1B1A"/>
                <w:szCs w:val="17"/>
              </w:rPr>
              <w:t>2.9</w:t>
            </w:r>
          </w:p>
        </w:tc>
        <w:tc>
          <w:tcPr>
            <w:tcW w:w="312" w:type="pct"/>
            <w:vAlign w:val="center"/>
          </w:tcPr>
          <w:p w14:paraId="1AE5831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71E388DC" w14:textId="77777777" w:rsidR="00CE1436" w:rsidRPr="0027505E" w:rsidRDefault="00CE1436" w:rsidP="00444693">
            <w:pPr>
              <w:pStyle w:val="TableText"/>
              <w:widowControl w:val="0"/>
              <w:suppressAutoHyphens w:val="0"/>
              <w:spacing w:before="0" w:after="0" w:line="240" w:lineRule="auto"/>
              <w:jc w:val="center"/>
            </w:pPr>
            <w:r>
              <w:rPr>
                <w:color w:val="1A1B1A"/>
                <w:szCs w:val="17"/>
              </w:rPr>
              <w:t>0.47</w:t>
            </w:r>
          </w:p>
        </w:tc>
        <w:tc>
          <w:tcPr>
            <w:tcW w:w="393" w:type="pct"/>
            <w:vAlign w:val="center"/>
          </w:tcPr>
          <w:p w14:paraId="410648E6"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27505E" w14:paraId="02EBA034" w14:textId="77777777" w:rsidTr="00444693">
        <w:trPr>
          <w:cantSplit/>
          <w:trHeight w:val="13"/>
        </w:trPr>
        <w:tc>
          <w:tcPr>
            <w:tcW w:w="491" w:type="pct"/>
            <w:vMerge/>
            <w:tcBorders>
              <w:bottom w:val="single" w:sz="4" w:space="0" w:color="auto"/>
            </w:tcBorders>
          </w:tcPr>
          <w:p w14:paraId="676C4BC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0A3674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7BD2CA3" w14:textId="77777777" w:rsidR="00CE1436" w:rsidRDefault="00CE1436" w:rsidP="00444693">
            <w:pPr>
              <w:pStyle w:val="TableText"/>
              <w:widowControl w:val="0"/>
              <w:suppressAutoHyphens w:val="0"/>
              <w:spacing w:before="0" w:after="0" w:line="240" w:lineRule="auto"/>
              <w:rPr>
                <w:szCs w:val="17"/>
              </w:rPr>
            </w:pPr>
          </w:p>
        </w:tc>
        <w:tc>
          <w:tcPr>
            <w:tcW w:w="491" w:type="pct"/>
          </w:tcPr>
          <w:p w14:paraId="0F66450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171FE65" w14:textId="77777777" w:rsidR="00CE1436" w:rsidRPr="00DF2FD0" w:rsidRDefault="00CE1436" w:rsidP="00444693">
            <w:pPr>
              <w:pStyle w:val="TableText"/>
              <w:widowControl w:val="0"/>
              <w:suppressAutoHyphens w:val="0"/>
              <w:spacing w:before="0" w:after="0" w:line="240" w:lineRule="auto"/>
              <w:jc w:val="center"/>
            </w:pPr>
            <w:r w:rsidRPr="001F17A6">
              <w:t>26.6</w:t>
            </w:r>
            <w:r w:rsidRPr="001F17A6">
              <w:rPr>
                <w:vertAlign w:val="superscript"/>
              </w:rPr>
              <w:t>b</w:t>
            </w:r>
          </w:p>
        </w:tc>
        <w:tc>
          <w:tcPr>
            <w:tcW w:w="311" w:type="pct"/>
          </w:tcPr>
          <w:p w14:paraId="6D394A05" w14:textId="77777777" w:rsidR="00CE1436" w:rsidRDefault="00CE1436" w:rsidP="00444693">
            <w:pPr>
              <w:pStyle w:val="TableText"/>
              <w:widowControl w:val="0"/>
              <w:suppressAutoHyphens w:val="0"/>
              <w:spacing w:before="0" w:after="0" w:line="240" w:lineRule="auto"/>
              <w:jc w:val="center"/>
            </w:pPr>
            <w:r>
              <w:t>100</w:t>
            </w:r>
          </w:p>
        </w:tc>
        <w:tc>
          <w:tcPr>
            <w:tcW w:w="312" w:type="pct"/>
          </w:tcPr>
          <w:p w14:paraId="49D9A02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CE18ED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432DC4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E394C6A" w14:textId="77777777" w:rsidR="00CE1436" w:rsidRPr="003B78B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7352FF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6E7DC5B5" w14:textId="77777777" w:rsidR="00CE1436" w:rsidRPr="0027505E" w:rsidRDefault="00CE1436" w:rsidP="00444693">
            <w:pPr>
              <w:pStyle w:val="TableText"/>
              <w:widowControl w:val="0"/>
              <w:suppressAutoHyphens w:val="0"/>
              <w:spacing w:before="0" w:after="0" w:line="240" w:lineRule="auto"/>
              <w:jc w:val="center"/>
            </w:pPr>
            <w:r>
              <w:rPr>
                <w:color w:val="1A1B1A"/>
                <w:szCs w:val="17"/>
              </w:rPr>
              <w:t>0.44</w:t>
            </w:r>
          </w:p>
        </w:tc>
        <w:tc>
          <w:tcPr>
            <w:tcW w:w="393" w:type="pct"/>
            <w:vAlign w:val="center"/>
          </w:tcPr>
          <w:p w14:paraId="6A16ACAF" w14:textId="77777777" w:rsidR="00CE1436" w:rsidRPr="0027505E" w:rsidRDefault="00CE1436" w:rsidP="00444693">
            <w:pPr>
              <w:pStyle w:val="TableText"/>
              <w:widowControl w:val="0"/>
              <w:suppressAutoHyphens w:val="0"/>
              <w:spacing w:before="0" w:after="0" w:line="240" w:lineRule="auto"/>
              <w:jc w:val="center"/>
            </w:pPr>
            <w:r>
              <w:rPr>
                <w:color w:val="1A1B1A"/>
                <w:szCs w:val="17"/>
              </w:rPr>
              <w:t>229</w:t>
            </w:r>
          </w:p>
        </w:tc>
      </w:tr>
      <w:tr w:rsidR="00CE1436" w:rsidRPr="006B7ABC" w14:paraId="4F175AFB" w14:textId="77777777" w:rsidTr="00444693">
        <w:trPr>
          <w:cantSplit/>
          <w:trHeight w:val="13"/>
        </w:trPr>
        <w:tc>
          <w:tcPr>
            <w:tcW w:w="491" w:type="pct"/>
            <w:vMerge/>
            <w:tcBorders>
              <w:bottom w:val="single" w:sz="4" w:space="0" w:color="auto"/>
            </w:tcBorders>
          </w:tcPr>
          <w:p w14:paraId="246D8A3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95C109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BF61D17"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2BC6F531"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0AB919C4" w14:textId="77777777" w:rsidR="00CE1436" w:rsidRDefault="00CE1436" w:rsidP="00444693">
            <w:pPr>
              <w:pStyle w:val="TableText"/>
              <w:widowControl w:val="0"/>
              <w:suppressAutoHyphens w:val="0"/>
              <w:spacing w:before="0" w:after="0" w:line="240" w:lineRule="auto"/>
              <w:jc w:val="center"/>
            </w:pPr>
            <w:r w:rsidRPr="00DF2FD0">
              <w:t>26.6</w:t>
            </w:r>
            <w:r w:rsidRPr="00DF2FD0">
              <w:rPr>
                <w:vertAlign w:val="superscript"/>
              </w:rPr>
              <w:t>b</w:t>
            </w:r>
          </w:p>
        </w:tc>
        <w:tc>
          <w:tcPr>
            <w:tcW w:w="311" w:type="pct"/>
            <w:tcBorders>
              <w:bottom w:val="single" w:sz="4" w:space="0" w:color="auto"/>
            </w:tcBorders>
          </w:tcPr>
          <w:p w14:paraId="7A1E3A2F" w14:textId="77777777" w:rsidR="00CE1436" w:rsidRDefault="00CE1436" w:rsidP="00444693">
            <w:pPr>
              <w:pStyle w:val="TableText"/>
              <w:widowControl w:val="0"/>
              <w:suppressAutoHyphens w:val="0"/>
              <w:spacing w:before="0" w:after="0" w:line="240" w:lineRule="auto"/>
              <w:jc w:val="center"/>
            </w:pPr>
            <w:r>
              <w:t>75</w:t>
            </w:r>
          </w:p>
        </w:tc>
        <w:tc>
          <w:tcPr>
            <w:tcW w:w="312" w:type="pct"/>
            <w:tcBorders>
              <w:bottom w:val="single" w:sz="4" w:space="0" w:color="auto"/>
            </w:tcBorders>
          </w:tcPr>
          <w:p w14:paraId="74AB0FF0"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618F558F"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52D23407"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6522CBA7" w14:textId="77777777" w:rsidR="00CE1436" w:rsidRDefault="00CE1436" w:rsidP="00444693">
            <w:pPr>
              <w:pStyle w:val="TableText"/>
              <w:widowControl w:val="0"/>
              <w:suppressAutoHyphens w:val="0"/>
              <w:spacing w:before="0" w:after="0" w:line="240" w:lineRule="auto"/>
              <w:jc w:val="center"/>
            </w:pPr>
            <w:r>
              <w:rPr>
                <w:color w:val="1A1B1A"/>
                <w:szCs w:val="17"/>
              </w:rPr>
              <w:t>2.0</w:t>
            </w:r>
          </w:p>
        </w:tc>
        <w:tc>
          <w:tcPr>
            <w:tcW w:w="312" w:type="pct"/>
            <w:tcBorders>
              <w:bottom w:val="single" w:sz="4" w:space="0" w:color="auto"/>
            </w:tcBorders>
            <w:vAlign w:val="center"/>
          </w:tcPr>
          <w:p w14:paraId="02EBC114"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bottom w:val="single" w:sz="4" w:space="0" w:color="auto"/>
            </w:tcBorders>
            <w:vAlign w:val="center"/>
          </w:tcPr>
          <w:p w14:paraId="295AD5F6" w14:textId="77777777" w:rsidR="00CE1436" w:rsidRDefault="00CE1436" w:rsidP="00444693">
            <w:pPr>
              <w:pStyle w:val="TableText"/>
              <w:widowControl w:val="0"/>
              <w:suppressAutoHyphens w:val="0"/>
              <w:spacing w:before="0" w:after="0" w:line="240" w:lineRule="auto"/>
              <w:jc w:val="center"/>
            </w:pPr>
            <w:r>
              <w:rPr>
                <w:color w:val="1A1B1A"/>
                <w:szCs w:val="17"/>
              </w:rPr>
              <w:t>0.33</w:t>
            </w:r>
          </w:p>
        </w:tc>
        <w:tc>
          <w:tcPr>
            <w:tcW w:w="393" w:type="pct"/>
            <w:tcBorders>
              <w:bottom w:val="single" w:sz="4" w:space="0" w:color="auto"/>
            </w:tcBorders>
            <w:vAlign w:val="center"/>
          </w:tcPr>
          <w:p w14:paraId="1CCF12F7" w14:textId="77777777" w:rsidR="00CE1436" w:rsidRPr="006B7ABC" w:rsidRDefault="00CE1436" w:rsidP="00444693">
            <w:pPr>
              <w:pStyle w:val="TableText"/>
              <w:widowControl w:val="0"/>
              <w:suppressAutoHyphens w:val="0"/>
              <w:spacing w:before="0" w:after="0" w:line="240" w:lineRule="auto"/>
              <w:jc w:val="center"/>
              <w:rPr>
                <w:b/>
                <w:bCs/>
              </w:rPr>
            </w:pPr>
            <w:r>
              <w:rPr>
                <w:color w:val="1A1B1A"/>
                <w:szCs w:val="17"/>
              </w:rPr>
              <w:t>229</w:t>
            </w:r>
          </w:p>
        </w:tc>
      </w:tr>
      <w:tr w:rsidR="00CE1436" w:rsidRPr="00C3293F" w14:paraId="56FA3A68" w14:textId="77777777" w:rsidTr="00444693">
        <w:trPr>
          <w:cantSplit/>
          <w:trHeight w:val="13"/>
        </w:trPr>
        <w:tc>
          <w:tcPr>
            <w:tcW w:w="491" w:type="pct"/>
            <w:vMerge/>
            <w:tcBorders>
              <w:bottom w:val="single" w:sz="4" w:space="0" w:color="auto"/>
            </w:tcBorders>
          </w:tcPr>
          <w:p w14:paraId="4E0A3370"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78642ADF" w14:textId="77777777" w:rsidR="00CE1436" w:rsidRPr="00B6513E" w:rsidRDefault="00CE1436" w:rsidP="00444693">
            <w:pPr>
              <w:pStyle w:val="TableText"/>
              <w:widowControl w:val="0"/>
              <w:suppressAutoHyphens w:val="0"/>
              <w:spacing w:before="0" w:after="0" w:line="240" w:lineRule="auto"/>
              <w:rPr>
                <w:szCs w:val="17"/>
              </w:rPr>
            </w:pPr>
            <w:r>
              <w:rPr>
                <w:szCs w:val="17"/>
              </w:rPr>
              <w:t>Small omnivore</w:t>
            </w:r>
          </w:p>
        </w:tc>
        <w:tc>
          <w:tcPr>
            <w:tcW w:w="477" w:type="pct"/>
            <w:vMerge w:val="restart"/>
            <w:tcBorders>
              <w:bottom w:val="single" w:sz="4" w:space="0" w:color="auto"/>
            </w:tcBorders>
          </w:tcPr>
          <w:p w14:paraId="35CDAF63" w14:textId="77777777" w:rsidR="00CE1436" w:rsidRDefault="00CE1436" w:rsidP="00444693">
            <w:pPr>
              <w:pStyle w:val="TableText"/>
              <w:widowControl w:val="0"/>
              <w:suppressAutoHyphens w:val="0"/>
              <w:spacing w:before="0" w:after="0" w:line="240" w:lineRule="auto"/>
              <w:rPr>
                <w:szCs w:val="17"/>
              </w:rPr>
            </w:pPr>
            <w:r>
              <w:rPr>
                <w:szCs w:val="17"/>
              </w:rPr>
              <w:t>New sown or late season</w:t>
            </w:r>
          </w:p>
        </w:tc>
        <w:tc>
          <w:tcPr>
            <w:tcW w:w="491" w:type="pct"/>
            <w:tcBorders>
              <w:top w:val="single" w:sz="4" w:space="0" w:color="auto"/>
            </w:tcBorders>
          </w:tcPr>
          <w:p w14:paraId="2ECE44E7"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tcPr>
          <w:p w14:paraId="3A3626E3" w14:textId="77777777" w:rsidR="00CE1436" w:rsidRDefault="00CE1436" w:rsidP="00444693">
            <w:pPr>
              <w:pStyle w:val="TableText"/>
              <w:widowControl w:val="0"/>
              <w:suppressAutoHyphens w:val="0"/>
              <w:spacing w:before="0" w:after="0" w:line="240" w:lineRule="auto"/>
              <w:jc w:val="center"/>
            </w:pPr>
            <w:r>
              <w:t>14.4</w:t>
            </w:r>
          </w:p>
        </w:tc>
        <w:tc>
          <w:tcPr>
            <w:tcW w:w="311" w:type="pct"/>
            <w:tcBorders>
              <w:top w:val="single" w:sz="4" w:space="0" w:color="auto"/>
            </w:tcBorders>
          </w:tcPr>
          <w:p w14:paraId="4A7EAB8E" w14:textId="77777777" w:rsidR="00CE1436" w:rsidRDefault="00CE1436" w:rsidP="00444693">
            <w:pPr>
              <w:pStyle w:val="TableText"/>
              <w:widowControl w:val="0"/>
              <w:suppressAutoHyphens w:val="0"/>
              <w:spacing w:before="0" w:after="0" w:line="240" w:lineRule="auto"/>
              <w:jc w:val="center"/>
            </w:pPr>
            <w:r>
              <w:t>1140</w:t>
            </w:r>
          </w:p>
        </w:tc>
        <w:tc>
          <w:tcPr>
            <w:tcW w:w="312" w:type="pct"/>
            <w:tcBorders>
              <w:top w:val="single" w:sz="4" w:space="0" w:color="auto"/>
            </w:tcBorders>
          </w:tcPr>
          <w:p w14:paraId="78883F4C"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1DF14936"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4C92672C"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278CD28F" w14:textId="77777777" w:rsidR="00CE1436" w:rsidRDefault="00CE1436" w:rsidP="00444693">
            <w:pPr>
              <w:pStyle w:val="TableText"/>
              <w:widowControl w:val="0"/>
              <w:suppressAutoHyphens w:val="0"/>
              <w:spacing w:before="0" w:after="0" w:line="240" w:lineRule="auto"/>
              <w:jc w:val="center"/>
            </w:pPr>
            <w:r>
              <w:rPr>
                <w:color w:val="1A1B1A"/>
                <w:szCs w:val="17"/>
              </w:rPr>
              <w:t>16</w:t>
            </w:r>
          </w:p>
        </w:tc>
        <w:tc>
          <w:tcPr>
            <w:tcW w:w="312" w:type="pct"/>
            <w:tcBorders>
              <w:top w:val="single" w:sz="4" w:space="0" w:color="auto"/>
            </w:tcBorders>
            <w:vAlign w:val="center"/>
          </w:tcPr>
          <w:p w14:paraId="60768E0A"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3F340A8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2.7</w:t>
            </w:r>
          </w:p>
        </w:tc>
        <w:tc>
          <w:tcPr>
            <w:tcW w:w="393" w:type="pct"/>
            <w:tcBorders>
              <w:top w:val="single" w:sz="4" w:space="0" w:color="auto"/>
            </w:tcBorders>
            <w:vAlign w:val="center"/>
          </w:tcPr>
          <w:p w14:paraId="4A8477F1"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7CA2DE46" w14:textId="77777777" w:rsidTr="00444693">
        <w:trPr>
          <w:cantSplit/>
          <w:trHeight w:val="13"/>
        </w:trPr>
        <w:tc>
          <w:tcPr>
            <w:tcW w:w="491" w:type="pct"/>
            <w:vMerge/>
            <w:tcBorders>
              <w:bottom w:val="single" w:sz="4" w:space="0" w:color="auto"/>
            </w:tcBorders>
          </w:tcPr>
          <w:p w14:paraId="589F8A2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B8433B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9BFDD40" w14:textId="77777777" w:rsidR="00CE1436" w:rsidRDefault="00CE1436" w:rsidP="00444693">
            <w:pPr>
              <w:pStyle w:val="TableText"/>
              <w:widowControl w:val="0"/>
              <w:suppressAutoHyphens w:val="0"/>
              <w:spacing w:before="0" w:after="0" w:line="240" w:lineRule="auto"/>
              <w:rPr>
                <w:szCs w:val="17"/>
              </w:rPr>
            </w:pPr>
          </w:p>
        </w:tc>
        <w:tc>
          <w:tcPr>
            <w:tcW w:w="491" w:type="pct"/>
          </w:tcPr>
          <w:p w14:paraId="7097B2E5" w14:textId="77777777" w:rsidR="00CE1436" w:rsidRDefault="00CE1436" w:rsidP="00444693">
            <w:pPr>
              <w:pStyle w:val="TableText"/>
              <w:widowControl w:val="0"/>
              <w:suppressAutoHyphens w:val="0"/>
              <w:spacing w:before="0" w:after="0" w:line="240" w:lineRule="auto"/>
              <w:jc w:val="center"/>
            </w:pPr>
          </w:p>
        </w:tc>
        <w:tc>
          <w:tcPr>
            <w:tcW w:w="449" w:type="pct"/>
          </w:tcPr>
          <w:p w14:paraId="06B6E272"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3119EE94" w14:textId="77777777" w:rsidR="00CE1436" w:rsidRDefault="00CE1436" w:rsidP="00444693">
            <w:pPr>
              <w:pStyle w:val="TableText"/>
              <w:widowControl w:val="0"/>
              <w:suppressAutoHyphens w:val="0"/>
              <w:spacing w:before="0" w:after="0" w:line="240" w:lineRule="auto"/>
              <w:jc w:val="center"/>
            </w:pPr>
            <w:r>
              <w:t>1125</w:t>
            </w:r>
          </w:p>
        </w:tc>
        <w:tc>
          <w:tcPr>
            <w:tcW w:w="312" w:type="pct"/>
          </w:tcPr>
          <w:p w14:paraId="4AE28253"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EAE8CD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95DA9B0"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9438467"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0E3B377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0CC889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2.7</w:t>
            </w:r>
          </w:p>
        </w:tc>
        <w:tc>
          <w:tcPr>
            <w:tcW w:w="393" w:type="pct"/>
            <w:vAlign w:val="center"/>
          </w:tcPr>
          <w:p w14:paraId="11A1861E"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5D9327ED" w14:textId="77777777" w:rsidTr="00444693">
        <w:trPr>
          <w:cantSplit/>
          <w:trHeight w:val="13"/>
        </w:trPr>
        <w:tc>
          <w:tcPr>
            <w:tcW w:w="491" w:type="pct"/>
            <w:vMerge/>
            <w:tcBorders>
              <w:bottom w:val="single" w:sz="4" w:space="0" w:color="auto"/>
            </w:tcBorders>
          </w:tcPr>
          <w:p w14:paraId="0F36182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94A037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773978B" w14:textId="77777777" w:rsidR="00CE1436" w:rsidRDefault="00CE1436" w:rsidP="00444693">
            <w:pPr>
              <w:pStyle w:val="TableText"/>
              <w:widowControl w:val="0"/>
              <w:suppressAutoHyphens w:val="0"/>
              <w:spacing w:before="0" w:after="0" w:line="240" w:lineRule="auto"/>
              <w:rPr>
                <w:szCs w:val="17"/>
              </w:rPr>
            </w:pPr>
          </w:p>
        </w:tc>
        <w:tc>
          <w:tcPr>
            <w:tcW w:w="491" w:type="pct"/>
          </w:tcPr>
          <w:p w14:paraId="48896286" w14:textId="77777777" w:rsidR="00CE1436" w:rsidRDefault="00CE1436" w:rsidP="00444693">
            <w:pPr>
              <w:pStyle w:val="TableText"/>
              <w:widowControl w:val="0"/>
              <w:suppressAutoHyphens w:val="0"/>
              <w:spacing w:before="0" w:after="0" w:line="240" w:lineRule="auto"/>
              <w:jc w:val="center"/>
            </w:pPr>
          </w:p>
        </w:tc>
        <w:tc>
          <w:tcPr>
            <w:tcW w:w="449" w:type="pct"/>
          </w:tcPr>
          <w:p w14:paraId="59957CE7"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56E59C08" w14:textId="77777777" w:rsidR="00CE1436" w:rsidRDefault="00CE1436" w:rsidP="00444693">
            <w:pPr>
              <w:pStyle w:val="TableText"/>
              <w:widowControl w:val="0"/>
              <w:suppressAutoHyphens w:val="0"/>
              <w:spacing w:before="0" w:after="0" w:line="240" w:lineRule="auto"/>
              <w:jc w:val="center"/>
            </w:pPr>
            <w:r>
              <w:t>1000</w:t>
            </w:r>
          </w:p>
        </w:tc>
        <w:tc>
          <w:tcPr>
            <w:tcW w:w="312" w:type="pct"/>
          </w:tcPr>
          <w:p w14:paraId="419FD13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B2B3EC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513E01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68881A2" w14:textId="77777777" w:rsidR="00CE1436" w:rsidRPr="003B78B6" w:rsidRDefault="00CE1436" w:rsidP="00444693">
            <w:pPr>
              <w:pStyle w:val="TableText"/>
              <w:widowControl w:val="0"/>
              <w:suppressAutoHyphens w:val="0"/>
              <w:spacing w:before="0" w:after="0" w:line="240" w:lineRule="auto"/>
              <w:jc w:val="center"/>
            </w:pPr>
            <w:r>
              <w:rPr>
                <w:color w:val="1A1B1A"/>
                <w:szCs w:val="17"/>
              </w:rPr>
              <w:t>14</w:t>
            </w:r>
          </w:p>
        </w:tc>
        <w:tc>
          <w:tcPr>
            <w:tcW w:w="312" w:type="pct"/>
            <w:vAlign w:val="center"/>
          </w:tcPr>
          <w:p w14:paraId="4DE2154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557B83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2.4</w:t>
            </w:r>
          </w:p>
        </w:tc>
        <w:tc>
          <w:tcPr>
            <w:tcW w:w="393" w:type="pct"/>
            <w:vAlign w:val="center"/>
          </w:tcPr>
          <w:p w14:paraId="4143B568"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725D7A29" w14:textId="77777777" w:rsidTr="00444693">
        <w:trPr>
          <w:cantSplit/>
          <w:trHeight w:val="13"/>
        </w:trPr>
        <w:tc>
          <w:tcPr>
            <w:tcW w:w="491" w:type="pct"/>
            <w:vMerge/>
            <w:tcBorders>
              <w:bottom w:val="single" w:sz="4" w:space="0" w:color="auto"/>
            </w:tcBorders>
          </w:tcPr>
          <w:p w14:paraId="716FA46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304216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0820F43" w14:textId="77777777" w:rsidR="00CE1436" w:rsidRDefault="00CE1436" w:rsidP="00444693">
            <w:pPr>
              <w:pStyle w:val="TableText"/>
              <w:widowControl w:val="0"/>
              <w:suppressAutoHyphens w:val="0"/>
              <w:spacing w:before="0" w:after="0" w:line="240" w:lineRule="auto"/>
              <w:rPr>
                <w:szCs w:val="17"/>
              </w:rPr>
            </w:pPr>
          </w:p>
        </w:tc>
        <w:tc>
          <w:tcPr>
            <w:tcW w:w="491" w:type="pct"/>
          </w:tcPr>
          <w:p w14:paraId="08904294" w14:textId="77777777" w:rsidR="00CE1436" w:rsidRDefault="00CE1436" w:rsidP="00444693">
            <w:pPr>
              <w:pStyle w:val="TableText"/>
              <w:widowControl w:val="0"/>
              <w:suppressAutoHyphens w:val="0"/>
              <w:spacing w:before="0" w:after="0" w:line="240" w:lineRule="auto"/>
              <w:jc w:val="center"/>
            </w:pPr>
          </w:p>
        </w:tc>
        <w:tc>
          <w:tcPr>
            <w:tcW w:w="449" w:type="pct"/>
          </w:tcPr>
          <w:p w14:paraId="2156D4F3"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1B343610" w14:textId="77777777" w:rsidR="00CE1436" w:rsidRDefault="00CE1436" w:rsidP="00444693">
            <w:pPr>
              <w:pStyle w:val="TableText"/>
              <w:widowControl w:val="0"/>
              <w:suppressAutoHyphens w:val="0"/>
              <w:spacing w:before="0" w:after="0" w:line="240" w:lineRule="auto"/>
              <w:jc w:val="center"/>
            </w:pPr>
            <w:r>
              <w:t>850</w:t>
            </w:r>
          </w:p>
        </w:tc>
        <w:tc>
          <w:tcPr>
            <w:tcW w:w="312" w:type="pct"/>
          </w:tcPr>
          <w:p w14:paraId="3D0AB7B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F37A2C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46C935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45C8144" w14:textId="77777777" w:rsidR="00CE143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6BD7C479"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4F994DB1"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93" w:type="pct"/>
            <w:vAlign w:val="center"/>
          </w:tcPr>
          <w:p w14:paraId="47466354"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279C995B" w14:textId="77777777" w:rsidTr="00444693">
        <w:trPr>
          <w:cantSplit/>
          <w:trHeight w:val="13"/>
        </w:trPr>
        <w:tc>
          <w:tcPr>
            <w:tcW w:w="491" w:type="pct"/>
            <w:vMerge/>
            <w:tcBorders>
              <w:bottom w:val="single" w:sz="4" w:space="0" w:color="auto"/>
            </w:tcBorders>
          </w:tcPr>
          <w:p w14:paraId="07245F4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967B4F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A95DB25" w14:textId="77777777" w:rsidR="00CE1436" w:rsidRDefault="00CE1436" w:rsidP="00444693">
            <w:pPr>
              <w:pStyle w:val="TableText"/>
              <w:widowControl w:val="0"/>
              <w:suppressAutoHyphens w:val="0"/>
              <w:spacing w:before="0" w:after="0" w:line="240" w:lineRule="auto"/>
              <w:rPr>
                <w:szCs w:val="17"/>
              </w:rPr>
            </w:pPr>
          </w:p>
        </w:tc>
        <w:tc>
          <w:tcPr>
            <w:tcW w:w="491" w:type="pct"/>
          </w:tcPr>
          <w:p w14:paraId="2204E080" w14:textId="77777777" w:rsidR="00CE1436" w:rsidRDefault="00CE1436" w:rsidP="00444693">
            <w:pPr>
              <w:pStyle w:val="TableText"/>
              <w:widowControl w:val="0"/>
              <w:suppressAutoHyphens w:val="0"/>
              <w:spacing w:before="0" w:after="0" w:line="240" w:lineRule="auto"/>
              <w:jc w:val="center"/>
            </w:pPr>
          </w:p>
        </w:tc>
        <w:tc>
          <w:tcPr>
            <w:tcW w:w="449" w:type="pct"/>
          </w:tcPr>
          <w:p w14:paraId="302561F9"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252C4E46" w14:textId="77777777" w:rsidR="00CE1436" w:rsidRDefault="00CE1436" w:rsidP="00444693">
            <w:pPr>
              <w:pStyle w:val="TableText"/>
              <w:widowControl w:val="0"/>
              <w:suppressAutoHyphens w:val="0"/>
              <w:spacing w:before="0" w:after="0" w:line="240" w:lineRule="auto"/>
              <w:jc w:val="center"/>
            </w:pPr>
            <w:r>
              <w:t>840</w:t>
            </w:r>
          </w:p>
        </w:tc>
        <w:tc>
          <w:tcPr>
            <w:tcW w:w="312" w:type="pct"/>
          </w:tcPr>
          <w:p w14:paraId="2FC38B7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BCA9C1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6D1FC5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0CB3AA6" w14:textId="77777777" w:rsidR="00CE1436" w:rsidRPr="003B78B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6F95DB5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30CFED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93" w:type="pct"/>
            <w:vAlign w:val="center"/>
          </w:tcPr>
          <w:p w14:paraId="049A1ECF"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495D092F" w14:textId="77777777" w:rsidTr="00444693">
        <w:trPr>
          <w:cantSplit/>
          <w:trHeight w:val="13"/>
        </w:trPr>
        <w:tc>
          <w:tcPr>
            <w:tcW w:w="491" w:type="pct"/>
            <w:vMerge/>
            <w:tcBorders>
              <w:bottom w:val="single" w:sz="4" w:space="0" w:color="auto"/>
            </w:tcBorders>
          </w:tcPr>
          <w:p w14:paraId="3DB40DB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F7E7D7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2A03E94" w14:textId="77777777" w:rsidR="00CE1436" w:rsidRDefault="00CE1436" w:rsidP="00444693">
            <w:pPr>
              <w:pStyle w:val="TableText"/>
              <w:widowControl w:val="0"/>
              <w:suppressAutoHyphens w:val="0"/>
              <w:spacing w:before="0" w:after="0" w:line="240" w:lineRule="auto"/>
              <w:rPr>
                <w:szCs w:val="17"/>
              </w:rPr>
            </w:pPr>
          </w:p>
        </w:tc>
        <w:tc>
          <w:tcPr>
            <w:tcW w:w="491" w:type="pct"/>
          </w:tcPr>
          <w:p w14:paraId="088DB9BE" w14:textId="77777777" w:rsidR="00CE1436" w:rsidRDefault="00CE1436" w:rsidP="00444693">
            <w:pPr>
              <w:pStyle w:val="TableText"/>
              <w:widowControl w:val="0"/>
              <w:suppressAutoHyphens w:val="0"/>
              <w:spacing w:before="0" w:after="0" w:line="240" w:lineRule="auto"/>
              <w:jc w:val="center"/>
            </w:pPr>
          </w:p>
        </w:tc>
        <w:tc>
          <w:tcPr>
            <w:tcW w:w="449" w:type="pct"/>
          </w:tcPr>
          <w:p w14:paraId="401B58CF"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742ACC2C" w14:textId="77777777" w:rsidR="00CE1436" w:rsidRDefault="00CE1436" w:rsidP="00444693">
            <w:pPr>
              <w:pStyle w:val="TableText"/>
              <w:widowControl w:val="0"/>
              <w:suppressAutoHyphens w:val="0"/>
              <w:spacing w:before="0" w:after="0" w:line="240" w:lineRule="auto"/>
              <w:jc w:val="center"/>
            </w:pPr>
            <w:r>
              <w:t>750</w:t>
            </w:r>
          </w:p>
        </w:tc>
        <w:tc>
          <w:tcPr>
            <w:tcW w:w="312" w:type="pct"/>
          </w:tcPr>
          <w:p w14:paraId="28E79F0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8CDCBA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A0AB14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73F5140"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131CCC0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2CC293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7D553847"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4AC62153" w14:textId="77777777" w:rsidTr="00444693">
        <w:trPr>
          <w:cantSplit/>
          <w:trHeight w:val="13"/>
        </w:trPr>
        <w:tc>
          <w:tcPr>
            <w:tcW w:w="491" w:type="pct"/>
            <w:vMerge/>
            <w:tcBorders>
              <w:bottom w:val="single" w:sz="4" w:space="0" w:color="auto"/>
            </w:tcBorders>
          </w:tcPr>
          <w:p w14:paraId="113620A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48E57B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3C7ED29" w14:textId="77777777" w:rsidR="00CE1436" w:rsidRDefault="00CE1436" w:rsidP="00444693">
            <w:pPr>
              <w:pStyle w:val="TableText"/>
              <w:widowControl w:val="0"/>
              <w:suppressAutoHyphens w:val="0"/>
              <w:spacing w:before="0" w:after="0" w:line="240" w:lineRule="auto"/>
              <w:rPr>
                <w:szCs w:val="17"/>
              </w:rPr>
            </w:pPr>
          </w:p>
        </w:tc>
        <w:tc>
          <w:tcPr>
            <w:tcW w:w="491" w:type="pct"/>
          </w:tcPr>
          <w:p w14:paraId="67E20406" w14:textId="77777777" w:rsidR="00CE1436" w:rsidRDefault="00CE1436" w:rsidP="00444693">
            <w:pPr>
              <w:pStyle w:val="TableText"/>
              <w:widowControl w:val="0"/>
              <w:suppressAutoHyphens w:val="0"/>
              <w:spacing w:before="0" w:after="0" w:line="240" w:lineRule="auto"/>
              <w:jc w:val="center"/>
            </w:pPr>
          </w:p>
        </w:tc>
        <w:tc>
          <w:tcPr>
            <w:tcW w:w="449" w:type="pct"/>
          </w:tcPr>
          <w:p w14:paraId="64C15AFB"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68CC323D"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7CB02CF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DB9112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FD341A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68AB0FC" w14:textId="77777777" w:rsidR="00CE1436" w:rsidRDefault="00CE1436" w:rsidP="00444693">
            <w:pPr>
              <w:pStyle w:val="TableText"/>
              <w:widowControl w:val="0"/>
              <w:suppressAutoHyphens w:val="0"/>
              <w:spacing w:before="0" w:after="0" w:line="240" w:lineRule="auto"/>
              <w:jc w:val="center"/>
            </w:pPr>
            <w:r>
              <w:rPr>
                <w:color w:val="1A1B1A"/>
                <w:szCs w:val="17"/>
              </w:rPr>
              <w:t>8.6</w:t>
            </w:r>
          </w:p>
        </w:tc>
        <w:tc>
          <w:tcPr>
            <w:tcW w:w="312" w:type="pct"/>
            <w:vAlign w:val="center"/>
          </w:tcPr>
          <w:p w14:paraId="01B47D0E"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042E3CD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7CE07A70"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5699D20A" w14:textId="77777777" w:rsidTr="00444693">
        <w:trPr>
          <w:cantSplit/>
          <w:trHeight w:val="13"/>
        </w:trPr>
        <w:tc>
          <w:tcPr>
            <w:tcW w:w="491" w:type="pct"/>
            <w:vMerge/>
            <w:tcBorders>
              <w:bottom w:val="single" w:sz="4" w:space="0" w:color="auto"/>
            </w:tcBorders>
          </w:tcPr>
          <w:p w14:paraId="2DF9477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F368F2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B1F4BA5" w14:textId="77777777" w:rsidR="00CE1436" w:rsidRDefault="00CE1436" w:rsidP="00444693">
            <w:pPr>
              <w:pStyle w:val="TableText"/>
              <w:widowControl w:val="0"/>
              <w:suppressAutoHyphens w:val="0"/>
              <w:spacing w:before="0" w:after="0" w:line="240" w:lineRule="auto"/>
              <w:rPr>
                <w:szCs w:val="17"/>
              </w:rPr>
            </w:pPr>
          </w:p>
        </w:tc>
        <w:tc>
          <w:tcPr>
            <w:tcW w:w="491" w:type="pct"/>
          </w:tcPr>
          <w:p w14:paraId="7AA5EFC6" w14:textId="77777777" w:rsidR="00CE1436" w:rsidRDefault="00CE1436" w:rsidP="00444693">
            <w:pPr>
              <w:pStyle w:val="TableText"/>
              <w:widowControl w:val="0"/>
              <w:suppressAutoHyphens w:val="0"/>
              <w:spacing w:before="0" w:after="0" w:line="240" w:lineRule="auto"/>
              <w:jc w:val="center"/>
            </w:pPr>
          </w:p>
        </w:tc>
        <w:tc>
          <w:tcPr>
            <w:tcW w:w="449" w:type="pct"/>
          </w:tcPr>
          <w:p w14:paraId="4AEC826E"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6E548768"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3BDB8BA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0887A3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EC5DBA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787CAAA" w14:textId="77777777" w:rsidR="00CE1436" w:rsidRPr="003B78B6" w:rsidRDefault="00CE1436" w:rsidP="00444693">
            <w:pPr>
              <w:pStyle w:val="TableText"/>
              <w:widowControl w:val="0"/>
              <w:suppressAutoHyphens w:val="0"/>
              <w:spacing w:before="0" w:after="0" w:line="240" w:lineRule="auto"/>
              <w:jc w:val="center"/>
            </w:pPr>
            <w:r>
              <w:rPr>
                <w:color w:val="1A1B1A"/>
                <w:szCs w:val="17"/>
              </w:rPr>
              <w:t>8.6</w:t>
            </w:r>
          </w:p>
        </w:tc>
        <w:tc>
          <w:tcPr>
            <w:tcW w:w="312" w:type="pct"/>
            <w:vAlign w:val="center"/>
          </w:tcPr>
          <w:p w14:paraId="3F76BC6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927147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7B49BB0D"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16E10D43" w14:textId="77777777" w:rsidTr="00444693">
        <w:trPr>
          <w:cantSplit/>
          <w:trHeight w:val="13"/>
        </w:trPr>
        <w:tc>
          <w:tcPr>
            <w:tcW w:w="491" w:type="pct"/>
            <w:vMerge/>
            <w:tcBorders>
              <w:bottom w:val="single" w:sz="4" w:space="0" w:color="auto"/>
            </w:tcBorders>
          </w:tcPr>
          <w:p w14:paraId="661BAE4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EF9180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51ACC22" w14:textId="77777777" w:rsidR="00CE1436" w:rsidRDefault="00CE1436" w:rsidP="00444693">
            <w:pPr>
              <w:pStyle w:val="TableText"/>
              <w:widowControl w:val="0"/>
              <w:suppressAutoHyphens w:val="0"/>
              <w:spacing w:before="0" w:after="0" w:line="240" w:lineRule="auto"/>
              <w:rPr>
                <w:szCs w:val="17"/>
              </w:rPr>
            </w:pPr>
          </w:p>
        </w:tc>
        <w:tc>
          <w:tcPr>
            <w:tcW w:w="491" w:type="pct"/>
          </w:tcPr>
          <w:p w14:paraId="3016122A" w14:textId="77777777" w:rsidR="00CE1436" w:rsidRDefault="00CE1436" w:rsidP="00444693">
            <w:pPr>
              <w:pStyle w:val="TableText"/>
              <w:widowControl w:val="0"/>
              <w:suppressAutoHyphens w:val="0"/>
              <w:spacing w:before="0" w:after="0" w:line="240" w:lineRule="auto"/>
              <w:jc w:val="center"/>
            </w:pPr>
          </w:p>
        </w:tc>
        <w:tc>
          <w:tcPr>
            <w:tcW w:w="449" w:type="pct"/>
          </w:tcPr>
          <w:p w14:paraId="59C3989E"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3FC2CA8D"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2EE1654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7F8324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7ACEE6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0430338" w14:textId="77777777" w:rsidR="00CE1436" w:rsidRPr="003B78B6" w:rsidRDefault="00CE1436" w:rsidP="00444693">
            <w:pPr>
              <w:pStyle w:val="TableText"/>
              <w:widowControl w:val="0"/>
              <w:suppressAutoHyphens w:val="0"/>
              <w:spacing w:before="0" w:after="0" w:line="240" w:lineRule="auto"/>
              <w:jc w:val="center"/>
            </w:pPr>
            <w:r>
              <w:rPr>
                <w:color w:val="1A1B1A"/>
                <w:szCs w:val="17"/>
              </w:rPr>
              <w:t>7.2</w:t>
            </w:r>
          </w:p>
        </w:tc>
        <w:tc>
          <w:tcPr>
            <w:tcW w:w="312" w:type="pct"/>
            <w:vAlign w:val="center"/>
          </w:tcPr>
          <w:p w14:paraId="15DF435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1279C8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57ACAFCC"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7E70C913" w14:textId="77777777" w:rsidTr="00444693">
        <w:trPr>
          <w:cantSplit/>
          <w:trHeight w:val="13"/>
        </w:trPr>
        <w:tc>
          <w:tcPr>
            <w:tcW w:w="491" w:type="pct"/>
            <w:vMerge/>
            <w:tcBorders>
              <w:bottom w:val="single" w:sz="4" w:space="0" w:color="auto"/>
            </w:tcBorders>
          </w:tcPr>
          <w:p w14:paraId="52C6893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58C21C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BF8E514" w14:textId="77777777" w:rsidR="00CE1436" w:rsidRDefault="00CE1436" w:rsidP="00444693">
            <w:pPr>
              <w:pStyle w:val="TableText"/>
              <w:widowControl w:val="0"/>
              <w:suppressAutoHyphens w:val="0"/>
              <w:spacing w:before="0" w:after="0" w:line="240" w:lineRule="auto"/>
              <w:rPr>
                <w:szCs w:val="17"/>
              </w:rPr>
            </w:pPr>
          </w:p>
        </w:tc>
        <w:tc>
          <w:tcPr>
            <w:tcW w:w="491" w:type="pct"/>
          </w:tcPr>
          <w:p w14:paraId="6678E790" w14:textId="77777777" w:rsidR="00CE1436" w:rsidRDefault="00CE1436" w:rsidP="00444693">
            <w:pPr>
              <w:pStyle w:val="TableText"/>
              <w:widowControl w:val="0"/>
              <w:suppressAutoHyphens w:val="0"/>
              <w:spacing w:before="0" w:after="0" w:line="240" w:lineRule="auto"/>
              <w:jc w:val="center"/>
            </w:pPr>
          </w:p>
        </w:tc>
        <w:tc>
          <w:tcPr>
            <w:tcW w:w="449" w:type="pct"/>
          </w:tcPr>
          <w:p w14:paraId="47585B19"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23ABBB7B"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0E4418A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57296A2"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809A82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583EDAE" w14:textId="77777777" w:rsidR="00CE1436" w:rsidRDefault="00CE1436" w:rsidP="00444693">
            <w:pPr>
              <w:pStyle w:val="TableText"/>
              <w:widowControl w:val="0"/>
              <w:suppressAutoHyphens w:val="0"/>
              <w:spacing w:before="0" w:after="0" w:line="240" w:lineRule="auto"/>
              <w:jc w:val="center"/>
            </w:pPr>
            <w:r>
              <w:rPr>
                <w:color w:val="1A1B1A"/>
                <w:szCs w:val="17"/>
              </w:rPr>
              <w:t>6.2</w:t>
            </w:r>
          </w:p>
        </w:tc>
        <w:tc>
          <w:tcPr>
            <w:tcW w:w="312" w:type="pct"/>
            <w:vAlign w:val="center"/>
          </w:tcPr>
          <w:p w14:paraId="5141F112"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shd w:val="clear" w:color="auto" w:fill="FF0000"/>
            <w:vAlign w:val="center"/>
          </w:tcPr>
          <w:p w14:paraId="69CA169A"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1.0</w:t>
            </w:r>
          </w:p>
        </w:tc>
        <w:tc>
          <w:tcPr>
            <w:tcW w:w="393" w:type="pct"/>
            <w:vAlign w:val="center"/>
          </w:tcPr>
          <w:p w14:paraId="08D214B3"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7A1AE9B4" w14:textId="77777777" w:rsidTr="00444693">
        <w:trPr>
          <w:cantSplit/>
          <w:trHeight w:val="13"/>
        </w:trPr>
        <w:tc>
          <w:tcPr>
            <w:tcW w:w="491" w:type="pct"/>
            <w:vMerge/>
            <w:tcBorders>
              <w:bottom w:val="single" w:sz="4" w:space="0" w:color="auto"/>
            </w:tcBorders>
          </w:tcPr>
          <w:p w14:paraId="47DEEAF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DE9ED5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241E424" w14:textId="77777777" w:rsidR="00CE1436" w:rsidRDefault="00CE1436" w:rsidP="00444693">
            <w:pPr>
              <w:pStyle w:val="TableText"/>
              <w:widowControl w:val="0"/>
              <w:suppressAutoHyphens w:val="0"/>
              <w:spacing w:before="0" w:after="0" w:line="240" w:lineRule="auto"/>
              <w:rPr>
                <w:szCs w:val="17"/>
              </w:rPr>
            </w:pPr>
          </w:p>
        </w:tc>
        <w:tc>
          <w:tcPr>
            <w:tcW w:w="491" w:type="pct"/>
          </w:tcPr>
          <w:p w14:paraId="54D9F6E5" w14:textId="77777777" w:rsidR="00CE1436" w:rsidRDefault="00CE1436" w:rsidP="00444693">
            <w:pPr>
              <w:pStyle w:val="TableText"/>
              <w:widowControl w:val="0"/>
              <w:suppressAutoHyphens w:val="0"/>
              <w:spacing w:before="0" w:after="0" w:line="240" w:lineRule="auto"/>
              <w:jc w:val="center"/>
            </w:pPr>
          </w:p>
        </w:tc>
        <w:tc>
          <w:tcPr>
            <w:tcW w:w="449" w:type="pct"/>
          </w:tcPr>
          <w:p w14:paraId="48E18369"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0E7B3348"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276B065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FDFA98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2784D8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C44176D" w14:textId="77777777" w:rsidR="00CE1436" w:rsidRPr="003B78B6" w:rsidRDefault="00CE1436" w:rsidP="00444693">
            <w:pPr>
              <w:pStyle w:val="TableText"/>
              <w:widowControl w:val="0"/>
              <w:suppressAutoHyphens w:val="0"/>
              <w:spacing w:before="0" w:after="0" w:line="240" w:lineRule="auto"/>
              <w:jc w:val="center"/>
            </w:pPr>
            <w:r>
              <w:rPr>
                <w:color w:val="1A1B1A"/>
                <w:szCs w:val="17"/>
              </w:rPr>
              <w:t>5.8</w:t>
            </w:r>
          </w:p>
        </w:tc>
        <w:tc>
          <w:tcPr>
            <w:tcW w:w="312" w:type="pct"/>
            <w:vAlign w:val="center"/>
          </w:tcPr>
          <w:p w14:paraId="0B439E7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C2239FB"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0.94</w:t>
            </w:r>
          </w:p>
        </w:tc>
        <w:tc>
          <w:tcPr>
            <w:tcW w:w="393" w:type="pct"/>
            <w:vAlign w:val="center"/>
          </w:tcPr>
          <w:p w14:paraId="08171F5D"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38959F82" w14:textId="77777777" w:rsidTr="00444693">
        <w:trPr>
          <w:cantSplit/>
          <w:trHeight w:val="13"/>
        </w:trPr>
        <w:tc>
          <w:tcPr>
            <w:tcW w:w="491" w:type="pct"/>
            <w:vMerge/>
            <w:tcBorders>
              <w:bottom w:val="single" w:sz="4" w:space="0" w:color="auto"/>
            </w:tcBorders>
          </w:tcPr>
          <w:p w14:paraId="7584A40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C96D57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1877C50" w14:textId="77777777" w:rsidR="00CE1436" w:rsidRDefault="00CE1436" w:rsidP="00444693">
            <w:pPr>
              <w:pStyle w:val="TableText"/>
              <w:widowControl w:val="0"/>
              <w:suppressAutoHyphens w:val="0"/>
              <w:spacing w:before="0" w:after="0" w:line="240" w:lineRule="auto"/>
              <w:rPr>
                <w:szCs w:val="17"/>
              </w:rPr>
            </w:pPr>
          </w:p>
        </w:tc>
        <w:tc>
          <w:tcPr>
            <w:tcW w:w="491" w:type="pct"/>
          </w:tcPr>
          <w:p w14:paraId="05B8D352" w14:textId="77777777" w:rsidR="00CE1436" w:rsidRDefault="00CE1436" w:rsidP="00444693">
            <w:pPr>
              <w:pStyle w:val="TableText"/>
              <w:widowControl w:val="0"/>
              <w:suppressAutoHyphens w:val="0"/>
              <w:spacing w:before="0" w:after="0" w:line="240" w:lineRule="auto"/>
              <w:jc w:val="center"/>
            </w:pPr>
          </w:p>
        </w:tc>
        <w:tc>
          <w:tcPr>
            <w:tcW w:w="449" w:type="pct"/>
          </w:tcPr>
          <w:p w14:paraId="1E8FA47E"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07A635FE"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0E71F7F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541818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D134C5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863C0AD" w14:textId="77777777" w:rsidR="00CE1436" w:rsidRPr="003B78B6" w:rsidRDefault="00CE1436" w:rsidP="00444693">
            <w:pPr>
              <w:pStyle w:val="TableText"/>
              <w:widowControl w:val="0"/>
              <w:suppressAutoHyphens w:val="0"/>
              <w:spacing w:before="0" w:after="0" w:line="240" w:lineRule="auto"/>
              <w:jc w:val="center"/>
            </w:pPr>
            <w:r>
              <w:rPr>
                <w:color w:val="1A1B1A"/>
                <w:szCs w:val="17"/>
              </w:rPr>
              <w:t>4.7</w:t>
            </w:r>
          </w:p>
        </w:tc>
        <w:tc>
          <w:tcPr>
            <w:tcW w:w="312" w:type="pct"/>
            <w:vAlign w:val="center"/>
          </w:tcPr>
          <w:p w14:paraId="55E3936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169B89A0"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0.76</w:t>
            </w:r>
          </w:p>
        </w:tc>
        <w:tc>
          <w:tcPr>
            <w:tcW w:w="393" w:type="pct"/>
            <w:vAlign w:val="center"/>
          </w:tcPr>
          <w:p w14:paraId="67FB8E79"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2597CD66" w14:textId="77777777" w:rsidTr="00444693">
        <w:trPr>
          <w:cantSplit/>
          <w:trHeight w:val="13"/>
        </w:trPr>
        <w:tc>
          <w:tcPr>
            <w:tcW w:w="491" w:type="pct"/>
            <w:vMerge/>
            <w:tcBorders>
              <w:bottom w:val="single" w:sz="4" w:space="0" w:color="auto"/>
            </w:tcBorders>
          </w:tcPr>
          <w:p w14:paraId="5F15191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771540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1B1C9B0" w14:textId="77777777" w:rsidR="00CE1436" w:rsidRDefault="00CE1436" w:rsidP="00444693">
            <w:pPr>
              <w:pStyle w:val="TableText"/>
              <w:widowControl w:val="0"/>
              <w:suppressAutoHyphens w:val="0"/>
              <w:spacing w:before="0" w:after="0" w:line="240" w:lineRule="auto"/>
              <w:rPr>
                <w:szCs w:val="17"/>
              </w:rPr>
            </w:pPr>
          </w:p>
        </w:tc>
        <w:tc>
          <w:tcPr>
            <w:tcW w:w="491" w:type="pct"/>
          </w:tcPr>
          <w:p w14:paraId="7C935EC4" w14:textId="77777777" w:rsidR="00CE1436" w:rsidRDefault="00CE1436" w:rsidP="00444693">
            <w:pPr>
              <w:pStyle w:val="TableText"/>
              <w:widowControl w:val="0"/>
              <w:suppressAutoHyphens w:val="0"/>
              <w:spacing w:before="0" w:after="0" w:line="240" w:lineRule="auto"/>
              <w:jc w:val="center"/>
            </w:pPr>
          </w:p>
        </w:tc>
        <w:tc>
          <w:tcPr>
            <w:tcW w:w="449" w:type="pct"/>
          </w:tcPr>
          <w:p w14:paraId="3CA792BE"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03B56183" w14:textId="77777777" w:rsidR="00CE1436" w:rsidRDefault="00CE1436" w:rsidP="00444693">
            <w:pPr>
              <w:pStyle w:val="TableText"/>
              <w:widowControl w:val="0"/>
              <w:suppressAutoHyphens w:val="0"/>
              <w:spacing w:before="0" w:after="0" w:line="240" w:lineRule="auto"/>
              <w:jc w:val="center"/>
            </w:pPr>
            <w:r>
              <w:t>300</w:t>
            </w:r>
          </w:p>
        </w:tc>
        <w:tc>
          <w:tcPr>
            <w:tcW w:w="312" w:type="pct"/>
          </w:tcPr>
          <w:p w14:paraId="606A93F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3BA449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BE7207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CD63326" w14:textId="77777777" w:rsidR="00CE1436" w:rsidRPr="003B78B6" w:rsidRDefault="00CE1436" w:rsidP="00444693">
            <w:pPr>
              <w:pStyle w:val="TableText"/>
              <w:widowControl w:val="0"/>
              <w:suppressAutoHyphens w:val="0"/>
              <w:spacing w:before="0" w:after="0" w:line="240" w:lineRule="auto"/>
              <w:jc w:val="center"/>
            </w:pPr>
            <w:r>
              <w:rPr>
                <w:color w:val="1A1B1A"/>
                <w:szCs w:val="17"/>
              </w:rPr>
              <w:t>4.3</w:t>
            </w:r>
          </w:p>
        </w:tc>
        <w:tc>
          <w:tcPr>
            <w:tcW w:w="312" w:type="pct"/>
            <w:vAlign w:val="center"/>
          </w:tcPr>
          <w:p w14:paraId="40752D8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6A610755"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0.71</w:t>
            </w:r>
          </w:p>
        </w:tc>
        <w:tc>
          <w:tcPr>
            <w:tcW w:w="393" w:type="pct"/>
            <w:vAlign w:val="center"/>
          </w:tcPr>
          <w:p w14:paraId="27633FEA"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7CF3626B" w14:textId="77777777" w:rsidTr="00444693">
        <w:trPr>
          <w:cantSplit/>
          <w:trHeight w:val="13"/>
        </w:trPr>
        <w:tc>
          <w:tcPr>
            <w:tcW w:w="491" w:type="pct"/>
            <w:vMerge/>
            <w:tcBorders>
              <w:bottom w:val="single" w:sz="4" w:space="0" w:color="auto"/>
            </w:tcBorders>
          </w:tcPr>
          <w:p w14:paraId="4BAF904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93EE5E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D06E79F" w14:textId="77777777" w:rsidR="00CE1436" w:rsidRDefault="00CE1436" w:rsidP="00444693">
            <w:pPr>
              <w:pStyle w:val="TableText"/>
              <w:widowControl w:val="0"/>
              <w:suppressAutoHyphens w:val="0"/>
              <w:spacing w:before="0" w:after="0" w:line="240" w:lineRule="auto"/>
              <w:rPr>
                <w:szCs w:val="17"/>
              </w:rPr>
            </w:pPr>
          </w:p>
        </w:tc>
        <w:tc>
          <w:tcPr>
            <w:tcW w:w="491" w:type="pct"/>
          </w:tcPr>
          <w:p w14:paraId="3CF09FA5" w14:textId="77777777" w:rsidR="00CE1436" w:rsidRDefault="00CE1436" w:rsidP="00444693">
            <w:pPr>
              <w:pStyle w:val="TableText"/>
              <w:widowControl w:val="0"/>
              <w:suppressAutoHyphens w:val="0"/>
              <w:spacing w:before="0" w:after="0" w:line="240" w:lineRule="auto"/>
              <w:jc w:val="center"/>
            </w:pPr>
          </w:p>
        </w:tc>
        <w:tc>
          <w:tcPr>
            <w:tcW w:w="449" w:type="pct"/>
          </w:tcPr>
          <w:p w14:paraId="76295188"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2A29D162" w14:textId="77777777" w:rsidR="00CE1436" w:rsidRDefault="00CE1436" w:rsidP="00444693">
            <w:pPr>
              <w:pStyle w:val="TableText"/>
              <w:widowControl w:val="0"/>
              <w:suppressAutoHyphens w:val="0"/>
              <w:spacing w:before="0" w:after="0" w:line="240" w:lineRule="auto"/>
              <w:jc w:val="center"/>
            </w:pPr>
            <w:r>
              <w:t>216</w:t>
            </w:r>
          </w:p>
        </w:tc>
        <w:tc>
          <w:tcPr>
            <w:tcW w:w="312" w:type="pct"/>
          </w:tcPr>
          <w:p w14:paraId="2152639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0C23F4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703BC2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555E0CA" w14:textId="77777777" w:rsidR="00CE1436" w:rsidRPr="003B78B6"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1A9D56D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1192516"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0.51</w:t>
            </w:r>
          </w:p>
        </w:tc>
        <w:tc>
          <w:tcPr>
            <w:tcW w:w="393" w:type="pct"/>
            <w:vAlign w:val="center"/>
          </w:tcPr>
          <w:p w14:paraId="5CB0928F"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23CFC27D" w14:textId="77777777" w:rsidTr="00444693">
        <w:trPr>
          <w:cantSplit/>
          <w:trHeight w:val="13"/>
        </w:trPr>
        <w:tc>
          <w:tcPr>
            <w:tcW w:w="491" w:type="pct"/>
            <w:vMerge/>
            <w:tcBorders>
              <w:bottom w:val="single" w:sz="4" w:space="0" w:color="auto"/>
            </w:tcBorders>
          </w:tcPr>
          <w:p w14:paraId="2013A75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D07BA3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C7F3190" w14:textId="77777777" w:rsidR="00CE1436" w:rsidRDefault="00CE1436" w:rsidP="00444693">
            <w:pPr>
              <w:pStyle w:val="TableText"/>
              <w:widowControl w:val="0"/>
              <w:suppressAutoHyphens w:val="0"/>
              <w:spacing w:before="0" w:after="0" w:line="240" w:lineRule="auto"/>
              <w:rPr>
                <w:szCs w:val="17"/>
              </w:rPr>
            </w:pPr>
          </w:p>
        </w:tc>
        <w:tc>
          <w:tcPr>
            <w:tcW w:w="491" w:type="pct"/>
          </w:tcPr>
          <w:p w14:paraId="569D1E87" w14:textId="77777777" w:rsidR="00CE1436" w:rsidRDefault="00CE1436" w:rsidP="00444693">
            <w:pPr>
              <w:pStyle w:val="TableText"/>
              <w:widowControl w:val="0"/>
              <w:suppressAutoHyphens w:val="0"/>
              <w:spacing w:before="0" w:after="0" w:line="240" w:lineRule="auto"/>
              <w:jc w:val="center"/>
            </w:pPr>
          </w:p>
        </w:tc>
        <w:tc>
          <w:tcPr>
            <w:tcW w:w="449" w:type="pct"/>
          </w:tcPr>
          <w:p w14:paraId="64A90A3E"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43FAC743" w14:textId="77777777" w:rsidR="00CE1436" w:rsidRDefault="00CE1436" w:rsidP="00444693">
            <w:pPr>
              <w:pStyle w:val="TableText"/>
              <w:widowControl w:val="0"/>
              <w:suppressAutoHyphens w:val="0"/>
              <w:spacing w:before="0" w:after="0" w:line="240" w:lineRule="auto"/>
              <w:jc w:val="center"/>
            </w:pPr>
            <w:r>
              <w:t>203</w:t>
            </w:r>
          </w:p>
        </w:tc>
        <w:tc>
          <w:tcPr>
            <w:tcW w:w="312" w:type="pct"/>
          </w:tcPr>
          <w:p w14:paraId="06BB2DE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5DCEB9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74685DA"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789C40E" w14:textId="77777777" w:rsidR="00CE1436" w:rsidRDefault="00CE1436" w:rsidP="00444693">
            <w:pPr>
              <w:pStyle w:val="TableText"/>
              <w:widowControl w:val="0"/>
              <w:suppressAutoHyphens w:val="0"/>
              <w:spacing w:before="0" w:after="0" w:line="240" w:lineRule="auto"/>
              <w:jc w:val="center"/>
            </w:pPr>
            <w:r>
              <w:rPr>
                <w:color w:val="1A1B1A"/>
                <w:szCs w:val="17"/>
              </w:rPr>
              <w:t>2.9</w:t>
            </w:r>
          </w:p>
        </w:tc>
        <w:tc>
          <w:tcPr>
            <w:tcW w:w="312" w:type="pct"/>
            <w:vAlign w:val="center"/>
          </w:tcPr>
          <w:p w14:paraId="4B3307FB"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7FC5F92D" w14:textId="77777777" w:rsidR="00CE1436" w:rsidRDefault="00CE1436" w:rsidP="00444693">
            <w:pPr>
              <w:pStyle w:val="TableText"/>
              <w:widowControl w:val="0"/>
              <w:suppressAutoHyphens w:val="0"/>
              <w:spacing w:before="0" w:after="0" w:line="240" w:lineRule="auto"/>
              <w:jc w:val="center"/>
            </w:pPr>
            <w:r>
              <w:rPr>
                <w:color w:val="1A1B1A"/>
                <w:szCs w:val="17"/>
              </w:rPr>
              <w:t>0.48</w:t>
            </w:r>
          </w:p>
        </w:tc>
        <w:tc>
          <w:tcPr>
            <w:tcW w:w="393" w:type="pct"/>
            <w:vAlign w:val="center"/>
          </w:tcPr>
          <w:p w14:paraId="68F5411C"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0967B526" w14:textId="77777777" w:rsidTr="00444693">
        <w:trPr>
          <w:cantSplit/>
          <w:trHeight w:val="13"/>
        </w:trPr>
        <w:tc>
          <w:tcPr>
            <w:tcW w:w="491" w:type="pct"/>
            <w:vMerge/>
            <w:tcBorders>
              <w:bottom w:val="single" w:sz="4" w:space="0" w:color="auto"/>
            </w:tcBorders>
          </w:tcPr>
          <w:p w14:paraId="7464FDC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1691A0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81965AD" w14:textId="77777777" w:rsidR="00CE1436" w:rsidRDefault="00CE1436" w:rsidP="00444693">
            <w:pPr>
              <w:pStyle w:val="TableText"/>
              <w:widowControl w:val="0"/>
              <w:suppressAutoHyphens w:val="0"/>
              <w:spacing w:before="0" w:after="0" w:line="240" w:lineRule="auto"/>
              <w:rPr>
                <w:szCs w:val="17"/>
              </w:rPr>
            </w:pPr>
          </w:p>
        </w:tc>
        <w:tc>
          <w:tcPr>
            <w:tcW w:w="491" w:type="pct"/>
          </w:tcPr>
          <w:p w14:paraId="215E687A" w14:textId="77777777" w:rsidR="00CE1436" w:rsidRDefault="00CE1436" w:rsidP="00444693">
            <w:pPr>
              <w:pStyle w:val="TableText"/>
              <w:widowControl w:val="0"/>
              <w:suppressAutoHyphens w:val="0"/>
              <w:spacing w:before="0" w:after="0" w:line="240" w:lineRule="auto"/>
              <w:jc w:val="center"/>
            </w:pPr>
          </w:p>
        </w:tc>
        <w:tc>
          <w:tcPr>
            <w:tcW w:w="449" w:type="pct"/>
          </w:tcPr>
          <w:p w14:paraId="3DDAE6DD"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11D77E43"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131378E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D110D7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23EF4E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4475928" w14:textId="77777777" w:rsidR="00CE1436" w:rsidRDefault="00CE1436" w:rsidP="00444693">
            <w:pPr>
              <w:pStyle w:val="TableText"/>
              <w:widowControl w:val="0"/>
              <w:suppressAutoHyphens w:val="0"/>
              <w:spacing w:before="0" w:after="0" w:line="240" w:lineRule="auto"/>
              <w:jc w:val="center"/>
            </w:pPr>
            <w:r>
              <w:rPr>
                <w:color w:val="1A1B1A"/>
                <w:szCs w:val="17"/>
              </w:rPr>
              <w:t>2.9</w:t>
            </w:r>
          </w:p>
        </w:tc>
        <w:tc>
          <w:tcPr>
            <w:tcW w:w="312" w:type="pct"/>
            <w:vAlign w:val="center"/>
          </w:tcPr>
          <w:p w14:paraId="40340F53"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283CBB0C" w14:textId="77777777" w:rsidR="00CE1436" w:rsidRDefault="00CE1436" w:rsidP="00444693">
            <w:pPr>
              <w:pStyle w:val="TableText"/>
              <w:widowControl w:val="0"/>
              <w:suppressAutoHyphens w:val="0"/>
              <w:spacing w:before="0" w:after="0" w:line="240" w:lineRule="auto"/>
              <w:jc w:val="center"/>
            </w:pPr>
            <w:r>
              <w:rPr>
                <w:color w:val="1A1B1A"/>
                <w:szCs w:val="17"/>
              </w:rPr>
              <w:t>0.47</w:t>
            </w:r>
          </w:p>
        </w:tc>
        <w:tc>
          <w:tcPr>
            <w:tcW w:w="393" w:type="pct"/>
            <w:vAlign w:val="center"/>
          </w:tcPr>
          <w:p w14:paraId="3CE0714F"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4570F982" w14:textId="77777777" w:rsidTr="00444693">
        <w:trPr>
          <w:cantSplit/>
          <w:trHeight w:val="13"/>
        </w:trPr>
        <w:tc>
          <w:tcPr>
            <w:tcW w:w="491" w:type="pct"/>
            <w:vMerge/>
            <w:tcBorders>
              <w:bottom w:val="single" w:sz="4" w:space="0" w:color="auto"/>
            </w:tcBorders>
          </w:tcPr>
          <w:p w14:paraId="6A9D374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C5EEC7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0A2A896" w14:textId="77777777" w:rsidR="00CE1436" w:rsidRDefault="00CE1436" w:rsidP="00444693">
            <w:pPr>
              <w:pStyle w:val="TableText"/>
              <w:widowControl w:val="0"/>
              <w:suppressAutoHyphens w:val="0"/>
              <w:spacing w:before="0" w:after="0" w:line="240" w:lineRule="auto"/>
              <w:rPr>
                <w:szCs w:val="17"/>
              </w:rPr>
            </w:pPr>
          </w:p>
        </w:tc>
        <w:tc>
          <w:tcPr>
            <w:tcW w:w="491" w:type="pct"/>
          </w:tcPr>
          <w:p w14:paraId="0B2A590A" w14:textId="77777777" w:rsidR="00CE1436" w:rsidRDefault="00CE1436" w:rsidP="00444693">
            <w:pPr>
              <w:pStyle w:val="TableText"/>
              <w:widowControl w:val="0"/>
              <w:suppressAutoHyphens w:val="0"/>
              <w:spacing w:before="0" w:after="0" w:line="240" w:lineRule="auto"/>
              <w:jc w:val="center"/>
            </w:pPr>
          </w:p>
        </w:tc>
        <w:tc>
          <w:tcPr>
            <w:tcW w:w="449" w:type="pct"/>
          </w:tcPr>
          <w:p w14:paraId="72A6803D"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7892996B"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2B14A86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28DBEC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2DDA59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C25CFD8" w14:textId="77777777" w:rsidR="00CE1436" w:rsidRDefault="00CE1436" w:rsidP="00444693">
            <w:pPr>
              <w:pStyle w:val="TableText"/>
              <w:widowControl w:val="0"/>
              <w:suppressAutoHyphens w:val="0"/>
              <w:spacing w:before="0" w:after="0" w:line="240" w:lineRule="auto"/>
              <w:jc w:val="center"/>
            </w:pPr>
            <w:r>
              <w:rPr>
                <w:color w:val="1A1B1A"/>
                <w:szCs w:val="17"/>
              </w:rPr>
              <w:t>2.5</w:t>
            </w:r>
          </w:p>
        </w:tc>
        <w:tc>
          <w:tcPr>
            <w:tcW w:w="312" w:type="pct"/>
            <w:vAlign w:val="center"/>
          </w:tcPr>
          <w:p w14:paraId="41A36A55"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3533290E" w14:textId="77777777" w:rsidR="00CE1436" w:rsidRDefault="00CE1436" w:rsidP="00444693">
            <w:pPr>
              <w:pStyle w:val="TableText"/>
              <w:widowControl w:val="0"/>
              <w:suppressAutoHyphens w:val="0"/>
              <w:spacing w:before="0" w:after="0" w:line="240" w:lineRule="auto"/>
              <w:jc w:val="center"/>
            </w:pPr>
            <w:r>
              <w:rPr>
                <w:color w:val="1A1B1A"/>
                <w:szCs w:val="17"/>
              </w:rPr>
              <w:t>0.41</w:t>
            </w:r>
          </w:p>
        </w:tc>
        <w:tc>
          <w:tcPr>
            <w:tcW w:w="393" w:type="pct"/>
            <w:vAlign w:val="center"/>
          </w:tcPr>
          <w:p w14:paraId="06BAC054"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68B7CFBE" w14:textId="77777777" w:rsidTr="00444693">
        <w:trPr>
          <w:cantSplit/>
          <w:trHeight w:val="13"/>
        </w:trPr>
        <w:tc>
          <w:tcPr>
            <w:tcW w:w="491" w:type="pct"/>
            <w:vMerge/>
            <w:tcBorders>
              <w:bottom w:val="single" w:sz="4" w:space="0" w:color="auto"/>
            </w:tcBorders>
          </w:tcPr>
          <w:p w14:paraId="1A20C36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5F4EB5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FF5F0F4" w14:textId="77777777" w:rsidR="00CE1436" w:rsidRDefault="00CE1436" w:rsidP="00444693">
            <w:pPr>
              <w:pStyle w:val="TableText"/>
              <w:widowControl w:val="0"/>
              <w:suppressAutoHyphens w:val="0"/>
              <w:spacing w:before="0" w:after="0" w:line="240" w:lineRule="auto"/>
              <w:rPr>
                <w:szCs w:val="17"/>
              </w:rPr>
            </w:pPr>
          </w:p>
        </w:tc>
        <w:tc>
          <w:tcPr>
            <w:tcW w:w="491" w:type="pct"/>
          </w:tcPr>
          <w:p w14:paraId="292993E3" w14:textId="77777777" w:rsidR="00CE1436" w:rsidRDefault="00CE1436" w:rsidP="00444693">
            <w:pPr>
              <w:pStyle w:val="TableText"/>
              <w:widowControl w:val="0"/>
              <w:suppressAutoHyphens w:val="0"/>
              <w:spacing w:before="0" w:after="0" w:line="240" w:lineRule="auto"/>
              <w:jc w:val="center"/>
            </w:pPr>
          </w:p>
        </w:tc>
        <w:tc>
          <w:tcPr>
            <w:tcW w:w="449" w:type="pct"/>
          </w:tcPr>
          <w:p w14:paraId="3B1B3DBD"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1F1C4012" w14:textId="77777777" w:rsidR="00CE1436" w:rsidRDefault="00CE1436" w:rsidP="00444693">
            <w:pPr>
              <w:pStyle w:val="TableText"/>
              <w:widowControl w:val="0"/>
              <w:suppressAutoHyphens w:val="0"/>
              <w:spacing w:before="0" w:after="0" w:line="240" w:lineRule="auto"/>
              <w:jc w:val="center"/>
            </w:pPr>
            <w:r>
              <w:t>165</w:t>
            </w:r>
          </w:p>
        </w:tc>
        <w:tc>
          <w:tcPr>
            <w:tcW w:w="312" w:type="pct"/>
          </w:tcPr>
          <w:p w14:paraId="19D2C62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608E1A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DC54D1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52C00AA" w14:textId="77777777" w:rsidR="00CE1436" w:rsidRPr="003B78B6" w:rsidRDefault="00CE1436" w:rsidP="00444693">
            <w:pPr>
              <w:pStyle w:val="TableText"/>
              <w:widowControl w:val="0"/>
              <w:suppressAutoHyphens w:val="0"/>
              <w:spacing w:before="0" w:after="0" w:line="240" w:lineRule="auto"/>
              <w:jc w:val="center"/>
            </w:pPr>
            <w:r>
              <w:rPr>
                <w:color w:val="1A1B1A"/>
                <w:szCs w:val="17"/>
              </w:rPr>
              <w:t>2.4</w:t>
            </w:r>
          </w:p>
        </w:tc>
        <w:tc>
          <w:tcPr>
            <w:tcW w:w="312" w:type="pct"/>
            <w:vAlign w:val="center"/>
          </w:tcPr>
          <w:p w14:paraId="34225D4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560B593" w14:textId="77777777" w:rsidR="00CE1436" w:rsidRPr="0027505E" w:rsidRDefault="00CE1436" w:rsidP="00444693">
            <w:pPr>
              <w:pStyle w:val="TableText"/>
              <w:widowControl w:val="0"/>
              <w:suppressAutoHyphens w:val="0"/>
              <w:spacing w:before="0" w:after="0" w:line="240" w:lineRule="auto"/>
              <w:jc w:val="center"/>
            </w:pPr>
            <w:r>
              <w:rPr>
                <w:color w:val="1A1B1A"/>
                <w:szCs w:val="17"/>
              </w:rPr>
              <w:t>0.39</w:t>
            </w:r>
          </w:p>
        </w:tc>
        <w:tc>
          <w:tcPr>
            <w:tcW w:w="393" w:type="pct"/>
            <w:vAlign w:val="center"/>
          </w:tcPr>
          <w:p w14:paraId="0A2280E7"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5294365D" w14:textId="77777777" w:rsidTr="00444693">
        <w:trPr>
          <w:cantSplit/>
          <w:trHeight w:val="13"/>
        </w:trPr>
        <w:tc>
          <w:tcPr>
            <w:tcW w:w="491" w:type="pct"/>
            <w:vMerge/>
            <w:tcBorders>
              <w:bottom w:val="single" w:sz="4" w:space="0" w:color="auto"/>
            </w:tcBorders>
          </w:tcPr>
          <w:p w14:paraId="6EA9A43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D0D6C9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70B5631" w14:textId="77777777" w:rsidR="00CE1436" w:rsidRDefault="00CE1436" w:rsidP="00444693">
            <w:pPr>
              <w:pStyle w:val="TableText"/>
              <w:widowControl w:val="0"/>
              <w:suppressAutoHyphens w:val="0"/>
              <w:spacing w:before="0" w:after="0" w:line="240" w:lineRule="auto"/>
              <w:rPr>
                <w:szCs w:val="17"/>
              </w:rPr>
            </w:pPr>
          </w:p>
        </w:tc>
        <w:tc>
          <w:tcPr>
            <w:tcW w:w="491" w:type="pct"/>
          </w:tcPr>
          <w:p w14:paraId="58F642FB" w14:textId="77777777" w:rsidR="00CE1436" w:rsidRDefault="00CE1436" w:rsidP="00444693">
            <w:pPr>
              <w:pStyle w:val="TableText"/>
              <w:widowControl w:val="0"/>
              <w:suppressAutoHyphens w:val="0"/>
              <w:spacing w:before="0" w:after="0" w:line="240" w:lineRule="auto"/>
              <w:jc w:val="center"/>
            </w:pPr>
          </w:p>
        </w:tc>
        <w:tc>
          <w:tcPr>
            <w:tcW w:w="449" w:type="pct"/>
          </w:tcPr>
          <w:p w14:paraId="7A748553"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632BC1CD" w14:textId="77777777" w:rsidR="00CE1436" w:rsidRDefault="00CE1436" w:rsidP="00444693">
            <w:pPr>
              <w:pStyle w:val="TableText"/>
              <w:widowControl w:val="0"/>
              <w:suppressAutoHyphens w:val="0"/>
              <w:spacing w:before="0" w:after="0" w:line="240" w:lineRule="auto"/>
              <w:jc w:val="center"/>
            </w:pPr>
            <w:r>
              <w:t>160</w:t>
            </w:r>
          </w:p>
        </w:tc>
        <w:tc>
          <w:tcPr>
            <w:tcW w:w="312" w:type="pct"/>
          </w:tcPr>
          <w:p w14:paraId="20B6D10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07DE78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928657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DCA2368" w14:textId="77777777" w:rsidR="00CE1436" w:rsidRPr="003B78B6"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0EBD331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0B5C9DF8" w14:textId="77777777" w:rsidR="00CE1436" w:rsidRPr="0027505E" w:rsidRDefault="00CE1436" w:rsidP="00444693">
            <w:pPr>
              <w:pStyle w:val="TableText"/>
              <w:widowControl w:val="0"/>
              <w:suppressAutoHyphens w:val="0"/>
              <w:spacing w:before="0" w:after="0" w:line="240" w:lineRule="auto"/>
              <w:jc w:val="center"/>
            </w:pPr>
            <w:r>
              <w:rPr>
                <w:color w:val="1A1B1A"/>
                <w:szCs w:val="17"/>
              </w:rPr>
              <w:t>0.38</w:t>
            </w:r>
          </w:p>
        </w:tc>
        <w:tc>
          <w:tcPr>
            <w:tcW w:w="393" w:type="pct"/>
            <w:vAlign w:val="center"/>
          </w:tcPr>
          <w:p w14:paraId="7B24EC8F"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44D8A17E" w14:textId="77777777" w:rsidTr="00444693">
        <w:trPr>
          <w:cantSplit/>
          <w:trHeight w:val="13"/>
        </w:trPr>
        <w:tc>
          <w:tcPr>
            <w:tcW w:w="491" w:type="pct"/>
            <w:vMerge/>
            <w:tcBorders>
              <w:bottom w:val="single" w:sz="4" w:space="0" w:color="auto"/>
            </w:tcBorders>
          </w:tcPr>
          <w:p w14:paraId="1AF676E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C3C9C6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C496B32" w14:textId="77777777" w:rsidR="00CE1436" w:rsidRDefault="00CE1436" w:rsidP="00444693">
            <w:pPr>
              <w:pStyle w:val="TableText"/>
              <w:widowControl w:val="0"/>
              <w:suppressAutoHyphens w:val="0"/>
              <w:spacing w:before="0" w:after="0" w:line="240" w:lineRule="auto"/>
              <w:rPr>
                <w:szCs w:val="17"/>
              </w:rPr>
            </w:pPr>
          </w:p>
        </w:tc>
        <w:tc>
          <w:tcPr>
            <w:tcW w:w="491" w:type="pct"/>
          </w:tcPr>
          <w:p w14:paraId="67A22B2A" w14:textId="77777777" w:rsidR="00CE1436" w:rsidRDefault="00CE1436" w:rsidP="00444693">
            <w:pPr>
              <w:pStyle w:val="TableText"/>
              <w:widowControl w:val="0"/>
              <w:suppressAutoHyphens w:val="0"/>
              <w:spacing w:before="0" w:after="0" w:line="240" w:lineRule="auto"/>
              <w:jc w:val="center"/>
            </w:pPr>
          </w:p>
        </w:tc>
        <w:tc>
          <w:tcPr>
            <w:tcW w:w="449" w:type="pct"/>
          </w:tcPr>
          <w:p w14:paraId="535EC778" w14:textId="77777777" w:rsidR="00CE1436" w:rsidRDefault="00CE1436" w:rsidP="00444693">
            <w:pPr>
              <w:pStyle w:val="TableText"/>
              <w:widowControl w:val="0"/>
              <w:suppressAutoHyphens w:val="0"/>
              <w:spacing w:before="0" w:after="0" w:line="240" w:lineRule="auto"/>
              <w:jc w:val="center"/>
            </w:pPr>
            <w:r w:rsidRPr="002D5CEA">
              <w:t>14.4</w:t>
            </w:r>
          </w:p>
        </w:tc>
        <w:tc>
          <w:tcPr>
            <w:tcW w:w="311" w:type="pct"/>
          </w:tcPr>
          <w:p w14:paraId="76171EEE" w14:textId="77777777" w:rsidR="00CE1436" w:rsidRDefault="00CE1436" w:rsidP="00444693">
            <w:pPr>
              <w:pStyle w:val="TableText"/>
              <w:widowControl w:val="0"/>
              <w:suppressAutoHyphens w:val="0"/>
              <w:spacing w:before="0" w:after="0" w:line="240" w:lineRule="auto"/>
              <w:jc w:val="center"/>
            </w:pPr>
            <w:r>
              <w:t>150</w:t>
            </w:r>
          </w:p>
        </w:tc>
        <w:tc>
          <w:tcPr>
            <w:tcW w:w="312" w:type="pct"/>
          </w:tcPr>
          <w:p w14:paraId="700A969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13FB15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384118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CA15297" w14:textId="77777777" w:rsidR="00CE143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33EA4FEF"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3F095EF0" w14:textId="77777777" w:rsidR="00CE1436" w:rsidRDefault="00CE1436" w:rsidP="00444693">
            <w:pPr>
              <w:pStyle w:val="TableText"/>
              <w:widowControl w:val="0"/>
              <w:suppressAutoHyphens w:val="0"/>
              <w:spacing w:before="0" w:after="0" w:line="240" w:lineRule="auto"/>
              <w:jc w:val="center"/>
            </w:pPr>
            <w:r>
              <w:rPr>
                <w:color w:val="1A1B1A"/>
                <w:szCs w:val="17"/>
              </w:rPr>
              <w:t>0.35</w:t>
            </w:r>
          </w:p>
        </w:tc>
        <w:tc>
          <w:tcPr>
            <w:tcW w:w="393" w:type="pct"/>
            <w:vAlign w:val="center"/>
          </w:tcPr>
          <w:p w14:paraId="658BF23B"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671CAD49" w14:textId="77777777" w:rsidTr="00444693">
        <w:trPr>
          <w:cantSplit/>
          <w:trHeight w:val="13"/>
        </w:trPr>
        <w:tc>
          <w:tcPr>
            <w:tcW w:w="491" w:type="pct"/>
            <w:vMerge/>
            <w:tcBorders>
              <w:bottom w:val="single" w:sz="4" w:space="0" w:color="auto"/>
            </w:tcBorders>
          </w:tcPr>
          <w:p w14:paraId="45B8335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69779C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C26F4CC" w14:textId="77777777" w:rsidR="00CE1436" w:rsidRDefault="00CE1436" w:rsidP="00444693">
            <w:pPr>
              <w:pStyle w:val="TableText"/>
              <w:widowControl w:val="0"/>
              <w:suppressAutoHyphens w:val="0"/>
              <w:spacing w:before="0" w:after="0" w:line="240" w:lineRule="auto"/>
              <w:rPr>
                <w:szCs w:val="17"/>
              </w:rPr>
            </w:pPr>
          </w:p>
        </w:tc>
        <w:tc>
          <w:tcPr>
            <w:tcW w:w="491" w:type="pct"/>
          </w:tcPr>
          <w:p w14:paraId="3D8A1079" w14:textId="77777777" w:rsidR="00CE1436" w:rsidRDefault="00CE1436" w:rsidP="00444693">
            <w:pPr>
              <w:pStyle w:val="TableText"/>
              <w:widowControl w:val="0"/>
              <w:suppressAutoHyphens w:val="0"/>
              <w:spacing w:before="0" w:after="0" w:line="240" w:lineRule="auto"/>
              <w:jc w:val="center"/>
            </w:pPr>
          </w:p>
        </w:tc>
        <w:tc>
          <w:tcPr>
            <w:tcW w:w="449" w:type="pct"/>
          </w:tcPr>
          <w:p w14:paraId="74A6CE0A"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3E3B5EE7" w14:textId="77777777" w:rsidR="00CE1436" w:rsidRDefault="00CE1436" w:rsidP="00444693">
            <w:pPr>
              <w:pStyle w:val="TableText"/>
              <w:widowControl w:val="0"/>
              <w:suppressAutoHyphens w:val="0"/>
              <w:spacing w:before="0" w:after="0" w:line="240" w:lineRule="auto"/>
              <w:jc w:val="center"/>
            </w:pPr>
            <w:r>
              <w:t>108</w:t>
            </w:r>
          </w:p>
        </w:tc>
        <w:tc>
          <w:tcPr>
            <w:tcW w:w="312" w:type="pct"/>
          </w:tcPr>
          <w:p w14:paraId="06B494C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8BBFCA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ED9015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614480F"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731D33C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2591CD5" w14:textId="77777777" w:rsidR="00CE1436" w:rsidRPr="0027505E" w:rsidRDefault="00CE1436" w:rsidP="00444693">
            <w:pPr>
              <w:pStyle w:val="TableText"/>
              <w:widowControl w:val="0"/>
              <w:suppressAutoHyphens w:val="0"/>
              <w:spacing w:before="0" w:after="0" w:line="240" w:lineRule="auto"/>
              <w:jc w:val="center"/>
            </w:pPr>
            <w:r>
              <w:rPr>
                <w:color w:val="1A1B1A"/>
                <w:szCs w:val="17"/>
              </w:rPr>
              <w:t>0.25</w:t>
            </w:r>
          </w:p>
        </w:tc>
        <w:tc>
          <w:tcPr>
            <w:tcW w:w="393" w:type="pct"/>
            <w:vAlign w:val="center"/>
          </w:tcPr>
          <w:p w14:paraId="6FB3FDCE"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27505E" w14:paraId="411EE13A" w14:textId="77777777" w:rsidTr="00444693">
        <w:trPr>
          <w:cantSplit/>
          <w:trHeight w:val="13"/>
        </w:trPr>
        <w:tc>
          <w:tcPr>
            <w:tcW w:w="491" w:type="pct"/>
            <w:vMerge/>
            <w:tcBorders>
              <w:bottom w:val="single" w:sz="4" w:space="0" w:color="auto"/>
            </w:tcBorders>
          </w:tcPr>
          <w:p w14:paraId="5230C7A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467138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163EF30" w14:textId="77777777" w:rsidR="00CE1436" w:rsidRDefault="00CE1436" w:rsidP="00444693">
            <w:pPr>
              <w:pStyle w:val="TableText"/>
              <w:widowControl w:val="0"/>
              <w:suppressAutoHyphens w:val="0"/>
              <w:spacing w:before="0" w:after="0" w:line="240" w:lineRule="auto"/>
              <w:rPr>
                <w:szCs w:val="17"/>
              </w:rPr>
            </w:pPr>
          </w:p>
        </w:tc>
        <w:tc>
          <w:tcPr>
            <w:tcW w:w="491" w:type="pct"/>
          </w:tcPr>
          <w:p w14:paraId="21DBEE8A" w14:textId="77777777" w:rsidR="00CE1436" w:rsidRDefault="00CE1436" w:rsidP="00444693">
            <w:pPr>
              <w:pStyle w:val="TableText"/>
              <w:widowControl w:val="0"/>
              <w:suppressAutoHyphens w:val="0"/>
              <w:spacing w:before="0" w:after="0" w:line="240" w:lineRule="auto"/>
              <w:jc w:val="center"/>
            </w:pPr>
          </w:p>
        </w:tc>
        <w:tc>
          <w:tcPr>
            <w:tcW w:w="449" w:type="pct"/>
          </w:tcPr>
          <w:p w14:paraId="0D5ADF68" w14:textId="77777777" w:rsidR="00CE1436" w:rsidRPr="005C50E3" w:rsidRDefault="00CE1436" w:rsidP="00444693">
            <w:pPr>
              <w:pStyle w:val="TableText"/>
              <w:widowControl w:val="0"/>
              <w:suppressAutoHyphens w:val="0"/>
              <w:spacing w:before="0" w:after="0" w:line="240" w:lineRule="auto"/>
              <w:jc w:val="center"/>
            </w:pPr>
            <w:r w:rsidRPr="002D5CEA">
              <w:t>14.4</w:t>
            </w:r>
          </w:p>
        </w:tc>
        <w:tc>
          <w:tcPr>
            <w:tcW w:w="311" w:type="pct"/>
          </w:tcPr>
          <w:p w14:paraId="72393FE4" w14:textId="77777777" w:rsidR="00CE1436" w:rsidRDefault="00CE1436" w:rsidP="00444693">
            <w:pPr>
              <w:pStyle w:val="TableText"/>
              <w:widowControl w:val="0"/>
              <w:suppressAutoHyphens w:val="0"/>
              <w:spacing w:before="0" w:after="0" w:line="240" w:lineRule="auto"/>
              <w:jc w:val="center"/>
            </w:pPr>
            <w:r>
              <w:t>100</w:t>
            </w:r>
          </w:p>
        </w:tc>
        <w:tc>
          <w:tcPr>
            <w:tcW w:w="312" w:type="pct"/>
          </w:tcPr>
          <w:p w14:paraId="195506F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DF9E6C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718774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0A5B896" w14:textId="77777777" w:rsidR="00CE1436" w:rsidRPr="003B78B6" w:rsidRDefault="00CE1436" w:rsidP="00444693">
            <w:pPr>
              <w:pStyle w:val="TableText"/>
              <w:widowControl w:val="0"/>
              <w:suppressAutoHyphens w:val="0"/>
              <w:spacing w:before="0" w:after="0" w:line="240" w:lineRule="auto"/>
              <w:jc w:val="center"/>
            </w:pPr>
            <w:r>
              <w:rPr>
                <w:color w:val="1A1B1A"/>
                <w:szCs w:val="17"/>
              </w:rPr>
              <w:t>1.4</w:t>
            </w:r>
          </w:p>
        </w:tc>
        <w:tc>
          <w:tcPr>
            <w:tcW w:w="312" w:type="pct"/>
            <w:vAlign w:val="center"/>
          </w:tcPr>
          <w:p w14:paraId="20A736C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9EC18B9" w14:textId="77777777" w:rsidR="00CE1436" w:rsidRPr="0027505E" w:rsidRDefault="00CE1436" w:rsidP="00444693">
            <w:pPr>
              <w:pStyle w:val="TableText"/>
              <w:widowControl w:val="0"/>
              <w:suppressAutoHyphens w:val="0"/>
              <w:spacing w:before="0" w:after="0" w:line="240" w:lineRule="auto"/>
              <w:jc w:val="center"/>
            </w:pPr>
            <w:r>
              <w:rPr>
                <w:color w:val="1A1B1A"/>
                <w:szCs w:val="17"/>
              </w:rPr>
              <w:t>0.24</w:t>
            </w:r>
          </w:p>
        </w:tc>
        <w:tc>
          <w:tcPr>
            <w:tcW w:w="393" w:type="pct"/>
            <w:vAlign w:val="center"/>
          </w:tcPr>
          <w:p w14:paraId="017D5B29" w14:textId="77777777" w:rsidR="00CE1436" w:rsidRPr="0027505E"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63B850E0" w14:textId="77777777" w:rsidTr="00444693">
        <w:trPr>
          <w:cantSplit/>
          <w:trHeight w:val="13"/>
        </w:trPr>
        <w:tc>
          <w:tcPr>
            <w:tcW w:w="491" w:type="pct"/>
            <w:vMerge/>
            <w:tcBorders>
              <w:bottom w:val="single" w:sz="4" w:space="0" w:color="auto"/>
            </w:tcBorders>
          </w:tcPr>
          <w:p w14:paraId="58B343C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03C79E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B1D140A"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0596B959"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tcPr>
          <w:p w14:paraId="02514C86" w14:textId="77777777" w:rsidR="00CE1436" w:rsidRDefault="00CE1436" w:rsidP="00444693">
            <w:pPr>
              <w:pStyle w:val="TableText"/>
              <w:widowControl w:val="0"/>
              <w:suppressAutoHyphens w:val="0"/>
              <w:spacing w:before="0" w:after="0" w:line="240" w:lineRule="auto"/>
              <w:jc w:val="center"/>
            </w:pPr>
            <w:r w:rsidRPr="005C50E3">
              <w:t>14.4</w:t>
            </w:r>
          </w:p>
        </w:tc>
        <w:tc>
          <w:tcPr>
            <w:tcW w:w="311" w:type="pct"/>
            <w:tcBorders>
              <w:bottom w:val="single" w:sz="4" w:space="0" w:color="auto"/>
            </w:tcBorders>
          </w:tcPr>
          <w:p w14:paraId="03F16535" w14:textId="77777777" w:rsidR="00CE1436" w:rsidRDefault="00CE1436" w:rsidP="00444693">
            <w:pPr>
              <w:pStyle w:val="TableText"/>
              <w:widowControl w:val="0"/>
              <w:suppressAutoHyphens w:val="0"/>
              <w:spacing w:before="0" w:after="0" w:line="240" w:lineRule="auto"/>
              <w:jc w:val="center"/>
            </w:pPr>
            <w:r>
              <w:t>75</w:t>
            </w:r>
          </w:p>
        </w:tc>
        <w:tc>
          <w:tcPr>
            <w:tcW w:w="312" w:type="pct"/>
            <w:tcBorders>
              <w:bottom w:val="single" w:sz="4" w:space="0" w:color="auto"/>
            </w:tcBorders>
          </w:tcPr>
          <w:p w14:paraId="5EC46265"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2EFF99BF"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EB9EF82"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5E260DC4" w14:textId="77777777" w:rsidR="00CE1436" w:rsidRDefault="00CE1436" w:rsidP="00444693">
            <w:pPr>
              <w:pStyle w:val="TableText"/>
              <w:widowControl w:val="0"/>
              <w:suppressAutoHyphens w:val="0"/>
              <w:spacing w:before="0" w:after="0" w:line="240" w:lineRule="auto"/>
              <w:jc w:val="center"/>
            </w:pPr>
            <w:r>
              <w:rPr>
                <w:color w:val="1A1B1A"/>
                <w:szCs w:val="17"/>
              </w:rPr>
              <w:t>1.1</w:t>
            </w:r>
          </w:p>
        </w:tc>
        <w:tc>
          <w:tcPr>
            <w:tcW w:w="312" w:type="pct"/>
            <w:tcBorders>
              <w:bottom w:val="single" w:sz="4" w:space="0" w:color="auto"/>
            </w:tcBorders>
            <w:vAlign w:val="center"/>
          </w:tcPr>
          <w:p w14:paraId="74EAF33D"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bottom w:val="single" w:sz="4" w:space="0" w:color="auto"/>
            </w:tcBorders>
            <w:vAlign w:val="center"/>
          </w:tcPr>
          <w:p w14:paraId="74825F99" w14:textId="77777777" w:rsidR="00CE1436" w:rsidRDefault="00CE1436" w:rsidP="00444693">
            <w:pPr>
              <w:pStyle w:val="TableText"/>
              <w:widowControl w:val="0"/>
              <w:suppressAutoHyphens w:val="0"/>
              <w:spacing w:before="0" w:after="0" w:line="240" w:lineRule="auto"/>
              <w:jc w:val="center"/>
            </w:pPr>
            <w:r>
              <w:rPr>
                <w:color w:val="1A1B1A"/>
                <w:szCs w:val="17"/>
              </w:rPr>
              <w:t>0.18</w:t>
            </w:r>
          </w:p>
        </w:tc>
        <w:tc>
          <w:tcPr>
            <w:tcW w:w="393" w:type="pct"/>
            <w:tcBorders>
              <w:bottom w:val="single" w:sz="4" w:space="0" w:color="auto"/>
            </w:tcBorders>
            <w:vAlign w:val="center"/>
          </w:tcPr>
          <w:p w14:paraId="489A54E9" w14:textId="77777777" w:rsidR="00CE1436" w:rsidRPr="00C3293F" w:rsidRDefault="00CE1436" w:rsidP="00444693">
            <w:pPr>
              <w:pStyle w:val="TableText"/>
              <w:widowControl w:val="0"/>
              <w:suppressAutoHyphens w:val="0"/>
              <w:spacing w:before="0" w:after="0" w:line="240" w:lineRule="auto"/>
              <w:jc w:val="center"/>
            </w:pPr>
            <w:r>
              <w:rPr>
                <w:color w:val="1A1B1A"/>
                <w:szCs w:val="17"/>
              </w:rPr>
              <w:t>424</w:t>
            </w:r>
          </w:p>
        </w:tc>
      </w:tr>
      <w:tr w:rsidR="00CE1436" w:rsidRPr="00C3293F" w14:paraId="1BFF2593" w14:textId="77777777" w:rsidTr="00444693">
        <w:trPr>
          <w:cantSplit/>
          <w:trHeight w:val="13"/>
        </w:trPr>
        <w:tc>
          <w:tcPr>
            <w:tcW w:w="491" w:type="pct"/>
            <w:vMerge/>
            <w:tcBorders>
              <w:bottom w:val="single" w:sz="4" w:space="0" w:color="auto"/>
            </w:tcBorders>
          </w:tcPr>
          <w:p w14:paraId="3103803C"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6E5B55FC" w14:textId="77777777" w:rsidR="00CE1436" w:rsidRPr="00B6513E" w:rsidRDefault="00CE1436" w:rsidP="00444693">
            <w:pPr>
              <w:pStyle w:val="TableText"/>
              <w:widowControl w:val="0"/>
              <w:suppressAutoHyphens w:val="0"/>
              <w:spacing w:before="0" w:after="0" w:line="240" w:lineRule="auto"/>
              <w:rPr>
                <w:szCs w:val="17"/>
              </w:rPr>
            </w:pPr>
            <w:r w:rsidRPr="00336DF4">
              <w:rPr>
                <w:szCs w:val="17"/>
              </w:rPr>
              <w:t>Small insectivore</w:t>
            </w:r>
          </w:p>
        </w:tc>
        <w:tc>
          <w:tcPr>
            <w:tcW w:w="477" w:type="pct"/>
            <w:vMerge w:val="restart"/>
            <w:tcBorders>
              <w:bottom w:val="single" w:sz="4" w:space="0" w:color="auto"/>
            </w:tcBorders>
          </w:tcPr>
          <w:p w14:paraId="40FE9CBB" w14:textId="77777777" w:rsidR="00CE1436" w:rsidRDefault="00CE1436" w:rsidP="00444693">
            <w:pPr>
              <w:pStyle w:val="TableText"/>
              <w:widowControl w:val="0"/>
              <w:suppressAutoHyphens w:val="0"/>
              <w:spacing w:before="0" w:after="0" w:line="240" w:lineRule="auto"/>
              <w:rPr>
                <w:szCs w:val="17"/>
              </w:rPr>
            </w:pPr>
            <w:r>
              <w:rPr>
                <w:szCs w:val="17"/>
              </w:rPr>
              <w:t>Late season</w:t>
            </w:r>
          </w:p>
        </w:tc>
        <w:tc>
          <w:tcPr>
            <w:tcW w:w="491" w:type="pct"/>
            <w:tcBorders>
              <w:top w:val="single" w:sz="4" w:space="0" w:color="auto"/>
            </w:tcBorders>
          </w:tcPr>
          <w:p w14:paraId="02CF9944"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tcPr>
          <w:p w14:paraId="71376552" w14:textId="77777777" w:rsidR="00CE1436" w:rsidRDefault="00CE1436" w:rsidP="00444693">
            <w:pPr>
              <w:pStyle w:val="TableText"/>
              <w:widowControl w:val="0"/>
              <w:suppressAutoHyphens w:val="0"/>
              <w:spacing w:before="0" w:after="0" w:line="240" w:lineRule="auto"/>
              <w:jc w:val="center"/>
            </w:pPr>
            <w:r>
              <w:t>5.4</w:t>
            </w:r>
          </w:p>
        </w:tc>
        <w:tc>
          <w:tcPr>
            <w:tcW w:w="311" w:type="pct"/>
            <w:tcBorders>
              <w:top w:val="single" w:sz="4" w:space="0" w:color="auto"/>
            </w:tcBorders>
          </w:tcPr>
          <w:p w14:paraId="7536EDA7" w14:textId="77777777" w:rsidR="00CE1436" w:rsidRDefault="00CE1436" w:rsidP="00444693">
            <w:pPr>
              <w:pStyle w:val="TableText"/>
              <w:widowControl w:val="0"/>
              <w:suppressAutoHyphens w:val="0"/>
              <w:spacing w:before="0" w:after="0" w:line="240" w:lineRule="auto"/>
              <w:jc w:val="center"/>
            </w:pPr>
            <w:r>
              <w:t>1140</w:t>
            </w:r>
          </w:p>
        </w:tc>
        <w:tc>
          <w:tcPr>
            <w:tcW w:w="312" w:type="pct"/>
            <w:tcBorders>
              <w:top w:val="single" w:sz="4" w:space="0" w:color="auto"/>
            </w:tcBorders>
          </w:tcPr>
          <w:p w14:paraId="574821F8"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054BFC24"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4F14AAC6"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66E84286" w14:textId="77777777" w:rsidR="00CE1436" w:rsidRDefault="00CE1436" w:rsidP="00444693">
            <w:pPr>
              <w:pStyle w:val="TableText"/>
              <w:widowControl w:val="0"/>
              <w:suppressAutoHyphens w:val="0"/>
              <w:spacing w:before="0" w:after="0" w:line="240" w:lineRule="auto"/>
              <w:jc w:val="center"/>
            </w:pPr>
            <w:r>
              <w:rPr>
                <w:color w:val="1A1B1A"/>
                <w:szCs w:val="17"/>
              </w:rPr>
              <w:t>6.2</w:t>
            </w:r>
          </w:p>
        </w:tc>
        <w:tc>
          <w:tcPr>
            <w:tcW w:w="312" w:type="pct"/>
            <w:tcBorders>
              <w:top w:val="single" w:sz="4" w:space="0" w:color="auto"/>
            </w:tcBorders>
            <w:vAlign w:val="center"/>
          </w:tcPr>
          <w:p w14:paraId="774CEB4A"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5CEB6334"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1.0</w:t>
            </w:r>
          </w:p>
        </w:tc>
        <w:tc>
          <w:tcPr>
            <w:tcW w:w="393" w:type="pct"/>
            <w:tcBorders>
              <w:top w:val="single" w:sz="4" w:space="0" w:color="auto"/>
            </w:tcBorders>
            <w:vAlign w:val="center"/>
          </w:tcPr>
          <w:p w14:paraId="4D499C54"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4D58E1CD" w14:textId="77777777" w:rsidTr="00143B86">
        <w:trPr>
          <w:cantSplit/>
          <w:trHeight w:val="13"/>
        </w:trPr>
        <w:tc>
          <w:tcPr>
            <w:tcW w:w="491" w:type="pct"/>
            <w:vMerge/>
            <w:tcBorders>
              <w:bottom w:val="single" w:sz="4" w:space="0" w:color="auto"/>
            </w:tcBorders>
          </w:tcPr>
          <w:p w14:paraId="265130D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3CADFE1"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8FB6A51" w14:textId="77777777" w:rsidR="00CE1436" w:rsidRDefault="00CE1436" w:rsidP="00444693">
            <w:pPr>
              <w:pStyle w:val="TableText"/>
              <w:widowControl w:val="0"/>
              <w:suppressAutoHyphens w:val="0"/>
              <w:spacing w:before="0" w:after="0" w:line="240" w:lineRule="auto"/>
              <w:rPr>
                <w:szCs w:val="17"/>
              </w:rPr>
            </w:pPr>
          </w:p>
        </w:tc>
        <w:tc>
          <w:tcPr>
            <w:tcW w:w="491" w:type="pct"/>
          </w:tcPr>
          <w:p w14:paraId="102A8C61" w14:textId="77777777" w:rsidR="00CE1436" w:rsidRDefault="00CE1436" w:rsidP="00444693">
            <w:pPr>
              <w:pStyle w:val="TableText"/>
              <w:widowControl w:val="0"/>
              <w:suppressAutoHyphens w:val="0"/>
              <w:spacing w:before="0" w:after="0" w:line="240" w:lineRule="auto"/>
              <w:jc w:val="center"/>
            </w:pPr>
          </w:p>
        </w:tc>
        <w:tc>
          <w:tcPr>
            <w:tcW w:w="449" w:type="pct"/>
          </w:tcPr>
          <w:p w14:paraId="4B582EBE"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11061022" w14:textId="77777777" w:rsidR="00CE1436" w:rsidRDefault="00CE1436" w:rsidP="00444693">
            <w:pPr>
              <w:pStyle w:val="TableText"/>
              <w:widowControl w:val="0"/>
              <w:suppressAutoHyphens w:val="0"/>
              <w:spacing w:before="0" w:after="0" w:line="240" w:lineRule="auto"/>
              <w:jc w:val="center"/>
            </w:pPr>
            <w:r>
              <w:t>1125</w:t>
            </w:r>
          </w:p>
        </w:tc>
        <w:tc>
          <w:tcPr>
            <w:tcW w:w="312" w:type="pct"/>
          </w:tcPr>
          <w:p w14:paraId="30A5AB6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EADCAC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C49739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8E410EB" w14:textId="77777777" w:rsidR="00CE1436" w:rsidRPr="003B78B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2069CF8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64B44D0" w14:textId="77777777" w:rsidR="00CE1436" w:rsidRPr="0027505E" w:rsidRDefault="00CE1436" w:rsidP="00444693">
            <w:pPr>
              <w:pStyle w:val="TableText"/>
              <w:widowControl w:val="0"/>
              <w:suppressAutoHyphens w:val="0"/>
              <w:spacing w:before="0" w:after="0" w:line="240" w:lineRule="auto"/>
              <w:jc w:val="center"/>
            </w:pPr>
            <w:r>
              <w:rPr>
                <w:color w:val="1A1B1A"/>
                <w:szCs w:val="17"/>
              </w:rPr>
              <w:t>1.0</w:t>
            </w:r>
          </w:p>
        </w:tc>
        <w:tc>
          <w:tcPr>
            <w:tcW w:w="393" w:type="pct"/>
            <w:vAlign w:val="center"/>
          </w:tcPr>
          <w:p w14:paraId="609BA013"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64E20E33" w14:textId="77777777" w:rsidTr="00444693">
        <w:trPr>
          <w:cantSplit/>
          <w:trHeight w:val="13"/>
        </w:trPr>
        <w:tc>
          <w:tcPr>
            <w:tcW w:w="491" w:type="pct"/>
            <w:vMerge/>
            <w:tcBorders>
              <w:bottom w:val="single" w:sz="4" w:space="0" w:color="auto"/>
            </w:tcBorders>
          </w:tcPr>
          <w:p w14:paraId="65DB5AB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B336E14"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F12C211" w14:textId="77777777" w:rsidR="00CE1436" w:rsidRDefault="00CE1436" w:rsidP="00444693">
            <w:pPr>
              <w:pStyle w:val="TableText"/>
              <w:widowControl w:val="0"/>
              <w:suppressAutoHyphens w:val="0"/>
              <w:spacing w:before="0" w:after="0" w:line="240" w:lineRule="auto"/>
              <w:rPr>
                <w:szCs w:val="17"/>
              </w:rPr>
            </w:pPr>
          </w:p>
        </w:tc>
        <w:tc>
          <w:tcPr>
            <w:tcW w:w="491" w:type="pct"/>
          </w:tcPr>
          <w:p w14:paraId="3DABE6FC" w14:textId="77777777" w:rsidR="00CE1436" w:rsidRDefault="00CE1436" w:rsidP="00444693">
            <w:pPr>
              <w:pStyle w:val="TableText"/>
              <w:widowControl w:val="0"/>
              <w:suppressAutoHyphens w:val="0"/>
              <w:spacing w:before="0" w:after="0" w:line="240" w:lineRule="auto"/>
              <w:jc w:val="center"/>
            </w:pPr>
          </w:p>
        </w:tc>
        <w:tc>
          <w:tcPr>
            <w:tcW w:w="449" w:type="pct"/>
          </w:tcPr>
          <w:p w14:paraId="06C91F1A"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6CBADBD8" w14:textId="77777777" w:rsidR="00CE1436" w:rsidRDefault="00CE1436" w:rsidP="00444693">
            <w:pPr>
              <w:pStyle w:val="TableText"/>
              <w:widowControl w:val="0"/>
              <w:suppressAutoHyphens w:val="0"/>
              <w:spacing w:before="0" w:after="0" w:line="240" w:lineRule="auto"/>
              <w:jc w:val="center"/>
            </w:pPr>
            <w:r>
              <w:t>1000</w:t>
            </w:r>
          </w:p>
        </w:tc>
        <w:tc>
          <w:tcPr>
            <w:tcW w:w="312" w:type="pct"/>
          </w:tcPr>
          <w:p w14:paraId="5790DE8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BB60B5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1DE76E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E8360E5" w14:textId="77777777" w:rsidR="00CE1436" w:rsidRPr="003B78B6" w:rsidRDefault="00CE1436" w:rsidP="00444693">
            <w:pPr>
              <w:pStyle w:val="TableText"/>
              <w:widowControl w:val="0"/>
              <w:suppressAutoHyphens w:val="0"/>
              <w:spacing w:before="0" w:after="0" w:line="240" w:lineRule="auto"/>
              <w:jc w:val="center"/>
            </w:pPr>
            <w:r>
              <w:rPr>
                <w:color w:val="1A1B1A"/>
                <w:szCs w:val="17"/>
              </w:rPr>
              <w:t>5.4</w:t>
            </w:r>
          </w:p>
        </w:tc>
        <w:tc>
          <w:tcPr>
            <w:tcW w:w="312" w:type="pct"/>
            <w:vAlign w:val="center"/>
          </w:tcPr>
          <w:p w14:paraId="6128EBC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79EA5981" w14:textId="77777777" w:rsidR="00CE1436" w:rsidRPr="0027505E" w:rsidRDefault="00CE1436" w:rsidP="00444693">
            <w:pPr>
              <w:pStyle w:val="TableText"/>
              <w:widowControl w:val="0"/>
              <w:suppressAutoHyphens w:val="0"/>
              <w:spacing w:before="0" w:after="0" w:line="240" w:lineRule="auto"/>
              <w:jc w:val="center"/>
            </w:pPr>
            <w:r>
              <w:rPr>
                <w:color w:val="1A1B1A"/>
                <w:szCs w:val="17"/>
              </w:rPr>
              <w:t>0.89</w:t>
            </w:r>
          </w:p>
        </w:tc>
        <w:tc>
          <w:tcPr>
            <w:tcW w:w="393" w:type="pct"/>
            <w:vAlign w:val="center"/>
          </w:tcPr>
          <w:p w14:paraId="2E78A1C0"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2814F5AB" w14:textId="77777777" w:rsidTr="00444693">
        <w:trPr>
          <w:cantSplit/>
          <w:trHeight w:val="13"/>
        </w:trPr>
        <w:tc>
          <w:tcPr>
            <w:tcW w:w="491" w:type="pct"/>
            <w:vMerge/>
            <w:tcBorders>
              <w:bottom w:val="single" w:sz="4" w:space="0" w:color="auto"/>
            </w:tcBorders>
          </w:tcPr>
          <w:p w14:paraId="4F47B75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D520F6E"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0269B9F" w14:textId="77777777" w:rsidR="00CE1436" w:rsidRDefault="00CE1436" w:rsidP="00444693">
            <w:pPr>
              <w:pStyle w:val="TableText"/>
              <w:widowControl w:val="0"/>
              <w:suppressAutoHyphens w:val="0"/>
              <w:spacing w:before="0" w:after="0" w:line="240" w:lineRule="auto"/>
              <w:rPr>
                <w:szCs w:val="17"/>
              </w:rPr>
            </w:pPr>
          </w:p>
        </w:tc>
        <w:tc>
          <w:tcPr>
            <w:tcW w:w="491" w:type="pct"/>
          </w:tcPr>
          <w:p w14:paraId="042CE022" w14:textId="77777777" w:rsidR="00CE1436" w:rsidRDefault="00CE1436" w:rsidP="00444693">
            <w:pPr>
              <w:pStyle w:val="TableText"/>
              <w:widowControl w:val="0"/>
              <w:suppressAutoHyphens w:val="0"/>
              <w:spacing w:before="0" w:after="0" w:line="240" w:lineRule="auto"/>
              <w:jc w:val="center"/>
            </w:pPr>
          </w:p>
        </w:tc>
        <w:tc>
          <w:tcPr>
            <w:tcW w:w="449" w:type="pct"/>
          </w:tcPr>
          <w:p w14:paraId="489F22C3"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1C056557" w14:textId="77777777" w:rsidR="00CE1436" w:rsidRDefault="00CE1436" w:rsidP="00444693">
            <w:pPr>
              <w:pStyle w:val="TableText"/>
              <w:widowControl w:val="0"/>
              <w:suppressAutoHyphens w:val="0"/>
              <w:spacing w:before="0" w:after="0" w:line="240" w:lineRule="auto"/>
              <w:jc w:val="center"/>
            </w:pPr>
            <w:r>
              <w:t>850</w:t>
            </w:r>
          </w:p>
        </w:tc>
        <w:tc>
          <w:tcPr>
            <w:tcW w:w="312" w:type="pct"/>
          </w:tcPr>
          <w:p w14:paraId="160D6D8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C30CE3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763972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2A99897" w14:textId="77777777" w:rsidR="00CE1436"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1F4FBD43"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511C761A" w14:textId="77777777" w:rsidR="00CE1436" w:rsidRDefault="00CE1436" w:rsidP="00444693">
            <w:pPr>
              <w:pStyle w:val="TableText"/>
              <w:widowControl w:val="0"/>
              <w:suppressAutoHyphens w:val="0"/>
              <w:spacing w:before="0" w:after="0" w:line="240" w:lineRule="auto"/>
              <w:jc w:val="center"/>
            </w:pPr>
            <w:r>
              <w:rPr>
                <w:color w:val="1A1B1A"/>
                <w:szCs w:val="17"/>
              </w:rPr>
              <w:t>0.75</w:t>
            </w:r>
          </w:p>
        </w:tc>
        <w:tc>
          <w:tcPr>
            <w:tcW w:w="393" w:type="pct"/>
            <w:vAlign w:val="center"/>
          </w:tcPr>
          <w:p w14:paraId="4BEB9737"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6D315BFB" w14:textId="77777777" w:rsidTr="00444693">
        <w:trPr>
          <w:cantSplit/>
          <w:trHeight w:val="13"/>
        </w:trPr>
        <w:tc>
          <w:tcPr>
            <w:tcW w:w="491" w:type="pct"/>
            <w:vMerge/>
            <w:tcBorders>
              <w:bottom w:val="single" w:sz="4" w:space="0" w:color="auto"/>
            </w:tcBorders>
          </w:tcPr>
          <w:p w14:paraId="47216F0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8ADF59A"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4B3F167" w14:textId="77777777" w:rsidR="00CE1436" w:rsidRDefault="00CE1436" w:rsidP="00444693">
            <w:pPr>
              <w:pStyle w:val="TableText"/>
              <w:widowControl w:val="0"/>
              <w:suppressAutoHyphens w:val="0"/>
              <w:spacing w:before="0" w:after="0" w:line="240" w:lineRule="auto"/>
              <w:rPr>
                <w:szCs w:val="17"/>
              </w:rPr>
            </w:pPr>
          </w:p>
        </w:tc>
        <w:tc>
          <w:tcPr>
            <w:tcW w:w="491" w:type="pct"/>
          </w:tcPr>
          <w:p w14:paraId="3641022A" w14:textId="77777777" w:rsidR="00CE1436" w:rsidRDefault="00CE1436" w:rsidP="00444693">
            <w:pPr>
              <w:pStyle w:val="TableText"/>
              <w:widowControl w:val="0"/>
              <w:suppressAutoHyphens w:val="0"/>
              <w:spacing w:before="0" w:after="0" w:line="240" w:lineRule="auto"/>
              <w:jc w:val="center"/>
            </w:pPr>
          </w:p>
        </w:tc>
        <w:tc>
          <w:tcPr>
            <w:tcW w:w="449" w:type="pct"/>
          </w:tcPr>
          <w:p w14:paraId="76FCE7EF"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5F5AC47E" w14:textId="77777777" w:rsidR="00CE1436" w:rsidRDefault="00CE1436" w:rsidP="00444693">
            <w:pPr>
              <w:pStyle w:val="TableText"/>
              <w:widowControl w:val="0"/>
              <w:suppressAutoHyphens w:val="0"/>
              <w:spacing w:before="0" w:after="0" w:line="240" w:lineRule="auto"/>
              <w:jc w:val="center"/>
            </w:pPr>
            <w:r>
              <w:t>840</w:t>
            </w:r>
          </w:p>
        </w:tc>
        <w:tc>
          <w:tcPr>
            <w:tcW w:w="312" w:type="pct"/>
          </w:tcPr>
          <w:p w14:paraId="3830FB9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A31170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84CC6A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46DB21D" w14:textId="77777777" w:rsidR="00CE1436" w:rsidRPr="003B78B6" w:rsidRDefault="00CE1436" w:rsidP="00444693">
            <w:pPr>
              <w:pStyle w:val="TableText"/>
              <w:widowControl w:val="0"/>
              <w:suppressAutoHyphens w:val="0"/>
              <w:spacing w:before="0" w:after="0" w:line="240" w:lineRule="auto"/>
              <w:jc w:val="center"/>
            </w:pPr>
            <w:r>
              <w:rPr>
                <w:color w:val="1A1B1A"/>
                <w:szCs w:val="17"/>
              </w:rPr>
              <w:t>4.5</w:t>
            </w:r>
          </w:p>
        </w:tc>
        <w:tc>
          <w:tcPr>
            <w:tcW w:w="312" w:type="pct"/>
            <w:vAlign w:val="center"/>
          </w:tcPr>
          <w:p w14:paraId="4F56B3E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C40E662" w14:textId="77777777" w:rsidR="00CE1436" w:rsidRPr="0027505E" w:rsidRDefault="00CE1436" w:rsidP="00444693">
            <w:pPr>
              <w:pStyle w:val="TableText"/>
              <w:widowControl w:val="0"/>
              <w:suppressAutoHyphens w:val="0"/>
              <w:spacing w:before="0" w:after="0" w:line="240" w:lineRule="auto"/>
              <w:jc w:val="center"/>
            </w:pPr>
            <w:r>
              <w:rPr>
                <w:color w:val="1A1B1A"/>
                <w:szCs w:val="17"/>
              </w:rPr>
              <w:t>0.74</w:t>
            </w:r>
          </w:p>
        </w:tc>
        <w:tc>
          <w:tcPr>
            <w:tcW w:w="393" w:type="pct"/>
            <w:vAlign w:val="center"/>
          </w:tcPr>
          <w:p w14:paraId="70D3174A"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3BF0BB3C" w14:textId="77777777" w:rsidTr="00444693">
        <w:trPr>
          <w:cantSplit/>
          <w:trHeight w:val="13"/>
        </w:trPr>
        <w:tc>
          <w:tcPr>
            <w:tcW w:w="491" w:type="pct"/>
            <w:vMerge/>
            <w:tcBorders>
              <w:bottom w:val="single" w:sz="4" w:space="0" w:color="auto"/>
            </w:tcBorders>
          </w:tcPr>
          <w:p w14:paraId="19A28DD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C27587B"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C7A1A15" w14:textId="77777777" w:rsidR="00CE1436" w:rsidRDefault="00CE1436" w:rsidP="00444693">
            <w:pPr>
              <w:pStyle w:val="TableText"/>
              <w:widowControl w:val="0"/>
              <w:suppressAutoHyphens w:val="0"/>
              <w:spacing w:before="0" w:after="0" w:line="240" w:lineRule="auto"/>
              <w:rPr>
                <w:szCs w:val="17"/>
              </w:rPr>
            </w:pPr>
          </w:p>
        </w:tc>
        <w:tc>
          <w:tcPr>
            <w:tcW w:w="491" w:type="pct"/>
          </w:tcPr>
          <w:p w14:paraId="534788B2" w14:textId="77777777" w:rsidR="00CE1436" w:rsidRDefault="00CE1436" w:rsidP="00444693">
            <w:pPr>
              <w:pStyle w:val="TableText"/>
              <w:widowControl w:val="0"/>
              <w:suppressAutoHyphens w:val="0"/>
              <w:spacing w:before="0" w:after="0" w:line="240" w:lineRule="auto"/>
              <w:jc w:val="center"/>
            </w:pPr>
          </w:p>
        </w:tc>
        <w:tc>
          <w:tcPr>
            <w:tcW w:w="449" w:type="pct"/>
          </w:tcPr>
          <w:p w14:paraId="7A53F22C"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017E7634" w14:textId="77777777" w:rsidR="00CE1436" w:rsidRDefault="00CE1436" w:rsidP="00444693">
            <w:pPr>
              <w:pStyle w:val="TableText"/>
              <w:widowControl w:val="0"/>
              <w:suppressAutoHyphens w:val="0"/>
              <w:spacing w:before="0" w:after="0" w:line="240" w:lineRule="auto"/>
              <w:jc w:val="center"/>
            </w:pPr>
            <w:r>
              <w:t>750</w:t>
            </w:r>
          </w:p>
        </w:tc>
        <w:tc>
          <w:tcPr>
            <w:tcW w:w="312" w:type="pct"/>
          </w:tcPr>
          <w:p w14:paraId="6B8951E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E16E5E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F7F9B8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D7E4921" w14:textId="77777777" w:rsidR="00CE1436" w:rsidRPr="003B78B6" w:rsidRDefault="00CE1436" w:rsidP="00444693">
            <w:pPr>
              <w:pStyle w:val="TableText"/>
              <w:widowControl w:val="0"/>
              <w:suppressAutoHyphens w:val="0"/>
              <w:spacing w:before="0" w:after="0" w:line="240" w:lineRule="auto"/>
              <w:jc w:val="center"/>
            </w:pPr>
            <w:r>
              <w:rPr>
                <w:color w:val="1A1B1A"/>
                <w:szCs w:val="17"/>
              </w:rPr>
              <w:t>4.1</w:t>
            </w:r>
          </w:p>
        </w:tc>
        <w:tc>
          <w:tcPr>
            <w:tcW w:w="312" w:type="pct"/>
            <w:vAlign w:val="center"/>
          </w:tcPr>
          <w:p w14:paraId="70C874F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553B286D" w14:textId="77777777" w:rsidR="00CE1436" w:rsidRPr="0027505E" w:rsidRDefault="00CE1436" w:rsidP="00444693">
            <w:pPr>
              <w:pStyle w:val="TableText"/>
              <w:widowControl w:val="0"/>
              <w:suppressAutoHyphens w:val="0"/>
              <w:spacing w:before="0" w:after="0" w:line="240" w:lineRule="auto"/>
              <w:jc w:val="center"/>
            </w:pPr>
            <w:r>
              <w:rPr>
                <w:color w:val="1A1B1A"/>
                <w:szCs w:val="17"/>
              </w:rPr>
              <w:t>0.66</w:t>
            </w:r>
          </w:p>
        </w:tc>
        <w:tc>
          <w:tcPr>
            <w:tcW w:w="393" w:type="pct"/>
            <w:vAlign w:val="center"/>
          </w:tcPr>
          <w:p w14:paraId="598AC692"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2EA464DB" w14:textId="77777777" w:rsidTr="00444693">
        <w:trPr>
          <w:cantSplit/>
          <w:trHeight w:val="13"/>
        </w:trPr>
        <w:tc>
          <w:tcPr>
            <w:tcW w:w="491" w:type="pct"/>
            <w:vMerge/>
            <w:tcBorders>
              <w:bottom w:val="single" w:sz="4" w:space="0" w:color="auto"/>
            </w:tcBorders>
          </w:tcPr>
          <w:p w14:paraId="1D4BD1B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0B999C0"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B4C11AC" w14:textId="77777777" w:rsidR="00CE1436" w:rsidRDefault="00CE1436" w:rsidP="00444693">
            <w:pPr>
              <w:pStyle w:val="TableText"/>
              <w:widowControl w:val="0"/>
              <w:suppressAutoHyphens w:val="0"/>
              <w:spacing w:before="0" w:after="0" w:line="240" w:lineRule="auto"/>
              <w:rPr>
                <w:szCs w:val="17"/>
              </w:rPr>
            </w:pPr>
          </w:p>
        </w:tc>
        <w:tc>
          <w:tcPr>
            <w:tcW w:w="491" w:type="pct"/>
          </w:tcPr>
          <w:p w14:paraId="604ED2CB" w14:textId="77777777" w:rsidR="00CE1436" w:rsidRDefault="00CE1436" w:rsidP="00444693">
            <w:pPr>
              <w:pStyle w:val="TableText"/>
              <w:widowControl w:val="0"/>
              <w:suppressAutoHyphens w:val="0"/>
              <w:spacing w:before="0" w:after="0" w:line="240" w:lineRule="auto"/>
              <w:jc w:val="center"/>
            </w:pPr>
          </w:p>
        </w:tc>
        <w:tc>
          <w:tcPr>
            <w:tcW w:w="449" w:type="pct"/>
          </w:tcPr>
          <w:p w14:paraId="4AF99CEC"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6505E824"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2EA7A83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0EBFD9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86DA1D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0E6904C" w14:textId="77777777" w:rsidR="00CE1436"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783A6941"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73E4E4E9" w14:textId="77777777" w:rsidR="00CE1436" w:rsidRDefault="00CE1436" w:rsidP="00444693">
            <w:pPr>
              <w:pStyle w:val="TableText"/>
              <w:widowControl w:val="0"/>
              <w:suppressAutoHyphens w:val="0"/>
              <w:spacing w:before="0" w:after="0" w:line="240" w:lineRule="auto"/>
              <w:jc w:val="center"/>
            </w:pPr>
            <w:r>
              <w:rPr>
                <w:color w:val="1A1B1A"/>
                <w:szCs w:val="17"/>
              </w:rPr>
              <w:t>0.53</w:t>
            </w:r>
          </w:p>
        </w:tc>
        <w:tc>
          <w:tcPr>
            <w:tcW w:w="393" w:type="pct"/>
            <w:vAlign w:val="center"/>
          </w:tcPr>
          <w:p w14:paraId="2F2EBA0E"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66D5E191" w14:textId="77777777" w:rsidTr="00444693">
        <w:trPr>
          <w:cantSplit/>
          <w:trHeight w:val="13"/>
        </w:trPr>
        <w:tc>
          <w:tcPr>
            <w:tcW w:w="491" w:type="pct"/>
            <w:vMerge/>
            <w:tcBorders>
              <w:bottom w:val="single" w:sz="4" w:space="0" w:color="auto"/>
            </w:tcBorders>
          </w:tcPr>
          <w:p w14:paraId="73BE011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B3DDAC0"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EFDE584" w14:textId="77777777" w:rsidR="00CE1436" w:rsidRDefault="00CE1436" w:rsidP="00444693">
            <w:pPr>
              <w:pStyle w:val="TableText"/>
              <w:widowControl w:val="0"/>
              <w:suppressAutoHyphens w:val="0"/>
              <w:spacing w:before="0" w:after="0" w:line="240" w:lineRule="auto"/>
              <w:rPr>
                <w:szCs w:val="17"/>
              </w:rPr>
            </w:pPr>
          </w:p>
        </w:tc>
        <w:tc>
          <w:tcPr>
            <w:tcW w:w="491" w:type="pct"/>
          </w:tcPr>
          <w:p w14:paraId="1D5AFD21" w14:textId="77777777" w:rsidR="00CE1436" w:rsidRDefault="00CE1436" w:rsidP="00444693">
            <w:pPr>
              <w:pStyle w:val="TableText"/>
              <w:widowControl w:val="0"/>
              <w:suppressAutoHyphens w:val="0"/>
              <w:spacing w:before="0" w:after="0" w:line="240" w:lineRule="auto"/>
              <w:jc w:val="center"/>
            </w:pPr>
          </w:p>
        </w:tc>
        <w:tc>
          <w:tcPr>
            <w:tcW w:w="449" w:type="pct"/>
          </w:tcPr>
          <w:p w14:paraId="46AD9E59"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0DA0A17D"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665FF42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A2566E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7E9D91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139A557" w14:textId="77777777" w:rsidR="00CE1436" w:rsidRPr="003B78B6"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5B88C29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89EC9DE" w14:textId="77777777" w:rsidR="00CE1436" w:rsidRPr="0027505E" w:rsidRDefault="00CE1436" w:rsidP="00444693">
            <w:pPr>
              <w:pStyle w:val="TableText"/>
              <w:widowControl w:val="0"/>
              <w:suppressAutoHyphens w:val="0"/>
              <w:spacing w:before="0" w:after="0" w:line="240" w:lineRule="auto"/>
              <w:jc w:val="center"/>
            </w:pPr>
            <w:r>
              <w:rPr>
                <w:color w:val="1A1B1A"/>
                <w:szCs w:val="17"/>
              </w:rPr>
              <w:t>0.53</w:t>
            </w:r>
          </w:p>
        </w:tc>
        <w:tc>
          <w:tcPr>
            <w:tcW w:w="393" w:type="pct"/>
            <w:vAlign w:val="center"/>
          </w:tcPr>
          <w:p w14:paraId="6EB31267"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10098F77" w14:textId="77777777" w:rsidTr="00444693">
        <w:trPr>
          <w:cantSplit/>
          <w:trHeight w:val="13"/>
        </w:trPr>
        <w:tc>
          <w:tcPr>
            <w:tcW w:w="491" w:type="pct"/>
            <w:vMerge/>
            <w:tcBorders>
              <w:bottom w:val="single" w:sz="4" w:space="0" w:color="auto"/>
            </w:tcBorders>
          </w:tcPr>
          <w:p w14:paraId="363B641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F7BE68E"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F489665" w14:textId="77777777" w:rsidR="00CE1436" w:rsidRDefault="00CE1436" w:rsidP="00444693">
            <w:pPr>
              <w:pStyle w:val="TableText"/>
              <w:widowControl w:val="0"/>
              <w:suppressAutoHyphens w:val="0"/>
              <w:spacing w:before="0" w:after="0" w:line="240" w:lineRule="auto"/>
              <w:rPr>
                <w:szCs w:val="17"/>
              </w:rPr>
            </w:pPr>
          </w:p>
        </w:tc>
        <w:tc>
          <w:tcPr>
            <w:tcW w:w="491" w:type="pct"/>
          </w:tcPr>
          <w:p w14:paraId="4EBEA577" w14:textId="77777777" w:rsidR="00CE1436" w:rsidRDefault="00CE1436" w:rsidP="00444693">
            <w:pPr>
              <w:pStyle w:val="TableText"/>
              <w:widowControl w:val="0"/>
              <w:suppressAutoHyphens w:val="0"/>
              <w:spacing w:before="0" w:after="0" w:line="240" w:lineRule="auto"/>
              <w:jc w:val="center"/>
            </w:pPr>
          </w:p>
        </w:tc>
        <w:tc>
          <w:tcPr>
            <w:tcW w:w="449" w:type="pct"/>
          </w:tcPr>
          <w:p w14:paraId="02DE9AFA"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30EC2D02"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6F87647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825352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6757EA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4897455" w14:textId="77777777" w:rsidR="00CE1436" w:rsidRPr="003B78B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0840D7A5"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A9D8499" w14:textId="77777777" w:rsidR="00CE1436" w:rsidRPr="0027505E" w:rsidRDefault="00CE1436" w:rsidP="00444693">
            <w:pPr>
              <w:pStyle w:val="TableText"/>
              <w:widowControl w:val="0"/>
              <w:suppressAutoHyphens w:val="0"/>
              <w:spacing w:before="0" w:after="0" w:line="240" w:lineRule="auto"/>
              <w:jc w:val="center"/>
            </w:pPr>
            <w:r>
              <w:rPr>
                <w:color w:val="1A1B1A"/>
                <w:szCs w:val="17"/>
              </w:rPr>
              <w:t>0.44</w:t>
            </w:r>
          </w:p>
        </w:tc>
        <w:tc>
          <w:tcPr>
            <w:tcW w:w="393" w:type="pct"/>
            <w:vAlign w:val="center"/>
          </w:tcPr>
          <w:p w14:paraId="47F4A923"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09335E41" w14:textId="77777777" w:rsidTr="00444693">
        <w:trPr>
          <w:cantSplit/>
          <w:trHeight w:val="13"/>
        </w:trPr>
        <w:tc>
          <w:tcPr>
            <w:tcW w:w="491" w:type="pct"/>
            <w:vMerge/>
            <w:tcBorders>
              <w:bottom w:val="single" w:sz="4" w:space="0" w:color="auto"/>
            </w:tcBorders>
          </w:tcPr>
          <w:p w14:paraId="59D1835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5A8D33C"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8BC7FD6" w14:textId="77777777" w:rsidR="00CE1436" w:rsidRDefault="00CE1436" w:rsidP="00444693">
            <w:pPr>
              <w:pStyle w:val="TableText"/>
              <w:widowControl w:val="0"/>
              <w:suppressAutoHyphens w:val="0"/>
              <w:spacing w:before="0" w:after="0" w:line="240" w:lineRule="auto"/>
              <w:rPr>
                <w:szCs w:val="17"/>
              </w:rPr>
            </w:pPr>
          </w:p>
        </w:tc>
        <w:tc>
          <w:tcPr>
            <w:tcW w:w="491" w:type="pct"/>
          </w:tcPr>
          <w:p w14:paraId="028102D2" w14:textId="77777777" w:rsidR="00CE1436" w:rsidRDefault="00CE1436" w:rsidP="00444693">
            <w:pPr>
              <w:pStyle w:val="TableText"/>
              <w:widowControl w:val="0"/>
              <w:suppressAutoHyphens w:val="0"/>
              <w:spacing w:before="0" w:after="0" w:line="240" w:lineRule="auto"/>
              <w:jc w:val="center"/>
            </w:pPr>
          </w:p>
        </w:tc>
        <w:tc>
          <w:tcPr>
            <w:tcW w:w="449" w:type="pct"/>
          </w:tcPr>
          <w:p w14:paraId="2A55F01B"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3DE91008"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3118D3A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07D8CB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B8BD51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E79DACD" w14:textId="77777777" w:rsidR="00CE1436"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73CB93FB"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63F8F626" w14:textId="77777777" w:rsidR="00CE1436" w:rsidRDefault="00CE1436" w:rsidP="00444693">
            <w:pPr>
              <w:pStyle w:val="TableText"/>
              <w:widowControl w:val="0"/>
              <w:suppressAutoHyphens w:val="0"/>
              <w:spacing w:before="0" w:after="0" w:line="240" w:lineRule="auto"/>
              <w:jc w:val="center"/>
            </w:pPr>
            <w:r>
              <w:rPr>
                <w:color w:val="1A1B1A"/>
                <w:szCs w:val="17"/>
              </w:rPr>
              <w:t>0.38</w:t>
            </w:r>
          </w:p>
        </w:tc>
        <w:tc>
          <w:tcPr>
            <w:tcW w:w="393" w:type="pct"/>
            <w:vAlign w:val="center"/>
          </w:tcPr>
          <w:p w14:paraId="6107F448"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488D56CF" w14:textId="77777777" w:rsidTr="00444693">
        <w:trPr>
          <w:cantSplit/>
          <w:trHeight w:val="13"/>
        </w:trPr>
        <w:tc>
          <w:tcPr>
            <w:tcW w:w="491" w:type="pct"/>
            <w:vMerge/>
            <w:tcBorders>
              <w:bottom w:val="single" w:sz="4" w:space="0" w:color="auto"/>
            </w:tcBorders>
          </w:tcPr>
          <w:p w14:paraId="12B38CE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D31309E"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322E7CE" w14:textId="77777777" w:rsidR="00CE1436" w:rsidRDefault="00CE1436" w:rsidP="00444693">
            <w:pPr>
              <w:pStyle w:val="TableText"/>
              <w:widowControl w:val="0"/>
              <w:suppressAutoHyphens w:val="0"/>
              <w:spacing w:before="0" w:after="0" w:line="240" w:lineRule="auto"/>
              <w:rPr>
                <w:szCs w:val="17"/>
              </w:rPr>
            </w:pPr>
          </w:p>
        </w:tc>
        <w:tc>
          <w:tcPr>
            <w:tcW w:w="491" w:type="pct"/>
          </w:tcPr>
          <w:p w14:paraId="5D238B79" w14:textId="77777777" w:rsidR="00CE1436" w:rsidRDefault="00CE1436" w:rsidP="00444693">
            <w:pPr>
              <w:pStyle w:val="TableText"/>
              <w:widowControl w:val="0"/>
              <w:suppressAutoHyphens w:val="0"/>
              <w:spacing w:before="0" w:after="0" w:line="240" w:lineRule="auto"/>
              <w:jc w:val="center"/>
            </w:pPr>
          </w:p>
        </w:tc>
        <w:tc>
          <w:tcPr>
            <w:tcW w:w="449" w:type="pct"/>
          </w:tcPr>
          <w:p w14:paraId="37AA7F4B"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22E22E06"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5A0C647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877CDC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71D1D6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2FD2240" w14:textId="77777777" w:rsidR="00CE1436" w:rsidRPr="003B78B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5417CF6F"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07DBB87" w14:textId="77777777" w:rsidR="00CE1436" w:rsidRPr="0027505E" w:rsidRDefault="00CE1436" w:rsidP="00444693">
            <w:pPr>
              <w:pStyle w:val="TableText"/>
              <w:widowControl w:val="0"/>
              <w:suppressAutoHyphens w:val="0"/>
              <w:spacing w:before="0" w:after="0" w:line="240" w:lineRule="auto"/>
              <w:jc w:val="center"/>
            </w:pPr>
            <w:r>
              <w:rPr>
                <w:color w:val="1A1B1A"/>
                <w:szCs w:val="17"/>
              </w:rPr>
              <w:t>0.35</w:t>
            </w:r>
          </w:p>
        </w:tc>
        <w:tc>
          <w:tcPr>
            <w:tcW w:w="393" w:type="pct"/>
            <w:vAlign w:val="center"/>
          </w:tcPr>
          <w:p w14:paraId="628FFA97"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6880A3C4" w14:textId="77777777" w:rsidTr="00444693">
        <w:trPr>
          <w:cantSplit/>
          <w:trHeight w:val="13"/>
        </w:trPr>
        <w:tc>
          <w:tcPr>
            <w:tcW w:w="491" w:type="pct"/>
            <w:vMerge/>
            <w:tcBorders>
              <w:bottom w:val="single" w:sz="4" w:space="0" w:color="auto"/>
            </w:tcBorders>
          </w:tcPr>
          <w:p w14:paraId="714828E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85505DE"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0CF1673" w14:textId="77777777" w:rsidR="00CE1436" w:rsidRDefault="00CE1436" w:rsidP="00444693">
            <w:pPr>
              <w:pStyle w:val="TableText"/>
              <w:widowControl w:val="0"/>
              <w:suppressAutoHyphens w:val="0"/>
              <w:spacing w:before="0" w:after="0" w:line="240" w:lineRule="auto"/>
              <w:rPr>
                <w:szCs w:val="17"/>
              </w:rPr>
            </w:pPr>
          </w:p>
        </w:tc>
        <w:tc>
          <w:tcPr>
            <w:tcW w:w="491" w:type="pct"/>
          </w:tcPr>
          <w:p w14:paraId="539D1CE8" w14:textId="77777777" w:rsidR="00CE1436" w:rsidRDefault="00CE1436" w:rsidP="00444693">
            <w:pPr>
              <w:pStyle w:val="TableText"/>
              <w:widowControl w:val="0"/>
              <w:suppressAutoHyphens w:val="0"/>
              <w:spacing w:before="0" w:after="0" w:line="240" w:lineRule="auto"/>
              <w:jc w:val="center"/>
            </w:pPr>
          </w:p>
        </w:tc>
        <w:tc>
          <w:tcPr>
            <w:tcW w:w="449" w:type="pct"/>
          </w:tcPr>
          <w:p w14:paraId="4D6AD61C"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16A4C43F"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4A0950B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26A86A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BBC660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5A3A8BB" w14:textId="77777777" w:rsidR="00CE1436" w:rsidRPr="003B78B6"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228D0DF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185E66B9" w14:textId="77777777" w:rsidR="00CE1436" w:rsidRPr="0027505E" w:rsidRDefault="00CE1436" w:rsidP="00444693">
            <w:pPr>
              <w:pStyle w:val="TableText"/>
              <w:widowControl w:val="0"/>
              <w:suppressAutoHyphens w:val="0"/>
              <w:spacing w:before="0" w:after="0" w:line="240" w:lineRule="auto"/>
              <w:jc w:val="center"/>
            </w:pPr>
            <w:r>
              <w:rPr>
                <w:color w:val="1A1B1A"/>
                <w:szCs w:val="17"/>
              </w:rPr>
              <w:t>0.29</w:t>
            </w:r>
          </w:p>
        </w:tc>
        <w:tc>
          <w:tcPr>
            <w:tcW w:w="393" w:type="pct"/>
            <w:vAlign w:val="center"/>
          </w:tcPr>
          <w:p w14:paraId="78978971"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65EA8FFE" w14:textId="77777777" w:rsidTr="00444693">
        <w:trPr>
          <w:cantSplit/>
          <w:trHeight w:val="13"/>
        </w:trPr>
        <w:tc>
          <w:tcPr>
            <w:tcW w:w="491" w:type="pct"/>
            <w:vMerge/>
            <w:tcBorders>
              <w:bottom w:val="single" w:sz="4" w:space="0" w:color="auto"/>
            </w:tcBorders>
          </w:tcPr>
          <w:p w14:paraId="2A178FD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4F4F0D5"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3C80627" w14:textId="77777777" w:rsidR="00CE1436" w:rsidRDefault="00CE1436" w:rsidP="00444693">
            <w:pPr>
              <w:pStyle w:val="TableText"/>
              <w:widowControl w:val="0"/>
              <w:suppressAutoHyphens w:val="0"/>
              <w:spacing w:before="0" w:after="0" w:line="240" w:lineRule="auto"/>
              <w:rPr>
                <w:szCs w:val="17"/>
              </w:rPr>
            </w:pPr>
          </w:p>
        </w:tc>
        <w:tc>
          <w:tcPr>
            <w:tcW w:w="491" w:type="pct"/>
          </w:tcPr>
          <w:p w14:paraId="4BA0D9CA" w14:textId="77777777" w:rsidR="00CE1436" w:rsidRDefault="00CE1436" w:rsidP="00444693">
            <w:pPr>
              <w:pStyle w:val="TableText"/>
              <w:widowControl w:val="0"/>
              <w:suppressAutoHyphens w:val="0"/>
              <w:spacing w:before="0" w:after="0" w:line="240" w:lineRule="auto"/>
              <w:jc w:val="center"/>
            </w:pPr>
          </w:p>
        </w:tc>
        <w:tc>
          <w:tcPr>
            <w:tcW w:w="449" w:type="pct"/>
          </w:tcPr>
          <w:p w14:paraId="74CFE921"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672F9384" w14:textId="77777777" w:rsidR="00CE1436" w:rsidRDefault="00CE1436" w:rsidP="00444693">
            <w:pPr>
              <w:pStyle w:val="TableText"/>
              <w:widowControl w:val="0"/>
              <w:suppressAutoHyphens w:val="0"/>
              <w:spacing w:before="0" w:after="0" w:line="240" w:lineRule="auto"/>
              <w:jc w:val="center"/>
            </w:pPr>
            <w:r>
              <w:t>300</w:t>
            </w:r>
          </w:p>
        </w:tc>
        <w:tc>
          <w:tcPr>
            <w:tcW w:w="312" w:type="pct"/>
          </w:tcPr>
          <w:p w14:paraId="273B2AF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3EBEA7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C8DF16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C72DC06"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3D6FC9B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04995A47" w14:textId="77777777" w:rsidR="00CE1436" w:rsidRPr="0027505E" w:rsidRDefault="00CE1436" w:rsidP="00444693">
            <w:pPr>
              <w:pStyle w:val="TableText"/>
              <w:widowControl w:val="0"/>
              <w:suppressAutoHyphens w:val="0"/>
              <w:spacing w:before="0" w:after="0" w:line="240" w:lineRule="auto"/>
              <w:jc w:val="center"/>
            </w:pPr>
            <w:r>
              <w:rPr>
                <w:color w:val="1A1B1A"/>
                <w:szCs w:val="17"/>
              </w:rPr>
              <w:t>0.27</w:t>
            </w:r>
          </w:p>
        </w:tc>
        <w:tc>
          <w:tcPr>
            <w:tcW w:w="393" w:type="pct"/>
            <w:vAlign w:val="center"/>
          </w:tcPr>
          <w:p w14:paraId="0A291A81"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45B97D23" w14:textId="77777777" w:rsidTr="00444693">
        <w:trPr>
          <w:cantSplit/>
          <w:trHeight w:val="13"/>
        </w:trPr>
        <w:tc>
          <w:tcPr>
            <w:tcW w:w="491" w:type="pct"/>
            <w:vMerge/>
            <w:tcBorders>
              <w:bottom w:val="single" w:sz="4" w:space="0" w:color="auto"/>
            </w:tcBorders>
          </w:tcPr>
          <w:p w14:paraId="72A2E7E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EA76095"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631220D" w14:textId="77777777" w:rsidR="00CE1436" w:rsidRDefault="00CE1436" w:rsidP="00444693">
            <w:pPr>
              <w:pStyle w:val="TableText"/>
              <w:widowControl w:val="0"/>
              <w:suppressAutoHyphens w:val="0"/>
              <w:spacing w:before="0" w:after="0" w:line="240" w:lineRule="auto"/>
              <w:rPr>
                <w:szCs w:val="17"/>
              </w:rPr>
            </w:pPr>
          </w:p>
        </w:tc>
        <w:tc>
          <w:tcPr>
            <w:tcW w:w="491" w:type="pct"/>
          </w:tcPr>
          <w:p w14:paraId="45F4122E" w14:textId="77777777" w:rsidR="00CE1436" w:rsidRDefault="00CE1436" w:rsidP="00444693">
            <w:pPr>
              <w:pStyle w:val="TableText"/>
              <w:widowControl w:val="0"/>
              <w:suppressAutoHyphens w:val="0"/>
              <w:spacing w:before="0" w:after="0" w:line="240" w:lineRule="auto"/>
              <w:jc w:val="center"/>
            </w:pPr>
          </w:p>
        </w:tc>
        <w:tc>
          <w:tcPr>
            <w:tcW w:w="449" w:type="pct"/>
          </w:tcPr>
          <w:p w14:paraId="3F6A5729"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6D9EA1AC" w14:textId="77777777" w:rsidR="00CE1436" w:rsidRDefault="00CE1436" w:rsidP="00444693">
            <w:pPr>
              <w:pStyle w:val="TableText"/>
              <w:widowControl w:val="0"/>
              <w:suppressAutoHyphens w:val="0"/>
              <w:spacing w:before="0" w:after="0" w:line="240" w:lineRule="auto"/>
              <w:jc w:val="center"/>
            </w:pPr>
            <w:r>
              <w:t>216</w:t>
            </w:r>
          </w:p>
        </w:tc>
        <w:tc>
          <w:tcPr>
            <w:tcW w:w="312" w:type="pct"/>
          </w:tcPr>
          <w:p w14:paraId="79AD454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746E5E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5EE51D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2C6822A" w14:textId="77777777" w:rsidR="00CE1436" w:rsidRPr="003B78B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747C760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65C8AC2E" w14:textId="77777777" w:rsidR="00CE1436" w:rsidRPr="0027505E" w:rsidRDefault="00CE1436" w:rsidP="00444693">
            <w:pPr>
              <w:pStyle w:val="TableText"/>
              <w:widowControl w:val="0"/>
              <w:suppressAutoHyphens w:val="0"/>
              <w:spacing w:before="0" w:after="0" w:line="240" w:lineRule="auto"/>
              <w:jc w:val="center"/>
            </w:pPr>
            <w:r>
              <w:rPr>
                <w:color w:val="1A1B1A"/>
                <w:szCs w:val="17"/>
              </w:rPr>
              <w:t>0.19</w:t>
            </w:r>
          </w:p>
        </w:tc>
        <w:tc>
          <w:tcPr>
            <w:tcW w:w="393" w:type="pct"/>
            <w:vAlign w:val="center"/>
          </w:tcPr>
          <w:p w14:paraId="5E823F0B"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6DA1A16F" w14:textId="77777777" w:rsidTr="00444693">
        <w:trPr>
          <w:cantSplit/>
          <w:trHeight w:val="13"/>
        </w:trPr>
        <w:tc>
          <w:tcPr>
            <w:tcW w:w="491" w:type="pct"/>
            <w:vMerge/>
            <w:tcBorders>
              <w:bottom w:val="single" w:sz="4" w:space="0" w:color="auto"/>
            </w:tcBorders>
          </w:tcPr>
          <w:p w14:paraId="7802700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0905486"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C0750F4" w14:textId="77777777" w:rsidR="00CE1436" w:rsidRDefault="00CE1436" w:rsidP="00444693">
            <w:pPr>
              <w:pStyle w:val="TableText"/>
              <w:widowControl w:val="0"/>
              <w:suppressAutoHyphens w:val="0"/>
              <w:spacing w:before="0" w:after="0" w:line="240" w:lineRule="auto"/>
              <w:rPr>
                <w:szCs w:val="17"/>
              </w:rPr>
            </w:pPr>
          </w:p>
        </w:tc>
        <w:tc>
          <w:tcPr>
            <w:tcW w:w="491" w:type="pct"/>
          </w:tcPr>
          <w:p w14:paraId="0FB963EE" w14:textId="77777777" w:rsidR="00CE1436" w:rsidRDefault="00CE1436" w:rsidP="00444693">
            <w:pPr>
              <w:pStyle w:val="TableText"/>
              <w:widowControl w:val="0"/>
              <w:suppressAutoHyphens w:val="0"/>
              <w:spacing w:before="0" w:after="0" w:line="240" w:lineRule="auto"/>
              <w:jc w:val="center"/>
            </w:pPr>
          </w:p>
        </w:tc>
        <w:tc>
          <w:tcPr>
            <w:tcW w:w="449" w:type="pct"/>
          </w:tcPr>
          <w:p w14:paraId="563B5948"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3DDD055C" w14:textId="77777777" w:rsidR="00CE1436" w:rsidRDefault="00CE1436" w:rsidP="00444693">
            <w:pPr>
              <w:pStyle w:val="TableText"/>
              <w:widowControl w:val="0"/>
              <w:suppressAutoHyphens w:val="0"/>
              <w:spacing w:before="0" w:after="0" w:line="240" w:lineRule="auto"/>
              <w:jc w:val="center"/>
            </w:pPr>
            <w:r>
              <w:t>203</w:t>
            </w:r>
          </w:p>
        </w:tc>
        <w:tc>
          <w:tcPr>
            <w:tcW w:w="312" w:type="pct"/>
          </w:tcPr>
          <w:p w14:paraId="63236AF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0CB900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C62020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6F4FFC4" w14:textId="77777777" w:rsidR="00CE143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1004DCA5"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259162A3" w14:textId="77777777" w:rsidR="00CE1436" w:rsidRDefault="00CE1436" w:rsidP="00444693">
            <w:pPr>
              <w:pStyle w:val="TableText"/>
              <w:widowControl w:val="0"/>
              <w:suppressAutoHyphens w:val="0"/>
              <w:spacing w:before="0" w:after="0" w:line="240" w:lineRule="auto"/>
              <w:jc w:val="center"/>
            </w:pPr>
            <w:r>
              <w:rPr>
                <w:color w:val="1A1B1A"/>
                <w:szCs w:val="17"/>
              </w:rPr>
              <w:t>0.18</w:t>
            </w:r>
          </w:p>
        </w:tc>
        <w:tc>
          <w:tcPr>
            <w:tcW w:w="393" w:type="pct"/>
            <w:vAlign w:val="center"/>
          </w:tcPr>
          <w:p w14:paraId="5581BFA3"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0847EC2D" w14:textId="77777777" w:rsidTr="00444693">
        <w:trPr>
          <w:cantSplit/>
          <w:trHeight w:val="13"/>
        </w:trPr>
        <w:tc>
          <w:tcPr>
            <w:tcW w:w="491" w:type="pct"/>
            <w:vMerge/>
            <w:tcBorders>
              <w:bottom w:val="single" w:sz="4" w:space="0" w:color="auto"/>
            </w:tcBorders>
          </w:tcPr>
          <w:p w14:paraId="6CBB1BA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11FD683"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D755681" w14:textId="77777777" w:rsidR="00CE1436" w:rsidRDefault="00CE1436" w:rsidP="00444693">
            <w:pPr>
              <w:pStyle w:val="TableText"/>
              <w:widowControl w:val="0"/>
              <w:suppressAutoHyphens w:val="0"/>
              <w:spacing w:before="0" w:after="0" w:line="240" w:lineRule="auto"/>
              <w:rPr>
                <w:szCs w:val="17"/>
              </w:rPr>
            </w:pPr>
          </w:p>
        </w:tc>
        <w:tc>
          <w:tcPr>
            <w:tcW w:w="491" w:type="pct"/>
          </w:tcPr>
          <w:p w14:paraId="39845074" w14:textId="77777777" w:rsidR="00CE1436" w:rsidRDefault="00CE1436" w:rsidP="00444693">
            <w:pPr>
              <w:pStyle w:val="TableText"/>
              <w:widowControl w:val="0"/>
              <w:suppressAutoHyphens w:val="0"/>
              <w:spacing w:before="0" w:after="0" w:line="240" w:lineRule="auto"/>
              <w:jc w:val="center"/>
            </w:pPr>
          </w:p>
        </w:tc>
        <w:tc>
          <w:tcPr>
            <w:tcW w:w="449" w:type="pct"/>
          </w:tcPr>
          <w:p w14:paraId="240F57D2"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7BA8D96B"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17A9DEA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AD04F9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48B1FC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84F55A1" w14:textId="77777777" w:rsidR="00CE143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16950C1C"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6EFE4325" w14:textId="77777777" w:rsidR="00CE1436" w:rsidRDefault="00CE1436" w:rsidP="00444693">
            <w:pPr>
              <w:pStyle w:val="TableText"/>
              <w:widowControl w:val="0"/>
              <w:suppressAutoHyphens w:val="0"/>
              <w:spacing w:before="0" w:after="0" w:line="240" w:lineRule="auto"/>
              <w:jc w:val="center"/>
            </w:pPr>
            <w:r>
              <w:rPr>
                <w:color w:val="1A1B1A"/>
                <w:szCs w:val="17"/>
              </w:rPr>
              <w:t>0.18</w:t>
            </w:r>
          </w:p>
        </w:tc>
        <w:tc>
          <w:tcPr>
            <w:tcW w:w="393" w:type="pct"/>
            <w:vAlign w:val="center"/>
          </w:tcPr>
          <w:p w14:paraId="2B62CC64"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59652EE1" w14:textId="77777777" w:rsidTr="00444693">
        <w:trPr>
          <w:cantSplit/>
          <w:trHeight w:val="13"/>
        </w:trPr>
        <w:tc>
          <w:tcPr>
            <w:tcW w:w="491" w:type="pct"/>
            <w:vMerge/>
            <w:tcBorders>
              <w:bottom w:val="single" w:sz="4" w:space="0" w:color="auto"/>
            </w:tcBorders>
          </w:tcPr>
          <w:p w14:paraId="4A3C37A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32F5863"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A5E7E38" w14:textId="77777777" w:rsidR="00CE1436" w:rsidRDefault="00CE1436" w:rsidP="00444693">
            <w:pPr>
              <w:pStyle w:val="TableText"/>
              <w:widowControl w:val="0"/>
              <w:suppressAutoHyphens w:val="0"/>
              <w:spacing w:before="0" w:after="0" w:line="240" w:lineRule="auto"/>
              <w:rPr>
                <w:szCs w:val="17"/>
              </w:rPr>
            </w:pPr>
          </w:p>
        </w:tc>
        <w:tc>
          <w:tcPr>
            <w:tcW w:w="491" w:type="pct"/>
          </w:tcPr>
          <w:p w14:paraId="261D034A" w14:textId="77777777" w:rsidR="00CE1436" w:rsidRDefault="00CE1436" w:rsidP="00444693">
            <w:pPr>
              <w:pStyle w:val="TableText"/>
              <w:widowControl w:val="0"/>
              <w:suppressAutoHyphens w:val="0"/>
              <w:spacing w:before="0" w:after="0" w:line="240" w:lineRule="auto"/>
              <w:jc w:val="center"/>
            </w:pPr>
          </w:p>
        </w:tc>
        <w:tc>
          <w:tcPr>
            <w:tcW w:w="449" w:type="pct"/>
          </w:tcPr>
          <w:p w14:paraId="4213E94D"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10EA0A63"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7D9D428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50DB7E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A547C1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6289B01" w14:textId="77777777" w:rsidR="00CE1436" w:rsidRDefault="00CE1436" w:rsidP="00444693">
            <w:pPr>
              <w:pStyle w:val="TableText"/>
              <w:widowControl w:val="0"/>
              <w:suppressAutoHyphens w:val="0"/>
              <w:spacing w:before="0" w:after="0" w:line="240" w:lineRule="auto"/>
              <w:jc w:val="center"/>
            </w:pPr>
            <w:r>
              <w:rPr>
                <w:color w:val="1A1B1A"/>
                <w:szCs w:val="17"/>
              </w:rPr>
              <w:t>0.9</w:t>
            </w:r>
          </w:p>
        </w:tc>
        <w:tc>
          <w:tcPr>
            <w:tcW w:w="312" w:type="pct"/>
            <w:vAlign w:val="center"/>
          </w:tcPr>
          <w:p w14:paraId="7ECF2E61"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6D334834" w14:textId="77777777" w:rsidR="00CE1436" w:rsidRDefault="00CE1436" w:rsidP="00444693">
            <w:pPr>
              <w:pStyle w:val="TableText"/>
              <w:widowControl w:val="0"/>
              <w:suppressAutoHyphens w:val="0"/>
              <w:spacing w:before="0" w:after="0" w:line="240" w:lineRule="auto"/>
              <w:jc w:val="center"/>
            </w:pPr>
            <w:r>
              <w:rPr>
                <w:color w:val="1A1B1A"/>
                <w:szCs w:val="17"/>
              </w:rPr>
              <w:t>0.15</w:t>
            </w:r>
          </w:p>
        </w:tc>
        <w:tc>
          <w:tcPr>
            <w:tcW w:w="393" w:type="pct"/>
            <w:vAlign w:val="center"/>
          </w:tcPr>
          <w:p w14:paraId="6365F497"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21192C32" w14:textId="77777777" w:rsidTr="00444693">
        <w:trPr>
          <w:cantSplit/>
          <w:trHeight w:val="13"/>
        </w:trPr>
        <w:tc>
          <w:tcPr>
            <w:tcW w:w="491" w:type="pct"/>
            <w:vMerge/>
            <w:tcBorders>
              <w:bottom w:val="single" w:sz="4" w:space="0" w:color="auto"/>
            </w:tcBorders>
          </w:tcPr>
          <w:p w14:paraId="19C4486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A1A6904"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23B90E1" w14:textId="77777777" w:rsidR="00CE1436" w:rsidRDefault="00CE1436" w:rsidP="00444693">
            <w:pPr>
              <w:pStyle w:val="TableText"/>
              <w:widowControl w:val="0"/>
              <w:suppressAutoHyphens w:val="0"/>
              <w:spacing w:before="0" w:after="0" w:line="240" w:lineRule="auto"/>
              <w:rPr>
                <w:szCs w:val="17"/>
              </w:rPr>
            </w:pPr>
          </w:p>
        </w:tc>
        <w:tc>
          <w:tcPr>
            <w:tcW w:w="491" w:type="pct"/>
          </w:tcPr>
          <w:p w14:paraId="4231B3B9" w14:textId="77777777" w:rsidR="00CE1436" w:rsidRDefault="00CE1436" w:rsidP="00444693">
            <w:pPr>
              <w:pStyle w:val="TableText"/>
              <w:widowControl w:val="0"/>
              <w:suppressAutoHyphens w:val="0"/>
              <w:spacing w:before="0" w:after="0" w:line="240" w:lineRule="auto"/>
              <w:jc w:val="center"/>
            </w:pPr>
          </w:p>
        </w:tc>
        <w:tc>
          <w:tcPr>
            <w:tcW w:w="449" w:type="pct"/>
          </w:tcPr>
          <w:p w14:paraId="07C88B97"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339FDFFF" w14:textId="77777777" w:rsidR="00CE1436" w:rsidRDefault="00CE1436" w:rsidP="00444693">
            <w:pPr>
              <w:pStyle w:val="TableText"/>
              <w:widowControl w:val="0"/>
              <w:suppressAutoHyphens w:val="0"/>
              <w:spacing w:before="0" w:after="0" w:line="240" w:lineRule="auto"/>
              <w:jc w:val="center"/>
            </w:pPr>
            <w:r>
              <w:t>165</w:t>
            </w:r>
          </w:p>
        </w:tc>
        <w:tc>
          <w:tcPr>
            <w:tcW w:w="312" w:type="pct"/>
          </w:tcPr>
          <w:p w14:paraId="1760FFB3"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F3E232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DD6B68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1253788" w14:textId="77777777" w:rsidR="00CE1436" w:rsidRPr="003B78B6" w:rsidRDefault="00CE1436" w:rsidP="00444693">
            <w:pPr>
              <w:pStyle w:val="TableText"/>
              <w:widowControl w:val="0"/>
              <w:suppressAutoHyphens w:val="0"/>
              <w:spacing w:before="0" w:after="0" w:line="240" w:lineRule="auto"/>
              <w:jc w:val="center"/>
            </w:pPr>
            <w:r>
              <w:rPr>
                <w:color w:val="1A1B1A"/>
                <w:szCs w:val="17"/>
              </w:rPr>
              <w:t>0.9</w:t>
            </w:r>
          </w:p>
        </w:tc>
        <w:tc>
          <w:tcPr>
            <w:tcW w:w="312" w:type="pct"/>
            <w:vAlign w:val="center"/>
          </w:tcPr>
          <w:p w14:paraId="0BD011C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845FF8B" w14:textId="77777777" w:rsidR="00CE1436" w:rsidRPr="0027505E" w:rsidRDefault="00CE1436" w:rsidP="00444693">
            <w:pPr>
              <w:pStyle w:val="TableText"/>
              <w:widowControl w:val="0"/>
              <w:suppressAutoHyphens w:val="0"/>
              <w:spacing w:before="0" w:after="0" w:line="240" w:lineRule="auto"/>
              <w:jc w:val="center"/>
            </w:pPr>
            <w:r>
              <w:rPr>
                <w:color w:val="1A1B1A"/>
                <w:szCs w:val="17"/>
              </w:rPr>
              <w:t>0.15</w:t>
            </w:r>
          </w:p>
        </w:tc>
        <w:tc>
          <w:tcPr>
            <w:tcW w:w="393" w:type="pct"/>
            <w:vAlign w:val="center"/>
          </w:tcPr>
          <w:p w14:paraId="40694216"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0A256396" w14:textId="77777777" w:rsidTr="00444693">
        <w:trPr>
          <w:cantSplit/>
          <w:trHeight w:val="13"/>
        </w:trPr>
        <w:tc>
          <w:tcPr>
            <w:tcW w:w="491" w:type="pct"/>
            <w:vMerge/>
            <w:tcBorders>
              <w:bottom w:val="single" w:sz="4" w:space="0" w:color="auto"/>
            </w:tcBorders>
          </w:tcPr>
          <w:p w14:paraId="5DC14AB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B5C0C12"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547F437" w14:textId="77777777" w:rsidR="00CE1436" w:rsidRDefault="00CE1436" w:rsidP="00444693">
            <w:pPr>
              <w:pStyle w:val="TableText"/>
              <w:widowControl w:val="0"/>
              <w:suppressAutoHyphens w:val="0"/>
              <w:spacing w:before="0" w:after="0" w:line="240" w:lineRule="auto"/>
              <w:rPr>
                <w:szCs w:val="17"/>
              </w:rPr>
            </w:pPr>
          </w:p>
        </w:tc>
        <w:tc>
          <w:tcPr>
            <w:tcW w:w="491" w:type="pct"/>
          </w:tcPr>
          <w:p w14:paraId="6470CE7A" w14:textId="77777777" w:rsidR="00CE1436" w:rsidRDefault="00CE1436" w:rsidP="00444693">
            <w:pPr>
              <w:pStyle w:val="TableText"/>
              <w:widowControl w:val="0"/>
              <w:suppressAutoHyphens w:val="0"/>
              <w:spacing w:before="0" w:after="0" w:line="240" w:lineRule="auto"/>
              <w:jc w:val="center"/>
            </w:pPr>
          </w:p>
        </w:tc>
        <w:tc>
          <w:tcPr>
            <w:tcW w:w="449" w:type="pct"/>
          </w:tcPr>
          <w:p w14:paraId="56ADF8C2"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6B2D0D88" w14:textId="77777777" w:rsidR="00CE1436" w:rsidRDefault="00CE1436" w:rsidP="00444693">
            <w:pPr>
              <w:pStyle w:val="TableText"/>
              <w:widowControl w:val="0"/>
              <w:suppressAutoHyphens w:val="0"/>
              <w:spacing w:before="0" w:after="0" w:line="240" w:lineRule="auto"/>
              <w:jc w:val="center"/>
            </w:pPr>
            <w:r>
              <w:t>160</w:t>
            </w:r>
          </w:p>
        </w:tc>
        <w:tc>
          <w:tcPr>
            <w:tcW w:w="312" w:type="pct"/>
          </w:tcPr>
          <w:p w14:paraId="3A6CF93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1A09E1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9DE01F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4FF501B" w14:textId="77777777" w:rsidR="00CE1436" w:rsidRPr="003B78B6" w:rsidRDefault="00CE1436" w:rsidP="00444693">
            <w:pPr>
              <w:pStyle w:val="TableText"/>
              <w:widowControl w:val="0"/>
              <w:suppressAutoHyphens w:val="0"/>
              <w:spacing w:before="0" w:after="0" w:line="240" w:lineRule="auto"/>
              <w:jc w:val="center"/>
            </w:pPr>
            <w:r>
              <w:rPr>
                <w:color w:val="1A1B1A"/>
                <w:szCs w:val="17"/>
              </w:rPr>
              <w:t>0.9</w:t>
            </w:r>
          </w:p>
        </w:tc>
        <w:tc>
          <w:tcPr>
            <w:tcW w:w="312" w:type="pct"/>
            <w:vAlign w:val="center"/>
          </w:tcPr>
          <w:p w14:paraId="71B0F13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C21AAAC" w14:textId="77777777" w:rsidR="00CE1436" w:rsidRPr="0027505E" w:rsidRDefault="00CE1436" w:rsidP="00444693">
            <w:pPr>
              <w:pStyle w:val="TableText"/>
              <w:widowControl w:val="0"/>
              <w:suppressAutoHyphens w:val="0"/>
              <w:spacing w:before="0" w:after="0" w:line="240" w:lineRule="auto"/>
              <w:jc w:val="center"/>
            </w:pPr>
            <w:r>
              <w:rPr>
                <w:color w:val="1A1B1A"/>
                <w:szCs w:val="17"/>
              </w:rPr>
              <w:t>0.14</w:t>
            </w:r>
          </w:p>
        </w:tc>
        <w:tc>
          <w:tcPr>
            <w:tcW w:w="393" w:type="pct"/>
            <w:vAlign w:val="center"/>
          </w:tcPr>
          <w:p w14:paraId="229D5DD4"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79324D6A" w14:textId="77777777" w:rsidTr="00444693">
        <w:trPr>
          <w:cantSplit/>
          <w:trHeight w:val="13"/>
        </w:trPr>
        <w:tc>
          <w:tcPr>
            <w:tcW w:w="491" w:type="pct"/>
            <w:vMerge/>
            <w:tcBorders>
              <w:bottom w:val="single" w:sz="4" w:space="0" w:color="auto"/>
            </w:tcBorders>
          </w:tcPr>
          <w:p w14:paraId="576A359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97330F"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38E7F51" w14:textId="77777777" w:rsidR="00CE1436" w:rsidRDefault="00CE1436" w:rsidP="00444693">
            <w:pPr>
              <w:pStyle w:val="TableText"/>
              <w:widowControl w:val="0"/>
              <w:suppressAutoHyphens w:val="0"/>
              <w:spacing w:before="0" w:after="0" w:line="240" w:lineRule="auto"/>
              <w:rPr>
                <w:szCs w:val="17"/>
              </w:rPr>
            </w:pPr>
          </w:p>
        </w:tc>
        <w:tc>
          <w:tcPr>
            <w:tcW w:w="491" w:type="pct"/>
          </w:tcPr>
          <w:p w14:paraId="6CB74175" w14:textId="77777777" w:rsidR="00CE1436" w:rsidRDefault="00CE1436" w:rsidP="00444693">
            <w:pPr>
              <w:pStyle w:val="TableText"/>
              <w:widowControl w:val="0"/>
              <w:suppressAutoHyphens w:val="0"/>
              <w:spacing w:before="0" w:after="0" w:line="240" w:lineRule="auto"/>
              <w:jc w:val="center"/>
            </w:pPr>
          </w:p>
        </w:tc>
        <w:tc>
          <w:tcPr>
            <w:tcW w:w="449" w:type="pct"/>
          </w:tcPr>
          <w:p w14:paraId="4D570915"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Pr>
          <w:p w14:paraId="1F0453E8" w14:textId="77777777" w:rsidR="00CE1436" w:rsidRDefault="00CE1436" w:rsidP="00444693">
            <w:pPr>
              <w:pStyle w:val="TableText"/>
              <w:widowControl w:val="0"/>
              <w:suppressAutoHyphens w:val="0"/>
              <w:spacing w:before="0" w:after="0" w:line="240" w:lineRule="auto"/>
              <w:jc w:val="center"/>
            </w:pPr>
            <w:r>
              <w:t>150</w:t>
            </w:r>
          </w:p>
        </w:tc>
        <w:tc>
          <w:tcPr>
            <w:tcW w:w="312" w:type="pct"/>
          </w:tcPr>
          <w:p w14:paraId="0413A6A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0EC1C9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D10DBB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AC9CAAF" w14:textId="77777777" w:rsidR="00CE1436" w:rsidRDefault="00CE1436" w:rsidP="00444693">
            <w:pPr>
              <w:pStyle w:val="TableText"/>
              <w:widowControl w:val="0"/>
              <w:suppressAutoHyphens w:val="0"/>
              <w:spacing w:before="0" w:after="0" w:line="240" w:lineRule="auto"/>
              <w:jc w:val="center"/>
            </w:pPr>
            <w:r>
              <w:rPr>
                <w:color w:val="1A1B1A"/>
                <w:szCs w:val="17"/>
              </w:rPr>
              <w:t>0.8</w:t>
            </w:r>
          </w:p>
        </w:tc>
        <w:tc>
          <w:tcPr>
            <w:tcW w:w="312" w:type="pct"/>
            <w:vAlign w:val="center"/>
          </w:tcPr>
          <w:p w14:paraId="7A715A70"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69A763BC" w14:textId="77777777" w:rsidR="00CE1436" w:rsidRDefault="00CE1436" w:rsidP="00444693">
            <w:pPr>
              <w:pStyle w:val="TableText"/>
              <w:widowControl w:val="0"/>
              <w:suppressAutoHyphens w:val="0"/>
              <w:spacing w:before="0" w:after="0" w:line="240" w:lineRule="auto"/>
              <w:jc w:val="center"/>
            </w:pPr>
            <w:r>
              <w:rPr>
                <w:color w:val="1A1B1A"/>
                <w:szCs w:val="17"/>
              </w:rPr>
              <w:t>0.13</w:t>
            </w:r>
          </w:p>
        </w:tc>
        <w:tc>
          <w:tcPr>
            <w:tcW w:w="393" w:type="pct"/>
            <w:vAlign w:val="center"/>
          </w:tcPr>
          <w:p w14:paraId="55AA169C"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798BBEE0" w14:textId="77777777" w:rsidTr="00444693">
        <w:trPr>
          <w:cantSplit/>
          <w:trHeight w:val="13"/>
        </w:trPr>
        <w:tc>
          <w:tcPr>
            <w:tcW w:w="491" w:type="pct"/>
            <w:vMerge/>
            <w:tcBorders>
              <w:bottom w:val="single" w:sz="4" w:space="0" w:color="auto"/>
            </w:tcBorders>
          </w:tcPr>
          <w:p w14:paraId="19D0C72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9760A4C"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075F69A" w14:textId="77777777" w:rsidR="00CE1436" w:rsidRDefault="00CE1436" w:rsidP="00444693">
            <w:pPr>
              <w:pStyle w:val="TableText"/>
              <w:widowControl w:val="0"/>
              <w:suppressAutoHyphens w:val="0"/>
              <w:spacing w:before="0" w:after="0" w:line="240" w:lineRule="auto"/>
              <w:rPr>
                <w:szCs w:val="17"/>
              </w:rPr>
            </w:pPr>
          </w:p>
        </w:tc>
        <w:tc>
          <w:tcPr>
            <w:tcW w:w="491" w:type="pct"/>
          </w:tcPr>
          <w:p w14:paraId="0882487E" w14:textId="77777777" w:rsidR="00CE1436" w:rsidRDefault="00CE1436" w:rsidP="00444693">
            <w:pPr>
              <w:pStyle w:val="TableText"/>
              <w:widowControl w:val="0"/>
              <w:suppressAutoHyphens w:val="0"/>
              <w:spacing w:before="0" w:after="0" w:line="240" w:lineRule="auto"/>
              <w:jc w:val="center"/>
            </w:pPr>
          </w:p>
        </w:tc>
        <w:tc>
          <w:tcPr>
            <w:tcW w:w="449" w:type="pct"/>
          </w:tcPr>
          <w:p w14:paraId="0923B563"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39F23F80" w14:textId="77777777" w:rsidR="00CE1436" w:rsidRDefault="00CE1436" w:rsidP="00444693">
            <w:pPr>
              <w:pStyle w:val="TableText"/>
              <w:widowControl w:val="0"/>
              <w:suppressAutoHyphens w:val="0"/>
              <w:spacing w:before="0" w:after="0" w:line="240" w:lineRule="auto"/>
              <w:jc w:val="center"/>
            </w:pPr>
            <w:r>
              <w:t>108</w:t>
            </w:r>
          </w:p>
        </w:tc>
        <w:tc>
          <w:tcPr>
            <w:tcW w:w="312" w:type="pct"/>
          </w:tcPr>
          <w:p w14:paraId="1D7AF59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12D089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7AE3A35"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1FBB814" w14:textId="77777777" w:rsidR="00CE1436" w:rsidRPr="003B78B6" w:rsidRDefault="00CE1436" w:rsidP="00444693">
            <w:pPr>
              <w:pStyle w:val="TableText"/>
              <w:widowControl w:val="0"/>
              <w:suppressAutoHyphens w:val="0"/>
              <w:spacing w:before="0" w:after="0" w:line="240" w:lineRule="auto"/>
              <w:jc w:val="center"/>
            </w:pPr>
            <w:r>
              <w:rPr>
                <w:color w:val="1A1B1A"/>
                <w:szCs w:val="17"/>
              </w:rPr>
              <w:t>0.6</w:t>
            </w:r>
          </w:p>
        </w:tc>
        <w:tc>
          <w:tcPr>
            <w:tcW w:w="312" w:type="pct"/>
            <w:vAlign w:val="center"/>
          </w:tcPr>
          <w:p w14:paraId="70D1B34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7D786BB" w14:textId="77777777" w:rsidR="00CE1436" w:rsidRPr="0027505E" w:rsidRDefault="00CE1436" w:rsidP="00444693">
            <w:pPr>
              <w:pStyle w:val="TableText"/>
              <w:widowControl w:val="0"/>
              <w:suppressAutoHyphens w:val="0"/>
              <w:spacing w:before="0" w:after="0" w:line="240" w:lineRule="auto"/>
              <w:jc w:val="center"/>
            </w:pPr>
            <w:r>
              <w:rPr>
                <w:color w:val="1A1B1A"/>
                <w:szCs w:val="17"/>
              </w:rPr>
              <w:t>0.10</w:t>
            </w:r>
          </w:p>
        </w:tc>
        <w:tc>
          <w:tcPr>
            <w:tcW w:w="393" w:type="pct"/>
            <w:vAlign w:val="center"/>
          </w:tcPr>
          <w:p w14:paraId="625888FA"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27505E" w14:paraId="4ED1391B" w14:textId="77777777" w:rsidTr="00444693">
        <w:trPr>
          <w:cantSplit/>
          <w:trHeight w:val="13"/>
        </w:trPr>
        <w:tc>
          <w:tcPr>
            <w:tcW w:w="491" w:type="pct"/>
            <w:vMerge/>
            <w:tcBorders>
              <w:bottom w:val="single" w:sz="4" w:space="0" w:color="auto"/>
            </w:tcBorders>
          </w:tcPr>
          <w:p w14:paraId="0126925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FC8A391"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F37BF9B" w14:textId="77777777" w:rsidR="00CE1436" w:rsidRDefault="00CE1436" w:rsidP="00444693">
            <w:pPr>
              <w:pStyle w:val="TableText"/>
              <w:widowControl w:val="0"/>
              <w:suppressAutoHyphens w:val="0"/>
              <w:spacing w:before="0" w:after="0" w:line="240" w:lineRule="auto"/>
              <w:rPr>
                <w:szCs w:val="17"/>
              </w:rPr>
            </w:pPr>
          </w:p>
        </w:tc>
        <w:tc>
          <w:tcPr>
            <w:tcW w:w="491" w:type="pct"/>
          </w:tcPr>
          <w:p w14:paraId="68BE58A6" w14:textId="77777777" w:rsidR="00CE1436" w:rsidRDefault="00CE1436" w:rsidP="00444693">
            <w:pPr>
              <w:pStyle w:val="TableText"/>
              <w:widowControl w:val="0"/>
              <w:suppressAutoHyphens w:val="0"/>
              <w:spacing w:before="0" w:after="0" w:line="240" w:lineRule="auto"/>
              <w:jc w:val="center"/>
            </w:pPr>
          </w:p>
        </w:tc>
        <w:tc>
          <w:tcPr>
            <w:tcW w:w="449" w:type="pct"/>
          </w:tcPr>
          <w:p w14:paraId="695BD31C" w14:textId="77777777" w:rsidR="00CE1436" w:rsidRPr="00F73309" w:rsidRDefault="00CE1436" w:rsidP="00444693">
            <w:pPr>
              <w:pStyle w:val="TableText"/>
              <w:widowControl w:val="0"/>
              <w:suppressAutoHyphens w:val="0"/>
              <w:spacing w:before="0" w:after="0" w:line="240" w:lineRule="auto"/>
              <w:jc w:val="center"/>
            </w:pPr>
            <w:r w:rsidRPr="008033C6">
              <w:t>5.4</w:t>
            </w:r>
          </w:p>
        </w:tc>
        <w:tc>
          <w:tcPr>
            <w:tcW w:w="311" w:type="pct"/>
          </w:tcPr>
          <w:p w14:paraId="02BECE37" w14:textId="77777777" w:rsidR="00CE1436" w:rsidRDefault="00CE1436" w:rsidP="00444693">
            <w:pPr>
              <w:pStyle w:val="TableText"/>
              <w:widowControl w:val="0"/>
              <w:suppressAutoHyphens w:val="0"/>
              <w:spacing w:before="0" w:after="0" w:line="240" w:lineRule="auto"/>
              <w:jc w:val="center"/>
            </w:pPr>
            <w:r>
              <w:t>100</w:t>
            </w:r>
          </w:p>
        </w:tc>
        <w:tc>
          <w:tcPr>
            <w:tcW w:w="312" w:type="pct"/>
          </w:tcPr>
          <w:p w14:paraId="6CF9BCD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3CD778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C6FE35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B716443" w14:textId="77777777" w:rsidR="00CE1436" w:rsidRPr="003B78B6" w:rsidRDefault="00CE1436" w:rsidP="00444693">
            <w:pPr>
              <w:pStyle w:val="TableText"/>
              <w:widowControl w:val="0"/>
              <w:suppressAutoHyphens w:val="0"/>
              <w:spacing w:before="0" w:after="0" w:line="240" w:lineRule="auto"/>
              <w:jc w:val="center"/>
            </w:pPr>
            <w:r>
              <w:rPr>
                <w:color w:val="1A1B1A"/>
                <w:szCs w:val="17"/>
              </w:rPr>
              <w:t>0.5</w:t>
            </w:r>
          </w:p>
        </w:tc>
        <w:tc>
          <w:tcPr>
            <w:tcW w:w="312" w:type="pct"/>
            <w:vAlign w:val="center"/>
          </w:tcPr>
          <w:p w14:paraId="38202825"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4B0EA0F" w14:textId="77777777" w:rsidR="00CE1436" w:rsidRPr="0027505E" w:rsidRDefault="00CE1436" w:rsidP="00444693">
            <w:pPr>
              <w:pStyle w:val="TableText"/>
              <w:widowControl w:val="0"/>
              <w:suppressAutoHyphens w:val="0"/>
              <w:spacing w:before="0" w:after="0" w:line="240" w:lineRule="auto"/>
              <w:jc w:val="center"/>
            </w:pPr>
            <w:r>
              <w:rPr>
                <w:color w:val="1A1B1A"/>
                <w:szCs w:val="17"/>
              </w:rPr>
              <w:t>0.09</w:t>
            </w:r>
          </w:p>
        </w:tc>
        <w:tc>
          <w:tcPr>
            <w:tcW w:w="393" w:type="pct"/>
            <w:vAlign w:val="center"/>
          </w:tcPr>
          <w:p w14:paraId="52101A63" w14:textId="77777777" w:rsidR="00CE1436" w:rsidRPr="0027505E"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357E0764" w14:textId="77777777" w:rsidTr="00444693">
        <w:trPr>
          <w:cantSplit/>
          <w:trHeight w:val="13"/>
        </w:trPr>
        <w:tc>
          <w:tcPr>
            <w:tcW w:w="491" w:type="pct"/>
            <w:vMerge/>
            <w:tcBorders>
              <w:bottom w:val="single" w:sz="4" w:space="0" w:color="auto"/>
            </w:tcBorders>
          </w:tcPr>
          <w:p w14:paraId="4B88A54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439D19D" w14:textId="77777777" w:rsidR="00CE1436" w:rsidRPr="00336DF4"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2B43AF"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1BD06DA3"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tcPr>
          <w:p w14:paraId="260AD09F" w14:textId="77777777" w:rsidR="00CE1436" w:rsidRDefault="00CE1436" w:rsidP="00444693">
            <w:pPr>
              <w:pStyle w:val="TableText"/>
              <w:widowControl w:val="0"/>
              <w:suppressAutoHyphens w:val="0"/>
              <w:spacing w:before="0" w:after="0" w:line="240" w:lineRule="auto"/>
              <w:jc w:val="center"/>
            </w:pPr>
            <w:r w:rsidRPr="008033C6">
              <w:t>5.4</w:t>
            </w:r>
          </w:p>
        </w:tc>
        <w:tc>
          <w:tcPr>
            <w:tcW w:w="311" w:type="pct"/>
            <w:tcBorders>
              <w:bottom w:val="single" w:sz="4" w:space="0" w:color="auto"/>
            </w:tcBorders>
          </w:tcPr>
          <w:p w14:paraId="07F22567" w14:textId="77777777" w:rsidR="00CE1436" w:rsidRDefault="00CE1436" w:rsidP="00444693">
            <w:pPr>
              <w:pStyle w:val="TableText"/>
              <w:widowControl w:val="0"/>
              <w:suppressAutoHyphens w:val="0"/>
              <w:spacing w:before="0" w:after="0" w:line="240" w:lineRule="auto"/>
              <w:jc w:val="center"/>
            </w:pPr>
            <w:r>
              <w:t>75</w:t>
            </w:r>
          </w:p>
        </w:tc>
        <w:tc>
          <w:tcPr>
            <w:tcW w:w="312" w:type="pct"/>
            <w:tcBorders>
              <w:bottom w:val="single" w:sz="4" w:space="0" w:color="auto"/>
            </w:tcBorders>
          </w:tcPr>
          <w:p w14:paraId="6F919863"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3F90021B"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2AD8E44"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273792FB" w14:textId="77777777" w:rsidR="00CE1436" w:rsidRDefault="00CE1436" w:rsidP="00444693">
            <w:pPr>
              <w:pStyle w:val="TableText"/>
              <w:widowControl w:val="0"/>
              <w:suppressAutoHyphens w:val="0"/>
              <w:spacing w:before="0" w:after="0" w:line="240" w:lineRule="auto"/>
              <w:jc w:val="center"/>
            </w:pPr>
            <w:r>
              <w:rPr>
                <w:color w:val="1A1B1A"/>
                <w:szCs w:val="17"/>
              </w:rPr>
              <w:t>0.4</w:t>
            </w:r>
          </w:p>
        </w:tc>
        <w:tc>
          <w:tcPr>
            <w:tcW w:w="312" w:type="pct"/>
            <w:tcBorders>
              <w:bottom w:val="single" w:sz="4" w:space="0" w:color="auto"/>
            </w:tcBorders>
            <w:vAlign w:val="center"/>
          </w:tcPr>
          <w:p w14:paraId="1A0E7D94"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bottom w:val="single" w:sz="4" w:space="0" w:color="auto"/>
            </w:tcBorders>
            <w:vAlign w:val="center"/>
          </w:tcPr>
          <w:p w14:paraId="38F45ACD" w14:textId="77777777" w:rsidR="00CE1436" w:rsidRDefault="00CE1436" w:rsidP="00444693">
            <w:pPr>
              <w:pStyle w:val="TableText"/>
              <w:widowControl w:val="0"/>
              <w:suppressAutoHyphens w:val="0"/>
              <w:spacing w:before="0" w:after="0" w:line="240" w:lineRule="auto"/>
              <w:jc w:val="center"/>
            </w:pPr>
            <w:r>
              <w:rPr>
                <w:color w:val="1A1B1A"/>
                <w:szCs w:val="17"/>
              </w:rPr>
              <w:t>0.07</w:t>
            </w:r>
          </w:p>
        </w:tc>
        <w:tc>
          <w:tcPr>
            <w:tcW w:w="393" w:type="pct"/>
            <w:tcBorders>
              <w:bottom w:val="single" w:sz="4" w:space="0" w:color="auto"/>
            </w:tcBorders>
            <w:vAlign w:val="center"/>
          </w:tcPr>
          <w:p w14:paraId="114C419E" w14:textId="77777777" w:rsidR="00CE1436" w:rsidRPr="00C3293F" w:rsidRDefault="00CE1436" w:rsidP="00444693">
            <w:pPr>
              <w:pStyle w:val="TableText"/>
              <w:widowControl w:val="0"/>
              <w:suppressAutoHyphens w:val="0"/>
              <w:spacing w:before="0" w:after="0" w:line="240" w:lineRule="auto"/>
              <w:jc w:val="center"/>
            </w:pPr>
            <w:r>
              <w:rPr>
                <w:color w:val="1A1B1A"/>
                <w:szCs w:val="17"/>
              </w:rPr>
              <w:t>1130</w:t>
            </w:r>
          </w:p>
        </w:tc>
      </w:tr>
      <w:tr w:rsidR="00CE1436" w:rsidRPr="00C3293F" w14:paraId="696A849E" w14:textId="77777777" w:rsidTr="00444693">
        <w:trPr>
          <w:cantSplit/>
          <w:trHeight w:val="13"/>
        </w:trPr>
        <w:tc>
          <w:tcPr>
            <w:tcW w:w="491" w:type="pct"/>
            <w:vMerge/>
            <w:tcBorders>
              <w:bottom w:val="single" w:sz="4" w:space="0" w:color="auto"/>
            </w:tcBorders>
          </w:tcPr>
          <w:p w14:paraId="3EEE5B9F"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593DC9DD" w14:textId="77777777" w:rsidR="00CE1436" w:rsidRPr="00336DF4"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3275FABA" w14:textId="77777777" w:rsidR="00CE1436" w:rsidRDefault="00CE1436" w:rsidP="00444693">
            <w:pPr>
              <w:pStyle w:val="TableText"/>
              <w:widowControl w:val="0"/>
              <w:suppressAutoHyphens w:val="0"/>
              <w:spacing w:before="0" w:after="0" w:line="240" w:lineRule="auto"/>
              <w:rPr>
                <w:szCs w:val="17"/>
              </w:rPr>
            </w:pPr>
            <w:r>
              <w:rPr>
                <w:szCs w:val="17"/>
              </w:rPr>
              <w:t>All season</w:t>
            </w:r>
          </w:p>
        </w:tc>
        <w:tc>
          <w:tcPr>
            <w:tcW w:w="491" w:type="pct"/>
            <w:tcBorders>
              <w:top w:val="single" w:sz="4" w:space="0" w:color="auto"/>
            </w:tcBorders>
          </w:tcPr>
          <w:p w14:paraId="73208A6F" w14:textId="77777777" w:rsidR="00CE1436" w:rsidRDefault="00CE1436" w:rsidP="00444693">
            <w:pPr>
              <w:pStyle w:val="TableText"/>
              <w:widowControl w:val="0"/>
              <w:suppressAutoHyphens w:val="0"/>
              <w:spacing w:before="0" w:after="0" w:line="240" w:lineRule="auto"/>
              <w:jc w:val="center"/>
            </w:pPr>
            <w:r>
              <w:t>Chronic</w:t>
            </w:r>
          </w:p>
        </w:tc>
        <w:tc>
          <w:tcPr>
            <w:tcW w:w="449" w:type="pct"/>
            <w:tcBorders>
              <w:top w:val="single" w:sz="4" w:space="0" w:color="auto"/>
            </w:tcBorders>
            <w:shd w:val="clear" w:color="auto" w:fill="D5D7D5" w:themeFill="text1" w:themeFillTint="33"/>
          </w:tcPr>
          <w:p w14:paraId="426BAE7F"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Borders>
              <w:top w:val="single" w:sz="4" w:space="0" w:color="auto"/>
            </w:tcBorders>
          </w:tcPr>
          <w:p w14:paraId="381226D0" w14:textId="77777777" w:rsidR="00CE1436" w:rsidRDefault="00CE1436" w:rsidP="00444693">
            <w:pPr>
              <w:pStyle w:val="TableText"/>
              <w:widowControl w:val="0"/>
              <w:suppressAutoHyphens w:val="0"/>
              <w:spacing w:before="0" w:after="0" w:line="240" w:lineRule="auto"/>
              <w:jc w:val="center"/>
            </w:pPr>
            <w:r>
              <w:t>1140</w:t>
            </w:r>
          </w:p>
        </w:tc>
        <w:tc>
          <w:tcPr>
            <w:tcW w:w="312" w:type="pct"/>
            <w:tcBorders>
              <w:top w:val="single" w:sz="4" w:space="0" w:color="auto"/>
            </w:tcBorders>
          </w:tcPr>
          <w:p w14:paraId="2B67C9E3"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47B8D884" w14:textId="77777777" w:rsidR="00CE1436" w:rsidRDefault="00CE1436" w:rsidP="00444693">
            <w:pPr>
              <w:pStyle w:val="TableText"/>
              <w:widowControl w:val="0"/>
              <w:suppressAutoHyphens w:val="0"/>
              <w:spacing w:before="0" w:after="0" w:line="240" w:lineRule="auto"/>
              <w:jc w:val="center"/>
            </w:pPr>
            <w:r>
              <w:t>0.5</w:t>
            </w:r>
          </w:p>
        </w:tc>
        <w:tc>
          <w:tcPr>
            <w:tcW w:w="312" w:type="pct"/>
            <w:tcBorders>
              <w:top w:val="single" w:sz="4" w:space="0" w:color="auto"/>
            </w:tcBorders>
          </w:tcPr>
          <w:p w14:paraId="19570BA2" w14:textId="77777777" w:rsidR="00CE1436" w:rsidRDefault="00CE1436" w:rsidP="00444693">
            <w:pPr>
              <w:pStyle w:val="TableText"/>
              <w:widowControl w:val="0"/>
              <w:suppressAutoHyphens w:val="0"/>
              <w:spacing w:before="0" w:after="0" w:line="240" w:lineRule="auto"/>
              <w:jc w:val="center"/>
            </w:pPr>
            <w:r>
              <w:t>0.53</w:t>
            </w:r>
          </w:p>
        </w:tc>
        <w:tc>
          <w:tcPr>
            <w:tcW w:w="311" w:type="pct"/>
            <w:tcBorders>
              <w:top w:val="single" w:sz="4" w:space="0" w:color="auto"/>
            </w:tcBorders>
            <w:vAlign w:val="center"/>
          </w:tcPr>
          <w:p w14:paraId="3B660ADC" w14:textId="77777777" w:rsidR="00CE1436" w:rsidRDefault="00CE1436" w:rsidP="00444693">
            <w:pPr>
              <w:pStyle w:val="TableText"/>
              <w:widowControl w:val="0"/>
              <w:suppressAutoHyphens w:val="0"/>
              <w:spacing w:before="0" w:after="0" w:line="240" w:lineRule="auto"/>
              <w:jc w:val="center"/>
            </w:pPr>
            <w:r>
              <w:rPr>
                <w:color w:val="1A1B1A"/>
                <w:szCs w:val="17"/>
              </w:rPr>
              <w:t>18</w:t>
            </w:r>
          </w:p>
        </w:tc>
        <w:tc>
          <w:tcPr>
            <w:tcW w:w="312" w:type="pct"/>
            <w:tcBorders>
              <w:top w:val="single" w:sz="4" w:space="0" w:color="auto"/>
            </w:tcBorders>
            <w:vAlign w:val="center"/>
          </w:tcPr>
          <w:p w14:paraId="54BB7EED"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top w:val="single" w:sz="4" w:space="0" w:color="auto"/>
            </w:tcBorders>
            <w:shd w:val="clear" w:color="auto" w:fill="FF0000"/>
            <w:vAlign w:val="center"/>
          </w:tcPr>
          <w:p w14:paraId="38011E3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4.7</w:t>
            </w:r>
          </w:p>
        </w:tc>
        <w:tc>
          <w:tcPr>
            <w:tcW w:w="393" w:type="pct"/>
            <w:tcBorders>
              <w:top w:val="single" w:sz="4" w:space="0" w:color="auto"/>
            </w:tcBorders>
            <w:vAlign w:val="center"/>
          </w:tcPr>
          <w:p w14:paraId="1DF209B1"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5B3DA1A2" w14:textId="77777777" w:rsidTr="00444693">
        <w:trPr>
          <w:cantSplit/>
          <w:trHeight w:val="13"/>
        </w:trPr>
        <w:tc>
          <w:tcPr>
            <w:tcW w:w="491" w:type="pct"/>
            <w:vMerge/>
            <w:tcBorders>
              <w:bottom w:val="single" w:sz="4" w:space="0" w:color="auto"/>
            </w:tcBorders>
          </w:tcPr>
          <w:p w14:paraId="366E9FE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CF8459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B929D4D" w14:textId="77777777" w:rsidR="00CE1436" w:rsidRDefault="00CE1436" w:rsidP="00444693">
            <w:pPr>
              <w:pStyle w:val="TableText"/>
              <w:widowControl w:val="0"/>
              <w:suppressAutoHyphens w:val="0"/>
              <w:spacing w:before="0" w:after="0" w:line="240" w:lineRule="auto"/>
              <w:rPr>
                <w:szCs w:val="17"/>
              </w:rPr>
            </w:pPr>
          </w:p>
        </w:tc>
        <w:tc>
          <w:tcPr>
            <w:tcW w:w="491" w:type="pct"/>
          </w:tcPr>
          <w:p w14:paraId="72A97EF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B77DA03"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6FF385AB" w14:textId="77777777" w:rsidR="00CE1436" w:rsidRDefault="00CE1436" w:rsidP="00444693">
            <w:pPr>
              <w:pStyle w:val="TableText"/>
              <w:widowControl w:val="0"/>
              <w:suppressAutoHyphens w:val="0"/>
              <w:spacing w:before="0" w:after="0" w:line="240" w:lineRule="auto"/>
              <w:jc w:val="center"/>
            </w:pPr>
            <w:r>
              <w:t>1125</w:t>
            </w:r>
          </w:p>
        </w:tc>
        <w:tc>
          <w:tcPr>
            <w:tcW w:w="312" w:type="pct"/>
          </w:tcPr>
          <w:p w14:paraId="6C5BF69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F0F05D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E60225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912022D" w14:textId="77777777" w:rsidR="00CE1436" w:rsidRPr="003B78B6"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72EA5661"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2300C5DF"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4.7</w:t>
            </w:r>
          </w:p>
        </w:tc>
        <w:tc>
          <w:tcPr>
            <w:tcW w:w="393" w:type="pct"/>
            <w:vAlign w:val="center"/>
          </w:tcPr>
          <w:p w14:paraId="6FB3AE96"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788C23FE" w14:textId="77777777" w:rsidTr="00444693">
        <w:trPr>
          <w:cantSplit/>
          <w:trHeight w:val="13"/>
        </w:trPr>
        <w:tc>
          <w:tcPr>
            <w:tcW w:w="491" w:type="pct"/>
            <w:vMerge/>
            <w:tcBorders>
              <w:bottom w:val="single" w:sz="4" w:space="0" w:color="auto"/>
            </w:tcBorders>
          </w:tcPr>
          <w:p w14:paraId="666EA87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E424E5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0C49A1B" w14:textId="77777777" w:rsidR="00CE1436" w:rsidRDefault="00CE1436" w:rsidP="00444693">
            <w:pPr>
              <w:pStyle w:val="TableText"/>
              <w:widowControl w:val="0"/>
              <w:suppressAutoHyphens w:val="0"/>
              <w:spacing w:before="0" w:after="0" w:line="240" w:lineRule="auto"/>
              <w:rPr>
                <w:szCs w:val="17"/>
              </w:rPr>
            </w:pPr>
          </w:p>
        </w:tc>
        <w:tc>
          <w:tcPr>
            <w:tcW w:w="491" w:type="pct"/>
          </w:tcPr>
          <w:p w14:paraId="6158B54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32E6857"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46659065" w14:textId="77777777" w:rsidR="00CE1436" w:rsidRDefault="00CE1436" w:rsidP="00444693">
            <w:pPr>
              <w:pStyle w:val="TableText"/>
              <w:widowControl w:val="0"/>
              <w:suppressAutoHyphens w:val="0"/>
              <w:spacing w:before="0" w:after="0" w:line="240" w:lineRule="auto"/>
              <w:jc w:val="center"/>
            </w:pPr>
            <w:r>
              <w:t>1000</w:t>
            </w:r>
          </w:p>
        </w:tc>
        <w:tc>
          <w:tcPr>
            <w:tcW w:w="312" w:type="pct"/>
          </w:tcPr>
          <w:p w14:paraId="416154C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DFE00D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4738BA1"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7FC0708F"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14AB0C52"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01046EB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4.1</w:t>
            </w:r>
          </w:p>
        </w:tc>
        <w:tc>
          <w:tcPr>
            <w:tcW w:w="393" w:type="pct"/>
            <w:vAlign w:val="center"/>
          </w:tcPr>
          <w:p w14:paraId="22177264"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24581ECD" w14:textId="77777777" w:rsidTr="00444693">
        <w:trPr>
          <w:cantSplit/>
          <w:trHeight w:val="13"/>
        </w:trPr>
        <w:tc>
          <w:tcPr>
            <w:tcW w:w="491" w:type="pct"/>
            <w:vMerge/>
            <w:tcBorders>
              <w:bottom w:val="single" w:sz="4" w:space="0" w:color="auto"/>
            </w:tcBorders>
          </w:tcPr>
          <w:p w14:paraId="334DBF6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8B562E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1A13659" w14:textId="77777777" w:rsidR="00CE1436" w:rsidRDefault="00CE1436" w:rsidP="00444693">
            <w:pPr>
              <w:pStyle w:val="TableText"/>
              <w:widowControl w:val="0"/>
              <w:suppressAutoHyphens w:val="0"/>
              <w:spacing w:before="0" w:after="0" w:line="240" w:lineRule="auto"/>
              <w:rPr>
                <w:szCs w:val="17"/>
              </w:rPr>
            </w:pPr>
          </w:p>
        </w:tc>
        <w:tc>
          <w:tcPr>
            <w:tcW w:w="491" w:type="pct"/>
          </w:tcPr>
          <w:p w14:paraId="50AEF82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371F74F"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26296C11" w14:textId="77777777" w:rsidR="00CE1436" w:rsidRDefault="00CE1436" w:rsidP="00444693">
            <w:pPr>
              <w:pStyle w:val="TableText"/>
              <w:widowControl w:val="0"/>
              <w:suppressAutoHyphens w:val="0"/>
              <w:spacing w:before="0" w:after="0" w:line="240" w:lineRule="auto"/>
              <w:jc w:val="center"/>
            </w:pPr>
            <w:r>
              <w:t>850</w:t>
            </w:r>
          </w:p>
        </w:tc>
        <w:tc>
          <w:tcPr>
            <w:tcW w:w="312" w:type="pct"/>
          </w:tcPr>
          <w:p w14:paraId="1E237DE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2A1C376"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2D456B8"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70F83F2" w14:textId="77777777" w:rsidR="00CE1436"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3945B01C"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181E9C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3.5</w:t>
            </w:r>
          </w:p>
        </w:tc>
        <w:tc>
          <w:tcPr>
            <w:tcW w:w="393" w:type="pct"/>
            <w:vAlign w:val="center"/>
          </w:tcPr>
          <w:p w14:paraId="2FF35030"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1D016D1A" w14:textId="77777777" w:rsidTr="00444693">
        <w:trPr>
          <w:cantSplit/>
          <w:trHeight w:val="13"/>
        </w:trPr>
        <w:tc>
          <w:tcPr>
            <w:tcW w:w="491" w:type="pct"/>
            <w:vMerge/>
            <w:tcBorders>
              <w:bottom w:val="single" w:sz="4" w:space="0" w:color="auto"/>
            </w:tcBorders>
          </w:tcPr>
          <w:p w14:paraId="63A25E6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70BD37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BBCF584" w14:textId="77777777" w:rsidR="00CE1436" w:rsidRDefault="00CE1436" w:rsidP="00444693">
            <w:pPr>
              <w:pStyle w:val="TableText"/>
              <w:widowControl w:val="0"/>
              <w:suppressAutoHyphens w:val="0"/>
              <w:spacing w:before="0" w:after="0" w:line="240" w:lineRule="auto"/>
              <w:rPr>
                <w:szCs w:val="17"/>
              </w:rPr>
            </w:pPr>
          </w:p>
        </w:tc>
        <w:tc>
          <w:tcPr>
            <w:tcW w:w="491" w:type="pct"/>
          </w:tcPr>
          <w:p w14:paraId="2B23AF0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2FDA257"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2749A971" w14:textId="77777777" w:rsidR="00CE1436" w:rsidRDefault="00CE1436" w:rsidP="00444693">
            <w:pPr>
              <w:pStyle w:val="TableText"/>
              <w:widowControl w:val="0"/>
              <w:suppressAutoHyphens w:val="0"/>
              <w:spacing w:before="0" w:after="0" w:line="240" w:lineRule="auto"/>
              <w:jc w:val="center"/>
            </w:pPr>
            <w:r>
              <w:t>840</w:t>
            </w:r>
          </w:p>
        </w:tc>
        <w:tc>
          <w:tcPr>
            <w:tcW w:w="312" w:type="pct"/>
          </w:tcPr>
          <w:p w14:paraId="4FF6129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E350493"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42FD58B0"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C403740" w14:textId="77777777" w:rsidR="00CE1436" w:rsidRPr="003B78B6"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16944787"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5188BF2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3.5</w:t>
            </w:r>
          </w:p>
        </w:tc>
        <w:tc>
          <w:tcPr>
            <w:tcW w:w="393" w:type="pct"/>
            <w:vAlign w:val="center"/>
          </w:tcPr>
          <w:p w14:paraId="06198B4B"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7918E6F1" w14:textId="77777777" w:rsidTr="00444693">
        <w:trPr>
          <w:cantSplit/>
          <w:trHeight w:val="13"/>
        </w:trPr>
        <w:tc>
          <w:tcPr>
            <w:tcW w:w="491" w:type="pct"/>
            <w:vMerge/>
            <w:tcBorders>
              <w:bottom w:val="single" w:sz="4" w:space="0" w:color="auto"/>
            </w:tcBorders>
          </w:tcPr>
          <w:p w14:paraId="5AC3426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FD75FF5"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488FB1E" w14:textId="77777777" w:rsidR="00CE1436" w:rsidRDefault="00CE1436" w:rsidP="00444693">
            <w:pPr>
              <w:pStyle w:val="TableText"/>
              <w:widowControl w:val="0"/>
              <w:suppressAutoHyphens w:val="0"/>
              <w:spacing w:before="0" w:after="0" w:line="240" w:lineRule="auto"/>
              <w:rPr>
                <w:szCs w:val="17"/>
              </w:rPr>
            </w:pPr>
          </w:p>
        </w:tc>
        <w:tc>
          <w:tcPr>
            <w:tcW w:w="491" w:type="pct"/>
          </w:tcPr>
          <w:p w14:paraId="261681D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87F198C"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4F03FBE8" w14:textId="77777777" w:rsidR="00CE1436" w:rsidRDefault="00CE1436" w:rsidP="00444693">
            <w:pPr>
              <w:pStyle w:val="TableText"/>
              <w:widowControl w:val="0"/>
              <w:suppressAutoHyphens w:val="0"/>
              <w:spacing w:before="0" w:after="0" w:line="240" w:lineRule="auto"/>
              <w:jc w:val="center"/>
            </w:pPr>
            <w:r>
              <w:t>750</w:t>
            </w:r>
          </w:p>
        </w:tc>
        <w:tc>
          <w:tcPr>
            <w:tcW w:w="312" w:type="pct"/>
          </w:tcPr>
          <w:p w14:paraId="66E3CA4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BD3B4D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3CDC55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8198D80" w14:textId="77777777" w:rsidR="00CE1436" w:rsidRPr="003B78B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675645FC"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3C7B04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3.1</w:t>
            </w:r>
          </w:p>
        </w:tc>
        <w:tc>
          <w:tcPr>
            <w:tcW w:w="393" w:type="pct"/>
            <w:vAlign w:val="center"/>
          </w:tcPr>
          <w:p w14:paraId="4EC1BA67"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4889997C" w14:textId="77777777" w:rsidTr="00444693">
        <w:trPr>
          <w:cantSplit/>
          <w:trHeight w:val="13"/>
        </w:trPr>
        <w:tc>
          <w:tcPr>
            <w:tcW w:w="491" w:type="pct"/>
            <w:vMerge/>
            <w:tcBorders>
              <w:bottom w:val="single" w:sz="4" w:space="0" w:color="auto"/>
            </w:tcBorders>
          </w:tcPr>
          <w:p w14:paraId="4B60B07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75EF4C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0E1B342" w14:textId="77777777" w:rsidR="00CE1436" w:rsidRDefault="00CE1436" w:rsidP="00444693">
            <w:pPr>
              <w:pStyle w:val="TableText"/>
              <w:widowControl w:val="0"/>
              <w:suppressAutoHyphens w:val="0"/>
              <w:spacing w:before="0" w:after="0" w:line="240" w:lineRule="auto"/>
              <w:rPr>
                <w:szCs w:val="17"/>
              </w:rPr>
            </w:pPr>
          </w:p>
        </w:tc>
        <w:tc>
          <w:tcPr>
            <w:tcW w:w="491" w:type="pct"/>
          </w:tcPr>
          <w:p w14:paraId="1DA6EEE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828CEFE"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4099B865"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6443D78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9B031E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7775F4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98F2A5E" w14:textId="77777777" w:rsidR="00CE1436" w:rsidRDefault="00CE1436" w:rsidP="00444693">
            <w:pPr>
              <w:pStyle w:val="TableText"/>
              <w:widowControl w:val="0"/>
              <w:suppressAutoHyphens w:val="0"/>
              <w:spacing w:before="0" w:after="0" w:line="240" w:lineRule="auto"/>
              <w:jc w:val="center"/>
            </w:pPr>
            <w:r>
              <w:rPr>
                <w:color w:val="1A1B1A"/>
                <w:szCs w:val="17"/>
              </w:rPr>
              <w:t>9.4</w:t>
            </w:r>
          </w:p>
        </w:tc>
        <w:tc>
          <w:tcPr>
            <w:tcW w:w="312" w:type="pct"/>
            <w:vAlign w:val="center"/>
          </w:tcPr>
          <w:p w14:paraId="6459307D"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CA60B2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2.5</w:t>
            </w:r>
          </w:p>
        </w:tc>
        <w:tc>
          <w:tcPr>
            <w:tcW w:w="393" w:type="pct"/>
            <w:vAlign w:val="center"/>
          </w:tcPr>
          <w:p w14:paraId="19074FB5"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0B85CB18" w14:textId="77777777" w:rsidTr="00444693">
        <w:trPr>
          <w:cantSplit/>
          <w:trHeight w:val="13"/>
        </w:trPr>
        <w:tc>
          <w:tcPr>
            <w:tcW w:w="491" w:type="pct"/>
            <w:vMerge/>
            <w:tcBorders>
              <w:bottom w:val="single" w:sz="4" w:space="0" w:color="auto"/>
            </w:tcBorders>
          </w:tcPr>
          <w:p w14:paraId="61D215D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39DCE1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7F876DD" w14:textId="77777777" w:rsidR="00CE1436" w:rsidRDefault="00CE1436" w:rsidP="00444693">
            <w:pPr>
              <w:pStyle w:val="TableText"/>
              <w:widowControl w:val="0"/>
              <w:suppressAutoHyphens w:val="0"/>
              <w:spacing w:before="0" w:after="0" w:line="240" w:lineRule="auto"/>
              <w:rPr>
                <w:szCs w:val="17"/>
              </w:rPr>
            </w:pPr>
          </w:p>
        </w:tc>
        <w:tc>
          <w:tcPr>
            <w:tcW w:w="491" w:type="pct"/>
          </w:tcPr>
          <w:p w14:paraId="41F4D7B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903B894"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4ECCFBB4"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28E0FE7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A8FA992"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4692DAA"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209B49D" w14:textId="77777777" w:rsidR="00CE1436" w:rsidRPr="003B78B6" w:rsidRDefault="00CE1436" w:rsidP="00444693">
            <w:pPr>
              <w:pStyle w:val="TableText"/>
              <w:widowControl w:val="0"/>
              <w:suppressAutoHyphens w:val="0"/>
              <w:spacing w:before="0" w:after="0" w:line="240" w:lineRule="auto"/>
              <w:jc w:val="center"/>
            </w:pPr>
            <w:r>
              <w:rPr>
                <w:color w:val="1A1B1A"/>
                <w:szCs w:val="17"/>
              </w:rPr>
              <w:t>9.4</w:t>
            </w:r>
          </w:p>
        </w:tc>
        <w:tc>
          <w:tcPr>
            <w:tcW w:w="312" w:type="pct"/>
            <w:vAlign w:val="center"/>
          </w:tcPr>
          <w:p w14:paraId="2962CD6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E6F484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2.5</w:t>
            </w:r>
          </w:p>
        </w:tc>
        <w:tc>
          <w:tcPr>
            <w:tcW w:w="393" w:type="pct"/>
            <w:vAlign w:val="center"/>
          </w:tcPr>
          <w:p w14:paraId="1E35A849"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54F4BD7B" w14:textId="77777777" w:rsidTr="00444693">
        <w:trPr>
          <w:cantSplit/>
          <w:trHeight w:val="13"/>
        </w:trPr>
        <w:tc>
          <w:tcPr>
            <w:tcW w:w="491" w:type="pct"/>
            <w:vMerge/>
            <w:tcBorders>
              <w:bottom w:val="single" w:sz="4" w:space="0" w:color="auto"/>
            </w:tcBorders>
          </w:tcPr>
          <w:p w14:paraId="26CD11A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42A83B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E0BD3BB" w14:textId="77777777" w:rsidR="00CE1436" w:rsidRDefault="00CE1436" w:rsidP="00444693">
            <w:pPr>
              <w:pStyle w:val="TableText"/>
              <w:widowControl w:val="0"/>
              <w:suppressAutoHyphens w:val="0"/>
              <w:spacing w:before="0" w:after="0" w:line="240" w:lineRule="auto"/>
              <w:rPr>
                <w:szCs w:val="17"/>
              </w:rPr>
            </w:pPr>
          </w:p>
        </w:tc>
        <w:tc>
          <w:tcPr>
            <w:tcW w:w="491" w:type="pct"/>
          </w:tcPr>
          <w:p w14:paraId="76C6750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683EA41"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7DBE8452"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10E72D4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FC107C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B5481A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74000457" w14:textId="77777777" w:rsidR="00CE1436" w:rsidRPr="003B78B6" w:rsidRDefault="00CE1436" w:rsidP="00444693">
            <w:pPr>
              <w:pStyle w:val="TableText"/>
              <w:widowControl w:val="0"/>
              <w:suppressAutoHyphens w:val="0"/>
              <w:spacing w:before="0" w:after="0" w:line="240" w:lineRule="auto"/>
              <w:jc w:val="center"/>
            </w:pPr>
            <w:r>
              <w:rPr>
                <w:color w:val="1A1B1A"/>
                <w:szCs w:val="17"/>
              </w:rPr>
              <w:t>7.9</w:t>
            </w:r>
          </w:p>
        </w:tc>
        <w:tc>
          <w:tcPr>
            <w:tcW w:w="312" w:type="pct"/>
            <w:vAlign w:val="center"/>
          </w:tcPr>
          <w:p w14:paraId="3FB381D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648978F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vAlign w:val="center"/>
          </w:tcPr>
          <w:p w14:paraId="08F25D5F"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0CEF6082" w14:textId="77777777" w:rsidTr="00444693">
        <w:trPr>
          <w:cantSplit/>
          <w:trHeight w:val="13"/>
        </w:trPr>
        <w:tc>
          <w:tcPr>
            <w:tcW w:w="491" w:type="pct"/>
            <w:vMerge/>
            <w:tcBorders>
              <w:bottom w:val="single" w:sz="4" w:space="0" w:color="auto"/>
            </w:tcBorders>
          </w:tcPr>
          <w:p w14:paraId="4C160BD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4D065F6"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E44CB5" w14:textId="77777777" w:rsidR="00CE1436" w:rsidRDefault="00CE1436" w:rsidP="00444693">
            <w:pPr>
              <w:pStyle w:val="TableText"/>
              <w:widowControl w:val="0"/>
              <w:suppressAutoHyphens w:val="0"/>
              <w:spacing w:before="0" w:after="0" w:line="240" w:lineRule="auto"/>
              <w:rPr>
                <w:szCs w:val="17"/>
              </w:rPr>
            </w:pPr>
          </w:p>
        </w:tc>
        <w:tc>
          <w:tcPr>
            <w:tcW w:w="491" w:type="pct"/>
          </w:tcPr>
          <w:p w14:paraId="565F9A6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CB2B19E"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5E54B238"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7245F48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0C36F6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495CCC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1DF0DD8" w14:textId="77777777" w:rsidR="00CE1436" w:rsidRDefault="00CE1436" w:rsidP="00444693">
            <w:pPr>
              <w:pStyle w:val="TableText"/>
              <w:widowControl w:val="0"/>
              <w:suppressAutoHyphens w:val="0"/>
              <w:spacing w:before="0" w:after="0" w:line="240" w:lineRule="auto"/>
              <w:jc w:val="center"/>
            </w:pPr>
            <w:r>
              <w:rPr>
                <w:color w:val="1A1B1A"/>
                <w:szCs w:val="17"/>
              </w:rPr>
              <w:t>6.8</w:t>
            </w:r>
          </w:p>
        </w:tc>
        <w:tc>
          <w:tcPr>
            <w:tcW w:w="312" w:type="pct"/>
            <w:vAlign w:val="center"/>
          </w:tcPr>
          <w:p w14:paraId="45230B4F"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6C75A87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78CDDEF5"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6B644048" w14:textId="77777777" w:rsidTr="00444693">
        <w:trPr>
          <w:cantSplit/>
          <w:trHeight w:val="13"/>
        </w:trPr>
        <w:tc>
          <w:tcPr>
            <w:tcW w:w="491" w:type="pct"/>
            <w:vMerge/>
            <w:tcBorders>
              <w:bottom w:val="single" w:sz="4" w:space="0" w:color="auto"/>
            </w:tcBorders>
          </w:tcPr>
          <w:p w14:paraId="5656064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D3CEF8C"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5BEA872" w14:textId="77777777" w:rsidR="00CE1436" w:rsidRDefault="00CE1436" w:rsidP="00444693">
            <w:pPr>
              <w:pStyle w:val="TableText"/>
              <w:widowControl w:val="0"/>
              <w:suppressAutoHyphens w:val="0"/>
              <w:spacing w:before="0" w:after="0" w:line="240" w:lineRule="auto"/>
              <w:rPr>
                <w:szCs w:val="17"/>
              </w:rPr>
            </w:pPr>
          </w:p>
        </w:tc>
        <w:tc>
          <w:tcPr>
            <w:tcW w:w="491" w:type="pct"/>
          </w:tcPr>
          <w:p w14:paraId="5E510E6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6A28252"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036E7C21"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409CA68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4AD46C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6815A4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7B70ED51" w14:textId="77777777" w:rsidR="00CE1436" w:rsidRPr="003B78B6" w:rsidRDefault="00CE1436" w:rsidP="00444693">
            <w:pPr>
              <w:pStyle w:val="TableText"/>
              <w:widowControl w:val="0"/>
              <w:suppressAutoHyphens w:val="0"/>
              <w:spacing w:before="0" w:after="0" w:line="240" w:lineRule="auto"/>
              <w:jc w:val="center"/>
            </w:pPr>
            <w:r>
              <w:rPr>
                <w:color w:val="1A1B1A"/>
                <w:szCs w:val="17"/>
              </w:rPr>
              <w:t>6.3</w:t>
            </w:r>
          </w:p>
        </w:tc>
        <w:tc>
          <w:tcPr>
            <w:tcW w:w="312" w:type="pct"/>
            <w:vAlign w:val="center"/>
          </w:tcPr>
          <w:p w14:paraId="364D3DFA"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C4F7BE8" w14:textId="77777777" w:rsidR="00CE1436" w:rsidRPr="0027505E" w:rsidRDefault="00CE1436" w:rsidP="00444693">
            <w:pPr>
              <w:pStyle w:val="TableText"/>
              <w:widowControl w:val="0"/>
              <w:suppressAutoHyphens w:val="0"/>
              <w:spacing w:before="0" w:after="0" w:line="240" w:lineRule="auto"/>
              <w:jc w:val="center"/>
            </w:pPr>
            <w:r>
              <w:rPr>
                <w:b/>
                <w:bCs/>
                <w:color w:val="1A1B1A"/>
                <w:szCs w:val="17"/>
              </w:rPr>
              <w:t>1.7</w:t>
            </w:r>
          </w:p>
        </w:tc>
        <w:tc>
          <w:tcPr>
            <w:tcW w:w="393" w:type="pct"/>
            <w:vAlign w:val="center"/>
          </w:tcPr>
          <w:p w14:paraId="20515630"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11123EDB" w14:textId="77777777" w:rsidTr="00444693">
        <w:trPr>
          <w:cantSplit/>
          <w:trHeight w:val="13"/>
        </w:trPr>
        <w:tc>
          <w:tcPr>
            <w:tcW w:w="491" w:type="pct"/>
            <w:vMerge/>
            <w:tcBorders>
              <w:bottom w:val="single" w:sz="4" w:space="0" w:color="auto"/>
            </w:tcBorders>
          </w:tcPr>
          <w:p w14:paraId="000309F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FA2DDE5"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6274965" w14:textId="77777777" w:rsidR="00CE1436" w:rsidRDefault="00CE1436" w:rsidP="00444693">
            <w:pPr>
              <w:pStyle w:val="TableText"/>
              <w:widowControl w:val="0"/>
              <w:suppressAutoHyphens w:val="0"/>
              <w:spacing w:before="0" w:after="0" w:line="240" w:lineRule="auto"/>
              <w:rPr>
                <w:szCs w:val="17"/>
              </w:rPr>
            </w:pPr>
          </w:p>
        </w:tc>
        <w:tc>
          <w:tcPr>
            <w:tcW w:w="491" w:type="pct"/>
          </w:tcPr>
          <w:p w14:paraId="5C379FF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D018B8B"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1F533D26"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575D92A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BCEEA54"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C006911"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6CB6EC5" w14:textId="77777777" w:rsidR="00CE1436" w:rsidRPr="003B78B6" w:rsidRDefault="00CE1436" w:rsidP="00444693">
            <w:pPr>
              <w:pStyle w:val="TableText"/>
              <w:widowControl w:val="0"/>
              <w:suppressAutoHyphens w:val="0"/>
              <w:spacing w:before="0" w:after="0" w:line="240" w:lineRule="auto"/>
              <w:jc w:val="center"/>
            </w:pPr>
            <w:r>
              <w:rPr>
                <w:color w:val="1A1B1A"/>
                <w:szCs w:val="17"/>
              </w:rPr>
              <w:t>5.1</w:t>
            </w:r>
          </w:p>
        </w:tc>
        <w:tc>
          <w:tcPr>
            <w:tcW w:w="312" w:type="pct"/>
            <w:vAlign w:val="center"/>
          </w:tcPr>
          <w:p w14:paraId="45653AE1"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5790B63C" w14:textId="77777777" w:rsidR="00CE1436" w:rsidRPr="0027505E" w:rsidRDefault="00CE1436" w:rsidP="00444693">
            <w:pPr>
              <w:pStyle w:val="TableText"/>
              <w:widowControl w:val="0"/>
              <w:suppressAutoHyphens w:val="0"/>
              <w:spacing w:before="0" w:after="0" w:line="240" w:lineRule="auto"/>
              <w:jc w:val="center"/>
            </w:pPr>
            <w:r>
              <w:rPr>
                <w:b/>
                <w:bCs/>
                <w:color w:val="1A1B1A"/>
                <w:szCs w:val="17"/>
              </w:rPr>
              <w:t>1.3</w:t>
            </w:r>
          </w:p>
        </w:tc>
        <w:tc>
          <w:tcPr>
            <w:tcW w:w="393" w:type="pct"/>
            <w:vAlign w:val="center"/>
          </w:tcPr>
          <w:p w14:paraId="65ABF63C"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11329ED6" w14:textId="77777777" w:rsidTr="00444693">
        <w:trPr>
          <w:cantSplit/>
          <w:trHeight w:val="13"/>
        </w:trPr>
        <w:tc>
          <w:tcPr>
            <w:tcW w:w="491" w:type="pct"/>
            <w:vMerge/>
            <w:tcBorders>
              <w:bottom w:val="single" w:sz="4" w:space="0" w:color="auto"/>
            </w:tcBorders>
          </w:tcPr>
          <w:p w14:paraId="04020FF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E2BE16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47328B9" w14:textId="77777777" w:rsidR="00CE1436" w:rsidRDefault="00CE1436" w:rsidP="00444693">
            <w:pPr>
              <w:pStyle w:val="TableText"/>
              <w:widowControl w:val="0"/>
              <w:suppressAutoHyphens w:val="0"/>
              <w:spacing w:before="0" w:after="0" w:line="240" w:lineRule="auto"/>
              <w:rPr>
                <w:szCs w:val="17"/>
              </w:rPr>
            </w:pPr>
          </w:p>
        </w:tc>
        <w:tc>
          <w:tcPr>
            <w:tcW w:w="491" w:type="pct"/>
          </w:tcPr>
          <w:p w14:paraId="60EE282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B877667"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06D6082A" w14:textId="77777777" w:rsidR="00CE1436" w:rsidRDefault="00CE1436" w:rsidP="00444693">
            <w:pPr>
              <w:pStyle w:val="TableText"/>
              <w:widowControl w:val="0"/>
              <w:suppressAutoHyphens w:val="0"/>
              <w:spacing w:before="0" w:after="0" w:line="240" w:lineRule="auto"/>
              <w:jc w:val="center"/>
            </w:pPr>
            <w:r>
              <w:t>300</w:t>
            </w:r>
          </w:p>
        </w:tc>
        <w:tc>
          <w:tcPr>
            <w:tcW w:w="312" w:type="pct"/>
          </w:tcPr>
          <w:p w14:paraId="5C03F65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F0D7112"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1B78BBD"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978C772" w14:textId="77777777" w:rsidR="00CE1436" w:rsidRPr="003B78B6" w:rsidRDefault="00CE1436" w:rsidP="00444693">
            <w:pPr>
              <w:pStyle w:val="TableText"/>
              <w:widowControl w:val="0"/>
              <w:suppressAutoHyphens w:val="0"/>
              <w:spacing w:before="0" w:after="0" w:line="240" w:lineRule="auto"/>
              <w:jc w:val="center"/>
            </w:pPr>
            <w:r>
              <w:rPr>
                <w:color w:val="1A1B1A"/>
                <w:szCs w:val="17"/>
              </w:rPr>
              <w:t>4.7</w:t>
            </w:r>
          </w:p>
        </w:tc>
        <w:tc>
          <w:tcPr>
            <w:tcW w:w="312" w:type="pct"/>
            <w:vAlign w:val="center"/>
          </w:tcPr>
          <w:p w14:paraId="09884EF0"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D48FD97" w14:textId="77777777" w:rsidR="00CE1436" w:rsidRPr="0027505E" w:rsidRDefault="00CE1436" w:rsidP="00444693">
            <w:pPr>
              <w:pStyle w:val="TableText"/>
              <w:widowControl w:val="0"/>
              <w:suppressAutoHyphens w:val="0"/>
              <w:spacing w:before="0" w:after="0" w:line="240" w:lineRule="auto"/>
              <w:jc w:val="center"/>
            </w:pPr>
            <w:r>
              <w:rPr>
                <w:b/>
                <w:bCs/>
                <w:color w:val="1A1B1A"/>
                <w:szCs w:val="17"/>
              </w:rPr>
              <w:t>1.2</w:t>
            </w:r>
          </w:p>
        </w:tc>
        <w:tc>
          <w:tcPr>
            <w:tcW w:w="393" w:type="pct"/>
            <w:vAlign w:val="center"/>
          </w:tcPr>
          <w:p w14:paraId="043570BC"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42927833" w14:textId="77777777" w:rsidTr="00444693">
        <w:trPr>
          <w:cantSplit/>
          <w:trHeight w:val="13"/>
        </w:trPr>
        <w:tc>
          <w:tcPr>
            <w:tcW w:w="491" w:type="pct"/>
            <w:vMerge/>
            <w:tcBorders>
              <w:bottom w:val="single" w:sz="4" w:space="0" w:color="auto"/>
            </w:tcBorders>
          </w:tcPr>
          <w:p w14:paraId="5E04369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2AFC15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B99B33A" w14:textId="77777777" w:rsidR="00CE1436" w:rsidRDefault="00CE1436" w:rsidP="00444693">
            <w:pPr>
              <w:pStyle w:val="TableText"/>
              <w:widowControl w:val="0"/>
              <w:suppressAutoHyphens w:val="0"/>
              <w:spacing w:before="0" w:after="0" w:line="240" w:lineRule="auto"/>
              <w:rPr>
                <w:szCs w:val="17"/>
              </w:rPr>
            </w:pPr>
          </w:p>
        </w:tc>
        <w:tc>
          <w:tcPr>
            <w:tcW w:w="491" w:type="pct"/>
          </w:tcPr>
          <w:p w14:paraId="227D728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19EFF81"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0BBCD1A2" w14:textId="77777777" w:rsidR="00CE1436" w:rsidRDefault="00CE1436" w:rsidP="00444693">
            <w:pPr>
              <w:pStyle w:val="TableText"/>
              <w:widowControl w:val="0"/>
              <w:suppressAutoHyphens w:val="0"/>
              <w:spacing w:before="0" w:after="0" w:line="240" w:lineRule="auto"/>
              <w:jc w:val="center"/>
            </w:pPr>
            <w:r>
              <w:t>216</w:t>
            </w:r>
          </w:p>
        </w:tc>
        <w:tc>
          <w:tcPr>
            <w:tcW w:w="312" w:type="pct"/>
          </w:tcPr>
          <w:p w14:paraId="65C2D83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EECAD4F"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8C1A3E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7BA175C" w14:textId="77777777" w:rsidR="00CE1436" w:rsidRPr="003B78B6" w:rsidRDefault="00CE1436" w:rsidP="00444693">
            <w:pPr>
              <w:pStyle w:val="TableText"/>
              <w:widowControl w:val="0"/>
              <w:suppressAutoHyphens w:val="0"/>
              <w:spacing w:before="0" w:after="0" w:line="240" w:lineRule="auto"/>
              <w:jc w:val="center"/>
            </w:pPr>
            <w:r>
              <w:rPr>
                <w:color w:val="1A1B1A"/>
                <w:szCs w:val="17"/>
              </w:rPr>
              <w:t>3.4</w:t>
            </w:r>
          </w:p>
        </w:tc>
        <w:tc>
          <w:tcPr>
            <w:tcW w:w="312" w:type="pct"/>
            <w:vAlign w:val="center"/>
          </w:tcPr>
          <w:p w14:paraId="591EE59C"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15B6C90" w14:textId="77777777" w:rsidR="00CE1436" w:rsidRPr="0027505E" w:rsidRDefault="00CE1436" w:rsidP="00444693">
            <w:pPr>
              <w:pStyle w:val="TableText"/>
              <w:widowControl w:val="0"/>
              <w:suppressAutoHyphens w:val="0"/>
              <w:spacing w:before="0" w:after="0" w:line="240" w:lineRule="auto"/>
              <w:jc w:val="center"/>
            </w:pPr>
            <w:r>
              <w:rPr>
                <w:color w:val="1A1B1A"/>
                <w:szCs w:val="17"/>
              </w:rPr>
              <w:t>0.89</w:t>
            </w:r>
          </w:p>
        </w:tc>
        <w:tc>
          <w:tcPr>
            <w:tcW w:w="393" w:type="pct"/>
            <w:vAlign w:val="center"/>
          </w:tcPr>
          <w:p w14:paraId="7B609073"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7B802CFE" w14:textId="77777777" w:rsidTr="00444693">
        <w:trPr>
          <w:cantSplit/>
          <w:trHeight w:val="13"/>
        </w:trPr>
        <w:tc>
          <w:tcPr>
            <w:tcW w:w="491" w:type="pct"/>
            <w:vMerge/>
            <w:tcBorders>
              <w:bottom w:val="single" w:sz="4" w:space="0" w:color="auto"/>
            </w:tcBorders>
          </w:tcPr>
          <w:p w14:paraId="081A101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AE770AE"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BDAC3DD" w14:textId="77777777" w:rsidR="00CE1436" w:rsidRDefault="00CE1436" w:rsidP="00444693">
            <w:pPr>
              <w:pStyle w:val="TableText"/>
              <w:widowControl w:val="0"/>
              <w:suppressAutoHyphens w:val="0"/>
              <w:spacing w:before="0" w:after="0" w:line="240" w:lineRule="auto"/>
              <w:rPr>
                <w:szCs w:val="17"/>
              </w:rPr>
            </w:pPr>
          </w:p>
        </w:tc>
        <w:tc>
          <w:tcPr>
            <w:tcW w:w="491" w:type="pct"/>
          </w:tcPr>
          <w:p w14:paraId="2298CA7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A9C9850"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448C27C7" w14:textId="77777777" w:rsidR="00CE1436" w:rsidRDefault="00CE1436" w:rsidP="00444693">
            <w:pPr>
              <w:pStyle w:val="TableText"/>
              <w:widowControl w:val="0"/>
              <w:suppressAutoHyphens w:val="0"/>
              <w:spacing w:before="0" w:after="0" w:line="240" w:lineRule="auto"/>
              <w:jc w:val="center"/>
            </w:pPr>
            <w:r>
              <w:t>203</w:t>
            </w:r>
          </w:p>
        </w:tc>
        <w:tc>
          <w:tcPr>
            <w:tcW w:w="312" w:type="pct"/>
          </w:tcPr>
          <w:p w14:paraId="4FDEDAA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3771EF2"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BEB016D"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1A2B8CC" w14:textId="77777777" w:rsidR="00CE1436"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5A9829DF"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A8B3FF5" w14:textId="77777777" w:rsidR="00CE1436" w:rsidRDefault="00CE1436" w:rsidP="00444693">
            <w:pPr>
              <w:pStyle w:val="TableText"/>
              <w:widowControl w:val="0"/>
              <w:suppressAutoHyphens w:val="0"/>
              <w:spacing w:before="0" w:after="0" w:line="240" w:lineRule="auto"/>
              <w:jc w:val="center"/>
            </w:pPr>
            <w:r>
              <w:rPr>
                <w:color w:val="1A1B1A"/>
                <w:szCs w:val="17"/>
              </w:rPr>
              <w:t>0.84</w:t>
            </w:r>
          </w:p>
        </w:tc>
        <w:tc>
          <w:tcPr>
            <w:tcW w:w="393" w:type="pct"/>
            <w:vAlign w:val="center"/>
          </w:tcPr>
          <w:p w14:paraId="6B21672E"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77E8E5A8" w14:textId="77777777" w:rsidTr="00444693">
        <w:trPr>
          <w:cantSplit/>
          <w:trHeight w:val="13"/>
        </w:trPr>
        <w:tc>
          <w:tcPr>
            <w:tcW w:w="491" w:type="pct"/>
            <w:vMerge/>
            <w:tcBorders>
              <w:bottom w:val="single" w:sz="4" w:space="0" w:color="auto"/>
            </w:tcBorders>
          </w:tcPr>
          <w:p w14:paraId="7F4B120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DFF2C7E"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15AE685" w14:textId="77777777" w:rsidR="00CE1436" w:rsidRDefault="00CE1436" w:rsidP="00444693">
            <w:pPr>
              <w:pStyle w:val="TableText"/>
              <w:widowControl w:val="0"/>
              <w:suppressAutoHyphens w:val="0"/>
              <w:spacing w:before="0" w:after="0" w:line="240" w:lineRule="auto"/>
              <w:rPr>
                <w:szCs w:val="17"/>
              </w:rPr>
            </w:pPr>
          </w:p>
        </w:tc>
        <w:tc>
          <w:tcPr>
            <w:tcW w:w="491" w:type="pct"/>
          </w:tcPr>
          <w:p w14:paraId="574A42D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6F26F91"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2DAF027E"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2DFF561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795B027"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493AA2E"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FF44A4E" w14:textId="77777777" w:rsidR="00CE1436"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49D35087"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4AC51BBE" w14:textId="77777777" w:rsidR="00CE1436" w:rsidRDefault="00CE1436" w:rsidP="00444693">
            <w:pPr>
              <w:pStyle w:val="TableText"/>
              <w:widowControl w:val="0"/>
              <w:suppressAutoHyphens w:val="0"/>
              <w:spacing w:before="0" w:after="0" w:line="240" w:lineRule="auto"/>
              <w:jc w:val="center"/>
            </w:pPr>
            <w:r>
              <w:rPr>
                <w:color w:val="1A1B1A"/>
                <w:szCs w:val="17"/>
              </w:rPr>
              <w:t>0.83</w:t>
            </w:r>
          </w:p>
        </w:tc>
        <w:tc>
          <w:tcPr>
            <w:tcW w:w="393" w:type="pct"/>
            <w:vAlign w:val="center"/>
          </w:tcPr>
          <w:p w14:paraId="06C6138E"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11FE11AD" w14:textId="77777777" w:rsidTr="00444693">
        <w:trPr>
          <w:cantSplit/>
          <w:trHeight w:val="13"/>
        </w:trPr>
        <w:tc>
          <w:tcPr>
            <w:tcW w:w="491" w:type="pct"/>
            <w:vMerge/>
            <w:tcBorders>
              <w:bottom w:val="single" w:sz="4" w:space="0" w:color="auto"/>
            </w:tcBorders>
          </w:tcPr>
          <w:p w14:paraId="3CBF4B4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1B7B65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FDAEF63" w14:textId="77777777" w:rsidR="00CE1436" w:rsidRDefault="00CE1436" w:rsidP="00444693">
            <w:pPr>
              <w:pStyle w:val="TableText"/>
              <w:widowControl w:val="0"/>
              <w:suppressAutoHyphens w:val="0"/>
              <w:spacing w:before="0" w:after="0" w:line="240" w:lineRule="auto"/>
              <w:rPr>
                <w:szCs w:val="17"/>
              </w:rPr>
            </w:pPr>
          </w:p>
        </w:tc>
        <w:tc>
          <w:tcPr>
            <w:tcW w:w="491" w:type="pct"/>
          </w:tcPr>
          <w:p w14:paraId="1D1E834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69E29BC"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6CB3D1F5"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498A9AD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563073D"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319A6E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A248313"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5C5283F"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07A5E982" w14:textId="77777777" w:rsidR="00CE1436" w:rsidRDefault="00CE1436" w:rsidP="00444693">
            <w:pPr>
              <w:pStyle w:val="TableText"/>
              <w:widowControl w:val="0"/>
              <w:suppressAutoHyphens w:val="0"/>
              <w:spacing w:before="0" w:after="0" w:line="240" w:lineRule="auto"/>
              <w:jc w:val="center"/>
            </w:pPr>
            <w:r>
              <w:rPr>
                <w:color w:val="1A1B1A"/>
                <w:szCs w:val="17"/>
              </w:rPr>
              <w:t>0.72</w:t>
            </w:r>
          </w:p>
        </w:tc>
        <w:tc>
          <w:tcPr>
            <w:tcW w:w="393" w:type="pct"/>
            <w:vAlign w:val="center"/>
          </w:tcPr>
          <w:p w14:paraId="02FBD3EE"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71D7E19A" w14:textId="77777777" w:rsidTr="00444693">
        <w:trPr>
          <w:cantSplit/>
          <w:trHeight w:val="13"/>
        </w:trPr>
        <w:tc>
          <w:tcPr>
            <w:tcW w:w="491" w:type="pct"/>
            <w:vMerge/>
            <w:tcBorders>
              <w:bottom w:val="single" w:sz="4" w:space="0" w:color="auto"/>
            </w:tcBorders>
          </w:tcPr>
          <w:p w14:paraId="5AF8E6E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9BE05B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9EE8F0E" w14:textId="77777777" w:rsidR="00CE1436" w:rsidRDefault="00CE1436" w:rsidP="00444693">
            <w:pPr>
              <w:pStyle w:val="TableText"/>
              <w:widowControl w:val="0"/>
              <w:suppressAutoHyphens w:val="0"/>
              <w:spacing w:before="0" w:after="0" w:line="240" w:lineRule="auto"/>
              <w:rPr>
                <w:szCs w:val="17"/>
              </w:rPr>
            </w:pPr>
          </w:p>
        </w:tc>
        <w:tc>
          <w:tcPr>
            <w:tcW w:w="491" w:type="pct"/>
          </w:tcPr>
          <w:p w14:paraId="3FF2E7C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4B36389"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50FE6439" w14:textId="77777777" w:rsidR="00CE1436" w:rsidRDefault="00CE1436" w:rsidP="00444693">
            <w:pPr>
              <w:pStyle w:val="TableText"/>
              <w:widowControl w:val="0"/>
              <w:suppressAutoHyphens w:val="0"/>
              <w:spacing w:before="0" w:after="0" w:line="240" w:lineRule="auto"/>
              <w:jc w:val="center"/>
            </w:pPr>
            <w:r>
              <w:t>165</w:t>
            </w:r>
          </w:p>
        </w:tc>
        <w:tc>
          <w:tcPr>
            <w:tcW w:w="312" w:type="pct"/>
          </w:tcPr>
          <w:p w14:paraId="4A57B64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1F9686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8276613"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A83D041" w14:textId="77777777" w:rsidR="00CE1436" w:rsidRPr="003B78B6"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4DD9101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B4A872A" w14:textId="77777777" w:rsidR="00CE1436" w:rsidRPr="0027505E" w:rsidRDefault="00CE1436" w:rsidP="00444693">
            <w:pPr>
              <w:pStyle w:val="TableText"/>
              <w:widowControl w:val="0"/>
              <w:suppressAutoHyphens w:val="0"/>
              <w:spacing w:before="0" w:after="0" w:line="240" w:lineRule="auto"/>
              <w:jc w:val="center"/>
            </w:pPr>
            <w:r>
              <w:rPr>
                <w:color w:val="1A1B1A"/>
                <w:szCs w:val="17"/>
              </w:rPr>
              <w:t>0.68</w:t>
            </w:r>
          </w:p>
        </w:tc>
        <w:tc>
          <w:tcPr>
            <w:tcW w:w="393" w:type="pct"/>
            <w:vAlign w:val="center"/>
          </w:tcPr>
          <w:p w14:paraId="15301D11"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5E74A868" w14:textId="77777777" w:rsidTr="00444693">
        <w:trPr>
          <w:cantSplit/>
          <w:trHeight w:val="13"/>
        </w:trPr>
        <w:tc>
          <w:tcPr>
            <w:tcW w:w="491" w:type="pct"/>
            <w:vMerge/>
            <w:tcBorders>
              <w:bottom w:val="single" w:sz="4" w:space="0" w:color="auto"/>
            </w:tcBorders>
          </w:tcPr>
          <w:p w14:paraId="01F6B54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09520A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412D242" w14:textId="77777777" w:rsidR="00CE1436" w:rsidRDefault="00CE1436" w:rsidP="00444693">
            <w:pPr>
              <w:pStyle w:val="TableText"/>
              <w:widowControl w:val="0"/>
              <w:suppressAutoHyphens w:val="0"/>
              <w:spacing w:before="0" w:after="0" w:line="240" w:lineRule="auto"/>
              <w:rPr>
                <w:szCs w:val="17"/>
              </w:rPr>
            </w:pPr>
          </w:p>
        </w:tc>
        <w:tc>
          <w:tcPr>
            <w:tcW w:w="491" w:type="pct"/>
          </w:tcPr>
          <w:p w14:paraId="0118F6E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5C40BD4"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3D0681AF" w14:textId="77777777" w:rsidR="00CE1436" w:rsidRDefault="00CE1436" w:rsidP="00444693">
            <w:pPr>
              <w:pStyle w:val="TableText"/>
              <w:widowControl w:val="0"/>
              <w:suppressAutoHyphens w:val="0"/>
              <w:spacing w:before="0" w:after="0" w:line="240" w:lineRule="auto"/>
              <w:jc w:val="center"/>
            </w:pPr>
            <w:r>
              <w:t>160</w:t>
            </w:r>
          </w:p>
        </w:tc>
        <w:tc>
          <w:tcPr>
            <w:tcW w:w="312" w:type="pct"/>
          </w:tcPr>
          <w:p w14:paraId="3DA9E85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A427226"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221E5E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97DE7C6" w14:textId="77777777" w:rsidR="00CE1436" w:rsidRPr="003B78B6" w:rsidRDefault="00CE1436" w:rsidP="00444693">
            <w:pPr>
              <w:pStyle w:val="TableText"/>
              <w:widowControl w:val="0"/>
              <w:suppressAutoHyphens w:val="0"/>
              <w:spacing w:before="0" w:after="0" w:line="240" w:lineRule="auto"/>
              <w:jc w:val="center"/>
            </w:pPr>
            <w:r>
              <w:rPr>
                <w:color w:val="1A1B1A"/>
                <w:szCs w:val="17"/>
              </w:rPr>
              <w:t>2.5</w:t>
            </w:r>
          </w:p>
        </w:tc>
        <w:tc>
          <w:tcPr>
            <w:tcW w:w="312" w:type="pct"/>
            <w:vAlign w:val="center"/>
          </w:tcPr>
          <w:p w14:paraId="3E315F6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0725253F" w14:textId="77777777" w:rsidR="00CE1436" w:rsidRPr="0027505E" w:rsidRDefault="00CE1436" w:rsidP="00444693">
            <w:pPr>
              <w:pStyle w:val="TableText"/>
              <w:widowControl w:val="0"/>
              <w:suppressAutoHyphens w:val="0"/>
              <w:spacing w:before="0" w:after="0" w:line="240" w:lineRule="auto"/>
              <w:jc w:val="center"/>
            </w:pPr>
            <w:r>
              <w:rPr>
                <w:color w:val="1A1B1A"/>
                <w:szCs w:val="17"/>
              </w:rPr>
              <w:t>0.66</w:t>
            </w:r>
          </w:p>
        </w:tc>
        <w:tc>
          <w:tcPr>
            <w:tcW w:w="393" w:type="pct"/>
            <w:vAlign w:val="center"/>
          </w:tcPr>
          <w:p w14:paraId="371291EB"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0984002E" w14:textId="77777777" w:rsidTr="00444693">
        <w:trPr>
          <w:cantSplit/>
          <w:trHeight w:val="13"/>
        </w:trPr>
        <w:tc>
          <w:tcPr>
            <w:tcW w:w="491" w:type="pct"/>
            <w:vMerge/>
            <w:tcBorders>
              <w:bottom w:val="single" w:sz="4" w:space="0" w:color="auto"/>
            </w:tcBorders>
          </w:tcPr>
          <w:p w14:paraId="3C6D74E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E2B651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1D1F7A6" w14:textId="77777777" w:rsidR="00CE1436" w:rsidRDefault="00CE1436" w:rsidP="00444693">
            <w:pPr>
              <w:pStyle w:val="TableText"/>
              <w:widowControl w:val="0"/>
              <w:suppressAutoHyphens w:val="0"/>
              <w:spacing w:before="0" w:after="0" w:line="240" w:lineRule="auto"/>
              <w:rPr>
                <w:szCs w:val="17"/>
              </w:rPr>
            </w:pPr>
          </w:p>
        </w:tc>
        <w:tc>
          <w:tcPr>
            <w:tcW w:w="491" w:type="pct"/>
          </w:tcPr>
          <w:p w14:paraId="1F16826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D95A739" w14:textId="77777777" w:rsidR="00CE1436"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313D0E93" w14:textId="77777777" w:rsidR="00CE1436" w:rsidRDefault="00CE1436" w:rsidP="00444693">
            <w:pPr>
              <w:pStyle w:val="TableText"/>
              <w:widowControl w:val="0"/>
              <w:suppressAutoHyphens w:val="0"/>
              <w:spacing w:before="0" w:after="0" w:line="240" w:lineRule="auto"/>
              <w:jc w:val="center"/>
            </w:pPr>
            <w:r>
              <w:t>150</w:t>
            </w:r>
          </w:p>
        </w:tc>
        <w:tc>
          <w:tcPr>
            <w:tcW w:w="312" w:type="pct"/>
          </w:tcPr>
          <w:p w14:paraId="0E64E13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F20BD37"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3607D6B3"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5C46432" w14:textId="77777777" w:rsidR="00CE1436" w:rsidRDefault="00CE1436" w:rsidP="00444693">
            <w:pPr>
              <w:pStyle w:val="TableText"/>
              <w:widowControl w:val="0"/>
              <w:suppressAutoHyphens w:val="0"/>
              <w:spacing w:before="0" w:after="0" w:line="240" w:lineRule="auto"/>
              <w:jc w:val="center"/>
            </w:pPr>
            <w:r>
              <w:rPr>
                <w:color w:val="1A1B1A"/>
                <w:szCs w:val="17"/>
              </w:rPr>
              <w:t>2.4</w:t>
            </w:r>
          </w:p>
        </w:tc>
        <w:tc>
          <w:tcPr>
            <w:tcW w:w="312" w:type="pct"/>
            <w:vAlign w:val="center"/>
          </w:tcPr>
          <w:p w14:paraId="3A44C3D5"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7B198AE8" w14:textId="77777777" w:rsidR="00CE1436" w:rsidRDefault="00CE1436" w:rsidP="00444693">
            <w:pPr>
              <w:pStyle w:val="TableText"/>
              <w:widowControl w:val="0"/>
              <w:suppressAutoHyphens w:val="0"/>
              <w:spacing w:before="0" w:after="0" w:line="240" w:lineRule="auto"/>
              <w:jc w:val="center"/>
            </w:pPr>
            <w:r>
              <w:rPr>
                <w:color w:val="1A1B1A"/>
                <w:szCs w:val="17"/>
              </w:rPr>
              <w:t>0.62</w:t>
            </w:r>
          </w:p>
        </w:tc>
        <w:tc>
          <w:tcPr>
            <w:tcW w:w="393" w:type="pct"/>
            <w:vAlign w:val="center"/>
          </w:tcPr>
          <w:p w14:paraId="1DF2DFE4"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69C2F4EC" w14:textId="77777777" w:rsidTr="00444693">
        <w:trPr>
          <w:cantSplit/>
          <w:trHeight w:val="13"/>
        </w:trPr>
        <w:tc>
          <w:tcPr>
            <w:tcW w:w="491" w:type="pct"/>
            <w:vMerge/>
            <w:tcBorders>
              <w:bottom w:val="single" w:sz="4" w:space="0" w:color="auto"/>
            </w:tcBorders>
          </w:tcPr>
          <w:p w14:paraId="280789B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43B7412"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7E0A5AA" w14:textId="77777777" w:rsidR="00CE1436" w:rsidRDefault="00CE1436" w:rsidP="00444693">
            <w:pPr>
              <w:pStyle w:val="TableText"/>
              <w:widowControl w:val="0"/>
              <w:suppressAutoHyphens w:val="0"/>
              <w:spacing w:before="0" w:after="0" w:line="240" w:lineRule="auto"/>
              <w:rPr>
                <w:szCs w:val="17"/>
              </w:rPr>
            </w:pPr>
          </w:p>
        </w:tc>
        <w:tc>
          <w:tcPr>
            <w:tcW w:w="491" w:type="pct"/>
          </w:tcPr>
          <w:p w14:paraId="40403D6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B807FAA"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0BAEA881" w14:textId="77777777" w:rsidR="00CE1436" w:rsidRDefault="00CE1436" w:rsidP="00444693">
            <w:pPr>
              <w:pStyle w:val="TableText"/>
              <w:widowControl w:val="0"/>
              <w:suppressAutoHyphens w:val="0"/>
              <w:spacing w:before="0" w:after="0" w:line="240" w:lineRule="auto"/>
              <w:jc w:val="center"/>
            </w:pPr>
            <w:r>
              <w:t>108</w:t>
            </w:r>
          </w:p>
        </w:tc>
        <w:tc>
          <w:tcPr>
            <w:tcW w:w="312" w:type="pct"/>
          </w:tcPr>
          <w:p w14:paraId="46830733"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BB7FB0E"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4C27258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4D74C91" w14:textId="77777777" w:rsidR="00CE1436" w:rsidRPr="003B78B6"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22A103B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61816F7" w14:textId="77777777" w:rsidR="00CE1436" w:rsidRPr="0027505E" w:rsidRDefault="00CE1436" w:rsidP="00444693">
            <w:pPr>
              <w:pStyle w:val="TableText"/>
              <w:widowControl w:val="0"/>
              <w:suppressAutoHyphens w:val="0"/>
              <w:spacing w:before="0" w:after="0" w:line="240" w:lineRule="auto"/>
              <w:jc w:val="center"/>
            </w:pPr>
            <w:r>
              <w:rPr>
                <w:color w:val="1A1B1A"/>
                <w:szCs w:val="17"/>
              </w:rPr>
              <w:t>0.45</w:t>
            </w:r>
          </w:p>
        </w:tc>
        <w:tc>
          <w:tcPr>
            <w:tcW w:w="393" w:type="pct"/>
            <w:vAlign w:val="center"/>
          </w:tcPr>
          <w:p w14:paraId="3535BDE6"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7E1A968A" w14:textId="77777777" w:rsidTr="00444693">
        <w:trPr>
          <w:cantSplit/>
          <w:trHeight w:val="13"/>
        </w:trPr>
        <w:tc>
          <w:tcPr>
            <w:tcW w:w="491" w:type="pct"/>
            <w:vMerge/>
            <w:tcBorders>
              <w:bottom w:val="single" w:sz="4" w:space="0" w:color="auto"/>
            </w:tcBorders>
          </w:tcPr>
          <w:p w14:paraId="773AEFC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B0E852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71728C5" w14:textId="77777777" w:rsidR="00CE1436" w:rsidRDefault="00CE1436" w:rsidP="00444693">
            <w:pPr>
              <w:pStyle w:val="TableText"/>
              <w:widowControl w:val="0"/>
              <w:suppressAutoHyphens w:val="0"/>
              <w:spacing w:before="0" w:after="0" w:line="240" w:lineRule="auto"/>
              <w:rPr>
                <w:szCs w:val="17"/>
              </w:rPr>
            </w:pPr>
          </w:p>
        </w:tc>
        <w:tc>
          <w:tcPr>
            <w:tcW w:w="491" w:type="pct"/>
          </w:tcPr>
          <w:p w14:paraId="7E83F43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73CDC57" w14:textId="77777777" w:rsidR="00CE1436" w:rsidRPr="001939BD" w:rsidRDefault="00CE1436" w:rsidP="00444693">
            <w:pPr>
              <w:pStyle w:val="TableText"/>
              <w:widowControl w:val="0"/>
              <w:suppressAutoHyphens w:val="0"/>
              <w:spacing w:before="0" w:after="0" w:line="240" w:lineRule="auto"/>
              <w:jc w:val="center"/>
            </w:pPr>
            <w:r w:rsidRPr="00D41C7E">
              <w:t>59.3</w:t>
            </w:r>
            <w:r w:rsidRPr="00D41C7E">
              <w:rPr>
                <w:vertAlign w:val="superscript"/>
              </w:rPr>
              <w:t>a</w:t>
            </w:r>
          </w:p>
        </w:tc>
        <w:tc>
          <w:tcPr>
            <w:tcW w:w="311" w:type="pct"/>
          </w:tcPr>
          <w:p w14:paraId="64DDC0E8" w14:textId="77777777" w:rsidR="00CE1436" w:rsidRDefault="00CE1436" w:rsidP="00444693">
            <w:pPr>
              <w:pStyle w:val="TableText"/>
              <w:widowControl w:val="0"/>
              <w:suppressAutoHyphens w:val="0"/>
              <w:spacing w:before="0" w:after="0" w:line="240" w:lineRule="auto"/>
              <w:jc w:val="center"/>
            </w:pPr>
            <w:r>
              <w:t>100</w:t>
            </w:r>
          </w:p>
        </w:tc>
        <w:tc>
          <w:tcPr>
            <w:tcW w:w="312" w:type="pct"/>
          </w:tcPr>
          <w:p w14:paraId="2A3E732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8D5589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BB4917D"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93E5330"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370A05C5"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68C2C4A" w14:textId="77777777" w:rsidR="00CE1436" w:rsidRPr="0027505E" w:rsidRDefault="00CE1436" w:rsidP="00444693">
            <w:pPr>
              <w:pStyle w:val="TableText"/>
              <w:widowControl w:val="0"/>
              <w:suppressAutoHyphens w:val="0"/>
              <w:spacing w:before="0" w:after="0" w:line="240" w:lineRule="auto"/>
              <w:jc w:val="center"/>
            </w:pPr>
            <w:r>
              <w:rPr>
                <w:color w:val="1A1B1A"/>
                <w:szCs w:val="17"/>
              </w:rPr>
              <w:t>0.41</w:t>
            </w:r>
          </w:p>
        </w:tc>
        <w:tc>
          <w:tcPr>
            <w:tcW w:w="393" w:type="pct"/>
            <w:vAlign w:val="center"/>
          </w:tcPr>
          <w:p w14:paraId="1A8BBE92"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3959D9DA" w14:textId="77777777" w:rsidTr="00444693">
        <w:trPr>
          <w:cantSplit/>
          <w:trHeight w:val="13"/>
        </w:trPr>
        <w:tc>
          <w:tcPr>
            <w:tcW w:w="491" w:type="pct"/>
            <w:vMerge/>
            <w:tcBorders>
              <w:bottom w:val="single" w:sz="4" w:space="0" w:color="auto"/>
            </w:tcBorders>
          </w:tcPr>
          <w:p w14:paraId="5D0E327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4B36663"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16BA54D"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49B163CC"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354E6772" w14:textId="77777777" w:rsidR="00CE1436" w:rsidRDefault="00CE1436" w:rsidP="00444693">
            <w:pPr>
              <w:pStyle w:val="TableText"/>
              <w:widowControl w:val="0"/>
              <w:suppressAutoHyphens w:val="0"/>
              <w:spacing w:before="0" w:after="0" w:line="240" w:lineRule="auto"/>
              <w:jc w:val="center"/>
            </w:pPr>
            <w:r w:rsidRPr="001939BD">
              <w:t>59.3</w:t>
            </w:r>
            <w:r w:rsidRPr="001939BD">
              <w:rPr>
                <w:vertAlign w:val="superscript"/>
              </w:rPr>
              <w:t>a</w:t>
            </w:r>
          </w:p>
        </w:tc>
        <w:tc>
          <w:tcPr>
            <w:tcW w:w="311" w:type="pct"/>
            <w:tcBorders>
              <w:bottom w:val="single" w:sz="4" w:space="0" w:color="auto"/>
            </w:tcBorders>
          </w:tcPr>
          <w:p w14:paraId="1BE34E31" w14:textId="77777777" w:rsidR="00CE1436" w:rsidRDefault="00CE1436" w:rsidP="00444693">
            <w:pPr>
              <w:pStyle w:val="TableText"/>
              <w:widowControl w:val="0"/>
              <w:suppressAutoHyphens w:val="0"/>
              <w:spacing w:before="0" w:after="0" w:line="240" w:lineRule="auto"/>
              <w:jc w:val="center"/>
            </w:pPr>
            <w:r>
              <w:t>75</w:t>
            </w:r>
          </w:p>
        </w:tc>
        <w:tc>
          <w:tcPr>
            <w:tcW w:w="312" w:type="pct"/>
            <w:tcBorders>
              <w:bottom w:val="single" w:sz="4" w:space="0" w:color="auto"/>
            </w:tcBorders>
          </w:tcPr>
          <w:p w14:paraId="7A3B761A"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562ECE83" w14:textId="77777777" w:rsidR="00CE1436" w:rsidRDefault="00CE1436" w:rsidP="00444693">
            <w:pPr>
              <w:pStyle w:val="TableText"/>
              <w:widowControl w:val="0"/>
              <w:suppressAutoHyphens w:val="0"/>
              <w:spacing w:before="0" w:after="0" w:line="240" w:lineRule="auto"/>
              <w:jc w:val="center"/>
            </w:pPr>
            <w:r>
              <w:t>0.5</w:t>
            </w:r>
          </w:p>
        </w:tc>
        <w:tc>
          <w:tcPr>
            <w:tcW w:w="312" w:type="pct"/>
            <w:tcBorders>
              <w:bottom w:val="single" w:sz="4" w:space="0" w:color="auto"/>
            </w:tcBorders>
          </w:tcPr>
          <w:p w14:paraId="5CB55639" w14:textId="77777777" w:rsidR="00CE1436" w:rsidRDefault="00CE1436" w:rsidP="00444693">
            <w:pPr>
              <w:pStyle w:val="TableText"/>
              <w:widowControl w:val="0"/>
              <w:suppressAutoHyphens w:val="0"/>
              <w:spacing w:before="0" w:after="0" w:line="240" w:lineRule="auto"/>
              <w:jc w:val="center"/>
            </w:pPr>
            <w:r>
              <w:t>0.53</w:t>
            </w:r>
          </w:p>
        </w:tc>
        <w:tc>
          <w:tcPr>
            <w:tcW w:w="311" w:type="pct"/>
            <w:tcBorders>
              <w:bottom w:val="single" w:sz="4" w:space="0" w:color="auto"/>
            </w:tcBorders>
            <w:vAlign w:val="center"/>
          </w:tcPr>
          <w:p w14:paraId="33B9B25B" w14:textId="77777777" w:rsidR="00CE1436" w:rsidRDefault="00CE1436" w:rsidP="00444693">
            <w:pPr>
              <w:pStyle w:val="TableText"/>
              <w:widowControl w:val="0"/>
              <w:suppressAutoHyphens w:val="0"/>
              <w:spacing w:before="0" w:after="0" w:line="240" w:lineRule="auto"/>
              <w:jc w:val="center"/>
            </w:pPr>
            <w:r>
              <w:rPr>
                <w:color w:val="1A1B1A"/>
                <w:szCs w:val="17"/>
              </w:rPr>
              <w:t>1.2</w:t>
            </w:r>
          </w:p>
        </w:tc>
        <w:tc>
          <w:tcPr>
            <w:tcW w:w="312" w:type="pct"/>
            <w:tcBorders>
              <w:bottom w:val="single" w:sz="4" w:space="0" w:color="auto"/>
            </w:tcBorders>
            <w:vAlign w:val="center"/>
          </w:tcPr>
          <w:p w14:paraId="75FC2B3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6613CFB9" w14:textId="77777777" w:rsidR="00CE1436" w:rsidRDefault="00CE1436" w:rsidP="00444693">
            <w:pPr>
              <w:pStyle w:val="TableText"/>
              <w:widowControl w:val="0"/>
              <w:suppressAutoHyphens w:val="0"/>
              <w:spacing w:before="0" w:after="0" w:line="240" w:lineRule="auto"/>
              <w:jc w:val="center"/>
            </w:pPr>
            <w:r>
              <w:rPr>
                <w:color w:val="1A1B1A"/>
                <w:szCs w:val="17"/>
              </w:rPr>
              <w:t>0.31</w:t>
            </w:r>
          </w:p>
        </w:tc>
        <w:tc>
          <w:tcPr>
            <w:tcW w:w="393" w:type="pct"/>
            <w:tcBorders>
              <w:bottom w:val="single" w:sz="4" w:space="0" w:color="auto"/>
            </w:tcBorders>
            <w:vAlign w:val="center"/>
          </w:tcPr>
          <w:p w14:paraId="2114E31F"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628666C5" w14:textId="77777777" w:rsidTr="00444693">
        <w:trPr>
          <w:cantSplit/>
          <w:trHeight w:val="13"/>
        </w:trPr>
        <w:tc>
          <w:tcPr>
            <w:tcW w:w="491" w:type="pct"/>
            <w:vMerge/>
            <w:tcBorders>
              <w:bottom w:val="single" w:sz="4" w:space="0" w:color="auto"/>
            </w:tcBorders>
          </w:tcPr>
          <w:p w14:paraId="470765DF"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01DC0883" w14:textId="77777777" w:rsidR="00CE1436" w:rsidRPr="00336DF4" w:rsidRDefault="00CE1436" w:rsidP="00444693">
            <w:pPr>
              <w:pStyle w:val="TableText"/>
              <w:widowControl w:val="0"/>
              <w:suppressAutoHyphens w:val="0"/>
              <w:spacing w:before="0" w:after="0" w:line="240" w:lineRule="auto"/>
              <w:rPr>
                <w:szCs w:val="17"/>
              </w:rPr>
            </w:pPr>
            <w:r>
              <w:rPr>
                <w:szCs w:val="17"/>
              </w:rPr>
              <w:t>Large herbivore</w:t>
            </w:r>
          </w:p>
        </w:tc>
        <w:tc>
          <w:tcPr>
            <w:tcW w:w="477" w:type="pct"/>
            <w:vMerge w:val="restart"/>
            <w:tcBorders>
              <w:bottom w:val="single" w:sz="4" w:space="0" w:color="auto"/>
            </w:tcBorders>
          </w:tcPr>
          <w:p w14:paraId="713F3DAA" w14:textId="77777777" w:rsidR="00CE1436" w:rsidRDefault="00CE1436" w:rsidP="00444693">
            <w:pPr>
              <w:pStyle w:val="TableText"/>
              <w:widowControl w:val="0"/>
              <w:suppressAutoHyphens w:val="0"/>
              <w:spacing w:before="0" w:after="0" w:line="240" w:lineRule="auto"/>
              <w:rPr>
                <w:szCs w:val="17"/>
              </w:rPr>
            </w:pPr>
            <w:r>
              <w:rPr>
                <w:szCs w:val="17"/>
              </w:rPr>
              <w:t>All season</w:t>
            </w:r>
          </w:p>
        </w:tc>
        <w:tc>
          <w:tcPr>
            <w:tcW w:w="491" w:type="pct"/>
            <w:tcBorders>
              <w:top w:val="single" w:sz="4" w:space="0" w:color="auto"/>
            </w:tcBorders>
          </w:tcPr>
          <w:p w14:paraId="222D85D1" w14:textId="77777777" w:rsidR="00CE1436" w:rsidRDefault="00CE1436" w:rsidP="00444693">
            <w:pPr>
              <w:pStyle w:val="TableText"/>
              <w:widowControl w:val="0"/>
              <w:suppressAutoHyphens w:val="0"/>
              <w:spacing w:before="0" w:after="0" w:line="240" w:lineRule="auto"/>
              <w:jc w:val="center"/>
            </w:pPr>
            <w:r>
              <w:t>Chronic</w:t>
            </w:r>
          </w:p>
        </w:tc>
        <w:tc>
          <w:tcPr>
            <w:tcW w:w="449" w:type="pct"/>
            <w:tcBorders>
              <w:top w:val="single" w:sz="4" w:space="0" w:color="auto"/>
            </w:tcBorders>
            <w:shd w:val="clear" w:color="auto" w:fill="D5D7D5" w:themeFill="text1" w:themeFillTint="33"/>
          </w:tcPr>
          <w:p w14:paraId="4773726D"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Borders>
              <w:top w:val="single" w:sz="4" w:space="0" w:color="auto"/>
            </w:tcBorders>
          </w:tcPr>
          <w:p w14:paraId="32F98EB9" w14:textId="77777777" w:rsidR="00CE1436" w:rsidRDefault="00CE1436" w:rsidP="00444693">
            <w:pPr>
              <w:pStyle w:val="TableText"/>
              <w:widowControl w:val="0"/>
              <w:suppressAutoHyphens w:val="0"/>
              <w:spacing w:before="0" w:after="0" w:line="240" w:lineRule="auto"/>
              <w:jc w:val="center"/>
            </w:pPr>
            <w:r>
              <w:t>1140</w:t>
            </w:r>
          </w:p>
        </w:tc>
        <w:tc>
          <w:tcPr>
            <w:tcW w:w="312" w:type="pct"/>
            <w:tcBorders>
              <w:top w:val="single" w:sz="4" w:space="0" w:color="auto"/>
            </w:tcBorders>
          </w:tcPr>
          <w:p w14:paraId="2AE521DB"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33508F73" w14:textId="77777777" w:rsidR="00CE1436" w:rsidRDefault="00CE1436" w:rsidP="00444693">
            <w:pPr>
              <w:pStyle w:val="TableText"/>
              <w:widowControl w:val="0"/>
              <w:suppressAutoHyphens w:val="0"/>
              <w:spacing w:before="0" w:after="0" w:line="240" w:lineRule="auto"/>
              <w:jc w:val="center"/>
            </w:pPr>
            <w:r>
              <w:t>0.5</w:t>
            </w:r>
          </w:p>
        </w:tc>
        <w:tc>
          <w:tcPr>
            <w:tcW w:w="312" w:type="pct"/>
            <w:tcBorders>
              <w:top w:val="single" w:sz="4" w:space="0" w:color="auto"/>
            </w:tcBorders>
          </w:tcPr>
          <w:p w14:paraId="349BEDCB" w14:textId="77777777" w:rsidR="00CE1436" w:rsidRDefault="00CE1436" w:rsidP="00444693">
            <w:pPr>
              <w:pStyle w:val="TableText"/>
              <w:widowControl w:val="0"/>
              <w:suppressAutoHyphens w:val="0"/>
              <w:spacing w:before="0" w:after="0" w:line="240" w:lineRule="auto"/>
              <w:jc w:val="center"/>
            </w:pPr>
            <w:r>
              <w:t>0.53</w:t>
            </w:r>
          </w:p>
        </w:tc>
        <w:tc>
          <w:tcPr>
            <w:tcW w:w="311" w:type="pct"/>
            <w:tcBorders>
              <w:top w:val="single" w:sz="4" w:space="0" w:color="auto"/>
            </w:tcBorders>
            <w:vAlign w:val="center"/>
          </w:tcPr>
          <w:p w14:paraId="5CFE555E" w14:textId="77777777" w:rsidR="00CE1436" w:rsidRDefault="00CE1436" w:rsidP="00444693">
            <w:pPr>
              <w:pStyle w:val="TableText"/>
              <w:widowControl w:val="0"/>
              <w:suppressAutoHyphens w:val="0"/>
              <w:spacing w:before="0" w:after="0" w:line="240" w:lineRule="auto"/>
              <w:jc w:val="center"/>
            </w:pPr>
            <w:r>
              <w:rPr>
                <w:color w:val="1A1B1A"/>
                <w:szCs w:val="17"/>
              </w:rPr>
              <w:t>4.3</w:t>
            </w:r>
          </w:p>
        </w:tc>
        <w:tc>
          <w:tcPr>
            <w:tcW w:w="312" w:type="pct"/>
            <w:tcBorders>
              <w:top w:val="single" w:sz="4" w:space="0" w:color="auto"/>
            </w:tcBorders>
            <w:vAlign w:val="center"/>
          </w:tcPr>
          <w:p w14:paraId="241DE21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top w:val="single" w:sz="4" w:space="0" w:color="auto"/>
            </w:tcBorders>
            <w:shd w:val="clear" w:color="auto" w:fill="FF0000"/>
            <w:vAlign w:val="center"/>
          </w:tcPr>
          <w:p w14:paraId="2976AE1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tcBorders>
              <w:top w:val="single" w:sz="4" w:space="0" w:color="auto"/>
            </w:tcBorders>
            <w:vAlign w:val="center"/>
          </w:tcPr>
          <w:p w14:paraId="4901BB97"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2938E1F6" w14:textId="77777777" w:rsidTr="00444693">
        <w:trPr>
          <w:cantSplit/>
          <w:trHeight w:val="13"/>
        </w:trPr>
        <w:tc>
          <w:tcPr>
            <w:tcW w:w="491" w:type="pct"/>
            <w:vMerge/>
            <w:tcBorders>
              <w:bottom w:val="single" w:sz="4" w:space="0" w:color="auto"/>
            </w:tcBorders>
          </w:tcPr>
          <w:p w14:paraId="5921886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679D1E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A76242B" w14:textId="77777777" w:rsidR="00CE1436" w:rsidRDefault="00CE1436" w:rsidP="00444693">
            <w:pPr>
              <w:pStyle w:val="TableText"/>
              <w:widowControl w:val="0"/>
              <w:suppressAutoHyphens w:val="0"/>
              <w:spacing w:before="0" w:after="0" w:line="240" w:lineRule="auto"/>
              <w:rPr>
                <w:szCs w:val="17"/>
              </w:rPr>
            </w:pPr>
          </w:p>
        </w:tc>
        <w:tc>
          <w:tcPr>
            <w:tcW w:w="491" w:type="pct"/>
          </w:tcPr>
          <w:p w14:paraId="615667B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AD53550"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706B1E7E" w14:textId="77777777" w:rsidR="00CE1436" w:rsidRDefault="00CE1436" w:rsidP="00444693">
            <w:pPr>
              <w:pStyle w:val="TableText"/>
              <w:widowControl w:val="0"/>
              <w:suppressAutoHyphens w:val="0"/>
              <w:spacing w:before="0" w:after="0" w:line="240" w:lineRule="auto"/>
              <w:jc w:val="center"/>
            </w:pPr>
            <w:r>
              <w:t>1125</w:t>
            </w:r>
          </w:p>
        </w:tc>
        <w:tc>
          <w:tcPr>
            <w:tcW w:w="312" w:type="pct"/>
          </w:tcPr>
          <w:p w14:paraId="587DBF3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B1D42C5"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C977CB2"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3A979FB1" w14:textId="77777777" w:rsidR="00CE1436" w:rsidRPr="003B78B6" w:rsidRDefault="00CE1436" w:rsidP="00444693">
            <w:pPr>
              <w:pStyle w:val="TableText"/>
              <w:widowControl w:val="0"/>
              <w:suppressAutoHyphens w:val="0"/>
              <w:spacing w:before="0" w:after="0" w:line="240" w:lineRule="auto"/>
              <w:jc w:val="center"/>
            </w:pPr>
            <w:r>
              <w:rPr>
                <w:color w:val="1A1B1A"/>
                <w:szCs w:val="17"/>
              </w:rPr>
              <w:t>4.2</w:t>
            </w:r>
          </w:p>
        </w:tc>
        <w:tc>
          <w:tcPr>
            <w:tcW w:w="312" w:type="pct"/>
            <w:vAlign w:val="center"/>
          </w:tcPr>
          <w:p w14:paraId="65D619C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61A79DEA" w14:textId="77777777" w:rsidR="00CE1436" w:rsidRPr="0027505E" w:rsidRDefault="00CE1436" w:rsidP="00444693">
            <w:pPr>
              <w:pStyle w:val="TableText"/>
              <w:widowControl w:val="0"/>
              <w:suppressAutoHyphens w:val="0"/>
              <w:spacing w:before="0" w:after="0" w:line="240" w:lineRule="auto"/>
              <w:jc w:val="center"/>
            </w:pPr>
            <w:r>
              <w:rPr>
                <w:b/>
                <w:bCs/>
                <w:color w:val="1A1B1A"/>
                <w:szCs w:val="17"/>
              </w:rPr>
              <w:t>1.1</w:t>
            </w:r>
          </w:p>
        </w:tc>
        <w:tc>
          <w:tcPr>
            <w:tcW w:w="393" w:type="pct"/>
            <w:vAlign w:val="center"/>
          </w:tcPr>
          <w:p w14:paraId="766203CE"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34D44A4E" w14:textId="77777777" w:rsidTr="00444693">
        <w:trPr>
          <w:cantSplit/>
          <w:trHeight w:val="13"/>
        </w:trPr>
        <w:tc>
          <w:tcPr>
            <w:tcW w:w="491" w:type="pct"/>
            <w:vMerge/>
            <w:tcBorders>
              <w:bottom w:val="single" w:sz="4" w:space="0" w:color="auto"/>
            </w:tcBorders>
          </w:tcPr>
          <w:p w14:paraId="0641520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2F521E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1224D58" w14:textId="77777777" w:rsidR="00CE1436" w:rsidRDefault="00CE1436" w:rsidP="00444693">
            <w:pPr>
              <w:pStyle w:val="TableText"/>
              <w:widowControl w:val="0"/>
              <w:suppressAutoHyphens w:val="0"/>
              <w:spacing w:before="0" w:after="0" w:line="240" w:lineRule="auto"/>
              <w:rPr>
                <w:szCs w:val="17"/>
              </w:rPr>
            </w:pPr>
          </w:p>
        </w:tc>
        <w:tc>
          <w:tcPr>
            <w:tcW w:w="491" w:type="pct"/>
          </w:tcPr>
          <w:p w14:paraId="7BFE0C2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C25E0B4"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42A48CF" w14:textId="77777777" w:rsidR="00CE1436" w:rsidRDefault="00CE1436" w:rsidP="00444693">
            <w:pPr>
              <w:pStyle w:val="TableText"/>
              <w:widowControl w:val="0"/>
              <w:suppressAutoHyphens w:val="0"/>
              <w:spacing w:before="0" w:after="0" w:line="240" w:lineRule="auto"/>
              <w:jc w:val="center"/>
            </w:pPr>
            <w:r>
              <w:t>1000</w:t>
            </w:r>
          </w:p>
        </w:tc>
        <w:tc>
          <w:tcPr>
            <w:tcW w:w="312" w:type="pct"/>
          </w:tcPr>
          <w:p w14:paraId="55380AD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20575B5"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6818E27"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33372923" w14:textId="77777777" w:rsidR="00CE1436" w:rsidRPr="003B78B6"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6631FBA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2691257E" w14:textId="77777777" w:rsidR="00CE1436" w:rsidRPr="0027505E" w:rsidRDefault="00CE1436" w:rsidP="00444693">
            <w:pPr>
              <w:pStyle w:val="TableText"/>
              <w:widowControl w:val="0"/>
              <w:suppressAutoHyphens w:val="0"/>
              <w:spacing w:before="0" w:after="0" w:line="240" w:lineRule="auto"/>
              <w:jc w:val="center"/>
            </w:pPr>
            <w:r>
              <w:rPr>
                <w:color w:val="1A1B1A"/>
                <w:szCs w:val="17"/>
              </w:rPr>
              <w:t>0.98</w:t>
            </w:r>
          </w:p>
        </w:tc>
        <w:tc>
          <w:tcPr>
            <w:tcW w:w="393" w:type="pct"/>
            <w:vAlign w:val="center"/>
          </w:tcPr>
          <w:p w14:paraId="2958201A"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2E7A33E6" w14:textId="77777777" w:rsidTr="00444693">
        <w:trPr>
          <w:cantSplit/>
          <w:trHeight w:val="13"/>
        </w:trPr>
        <w:tc>
          <w:tcPr>
            <w:tcW w:w="491" w:type="pct"/>
            <w:vMerge/>
            <w:tcBorders>
              <w:bottom w:val="single" w:sz="4" w:space="0" w:color="auto"/>
            </w:tcBorders>
          </w:tcPr>
          <w:p w14:paraId="4F33696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25F70C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2776741" w14:textId="77777777" w:rsidR="00CE1436" w:rsidRDefault="00CE1436" w:rsidP="00444693">
            <w:pPr>
              <w:pStyle w:val="TableText"/>
              <w:widowControl w:val="0"/>
              <w:suppressAutoHyphens w:val="0"/>
              <w:spacing w:before="0" w:after="0" w:line="240" w:lineRule="auto"/>
              <w:rPr>
                <w:szCs w:val="17"/>
              </w:rPr>
            </w:pPr>
          </w:p>
        </w:tc>
        <w:tc>
          <w:tcPr>
            <w:tcW w:w="491" w:type="pct"/>
          </w:tcPr>
          <w:p w14:paraId="59C0E8F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8B6B0C9"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73A8F36C" w14:textId="77777777" w:rsidR="00CE1436" w:rsidRDefault="00CE1436" w:rsidP="00444693">
            <w:pPr>
              <w:pStyle w:val="TableText"/>
              <w:widowControl w:val="0"/>
              <w:suppressAutoHyphens w:val="0"/>
              <w:spacing w:before="0" w:after="0" w:line="240" w:lineRule="auto"/>
              <w:jc w:val="center"/>
            </w:pPr>
            <w:r>
              <w:t>850</w:t>
            </w:r>
          </w:p>
        </w:tc>
        <w:tc>
          <w:tcPr>
            <w:tcW w:w="312" w:type="pct"/>
          </w:tcPr>
          <w:p w14:paraId="338F5F5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E4A2045"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CC4B45C"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147F73A" w14:textId="77777777" w:rsidR="00CE1436"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00E442B1"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4FDF32E0" w14:textId="77777777" w:rsidR="00CE1436" w:rsidRDefault="00CE1436" w:rsidP="00444693">
            <w:pPr>
              <w:pStyle w:val="TableText"/>
              <w:widowControl w:val="0"/>
              <w:suppressAutoHyphens w:val="0"/>
              <w:spacing w:before="0" w:after="0" w:line="240" w:lineRule="auto"/>
              <w:jc w:val="center"/>
            </w:pPr>
            <w:r>
              <w:rPr>
                <w:color w:val="1A1B1A"/>
                <w:szCs w:val="17"/>
              </w:rPr>
              <w:t>0.84</w:t>
            </w:r>
          </w:p>
        </w:tc>
        <w:tc>
          <w:tcPr>
            <w:tcW w:w="393" w:type="pct"/>
            <w:vAlign w:val="center"/>
          </w:tcPr>
          <w:p w14:paraId="40AFAC85"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38F6D543" w14:textId="77777777" w:rsidTr="00444693">
        <w:trPr>
          <w:cantSplit/>
          <w:trHeight w:val="13"/>
        </w:trPr>
        <w:tc>
          <w:tcPr>
            <w:tcW w:w="491" w:type="pct"/>
            <w:vMerge/>
            <w:tcBorders>
              <w:bottom w:val="single" w:sz="4" w:space="0" w:color="auto"/>
            </w:tcBorders>
          </w:tcPr>
          <w:p w14:paraId="2125C04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04DD60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517D463" w14:textId="77777777" w:rsidR="00CE1436" w:rsidRDefault="00CE1436" w:rsidP="00444693">
            <w:pPr>
              <w:pStyle w:val="TableText"/>
              <w:widowControl w:val="0"/>
              <w:suppressAutoHyphens w:val="0"/>
              <w:spacing w:before="0" w:after="0" w:line="240" w:lineRule="auto"/>
              <w:rPr>
                <w:szCs w:val="17"/>
              </w:rPr>
            </w:pPr>
          </w:p>
        </w:tc>
        <w:tc>
          <w:tcPr>
            <w:tcW w:w="491" w:type="pct"/>
          </w:tcPr>
          <w:p w14:paraId="7E3B7C4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B1BB757"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01554EB7" w14:textId="77777777" w:rsidR="00CE1436" w:rsidRDefault="00CE1436" w:rsidP="00444693">
            <w:pPr>
              <w:pStyle w:val="TableText"/>
              <w:widowControl w:val="0"/>
              <w:suppressAutoHyphens w:val="0"/>
              <w:spacing w:before="0" w:after="0" w:line="240" w:lineRule="auto"/>
              <w:jc w:val="center"/>
            </w:pPr>
            <w:r>
              <w:t>840</w:t>
            </w:r>
          </w:p>
        </w:tc>
        <w:tc>
          <w:tcPr>
            <w:tcW w:w="312" w:type="pct"/>
          </w:tcPr>
          <w:p w14:paraId="40B9683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3E1015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9FD64B7"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90D687E" w14:textId="77777777" w:rsidR="00CE1436" w:rsidRPr="003B78B6"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726E837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4B62FF8" w14:textId="77777777" w:rsidR="00CE1436" w:rsidRPr="0027505E" w:rsidRDefault="00CE1436" w:rsidP="00444693">
            <w:pPr>
              <w:pStyle w:val="TableText"/>
              <w:widowControl w:val="0"/>
              <w:suppressAutoHyphens w:val="0"/>
              <w:spacing w:before="0" w:after="0" w:line="240" w:lineRule="auto"/>
              <w:jc w:val="center"/>
            </w:pPr>
            <w:r>
              <w:rPr>
                <w:color w:val="1A1B1A"/>
                <w:szCs w:val="17"/>
              </w:rPr>
              <w:t>0.83</w:t>
            </w:r>
          </w:p>
        </w:tc>
        <w:tc>
          <w:tcPr>
            <w:tcW w:w="393" w:type="pct"/>
            <w:vAlign w:val="center"/>
          </w:tcPr>
          <w:p w14:paraId="2C5AF85D"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02563EBD" w14:textId="77777777" w:rsidTr="00444693">
        <w:trPr>
          <w:cantSplit/>
          <w:trHeight w:val="13"/>
        </w:trPr>
        <w:tc>
          <w:tcPr>
            <w:tcW w:w="491" w:type="pct"/>
            <w:vMerge/>
            <w:tcBorders>
              <w:bottom w:val="single" w:sz="4" w:space="0" w:color="auto"/>
            </w:tcBorders>
          </w:tcPr>
          <w:p w14:paraId="70603E2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73C938A"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9F4F245" w14:textId="77777777" w:rsidR="00CE1436" w:rsidRDefault="00CE1436" w:rsidP="00444693">
            <w:pPr>
              <w:pStyle w:val="TableText"/>
              <w:widowControl w:val="0"/>
              <w:suppressAutoHyphens w:val="0"/>
              <w:spacing w:before="0" w:after="0" w:line="240" w:lineRule="auto"/>
              <w:rPr>
                <w:szCs w:val="17"/>
              </w:rPr>
            </w:pPr>
          </w:p>
        </w:tc>
        <w:tc>
          <w:tcPr>
            <w:tcW w:w="491" w:type="pct"/>
          </w:tcPr>
          <w:p w14:paraId="34FF127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8733691"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7013763" w14:textId="77777777" w:rsidR="00CE1436" w:rsidRDefault="00CE1436" w:rsidP="00444693">
            <w:pPr>
              <w:pStyle w:val="TableText"/>
              <w:widowControl w:val="0"/>
              <w:suppressAutoHyphens w:val="0"/>
              <w:spacing w:before="0" w:after="0" w:line="240" w:lineRule="auto"/>
              <w:jc w:val="center"/>
            </w:pPr>
            <w:r>
              <w:t>750</w:t>
            </w:r>
          </w:p>
        </w:tc>
        <w:tc>
          <w:tcPr>
            <w:tcW w:w="312" w:type="pct"/>
          </w:tcPr>
          <w:p w14:paraId="44B69B3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C6D8D6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1D6B55D"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4F85773" w14:textId="77777777" w:rsidR="00CE1436" w:rsidRPr="003B78B6" w:rsidRDefault="00CE1436" w:rsidP="00444693">
            <w:pPr>
              <w:pStyle w:val="TableText"/>
              <w:widowControl w:val="0"/>
              <w:suppressAutoHyphens w:val="0"/>
              <w:spacing w:before="0" w:after="0" w:line="240" w:lineRule="auto"/>
              <w:jc w:val="center"/>
            </w:pPr>
            <w:r>
              <w:rPr>
                <w:color w:val="1A1B1A"/>
                <w:szCs w:val="17"/>
              </w:rPr>
              <w:t>2.8</w:t>
            </w:r>
          </w:p>
        </w:tc>
        <w:tc>
          <w:tcPr>
            <w:tcW w:w="312" w:type="pct"/>
            <w:vAlign w:val="center"/>
          </w:tcPr>
          <w:p w14:paraId="663FA620"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32D5182E" w14:textId="77777777" w:rsidR="00CE1436" w:rsidRPr="0027505E" w:rsidRDefault="00CE1436" w:rsidP="00444693">
            <w:pPr>
              <w:pStyle w:val="TableText"/>
              <w:widowControl w:val="0"/>
              <w:suppressAutoHyphens w:val="0"/>
              <w:spacing w:before="0" w:after="0" w:line="240" w:lineRule="auto"/>
              <w:jc w:val="center"/>
            </w:pPr>
            <w:r>
              <w:rPr>
                <w:color w:val="1A1B1A"/>
                <w:szCs w:val="17"/>
              </w:rPr>
              <w:t>0.74</w:t>
            </w:r>
          </w:p>
        </w:tc>
        <w:tc>
          <w:tcPr>
            <w:tcW w:w="393" w:type="pct"/>
            <w:vAlign w:val="center"/>
          </w:tcPr>
          <w:p w14:paraId="340D6E89"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4451ADCC" w14:textId="77777777" w:rsidTr="00444693">
        <w:trPr>
          <w:cantSplit/>
          <w:trHeight w:val="13"/>
        </w:trPr>
        <w:tc>
          <w:tcPr>
            <w:tcW w:w="491" w:type="pct"/>
            <w:vMerge/>
            <w:tcBorders>
              <w:bottom w:val="single" w:sz="4" w:space="0" w:color="auto"/>
            </w:tcBorders>
          </w:tcPr>
          <w:p w14:paraId="41B1784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0602EA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4EAE556" w14:textId="77777777" w:rsidR="00CE1436" w:rsidRDefault="00CE1436" w:rsidP="00444693">
            <w:pPr>
              <w:pStyle w:val="TableText"/>
              <w:widowControl w:val="0"/>
              <w:suppressAutoHyphens w:val="0"/>
              <w:spacing w:before="0" w:after="0" w:line="240" w:lineRule="auto"/>
              <w:rPr>
                <w:szCs w:val="17"/>
              </w:rPr>
            </w:pPr>
          </w:p>
        </w:tc>
        <w:tc>
          <w:tcPr>
            <w:tcW w:w="491" w:type="pct"/>
          </w:tcPr>
          <w:p w14:paraId="126CC2D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17BD7EB"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7175173"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149C850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3A7B4EE"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3D4FD6E"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7D0B3F2C" w14:textId="77777777" w:rsidR="00CE143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33836F80"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5459465C" w14:textId="77777777" w:rsidR="00CE1436" w:rsidRDefault="00CE1436" w:rsidP="00444693">
            <w:pPr>
              <w:pStyle w:val="TableText"/>
              <w:widowControl w:val="0"/>
              <w:suppressAutoHyphens w:val="0"/>
              <w:spacing w:before="0" w:after="0" w:line="240" w:lineRule="auto"/>
              <w:jc w:val="center"/>
            </w:pPr>
            <w:r>
              <w:rPr>
                <w:color w:val="1A1B1A"/>
                <w:szCs w:val="17"/>
              </w:rPr>
              <w:t>0.59</w:t>
            </w:r>
          </w:p>
        </w:tc>
        <w:tc>
          <w:tcPr>
            <w:tcW w:w="393" w:type="pct"/>
            <w:vAlign w:val="center"/>
          </w:tcPr>
          <w:p w14:paraId="7FED0E7C"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267CCE73" w14:textId="77777777" w:rsidTr="00444693">
        <w:trPr>
          <w:cantSplit/>
          <w:trHeight w:val="13"/>
        </w:trPr>
        <w:tc>
          <w:tcPr>
            <w:tcW w:w="491" w:type="pct"/>
            <w:vMerge/>
            <w:tcBorders>
              <w:bottom w:val="single" w:sz="4" w:space="0" w:color="auto"/>
            </w:tcBorders>
          </w:tcPr>
          <w:p w14:paraId="0C85439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F7F324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DB8A4A2" w14:textId="77777777" w:rsidR="00CE1436" w:rsidRDefault="00CE1436" w:rsidP="00444693">
            <w:pPr>
              <w:pStyle w:val="TableText"/>
              <w:widowControl w:val="0"/>
              <w:suppressAutoHyphens w:val="0"/>
              <w:spacing w:before="0" w:after="0" w:line="240" w:lineRule="auto"/>
              <w:rPr>
                <w:szCs w:val="17"/>
              </w:rPr>
            </w:pPr>
          </w:p>
        </w:tc>
        <w:tc>
          <w:tcPr>
            <w:tcW w:w="491" w:type="pct"/>
          </w:tcPr>
          <w:p w14:paraId="2F90C8C6"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0731963"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AA1D36A"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6D386B4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878D14C"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3E021B2A"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71D8E9D4" w14:textId="77777777" w:rsidR="00CE1436" w:rsidRPr="003B78B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298F6679"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7D5AFE8E" w14:textId="77777777" w:rsidR="00CE1436" w:rsidRPr="0027505E" w:rsidRDefault="00CE1436" w:rsidP="00444693">
            <w:pPr>
              <w:pStyle w:val="TableText"/>
              <w:widowControl w:val="0"/>
              <w:suppressAutoHyphens w:val="0"/>
              <w:spacing w:before="0" w:after="0" w:line="240" w:lineRule="auto"/>
              <w:jc w:val="center"/>
            </w:pPr>
            <w:r>
              <w:rPr>
                <w:color w:val="1A1B1A"/>
                <w:szCs w:val="17"/>
              </w:rPr>
              <w:t>0.59</w:t>
            </w:r>
          </w:p>
        </w:tc>
        <w:tc>
          <w:tcPr>
            <w:tcW w:w="393" w:type="pct"/>
            <w:vAlign w:val="center"/>
          </w:tcPr>
          <w:p w14:paraId="26E47C2F"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24ECEDD2" w14:textId="77777777" w:rsidTr="00444693">
        <w:trPr>
          <w:cantSplit/>
          <w:trHeight w:val="13"/>
        </w:trPr>
        <w:tc>
          <w:tcPr>
            <w:tcW w:w="491" w:type="pct"/>
            <w:vMerge/>
            <w:tcBorders>
              <w:bottom w:val="single" w:sz="4" w:space="0" w:color="auto"/>
            </w:tcBorders>
          </w:tcPr>
          <w:p w14:paraId="1D08CE2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5DA30E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E92A2E6" w14:textId="77777777" w:rsidR="00CE1436" w:rsidRDefault="00CE1436" w:rsidP="00444693">
            <w:pPr>
              <w:pStyle w:val="TableText"/>
              <w:widowControl w:val="0"/>
              <w:suppressAutoHyphens w:val="0"/>
              <w:spacing w:before="0" w:after="0" w:line="240" w:lineRule="auto"/>
              <w:rPr>
                <w:szCs w:val="17"/>
              </w:rPr>
            </w:pPr>
          </w:p>
        </w:tc>
        <w:tc>
          <w:tcPr>
            <w:tcW w:w="491" w:type="pct"/>
          </w:tcPr>
          <w:p w14:paraId="6A8025F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13E9CAD"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6A0D680B"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1F5D6DF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E50CC96"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CC57C3E"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F3C49FE" w14:textId="77777777" w:rsidR="00CE1436" w:rsidRPr="003B78B6"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66EF453A"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043FA581" w14:textId="77777777" w:rsidR="00CE1436" w:rsidRPr="0027505E" w:rsidRDefault="00CE1436" w:rsidP="00444693">
            <w:pPr>
              <w:pStyle w:val="TableText"/>
              <w:widowControl w:val="0"/>
              <w:suppressAutoHyphens w:val="0"/>
              <w:spacing w:before="0" w:after="0" w:line="240" w:lineRule="auto"/>
              <w:jc w:val="center"/>
            </w:pPr>
            <w:r>
              <w:rPr>
                <w:color w:val="1A1B1A"/>
                <w:szCs w:val="17"/>
              </w:rPr>
              <w:t>0.49</w:t>
            </w:r>
          </w:p>
        </w:tc>
        <w:tc>
          <w:tcPr>
            <w:tcW w:w="393" w:type="pct"/>
            <w:vAlign w:val="center"/>
          </w:tcPr>
          <w:p w14:paraId="18BCFAC4"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7D812175" w14:textId="77777777" w:rsidTr="00444693">
        <w:trPr>
          <w:cantSplit/>
          <w:trHeight w:val="13"/>
        </w:trPr>
        <w:tc>
          <w:tcPr>
            <w:tcW w:w="491" w:type="pct"/>
            <w:vMerge/>
            <w:tcBorders>
              <w:bottom w:val="single" w:sz="4" w:space="0" w:color="auto"/>
            </w:tcBorders>
          </w:tcPr>
          <w:p w14:paraId="306C691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A09062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73DDBBC" w14:textId="77777777" w:rsidR="00CE1436" w:rsidRDefault="00CE1436" w:rsidP="00444693">
            <w:pPr>
              <w:pStyle w:val="TableText"/>
              <w:widowControl w:val="0"/>
              <w:suppressAutoHyphens w:val="0"/>
              <w:spacing w:before="0" w:after="0" w:line="240" w:lineRule="auto"/>
              <w:rPr>
                <w:szCs w:val="17"/>
              </w:rPr>
            </w:pPr>
          </w:p>
        </w:tc>
        <w:tc>
          <w:tcPr>
            <w:tcW w:w="491" w:type="pct"/>
          </w:tcPr>
          <w:p w14:paraId="7B23A5C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19B54AE"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5F0C5014"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76690A4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6BCE931"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84ABFB7"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36A98AD3" w14:textId="77777777" w:rsidR="00CE143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213F9519"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F47AEC2" w14:textId="77777777" w:rsidR="00CE1436" w:rsidRDefault="00CE1436" w:rsidP="00444693">
            <w:pPr>
              <w:pStyle w:val="TableText"/>
              <w:widowControl w:val="0"/>
              <w:suppressAutoHyphens w:val="0"/>
              <w:spacing w:before="0" w:after="0" w:line="240" w:lineRule="auto"/>
              <w:jc w:val="center"/>
            </w:pPr>
            <w:r>
              <w:rPr>
                <w:color w:val="1A1B1A"/>
                <w:szCs w:val="17"/>
              </w:rPr>
              <w:t>0.42</w:t>
            </w:r>
          </w:p>
        </w:tc>
        <w:tc>
          <w:tcPr>
            <w:tcW w:w="393" w:type="pct"/>
            <w:vAlign w:val="center"/>
          </w:tcPr>
          <w:p w14:paraId="1C0817AE"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19201B9D" w14:textId="77777777" w:rsidTr="00444693">
        <w:trPr>
          <w:cantSplit/>
          <w:trHeight w:val="13"/>
        </w:trPr>
        <w:tc>
          <w:tcPr>
            <w:tcW w:w="491" w:type="pct"/>
            <w:vMerge/>
            <w:tcBorders>
              <w:bottom w:val="single" w:sz="4" w:space="0" w:color="auto"/>
            </w:tcBorders>
          </w:tcPr>
          <w:p w14:paraId="5DED8EF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D93B27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632534D" w14:textId="77777777" w:rsidR="00CE1436" w:rsidRDefault="00CE1436" w:rsidP="00444693">
            <w:pPr>
              <w:pStyle w:val="TableText"/>
              <w:widowControl w:val="0"/>
              <w:suppressAutoHyphens w:val="0"/>
              <w:spacing w:before="0" w:after="0" w:line="240" w:lineRule="auto"/>
              <w:rPr>
                <w:szCs w:val="17"/>
              </w:rPr>
            </w:pPr>
          </w:p>
        </w:tc>
        <w:tc>
          <w:tcPr>
            <w:tcW w:w="491" w:type="pct"/>
          </w:tcPr>
          <w:p w14:paraId="73B2835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264AC2B"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0B2DBD46"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74C2DD2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2AA0564"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F9DB56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04515CB" w14:textId="77777777" w:rsidR="00CE1436" w:rsidRPr="003B78B6"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556203C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2C38E7BA" w14:textId="77777777" w:rsidR="00CE1436" w:rsidRPr="0027505E" w:rsidRDefault="00CE1436" w:rsidP="00444693">
            <w:pPr>
              <w:pStyle w:val="TableText"/>
              <w:widowControl w:val="0"/>
              <w:suppressAutoHyphens w:val="0"/>
              <w:spacing w:before="0" w:after="0" w:line="240" w:lineRule="auto"/>
              <w:jc w:val="center"/>
            </w:pPr>
            <w:r>
              <w:rPr>
                <w:color w:val="1A1B1A"/>
                <w:szCs w:val="17"/>
              </w:rPr>
              <w:t>0.39</w:t>
            </w:r>
          </w:p>
        </w:tc>
        <w:tc>
          <w:tcPr>
            <w:tcW w:w="393" w:type="pct"/>
            <w:vAlign w:val="center"/>
          </w:tcPr>
          <w:p w14:paraId="1E1EA802"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571BAF7C" w14:textId="77777777" w:rsidTr="00444693">
        <w:trPr>
          <w:cantSplit/>
          <w:trHeight w:val="13"/>
        </w:trPr>
        <w:tc>
          <w:tcPr>
            <w:tcW w:w="491" w:type="pct"/>
            <w:vMerge/>
            <w:tcBorders>
              <w:bottom w:val="single" w:sz="4" w:space="0" w:color="auto"/>
            </w:tcBorders>
          </w:tcPr>
          <w:p w14:paraId="7FD0031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A12836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3472921" w14:textId="77777777" w:rsidR="00CE1436" w:rsidRDefault="00CE1436" w:rsidP="00444693">
            <w:pPr>
              <w:pStyle w:val="TableText"/>
              <w:widowControl w:val="0"/>
              <w:suppressAutoHyphens w:val="0"/>
              <w:spacing w:before="0" w:after="0" w:line="240" w:lineRule="auto"/>
              <w:rPr>
                <w:szCs w:val="17"/>
              </w:rPr>
            </w:pPr>
          </w:p>
        </w:tc>
        <w:tc>
          <w:tcPr>
            <w:tcW w:w="491" w:type="pct"/>
          </w:tcPr>
          <w:p w14:paraId="3C01D1B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CD76DEA"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5FA07D54"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2AF4D8C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E2C4AC5"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43D1532"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66310C1" w14:textId="77777777" w:rsidR="00CE1436" w:rsidRPr="003B78B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6186A409"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054FEB01" w14:textId="77777777" w:rsidR="00CE1436" w:rsidRPr="0027505E" w:rsidRDefault="00CE1436" w:rsidP="00444693">
            <w:pPr>
              <w:pStyle w:val="TableText"/>
              <w:widowControl w:val="0"/>
              <w:suppressAutoHyphens w:val="0"/>
              <w:spacing w:before="0" w:after="0" w:line="240" w:lineRule="auto"/>
              <w:jc w:val="center"/>
            </w:pPr>
            <w:r>
              <w:rPr>
                <w:color w:val="1A1B1A"/>
                <w:szCs w:val="17"/>
              </w:rPr>
              <w:t>0.32</w:t>
            </w:r>
          </w:p>
        </w:tc>
        <w:tc>
          <w:tcPr>
            <w:tcW w:w="393" w:type="pct"/>
            <w:vAlign w:val="center"/>
          </w:tcPr>
          <w:p w14:paraId="65F730E5"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669F61DD" w14:textId="77777777" w:rsidTr="00444693">
        <w:trPr>
          <w:cantSplit/>
          <w:trHeight w:val="13"/>
        </w:trPr>
        <w:tc>
          <w:tcPr>
            <w:tcW w:w="491" w:type="pct"/>
            <w:vMerge/>
            <w:tcBorders>
              <w:bottom w:val="single" w:sz="4" w:space="0" w:color="auto"/>
            </w:tcBorders>
          </w:tcPr>
          <w:p w14:paraId="5C28104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8051A4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6CF0A1D" w14:textId="77777777" w:rsidR="00CE1436" w:rsidRDefault="00CE1436" w:rsidP="00444693">
            <w:pPr>
              <w:pStyle w:val="TableText"/>
              <w:widowControl w:val="0"/>
              <w:suppressAutoHyphens w:val="0"/>
              <w:spacing w:before="0" w:after="0" w:line="240" w:lineRule="auto"/>
              <w:rPr>
                <w:szCs w:val="17"/>
              </w:rPr>
            </w:pPr>
          </w:p>
        </w:tc>
        <w:tc>
          <w:tcPr>
            <w:tcW w:w="491" w:type="pct"/>
          </w:tcPr>
          <w:p w14:paraId="0FC3C3F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441B4DE"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47C49632" w14:textId="77777777" w:rsidR="00CE1436" w:rsidRDefault="00CE1436" w:rsidP="00444693">
            <w:pPr>
              <w:pStyle w:val="TableText"/>
              <w:widowControl w:val="0"/>
              <w:suppressAutoHyphens w:val="0"/>
              <w:spacing w:before="0" w:after="0" w:line="240" w:lineRule="auto"/>
              <w:jc w:val="center"/>
            </w:pPr>
            <w:r>
              <w:t>300</w:t>
            </w:r>
          </w:p>
        </w:tc>
        <w:tc>
          <w:tcPr>
            <w:tcW w:w="312" w:type="pct"/>
          </w:tcPr>
          <w:p w14:paraId="5BC2C51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A0F1343"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F62D55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DA063CB"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6D214B1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314BBF13" w14:textId="77777777" w:rsidR="00CE1436" w:rsidRPr="0027505E" w:rsidRDefault="00CE1436" w:rsidP="00444693">
            <w:pPr>
              <w:pStyle w:val="TableText"/>
              <w:widowControl w:val="0"/>
              <w:suppressAutoHyphens w:val="0"/>
              <w:spacing w:before="0" w:after="0" w:line="240" w:lineRule="auto"/>
              <w:jc w:val="center"/>
            </w:pPr>
            <w:r>
              <w:rPr>
                <w:color w:val="1A1B1A"/>
                <w:szCs w:val="17"/>
              </w:rPr>
              <w:t>0.29</w:t>
            </w:r>
          </w:p>
        </w:tc>
        <w:tc>
          <w:tcPr>
            <w:tcW w:w="393" w:type="pct"/>
            <w:vAlign w:val="center"/>
          </w:tcPr>
          <w:p w14:paraId="41EE1B70"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519F4EFD" w14:textId="77777777" w:rsidTr="00444693">
        <w:trPr>
          <w:cantSplit/>
          <w:trHeight w:val="13"/>
        </w:trPr>
        <w:tc>
          <w:tcPr>
            <w:tcW w:w="491" w:type="pct"/>
            <w:vMerge/>
            <w:tcBorders>
              <w:bottom w:val="single" w:sz="4" w:space="0" w:color="auto"/>
            </w:tcBorders>
          </w:tcPr>
          <w:p w14:paraId="0B7A54B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F11E7B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CF370DC" w14:textId="77777777" w:rsidR="00CE1436" w:rsidRDefault="00CE1436" w:rsidP="00444693">
            <w:pPr>
              <w:pStyle w:val="TableText"/>
              <w:widowControl w:val="0"/>
              <w:suppressAutoHyphens w:val="0"/>
              <w:spacing w:before="0" w:after="0" w:line="240" w:lineRule="auto"/>
              <w:rPr>
                <w:szCs w:val="17"/>
              </w:rPr>
            </w:pPr>
          </w:p>
        </w:tc>
        <w:tc>
          <w:tcPr>
            <w:tcW w:w="491" w:type="pct"/>
          </w:tcPr>
          <w:p w14:paraId="423D7AD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B9F7369"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F1B580A" w14:textId="77777777" w:rsidR="00CE1436" w:rsidRDefault="00CE1436" w:rsidP="00444693">
            <w:pPr>
              <w:pStyle w:val="TableText"/>
              <w:widowControl w:val="0"/>
              <w:suppressAutoHyphens w:val="0"/>
              <w:spacing w:before="0" w:after="0" w:line="240" w:lineRule="auto"/>
              <w:jc w:val="center"/>
            </w:pPr>
            <w:r>
              <w:t>216</w:t>
            </w:r>
          </w:p>
        </w:tc>
        <w:tc>
          <w:tcPr>
            <w:tcW w:w="312" w:type="pct"/>
          </w:tcPr>
          <w:p w14:paraId="170D49C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3D34DF2"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C623F2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301D163B" w14:textId="77777777" w:rsidR="00CE1436" w:rsidRPr="003B78B6" w:rsidRDefault="00CE1436" w:rsidP="00444693">
            <w:pPr>
              <w:pStyle w:val="TableText"/>
              <w:widowControl w:val="0"/>
              <w:suppressAutoHyphens w:val="0"/>
              <w:spacing w:before="0" w:after="0" w:line="240" w:lineRule="auto"/>
              <w:jc w:val="center"/>
            </w:pPr>
            <w:r>
              <w:rPr>
                <w:color w:val="1A1B1A"/>
                <w:szCs w:val="17"/>
              </w:rPr>
              <w:t>0.8</w:t>
            </w:r>
          </w:p>
        </w:tc>
        <w:tc>
          <w:tcPr>
            <w:tcW w:w="312" w:type="pct"/>
            <w:vAlign w:val="center"/>
          </w:tcPr>
          <w:p w14:paraId="66EA9A37"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512B2671" w14:textId="77777777" w:rsidR="00CE1436" w:rsidRPr="0027505E" w:rsidRDefault="00CE1436" w:rsidP="00444693">
            <w:pPr>
              <w:pStyle w:val="TableText"/>
              <w:widowControl w:val="0"/>
              <w:suppressAutoHyphens w:val="0"/>
              <w:spacing w:before="0" w:after="0" w:line="240" w:lineRule="auto"/>
              <w:jc w:val="center"/>
            </w:pPr>
            <w:r>
              <w:rPr>
                <w:color w:val="1A1B1A"/>
                <w:szCs w:val="17"/>
              </w:rPr>
              <w:t>0.21</w:t>
            </w:r>
          </w:p>
        </w:tc>
        <w:tc>
          <w:tcPr>
            <w:tcW w:w="393" w:type="pct"/>
            <w:vAlign w:val="center"/>
          </w:tcPr>
          <w:p w14:paraId="7F6E9D8E"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656B79A4" w14:textId="77777777" w:rsidTr="00444693">
        <w:trPr>
          <w:cantSplit/>
          <w:trHeight w:val="13"/>
        </w:trPr>
        <w:tc>
          <w:tcPr>
            <w:tcW w:w="491" w:type="pct"/>
            <w:vMerge/>
            <w:tcBorders>
              <w:bottom w:val="single" w:sz="4" w:space="0" w:color="auto"/>
            </w:tcBorders>
          </w:tcPr>
          <w:p w14:paraId="67A62A3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CAF0FF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3048493" w14:textId="77777777" w:rsidR="00CE1436" w:rsidRDefault="00CE1436" w:rsidP="00444693">
            <w:pPr>
              <w:pStyle w:val="TableText"/>
              <w:widowControl w:val="0"/>
              <w:suppressAutoHyphens w:val="0"/>
              <w:spacing w:before="0" w:after="0" w:line="240" w:lineRule="auto"/>
              <w:rPr>
                <w:szCs w:val="17"/>
              </w:rPr>
            </w:pPr>
          </w:p>
        </w:tc>
        <w:tc>
          <w:tcPr>
            <w:tcW w:w="491" w:type="pct"/>
          </w:tcPr>
          <w:p w14:paraId="2F5EA90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D87897F"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3B2B510" w14:textId="77777777" w:rsidR="00CE1436" w:rsidRDefault="00CE1436" w:rsidP="00444693">
            <w:pPr>
              <w:pStyle w:val="TableText"/>
              <w:widowControl w:val="0"/>
              <w:suppressAutoHyphens w:val="0"/>
              <w:spacing w:before="0" w:after="0" w:line="240" w:lineRule="auto"/>
              <w:jc w:val="center"/>
            </w:pPr>
            <w:r>
              <w:t>203</w:t>
            </w:r>
          </w:p>
        </w:tc>
        <w:tc>
          <w:tcPr>
            <w:tcW w:w="312" w:type="pct"/>
          </w:tcPr>
          <w:p w14:paraId="69D8FE2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49BFC9C"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F36B49B"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0BB602B" w14:textId="77777777" w:rsidR="00CE1436" w:rsidRDefault="00CE1436" w:rsidP="00444693">
            <w:pPr>
              <w:pStyle w:val="TableText"/>
              <w:widowControl w:val="0"/>
              <w:suppressAutoHyphens w:val="0"/>
              <w:spacing w:before="0" w:after="0" w:line="240" w:lineRule="auto"/>
              <w:jc w:val="center"/>
            </w:pPr>
            <w:r>
              <w:rPr>
                <w:color w:val="1A1B1A"/>
                <w:szCs w:val="17"/>
              </w:rPr>
              <w:t>0.8</w:t>
            </w:r>
          </w:p>
        </w:tc>
        <w:tc>
          <w:tcPr>
            <w:tcW w:w="312" w:type="pct"/>
            <w:vAlign w:val="center"/>
          </w:tcPr>
          <w:p w14:paraId="0F6544DD"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3B0F93B3" w14:textId="77777777" w:rsidR="00CE1436" w:rsidRDefault="00CE1436" w:rsidP="00444693">
            <w:pPr>
              <w:pStyle w:val="TableText"/>
              <w:widowControl w:val="0"/>
              <w:suppressAutoHyphens w:val="0"/>
              <w:spacing w:before="0" w:after="0" w:line="240" w:lineRule="auto"/>
              <w:jc w:val="center"/>
            </w:pPr>
            <w:r>
              <w:rPr>
                <w:color w:val="1A1B1A"/>
                <w:szCs w:val="17"/>
              </w:rPr>
              <w:t>0.20</w:t>
            </w:r>
          </w:p>
        </w:tc>
        <w:tc>
          <w:tcPr>
            <w:tcW w:w="393" w:type="pct"/>
            <w:vAlign w:val="center"/>
          </w:tcPr>
          <w:p w14:paraId="5FA20375"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00E55D42" w14:textId="77777777" w:rsidTr="00444693">
        <w:trPr>
          <w:cantSplit/>
          <w:trHeight w:val="13"/>
        </w:trPr>
        <w:tc>
          <w:tcPr>
            <w:tcW w:w="491" w:type="pct"/>
            <w:vMerge/>
            <w:tcBorders>
              <w:bottom w:val="single" w:sz="4" w:space="0" w:color="auto"/>
            </w:tcBorders>
          </w:tcPr>
          <w:p w14:paraId="6726761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98E728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8CC9B20" w14:textId="77777777" w:rsidR="00CE1436" w:rsidRDefault="00CE1436" w:rsidP="00444693">
            <w:pPr>
              <w:pStyle w:val="TableText"/>
              <w:widowControl w:val="0"/>
              <w:suppressAutoHyphens w:val="0"/>
              <w:spacing w:before="0" w:after="0" w:line="240" w:lineRule="auto"/>
              <w:rPr>
                <w:szCs w:val="17"/>
              </w:rPr>
            </w:pPr>
          </w:p>
        </w:tc>
        <w:tc>
          <w:tcPr>
            <w:tcW w:w="491" w:type="pct"/>
          </w:tcPr>
          <w:p w14:paraId="5C68250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260F72D"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7CF74253"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34B8673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15C3C3D"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A7FBDC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1A0A8C1" w14:textId="77777777" w:rsidR="00CE1436" w:rsidRDefault="00CE1436" w:rsidP="00444693">
            <w:pPr>
              <w:pStyle w:val="TableText"/>
              <w:widowControl w:val="0"/>
              <w:suppressAutoHyphens w:val="0"/>
              <w:spacing w:before="0" w:after="0" w:line="240" w:lineRule="auto"/>
              <w:jc w:val="center"/>
            </w:pPr>
            <w:r>
              <w:rPr>
                <w:color w:val="1A1B1A"/>
                <w:szCs w:val="17"/>
              </w:rPr>
              <w:t>0.7</w:t>
            </w:r>
          </w:p>
        </w:tc>
        <w:tc>
          <w:tcPr>
            <w:tcW w:w="312" w:type="pct"/>
            <w:vAlign w:val="center"/>
          </w:tcPr>
          <w:p w14:paraId="4B76BAB2"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24E51C8D" w14:textId="77777777" w:rsidR="00CE1436" w:rsidRDefault="00CE1436" w:rsidP="00444693">
            <w:pPr>
              <w:pStyle w:val="TableText"/>
              <w:widowControl w:val="0"/>
              <w:suppressAutoHyphens w:val="0"/>
              <w:spacing w:before="0" w:after="0" w:line="240" w:lineRule="auto"/>
              <w:jc w:val="center"/>
            </w:pPr>
            <w:r>
              <w:rPr>
                <w:color w:val="1A1B1A"/>
                <w:szCs w:val="17"/>
              </w:rPr>
              <w:t>0.20</w:t>
            </w:r>
          </w:p>
        </w:tc>
        <w:tc>
          <w:tcPr>
            <w:tcW w:w="393" w:type="pct"/>
            <w:vAlign w:val="center"/>
          </w:tcPr>
          <w:p w14:paraId="0485178E"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75789399" w14:textId="77777777" w:rsidTr="00444693">
        <w:trPr>
          <w:cantSplit/>
          <w:trHeight w:val="13"/>
        </w:trPr>
        <w:tc>
          <w:tcPr>
            <w:tcW w:w="491" w:type="pct"/>
            <w:vMerge/>
            <w:tcBorders>
              <w:bottom w:val="single" w:sz="4" w:space="0" w:color="auto"/>
            </w:tcBorders>
          </w:tcPr>
          <w:p w14:paraId="7A37691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AC6A4F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1B288FD" w14:textId="77777777" w:rsidR="00CE1436" w:rsidRDefault="00CE1436" w:rsidP="00444693">
            <w:pPr>
              <w:pStyle w:val="TableText"/>
              <w:widowControl w:val="0"/>
              <w:suppressAutoHyphens w:val="0"/>
              <w:spacing w:before="0" w:after="0" w:line="240" w:lineRule="auto"/>
              <w:rPr>
                <w:szCs w:val="17"/>
              </w:rPr>
            </w:pPr>
          </w:p>
        </w:tc>
        <w:tc>
          <w:tcPr>
            <w:tcW w:w="491" w:type="pct"/>
          </w:tcPr>
          <w:p w14:paraId="693E512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6BB960A"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577CDCF"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501F3F5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9CCB3FB"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D218EC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B7060E2" w14:textId="77777777" w:rsidR="00CE1436" w:rsidRDefault="00CE1436" w:rsidP="00444693">
            <w:pPr>
              <w:pStyle w:val="TableText"/>
              <w:widowControl w:val="0"/>
              <w:suppressAutoHyphens w:val="0"/>
              <w:spacing w:before="0" w:after="0" w:line="240" w:lineRule="auto"/>
              <w:jc w:val="center"/>
            </w:pPr>
            <w:r>
              <w:rPr>
                <w:color w:val="1A1B1A"/>
                <w:szCs w:val="17"/>
              </w:rPr>
              <w:t>0.6</w:t>
            </w:r>
          </w:p>
        </w:tc>
        <w:tc>
          <w:tcPr>
            <w:tcW w:w="312" w:type="pct"/>
            <w:vAlign w:val="center"/>
          </w:tcPr>
          <w:p w14:paraId="11419519"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C018F24" w14:textId="77777777" w:rsidR="00CE1436" w:rsidRDefault="00CE1436" w:rsidP="00444693">
            <w:pPr>
              <w:pStyle w:val="TableText"/>
              <w:widowControl w:val="0"/>
              <w:suppressAutoHyphens w:val="0"/>
              <w:spacing w:before="0" w:after="0" w:line="240" w:lineRule="auto"/>
              <w:jc w:val="center"/>
            </w:pPr>
            <w:r>
              <w:rPr>
                <w:color w:val="1A1B1A"/>
                <w:szCs w:val="17"/>
              </w:rPr>
              <w:t>0.17</w:t>
            </w:r>
          </w:p>
        </w:tc>
        <w:tc>
          <w:tcPr>
            <w:tcW w:w="393" w:type="pct"/>
            <w:vAlign w:val="center"/>
          </w:tcPr>
          <w:p w14:paraId="02DD0E41"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6EED089F" w14:textId="77777777" w:rsidTr="00444693">
        <w:trPr>
          <w:cantSplit/>
          <w:trHeight w:val="13"/>
        </w:trPr>
        <w:tc>
          <w:tcPr>
            <w:tcW w:w="491" w:type="pct"/>
            <w:vMerge/>
            <w:tcBorders>
              <w:bottom w:val="single" w:sz="4" w:space="0" w:color="auto"/>
            </w:tcBorders>
          </w:tcPr>
          <w:p w14:paraId="2DC3596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A4AC3AD"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141A135" w14:textId="77777777" w:rsidR="00CE1436" w:rsidRDefault="00CE1436" w:rsidP="00444693">
            <w:pPr>
              <w:pStyle w:val="TableText"/>
              <w:widowControl w:val="0"/>
              <w:suppressAutoHyphens w:val="0"/>
              <w:spacing w:before="0" w:after="0" w:line="240" w:lineRule="auto"/>
              <w:rPr>
                <w:szCs w:val="17"/>
              </w:rPr>
            </w:pPr>
          </w:p>
        </w:tc>
        <w:tc>
          <w:tcPr>
            <w:tcW w:w="491" w:type="pct"/>
          </w:tcPr>
          <w:p w14:paraId="2DD2548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901BCEB"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52B98991" w14:textId="77777777" w:rsidR="00CE1436" w:rsidRDefault="00CE1436" w:rsidP="00444693">
            <w:pPr>
              <w:pStyle w:val="TableText"/>
              <w:widowControl w:val="0"/>
              <w:suppressAutoHyphens w:val="0"/>
              <w:spacing w:before="0" w:after="0" w:line="240" w:lineRule="auto"/>
              <w:jc w:val="center"/>
            </w:pPr>
            <w:r>
              <w:t>165</w:t>
            </w:r>
          </w:p>
        </w:tc>
        <w:tc>
          <w:tcPr>
            <w:tcW w:w="312" w:type="pct"/>
          </w:tcPr>
          <w:p w14:paraId="32DF65C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F51596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EE01F9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7287C6E" w14:textId="77777777" w:rsidR="00CE1436" w:rsidRPr="003B78B6" w:rsidRDefault="00CE1436" w:rsidP="00444693">
            <w:pPr>
              <w:pStyle w:val="TableText"/>
              <w:widowControl w:val="0"/>
              <w:suppressAutoHyphens w:val="0"/>
              <w:spacing w:before="0" w:after="0" w:line="240" w:lineRule="auto"/>
              <w:jc w:val="center"/>
            </w:pPr>
            <w:r>
              <w:rPr>
                <w:color w:val="1A1B1A"/>
                <w:szCs w:val="17"/>
              </w:rPr>
              <w:t>0.6</w:t>
            </w:r>
          </w:p>
        </w:tc>
        <w:tc>
          <w:tcPr>
            <w:tcW w:w="312" w:type="pct"/>
            <w:vAlign w:val="center"/>
          </w:tcPr>
          <w:p w14:paraId="173A77F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3919A0DD" w14:textId="77777777" w:rsidR="00CE1436" w:rsidRPr="0027505E" w:rsidRDefault="00CE1436" w:rsidP="00444693">
            <w:pPr>
              <w:pStyle w:val="TableText"/>
              <w:widowControl w:val="0"/>
              <w:suppressAutoHyphens w:val="0"/>
              <w:spacing w:before="0" w:after="0" w:line="240" w:lineRule="auto"/>
              <w:jc w:val="center"/>
            </w:pPr>
            <w:r>
              <w:rPr>
                <w:color w:val="1A1B1A"/>
                <w:szCs w:val="17"/>
              </w:rPr>
              <w:t>0.16</w:t>
            </w:r>
          </w:p>
        </w:tc>
        <w:tc>
          <w:tcPr>
            <w:tcW w:w="393" w:type="pct"/>
            <w:vAlign w:val="center"/>
          </w:tcPr>
          <w:p w14:paraId="273D1F78"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3FD1AA99" w14:textId="77777777" w:rsidTr="00444693">
        <w:trPr>
          <w:cantSplit/>
          <w:trHeight w:val="13"/>
        </w:trPr>
        <w:tc>
          <w:tcPr>
            <w:tcW w:w="491" w:type="pct"/>
            <w:vMerge/>
            <w:tcBorders>
              <w:bottom w:val="single" w:sz="4" w:space="0" w:color="auto"/>
            </w:tcBorders>
          </w:tcPr>
          <w:p w14:paraId="1670A74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ACE682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B7F32DB" w14:textId="77777777" w:rsidR="00CE1436" w:rsidRDefault="00CE1436" w:rsidP="00444693">
            <w:pPr>
              <w:pStyle w:val="TableText"/>
              <w:widowControl w:val="0"/>
              <w:suppressAutoHyphens w:val="0"/>
              <w:spacing w:before="0" w:after="0" w:line="240" w:lineRule="auto"/>
              <w:rPr>
                <w:szCs w:val="17"/>
              </w:rPr>
            </w:pPr>
          </w:p>
        </w:tc>
        <w:tc>
          <w:tcPr>
            <w:tcW w:w="491" w:type="pct"/>
          </w:tcPr>
          <w:p w14:paraId="39CED18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E480273"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3B92E5A5" w14:textId="77777777" w:rsidR="00CE1436" w:rsidRDefault="00CE1436" w:rsidP="00444693">
            <w:pPr>
              <w:pStyle w:val="TableText"/>
              <w:widowControl w:val="0"/>
              <w:suppressAutoHyphens w:val="0"/>
              <w:spacing w:before="0" w:after="0" w:line="240" w:lineRule="auto"/>
              <w:jc w:val="center"/>
            </w:pPr>
            <w:r>
              <w:t>160</w:t>
            </w:r>
          </w:p>
        </w:tc>
        <w:tc>
          <w:tcPr>
            <w:tcW w:w="312" w:type="pct"/>
          </w:tcPr>
          <w:p w14:paraId="0D80CC0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120D1C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31CD54E"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42FB72E" w14:textId="77777777" w:rsidR="00CE1436" w:rsidRPr="003B78B6" w:rsidRDefault="00CE1436" w:rsidP="00444693">
            <w:pPr>
              <w:pStyle w:val="TableText"/>
              <w:widowControl w:val="0"/>
              <w:suppressAutoHyphens w:val="0"/>
              <w:spacing w:before="0" w:after="0" w:line="240" w:lineRule="auto"/>
              <w:jc w:val="center"/>
            </w:pPr>
            <w:r>
              <w:rPr>
                <w:color w:val="1A1B1A"/>
                <w:szCs w:val="17"/>
              </w:rPr>
              <w:t>0.6</w:t>
            </w:r>
          </w:p>
        </w:tc>
        <w:tc>
          <w:tcPr>
            <w:tcW w:w="312" w:type="pct"/>
            <w:vAlign w:val="center"/>
          </w:tcPr>
          <w:p w14:paraId="359308C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64C47314" w14:textId="77777777" w:rsidR="00CE1436" w:rsidRPr="0027505E" w:rsidRDefault="00CE1436" w:rsidP="00444693">
            <w:pPr>
              <w:pStyle w:val="TableText"/>
              <w:widowControl w:val="0"/>
              <w:suppressAutoHyphens w:val="0"/>
              <w:spacing w:before="0" w:after="0" w:line="240" w:lineRule="auto"/>
              <w:jc w:val="center"/>
            </w:pPr>
            <w:r>
              <w:rPr>
                <w:color w:val="1A1B1A"/>
                <w:szCs w:val="17"/>
              </w:rPr>
              <w:t>0.16</w:t>
            </w:r>
          </w:p>
        </w:tc>
        <w:tc>
          <w:tcPr>
            <w:tcW w:w="393" w:type="pct"/>
            <w:vAlign w:val="center"/>
          </w:tcPr>
          <w:p w14:paraId="5F7FAB0B"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26E219A1" w14:textId="77777777" w:rsidTr="00444693">
        <w:trPr>
          <w:cantSplit/>
          <w:trHeight w:val="13"/>
        </w:trPr>
        <w:tc>
          <w:tcPr>
            <w:tcW w:w="491" w:type="pct"/>
            <w:vMerge/>
            <w:tcBorders>
              <w:bottom w:val="single" w:sz="4" w:space="0" w:color="auto"/>
            </w:tcBorders>
          </w:tcPr>
          <w:p w14:paraId="698A951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48731B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18BB59D" w14:textId="77777777" w:rsidR="00CE1436" w:rsidRDefault="00CE1436" w:rsidP="00444693">
            <w:pPr>
              <w:pStyle w:val="TableText"/>
              <w:widowControl w:val="0"/>
              <w:suppressAutoHyphens w:val="0"/>
              <w:spacing w:before="0" w:after="0" w:line="240" w:lineRule="auto"/>
              <w:rPr>
                <w:szCs w:val="17"/>
              </w:rPr>
            </w:pPr>
          </w:p>
        </w:tc>
        <w:tc>
          <w:tcPr>
            <w:tcW w:w="491" w:type="pct"/>
          </w:tcPr>
          <w:p w14:paraId="77C32A5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53C3170" w14:textId="77777777" w:rsidR="00CE1436"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41414378" w14:textId="77777777" w:rsidR="00CE1436" w:rsidRDefault="00CE1436" w:rsidP="00444693">
            <w:pPr>
              <w:pStyle w:val="TableText"/>
              <w:widowControl w:val="0"/>
              <w:suppressAutoHyphens w:val="0"/>
              <w:spacing w:before="0" w:after="0" w:line="240" w:lineRule="auto"/>
              <w:jc w:val="center"/>
            </w:pPr>
            <w:r>
              <w:t>150</w:t>
            </w:r>
          </w:p>
        </w:tc>
        <w:tc>
          <w:tcPr>
            <w:tcW w:w="312" w:type="pct"/>
          </w:tcPr>
          <w:p w14:paraId="7FC62BC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089912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892AA1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D93DFE3" w14:textId="77777777" w:rsidR="00CE1436" w:rsidRDefault="00CE1436" w:rsidP="00444693">
            <w:pPr>
              <w:pStyle w:val="TableText"/>
              <w:widowControl w:val="0"/>
              <w:suppressAutoHyphens w:val="0"/>
              <w:spacing w:before="0" w:after="0" w:line="240" w:lineRule="auto"/>
              <w:jc w:val="center"/>
            </w:pPr>
            <w:r>
              <w:rPr>
                <w:color w:val="1A1B1A"/>
                <w:szCs w:val="17"/>
              </w:rPr>
              <w:t>0.6</w:t>
            </w:r>
          </w:p>
        </w:tc>
        <w:tc>
          <w:tcPr>
            <w:tcW w:w="312" w:type="pct"/>
            <w:vAlign w:val="center"/>
          </w:tcPr>
          <w:p w14:paraId="0D00F5C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78E0FBB3" w14:textId="77777777" w:rsidR="00CE1436" w:rsidRDefault="00CE1436" w:rsidP="00444693">
            <w:pPr>
              <w:pStyle w:val="TableText"/>
              <w:widowControl w:val="0"/>
              <w:suppressAutoHyphens w:val="0"/>
              <w:spacing w:before="0" w:after="0" w:line="240" w:lineRule="auto"/>
              <w:jc w:val="center"/>
            </w:pPr>
            <w:r>
              <w:rPr>
                <w:color w:val="1A1B1A"/>
                <w:szCs w:val="17"/>
              </w:rPr>
              <w:t>0.15</w:t>
            </w:r>
          </w:p>
        </w:tc>
        <w:tc>
          <w:tcPr>
            <w:tcW w:w="393" w:type="pct"/>
            <w:vAlign w:val="center"/>
          </w:tcPr>
          <w:p w14:paraId="6A24F544"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045F6ECA" w14:textId="77777777" w:rsidTr="00444693">
        <w:trPr>
          <w:cantSplit/>
          <w:trHeight w:val="13"/>
        </w:trPr>
        <w:tc>
          <w:tcPr>
            <w:tcW w:w="491" w:type="pct"/>
            <w:vMerge/>
            <w:tcBorders>
              <w:bottom w:val="single" w:sz="4" w:space="0" w:color="auto"/>
            </w:tcBorders>
          </w:tcPr>
          <w:p w14:paraId="4AFE0CD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F3FFF7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537F370" w14:textId="77777777" w:rsidR="00CE1436" w:rsidRDefault="00CE1436" w:rsidP="00444693">
            <w:pPr>
              <w:pStyle w:val="TableText"/>
              <w:widowControl w:val="0"/>
              <w:suppressAutoHyphens w:val="0"/>
              <w:spacing w:before="0" w:after="0" w:line="240" w:lineRule="auto"/>
              <w:rPr>
                <w:szCs w:val="17"/>
              </w:rPr>
            </w:pPr>
          </w:p>
        </w:tc>
        <w:tc>
          <w:tcPr>
            <w:tcW w:w="491" w:type="pct"/>
          </w:tcPr>
          <w:p w14:paraId="6E82D18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BADDB1A"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47BB3602" w14:textId="77777777" w:rsidR="00CE1436" w:rsidRDefault="00CE1436" w:rsidP="00444693">
            <w:pPr>
              <w:pStyle w:val="TableText"/>
              <w:widowControl w:val="0"/>
              <w:suppressAutoHyphens w:val="0"/>
              <w:spacing w:before="0" w:after="0" w:line="240" w:lineRule="auto"/>
              <w:jc w:val="center"/>
            </w:pPr>
            <w:r>
              <w:t>108</w:t>
            </w:r>
          </w:p>
        </w:tc>
        <w:tc>
          <w:tcPr>
            <w:tcW w:w="312" w:type="pct"/>
          </w:tcPr>
          <w:p w14:paraId="7413C21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509E49E"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7944967"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ED0E39C" w14:textId="77777777" w:rsidR="00CE1436" w:rsidRPr="003B78B6" w:rsidRDefault="00CE1436" w:rsidP="00444693">
            <w:pPr>
              <w:pStyle w:val="TableText"/>
              <w:widowControl w:val="0"/>
              <w:suppressAutoHyphens w:val="0"/>
              <w:spacing w:before="0" w:after="0" w:line="240" w:lineRule="auto"/>
              <w:jc w:val="center"/>
            </w:pPr>
            <w:r>
              <w:rPr>
                <w:color w:val="1A1B1A"/>
                <w:szCs w:val="17"/>
              </w:rPr>
              <w:t>0.4</w:t>
            </w:r>
          </w:p>
        </w:tc>
        <w:tc>
          <w:tcPr>
            <w:tcW w:w="312" w:type="pct"/>
            <w:vAlign w:val="center"/>
          </w:tcPr>
          <w:p w14:paraId="5EB8C6CA"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71AF1B9B" w14:textId="77777777" w:rsidR="00CE1436" w:rsidRPr="0027505E" w:rsidRDefault="00CE1436" w:rsidP="00444693">
            <w:pPr>
              <w:pStyle w:val="TableText"/>
              <w:widowControl w:val="0"/>
              <w:suppressAutoHyphens w:val="0"/>
              <w:spacing w:before="0" w:after="0" w:line="240" w:lineRule="auto"/>
              <w:jc w:val="center"/>
            </w:pPr>
            <w:r>
              <w:rPr>
                <w:color w:val="1A1B1A"/>
                <w:szCs w:val="17"/>
              </w:rPr>
              <w:t>0.11</w:t>
            </w:r>
          </w:p>
        </w:tc>
        <w:tc>
          <w:tcPr>
            <w:tcW w:w="393" w:type="pct"/>
            <w:vAlign w:val="center"/>
          </w:tcPr>
          <w:p w14:paraId="65C2FC8C"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1798E4A0" w14:textId="77777777" w:rsidTr="00444693">
        <w:trPr>
          <w:cantSplit/>
          <w:trHeight w:val="13"/>
        </w:trPr>
        <w:tc>
          <w:tcPr>
            <w:tcW w:w="491" w:type="pct"/>
            <w:vMerge/>
            <w:tcBorders>
              <w:bottom w:val="single" w:sz="4" w:space="0" w:color="auto"/>
            </w:tcBorders>
          </w:tcPr>
          <w:p w14:paraId="5C29EC6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F5E63D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329DD37" w14:textId="77777777" w:rsidR="00CE1436" w:rsidRDefault="00CE1436" w:rsidP="00444693">
            <w:pPr>
              <w:pStyle w:val="TableText"/>
              <w:widowControl w:val="0"/>
              <w:suppressAutoHyphens w:val="0"/>
              <w:spacing w:before="0" w:after="0" w:line="240" w:lineRule="auto"/>
              <w:rPr>
                <w:szCs w:val="17"/>
              </w:rPr>
            </w:pPr>
          </w:p>
        </w:tc>
        <w:tc>
          <w:tcPr>
            <w:tcW w:w="491" w:type="pct"/>
          </w:tcPr>
          <w:p w14:paraId="28186F35"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C6F1134" w14:textId="77777777" w:rsidR="00CE1436" w:rsidRPr="00E75B91" w:rsidRDefault="00CE1436" w:rsidP="00444693">
            <w:pPr>
              <w:pStyle w:val="TableText"/>
              <w:widowControl w:val="0"/>
              <w:suppressAutoHyphens w:val="0"/>
              <w:spacing w:before="0" w:after="0" w:line="240" w:lineRule="auto"/>
              <w:jc w:val="center"/>
            </w:pPr>
            <w:r w:rsidRPr="00203427">
              <w:t>14.1</w:t>
            </w:r>
            <w:r w:rsidRPr="00203427">
              <w:rPr>
                <w:vertAlign w:val="superscript"/>
              </w:rPr>
              <w:t>b</w:t>
            </w:r>
          </w:p>
        </w:tc>
        <w:tc>
          <w:tcPr>
            <w:tcW w:w="311" w:type="pct"/>
          </w:tcPr>
          <w:p w14:paraId="5BF3E6A2" w14:textId="77777777" w:rsidR="00CE1436" w:rsidRDefault="00CE1436" w:rsidP="00444693">
            <w:pPr>
              <w:pStyle w:val="TableText"/>
              <w:widowControl w:val="0"/>
              <w:suppressAutoHyphens w:val="0"/>
              <w:spacing w:before="0" w:after="0" w:line="240" w:lineRule="auto"/>
              <w:jc w:val="center"/>
            </w:pPr>
            <w:r>
              <w:t>100</w:t>
            </w:r>
          </w:p>
        </w:tc>
        <w:tc>
          <w:tcPr>
            <w:tcW w:w="312" w:type="pct"/>
          </w:tcPr>
          <w:p w14:paraId="36E3C08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A5DAF31"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716D4D3"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1EF7D51" w14:textId="77777777" w:rsidR="00CE1436" w:rsidRPr="003B78B6" w:rsidRDefault="00CE1436" w:rsidP="00444693">
            <w:pPr>
              <w:pStyle w:val="TableText"/>
              <w:widowControl w:val="0"/>
              <w:suppressAutoHyphens w:val="0"/>
              <w:spacing w:before="0" w:after="0" w:line="240" w:lineRule="auto"/>
              <w:jc w:val="center"/>
            </w:pPr>
            <w:r>
              <w:rPr>
                <w:color w:val="1A1B1A"/>
                <w:szCs w:val="17"/>
              </w:rPr>
              <w:t>0.4</w:t>
            </w:r>
          </w:p>
        </w:tc>
        <w:tc>
          <w:tcPr>
            <w:tcW w:w="312" w:type="pct"/>
            <w:vAlign w:val="center"/>
          </w:tcPr>
          <w:p w14:paraId="7BA75E05"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5ECEDE99" w14:textId="77777777" w:rsidR="00CE1436" w:rsidRPr="0027505E" w:rsidRDefault="00CE1436" w:rsidP="00444693">
            <w:pPr>
              <w:pStyle w:val="TableText"/>
              <w:widowControl w:val="0"/>
              <w:suppressAutoHyphens w:val="0"/>
              <w:spacing w:before="0" w:after="0" w:line="240" w:lineRule="auto"/>
              <w:jc w:val="center"/>
            </w:pPr>
            <w:r>
              <w:rPr>
                <w:color w:val="1A1B1A"/>
                <w:szCs w:val="17"/>
              </w:rPr>
              <w:t>0.10</w:t>
            </w:r>
          </w:p>
        </w:tc>
        <w:tc>
          <w:tcPr>
            <w:tcW w:w="393" w:type="pct"/>
            <w:vAlign w:val="center"/>
          </w:tcPr>
          <w:p w14:paraId="413E8C4B" w14:textId="77777777" w:rsidR="00CE1436" w:rsidRPr="0027505E" w:rsidRDefault="00CE1436" w:rsidP="00444693">
            <w:pPr>
              <w:pStyle w:val="TableText"/>
              <w:widowControl w:val="0"/>
              <w:suppressAutoHyphens w:val="0"/>
              <w:spacing w:before="0" w:after="0" w:line="240" w:lineRule="auto"/>
              <w:jc w:val="center"/>
            </w:pPr>
            <w:r>
              <w:rPr>
                <w:color w:val="1A1B1A"/>
                <w:szCs w:val="17"/>
              </w:rPr>
              <w:t>1017</w:t>
            </w:r>
          </w:p>
        </w:tc>
      </w:tr>
      <w:tr w:rsidR="00CE1436" w:rsidRPr="00C3293F" w14:paraId="1BDE0BBA" w14:textId="77777777" w:rsidTr="00444693">
        <w:trPr>
          <w:cantSplit/>
          <w:trHeight w:val="13"/>
        </w:trPr>
        <w:tc>
          <w:tcPr>
            <w:tcW w:w="491" w:type="pct"/>
            <w:vMerge/>
            <w:tcBorders>
              <w:bottom w:val="single" w:sz="4" w:space="0" w:color="auto"/>
            </w:tcBorders>
          </w:tcPr>
          <w:p w14:paraId="5F879D9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0B6D23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0ACB3E6"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6C7E3F84"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4257974D" w14:textId="77777777" w:rsidR="00CE1436" w:rsidRDefault="00CE1436" w:rsidP="00444693">
            <w:pPr>
              <w:pStyle w:val="TableText"/>
              <w:widowControl w:val="0"/>
              <w:suppressAutoHyphens w:val="0"/>
              <w:spacing w:before="0" w:after="0" w:line="240" w:lineRule="auto"/>
              <w:jc w:val="center"/>
            </w:pPr>
            <w:r w:rsidRPr="00E75B91">
              <w:t>14.1</w:t>
            </w:r>
            <w:r w:rsidRPr="00E75B91">
              <w:rPr>
                <w:vertAlign w:val="superscript"/>
              </w:rPr>
              <w:t>b</w:t>
            </w:r>
          </w:p>
        </w:tc>
        <w:tc>
          <w:tcPr>
            <w:tcW w:w="311" w:type="pct"/>
            <w:tcBorders>
              <w:bottom w:val="single" w:sz="4" w:space="0" w:color="auto"/>
            </w:tcBorders>
          </w:tcPr>
          <w:p w14:paraId="355431A0" w14:textId="77777777" w:rsidR="00CE1436" w:rsidRDefault="00CE1436" w:rsidP="00444693">
            <w:pPr>
              <w:pStyle w:val="TableText"/>
              <w:widowControl w:val="0"/>
              <w:suppressAutoHyphens w:val="0"/>
              <w:spacing w:before="0" w:after="0" w:line="240" w:lineRule="auto"/>
              <w:jc w:val="center"/>
            </w:pPr>
            <w:r>
              <w:t>75</w:t>
            </w:r>
          </w:p>
        </w:tc>
        <w:tc>
          <w:tcPr>
            <w:tcW w:w="312" w:type="pct"/>
            <w:tcBorders>
              <w:bottom w:val="single" w:sz="4" w:space="0" w:color="auto"/>
            </w:tcBorders>
          </w:tcPr>
          <w:p w14:paraId="7A0099FE"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420A16F" w14:textId="77777777" w:rsidR="00CE1436" w:rsidRDefault="00CE1436" w:rsidP="00444693">
            <w:pPr>
              <w:pStyle w:val="TableText"/>
              <w:widowControl w:val="0"/>
              <w:suppressAutoHyphens w:val="0"/>
              <w:spacing w:before="0" w:after="0" w:line="240" w:lineRule="auto"/>
              <w:jc w:val="center"/>
            </w:pPr>
            <w:r>
              <w:t>0.5</w:t>
            </w:r>
          </w:p>
        </w:tc>
        <w:tc>
          <w:tcPr>
            <w:tcW w:w="312" w:type="pct"/>
            <w:tcBorders>
              <w:bottom w:val="single" w:sz="4" w:space="0" w:color="auto"/>
            </w:tcBorders>
          </w:tcPr>
          <w:p w14:paraId="72DDD20C" w14:textId="77777777" w:rsidR="00CE1436" w:rsidRDefault="00CE1436" w:rsidP="00444693">
            <w:pPr>
              <w:pStyle w:val="TableText"/>
              <w:widowControl w:val="0"/>
              <w:suppressAutoHyphens w:val="0"/>
              <w:spacing w:before="0" w:after="0" w:line="240" w:lineRule="auto"/>
              <w:jc w:val="center"/>
            </w:pPr>
            <w:r>
              <w:t>0.53</w:t>
            </w:r>
          </w:p>
        </w:tc>
        <w:tc>
          <w:tcPr>
            <w:tcW w:w="311" w:type="pct"/>
            <w:tcBorders>
              <w:bottom w:val="single" w:sz="4" w:space="0" w:color="auto"/>
            </w:tcBorders>
            <w:vAlign w:val="center"/>
          </w:tcPr>
          <w:p w14:paraId="42D01570" w14:textId="77777777" w:rsidR="00CE1436" w:rsidRDefault="00CE1436" w:rsidP="00444693">
            <w:pPr>
              <w:pStyle w:val="TableText"/>
              <w:widowControl w:val="0"/>
              <w:suppressAutoHyphens w:val="0"/>
              <w:spacing w:before="0" w:after="0" w:line="240" w:lineRule="auto"/>
              <w:jc w:val="center"/>
            </w:pPr>
            <w:r>
              <w:rPr>
                <w:color w:val="1A1B1A"/>
                <w:szCs w:val="17"/>
              </w:rPr>
              <w:t>0.3</w:t>
            </w:r>
          </w:p>
        </w:tc>
        <w:tc>
          <w:tcPr>
            <w:tcW w:w="312" w:type="pct"/>
            <w:tcBorders>
              <w:bottom w:val="single" w:sz="4" w:space="0" w:color="auto"/>
            </w:tcBorders>
            <w:vAlign w:val="center"/>
          </w:tcPr>
          <w:p w14:paraId="43D345ED"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1B2E5F94" w14:textId="77777777" w:rsidR="00CE1436" w:rsidRDefault="00CE1436" w:rsidP="00444693">
            <w:pPr>
              <w:pStyle w:val="TableText"/>
              <w:widowControl w:val="0"/>
              <w:suppressAutoHyphens w:val="0"/>
              <w:spacing w:before="0" w:after="0" w:line="240" w:lineRule="auto"/>
              <w:jc w:val="center"/>
            </w:pPr>
            <w:r>
              <w:rPr>
                <w:color w:val="1A1B1A"/>
                <w:szCs w:val="17"/>
              </w:rPr>
              <w:t>0.07</w:t>
            </w:r>
          </w:p>
        </w:tc>
        <w:tc>
          <w:tcPr>
            <w:tcW w:w="393" w:type="pct"/>
            <w:tcBorders>
              <w:bottom w:val="single" w:sz="4" w:space="0" w:color="auto"/>
            </w:tcBorders>
            <w:vAlign w:val="center"/>
          </w:tcPr>
          <w:p w14:paraId="5D15795F" w14:textId="77777777" w:rsidR="00CE1436" w:rsidRPr="00C3293F" w:rsidRDefault="00CE1436" w:rsidP="00444693">
            <w:pPr>
              <w:pStyle w:val="TableText"/>
              <w:widowControl w:val="0"/>
              <w:suppressAutoHyphens w:val="0"/>
              <w:spacing w:before="0" w:after="0" w:line="240" w:lineRule="auto"/>
              <w:jc w:val="center"/>
            </w:pPr>
            <w:r>
              <w:rPr>
                <w:color w:val="1A1B1A"/>
                <w:szCs w:val="17"/>
              </w:rPr>
              <w:t>1017</w:t>
            </w:r>
          </w:p>
        </w:tc>
      </w:tr>
      <w:tr w:rsidR="00CE1436" w:rsidRPr="0027505E" w14:paraId="0712F9FF" w14:textId="77777777" w:rsidTr="00444693">
        <w:trPr>
          <w:cantSplit/>
          <w:trHeight w:val="13"/>
        </w:trPr>
        <w:tc>
          <w:tcPr>
            <w:tcW w:w="5000" w:type="pct"/>
            <w:gridSpan w:val="13"/>
            <w:tcBorders>
              <w:bottom w:val="single" w:sz="4" w:space="0" w:color="auto"/>
            </w:tcBorders>
          </w:tcPr>
          <w:p w14:paraId="3074ACB9" w14:textId="77777777" w:rsidR="00CE1436" w:rsidRPr="0027505E" w:rsidRDefault="00CE1436" w:rsidP="00AC06D7">
            <w:pPr>
              <w:pStyle w:val="TableSubHead0"/>
            </w:pPr>
            <w:r>
              <w:t>General weed control in lucerne (ungrazed before application)</w:t>
            </w:r>
          </w:p>
        </w:tc>
      </w:tr>
      <w:tr w:rsidR="00CE1436" w:rsidRPr="00C3293F" w14:paraId="40057F05" w14:textId="77777777" w:rsidTr="00444693">
        <w:trPr>
          <w:cantSplit/>
          <w:trHeight w:val="13"/>
        </w:trPr>
        <w:tc>
          <w:tcPr>
            <w:tcW w:w="491" w:type="pct"/>
            <w:vMerge w:val="restart"/>
            <w:tcBorders>
              <w:bottom w:val="single" w:sz="4" w:space="0" w:color="auto"/>
            </w:tcBorders>
          </w:tcPr>
          <w:p w14:paraId="7E0D555E" w14:textId="77777777" w:rsidR="00CE1436" w:rsidRDefault="00CE1436" w:rsidP="00444693">
            <w:pPr>
              <w:pStyle w:val="TableText"/>
              <w:widowControl w:val="0"/>
              <w:suppressAutoHyphens w:val="0"/>
              <w:spacing w:before="0" w:after="0" w:line="240" w:lineRule="auto"/>
              <w:rPr>
                <w:szCs w:val="17"/>
              </w:rPr>
            </w:pPr>
            <w:r>
              <w:rPr>
                <w:szCs w:val="17"/>
              </w:rPr>
              <w:t>Legume forage</w:t>
            </w:r>
          </w:p>
        </w:tc>
        <w:tc>
          <w:tcPr>
            <w:tcW w:w="518" w:type="pct"/>
            <w:vMerge w:val="restart"/>
            <w:tcBorders>
              <w:bottom w:val="single" w:sz="4" w:space="0" w:color="auto"/>
            </w:tcBorders>
          </w:tcPr>
          <w:p w14:paraId="6090FE05" w14:textId="77777777" w:rsidR="00CE1436" w:rsidRPr="00B6513E" w:rsidRDefault="00CE1436" w:rsidP="00444693">
            <w:pPr>
              <w:pStyle w:val="TableText"/>
              <w:widowControl w:val="0"/>
              <w:suppressAutoHyphens w:val="0"/>
              <w:spacing w:before="0" w:after="0" w:line="240" w:lineRule="auto"/>
              <w:rPr>
                <w:szCs w:val="17"/>
              </w:rPr>
            </w:pPr>
            <w:r>
              <w:rPr>
                <w:szCs w:val="17"/>
              </w:rPr>
              <w:t>Small herbivore</w:t>
            </w:r>
          </w:p>
        </w:tc>
        <w:tc>
          <w:tcPr>
            <w:tcW w:w="477" w:type="pct"/>
            <w:vMerge w:val="restart"/>
            <w:tcBorders>
              <w:bottom w:val="single" w:sz="4" w:space="0" w:color="auto"/>
            </w:tcBorders>
          </w:tcPr>
          <w:p w14:paraId="356DDDDC" w14:textId="77777777" w:rsidR="00CE1436" w:rsidRDefault="00CE1436" w:rsidP="00444693">
            <w:pPr>
              <w:pStyle w:val="TableText"/>
              <w:widowControl w:val="0"/>
              <w:suppressAutoHyphens w:val="0"/>
              <w:spacing w:before="0" w:after="0" w:line="240" w:lineRule="auto"/>
              <w:rPr>
                <w:szCs w:val="17"/>
              </w:rPr>
            </w:pPr>
            <w:r>
              <w:rPr>
                <w:szCs w:val="17"/>
              </w:rPr>
              <w:t>BBCH ≥50</w:t>
            </w:r>
          </w:p>
        </w:tc>
        <w:tc>
          <w:tcPr>
            <w:tcW w:w="491" w:type="pct"/>
            <w:tcBorders>
              <w:top w:val="single" w:sz="4" w:space="0" w:color="auto"/>
            </w:tcBorders>
          </w:tcPr>
          <w:p w14:paraId="52E504CE"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36F64268" w14:textId="77777777" w:rsidR="00CE1436" w:rsidRDefault="00CE1436" w:rsidP="00444693">
            <w:pPr>
              <w:pStyle w:val="TableText"/>
              <w:widowControl w:val="0"/>
              <w:suppressAutoHyphens w:val="0"/>
              <w:spacing w:before="0" w:after="0" w:line="240" w:lineRule="auto"/>
              <w:jc w:val="center"/>
            </w:pPr>
            <w:r>
              <w:t>11.2</w:t>
            </w:r>
            <w:r w:rsidRPr="00077A92">
              <w:rPr>
                <w:vertAlign w:val="superscript"/>
              </w:rPr>
              <w:t>a</w:t>
            </w:r>
            <w:r>
              <w:rPr>
                <w:vertAlign w:val="superscript"/>
              </w:rPr>
              <w:t>,c</w:t>
            </w:r>
          </w:p>
        </w:tc>
        <w:tc>
          <w:tcPr>
            <w:tcW w:w="311" w:type="pct"/>
            <w:tcBorders>
              <w:top w:val="single" w:sz="4" w:space="0" w:color="auto"/>
            </w:tcBorders>
          </w:tcPr>
          <w:p w14:paraId="205E5504" w14:textId="77777777" w:rsidR="00CE1436" w:rsidRDefault="00CE1436" w:rsidP="00444693">
            <w:pPr>
              <w:pStyle w:val="TableText"/>
              <w:widowControl w:val="0"/>
              <w:suppressAutoHyphens w:val="0"/>
              <w:spacing w:before="0" w:after="0" w:line="240" w:lineRule="auto"/>
              <w:jc w:val="center"/>
            </w:pPr>
            <w:r>
              <w:t>600</w:t>
            </w:r>
          </w:p>
        </w:tc>
        <w:tc>
          <w:tcPr>
            <w:tcW w:w="312" w:type="pct"/>
            <w:tcBorders>
              <w:top w:val="single" w:sz="4" w:space="0" w:color="auto"/>
            </w:tcBorders>
          </w:tcPr>
          <w:p w14:paraId="5DF04DFF"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66ED1DC7"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319C5BF2"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56802808" w14:textId="77777777" w:rsidR="00CE1436" w:rsidRDefault="00CE1436" w:rsidP="00444693">
            <w:pPr>
              <w:pStyle w:val="TableText"/>
              <w:widowControl w:val="0"/>
              <w:suppressAutoHyphens w:val="0"/>
              <w:spacing w:before="0" w:after="0" w:line="240" w:lineRule="auto"/>
              <w:jc w:val="center"/>
            </w:pPr>
            <w:r>
              <w:rPr>
                <w:color w:val="1A1B1A"/>
                <w:szCs w:val="17"/>
              </w:rPr>
              <w:t>6.7</w:t>
            </w:r>
          </w:p>
        </w:tc>
        <w:tc>
          <w:tcPr>
            <w:tcW w:w="312" w:type="pct"/>
            <w:tcBorders>
              <w:top w:val="single" w:sz="4" w:space="0" w:color="auto"/>
            </w:tcBorders>
            <w:vAlign w:val="center"/>
          </w:tcPr>
          <w:p w14:paraId="0D8CA1F0"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672D1E4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tcBorders>
              <w:top w:val="single" w:sz="4" w:space="0" w:color="auto"/>
            </w:tcBorders>
            <w:vAlign w:val="center"/>
          </w:tcPr>
          <w:p w14:paraId="48F02698" w14:textId="77777777" w:rsidR="00CE1436" w:rsidRPr="00C3293F" w:rsidRDefault="00CE1436" w:rsidP="00444693">
            <w:pPr>
              <w:pStyle w:val="TableText"/>
              <w:widowControl w:val="0"/>
              <w:suppressAutoHyphens w:val="0"/>
              <w:spacing w:before="0" w:after="0" w:line="240" w:lineRule="auto"/>
              <w:jc w:val="center"/>
            </w:pPr>
            <w:r>
              <w:rPr>
                <w:color w:val="1A1B1A"/>
                <w:szCs w:val="17"/>
              </w:rPr>
              <w:t>545</w:t>
            </w:r>
          </w:p>
        </w:tc>
      </w:tr>
      <w:tr w:rsidR="00CE1436" w:rsidRPr="0027505E" w14:paraId="67DC95AD" w14:textId="77777777" w:rsidTr="00444693">
        <w:trPr>
          <w:cantSplit/>
          <w:trHeight w:val="13"/>
        </w:trPr>
        <w:tc>
          <w:tcPr>
            <w:tcW w:w="491" w:type="pct"/>
            <w:vMerge/>
            <w:tcBorders>
              <w:bottom w:val="single" w:sz="4" w:space="0" w:color="auto"/>
            </w:tcBorders>
          </w:tcPr>
          <w:p w14:paraId="2DE6A89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4DDED5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0E7DA15" w14:textId="77777777" w:rsidR="00CE1436" w:rsidRDefault="00CE1436" w:rsidP="00444693">
            <w:pPr>
              <w:pStyle w:val="TableText"/>
              <w:widowControl w:val="0"/>
              <w:suppressAutoHyphens w:val="0"/>
              <w:spacing w:before="0" w:after="0" w:line="240" w:lineRule="auto"/>
              <w:rPr>
                <w:szCs w:val="17"/>
              </w:rPr>
            </w:pPr>
          </w:p>
        </w:tc>
        <w:tc>
          <w:tcPr>
            <w:tcW w:w="491" w:type="pct"/>
          </w:tcPr>
          <w:p w14:paraId="69A6348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83A74F7" w14:textId="77777777" w:rsidR="00CE1436" w:rsidRDefault="00CE1436" w:rsidP="00444693">
            <w:pPr>
              <w:pStyle w:val="TableText"/>
              <w:widowControl w:val="0"/>
              <w:suppressAutoHyphens w:val="0"/>
              <w:spacing w:before="0" w:after="0" w:line="240" w:lineRule="auto"/>
              <w:jc w:val="center"/>
            </w:pPr>
            <w:r w:rsidRPr="006141DE">
              <w:t>11.2</w:t>
            </w:r>
            <w:r w:rsidRPr="006141DE">
              <w:rPr>
                <w:vertAlign w:val="superscript"/>
              </w:rPr>
              <w:t>a,c</w:t>
            </w:r>
          </w:p>
        </w:tc>
        <w:tc>
          <w:tcPr>
            <w:tcW w:w="311" w:type="pct"/>
          </w:tcPr>
          <w:p w14:paraId="65A5F19C" w14:textId="77777777" w:rsidR="00CE1436" w:rsidRDefault="00CE1436" w:rsidP="00444693">
            <w:pPr>
              <w:pStyle w:val="TableText"/>
              <w:widowControl w:val="0"/>
              <w:suppressAutoHyphens w:val="0"/>
              <w:spacing w:before="0" w:after="0" w:line="240" w:lineRule="auto"/>
              <w:jc w:val="center"/>
            </w:pPr>
            <w:r>
              <w:t>595</w:t>
            </w:r>
          </w:p>
        </w:tc>
        <w:tc>
          <w:tcPr>
            <w:tcW w:w="312" w:type="pct"/>
          </w:tcPr>
          <w:p w14:paraId="2A32CB4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9AC77C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87C984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EEA2360" w14:textId="77777777" w:rsidR="00CE1436" w:rsidRPr="003B78B6"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475BD5F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92C587F"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254BCBF7" w14:textId="77777777" w:rsidR="00CE1436" w:rsidRPr="0027505E" w:rsidRDefault="00CE1436" w:rsidP="00444693">
            <w:pPr>
              <w:pStyle w:val="TableText"/>
              <w:widowControl w:val="0"/>
              <w:suppressAutoHyphens w:val="0"/>
              <w:spacing w:before="0" w:after="0" w:line="240" w:lineRule="auto"/>
              <w:jc w:val="center"/>
            </w:pPr>
            <w:r>
              <w:rPr>
                <w:color w:val="1A1B1A"/>
                <w:szCs w:val="17"/>
              </w:rPr>
              <w:t>545</w:t>
            </w:r>
          </w:p>
        </w:tc>
      </w:tr>
      <w:tr w:rsidR="00CE1436" w:rsidRPr="0027505E" w14:paraId="630D0888" w14:textId="77777777" w:rsidTr="00444693">
        <w:trPr>
          <w:cantSplit/>
          <w:trHeight w:val="13"/>
        </w:trPr>
        <w:tc>
          <w:tcPr>
            <w:tcW w:w="491" w:type="pct"/>
            <w:vMerge/>
            <w:tcBorders>
              <w:bottom w:val="single" w:sz="4" w:space="0" w:color="auto"/>
            </w:tcBorders>
          </w:tcPr>
          <w:p w14:paraId="1466EA9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B43379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CB787CB" w14:textId="77777777" w:rsidR="00CE1436" w:rsidRDefault="00CE1436" w:rsidP="00444693">
            <w:pPr>
              <w:pStyle w:val="TableText"/>
              <w:widowControl w:val="0"/>
              <w:suppressAutoHyphens w:val="0"/>
              <w:spacing w:before="0" w:after="0" w:line="240" w:lineRule="auto"/>
              <w:rPr>
                <w:szCs w:val="17"/>
              </w:rPr>
            </w:pPr>
          </w:p>
        </w:tc>
        <w:tc>
          <w:tcPr>
            <w:tcW w:w="491" w:type="pct"/>
          </w:tcPr>
          <w:p w14:paraId="57E179F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01014DB" w14:textId="77777777" w:rsidR="00CE1436" w:rsidRDefault="00CE1436" w:rsidP="00444693">
            <w:pPr>
              <w:pStyle w:val="TableText"/>
              <w:widowControl w:val="0"/>
              <w:suppressAutoHyphens w:val="0"/>
              <w:spacing w:before="0" w:after="0" w:line="240" w:lineRule="auto"/>
              <w:jc w:val="center"/>
            </w:pPr>
            <w:r w:rsidRPr="006141DE">
              <w:t>11.2</w:t>
            </w:r>
            <w:r w:rsidRPr="006141DE">
              <w:rPr>
                <w:vertAlign w:val="superscript"/>
              </w:rPr>
              <w:t>a,c</w:t>
            </w:r>
          </w:p>
        </w:tc>
        <w:tc>
          <w:tcPr>
            <w:tcW w:w="311" w:type="pct"/>
          </w:tcPr>
          <w:p w14:paraId="03FCC42B" w14:textId="77777777" w:rsidR="00CE1436" w:rsidRDefault="00CE1436" w:rsidP="00444693">
            <w:pPr>
              <w:pStyle w:val="TableText"/>
              <w:widowControl w:val="0"/>
              <w:suppressAutoHyphens w:val="0"/>
              <w:spacing w:before="0" w:after="0" w:line="240" w:lineRule="auto"/>
              <w:jc w:val="center"/>
            </w:pPr>
            <w:r>
              <w:t>400</w:t>
            </w:r>
          </w:p>
        </w:tc>
        <w:tc>
          <w:tcPr>
            <w:tcW w:w="312" w:type="pct"/>
          </w:tcPr>
          <w:p w14:paraId="12FE585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29034B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142B40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701419D" w14:textId="77777777" w:rsidR="00CE1436" w:rsidRPr="003B78B6" w:rsidRDefault="00CE1436" w:rsidP="00444693">
            <w:pPr>
              <w:pStyle w:val="TableText"/>
              <w:widowControl w:val="0"/>
              <w:suppressAutoHyphens w:val="0"/>
              <w:spacing w:before="0" w:after="0" w:line="240" w:lineRule="auto"/>
              <w:jc w:val="center"/>
            </w:pPr>
            <w:r>
              <w:rPr>
                <w:color w:val="1A1B1A"/>
                <w:szCs w:val="17"/>
              </w:rPr>
              <w:t>4.5</w:t>
            </w:r>
          </w:p>
        </w:tc>
        <w:tc>
          <w:tcPr>
            <w:tcW w:w="312" w:type="pct"/>
            <w:vAlign w:val="center"/>
          </w:tcPr>
          <w:p w14:paraId="363F126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CB1E89D"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0.7</w:t>
            </w:r>
          </w:p>
        </w:tc>
        <w:tc>
          <w:tcPr>
            <w:tcW w:w="393" w:type="pct"/>
            <w:vAlign w:val="center"/>
          </w:tcPr>
          <w:p w14:paraId="403597CA" w14:textId="77777777" w:rsidR="00CE1436" w:rsidRPr="0027505E" w:rsidRDefault="00CE1436" w:rsidP="00444693">
            <w:pPr>
              <w:pStyle w:val="TableText"/>
              <w:widowControl w:val="0"/>
              <w:suppressAutoHyphens w:val="0"/>
              <w:spacing w:before="0" w:after="0" w:line="240" w:lineRule="auto"/>
              <w:jc w:val="center"/>
            </w:pPr>
            <w:r>
              <w:rPr>
                <w:color w:val="1A1B1A"/>
                <w:szCs w:val="17"/>
              </w:rPr>
              <w:t>545</w:t>
            </w:r>
          </w:p>
        </w:tc>
      </w:tr>
      <w:tr w:rsidR="00CE1436" w:rsidRPr="0027505E" w14:paraId="207DA869" w14:textId="77777777" w:rsidTr="00444693">
        <w:trPr>
          <w:cantSplit/>
          <w:trHeight w:val="13"/>
        </w:trPr>
        <w:tc>
          <w:tcPr>
            <w:tcW w:w="491" w:type="pct"/>
            <w:vMerge/>
            <w:tcBorders>
              <w:bottom w:val="single" w:sz="4" w:space="0" w:color="auto"/>
            </w:tcBorders>
          </w:tcPr>
          <w:p w14:paraId="060D35A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3D119B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7D57D71"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643A35B6"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282B62E8" w14:textId="77777777" w:rsidR="00CE1436" w:rsidRDefault="00CE1436" w:rsidP="00444693">
            <w:pPr>
              <w:pStyle w:val="TableText"/>
              <w:widowControl w:val="0"/>
              <w:suppressAutoHyphens w:val="0"/>
              <w:spacing w:before="0" w:after="0" w:line="240" w:lineRule="auto"/>
              <w:jc w:val="center"/>
            </w:pPr>
            <w:r w:rsidRPr="006141DE">
              <w:t>11.2</w:t>
            </w:r>
            <w:r w:rsidRPr="006141DE">
              <w:rPr>
                <w:vertAlign w:val="superscript"/>
              </w:rPr>
              <w:t>a,c</w:t>
            </w:r>
          </w:p>
        </w:tc>
        <w:tc>
          <w:tcPr>
            <w:tcW w:w="311" w:type="pct"/>
            <w:tcBorders>
              <w:bottom w:val="single" w:sz="4" w:space="0" w:color="auto"/>
            </w:tcBorders>
          </w:tcPr>
          <w:p w14:paraId="237E2551" w14:textId="77777777" w:rsidR="00CE1436" w:rsidRDefault="00CE1436" w:rsidP="00444693">
            <w:pPr>
              <w:pStyle w:val="TableText"/>
              <w:widowControl w:val="0"/>
              <w:suppressAutoHyphens w:val="0"/>
              <w:spacing w:before="0" w:after="0" w:line="240" w:lineRule="auto"/>
              <w:jc w:val="center"/>
            </w:pPr>
            <w:r>
              <w:t>300</w:t>
            </w:r>
          </w:p>
        </w:tc>
        <w:tc>
          <w:tcPr>
            <w:tcW w:w="312" w:type="pct"/>
            <w:tcBorders>
              <w:bottom w:val="single" w:sz="4" w:space="0" w:color="auto"/>
            </w:tcBorders>
          </w:tcPr>
          <w:p w14:paraId="396A4F65"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3E74ADA8"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D36E950"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5EA16F63" w14:textId="77777777" w:rsidR="00CE1436" w:rsidRPr="003B78B6" w:rsidRDefault="00CE1436" w:rsidP="00444693">
            <w:pPr>
              <w:pStyle w:val="TableText"/>
              <w:widowControl w:val="0"/>
              <w:suppressAutoHyphens w:val="0"/>
              <w:spacing w:before="0" w:after="0" w:line="240" w:lineRule="auto"/>
              <w:jc w:val="center"/>
            </w:pPr>
            <w:r>
              <w:rPr>
                <w:color w:val="1A1B1A"/>
                <w:szCs w:val="17"/>
              </w:rPr>
              <w:t>3.4</w:t>
            </w:r>
          </w:p>
        </w:tc>
        <w:tc>
          <w:tcPr>
            <w:tcW w:w="312" w:type="pct"/>
            <w:tcBorders>
              <w:bottom w:val="single" w:sz="4" w:space="0" w:color="auto"/>
            </w:tcBorders>
            <w:vAlign w:val="center"/>
          </w:tcPr>
          <w:p w14:paraId="723B142F"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5F824C81"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0.6</w:t>
            </w:r>
          </w:p>
        </w:tc>
        <w:tc>
          <w:tcPr>
            <w:tcW w:w="393" w:type="pct"/>
            <w:tcBorders>
              <w:bottom w:val="single" w:sz="4" w:space="0" w:color="auto"/>
            </w:tcBorders>
            <w:vAlign w:val="center"/>
          </w:tcPr>
          <w:p w14:paraId="24BDCD67" w14:textId="77777777" w:rsidR="00CE1436" w:rsidRPr="0027505E" w:rsidRDefault="00CE1436" w:rsidP="00444693">
            <w:pPr>
              <w:pStyle w:val="TableText"/>
              <w:widowControl w:val="0"/>
              <w:suppressAutoHyphens w:val="0"/>
              <w:spacing w:before="0" w:after="0" w:line="240" w:lineRule="auto"/>
              <w:jc w:val="center"/>
            </w:pPr>
            <w:r>
              <w:rPr>
                <w:color w:val="1A1B1A"/>
                <w:szCs w:val="17"/>
              </w:rPr>
              <w:t>545</w:t>
            </w:r>
          </w:p>
        </w:tc>
      </w:tr>
      <w:tr w:rsidR="00CE1436" w:rsidRPr="0027505E" w14:paraId="4D56186A" w14:textId="77777777" w:rsidTr="00444693">
        <w:trPr>
          <w:cantSplit/>
          <w:trHeight w:val="13"/>
        </w:trPr>
        <w:tc>
          <w:tcPr>
            <w:tcW w:w="5000" w:type="pct"/>
            <w:gridSpan w:val="13"/>
            <w:tcBorders>
              <w:bottom w:val="single" w:sz="4" w:space="0" w:color="auto"/>
            </w:tcBorders>
          </w:tcPr>
          <w:p w14:paraId="0FB27C45" w14:textId="77777777" w:rsidR="00CE1436" w:rsidRPr="0027505E" w:rsidRDefault="00CE1436" w:rsidP="00AC06D7">
            <w:pPr>
              <w:pStyle w:val="TableSubHead0"/>
            </w:pPr>
            <w:r w:rsidRPr="005D3DCC">
              <w:t>General weed control in sugarcane (over the top spray and inter-row spray)</w:t>
            </w:r>
          </w:p>
        </w:tc>
      </w:tr>
      <w:tr w:rsidR="00CE1436" w:rsidRPr="00401A10" w14:paraId="4A914B28" w14:textId="77777777" w:rsidTr="00444693">
        <w:trPr>
          <w:cantSplit/>
          <w:trHeight w:val="13"/>
        </w:trPr>
        <w:tc>
          <w:tcPr>
            <w:tcW w:w="491" w:type="pct"/>
            <w:vMerge w:val="restart"/>
          </w:tcPr>
          <w:p w14:paraId="7AF380EE" w14:textId="77777777" w:rsidR="00CE1436" w:rsidRDefault="00CE1436" w:rsidP="00444693">
            <w:pPr>
              <w:pStyle w:val="TableText"/>
              <w:widowControl w:val="0"/>
              <w:suppressAutoHyphens w:val="0"/>
              <w:spacing w:before="0" w:after="0" w:line="240" w:lineRule="auto"/>
              <w:rPr>
                <w:szCs w:val="17"/>
              </w:rPr>
            </w:pPr>
            <w:r>
              <w:rPr>
                <w:szCs w:val="17"/>
              </w:rPr>
              <w:t>Maize</w:t>
            </w:r>
          </w:p>
        </w:tc>
        <w:tc>
          <w:tcPr>
            <w:tcW w:w="518" w:type="pct"/>
            <w:vMerge w:val="restart"/>
          </w:tcPr>
          <w:p w14:paraId="6AA63646" w14:textId="77777777" w:rsidR="00CE1436" w:rsidRPr="00336DF4" w:rsidRDefault="00CE1436" w:rsidP="00444693">
            <w:pPr>
              <w:pStyle w:val="TableText"/>
              <w:widowControl w:val="0"/>
              <w:suppressAutoHyphens w:val="0"/>
              <w:spacing w:before="0" w:after="0" w:line="240" w:lineRule="auto"/>
              <w:rPr>
                <w:szCs w:val="17"/>
              </w:rPr>
            </w:pPr>
            <w:r>
              <w:rPr>
                <w:szCs w:val="17"/>
              </w:rPr>
              <w:t>Small herbivore</w:t>
            </w:r>
          </w:p>
        </w:tc>
        <w:tc>
          <w:tcPr>
            <w:tcW w:w="477" w:type="pct"/>
            <w:vMerge w:val="restart"/>
          </w:tcPr>
          <w:p w14:paraId="057D198A" w14:textId="77777777" w:rsidR="00CE1436" w:rsidRDefault="00CE1436" w:rsidP="00444693">
            <w:pPr>
              <w:pStyle w:val="TableText"/>
              <w:widowControl w:val="0"/>
              <w:suppressAutoHyphens w:val="0"/>
              <w:spacing w:before="0" w:after="0" w:line="240" w:lineRule="auto"/>
              <w:rPr>
                <w:szCs w:val="17"/>
              </w:rPr>
            </w:pPr>
            <w:r>
              <w:rPr>
                <w:szCs w:val="17"/>
              </w:rPr>
              <w:t>BBCH 10-29</w:t>
            </w:r>
          </w:p>
        </w:tc>
        <w:tc>
          <w:tcPr>
            <w:tcW w:w="491" w:type="pct"/>
            <w:tcBorders>
              <w:top w:val="single" w:sz="4" w:space="0" w:color="auto"/>
            </w:tcBorders>
          </w:tcPr>
          <w:p w14:paraId="2B496B25"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3AA04422" w14:textId="77777777" w:rsidR="00CE1436" w:rsidRDefault="00CE1436" w:rsidP="00444693">
            <w:pPr>
              <w:pStyle w:val="TableText"/>
              <w:widowControl w:val="0"/>
              <w:suppressAutoHyphens w:val="0"/>
              <w:spacing w:before="0" w:after="0" w:line="240" w:lineRule="auto"/>
              <w:jc w:val="center"/>
            </w:pPr>
            <w:r>
              <w:t>112.0</w:t>
            </w:r>
            <w:r w:rsidRPr="00077A92">
              <w:rPr>
                <w:vertAlign w:val="superscript"/>
              </w:rPr>
              <w:t>a</w:t>
            </w:r>
          </w:p>
        </w:tc>
        <w:tc>
          <w:tcPr>
            <w:tcW w:w="311" w:type="pct"/>
            <w:tcBorders>
              <w:top w:val="single" w:sz="4" w:space="0" w:color="auto"/>
            </w:tcBorders>
          </w:tcPr>
          <w:p w14:paraId="31629017" w14:textId="77777777" w:rsidR="00CE1436" w:rsidRDefault="00CE1436" w:rsidP="00444693">
            <w:pPr>
              <w:pStyle w:val="TableText"/>
              <w:widowControl w:val="0"/>
              <w:suppressAutoHyphens w:val="0"/>
              <w:spacing w:before="0" w:after="0" w:line="240" w:lineRule="auto"/>
              <w:jc w:val="center"/>
            </w:pPr>
            <w:r>
              <w:t>400</w:t>
            </w:r>
          </w:p>
        </w:tc>
        <w:tc>
          <w:tcPr>
            <w:tcW w:w="312" w:type="pct"/>
            <w:tcBorders>
              <w:top w:val="single" w:sz="4" w:space="0" w:color="auto"/>
            </w:tcBorders>
          </w:tcPr>
          <w:p w14:paraId="2D3E7DA0"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5166309A"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586356BD"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760385D8" w14:textId="77777777" w:rsidR="00CE1436" w:rsidRDefault="00CE1436" w:rsidP="00444693">
            <w:pPr>
              <w:pStyle w:val="TableText"/>
              <w:widowControl w:val="0"/>
              <w:suppressAutoHyphens w:val="0"/>
              <w:spacing w:before="0" w:after="0" w:line="240" w:lineRule="auto"/>
              <w:jc w:val="center"/>
            </w:pPr>
            <w:r>
              <w:rPr>
                <w:color w:val="1A1B1A"/>
                <w:szCs w:val="17"/>
              </w:rPr>
              <w:t>45</w:t>
            </w:r>
          </w:p>
        </w:tc>
        <w:tc>
          <w:tcPr>
            <w:tcW w:w="312" w:type="pct"/>
            <w:tcBorders>
              <w:top w:val="single" w:sz="4" w:space="0" w:color="auto"/>
            </w:tcBorders>
            <w:vAlign w:val="center"/>
          </w:tcPr>
          <w:p w14:paraId="0032B2F9"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3408A58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7.3</w:t>
            </w:r>
          </w:p>
        </w:tc>
        <w:tc>
          <w:tcPr>
            <w:tcW w:w="393" w:type="pct"/>
            <w:tcBorders>
              <w:top w:val="single" w:sz="4" w:space="0" w:color="auto"/>
            </w:tcBorders>
            <w:vAlign w:val="center"/>
          </w:tcPr>
          <w:p w14:paraId="4AC389FB"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401A10" w14:paraId="030B5361" w14:textId="77777777" w:rsidTr="00444693">
        <w:trPr>
          <w:cantSplit/>
          <w:trHeight w:val="13"/>
        </w:trPr>
        <w:tc>
          <w:tcPr>
            <w:tcW w:w="491" w:type="pct"/>
            <w:vMerge/>
          </w:tcPr>
          <w:p w14:paraId="42FD29BA" w14:textId="77777777" w:rsidR="00CE1436" w:rsidRDefault="00CE1436" w:rsidP="00444693">
            <w:pPr>
              <w:pStyle w:val="TableText"/>
              <w:widowControl w:val="0"/>
              <w:suppressAutoHyphens w:val="0"/>
              <w:spacing w:before="0" w:after="0" w:line="240" w:lineRule="auto"/>
              <w:rPr>
                <w:szCs w:val="17"/>
              </w:rPr>
            </w:pPr>
          </w:p>
        </w:tc>
        <w:tc>
          <w:tcPr>
            <w:tcW w:w="518" w:type="pct"/>
            <w:vMerge/>
          </w:tcPr>
          <w:p w14:paraId="0536A981" w14:textId="77777777" w:rsidR="00CE1436" w:rsidRDefault="00CE1436" w:rsidP="00444693">
            <w:pPr>
              <w:pStyle w:val="TableText"/>
              <w:widowControl w:val="0"/>
              <w:suppressAutoHyphens w:val="0"/>
              <w:spacing w:before="0" w:after="0" w:line="240" w:lineRule="auto"/>
              <w:rPr>
                <w:szCs w:val="17"/>
              </w:rPr>
            </w:pPr>
          </w:p>
        </w:tc>
        <w:tc>
          <w:tcPr>
            <w:tcW w:w="477" w:type="pct"/>
            <w:vMerge/>
          </w:tcPr>
          <w:p w14:paraId="1D1160AE" w14:textId="77777777" w:rsidR="00CE1436" w:rsidRDefault="00CE1436" w:rsidP="00444693">
            <w:pPr>
              <w:pStyle w:val="TableText"/>
              <w:widowControl w:val="0"/>
              <w:suppressAutoHyphens w:val="0"/>
              <w:spacing w:before="0" w:after="0" w:line="240" w:lineRule="auto"/>
              <w:rPr>
                <w:szCs w:val="17"/>
              </w:rPr>
            </w:pPr>
          </w:p>
        </w:tc>
        <w:tc>
          <w:tcPr>
            <w:tcW w:w="491" w:type="pct"/>
          </w:tcPr>
          <w:p w14:paraId="3EB6AA2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0A9B9AA" w14:textId="77777777" w:rsidR="00CE1436" w:rsidRDefault="00CE1436" w:rsidP="00444693">
            <w:pPr>
              <w:pStyle w:val="TableText"/>
              <w:widowControl w:val="0"/>
              <w:suppressAutoHyphens w:val="0"/>
              <w:spacing w:before="0" w:after="0" w:line="240" w:lineRule="auto"/>
              <w:jc w:val="center"/>
            </w:pPr>
            <w:r>
              <w:t>112.0</w:t>
            </w:r>
            <w:r w:rsidRPr="00077A92">
              <w:rPr>
                <w:vertAlign w:val="superscript"/>
              </w:rPr>
              <w:t>a</w:t>
            </w:r>
          </w:p>
        </w:tc>
        <w:tc>
          <w:tcPr>
            <w:tcW w:w="311" w:type="pct"/>
          </w:tcPr>
          <w:p w14:paraId="0A446409" w14:textId="77777777" w:rsidR="00CE1436" w:rsidRDefault="00CE1436" w:rsidP="00444693">
            <w:pPr>
              <w:pStyle w:val="TableText"/>
              <w:widowControl w:val="0"/>
              <w:suppressAutoHyphens w:val="0"/>
              <w:spacing w:before="0" w:after="0" w:line="240" w:lineRule="auto"/>
              <w:jc w:val="center"/>
            </w:pPr>
            <w:r>
              <w:t>270</w:t>
            </w:r>
          </w:p>
        </w:tc>
        <w:tc>
          <w:tcPr>
            <w:tcW w:w="312" w:type="pct"/>
          </w:tcPr>
          <w:p w14:paraId="7CBE665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F69F2D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E96C7E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97FA490" w14:textId="77777777" w:rsidR="00CE1436" w:rsidRDefault="00CE1436" w:rsidP="00444693">
            <w:pPr>
              <w:pStyle w:val="TableText"/>
              <w:widowControl w:val="0"/>
              <w:suppressAutoHyphens w:val="0"/>
              <w:spacing w:before="0" w:after="0" w:line="240" w:lineRule="auto"/>
              <w:jc w:val="center"/>
            </w:pPr>
            <w:r>
              <w:rPr>
                <w:color w:val="1A1B1A"/>
                <w:szCs w:val="17"/>
              </w:rPr>
              <w:t>30</w:t>
            </w:r>
          </w:p>
        </w:tc>
        <w:tc>
          <w:tcPr>
            <w:tcW w:w="312" w:type="pct"/>
            <w:vAlign w:val="center"/>
          </w:tcPr>
          <w:p w14:paraId="40D8F244"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DD2FF41"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5.0</w:t>
            </w:r>
          </w:p>
        </w:tc>
        <w:tc>
          <w:tcPr>
            <w:tcW w:w="393" w:type="pct"/>
            <w:vAlign w:val="center"/>
          </w:tcPr>
          <w:p w14:paraId="029757AE"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0FE9F853" w14:textId="77777777" w:rsidTr="00444693">
        <w:trPr>
          <w:cantSplit/>
          <w:trHeight w:val="13"/>
        </w:trPr>
        <w:tc>
          <w:tcPr>
            <w:tcW w:w="491" w:type="pct"/>
            <w:vMerge/>
          </w:tcPr>
          <w:p w14:paraId="648A675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CAA45F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B4A179A"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04783BC0"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1398EF32" w14:textId="77777777" w:rsidR="00CE1436" w:rsidRDefault="00CE1436" w:rsidP="00444693">
            <w:pPr>
              <w:pStyle w:val="TableText"/>
              <w:widowControl w:val="0"/>
              <w:suppressAutoHyphens w:val="0"/>
              <w:spacing w:before="0" w:after="0" w:line="240" w:lineRule="auto"/>
              <w:jc w:val="center"/>
            </w:pPr>
            <w:r>
              <w:t>112.0</w:t>
            </w:r>
            <w:r w:rsidRPr="00077A92">
              <w:rPr>
                <w:vertAlign w:val="superscript"/>
              </w:rPr>
              <w:t>a</w:t>
            </w:r>
          </w:p>
        </w:tc>
        <w:tc>
          <w:tcPr>
            <w:tcW w:w="311" w:type="pct"/>
            <w:tcBorders>
              <w:bottom w:val="single" w:sz="4" w:space="0" w:color="auto"/>
            </w:tcBorders>
          </w:tcPr>
          <w:p w14:paraId="6D1D1EB6" w14:textId="77777777" w:rsidR="00CE1436" w:rsidRDefault="00CE1436" w:rsidP="00444693">
            <w:pPr>
              <w:pStyle w:val="TableText"/>
              <w:widowControl w:val="0"/>
              <w:suppressAutoHyphens w:val="0"/>
              <w:spacing w:before="0" w:after="0" w:line="240" w:lineRule="auto"/>
              <w:jc w:val="center"/>
            </w:pPr>
            <w:r>
              <w:t>216</w:t>
            </w:r>
          </w:p>
        </w:tc>
        <w:tc>
          <w:tcPr>
            <w:tcW w:w="312" w:type="pct"/>
            <w:tcBorders>
              <w:bottom w:val="single" w:sz="4" w:space="0" w:color="auto"/>
            </w:tcBorders>
          </w:tcPr>
          <w:p w14:paraId="11302C3F"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01E37BF"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224D391C"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0794ACC9" w14:textId="77777777" w:rsidR="00CE1436" w:rsidRPr="003B78B6" w:rsidRDefault="00CE1436" w:rsidP="00444693">
            <w:pPr>
              <w:pStyle w:val="TableText"/>
              <w:widowControl w:val="0"/>
              <w:suppressAutoHyphens w:val="0"/>
              <w:spacing w:before="0" w:after="0" w:line="240" w:lineRule="auto"/>
              <w:jc w:val="center"/>
            </w:pPr>
            <w:r>
              <w:rPr>
                <w:color w:val="1A1B1A"/>
                <w:szCs w:val="17"/>
              </w:rPr>
              <w:t>24</w:t>
            </w:r>
          </w:p>
        </w:tc>
        <w:tc>
          <w:tcPr>
            <w:tcW w:w="312" w:type="pct"/>
            <w:tcBorders>
              <w:bottom w:val="single" w:sz="4" w:space="0" w:color="auto"/>
            </w:tcBorders>
            <w:vAlign w:val="center"/>
          </w:tcPr>
          <w:p w14:paraId="6DB5531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shd w:val="clear" w:color="auto" w:fill="FF0000"/>
            <w:vAlign w:val="center"/>
          </w:tcPr>
          <w:p w14:paraId="604087E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4.0</w:t>
            </w:r>
          </w:p>
        </w:tc>
        <w:tc>
          <w:tcPr>
            <w:tcW w:w="393" w:type="pct"/>
            <w:tcBorders>
              <w:bottom w:val="single" w:sz="4" w:space="0" w:color="auto"/>
            </w:tcBorders>
            <w:vAlign w:val="center"/>
          </w:tcPr>
          <w:p w14:paraId="26AB2CFF"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C3293F" w14:paraId="3521F3C2" w14:textId="77777777" w:rsidTr="00444693">
        <w:trPr>
          <w:cantSplit/>
          <w:trHeight w:val="13"/>
        </w:trPr>
        <w:tc>
          <w:tcPr>
            <w:tcW w:w="491" w:type="pct"/>
            <w:vMerge/>
          </w:tcPr>
          <w:p w14:paraId="1DE838C9"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Pr>
          <w:p w14:paraId="70D72612" w14:textId="77777777" w:rsidR="00CE1436" w:rsidRPr="00336DF4" w:rsidRDefault="00CE1436" w:rsidP="00444693">
            <w:pPr>
              <w:pStyle w:val="TableText"/>
              <w:widowControl w:val="0"/>
              <w:suppressAutoHyphens w:val="0"/>
              <w:spacing w:before="0" w:after="0" w:line="240" w:lineRule="auto"/>
              <w:rPr>
                <w:szCs w:val="17"/>
              </w:rPr>
            </w:pPr>
            <w:r>
              <w:rPr>
                <w:szCs w:val="17"/>
              </w:rPr>
              <w:t>Small omnivore</w:t>
            </w:r>
          </w:p>
        </w:tc>
        <w:tc>
          <w:tcPr>
            <w:tcW w:w="477" w:type="pct"/>
            <w:vMerge w:val="restart"/>
          </w:tcPr>
          <w:p w14:paraId="08DC8371" w14:textId="77777777" w:rsidR="00CE1436" w:rsidRDefault="00CE1436" w:rsidP="00444693">
            <w:pPr>
              <w:pStyle w:val="TableText"/>
              <w:widowControl w:val="0"/>
              <w:suppressAutoHyphens w:val="0"/>
              <w:spacing w:before="0" w:after="0" w:line="240" w:lineRule="auto"/>
              <w:rPr>
                <w:szCs w:val="17"/>
              </w:rPr>
            </w:pPr>
            <w:r>
              <w:rPr>
                <w:szCs w:val="17"/>
              </w:rPr>
              <w:t>BBCH 10-29</w:t>
            </w:r>
          </w:p>
        </w:tc>
        <w:tc>
          <w:tcPr>
            <w:tcW w:w="491" w:type="pct"/>
            <w:tcBorders>
              <w:top w:val="single" w:sz="4" w:space="0" w:color="auto"/>
            </w:tcBorders>
          </w:tcPr>
          <w:p w14:paraId="0EAB461E"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tcPr>
          <w:p w14:paraId="5BADABFD" w14:textId="77777777" w:rsidR="00CE1436" w:rsidRDefault="00CE1436" w:rsidP="00444693">
            <w:pPr>
              <w:pStyle w:val="TableText"/>
              <w:widowControl w:val="0"/>
              <w:suppressAutoHyphens w:val="0"/>
              <w:spacing w:before="0" w:after="0" w:line="240" w:lineRule="auto"/>
              <w:jc w:val="center"/>
            </w:pPr>
            <w:r>
              <w:t>17.2</w:t>
            </w:r>
          </w:p>
        </w:tc>
        <w:tc>
          <w:tcPr>
            <w:tcW w:w="311" w:type="pct"/>
            <w:tcBorders>
              <w:top w:val="single" w:sz="4" w:space="0" w:color="auto"/>
            </w:tcBorders>
          </w:tcPr>
          <w:p w14:paraId="30ABE081" w14:textId="77777777" w:rsidR="00CE1436" w:rsidRDefault="00CE1436" w:rsidP="00444693">
            <w:pPr>
              <w:pStyle w:val="TableText"/>
              <w:widowControl w:val="0"/>
              <w:suppressAutoHyphens w:val="0"/>
              <w:spacing w:before="0" w:after="0" w:line="240" w:lineRule="auto"/>
              <w:jc w:val="center"/>
            </w:pPr>
            <w:r>
              <w:t>400</w:t>
            </w:r>
          </w:p>
        </w:tc>
        <w:tc>
          <w:tcPr>
            <w:tcW w:w="312" w:type="pct"/>
            <w:tcBorders>
              <w:top w:val="single" w:sz="4" w:space="0" w:color="auto"/>
            </w:tcBorders>
          </w:tcPr>
          <w:p w14:paraId="4CD0754D"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7430ECE7"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13FD4345"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760A7086" w14:textId="77777777" w:rsidR="00CE1436" w:rsidRDefault="00CE1436" w:rsidP="00444693">
            <w:pPr>
              <w:pStyle w:val="TableText"/>
              <w:widowControl w:val="0"/>
              <w:suppressAutoHyphens w:val="0"/>
              <w:spacing w:before="0" w:after="0" w:line="240" w:lineRule="auto"/>
              <w:jc w:val="center"/>
            </w:pPr>
            <w:r>
              <w:rPr>
                <w:color w:val="1A1B1A"/>
                <w:szCs w:val="17"/>
              </w:rPr>
              <w:t>6.9</w:t>
            </w:r>
          </w:p>
        </w:tc>
        <w:tc>
          <w:tcPr>
            <w:tcW w:w="312" w:type="pct"/>
            <w:tcBorders>
              <w:top w:val="single" w:sz="4" w:space="0" w:color="auto"/>
            </w:tcBorders>
            <w:vAlign w:val="center"/>
          </w:tcPr>
          <w:p w14:paraId="098BC94E"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52B67C4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tcBorders>
              <w:top w:val="single" w:sz="4" w:space="0" w:color="auto"/>
            </w:tcBorders>
            <w:vAlign w:val="center"/>
          </w:tcPr>
          <w:p w14:paraId="3DCB239C" w14:textId="77777777" w:rsidR="00CE1436" w:rsidRPr="00C3293F" w:rsidRDefault="00CE1436" w:rsidP="00444693">
            <w:pPr>
              <w:pStyle w:val="TableText"/>
              <w:widowControl w:val="0"/>
              <w:suppressAutoHyphens w:val="0"/>
              <w:spacing w:before="0" w:after="0" w:line="240" w:lineRule="auto"/>
              <w:jc w:val="center"/>
            </w:pPr>
            <w:r>
              <w:rPr>
                <w:color w:val="1A1B1A"/>
                <w:szCs w:val="17"/>
              </w:rPr>
              <w:t>355</w:t>
            </w:r>
          </w:p>
        </w:tc>
      </w:tr>
      <w:tr w:rsidR="00CE1436" w:rsidRPr="00C3293F" w14:paraId="4F72843D" w14:textId="77777777" w:rsidTr="00444693">
        <w:trPr>
          <w:cantSplit/>
          <w:trHeight w:val="13"/>
        </w:trPr>
        <w:tc>
          <w:tcPr>
            <w:tcW w:w="491" w:type="pct"/>
            <w:vMerge/>
          </w:tcPr>
          <w:p w14:paraId="72913C61" w14:textId="77777777" w:rsidR="00CE1436" w:rsidRDefault="00CE1436" w:rsidP="00444693">
            <w:pPr>
              <w:pStyle w:val="TableText"/>
              <w:widowControl w:val="0"/>
              <w:suppressAutoHyphens w:val="0"/>
              <w:spacing w:before="0" w:after="0" w:line="240" w:lineRule="auto"/>
              <w:rPr>
                <w:szCs w:val="17"/>
              </w:rPr>
            </w:pPr>
          </w:p>
        </w:tc>
        <w:tc>
          <w:tcPr>
            <w:tcW w:w="518" w:type="pct"/>
            <w:vMerge/>
          </w:tcPr>
          <w:p w14:paraId="48C64C73" w14:textId="77777777" w:rsidR="00CE1436" w:rsidRDefault="00CE1436" w:rsidP="00444693">
            <w:pPr>
              <w:pStyle w:val="TableText"/>
              <w:widowControl w:val="0"/>
              <w:suppressAutoHyphens w:val="0"/>
              <w:spacing w:before="0" w:after="0" w:line="240" w:lineRule="auto"/>
              <w:rPr>
                <w:szCs w:val="17"/>
              </w:rPr>
            </w:pPr>
          </w:p>
        </w:tc>
        <w:tc>
          <w:tcPr>
            <w:tcW w:w="477" w:type="pct"/>
            <w:vMerge/>
          </w:tcPr>
          <w:p w14:paraId="7A6FB150" w14:textId="77777777" w:rsidR="00CE1436" w:rsidRDefault="00CE1436" w:rsidP="00444693">
            <w:pPr>
              <w:pStyle w:val="TableText"/>
              <w:widowControl w:val="0"/>
              <w:suppressAutoHyphens w:val="0"/>
              <w:spacing w:before="0" w:after="0" w:line="240" w:lineRule="auto"/>
              <w:rPr>
                <w:szCs w:val="17"/>
              </w:rPr>
            </w:pPr>
          </w:p>
        </w:tc>
        <w:tc>
          <w:tcPr>
            <w:tcW w:w="491" w:type="pct"/>
          </w:tcPr>
          <w:p w14:paraId="29F24C97" w14:textId="77777777" w:rsidR="00CE1436" w:rsidRDefault="00CE1436" w:rsidP="00444693">
            <w:pPr>
              <w:pStyle w:val="TableText"/>
              <w:widowControl w:val="0"/>
              <w:suppressAutoHyphens w:val="0"/>
              <w:spacing w:before="0" w:after="0" w:line="240" w:lineRule="auto"/>
              <w:jc w:val="center"/>
            </w:pPr>
          </w:p>
        </w:tc>
        <w:tc>
          <w:tcPr>
            <w:tcW w:w="449" w:type="pct"/>
          </w:tcPr>
          <w:p w14:paraId="4F710084" w14:textId="77777777" w:rsidR="00CE1436" w:rsidRDefault="00CE1436" w:rsidP="00444693">
            <w:pPr>
              <w:pStyle w:val="TableText"/>
              <w:widowControl w:val="0"/>
              <w:suppressAutoHyphens w:val="0"/>
              <w:spacing w:before="0" w:after="0" w:line="240" w:lineRule="auto"/>
              <w:jc w:val="center"/>
            </w:pPr>
            <w:r>
              <w:t>17.2</w:t>
            </w:r>
          </w:p>
        </w:tc>
        <w:tc>
          <w:tcPr>
            <w:tcW w:w="311" w:type="pct"/>
          </w:tcPr>
          <w:p w14:paraId="3D2DA29E" w14:textId="77777777" w:rsidR="00CE1436" w:rsidRDefault="00CE1436" w:rsidP="00444693">
            <w:pPr>
              <w:pStyle w:val="TableText"/>
              <w:widowControl w:val="0"/>
              <w:suppressAutoHyphens w:val="0"/>
              <w:spacing w:before="0" w:after="0" w:line="240" w:lineRule="auto"/>
              <w:jc w:val="center"/>
            </w:pPr>
            <w:r>
              <w:t>270</w:t>
            </w:r>
          </w:p>
        </w:tc>
        <w:tc>
          <w:tcPr>
            <w:tcW w:w="312" w:type="pct"/>
          </w:tcPr>
          <w:p w14:paraId="1AC458F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997010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1106EC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E775390" w14:textId="77777777" w:rsidR="00CE1436"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22CD91C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35E70A9" w14:textId="77777777" w:rsidR="00CE1436" w:rsidRDefault="00CE1436" w:rsidP="00444693">
            <w:pPr>
              <w:pStyle w:val="TableText"/>
              <w:widowControl w:val="0"/>
              <w:suppressAutoHyphens w:val="0"/>
              <w:spacing w:before="0" w:after="0" w:line="240" w:lineRule="auto"/>
              <w:jc w:val="center"/>
            </w:pPr>
            <w:r>
              <w:rPr>
                <w:color w:val="1A1B1A"/>
                <w:szCs w:val="17"/>
              </w:rPr>
              <w:t>0.76</w:t>
            </w:r>
          </w:p>
        </w:tc>
        <w:tc>
          <w:tcPr>
            <w:tcW w:w="393" w:type="pct"/>
            <w:vAlign w:val="center"/>
          </w:tcPr>
          <w:p w14:paraId="1914D66B" w14:textId="77777777" w:rsidR="00CE1436" w:rsidRPr="00C3293F" w:rsidRDefault="00CE1436" w:rsidP="00444693">
            <w:pPr>
              <w:pStyle w:val="TableText"/>
              <w:widowControl w:val="0"/>
              <w:suppressAutoHyphens w:val="0"/>
              <w:spacing w:before="0" w:after="0" w:line="240" w:lineRule="auto"/>
              <w:jc w:val="center"/>
            </w:pPr>
            <w:r>
              <w:rPr>
                <w:color w:val="1A1B1A"/>
                <w:szCs w:val="17"/>
              </w:rPr>
              <w:t>355</w:t>
            </w:r>
          </w:p>
        </w:tc>
      </w:tr>
      <w:tr w:rsidR="00CE1436" w:rsidRPr="0027505E" w14:paraId="5D1C0759" w14:textId="77777777" w:rsidTr="00444693">
        <w:trPr>
          <w:cantSplit/>
          <w:trHeight w:val="13"/>
        </w:trPr>
        <w:tc>
          <w:tcPr>
            <w:tcW w:w="491" w:type="pct"/>
            <w:vMerge/>
          </w:tcPr>
          <w:p w14:paraId="7747E8E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CBFEB53"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9B3822F"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4695ECF0"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tcPr>
          <w:p w14:paraId="00AF7EF2" w14:textId="77777777" w:rsidR="00CE1436" w:rsidRDefault="00CE1436" w:rsidP="00444693">
            <w:pPr>
              <w:pStyle w:val="TableText"/>
              <w:widowControl w:val="0"/>
              <w:suppressAutoHyphens w:val="0"/>
              <w:spacing w:before="0" w:after="0" w:line="240" w:lineRule="auto"/>
              <w:jc w:val="center"/>
            </w:pPr>
            <w:r>
              <w:t>17.2</w:t>
            </w:r>
          </w:p>
        </w:tc>
        <w:tc>
          <w:tcPr>
            <w:tcW w:w="311" w:type="pct"/>
            <w:tcBorders>
              <w:bottom w:val="single" w:sz="4" w:space="0" w:color="auto"/>
            </w:tcBorders>
          </w:tcPr>
          <w:p w14:paraId="67A5AF87" w14:textId="77777777" w:rsidR="00CE1436" w:rsidRDefault="00CE1436" w:rsidP="00444693">
            <w:pPr>
              <w:pStyle w:val="TableText"/>
              <w:widowControl w:val="0"/>
              <w:suppressAutoHyphens w:val="0"/>
              <w:spacing w:before="0" w:after="0" w:line="240" w:lineRule="auto"/>
              <w:jc w:val="center"/>
            </w:pPr>
            <w:r>
              <w:t>216</w:t>
            </w:r>
          </w:p>
        </w:tc>
        <w:tc>
          <w:tcPr>
            <w:tcW w:w="312" w:type="pct"/>
            <w:tcBorders>
              <w:bottom w:val="single" w:sz="4" w:space="0" w:color="auto"/>
            </w:tcBorders>
          </w:tcPr>
          <w:p w14:paraId="5A4BAEED"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24829A15"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415DE541"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4A30CF58" w14:textId="77777777" w:rsidR="00CE1436" w:rsidRPr="003B78B6" w:rsidRDefault="00CE1436" w:rsidP="00444693">
            <w:pPr>
              <w:pStyle w:val="TableText"/>
              <w:widowControl w:val="0"/>
              <w:suppressAutoHyphens w:val="0"/>
              <w:spacing w:before="0" w:after="0" w:line="240" w:lineRule="auto"/>
              <w:jc w:val="center"/>
            </w:pPr>
            <w:r>
              <w:rPr>
                <w:color w:val="1A1B1A"/>
                <w:szCs w:val="17"/>
              </w:rPr>
              <w:t>3.7</w:t>
            </w:r>
          </w:p>
        </w:tc>
        <w:tc>
          <w:tcPr>
            <w:tcW w:w="312" w:type="pct"/>
            <w:tcBorders>
              <w:bottom w:val="single" w:sz="4" w:space="0" w:color="auto"/>
            </w:tcBorders>
            <w:vAlign w:val="center"/>
          </w:tcPr>
          <w:p w14:paraId="4D8F4FE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0DF9A1E5" w14:textId="77777777" w:rsidR="00CE1436" w:rsidRPr="0027505E" w:rsidRDefault="00CE1436" w:rsidP="00444693">
            <w:pPr>
              <w:pStyle w:val="TableText"/>
              <w:widowControl w:val="0"/>
              <w:suppressAutoHyphens w:val="0"/>
              <w:spacing w:before="0" w:after="0" w:line="240" w:lineRule="auto"/>
              <w:jc w:val="center"/>
            </w:pPr>
            <w:r>
              <w:rPr>
                <w:color w:val="1A1B1A"/>
                <w:szCs w:val="17"/>
              </w:rPr>
              <w:t>0.61</w:t>
            </w:r>
          </w:p>
        </w:tc>
        <w:tc>
          <w:tcPr>
            <w:tcW w:w="393" w:type="pct"/>
            <w:tcBorders>
              <w:bottom w:val="single" w:sz="4" w:space="0" w:color="auto"/>
            </w:tcBorders>
            <w:vAlign w:val="center"/>
          </w:tcPr>
          <w:p w14:paraId="3CC49885" w14:textId="77777777" w:rsidR="00CE1436" w:rsidRPr="0027505E" w:rsidRDefault="00CE1436" w:rsidP="00444693">
            <w:pPr>
              <w:pStyle w:val="TableText"/>
              <w:widowControl w:val="0"/>
              <w:suppressAutoHyphens w:val="0"/>
              <w:spacing w:before="0" w:after="0" w:line="240" w:lineRule="auto"/>
              <w:jc w:val="center"/>
            </w:pPr>
            <w:r>
              <w:rPr>
                <w:color w:val="1A1B1A"/>
                <w:szCs w:val="17"/>
              </w:rPr>
              <w:t>355</w:t>
            </w:r>
          </w:p>
        </w:tc>
      </w:tr>
      <w:tr w:rsidR="00CE1436" w:rsidRPr="00C3293F" w14:paraId="697011D1" w14:textId="77777777" w:rsidTr="00444693">
        <w:trPr>
          <w:cantSplit/>
          <w:trHeight w:val="13"/>
        </w:trPr>
        <w:tc>
          <w:tcPr>
            <w:tcW w:w="491" w:type="pct"/>
            <w:vMerge/>
          </w:tcPr>
          <w:p w14:paraId="1752C3CA"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Pr>
          <w:p w14:paraId="5D2DE9C8" w14:textId="77777777" w:rsidR="00CE1436" w:rsidRDefault="00CE1436" w:rsidP="00444693">
            <w:pPr>
              <w:pStyle w:val="TableText"/>
              <w:widowControl w:val="0"/>
              <w:suppressAutoHyphens w:val="0"/>
              <w:spacing w:before="0" w:after="0" w:line="240" w:lineRule="auto"/>
              <w:rPr>
                <w:szCs w:val="17"/>
              </w:rPr>
            </w:pPr>
            <w:r>
              <w:rPr>
                <w:szCs w:val="17"/>
              </w:rPr>
              <w:t>Small herbivore</w:t>
            </w:r>
          </w:p>
        </w:tc>
        <w:tc>
          <w:tcPr>
            <w:tcW w:w="477" w:type="pct"/>
            <w:vMerge w:val="restart"/>
          </w:tcPr>
          <w:p w14:paraId="456E8FD9" w14:textId="77777777" w:rsidR="00CE1436" w:rsidRDefault="00CE1436" w:rsidP="00444693">
            <w:pPr>
              <w:pStyle w:val="TableText"/>
              <w:widowControl w:val="0"/>
              <w:suppressAutoHyphens w:val="0"/>
              <w:spacing w:before="0" w:after="0" w:line="240" w:lineRule="auto"/>
              <w:rPr>
                <w:szCs w:val="17"/>
              </w:rPr>
            </w:pPr>
            <w:r>
              <w:rPr>
                <w:szCs w:val="17"/>
              </w:rPr>
              <w:t>BBCH 10-29</w:t>
            </w:r>
          </w:p>
        </w:tc>
        <w:tc>
          <w:tcPr>
            <w:tcW w:w="491" w:type="pct"/>
            <w:tcBorders>
              <w:top w:val="single" w:sz="4" w:space="0" w:color="auto"/>
            </w:tcBorders>
          </w:tcPr>
          <w:p w14:paraId="3D914AC7" w14:textId="77777777" w:rsidR="00CE1436" w:rsidRDefault="00CE1436" w:rsidP="00444693">
            <w:pPr>
              <w:pStyle w:val="TableText"/>
              <w:widowControl w:val="0"/>
              <w:suppressAutoHyphens w:val="0"/>
              <w:spacing w:before="0" w:after="0" w:line="240" w:lineRule="auto"/>
              <w:jc w:val="center"/>
            </w:pPr>
            <w:r>
              <w:t>Chronic</w:t>
            </w:r>
          </w:p>
        </w:tc>
        <w:tc>
          <w:tcPr>
            <w:tcW w:w="449" w:type="pct"/>
            <w:tcBorders>
              <w:top w:val="single" w:sz="4" w:space="0" w:color="auto"/>
            </w:tcBorders>
            <w:shd w:val="clear" w:color="auto" w:fill="D5D7D5" w:themeFill="text1" w:themeFillTint="33"/>
          </w:tcPr>
          <w:p w14:paraId="09EE910F"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Borders>
              <w:top w:val="single" w:sz="4" w:space="0" w:color="auto"/>
            </w:tcBorders>
          </w:tcPr>
          <w:p w14:paraId="203F9AFB" w14:textId="77777777" w:rsidR="00CE1436" w:rsidRDefault="00CE1436" w:rsidP="00444693">
            <w:pPr>
              <w:pStyle w:val="TableText"/>
              <w:widowControl w:val="0"/>
              <w:suppressAutoHyphens w:val="0"/>
              <w:spacing w:before="0" w:after="0" w:line="240" w:lineRule="auto"/>
              <w:jc w:val="center"/>
            </w:pPr>
            <w:r>
              <w:t>400</w:t>
            </w:r>
          </w:p>
        </w:tc>
        <w:tc>
          <w:tcPr>
            <w:tcW w:w="312" w:type="pct"/>
            <w:tcBorders>
              <w:top w:val="single" w:sz="4" w:space="0" w:color="auto"/>
            </w:tcBorders>
          </w:tcPr>
          <w:p w14:paraId="4329614E"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2586CA2D" w14:textId="77777777" w:rsidR="00CE1436" w:rsidRDefault="00CE1436" w:rsidP="00444693">
            <w:pPr>
              <w:pStyle w:val="TableText"/>
              <w:widowControl w:val="0"/>
              <w:suppressAutoHyphens w:val="0"/>
              <w:spacing w:before="0" w:after="0" w:line="240" w:lineRule="auto"/>
              <w:jc w:val="center"/>
            </w:pPr>
            <w:r>
              <w:t>0.5</w:t>
            </w:r>
          </w:p>
        </w:tc>
        <w:tc>
          <w:tcPr>
            <w:tcW w:w="312" w:type="pct"/>
            <w:tcBorders>
              <w:top w:val="single" w:sz="4" w:space="0" w:color="auto"/>
            </w:tcBorders>
          </w:tcPr>
          <w:p w14:paraId="3F06D5D9" w14:textId="77777777" w:rsidR="00CE1436" w:rsidRDefault="00CE1436" w:rsidP="00444693">
            <w:pPr>
              <w:pStyle w:val="TableText"/>
              <w:widowControl w:val="0"/>
              <w:suppressAutoHyphens w:val="0"/>
              <w:spacing w:before="0" w:after="0" w:line="240" w:lineRule="auto"/>
              <w:jc w:val="center"/>
            </w:pPr>
            <w:r>
              <w:t>0.53</w:t>
            </w:r>
          </w:p>
        </w:tc>
        <w:tc>
          <w:tcPr>
            <w:tcW w:w="311" w:type="pct"/>
            <w:tcBorders>
              <w:top w:val="single" w:sz="4" w:space="0" w:color="auto"/>
            </w:tcBorders>
            <w:vAlign w:val="center"/>
          </w:tcPr>
          <w:p w14:paraId="0446B3D6" w14:textId="77777777" w:rsidR="00CE1436" w:rsidRDefault="00CE1436" w:rsidP="00444693">
            <w:pPr>
              <w:pStyle w:val="TableText"/>
              <w:widowControl w:val="0"/>
              <w:suppressAutoHyphens w:val="0"/>
              <w:spacing w:before="0" w:after="0" w:line="240" w:lineRule="auto"/>
              <w:jc w:val="center"/>
            </w:pPr>
            <w:r>
              <w:rPr>
                <w:color w:val="1A1B1A"/>
                <w:szCs w:val="17"/>
              </w:rPr>
              <w:t>6.3</w:t>
            </w:r>
          </w:p>
        </w:tc>
        <w:tc>
          <w:tcPr>
            <w:tcW w:w="312" w:type="pct"/>
            <w:tcBorders>
              <w:top w:val="single" w:sz="4" w:space="0" w:color="auto"/>
            </w:tcBorders>
            <w:vAlign w:val="center"/>
          </w:tcPr>
          <w:p w14:paraId="276DCF97"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top w:val="single" w:sz="4" w:space="0" w:color="auto"/>
            </w:tcBorders>
            <w:shd w:val="clear" w:color="auto" w:fill="FF0000"/>
            <w:vAlign w:val="center"/>
          </w:tcPr>
          <w:p w14:paraId="3AC1AC3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93" w:type="pct"/>
            <w:tcBorders>
              <w:top w:val="single" w:sz="4" w:space="0" w:color="auto"/>
            </w:tcBorders>
            <w:vAlign w:val="center"/>
          </w:tcPr>
          <w:p w14:paraId="32F7D9EC"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7A691CF9" w14:textId="77777777" w:rsidTr="00444693">
        <w:trPr>
          <w:cantSplit/>
          <w:trHeight w:val="13"/>
        </w:trPr>
        <w:tc>
          <w:tcPr>
            <w:tcW w:w="491" w:type="pct"/>
            <w:vMerge/>
          </w:tcPr>
          <w:p w14:paraId="0B686C06" w14:textId="77777777" w:rsidR="00CE1436" w:rsidRDefault="00CE1436" w:rsidP="00444693">
            <w:pPr>
              <w:pStyle w:val="TableText"/>
              <w:widowControl w:val="0"/>
              <w:suppressAutoHyphens w:val="0"/>
              <w:spacing w:before="0" w:after="0" w:line="240" w:lineRule="auto"/>
              <w:rPr>
                <w:szCs w:val="17"/>
              </w:rPr>
            </w:pPr>
          </w:p>
        </w:tc>
        <w:tc>
          <w:tcPr>
            <w:tcW w:w="518" w:type="pct"/>
            <w:vMerge/>
          </w:tcPr>
          <w:p w14:paraId="4004E7A3" w14:textId="77777777" w:rsidR="00CE1436" w:rsidRDefault="00CE1436" w:rsidP="00444693">
            <w:pPr>
              <w:pStyle w:val="TableText"/>
              <w:widowControl w:val="0"/>
              <w:suppressAutoHyphens w:val="0"/>
              <w:spacing w:before="0" w:after="0" w:line="240" w:lineRule="auto"/>
              <w:rPr>
                <w:szCs w:val="17"/>
              </w:rPr>
            </w:pPr>
          </w:p>
        </w:tc>
        <w:tc>
          <w:tcPr>
            <w:tcW w:w="477" w:type="pct"/>
            <w:vMerge/>
          </w:tcPr>
          <w:p w14:paraId="173740AB" w14:textId="77777777" w:rsidR="00CE1436" w:rsidRDefault="00CE1436" w:rsidP="00444693">
            <w:pPr>
              <w:pStyle w:val="TableText"/>
              <w:widowControl w:val="0"/>
              <w:suppressAutoHyphens w:val="0"/>
              <w:spacing w:before="0" w:after="0" w:line="240" w:lineRule="auto"/>
              <w:rPr>
                <w:szCs w:val="17"/>
              </w:rPr>
            </w:pPr>
          </w:p>
        </w:tc>
        <w:tc>
          <w:tcPr>
            <w:tcW w:w="491" w:type="pct"/>
          </w:tcPr>
          <w:p w14:paraId="3DB89B8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E33D88B"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56073D69" w14:textId="77777777" w:rsidR="00CE1436" w:rsidRDefault="00CE1436" w:rsidP="00444693">
            <w:pPr>
              <w:pStyle w:val="TableText"/>
              <w:widowControl w:val="0"/>
              <w:suppressAutoHyphens w:val="0"/>
              <w:spacing w:before="0" w:after="0" w:line="240" w:lineRule="auto"/>
              <w:jc w:val="center"/>
            </w:pPr>
            <w:r>
              <w:t>270</w:t>
            </w:r>
          </w:p>
        </w:tc>
        <w:tc>
          <w:tcPr>
            <w:tcW w:w="312" w:type="pct"/>
          </w:tcPr>
          <w:p w14:paraId="6ECBDB2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DA36A9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13D13C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3F2C6281" w14:textId="77777777" w:rsidR="00CE1436" w:rsidRDefault="00CE1436" w:rsidP="00444693">
            <w:pPr>
              <w:pStyle w:val="TableText"/>
              <w:widowControl w:val="0"/>
              <w:suppressAutoHyphens w:val="0"/>
              <w:spacing w:before="0" w:after="0" w:line="240" w:lineRule="auto"/>
              <w:jc w:val="center"/>
            </w:pPr>
            <w:r>
              <w:rPr>
                <w:color w:val="1A1B1A"/>
                <w:szCs w:val="17"/>
              </w:rPr>
              <w:t>4.2</w:t>
            </w:r>
          </w:p>
        </w:tc>
        <w:tc>
          <w:tcPr>
            <w:tcW w:w="312" w:type="pct"/>
            <w:vAlign w:val="center"/>
          </w:tcPr>
          <w:p w14:paraId="24CBC4F5"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384FB98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658D57AB"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4A13C002" w14:textId="77777777" w:rsidTr="00444693">
        <w:trPr>
          <w:cantSplit/>
          <w:trHeight w:val="13"/>
        </w:trPr>
        <w:tc>
          <w:tcPr>
            <w:tcW w:w="491" w:type="pct"/>
            <w:vMerge/>
            <w:tcBorders>
              <w:bottom w:val="single" w:sz="4" w:space="0" w:color="auto"/>
            </w:tcBorders>
          </w:tcPr>
          <w:p w14:paraId="2D89853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FC7E26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24539FA"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34CDD3E8"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57474BF1"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Borders>
              <w:bottom w:val="single" w:sz="4" w:space="0" w:color="auto"/>
            </w:tcBorders>
          </w:tcPr>
          <w:p w14:paraId="6539332A" w14:textId="77777777" w:rsidR="00CE1436" w:rsidRDefault="00CE1436" w:rsidP="00444693">
            <w:pPr>
              <w:pStyle w:val="TableText"/>
              <w:widowControl w:val="0"/>
              <w:suppressAutoHyphens w:val="0"/>
              <w:spacing w:before="0" w:after="0" w:line="240" w:lineRule="auto"/>
              <w:jc w:val="center"/>
            </w:pPr>
            <w:r>
              <w:t>216</w:t>
            </w:r>
          </w:p>
        </w:tc>
        <w:tc>
          <w:tcPr>
            <w:tcW w:w="312" w:type="pct"/>
            <w:tcBorders>
              <w:bottom w:val="single" w:sz="4" w:space="0" w:color="auto"/>
            </w:tcBorders>
          </w:tcPr>
          <w:p w14:paraId="5E6CD18F"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FB04C18" w14:textId="77777777" w:rsidR="00CE1436" w:rsidRDefault="00CE1436" w:rsidP="00444693">
            <w:pPr>
              <w:pStyle w:val="TableText"/>
              <w:widowControl w:val="0"/>
              <w:suppressAutoHyphens w:val="0"/>
              <w:spacing w:before="0" w:after="0" w:line="240" w:lineRule="auto"/>
              <w:jc w:val="center"/>
            </w:pPr>
            <w:r>
              <w:t>0.5</w:t>
            </w:r>
          </w:p>
        </w:tc>
        <w:tc>
          <w:tcPr>
            <w:tcW w:w="312" w:type="pct"/>
            <w:tcBorders>
              <w:bottom w:val="single" w:sz="4" w:space="0" w:color="auto"/>
            </w:tcBorders>
          </w:tcPr>
          <w:p w14:paraId="7963F2D5" w14:textId="77777777" w:rsidR="00CE1436" w:rsidRDefault="00CE1436" w:rsidP="00444693">
            <w:pPr>
              <w:pStyle w:val="TableText"/>
              <w:widowControl w:val="0"/>
              <w:suppressAutoHyphens w:val="0"/>
              <w:spacing w:before="0" w:after="0" w:line="240" w:lineRule="auto"/>
              <w:jc w:val="center"/>
            </w:pPr>
            <w:r>
              <w:t>0.53</w:t>
            </w:r>
          </w:p>
        </w:tc>
        <w:tc>
          <w:tcPr>
            <w:tcW w:w="311" w:type="pct"/>
            <w:tcBorders>
              <w:bottom w:val="single" w:sz="4" w:space="0" w:color="auto"/>
            </w:tcBorders>
            <w:vAlign w:val="center"/>
          </w:tcPr>
          <w:p w14:paraId="0A67C57A" w14:textId="77777777" w:rsidR="00CE1436" w:rsidRPr="003B78B6" w:rsidRDefault="00CE1436" w:rsidP="00444693">
            <w:pPr>
              <w:pStyle w:val="TableText"/>
              <w:widowControl w:val="0"/>
              <w:suppressAutoHyphens w:val="0"/>
              <w:spacing w:before="0" w:after="0" w:line="240" w:lineRule="auto"/>
              <w:jc w:val="center"/>
            </w:pPr>
            <w:r>
              <w:rPr>
                <w:color w:val="1A1B1A"/>
                <w:szCs w:val="17"/>
              </w:rPr>
              <w:t>3.4</w:t>
            </w:r>
          </w:p>
        </w:tc>
        <w:tc>
          <w:tcPr>
            <w:tcW w:w="312" w:type="pct"/>
            <w:tcBorders>
              <w:bottom w:val="single" w:sz="4" w:space="0" w:color="auto"/>
            </w:tcBorders>
            <w:vAlign w:val="center"/>
          </w:tcPr>
          <w:p w14:paraId="4A0F829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5012515E"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0.9</w:t>
            </w:r>
          </w:p>
        </w:tc>
        <w:tc>
          <w:tcPr>
            <w:tcW w:w="393" w:type="pct"/>
            <w:tcBorders>
              <w:bottom w:val="single" w:sz="4" w:space="0" w:color="auto"/>
            </w:tcBorders>
            <w:vAlign w:val="center"/>
          </w:tcPr>
          <w:p w14:paraId="69C873EA"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617B9296" w14:textId="77777777" w:rsidTr="00444693">
        <w:trPr>
          <w:cantSplit/>
          <w:trHeight w:val="13"/>
        </w:trPr>
        <w:tc>
          <w:tcPr>
            <w:tcW w:w="5000" w:type="pct"/>
            <w:gridSpan w:val="13"/>
            <w:tcBorders>
              <w:bottom w:val="single" w:sz="4" w:space="0" w:color="auto"/>
            </w:tcBorders>
          </w:tcPr>
          <w:p w14:paraId="72B9EB0F" w14:textId="77777777" w:rsidR="00CE1436" w:rsidRPr="0027505E" w:rsidRDefault="00CE1436" w:rsidP="00AC06D7">
            <w:pPr>
              <w:pStyle w:val="TableSubHead0"/>
            </w:pPr>
            <w:r w:rsidRPr="005D3DCC">
              <w:t>General weed control in bananas, dubosia, forests, orchards, plantations, tea tree</w:t>
            </w:r>
          </w:p>
        </w:tc>
      </w:tr>
      <w:tr w:rsidR="00CE1436" w:rsidRPr="00401A10" w14:paraId="3514D53D" w14:textId="77777777" w:rsidTr="00444693">
        <w:trPr>
          <w:cantSplit/>
          <w:trHeight w:val="13"/>
        </w:trPr>
        <w:tc>
          <w:tcPr>
            <w:tcW w:w="491" w:type="pct"/>
            <w:vMerge w:val="restart"/>
            <w:tcBorders>
              <w:bottom w:val="single" w:sz="4" w:space="0" w:color="auto"/>
            </w:tcBorders>
          </w:tcPr>
          <w:p w14:paraId="5CB3734F" w14:textId="77777777" w:rsidR="00CE1436" w:rsidRDefault="00CE1436" w:rsidP="00444693">
            <w:pPr>
              <w:pStyle w:val="TableText"/>
              <w:widowControl w:val="0"/>
              <w:suppressAutoHyphens w:val="0"/>
              <w:spacing w:before="0" w:after="0" w:line="240" w:lineRule="auto"/>
              <w:rPr>
                <w:szCs w:val="17"/>
              </w:rPr>
            </w:pPr>
            <w:r>
              <w:rPr>
                <w:szCs w:val="17"/>
              </w:rPr>
              <w:t>Orchards</w:t>
            </w:r>
          </w:p>
        </w:tc>
        <w:tc>
          <w:tcPr>
            <w:tcW w:w="518" w:type="pct"/>
            <w:vMerge w:val="restart"/>
            <w:tcBorders>
              <w:bottom w:val="single" w:sz="4" w:space="0" w:color="auto"/>
            </w:tcBorders>
          </w:tcPr>
          <w:p w14:paraId="6B5B9056" w14:textId="77777777" w:rsidR="00CE1436"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32BD3000" w14:textId="77777777" w:rsidR="00CE1436" w:rsidRDefault="00CE1436" w:rsidP="00444693">
            <w:pPr>
              <w:pStyle w:val="TableText"/>
              <w:widowControl w:val="0"/>
              <w:suppressAutoHyphens w:val="0"/>
              <w:spacing w:before="0" w:after="0" w:line="240" w:lineRule="auto"/>
              <w:rPr>
                <w:szCs w:val="17"/>
              </w:rPr>
            </w:pPr>
            <w:r w:rsidRPr="00C20C79">
              <w:rPr>
                <w:szCs w:val="17"/>
              </w:rPr>
              <w:t>Ground directed</w:t>
            </w:r>
          </w:p>
        </w:tc>
        <w:tc>
          <w:tcPr>
            <w:tcW w:w="491" w:type="pct"/>
            <w:tcBorders>
              <w:top w:val="single" w:sz="4" w:space="0" w:color="auto"/>
            </w:tcBorders>
          </w:tcPr>
          <w:p w14:paraId="1EE7341D"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26C6F449" w14:textId="77777777" w:rsidR="00CE1436"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Borders>
              <w:top w:val="single" w:sz="4" w:space="0" w:color="auto"/>
            </w:tcBorders>
          </w:tcPr>
          <w:p w14:paraId="39964D64"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5623C9FF"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36091F38"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16FF6A2F"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5F994173" w14:textId="77777777" w:rsidR="00CE1436" w:rsidRDefault="00CE1436" w:rsidP="00444693">
            <w:pPr>
              <w:pStyle w:val="TableText"/>
              <w:widowControl w:val="0"/>
              <w:suppressAutoHyphens w:val="0"/>
              <w:spacing w:before="0" w:after="0" w:line="240" w:lineRule="auto"/>
              <w:jc w:val="center"/>
            </w:pPr>
            <w:r>
              <w:rPr>
                <w:color w:val="1A1B1A"/>
                <w:szCs w:val="17"/>
              </w:rPr>
              <w:t>125</w:t>
            </w:r>
          </w:p>
        </w:tc>
        <w:tc>
          <w:tcPr>
            <w:tcW w:w="312" w:type="pct"/>
            <w:tcBorders>
              <w:top w:val="single" w:sz="4" w:space="0" w:color="auto"/>
            </w:tcBorders>
            <w:vAlign w:val="center"/>
          </w:tcPr>
          <w:p w14:paraId="1570B158"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1F504B4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tcBorders>
              <w:top w:val="single" w:sz="4" w:space="0" w:color="auto"/>
            </w:tcBorders>
            <w:vAlign w:val="center"/>
          </w:tcPr>
          <w:p w14:paraId="666468C9"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248885A4" w14:textId="77777777" w:rsidTr="00444693">
        <w:trPr>
          <w:cantSplit/>
          <w:trHeight w:val="13"/>
        </w:trPr>
        <w:tc>
          <w:tcPr>
            <w:tcW w:w="491" w:type="pct"/>
            <w:vMerge/>
            <w:tcBorders>
              <w:bottom w:val="single" w:sz="4" w:space="0" w:color="auto"/>
            </w:tcBorders>
          </w:tcPr>
          <w:p w14:paraId="7B45666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076E7D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CAA171F"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0445FA8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BA9911F"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033117F3"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0D7075E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E681AB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AD5389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0E7EFF7" w14:textId="77777777" w:rsidR="00CE1436" w:rsidRPr="003B78B6" w:rsidRDefault="00CE1436" w:rsidP="00444693">
            <w:pPr>
              <w:pStyle w:val="TableText"/>
              <w:widowControl w:val="0"/>
              <w:suppressAutoHyphens w:val="0"/>
              <w:spacing w:before="0" w:after="0" w:line="240" w:lineRule="auto"/>
              <w:jc w:val="center"/>
            </w:pPr>
            <w:r>
              <w:rPr>
                <w:color w:val="1A1B1A"/>
                <w:szCs w:val="17"/>
              </w:rPr>
              <w:t>91</w:t>
            </w:r>
          </w:p>
        </w:tc>
        <w:tc>
          <w:tcPr>
            <w:tcW w:w="312" w:type="pct"/>
            <w:vAlign w:val="center"/>
          </w:tcPr>
          <w:p w14:paraId="2CED8FC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0B09B5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93" w:type="pct"/>
            <w:vAlign w:val="center"/>
          </w:tcPr>
          <w:p w14:paraId="0244CD66"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2415FD42" w14:textId="77777777" w:rsidTr="00444693">
        <w:trPr>
          <w:cantSplit/>
          <w:trHeight w:val="13"/>
        </w:trPr>
        <w:tc>
          <w:tcPr>
            <w:tcW w:w="491" w:type="pct"/>
            <w:vMerge/>
            <w:tcBorders>
              <w:bottom w:val="single" w:sz="4" w:space="0" w:color="auto"/>
            </w:tcBorders>
          </w:tcPr>
          <w:p w14:paraId="247BB84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959422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04B9B26"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F8BD77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2D7030C" w14:textId="77777777" w:rsidR="00CE1436"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5D9CAA04"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5E33404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F36DCE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6C591B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472EBE0" w14:textId="77777777" w:rsidR="00CE1436"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47CFA92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0499CAB0"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1B018347"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2297D1B6" w14:textId="77777777" w:rsidTr="00444693">
        <w:trPr>
          <w:cantSplit/>
          <w:trHeight w:val="13"/>
        </w:trPr>
        <w:tc>
          <w:tcPr>
            <w:tcW w:w="491" w:type="pct"/>
            <w:vMerge/>
            <w:tcBorders>
              <w:bottom w:val="single" w:sz="4" w:space="0" w:color="auto"/>
            </w:tcBorders>
          </w:tcPr>
          <w:p w14:paraId="7AA184D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1734C2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F3E7393"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9E4B9B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6B4E610"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74EACC26"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6EA6D3E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11D0A5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22233A0"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5234550" w14:textId="77777777" w:rsidR="00CE1436" w:rsidRPr="003B78B6" w:rsidRDefault="00CE1436" w:rsidP="00444693">
            <w:pPr>
              <w:pStyle w:val="TableText"/>
              <w:widowControl w:val="0"/>
              <w:suppressAutoHyphens w:val="0"/>
              <w:spacing w:before="0" w:after="0" w:line="240" w:lineRule="auto"/>
              <w:jc w:val="center"/>
            </w:pPr>
            <w:r>
              <w:rPr>
                <w:color w:val="1A1B1A"/>
                <w:szCs w:val="17"/>
              </w:rPr>
              <w:t>56</w:t>
            </w:r>
          </w:p>
        </w:tc>
        <w:tc>
          <w:tcPr>
            <w:tcW w:w="312" w:type="pct"/>
            <w:vAlign w:val="center"/>
          </w:tcPr>
          <w:p w14:paraId="0526CCC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C8AC96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9.2</w:t>
            </w:r>
          </w:p>
        </w:tc>
        <w:tc>
          <w:tcPr>
            <w:tcW w:w="393" w:type="pct"/>
            <w:vAlign w:val="center"/>
          </w:tcPr>
          <w:p w14:paraId="335D6FD3"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2D9ECE18" w14:textId="77777777" w:rsidTr="00444693">
        <w:trPr>
          <w:cantSplit/>
          <w:trHeight w:val="13"/>
        </w:trPr>
        <w:tc>
          <w:tcPr>
            <w:tcW w:w="491" w:type="pct"/>
            <w:vMerge/>
            <w:tcBorders>
              <w:bottom w:val="single" w:sz="4" w:space="0" w:color="auto"/>
            </w:tcBorders>
          </w:tcPr>
          <w:p w14:paraId="355507B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A15ADB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CB6A5E4"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606F63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41F91E4" w14:textId="77777777" w:rsidR="00CE1436"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6A2C945E"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4B44D15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A208FE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E3CCCA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D843707" w14:textId="77777777" w:rsidR="00CE1436" w:rsidRDefault="00CE1436" w:rsidP="00444693">
            <w:pPr>
              <w:pStyle w:val="TableText"/>
              <w:widowControl w:val="0"/>
              <w:suppressAutoHyphens w:val="0"/>
              <w:spacing w:before="0" w:after="0" w:line="240" w:lineRule="auto"/>
              <w:jc w:val="center"/>
            </w:pPr>
            <w:r>
              <w:rPr>
                <w:color w:val="1A1B1A"/>
                <w:szCs w:val="17"/>
              </w:rPr>
              <w:t>50</w:t>
            </w:r>
          </w:p>
        </w:tc>
        <w:tc>
          <w:tcPr>
            <w:tcW w:w="312" w:type="pct"/>
            <w:vAlign w:val="center"/>
          </w:tcPr>
          <w:p w14:paraId="143FD3E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FB0D58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8.2</w:t>
            </w:r>
          </w:p>
        </w:tc>
        <w:tc>
          <w:tcPr>
            <w:tcW w:w="393" w:type="pct"/>
            <w:vAlign w:val="center"/>
          </w:tcPr>
          <w:p w14:paraId="6DFD687F"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401A10" w14:paraId="53C42F2B" w14:textId="77777777" w:rsidTr="00444693">
        <w:trPr>
          <w:cantSplit/>
          <w:trHeight w:val="13"/>
        </w:trPr>
        <w:tc>
          <w:tcPr>
            <w:tcW w:w="491" w:type="pct"/>
            <w:vMerge/>
            <w:tcBorders>
              <w:bottom w:val="single" w:sz="4" w:space="0" w:color="auto"/>
            </w:tcBorders>
          </w:tcPr>
          <w:p w14:paraId="40552F3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F01D356"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415491C"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FA279D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729B9B8" w14:textId="77777777" w:rsidR="00CE1436" w:rsidRPr="007F7433"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16C6CF04"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64009A0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620F222"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8F5A6B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308B1D0" w14:textId="77777777" w:rsidR="00CE1436" w:rsidRDefault="00CE1436" w:rsidP="00444693">
            <w:pPr>
              <w:pStyle w:val="TableText"/>
              <w:widowControl w:val="0"/>
              <w:suppressAutoHyphens w:val="0"/>
              <w:spacing w:before="0" w:after="0" w:line="240" w:lineRule="auto"/>
              <w:jc w:val="center"/>
            </w:pPr>
            <w:r>
              <w:rPr>
                <w:color w:val="1A1B1A"/>
                <w:szCs w:val="17"/>
              </w:rPr>
              <w:t>48</w:t>
            </w:r>
          </w:p>
        </w:tc>
        <w:tc>
          <w:tcPr>
            <w:tcW w:w="312" w:type="pct"/>
            <w:vAlign w:val="center"/>
          </w:tcPr>
          <w:p w14:paraId="3F9A466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C8C1FC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7.9</w:t>
            </w:r>
          </w:p>
        </w:tc>
        <w:tc>
          <w:tcPr>
            <w:tcW w:w="393" w:type="pct"/>
            <w:vAlign w:val="center"/>
          </w:tcPr>
          <w:p w14:paraId="46AC1C3D"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74CA4D0F" w14:textId="77777777" w:rsidTr="00444693">
        <w:trPr>
          <w:cantSplit/>
          <w:trHeight w:val="13"/>
        </w:trPr>
        <w:tc>
          <w:tcPr>
            <w:tcW w:w="491" w:type="pct"/>
            <w:vMerge/>
            <w:tcBorders>
              <w:bottom w:val="single" w:sz="4" w:space="0" w:color="auto"/>
            </w:tcBorders>
          </w:tcPr>
          <w:p w14:paraId="28526AC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CD6115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B63AB9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9BAA53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861BF6C"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28F956CC" w14:textId="77777777" w:rsidR="00CE1436" w:rsidRDefault="00CE1436" w:rsidP="00444693">
            <w:pPr>
              <w:pStyle w:val="TableText"/>
              <w:widowControl w:val="0"/>
              <w:suppressAutoHyphens w:val="0"/>
              <w:spacing w:before="0" w:after="0" w:line="240" w:lineRule="auto"/>
              <w:jc w:val="center"/>
            </w:pPr>
            <w:r>
              <w:t>425</w:t>
            </w:r>
          </w:p>
        </w:tc>
        <w:tc>
          <w:tcPr>
            <w:tcW w:w="312" w:type="pct"/>
          </w:tcPr>
          <w:p w14:paraId="00838B4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183F5D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E7B366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7E24DE0" w14:textId="77777777" w:rsidR="00CE1436" w:rsidRPr="003B78B6" w:rsidRDefault="00CE1436" w:rsidP="00444693">
            <w:pPr>
              <w:pStyle w:val="TableText"/>
              <w:widowControl w:val="0"/>
              <w:suppressAutoHyphens w:val="0"/>
              <w:spacing w:before="0" w:after="0" w:line="240" w:lineRule="auto"/>
              <w:jc w:val="center"/>
            </w:pPr>
            <w:r>
              <w:rPr>
                <w:color w:val="1A1B1A"/>
                <w:szCs w:val="17"/>
              </w:rPr>
              <w:t>48</w:t>
            </w:r>
          </w:p>
        </w:tc>
        <w:tc>
          <w:tcPr>
            <w:tcW w:w="312" w:type="pct"/>
            <w:vAlign w:val="center"/>
          </w:tcPr>
          <w:p w14:paraId="6FD2896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AED2381"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7.8</w:t>
            </w:r>
          </w:p>
        </w:tc>
        <w:tc>
          <w:tcPr>
            <w:tcW w:w="393" w:type="pct"/>
            <w:vAlign w:val="center"/>
          </w:tcPr>
          <w:p w14:paraId="767800F9"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67D567E1" w14:textId="77777777" w:rsidTr="00444693">
        <w:trPr>
          <w:cantSplit/>
          <w:trHeight w:val="13"/>
        </w:trPr>
        <w:tc>
          <w:tcPr>
            <w:tcW w:w="491" w:type="pct"/>
            <w:vMerge/>
            <w:tcBorders>
              <w:bottom w:val="single" w:sz="4" w:space="0" w:color="auto"/>
            </w:tcBorders>
          </w:tcPr>
          <w:p w14:paraId="0FFB3B5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420ABC3"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46A16ED"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4FE800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2835986"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440E4B9C"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7377890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BD06D7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6054B2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421AD00" w14:textId="77777777" w:rsidR="00CE1436" w:rsidRPr="003B78B6"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7AF6C6E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83A111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6.1</w:t>
            </w:r>
          </w:p>
        </w:tc>
        <w:tc>
          <w:tcPr>
            <w:tcW w:w="393" w:type="pct"/>
            <w:vAlign w:val="center"/>
          </w:tcPr>
          <w:p w14:paraId="16AF8D88"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39E42258" w14:textId="77777777" w:rsidTr="00444693">
        <w:trPr>
          <w:cantSplit/>
          <w:trHeight w:val="13"/>
        </w:trPr>
        <w:tc>
          <w:tcPr>
            <w:tcW w:w="491" w:type="pct"/>
            <w:vMerge/>
            <w:tcBorders>
              <w:bottom w:val="single" w:sz="4" w:space="0" w:color="auto"/>
            </w:tcBorders>
          </w:tcPr>
          <w:p w14:paraId="00FF1BE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5DE1561"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3E70760"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112CAB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8F783FB"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6A8F022F"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0B53A24A" w14:textId="77777777" w:rsidR="00CE1436" w:rsidRDefault="00CE1436" w:rsidP="00444693">
            <w:pPr>
              <w:pStyle w:val="TableText"/>
              <w:widowControl w:val="0"/>
              <w:suppressAutoHyphens w:val="0"/>
              <w:spacing w:before="0" w:after="0" w:line="240" w:lineRule="auto"/>
              <w:jc w:val="center"/>
            </w:pPr>
            <w:r>
              <w:t>1.4</w:t>
            </w:r>
          </w:p>
        </w:tc>
        <w:tc>
          <w:tcPr>
            <w:tcW w:w="311" w:type="pct"/>
          </w:tcPr>
          <w:p w14:paraId="2285A2D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BC5B1A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A3E3F4B" w14:textId="77777777" w:rsidR="00CE1436" w:rsidRPr="003B78B6" w:rsidRDefault="00CE1436" w:rsidP="00444693">
            <w:pPr>
              <w:pStyle w:val="TableText"/>
              <w:widowControl w:val="0"/>
              <w:suppressAutoHyphens w:val="0"/>
              <w:spacing w:before="0" w:after="0" w:line="240" w:lineRule="auto"/>
              <w:jc w:val="center"/>
            </w:pPr>
            <w:r>
              <w:rPr>
                <w:color w:val="1A1B1A"/>
                <w:szCs w:val="17"/>
              </w:rPr>
              <w:t>51</w:t>
            </w:r>
          </w:p>
        </w:tc>
        <w:tc>
          <w:tcPr>
            <w:tcW w:w="312" w:type="pct"/>
            <w:vAlign w:val="center"/>
          </w:tcPr>
          <w:p w14:paraId="710F0D6A"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9828E4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8.3</w:t>
            </w:r>
          </w:p>
        </w:tc>
        <w:tc>
          <w:tcPr>
            <w:tcW w:w="393" w:type="pct"/>
            <w:vAlign w:val="center"/>
          </w:tcPr>
          <w:p w14:paraId="5099DDF0" w14:textId="77777777" w:rsidR="00CE1436" w:rsidRPr="0027505E" w:rsidRDefault="00CE1436" w:rsidP="00444693">
            <w:pPr>
              <w:pStyle w:val="TableText"/>
              <w:widowControl w:val="0"/>
              <w:suppressAutoHyphens w:val="0"/>
              <w:spacing w:before="0" w:after="0" w:line="240" w:lineRule="auto"/>
              <w:jc w:val="center"/>
            </w:pPr>
            <w:r>
              <w:rPr>
                <w:color w:val="1A1B1A"/>
                <w:szCs w:val="17"/>
              </w:rPr>
              <w:t>39</w:t>
            </w:r>
          </w:p>
        </w:tc>
      </w:tr>
      <w:tr w:rsidR="00CE1436" w:rsidRPr="00401A10" w14:paraId="730F7DDF" w14:textId="77777777" w:rsidTr="00444693">
        <w:trPr>
          <w:cantSplit/>
          <w:trHeight w:val="13"/>
        </w:trPr>
        <w:tc>
          <w:tcPr>
            <w:tcW w:w="491" w:type="pct"/>
            <w:vMerge/>
            <w:tcBorders>
              <w:bottom w:val="single" w:sz="4" w:space="0" w:color="auto"/>
            </w:tcBorders>
          </w:tcPr>
          <w:p w14:paraId="000661D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FE5113D"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1D2FC3E"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623CF06"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6CA1483" w14:textId="77777777" w:rsidR="00CE1436"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2181BED5"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0982B1A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5E6C11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08B672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F001E8C" w14:textId="77777777" w:rsidR="00CE1436" w:rsidRDefault="00CE1436" w:rsidP="00444693">
            <w:pPr>
              <w:pStyle w:val="TableText"/>
              <w:widowControl w:val="0"/>
              <w:suppressAutoHyphens w:val="0"/>
              <w:spacing w:before="0" w:after="0" w:line="240" w:lineRule="auto"/>
              <w:jc w:val="center"/>
            </w:pPr>
            <w:r>
              <w:rPr>
                <w:color w:val="1A1B1A"/>
                <w:szCs w:val="17"/>
              </w:rPr>
              <w:t>36</w:t>
            </w:r>
          </w:p>
        </w:tc>
        <w:tc>
          <w:tcPr>
            <w:tcW w:w="312" w:type="pct"/>
            <w:vAlign w:val="center"/>
          </w:tcPr>
          <w:p w14:paraId="72A0DE9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08818E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5.9</w:t>
            </w:r>
          </w:p>
        </w:tc>
        <w:tc>
          <w:tcPr>
            <w:tcW w:w="393" w:type="pct"/>
            <w:vAlign w:val="center"/>
          </w:tcPr>
          <w:p w14:paraId="20302BDD"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401A10" w14:paraId="627B7FED" w14:textId="77777777" w:rsidTr="00444693">
        <w:trPr>
          <w:cantSplit/>
          <w:trHeight w:val="13"/>
        </w:trPr>
        <w:tc>
          <w:tcPr>
            <w:tcW w:w="491" w:type="pct"/>
            <w:vMerge/>
            <w:tcBorders>
              <w:bottom w:val="single" w:sz="4" w:space="0" w:color="auto"/>
            </w:tcBorders>
          </w:tcPr>
          <w:p w14:paraId="345CC3E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5D36FE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B797AC3"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E67765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2349A6F" w14:textId="77777777" w:rsidR="00CE1436"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17158DA3"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30E75C9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6D8C7E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57AC795"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2477BF7" w14:textId="77777777" w:rsidR="00CE143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4B6B8E9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84A2B3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93" w:type="pct"/>
            <w:vAlign w:val="center"/>
          </w:tcPr>
          <w:p w14:paraId="5068E08E"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4D83455A" w14:textId="77777777" w:rsidTr="00444693">
        <w:trPr>
          <w:cantSplit/>
          <w:trHeight w:val="13"/>
        </w:trPr>
        <w:tc>
          <w:tcPr>
            <w:tcW w:w="491" w:type="pct"/>
            <w:vMerge/>
            <w:tcBorders>
              <w:bottom w:val="single" w:sz="4" w:space="0" w:color="auto"/>
            </w:tcBorders>
          </w:tcPr>
          <w:p w14:paraId="36E786D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B2D5EA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694A6AC"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FCB004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9D798C9"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1F0D38CE" w14:textId="77777777" w:rsidR="00CE1436" w:rsidRDefault="00CE1436" w:rsidP="00444693">
            <w:pPr>
              <w:pStyle w:val="TableText"/>
              <w:widowControl w:val="0"/>
              <w:suppressAutoHyphens w:val="0"/>
              <w:spacing w:before="0" w:after="0" w:line="240" w:lineRule="auto"/>
              <w:jc w:val="center"/>
            </w:pPr>
            <w:r>
              <w:t>175</w:t>
            </w:r>
          </w:p>
        </w:tc>
        <w:tc>
          <w:tcPr>
            <w:tcW w:w="312" w:type="pct"/>
          </w:tcPr>
          <w:p w14:paraId="5948EBE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D8E2E0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288456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0DAE36C" w14:textId="77777777" w:rsidR="00CE1436" w:rsidRPr="003B78B6" w:rsidRDefault="00CE1436" w:rsidP="00444693">
            <w:pPr>
              <w:pStyle w:val="TableText"/>
              <w:widowControl w:val="0"/>
              <w:suppressAutoHyphens w:val="0"/>
              <w:spacing w:before="0" w:after="0" w:line="240" w:lineRule="auto"/>
              <w:jc w:val="center"/>
            </w:pPr>
            <w:r>
              <w:rPr>
                <w:color w:val="1A1B1A"/>
                <w:szCs w:val="17"/>
              </w:rPr>
              <w:t>20</w:t>
            </w:r>
          </w:p>
        </w:tc>
        <w:tc>
          <w:tcPr>
            <w:tcW w:w="312" w:type="pct"/>
            <w:vAlign w:val="center"/>
          </w:tcPr>
          <w:p w14:paraId="585374C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4B31E1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3.2</w:t>
            </w:r>
          </w:p>
        </w:tc>
        <w:tc>
          <w:tcPr>
            <w:tcW w:w="393" w:type="pct"/>
            <w:vAlign w:val="center"/>
          </w:tcPr>
          <w:p w14:paraId="3696AD4D"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793F3566" w14:textId="77777777" w:rsidTr="00444693">
        <w:trPr>
          <w:cantSplit/>
          <w:trHeight w:val="13"/>
        </w:trPr>
        <w:tc>
          <w:tcPr>
            <w:tcW w:w="491" w:type="pct"/>
            <w:vMerge/>
            <w:tcBorders>
              <w:bottom w:val="single" w:sz="4" w:space="0" w:color="auto"/>
            </w:tcBorders>
          </w:tcPr>
          <w:p w14:paraId="40087A7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5003B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8ABA2C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2B908C9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36DCCE6" w14:textId="77777777" w:rsidR="00CE1436" w:rsidRPr="007F7433"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065A8A2C"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5A735BB3"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691D83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41F946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A8E4ED9" w14:textId="77777777" w:rsidR="00CE1436"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4073C3A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425E25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3.2</w:t>
            </w:r>
          </w:p>
        </w:tc>
        <w:tc>
          <w:tcPr>
            <w:tcW w:w="393" w:type="pct"/>
            <w:vAlign w:val="center"/>
          </w:tcPr>
          <w:p w14:paraId="2C69FDED"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6E8919A9" w14:textId="77777777" w:rsidTr="00444693">
        <w:trPr>
          <w:cantSplit/>
          <w:trHeight w:val="13"/>
        </w:trPr>
        <w:tc>
          <w:tcPr>
            <w:tcW w:w="491" w:type="pct"/>
            <w:vMerge/>
            <w:tcBorders>
              <w:bottom w:val="single" w:sz="4" w:space="0" w:color="auto"/>
            </w:tcBorders>
          </w:tcPr>
          <w:p w14:paraId="08F0952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095A4E6"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7E3CED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982EC4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EAFB917" w14:textId="77777777" w:rsidR="00CE1436" w:rsidRPr="00727CC9"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Pr>
          <w:p w14:paraId="065C518B" w14:textId="77777777" w:rsidR="00CE1436" w:rsidRDefault="00CE1436" w:rsidP="00444693">
            <w:pPr>
              <w:pStyle w:val="TableText"/>
              <w:widowControl w:val="0"/>
              <w:suppressAutoHyphens w:val="0"/>
              <w:spacing w:before="0" w:after="0" w:line="240" w:lineRule="auto"/>
              <w:jc w:val="center"/>
            </w:pPr>
            <w:r>
              <w:t>168</w:t>
            </w:r>
          </w:p>
        </w:tc>
        <w:tc>
          <w:tcPr>
            <w:tcW w:w="312" w:type="pct"/>
          </w:tcPr>
          <w:p w14:paraId="1EB0FF1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736D4A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D89909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17DD7D7" w14:textId="77777777" w:rsidR="00CE1436" w:rsidRPr="003B78B6"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53CE0FC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340E3E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3.1</w:t>
            </w:r>
          </w:p>
        </w:tc>
        <w:tc>
          <w:tcPr>
            <w:tcW w:w="393" w:type="pct"/>
            <w:vAlign w:val="center"/>
          </w:tcPr>
          <w:p w14:paraId="0B73A4E2"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53EAC2F9" w14:textId="77777777" w:rsidTr="00444693">
        <w:trPr>
          <w:cantSplit/>
          <w:trHeight w:val="13"/>
        </w:trPr>
        <w:tc>
          <w:tcPr>
            <w:tcW w:w="491" w:type="pct"/>
            <w:vMerge/>
            <w:tcBorders>
              <w:bottom w:val="single" w:sz="4" w:space="0" w:color="auto"/>
            </w:tcBorders>
          </w:tcPr>
          <w:p w14:paraId="1CAA650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FF18D8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0CFA720" w14:textId="77777777" w:rsidR="00CE1436" w:rsidRPr="00C20C79"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394B2EBF"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144D311A" w14:textId="77777777" w:rsidR="00CE1436" w:rsidRDefault="00CE1436" w:rsidP="00444693">
            <w:pPr>
              <w:pStyle w:val="TableText"/>
              <w:widowControl w:val="0"/>
              <w:suppressAutoHyphens w:val="0"/>
              <w:spacing w:before="0" w:after="0" w:line="240" w:lineRule="auto"/>
              <w:jc w:val="center"/>
            </w:pPr>
            <w:r w:rsidRPr="00727CC9">
              <w:t>112.0</w:t>
            </w:r>
            <w:r w:rsidRPr="00727CC9">
              <w:rPr>
                <w:vertAlign w:val="superscript"/>
              </w:rPr>
              <w:t>a</w:t>
            </w:r>
          </w:p>
        </w:tc>
        <w:tc>
          <w:tcPr>
            <w:tcW w:w="311" w:type="pct"/>
            <w:tcBorders>
              <w:bottom w:val="single" w:sz="4" w:space="0" w:color="auto"/>
            </w:tcBorders>
          </w:tcPr>
          <w:p w14:paraId="70617DF8" w14:textId="77777777" w:rsidR="00CE1436" w:rsidRDefault="00CE1436" w:rsidP="00444693">
            <w:pPr>
              <w:pStyle w:val="TableText"/>
              <w:widowControl w:val="0"/>
              <w:suppressAutoHyphens w:val="0"/>
              <w:spacing w:before="0" w:after="0" w:line="240" w:lineRule="auto"/>
              <w:jc w:val="center"/>
            </w:pPr>
            <w:r>
              <w:t>130</w:t>
            </w:r>
          </w:p>
        </w:tc>
        <w:tc>
          <w:tcPr>
            <w:tcW w:w="312" w:type="pct"/>
            <w:tcBorders>
              <w:bottom w:val="single" w:sz="4" w:space="0" w:color="auto"/>
            </w:tcBorders>
          </w:tcPr>
          <w:p w14:paraId="672A96E4"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67EB9625"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53EC0A2B"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214EEFB6" w14:textId="77777777" w:rsidR="00CE1436" w:rsidRDefault="00CE1436" w:rsidP="00444693">
            <w:pPr>
              <w:pStyle w:val="TableText"/>
              <w:widowControl w:val="0"/>
              <w:suppressAutoHyphens w:val="0"/>
              <w:spacing w:before="0" w:after="0" w:line="240" w:lineRule="auto"/>
              <w:jc w:val="center"/>
            </w:pPr>
            <w:r>
              <w:rPr>
                <w:color w:val="1A1B1A"/>
                <w:szCs w:val="17"/>
              </w:rPr>
              <w:t>15</w:t>
            </w:r>
          </w:p>
        </w:tc>
        <w:tc>
          <w:tcPr>
            <w:tcW w:w="312" w:type="pct"/>
            <w:tcBorders>
              <w:bottom w:val="single" w:sz="4" w:space="0" w:color="auto"/>
            </w:tcBorders>
            <w:vAlign w:val="center"/>
          </w:tcPr>
          <w:p w14:paraId="6C4ED5A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shd w:val="clear" w:color="auto" w:fill="FF0000"/>
            <w:vAlign w:val="center"/>
          </w:tcPr>
          <w:p w14:paraId="2767853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2.4</w:t>
            </w:r>
          </w:p>
        </w:tc>
        <w:tc>
          <w:tcPr>
            <w:tcW w:w="393" w:type="pct"/>
            <w:tcBorders>
              <w:bottom w:val="single" w:sz="4" w:space="0" w:color="auto"/>
            </w:tcBorders>
            <w:vAlign w:val="center"/>
          </w:tcPr>
          <w:p w14:paraId="496F7510"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921864" w14:paraId="1299B1A5" w14:textId="77777777" w:rsidTr="00444693">
        <w:trPr>
          <w:cantSplit/>
          <w:trHeight w:val="13"/>
        </w:trPr>
        <w:tc>
          <w:tcPr>
            <w:tcW w:w="491" w:type="pct"/>
            <w:vMerge/>
            <w:tcBorders>
              <w:bottom w:val="single" w:sz="4" w:space="0" w:color="auto"/>
            </w:tcBorders>
          </w:tcPr>
          <w:p w14:paraId="7046B454"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6380ED9B" w14:textId="77777777" w:rsidR="00CE1436" w:rsidRDefault="00CE1436" w:rsidP="00444693">
            <w:pPr>
              <w:pStyle w:val="TableText"/>
              <w:widowControl w:val="0"/>
              <w:suppressAutoHyphens w:val="0"/>
              <w:spacing w:before="0" w:after="0" w:line="240" w:lineRule="auto"/>
              <w:rPr>
                <w:szCs w:val="17"/>
              </w:rPr>
            </w:pPr>
            <w:r>
              <w:rPr>
                <w:szCs w:val="17"/>
              </w:rPr>
              <w:t>Large herbivore</w:t>
            </w:r>
          </w:p>
        </w:tc>
        <w:tc>
          <w:tcPr>
            <w:tcW w:w="477" w:type="pct"/>
            <w:vMerge w:val="restart"/>
            <w:tcBorders>
              <w:bottom w:val="single" w:sz="4" w:space="0" w:color="auto"/>
            </w:tcBorders>
          </w:tcPr>
          <w:p w14:paraId="64282D25" w14:textId="77777777" w:rsidR="00CE1436" w:rsidRDefault="00CE1436" w:rsidP="00444693">
            <w:pPr>
              <w:pStyle w:val="TableText"/>
              <w:widowControl w:val="0"/>
              <w:suppressAutoHyphens w:val="0"/>
              <w:spacing w:before="0" w:after="0" w:line="240" w:lineRule="auto"/>
              <w:rPr>
                <w:szCs w:val="17"/>
              </w:rPr>
            </w:pPr>
            <w:r w:rsidRPr="00C20C79">
              <w:rPr>
                <w:szCs w:val="17"/>
              </w:rPr>
              <w:t>Ground directed</w:t>
            </w:r>
          </w:p>
        </w:tc>
        <w:tc>
          <w:tcPr>
            <w:tcW w:w="491" w:type="pct"/>
            <w:tcBorders>
              <w:top w:val="single" w:sz="4" w:space="0" w:color="auto"/>
            </w:tcBorders>
          </w:tcPr>
          <w:p w14:paraId="7458DC79"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100F0DB7"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Borders>
              <w:top w:val="single" w:sz="4" w:space="0" w:color="auto"/>
            </w:tcBorders>
          </w:tcPr>
          <w:p w14:paraId="2C8DCD6B"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570E5497"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5BD01313"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5878A128"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26CB72E5" w14:textId="77777777" w:rsidR="00CE1436" w:rsidRDefault="00CE1436" w:rsidP="00444693">
            <w:pPr>
              <w:pStyle w:val="TableText"/>
              <w:widowControl w:val="0"/>
              <w:suppressAutoHyphens w:val="0"/>
              <w:spacing w:before="0" w:after="0" w:line="240" w:lineRule="auto"/>
              <w:jc w:val="center"/>
            </w:pPr>
            <w:r>
              <w:rPr>
                <w:color w:val="1A1B1A"/>
                <w:szCs w:val="17"/>
              </w:rPr>
              <w:t>25</w:t>
            </w:r>
          </w:p>
        </w:tc>
        <w:tc>
          <w:tcPr>
            <w:tcW w:w="312" w:type="pct"/>
            <w:tcBorders>
              <w:top w:val="single" w:sz="4" w:space="0" w:color="auto"/>
            </w:tcBorders>
            <w:vAlign w:val="center"/>
          </w:tcPr>
          <w:p w14:paraId="66037C3A"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2EC1B06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4.1</w:t>
            </w:r>
          </w:p>
        </w:tc>
        <w:tc>
          <w:tcPr>
            <w:tcW w:w="393" w:type="pct"/>
            <w:tcBorders>
              <w:top w:val="single" w:sz="4" w:space="0" w:color="auto"/>
            </w:tcBorders>
            <w:vAlign w:val="center"/>
          </w:tcPr>
          <w:p w14:paraId="57988E58"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0493BABC" w14:textId="77777777" w:rsidTr="00444693">
        <w:trPr>
          <w:cantSplit/>
          <w:trHeight w:val="13"/>
        </w:trPr>
        <w:tc>
          <w:tcPr>
            <w:tcW w:w="491" w:type="pct"/>
            <w:vMerge/>
            <w:tcBorders>
              <w:bottom w:val="single" w:sz="4" w:space="0" w:color="auto"/>
            </w:tcBorders>
          </w:tcPr>
          <w:p w14:paraId="2D40BB1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7564B6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496A2E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1F44985"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3B51F5F"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36817839"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1FEDEE1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5D3917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0815DE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DFC1334" w14:textId="77777777" w:rsidR="00CE1436" w:rsidRPr="003B78B6"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6A7972C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03521A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2.9</w:t>
            </w:r>
          </w:p>
        </w:tc>
        <w:tc>
          <w:tcPr>
            <w:tcW w:w="393" w:type="pct"/>
            <w:vAlign w:val="center"/>
          </w:tcPr>
          <w:p w14:paraId="2159941C"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921864" w14:paraId="0DF9FB2A" w14:textId="77777777" w:rsidTr="00444693">
        <w:trPr>
          <w:cantSplit/>
          <w:trHeight w:val="13"/>
        </w:trPr>
        <w:tc>
          <w:tcPr>
            <w:tcW w:w="491" w:type="pct"/>
            <w:vMerge/>
            <w:tcBorders>
              <w:bottom w:val="single" w:sz="4" w:space="0" w:color="auto"/>
            </w:tcBorders>
          </w:tcPr>
          <w:p w14:paraId="326F797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9949D4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562AA12"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523695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A8D8259"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21CE9CAD"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0E5D549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D820F9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19D410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8D40787" w14:textId="77777777" w:rsidR="00CE1436"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39318E3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D29114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93" w:type="pct"/>
            <w:vAlign w:val="center"/>
          </w:tcPr>
          <w:p w14:paraId="6B89511F"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647D3CE6" w14:textId="77777777" w:rsidTr="00444693">
        <w:trPr>
          <w:cantSplit/>
          <w:trHeight w:val="13"/>
        </w:trPr>
        <w:tc>
          <w:tcPr>
            <w:tcW w:w="491" w:type="pct"/>
            <w:vMerge/>
            <w:tcBorders>
              <w:bottom w:val="single" w:sz="4" w:space="0" w:color="auto"/>
            </w:tcBorders>
          </w:tcPr>
          <w:p w14:paraId="4A25391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10D435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4DC20DD"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BE59F1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3152945"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1DDD15D5"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459B571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3689E2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F8798E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002B1CF"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626C39C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CF055A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5B1234B7"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921864" w14:paraId="60943C8F" w14:textId="77777777" w:rsidTr="00444693">
        <w:trPr>
          <w:cantSplit/>
          <w:trHeight w:val="13"/>
        </w:trPr>
        <w:tc>
          <w:tcPr>
            <w:tcW w:w="491" w:type="pct"/>
            <w:vMerge/>
            <w:tcBorders>
              <w:bottom w:val="single" w:sz="4" w:space="0" w:color="auto"/>
            </w:tcBorders>
          </w:tcPr>
          <w:p w14:paraId="33963D6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5BDE62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132D17E"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59B7D2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91D2BB9"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3F22FC10"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3C2CB53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A30AE0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8916BC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DE1A430" w14:textId="77777777" w:rsidR="00CE1436" w:rsidRDefault="00CE1436" w:rsidP="00444693">
            <w:pPr>
              <w:pStyle w:val="TableText"/>
              <w:widowControl w:val="0"/>
              <w:suppressAutoHyphens w:val="0"/>
              <w:spacing w:before="0" w:after="0" w:line="240" w:lineRule="auto"/>
              <w:jc w:val="center"/>
            </w:pPr>
            <w:r>
              <w:rPr>
                <w:color w:val="1A1B1A"/>
                <w:szCs w:val="17"/>
              </w:rPr>
              <w:t>9.9</w:t>
            </w:r>
          </w:p>
        </w:tc>
        <w:tc>
          <w:tcPr>
            <w:tcW w:w="312" w:type="pct"/>
            <w:vAlign w:val="center"/>
          </w:tcPr>
          <w:p w14:paraId="3464A3E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3F1707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93" w:type="pct"/>
            <w:vAlign w:val="center"/>
          </w:tcPr>
          <w:p w14:paraId="3073ABD8"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921864" w14:paraId="3DDF6514" w14:textId="77777777" w:rsidTr="00444693">
        <w:trPr>
          <w:cantSplit/>
          <w:trHeight w:val="13"/>
        </w:trPr>
        <w:tc>
          <w:tcPr>
            <w:tcW w:w="491" w:type="pct"/>
            <w:vMerge/>
            <w:tcBorders>
              <w:bottom w:val="single" w:sz="4" w:space="0" w:color="auto"/>
            </w:tcBorders>
          </w:tcPr>
          <w:p w14:paraId="31E4118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581C1F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DF9CFC2"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63A40876"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6E57F8B"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4D5AC7D2"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2EB0925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6EADF4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B84B88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DA7F80B" w14:textId="77777777" w:rsidR="00CE1436" w:rsidRDefault="00CE1436" w:rsidP="00444693">
            <w:pPr>
              <w:pStyle w:val="TableText"/>
              <w:widowControl w:val="0"/>
              <w:suppressAutoHyphens w:val="0"/>
              <w:spacing w:before="0" w:after="0" w:line="240" w:lineRule="auto"/>
              <w:jc w:val="center"/>
            </w:pPr>
            <w:r>
              <w:rPr>
                <w:color w:val="1A1B1A"/>
                <w:szCs w:val="17"/>
              </w:rPr>
              <w:t>9.6</w:t>
            </w:r>
          </w:p>
        </w:tc>
        <w:tc>
          <w:tcPr>
            <w:tcW w:w="312" w:type="pct"/>
            <w:vAlign w:val="center"/>
          </w:tcPr>
          <w:p w14:paraId="5FE3B88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E2A061A"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93" w:type="pct"/>
            <w:vAlign w:val="center"/>
          </w:tcPr>
          <w:p w14:paraId="6D38FA18"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22DE42C1" w14:textId="77777777" w:rsidTr="00444693">
        <w:trPr>
          <w:cantSplit/>
          <w:trHeight w:val="13"/>
        </w:trPr>
        <w:tc>
          <w:tcPr>
            <w:tcW w:w="491" w:type="pct"/>
            <w:vMerge/>
            <w:tcBorders>
              <w:bottom w:val="single" w:sz="4" w:space="0" w:color="auto"/>
            </w:tcBorders>
          </w:tcPr>
          <w:p w14:paraId="3E357B9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4D2589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49CAC49"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98A3EC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797B628"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2233F03A" w14:textId="77777777" w:rsidR="00CE1436" w:rsidRDefault="00CE1436" w:rsidP="00444693">
            <w:pPr>
              <w:pStyle w:val="TableText"/>
              <w:widowControl w:val="0"/>
              <w:suppressAutoHyphens w:val="0"/>
              <w:spacing w:before="0" w:after="0" w:line="240" w:lineRule="auto"/>
              <w:jc w:val="center"/>
            </w:pPr>
            <w:r>
              <w:t>425</w:t>
            </w:r>
          </w:p>
        </w:tc>
        <w:tc>
          <w:tcPr>
            <w:tcW w:w="312" w:type="pct"/>
          </w:tcPr>
          <w:p w14:paraId="3D93B6C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6D8356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F8692D5"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8BBAF00" w14:textId="77777777" w:rsidR="00CE1436" w:rsidRPr="003B78B6" w:rsidRDefault="00CE1436" w:rsidP="00444693">
            <w:pPr>
              <w:pStyle w:val="TableText"/>
              <w:widowControl w:val="0"/>
              <w:suppressAutoHyphens w:val="0"/>
              <w:spacing w:before="0" w:after="0" w:line="240" w:lineRule="auto"/>
              <w:jc w:val="center"/>
            </w:pPr>
            <w:r>
              <w:rPr>
                <w:color w:val="1A1B1A"/>
                <w:szCs w:val="17"/>
              </w:rPr>
              <w:t>9.4</w:t>
            </w:r>
          </w:p>
        </w:tc>
        <w:tc>
          <w:tcPr>
            <w:tcW w:w="312" w:type="pct"/>
            <w:vAlign w:val="center"/>
          </w:tcPr>
          <w:p w14:paraId="133560A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01C8BAD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93" w:type="pct"/>
            <w:vAlign w:val="center"/>
          </w:tcPr>
          <w:p w14:paraId="0CB55082"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2922F48B" w14:textId="77777777" w:rsidTr="00444693">
        <w:trPr>
          <w:cantSplit/>
          <w:trHeight w:val="13"/>
        </w:trPr>
        <w:tc>
          <w:tcPr>
            <w:tcW w:w="491" w:type="pct"/>
            <w:vMerge/>
            <w:tcBorders>
              <w:bottom w:val="single" w:sz="4" w:space="0" w:color="auto"/>
            </w:tcBorders>
          </w:tcPr>
          <w:p w14:paraId="43B3A11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D371E9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69E8B49"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2B523AF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CAD38EE"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6C6DA719"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45B0637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AE4AFF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23F412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FB2D493" w14:textId="77777777" w:rsidR="00CE1436" w:rsidRPr="003B78B6" w:rsidRDefault="00CE1436" w:rsidP="00444693">
            <w:pPr>
              <w:pStyle w:val="TableText"/>
              <w:widowControl w:val="0"/>
              <w:suppressAutoHyphens w:val="0"/>
              <w:spacing w:before="0" w:after="0" w:line="240" w:lineRule="auto"/>
              <w:jc w:val="center"/>
            </w:pPr>
            <w:r>
              <w:rPr>
                <w:color w:val="1A1B1A"/>
                <w:szCs w:val="17"/>
              </w:rPr>
              <w:t>7.3</w:t>
            </w:r>
          </w:p>
        </w:tc>
        <w:tc>
          <w:tcPr>
            <w:tcW w:w="312" w:type="pct"/>
            <w:vAlign w:val="center"/>
          </w:tcPr>
          <w:p w14:paraId="6A91E4B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A002E1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73F56B51"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22366AAE" w14:textId="77777777" w:rsidTr="00444693">
        <w:trPr>
          <w:cantSplit/>
          <w:trHeight w:val="13"/>
        </w:trPr>
        <w:tc>
          <w:tcPr>
            <w:tcW w:w="491" w:type="pct"/>
            <w:vMerge/>
            <w:tcBorders>
              <w:bottom w:val="single" w:sz="4" w:space="0" w:color="auto"/>
            </w:tcBorders>
          </w:tcPr>
          <w:p w14:paraId="3D0C448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AAE96B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6D89484"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2DC661F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EA95504"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312F3FD7"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7CB0D638" w14:textId="77777777" w:rsidR="00CE1436" w:rsidRDefault="00CE1436" w:rsidP="00444693">
            <w:pPr>
              <w:pStyle w:val="TableText"/>
              <w:widowControl w:val="0"/>
              <w:suppressAutoHyphens w:val="0"/>
              <w:spacing w:before="0" w:after="0" w:line="240" w:lineRule="auto"/>
              <w:jc w:val="center"/>
            </w:pPr>
            <w:r>
              <w:t>1.4</w:t>
            </w:r>
          </w:p>
        </w:tc>
        <w:tc>
          <w:tcPr>
            <w:tcW w:w="311" w:type="pct"/>
          </w:tcPr>
          <w:p w14:paraId="27172E9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F63F1B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83CA130" w14:textId="77777777" w:rsidR="00CE1436" w:rsidRPr="003B78B6" w:rsidRDefault="00CE1436" w:rsidP="00444693">
            <w:pPr>
              <w:pStyle w:val="TableText"/>
              <w:widowControl w:val="0"/>
              <w:suppressAutoHyphens w:val="0"/>
              <w:spacing w:before="0" w:after="0" w:line="240" w:lineRule="auto"/>
              <w:jc w:val="center"/>
            </w:pPr>
            <w:r>
              <w:rPr>
                <w:color w:val="1A1B1A"/>
                <w:szCs w:val="17"/>
              </w:rPr>
              <w:t>10</w:t>
            </w:r>
          </w:p>
        </w:tc>
        <w:tc>
          <w:tcPr>
            <w:tcW w:w="312" w:type="pct"/>
            <w:vAlign w:val="center"/>
          </w:tcPr>
          <w:p w14:paraId="4900B8F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BC5497A"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93" w:type="pct"/>
            <w:vAlign w:val="center"/>
          </w:tcPr>
          <w:p w14:paraId="1AA0B46D" w14:textId="77777777" w:rsidR="00CE1436" w:rsidRPr="0027505E" w:rsidRDefault="00CE1436" w:rsidP="00444693">
            <w:pPr>
              <w:pStyle w:val="TableText"/>
              <w:widowControl w:val="0"/>
              <w:suppressAutoHyphens w:val="0"/>
              <w:spacing w:before="0" w:after="0" w:line="240" w:lineRule="auto"/>
              <w:jc w:val="center"/>
            </w:pPr>
            <w:r>
              <w:rPr>
                <w:color w:val="1A1B1A"/>
                <w:szCs w:val="17"/>
              </w:rPr>
              <w:t>196</w:t>
            </w:r>
          </w:p>
        </w:tc>
      </w:tr>
      <w:tr w:rsidR="00CE1436" w:rsidRPr="00921864" w14:paraId="37501484" w14:textId="77777777" w:rsidTr="00444693">
        <w:trPr>
          <w:cantSplit/>
          <w:trHeight w:val="13"/>
        </w:trPr>
        <w:tc>
          <w:tcPr>
            <w:tcW w:w="491" w:type="pct"/>
            <w:vMerge/>
            <w:tcBorders>
              <w:bottom w:val="single" w:sz="4" w:space="0" w:color="auto"/>
            </w:tcBorders>
          </w:tcPr>
          <w:p w14:paraId="1CA747B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876FB4A"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7932E7B"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46B146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AFA8696"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280A1A29"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269A5F8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B4E8BB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F52B9A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3A840A4" w14:textId="77777777" w:rsidR="00CE1436" w:rsidRDefault="00CE1436" w:rsidP="00444693">
            <w:pPr>
              <w:pStyle w:val="TableText"/>
              <w:widowControl w:val="0"/>
              <w:suppressAutoHyphens w:val="0"/>
              <w:spacing w:before="0" w:after="0" w:line="240" w:lineRule="auto"/>
              <w:jc w:val="center"/>
            </w:pPr>
            <w:r>
              <w:rPr>
                <w:color w:val="1A1B1A"/>
                <w:szCs w:val="17"/>
              </w:rPr>
              <w:t>7.2</w:t>
            </w:r>
          </w:p>
        </w:tc>
        <w:tc>
          <w:tcPr>
            <w:tcW w:w="312" w:type="pct"/>
            <w:vAlign w:val="center"/>
          </w:tcPr>
          <w:p w14:paraId="68C47D5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508469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39882715"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921864" w14:paraId="4A42F115" w14:textId="77777777" w:rsidTr="00444693">
        <w:trPr>
          <w:cantSplit/>
          <w:trHeight w:val="13"/>
        </w:trPr>
        <w:tc>
          <w:tcPr>
            <w:tcW w:w="491" w:type="pct"/>
            <w:vMerge/>
            <w:tcBorders>
              <w:bottom w:val="single" w:sz="4" w:space="0" w:color="auto"/>
            </w:tcBorders>
          </w:tcPr>
          <w:p w14:paraId="162FD52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4114B2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67C0488"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3EC6C38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A48D282"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06C0C0B6"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2BADC6C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4AFB72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41149FA"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64FBF41" w14:textId="77777777" w:rsidR="00CE1436" w:rsidRDefault="00CE1436" w:rsidP="00444693">
            <w:pPr>
              <w:pStyle w:val="TableText"/>
              <w:widowControl w:val="0"/>
              <w:suppressAutoHyphens w:val="0"/>
              <w:spacing w:before="0" w:after="0" w:line="240" w:lineRule="auto"/>
              <w:jc w:val="center"/>
            </w:pPr>
            <w:r>
              <w:rPr>
                <w:color w:val="1A1B1A"/>
                <w:szCs w:val="17"/>
              </w:rPr>
              <w:t>4.4</w:t>
            </w:r>
          </w:p>
        </w:tc>
        <w:tc>
          <w:tcPr>
            <w:tcW w:w="312" w:type="pct"/>
            <w:vAlign w:val="center"/>
          </w:tcPr>
          <w:p w14:paraId="7C690CB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651A6641" w14:textId="77777777" w:rsidR="00CE1436" w:rsidRDefault="00CE1436" w:rsidP="00444693">
            <w:pPr>
              <w:pStyle w:val="TableText"/>
              <w:widowControl w:val="0"/>
              <w:suppressAutoHyphens w:val="0"/>
              <w:spacing w:before="0" w:after="0" w:line="240" w:lineRule="auto"/>
              <w:jc w:val="center"/>
            </w:pPr>
            <w:r>
              <w:rPr>
                <w:color w:val="1A1B1A"/>
                <w:szCs w:val="17"/>
              </w:rPr>
              <w:t>0.73</w:t>
            </w:r>
          </w:p>
        </w:tc>
        <w:tc>
          <w:tcPr>
            <w:tcW w:w="393" w:type="pct"/>
            <w:vAlign w:val="center"/>
          </w:tcPr>
          <w:p w14:paraId="40D1C36D"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7F3E1187" w14:textId="77777777" w:rsidTr="00444693">
        <w:trPr>
          <w:cantSplit/>
          <w:trHeight w:val="13"/>
        </w:trPr>
        <w:tc>
          <w:tcPr>
            <w:tcW w:w="491" w:type="pct"/>
            <w:vMerge/>
            <w:tcBorders>
              <w:bottom w:val="single" w:sz="4" w:space="0" w:color="auto"/>
            </w:tcBorders>
          </w:tcPr>
          <w:p w14:paraId="05278D3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96167F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8DE9201"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D93DBF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C6AAE5C"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73AFBD29" w14:textId="77777777" w:rsidR="00CE1436" w:rsidRDefault="00CE1436" w:rsidP="00444693">
            <w:pPr>
              <w:pStyle w:val="TableText"/>
              <w:widowControl w:val="0"/>
              <w:suppressAutoHyphens w:val="0"/>
              <w:spacing w:before="0" w:after="0" w:line="240" w:lineRule="auto"/>
              <w:jc w:val="center"/>
            </w:pPr>
            <w:r>
              <w:t>175</w:t>
            </w:r>
          </w:p>
        </w:tc>
        <w:tc>
          <w:tcPr>
            <w:tcW w:w="312" w:type="pct"/>
          </w:tcPr>
          <w:p w14:paraId="37F8C18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D247C8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BCB35B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DD991EB" w14:textId="77777777" w:rsidR="00CE1436" w:rsidRPr="003B78B6" w:rsidRDefault="00CE1436" w:rsidP="00444693">
            <w:pPr>
              <w:pStyle w:val="TableText"/>
              <w:widowControl w:val="0"/>
              <w:suppressAutoHyphens w:val="0"/>
              <w:spacing w:before="0" w:after="0" w:line="240" w:lineRule="auto"/>
              <w:jc w:val="center"/>
            </w:pPr>
            <w:r>
              <w:rPr>
                <w:color w:val="1A1B1A"/>
                <w:szCs w:val="17"/>
              </w:rPr>
              <w:t>3.9</w:t>
            </w:r>
          </w:p>
        </w:tc>
        <w:tc>
          <w:tcPr>
            <w:tcW w:w="312" w:type="pct"/>
            <w:vAlign w:val="center"/>
          </w:tcPr>
          <w:p w14:paraId="3EBF9A5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57900D3C" w14:textId="77777777" w:rsidR="00CE1436" w:rsidRPr="0027505E" w:rsidRDefault="00CE1436" w:rsidP="00444693">
            <w:pPr>
              <w:pStyle w:val="TableText"/>
              <w:widowControl w:val="0"/>
              <w:suppressAutoHyphens w:val="0"/>
              <w:spacing w:before="0" w:after="0" w:line="240" w:lineRule="auto"/>
              <w:jc w:val="center"/>
            </w:pPr>
            <w:r>
              <w:rPr>
                <w:color w:val="1A1B1A"/>
                <w:szCs w:val="17"/>
              </w:rPr>
              <w:t>0.64</w:t>
            </w:r>
          </w:p>
        </w:tc>
        <w:tc>
          <w:tcPr>
            <w:tcW w:w="393" w:type="pct"/>
            <w:vAlign w:val="center"/>
          </w:tcPr>
          <w:p w14:paraId="4C58A1A5"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921864" w14:paraId="304BFA3C" w14:textId="77777777" w:rsidTr="00444693">
        <w:trPr>
          <w:cantSplit/>
          <w:trHeight w:val="13"/>
        </w:trPr>
        <w:tc>
          <w:tcPr>
            <w:tcW w:w="491" w:type="pct"/>
            <w:vMerge/>
            <w:tcBorders>
              <w:bottom w:val="single" w:sz="4" w:space="0" w:color="auto"/>
            </w:tcBorders>
          </w:tcPr>
          <w:p w14:paraId="0B33590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BEB84D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552F189"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A08E3A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212FB3A"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6D3CAD52"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4BD2070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3650C5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69702D3"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A5452B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FF5E5D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77F14CA" w14:textId="77777777" w:rsidR="00CE1436" w:rsidRDefault="00CE1436" w:rsidP="00444693">
            <w:pPr>
              <w:pStyle w:val="TableText"/>
              <w:widowControl w:val="0"/>
              <w:suppressAutoHyphens w:val="0"/>
              <w:spacing w:before="0" w:after="0" w:line="240" w:lineRule="auto"/>
              <w:jc w:val="center"/>
            </w:pPr>
            <w:r>
              <w:rPr>
                <w:color w:val="1A1B1A"/>
                <w:szCs w:val="17"/>
              </w:rPr>
              <w:t>0.63</w:t>
            </w:r>
          </w:p>
        </w:tc>
        <w:tc>
          <w:tcPr>
            <w:tcW w:w="393" w:type="pct"/>
            <w:vAlign w:val="center"/>
          </w:tcPr>
          <w:p w14:paraId="214D5F41"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545FF76C" w14:textId="77777777" w:rsidTr="00444693">
        <w:trPr>
          <w:cantSplit/>
          <w:trHeight w:val="13"/>
        </w:trPr>
        <w:tc>
          <w:tcPr>
            <w:tcW w:w="491" w:type="pct"/>
            <w:vMerge/>
            <w:tcBorders>
              <w:bottom w:val="single" w:sz="4" w:space="0" w:color="auto"/>
            </w:tcBorders>
          </w:tcPr>
          <w:p w14:paraId="6DCB9D6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76318F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FC1A8C0"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373B29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897AAAB" w14:textId="77777777" w:rsidR="00CE1436" w:rsidRPr="00065E13"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Pr>
          <w:p w14:paraId="2D7B2B2D" w14:textId="77777777" w:rsidR="00CE1436" w:rsidRDefault="00CE1436" w:rsidP="00444693">
            <w:pPr>
              <w:pStyle w:val="TableText"/>
              <w:widowControl w:val="0"/>
              <w:suppressAutoHyphens w:val="0"/>
              <w:spacing w:before="0" w:after="0" w:line="240" w:lineRule="auto"/>
              <w:jc w:val="center"/>
            </w:pPr>
            <w:r>
              <w:t>168</w:t>
            </w:r>
          </w:p>
        </w:tc>
        <w:tc>
          <w:tcPr>
            <w:tcW w:w="312" w:type="pct"/>
          </w:tcPr>
          <w:p w14:paraId="69343B0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3C8978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16969F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413C9E2" w14:textId="77777777" w:rsidR="00CE1436" w:rsidRPr="003B78B6"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563494B4"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A39A0AC" w14:textId="77777777" w:rsidR="00CE1436" w:rsidRPr="0027505E" w:rsidRDefault="00CE1436" w:rsidP="00444693">
            <w:pPr>
              <w:pStyle w:val="TableText"/>
              <w:widowControl w:val="0"/>
              <w:suppressAutoHyphens w:val="0"/>
              <w:spacing w:before="0" w:after="0" w:line="240" w:lineRule="auto"/>
              <w:jc w:val="center"/>
            </w:pPr>
            <w:r>
              <w:rPr>
                <w:color w:val="1A1B1A"/>
                <w:szCs w:val="17"/>
              </w:rPr>
              <w:t>0.61</w:t>
            </w:r>
          </w:p>
        </w:tc>
        <w:tc>
          <w:tcPr>
            <w:tcW w:w="393" w:type="pct"/>
            <w:vAlign w:val="center"/>
          </w:tcPr>
          <w:p w14:paraId="4FD5B3CF"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921864" w14:paraId="7CB59050" w14:textId="77777777" w:rsidTr="00444693">
        <w:trPr>
          <w:cantSplit/>
          <w:trHeight w:val="13"/>
        </w:trPr>
        <w:tc>
          <w:tcPr>
            <w:tcW w:w="491" w:type="pct"/>
            <w:vMerge/>
            <w:tcBorders>
              <w:bottom w:val="single" w:sz="4" w:space="0" w:color="auto"/>
            </w:tcBorders>
          </w:tcPr>
          <w:p w14:paraId="00A3C14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53B835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72B38D6" w14:textId="77777777" w:rsidR="00CE1436" w:rsidRPr="00C20C79"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50305BF8"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6A4522D1" w14:textId="77777777" w:rsidR="00CE1436" w:rsidRDefault="00CE1436" w:rsidP="00444693">
            <w:pPr>
              <w:pStyle w:val="TableText"/>
              <w:widowControl w:val="0"/>
              <w:suppressAutoHyphens w:val="0"/>
              <w:spacing w:before="0" w:after="0" w:line="240" w:lineRule="auto"/>
              <w:jc w:val="center"/>
            </w:pPr>
            <w:r w:rsidRPr="00065E13">
              <w:t>22.2</w:t>
            </w:r>
            <w:r w:rsidRPr="00065E13">
              <w:rPr>
                <w:vertAlign w:val="superscript"/>
              </w:rPr>
              <w:t>b</w:t>
            </w:r>
          </w:p>
        </w:tc>
        <w:tc>
          <w:tcPr>
            <w:tcW w:w="311" w:type="pct"/>
            <w:tcBorders>
              <w:bottom w:val="single" w:sz="4" w:space="0" w:color="auto"/>
            </w:tcBorders>
          </w:tcPr>
          <w:p w14:paraId="79559113" w14:textId="77777777" w:rsidR="00CE1436" w:rsidRDefault="00CE1436" w:rsidP="00444693">
            <w:pPr>
              <w:pStyle w:val="TableText"/>
              <w:widowControl w:val="0"/>
              <w:suppressAutoHyphens w:val="0"/>
              <w:spacing w:before="0" w:after="0" w:line="240" w:lineRule="auto"/>
              <w:jc w:val="center"/>
            </w:pPr>
            <w:r>
              <w:t>130</w:t>
            </w:r>
          </w:p>
        </w:tc>
        <w:tc>
          <w:tcPr>
            <w:tcW w:w="312" w:type="pct"/>
            <w:tcBorders>
              <w:bottom w:val="single" w:sz="4" w:space="0" w:color="auto"/>
            </w:tcBorders>
          </w:tcPr>
          <w:p w14:paraId="62AB8E58"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6A80BD54"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67EC26EA"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699DD252" w14:textId="77777777" w:rsidR="00CE1436" w:rsidRDefault="00CE1436" w:rsidP="00444693">
            <w:pPr>
              <w:pStyle w:val="TableText"/>
              <w:widowControl w:val="0"/>
              <w:suppressAutoHyphens w:val="0"/>
              <w:spacing w:before="0" w:after="0" w:line="240" w:lineRule="auto"/>
              <w:jc w:val="center"/>
            </w:pPr>
            <w:r>
              <w:rPr>
                <w:color w:val="1A1B1A"/>
                <w:szCs w:val="17"/>
              </w:rPr>
              <w:t>2.9</w:t>
            </w:r>
          </w:p>
        </w:tc>
        <w:tc>
          <w:tcPr>
            <w:tcW w:w="312" w:type="pct"/>
            <w:tcBorders>
              <w:bottom w:val="single" w:sz="4" w:space="0" w:color="auto"/>
            </w:tcBorders>
            <w:vAlign w:val="center"/>
          </w:tcPr>
          <w:p w14:paraId="669A828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508E8714" w14:textId="77777777" w:rsidR="00CE1436" w:rsidRDefault="00CE1436" w:rsidP="00444693">
            <w:pPr>
              <w:pStyle w:val="TableText"/>
              <w:widowControl w:val="0"/>
              <w:suppressAutoHyphens w:val="0"/>
              <w:spacing w:before="0" w:after="0" w:line="240" w:lineRule="auto"/>
              <w:jc w:val="center"/>
            </w:pPr>
            <w:r>
              <w:rPr>
                <w:color w:val="1A1B1A"/>
                <w:szCs w:val="17"/>
              </w:rPr>
              <w:t>0.47</w:t>
            </w:r>
          </w:p>
        </w:tc>
        <w:tc>
          <w:tcPr>
            <w:tcW w:w="393" w:type="pct"/>
            <w:tcBorders>
              <w:bottom w:val="single" w:sz="4" w:space="0" w:color="auto"/>
            </w:tcBorders>
            <w:vAlign w:val="center"/>
          </w:tcPr>
          <w:p w14:paraId="06E0E4C8" w14:textId="77777777" w:rsidR="00CE1436" w:rsidRPr="00921864"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733B2E08" w14:textId="77777777" w:rsidTr="00444693">
        <w:trPr>
          <w:cantSplit/>
          <w:trHeight w:val="13"/>
        </w:trPr>
        <w:tc>
          <w:tcPr>
            <w:tcW w:w="491" w:type="pct"/>
            <w:vMerge/>
            <w:tcBorders>
              <w:bottom w:val="single" w:sz="4" w:space="0" w:color="auto"/>
            </w:tcBorders>
          </w:tcPr>
          <w:p w14:paraId="5C6E4E16"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0EB69A1B" w14:textId="77777777" w:rsidR="00CE1436" w:rsidRDefault="00CE1436" w:rsidP="00444693">
            <w:pPr>
              <w:pStyle w:val="TableText"/>
              <w:widowControl w:val="0"/>
              <w:suppressAutoHyphens w:val="0"/>
              <w:spacing w:before="0" w:after="0" w:line="240" w:lineRule="auto"/>
              <w:rPr>
                <w:szCs w:val="17"/>
              </w:rPr>
            </w:pPr>
            <w:r>
              <w:rPr>
                <w:szCs w:val="17"/>
              </w:rPr>
              <w:t>Small omnivore</w:t>
            </w:r>
          </w:p>
        </w:tc>
        <w:tc>
          <w:tcPr>
            <w:tcW w:w="477" w:type="pct"/>
            <w:vMerge w:val="restart"/>
            <w:tcBorders>
              <w:bottom w:val="single" w:sz="4" w:space="0" w:color="auto"/>
            </w:tcBorders>
          </w:tcPr>
          <w:p w14:paraId="0E42B7CE" w14:textId="77777777" w:rsidR="00CE1436" w:rsidRDefault="00CE1436" w:rsidP="00444693">
            <w:pPr>
              <w:pStyle w:val="TableText"/>
              <w:widowControl w:val="0"/>
              <w:suppressAutoHyphens w:val="0"/>
              <w:spacing w:before="0" w:after="0" w:line="240" w:lineRule="auto"/>
              <w:rPr>
                <w:szCs w:val="17"/>
              </w:rPr>
            </w:pPr>
            <w:r w:rsidRPr="00C20C79">
              <w:rPr>
                <w:szCs w:val="17"/>
              </w:rPr>
              <w:t>Ground directed</w:t>
            </w:r>
          </w:p>
        </w:tc>
        <w:tc>
          <w:tcPr>
            <w:tcW w:w="491" w:type="pct"/>
            <w:tcBorders>
              <w:top w:val="single" w:sz="4" w:space="0" w:color="auto"/>
            </w:tcBorders>
          </w:tcPr>
          <w:p w14:paraId="309223F1"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7179A0AD" w14:textId="77777777" w:rsidR="00CE1436" w:rsidRDefault="00CE1436" w:rsidP="00444693">
            <w:pPr>
              <w:pStyle w:val="TableText"/>
              <w:widowControl w:val="0"/>
              <w:suppressAutoHyphens w:val="0"/>
              <w:spacing w:before="0" w:after="0" w:line="240" w:lineRule="auto"/>
              <w:jc w:val="center"/>
            </w:pPr>
            <w:r>
              <w:t>11.7</w:t>
            </w:r>
            <w:r w:rsidRPr="00E5519A">
              <w:rPr>
                <w:vertAlign w:val="superscript"/>
              </w:rPr>
              <w:t>c</w:t>
            </w:r>
          </w:p>
        </w:tc>
        <w:tc>
          <w:tcPr>
            <w:tcW w:w="311" w:type="pct"/>
            <w:tcBorders>
              <w:top w:val="single" w:sz="4" w:space="0" w:color="auto"/>
            </w:tcBorders>
          </w:tcPr>
          <w:p w14:paraId="6215FBAA"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00649B7A"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2EAD4E52"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49A25FB4"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753E624A" w14:textId="77777777" w:rsidR="00CE1436" w:rsidRDefault="00CE1436" w:rsidP="00444693">
            <w:pPr>
              <w:pStyle w:val="TableText"/>
              <w:widowControl w:val="0"/>
              <w:suppressAutoHyphens w:val="0"/>
              <w:spacing w:before="0" w:after="0" w:line="240" w:lineRule="auto"/>
              <w:jc w:val="center"/>
            </w:pPr>
            <w:r w:rsidRPr="00DC35FD">
              <w:t>13</w:t>
            </w:r>
          </w:p>
        </w:tc>
        <w:tc>
          <w:tcPr>
            <w:tcW w:w="312" w:type="pct"/>
            <w:tcBorders>
              <w:top w:val="single" w:sz="4" w:space="0" w:color="auto"/>
            </w:tcBorders>
          </w:tcPr>
          <w:p w14:paraId="754DB248" w14:textId="77777777" w:rsidR="00CE1436" w:rsidRDefault="00CE1436" w:rsidP="00444693">
            <w:pPr>
              <w:pStyle w:val="TableText"/>
              <w:widowControl w:val="0"/>
              <w:suppressAutoHyphens w:val="0"/>
              <w:spacing w:before="0" w:after="0" w:line="240" w:lineRule="auto"/>
              <w:jc w:val="center"/>
            </w:pPr>
            <w:r w:rsidRPr="00DC35FD">
              <w:t>6.1</w:t>
            </w:r>
          </w:p>
        </w:tc>
        <w:tc>
          <w:tcPr>
            <w:tcW w:w="312" w:type="pct"/>
            <w:tcBorders>
              <w:top w:val="single" w:sz="4" w:space="0" w:color="auto"/>
            </w:tcBorders>
            <w:shd w:val="clear" w:color="auto" w:fill="FF0000"/>
          </w:tcPr>
          <w:p w14:paraId="40BD68AC" w14:textId="77777777" w:rsidR="00CE1436" w:rsidRPr="00E5519A" w:rsidRDefault="00CE1436" w:rsidP="00444693">
            <w:pPr>
              <w:pStyle w:val="TableText"/>
              <w:widowControl w:val="0"/>
              <w:suppressAutoHyphens w:val="0"/>
              <w:spacing w:before="0" w:after="0" w:line="240" w:lineRule="auto"/>
              <w:jc w:val="center"/>
              <w:rPr>
                <w:b/>
                <w:bCs/>
              </w:rPr>
            </w:pPr>
            <w:r w:rsidRPr="00E5519A">
              <w:rPr>
                <w:b/>
                <w:bCs/>
              </w:rPr>
              <w:t>2.1</w:t>
            </w:r>
          </w:p>
        </w:tc>
        <w:tc>
          <w:tcPr>
            <w:tcW w:w="393" w:type="pct"/>
            <w:tcBorders>
              <w:top w:val="single" w:sz="4" w:space="0" w:color="auto"/>
            </w:tcBorders>
          </w:tcPr>
          <w:p w14:paraId="3D655358"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27505E" w14:paraId="64761A69" w14:textId="77777777" w:rsidTr="00444693">
        <w:trPr>
          <w:cantSplit/>
          <w:trHeight w:val="13"/>
        </w:trPr>
        <w:tc>
          <w:tcPr>
            <w:tcW w:w="491" w:type="pct"/>
            <w:vMerge/>
            <w:tcBorders>
              <w:bottom w:val="single" w:sz="4" w:space="0" w:color="auto"/>
            </w:tcBorders>
          </w:tcPr>
          <w:p w14:paraId="4061EBA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79A648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0F3003"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66B1B9E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B36CD4E"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106F0E1E"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0F7D542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611A83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E70311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117D550" w14:textId="77777777" w:rsidR="00CE1436" w:rsidRPr="003B78B6" w:rsidRDefault="00CE1436" w:rsidP="00444693">
            <w:pPr>
              <w:pStyle w:val="TableText"/>
              <w:widowControl w:val="0"/>
              <w:suppressAutoHyphens w:val="0"/>
              <w:spacing w:before="0" w:after="0" w:line="240" w:lineRule="auto"/>
              <w:jc w:val="center"/>
            </w:pPr>
            <w:r w:rsidRPr="00DC35FD">
              <w:t>9.5</w:t>
            </w:r>
          </w:p>
        </w:tc>
        <w:tc>
          <w:tcPr>
            <w:tcW w:w="312" w:type="pct"/>
          </w:tcPr>
          <w:p w14:paraId="7A5F1A14"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shd w:val="clear" w:color="auto" w:fill="FF0000"/>
          </w:tcPr>
          <w:p w14:paraId="2D785E10" w14:textId="77777777" w:rsidR="00CE1436" w:rsidRPr="00E5519A" w:rsidRDefault="00CE1436" w:rsidP="00444693">
            <w:pPr>
              <w:pStyle w:val="TableText"/>
              <w:widowControl w:val="0"/>
              <w:suppressAutoHyphens w:val="0"/>
              <w:spacing w:before="0" w:after="0" w:line="240" w:lineRule="auto"/>
              <w:jc w:val="center"/>
              <w:rPr>
                <w:b/>
                <w:bCs/>
              </w:rPr>
            </w:pPr>
            <w:r w:rsidRPr="00E5519A">
              <w:rPr>
                <w:b/>
                <w:bCs/>
              </w:rPr>
              <w:t>1.6</w:t>
            </w:r>
          </w:p>
        </w:tc>
        <w:tc>
          <w:tcPr>
            <w:tcW w:w="393" w:type="pct"/>
          </w:tcPr>
          <w:p w14:paraId="7DBD5BC2" w14:textId="77777777" w:rsidR="00CE1436" w:rsidRPr="0027505E" w:rsidRDefault="00CE1436" w:rsidP="00444693">
            <w:pPr>
              <w:pStyle w:val="TableText"/>
              <w:widowControl w:val="0"/>
              <w:suppressAutoHyphens w:val="0"/>
              <w:spacing w:before="0" w:after="0" w:line="240" w:lineRule="auto"/>
              <w:jc w:val="center"/>
            </w:pPr>
            <w:r w:rsidRPr="00DC35FD">
              <w:t>521</w:t>
            </w:r>
          </w:p>
        </w:tc>
      </w:tr>
      <w:tr w:rsidR="00CE1436" w:rsidRPr="00C3293F" w14:paraId="3CACEF9A" w14:textId="77777777" w:rsidTr="00444693">
        <w:trPr>
          <w:cantSplit/>
          <w:trHeight w:val="13"/>
        </w:trPr>
        <w:tc>
          <w:tcPr>
            <w:tcW w:w="491" w:type="pct"/>
            <w:vMerge/>
            <w:tcBorders>
              <w:bottom w:val="single" w:sz="4" w:space="0" w:color="auto"/>
            </w:tcBorders>
          </w:tcPr>
          <w:p w14:paraId="21E00E9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B9C14D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DD8441D"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0CB9D55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03B3FE7"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0C0F6912"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463E9D7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B2B0A4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D37681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1A224A3" w14:textId="77777777" w:rsidR="00CE1436" w:rsidRDefault="00CE1436" w:rsidP="00444693">
            <w:pPr>
              <w:pStyle w:val="TableText"/>
              <w:widowControl w:val="0"/>
              <w:suppressAutoHyphens w:val="0"/>
              <w:spacing w:before="0" w:after="0" w:line="240" w:lineRule="auto"/>
              <w:jc w:val="center"/>
            </w:pPr>
            <w:r w:rsidRPr="00DC35FD">
              <w:t>7.0</w:t>
            </w:r>
          </w:p>
        </w:tc>
        <w:tc>
          <w:tcPr>
            <w:tcW w:w="312" w:type="pct"/>
          </w:tcPr>
          <w:p w14:paraId="44643DAF"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shd w:val="clear" w:color="auto" w:fill="FF0000"/>
          </w:tcPr>
          <w:p w14:paraId="549F2C74" w14:textId="77777777" w:rsidR="00CE1436" w:rsidRPr="00E5519A" w:rsidRDefault="00CE1436" w:rsidP="00444693">
            <w:pPr>
              <w:pStyle w:val="TableText"/>
              <w:widowControl w:val="0"/>
              <w:suppressAutoHyphens w:val="0"/>
              <w:spacing w:before="0" w:after="0" w:line="240" w:lineRule="auto"/>
              <w:jc w:val="center"/>
              <w:rPr>
                <w:b/>
                <w:bCs/>
              </w:rPr>
            </w:pPr>
            <w:r w:rsidRPr="00E5519A">
              <w:rPr>
                <w:b/>
                <w:bCs/>
              </w:rPr>
              <w:t>1.2</w:t>
            </w:r>
          </w:p>
        </w:tc>
        <w:tc>
          <w:tcPr>
            <w:tcW w:w="393" w:type="pct"/>
          </w:tcPr>
          <w:p w14:paraId="79794730"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27505E" w14:paraId="0962A4E1" w14:textId="77777777" w:rsidTr="00444693">
        <w:trPr>
          <w:cantSplit/>
          <w:trHeight w:val="13"/>
        </w:trPr>
        <w:tc>
          <w:tcPr>
            <w:tcW w:w="491" w:type="pct"/>
            <w:vMerge/>
            <w:tcBorders>
              <w:bottom w:val="single" w:sz="4" w:space="0" w:color="auto"/>
            </w:tcBorders>
          </w:tcPr>
          <w:p w14:paraId="5170C7D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EAEE48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682316A"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0BAE7AA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FA4865A"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25C3062F"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45D10A9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F905B0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0013EB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AD0A3D1" w14:textId="77777777" w:rsidR="00CE1436" w:rsidRPr="003B78B6" w:rsidRDefault="00CE1436" w:rsidP="00444693">
            <w:pPr>
              <w:pStyle w:val="TableText"/>
              <w:widowControl w:val="0"/>
              <w:suppressAutoHyphens w:val="0"/>
              <w:spacing w:before="0" w:after="0" w:line="240" w:lineRule="auto"/>
              <w:jc w:val="center"/>
            </w:pPr>
            <w:r w:rsidRPr="00DC35FD">
              <w:t>5.9</w:t>
            </w:r>
          </w:p>
        </w:tc>
        <w:tc>
          <w:tcPr>
            <w:tcW w:w="312" w:type="pct"/>
          </w:tcPr>
          <w:p w14:paraId="21294386"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471020CE" w14:textId="77777777" w:rsidR="00CE1436" w:rsidRPr="00EB1DDB" w:rsidRDefault="00CE1436" w:rsidP="00444693">
            <w:pPr>
              <w:pStyle w:val="TableText"/>
              <w:widowControl w:val="0"/>
              <w:suppressAutoHyphens w:val="0"/>
              <w:spacing w:before="0" w:after="0" w:line="240" w:lineRule="auto"/>
              <w:jc w:val="center"/>
              <w:rPr>
                <w:b/>
                <w:bCs/>
              </w:rPr>
            </w:pPr>
            <w:r w:rsidRPr="00DC35FD">
              <w:t>0.96</w:t>
            </w:r>
          </w:p>
        </w:tc>
        <w:tc>
          <w:tcPr>
            <w:tcW w:w="393" w:type="pct"/>
          </w:tcPr>
          <w:p w14:paraId="50C7505B" w14:textId="77777777" w:rsidR="00CE1436" w:rsidRPr="0027505E" w:rsidRDefault="00CE1436" w:rsidP="00444693">
            <w:pPr>
              <w:pStyle w:val="TableText"/>
              <w:widowControl w:val="0"/>
              <w:suppressAutoHyphens w:val="0"/>
              <w:spacing w:before="0" w:after="0" w:line="240" w:lineRule="auto"/>
              <w:jc w:val="center"/>
            </w:pPr>
            <w:r w:rsidRPr="00DC35FD">
              <w:t>521</w:t>
            </w:r>
          </w:p>
        </w:tc>
      </w:tr>
      <w:tr w:rsidR="00CE1436" w:rsidRPr="00C3293F" w14:paraId="759DCC1C" w14:textId="77777777" w:rsidTr="00444693">
        <w:trPr>
          <w:cantSplit/>
          <w:trHeight w:val="13"/>
        </w:trPr>
        <w:tc>
          <w:tcPr>
            <w:tcW w:w="491" w:type="pct"/>
            <w:vMerge/>
            <w:tcBorders>
              <w:bottom w:val="single" w:sz="4" w:space="0" w:color="auto"/>
            </w:tcBorders>
          </w:tcPr>
          <w:p w14:paraId="285BFBD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BD9587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C23ECFB"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947168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738F000"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7E5BDC21"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2518DDA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5FCB06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A07491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48CA923" w14:textId="77777777" w:rsidR="00CE1436" w:rsidRDefault="00CE1436" w:rsidP="00444693">
            <w:pPr>
              <w:pStyle w:val="TableText"/>
              <w:widowControl w:val="0"/>
              <w:suppressAutoHyphens w:val="0"/>
              <w:spacing w:before="0" w:after="0" w:line="240" w:lineRule="auto"/>
              <w:jc w:val="center"/>
            </w:pPr>
            <w:r w:rsidRPr="00DC35FD">
              <w:t>5.2</w:t>
            </w:r>
          </w:p>
        </w:tc>
        <w:tc>
          <w:tcPr>
            <w:tcW w:w="312" w:type="pct"/>
          </w:tcPr>
          <w:p w14:paraId="3341881F"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740FD005" w14:textId="77777777" w:rsidR="00CE1436" w:rsidRPr="00EB1DDB" w:rsidRDefault="00CE1436" w:rsidP="00444693">
            <w:pPr>
              <w:pStyle w:val="TableText"/>
              <w:widowControl w:val="0"/>
              <w:suppressAutoHyphens w:val="0"/>
              <w:spacing w:before="0" w:after="0" w:line="240" w:lineRule="auto"/>
              <w:jc w:val="center"/>
              <w:rPr>
                <w:b/>
                <w:bCs/>
              </w:rPr>
            </w:pPr>
            <w:r w:rsidRPr="00DC35FD">
              <w:t>0.86</w:t>
            </w:r>
          </w:p>
        </w:tc>
        <w:tc>
          <w:tcPr>
            <w:tcW w:w="393" w:type="pct"/>
          </w:tcPr>
          <w:p w14:paraId="1DAC49F4"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C3293F" w14:paraId="3BE00A8A" w14:textId="77777777" w:rsidTr="00444693">
        <w:trPr>
          <w:cantSplit/>
          <w:trHeight w:val="13"/>
        </w:trPr>
        <w:tc>
          <w:tcPr>
            <w:tcW w:w="491" w:type="pct"/>
            <w:vMerge/>
            <w:tcBorders>
              <w:bottom w:val="single" w:sz="4" w:space="0" w:color="auto"/>
            </w:tcBorders>
          </w:tcPr>
          <w:p w14:paraId="41AC506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A95273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70DE10A"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0A7F0CB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7184271"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08B9C118"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5931799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A12F88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4D4A53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CD1F5FC" w14:textId="77777777" w:rsidR="00CE1436" w:rsidRDefault="00CE1436" w:rsidP="00444693">
            <w:pPr>
              <w:pStyle w:val="TableText"/>
              <w:widowControl w:val="0"/>
              <w:suppressAutoHyphens w:val="0"/>
              <w:spacing w:before="0" w:after="0" w:line="240" w:lineRule="auto"/>
              <w:jc w:val="center"/>
            </w:pPr>
            <w:r w:rsidRPr="00DC35FD">
              <w:t>5.1</w:t>
            </w:r>
          </w:p>
        </w:tc>
        <w:tc>
          <w:tcPr>
            <w:tcW w:w="312" w:type="pct"/>
          </w:tcPr>
          <w:p w14:paraId="6DD68C53"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5AD24CCE" w14:textId="77777777" w:rsidR="00CE1436" w:rsidRPr="00EB1DDB" w:rsidRDefault="00CE1436" w:rsidP="00444693">
            <w:pPr>
              <w:pStyle w:val="TableText"/>
              <w:widowControl w:val="0"/>
              <w:suppressAutoHyphens w:val="0"/>
              <w:spacing w:before="0" w:after="0" w:line="240" w:lineRule="auto"/>
              <w:jc w:val="center"/>
              <w:rPr>
                <w:b/>
                <w:bCs/>
              </w:rPr>
            </w:pPr>
            <w:r w:rsidRPr="00DC35FD">
              <w:t>0.83</w:t>
            </w:r>
          </w:p>
        </w:tc>
        <w:tc>
          <w:tcPr>
            <w:tcW w:w="393" w:type="pct"/>
          </w:tcPr>
          <w:p w14:paraId="50D95007"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27505E" w14:paraId="252FCB00" w14:textId="77777777" w:rsidTr="00444693">
        <w:trPr>
          <w:cantSplit/>
          <w:trHeight w:val="13"/>
        </w:trPr>
        <w:tc>
          <w:tcPr>
            <w:tcW w:w="491" w:type="pct"/>
            <w:vMerge/>
            <w:tcBorders>
              <w:bottom w:val="single" w:sz="4" w:space="0" w:color="auto"/>
            </w:tcBorders>
          </w:tcPr>
          <w:p w14:paraId="1D011C7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EAE9E6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BFFE210"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29030F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0B35391"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6A99A15D" w14:textId="77777777" w:rsidR="00CE1436" w:rsidRDefault="00CE1436" w:rsidP="00444693">
            <w:pPr>
              <w:pStyle w:val="TableText"/>
              <w:widowControl w:val="0"/>
              <w:suppressAutoHyphens w:val="0"/>
              <w:spacing w:before="0" w:after="0" w:line="240" w:lineRule="auto"/>
              <w:jc w:val="center"/>
            </w:pPr>
            <w:r>
              <w:t>425</w:t>
            </w:r>
          </w:p>
        </w:tc>
        <w:tc>
          <w:tcPr>
            <w:tcW w:w="312" w:type="pct"/>
          </w:tcPr>
          <w:p w14:paraId="22D055C3" w14:textId="77777777" w:rsidR="00CE1436" w:rsidRDefault="00CE1436" w:rsidP="00444693">
            <w:pPr>
              <w:pStyle w:val="TableText"/>
              <w:widowControl w:val="0"/>
              <w:suppressAutoHyphens w:val="0"/>
              <w:spacing w:before="0" w:after="0" w:line="240" w:lineRule="auto"/>
              <w:jc w:val="center"/>
              <w:rPr>
                <w:szCs w:val="17"/>
              </w:rPr>
            </w:pPr>
            <w:r>
              <w:t>1.0</w:t>
            </w:r>
          </w:p>
        </w:tc>
        <w:tc>
          <w:tcPr>
            <w:tcW w:w="311" w:type="pct"/>
          </w:tcPr>
          <w:p w14:paraId="2D76DFA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46FAE6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B82E5B0" w14:textId="77777777" w:rsidR="00CE1436" w:rsidRPr="003B78B6" w:rsidRDefault="00CE1436" w:rsidP="00444693">
            <w:pPr>
              <w:pStyle w:val="TableText"/>
              <w:widowControl w:val="0"/>
              <w:suppressAutoHyphens w:val="0"/>
              <w:spacing w:before="0" w:after="0" w:line="240" w:lineRule="auto"/>
              <w:jc w:val="center"/>
            </w:pPr>
            <w:r w:rsidRPr="00DC35FD">
              <w:t>5.0</w:t>
            </w:r>
          </w:p>
        </w:tc>
        <w:tc>
          <w:tcPr>
            <w:tcW w:w="312" w:type="pct"/>
          </w:tcPr>
          <w:p w14:paraId="37B247DC"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4D7BA23B" w14:textId="77777777" w:rsidR="00CE1436" w:rsidRPr="0027505E" w:rsidRDefault="00CE1436" w:rsidP="00444693">
            <w:pPr>
              <w:pStyle w:val="TableText"/>
              <w:widowControl w:val="0"/>
              <w:suppressAutoHyphens w:val="0"/>
              <w:spacing w:before="0" w:after="0" w:line="240" w:lineRule="auto"/>
              <w:jc w:val="center"/>
            </w:pPr>
            <w:r w:rsidRPr="00DC35FD">
              <w:t>0.82</w:t>
            </w:r>
          </w:p>
        </w:tc>
        <w:tc>
          <w:tcPr>
            <w:tcW w:w="393" w:type="pct"/>
          </w:tcPr>
          <w:p w14:paraId="1B0B8D13" w14:textId="77777777" w:rsidR="00CE1436" w:rsidRPr="0027505E" w:rsidRDefault="00CE1436" w:rsidP="00444693">
            <w:pPr>
              <w:pStyle w:val="TableText"/>
              <w:widowControl w:val="0"/>
              <w:suppressAutoHyphens w:val="0"/>
              <w:spacing w:before="0" w:after="0" w:line="240" w:lineRule="auto"/>
              <w:jc w:val="center"/>
            </w:pPr>
            <w:r w:rsidRPr="00DC35FD">
              <w:t>521</w:t>
            </w:r>
          </w:p>
        </w:tc>
      </w:tr>
      <w:tr w:rsidR="00CE1436" w:rsidRPr="0027505E" w14:paraId="12E2F023" w14:textId="77777777" w:rsidTr="00444693">
        <w:trPr>
          <w:cantSplit/>
          <w:trHeight w:val="13"/>
        </w:trPr>
        <w:tc>
          <w:tcPr>
            <w:tcW w:w="491" w:type="pct"/>
            <w:vMerge/>
            <w:tcBorders>
              <w:bottom w:val="single" w:sz="4" w:space="0" w:color="auto"/>
            </w:tcBorders>
          </w:tcPr>
          <w:p w14:paraId="358B823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40F28D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49E5DB5"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A7D929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E6C85C9"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04556A4E"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5BDBF698" w14:textId="77777777" w:rsidR="00CE1436" w:rsidRDefault="00CE1436" w:rsidP="00444693">
            <w:pPr>
              <w:pStyle w:val="TableText"/>
              <w:widowControl w:val="0"/>
              <w:suppressAutoHyphens w:val="0"/>
              <w:spacing w:before="0" w:after="0" w:line="240" w:lineRule="auto"/>
              <w:jc w:val="center"/>
              <w:rPr>
                <w:szCs w:val="17"/>
              </w:rPr>
            </w:pPr>
            <w:r>
              <w:t>1.0</w:t>
            </w:r>
          </w:p>
        </w:tc>
        <w:tc>
          <w:tcPr>
            <w:tcW w:w="311" w:type="pct"/>
          </w:tcPr>
          <w:p w14:paraId="2090114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1F334B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A396614" w14:textId="77777777" w:rsidR="00CE1436" w:rsidRPr="003B78B6" w:rsidRDefault="00CE1436" w:rsidP="00444693">
            <w:pPr>
              <w:pStyle w:val="TableText"/>
              <w:widowControl w:val="0"/>
              <w:suppressAutoHyphens w:val="0"/>
              <w:spacing w:before="0" w:after="0" w:line="240" w:lineRule="auto"/>
              <w:jc w:val="center"/>
            </w:pPr>
            <w:r w:rsidRPr="00DC35FD">
              <w:t>3.9</w:t>
            </w:r>
          </w:p>
        </w:tc>
        <w:tc>
          <w:tcPr>
            <w:tcW w:w="312" w:type="pct"/>
          </w:tcPr>
          <w:p w14:paraId="070E102B"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418F01AF" w14:textId="77777777" w:rsidR="00CE1436" w:rsidRPr="0027505E" w:rsidRDefault="00CE1436" w:rsidP="00444693">
            <w:pPr>
              <w:pStyle w:val="TableText"/>
              <w:widowControl w:val="0"/>
              <w:suppressAutoHyphens w:val="0"/>
              <w:spacing w:before="0" w:after="0" w:line="240" w:lineRule="auto"/>
              <w:jc w:val="center"/>
            </w:pPr>
            <w:r w:rsidRPr="00DC35FD">
              <w:t>0.63</w:t>
            </w:r>
          </w:p>
        </w:tc>
        <w:tc>
          <w:tcPr>
            <w:tcW w:w="393" w:type="pct"/>
          </w:tcPr>
          <w:p w14:paraId="26407C07" w14:textId="77777777" w:rsidR="00CE1436" w:rsidRPr="0027505E" w:rsidRDefault="00CE1436" w:rsidP="00444693">
            <w:pPr>
              <w:pStyle w:val="TableText"/>
              <w:widowControl w:val="0"/>
              <w:suppressAutoHyphens w:val="0"/>
              <w:spacing w:before="0" w:after="0" w:line="240" w:lineRule="auto"/>
              <w:jc w:val="center"/>
            </w:pPr>
            <w:r w:rsidRPr="00DC35FD">
              <w:t>521</w:t>
            </w:r>
          </w:p>
        </w:tc>
      </w:tr>
      <w:tr w:rsidR="00CE1436" w:rsidRPr="0027505E" w14:paraId="628D5B9B" w14:textId="77777777" w:rsidTr="00444693">
        <w:trPr>
          <w:cantSplit/>
          <w:trHeight w:val="13"/>
        </w:trPr>
        <w:tc>
          <w:tcPr>
            <w:tcW w:w="491" w:type="pct"/>
            <w:vMerge/>
            <w:tcBorders>
              <w:bottom w:val="single" w:sz="4" w:space="0" w:color="auto"/>
            </w:tcBorders>
          </w:tcPr>
          <w:p w14:paraId="27232F2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BD4CD1A"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DCD216E"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18861A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8167A9D"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016AAF0F" w14:textId="77777777" w:rsidR="00CE1436" w:rsidRDefault="00CE1436" w:rsidP="00444693">
            <w:pPr>
              <w:pStyle w:val="TableText"/>
              <w:widowControl w:val="0"/>
              <w:suppressAutoHyphens w:val="0"/>
              <w:spacing w:before="0" w:after="0" w:line="240" w:lineRule="auto"/>
              <w:jc w:val="center"/>
            </w:pPr>
            <w:r>
              <w:t>324</w:t>
            </w:r>
          </w:p>
        </w:tc>
        <w:tc>
          <w:tcPr>
            <w:tcW w:w="312" w:type="pct"/>
            <w:shd w:val="clear" w:color="auto" w:fill="D5D7D5" w:themeFill="text1" w:themeFillTint="33"/>
          </w:tcPr>
          <w:p w14:paraId="74CA73A4" w14:textId="77777777" w:rsidR="00CE1436" w:rsidRDefault="00CE1436" w:rsidP="00444693">
            <w:pPr>
              <w:pStyle w:val="TableText"/>
              <w:widowControl w:val="0"/>
              <w:suppressAutoHyphens w:val="0"/>
              <w:spacing w:before="0" w:after="0" w:line="240" w:lineRule="auto"/>
              <w:jc w:val="center"/>
            </w:pPr>
            <w:r>
              <w:rPr>
                <w:szCs w:val="17"/>
              </w:rPr>
              <w:t>1.31</w:t>
            </w:r>
            <w:r w:rsidRPr="00DA6F86">
              <w:rPr>
                <w:szCs w:val="17"/>
                <w:vertAlign w:val="superscript"/>
              </w:rPr>
              <w:t>d</w:t>
            </w:r>
          </w:p>
        </w:tc>
        <w:tc>
          <w:tcPr>
            <w:tcW w:w="311" w:type="pct"/>
          </w:tcPr>
          <w:p w14:paraId="15C3465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F6DCB2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2183BD7" w14:textId="77777777" w:rsidR="00CE1436" w:rsidRPr="003B78B6" w:rsidRDefault="00CE1436" w:rsidP="00444693">
            <w:pPr>
              <w:pStyle w:val="TableText"/>
              <w:widowControl w:val="0"/>
              <w:suppressAutoHyphens w:val="0"/>
              <w:spacing w:before="0" w:after="0" w:line="240" w:lineRule="auto"/>
              <w:jc w:val="center"/>
            </w:pPr>
            <w:r w:rsidRPr="00DC35FD">
              <w:t>5.0</w:t>
            </w:r>
          </w:p>
        </w:tc>
        <w:tc>
          <w:tcPr>
            <w:tcW w:w="312" w:type="pct"/>
          </w:tcPr>
          <w:p w14:paraId="66BC6D76"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65C03735" w14:textId="77777777" w:rsidR="00CE1436" w:rsidRPr="0027505E" w:rsidRDefault="00CE1436" w:rsidP="00444693">
            <w:pPr>
              <w:pStyle w:val="TableText"/>
              <w:widowControl w:val="0"/>
              <w:suppressAutoHyphens w:val="0"/>
              <w:spacing w:before="0" w:after="0" w:line="240" w:lineRule="auto"/>
              <w:jc w:val="center"/>
            </w:pPr>
            <w:r w:rsidRPr="00DC35FD">
              <w:t>0.81</w:t>
            </w:r>
          </w:p>
        </w:tc>
        <w:tc>
          <w:tcPr>
            <w:tcW w:w="393" w:type="pct"/>
          </w:tcPr>
          <w:p w14:paraId="1A12E950" w14:textId="77777777" w:rsidR="00CE1436" w:rsidRPr="0027505E" w:rsidRDefault="00CE1436" w:rsidP="00444693">
            <w:pPr>
              <w:pStyle w:val="TableText"/>
              <w:widowControl w:val="0"/>
              <w:suppressAutoHyphens w:val="0"/>
              <w:spacing w:before="0" w:after="0" w:line="240" w:lineRule="auto"/>
              <w:jc w:val="center"/>
            </w:pPr>
            <w:r w:rsidRPr="00DC35FD">
              <w:t>398</w:t>
            </w:r>
          </w:p>
        </w:tc>
      </w:tr>
      <w:tr w:rsidR="00CE1436" w:rsidRPr="00C3293F" w14:paraId="0A3A722B" w14:textId="77777777" w:rsidTr="00444693">
        <w:trPr>
          <w:cantSplit/>
          <w:trHeight w:val="13"/>
        </w:trPr>
        <w:tc>
          <w:tcPr>
            <w:tcW w:w="491" w:type="pct"/>
            <w:vMerge/>
            <w:tcBorders>
              <w:bottom w:val="single" w:sz="4" w:space="0" w:color="auto"/>
            </w:tcBorders>
          </w:tcPr>
          <w:p w14:paraId="6400365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731195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1A717B9"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245CF5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B2F890D"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69A9B91F"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2F2FCEC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81C6D1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591685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65D984B" w14:textId="77777777" w:rsidR="00CE1436" w:rsidRDefault="00CE1436" w:rsidP="00444693">
            <w:pPr>
              <w:pStyle w:val="TableText"/>
              <w:widowControl w:val="0"/>
              <w:suppressAutoHyphens w:val="0"/>
              <w:spacing w:before="0" w:after="0" w:line="240" w:lineRule="auto"/>
              <w:jc w:val="center"/>
            </w:pPr>
            <w:r w:rsidRPr="00DC35FD">
              <w:t>3.8</w:t>
            </w:r>
          </w:p>
        </w:tc>
        <w:tc>
          <w:tcPr>
            <w:tcW w:w="312" w:type="pct"/>
          </w:tcPr>
          <w:p w14:paraId="0FA84D4A"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46A9D3C5" w14:textId="77777777" w:rsidR="00CE1436" w:rsidRDefault="00CE1436" w:rsidP="00444693">
            <w:pPr>
              <w:pStyle w:val="TableText"/>
              <w:widowControl w:val="0"/>
              <w:suppressAutoHyphens w:val="0"/>
              <w:spacing w:before="0" w:after="0" w:line="240" w:lineRule="auto"/>
              <w:jc w:val="center"/>
            </w:pPr>
            <w:r w:rsidRPr="00DC35FD">
              <w:t>0.62</w:t>
            </w:r>
          </w:p>
        </w:tc>
        <w:tc>
          <w:tcPr>
            <w:tcW w:w="393" w:type="pct"/>
          </w:tcPr>
          <w:p w14:paraId="7C2DF5C5"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C3293F" w14:paraId="21063899" w14:textId="77777777" w:rsidTr="00444693">
        <w:trPr>
          <w:cantSplit/>
          <w:trHeight w:val="13"/>
        </w:trPr>
        <w:tc>
          <w:tcPr>
            <w:tcW w:w="491" w:type="pct"/>
            <w:vMerge/>
            <w:tcBorders>
              <w:bottom w:val="single" w:sz="4" w:space="0" w:color="auto"/>
            </w:tcBorders>
          </w:tcPr>
          <w:p w14:paraId="7F3A88C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39F0E9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8009DD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1AB3FDC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61C59E6"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08B1776B"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1B3EF37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90E69B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8FAF47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E804DCB" w14:textId="77777777" w:rsidR="00CE1436" w:rsidRDefault="00CE1436" w:rsidP="00444693">
            <w:pPr>
              <w:pStyle w:val="TableText"/>
              <w:widowControl w:val="0"/>
              <w:suppressAutoHyphens w:val="0"/>
              <w:spacing w:before="0" w:after="0" w:line="240" w:lineRule="auto"/>
              <w:jc w:val="center"/>
            </w:pPr>
            <w:r w:rsidRPr="00DC35FD">
              <w:t>2.3</w:t>
            </w:r>
          </w:p>
        </w:tc>
        <w:tc>
          <w:tcPr>
            <w:tcW w:w="312" w:type="pct"/>
          </w:tcPr>
          <w:p w14:paraId="4B354E2B"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5704B757" w14:textId="77777777" w:rsidR="00CE1436" w:rsidRDefault="00CE1436" w:rsidP="00444693">
            <w:pPr>
              <w:pStyle w:val="TableText"/>
              <w:widowControl w:val="0"/>
              <w:suppressAutoHyphens w:val="0"/>
              <w:spacing w:before="0" w:after="0" w:line="240" w:lineRule="auto"/>
              <w:jc w:val="center"/>
            </w:pPr>
            <w:r w:rsidRPr="00DC35FD">
              <w:t>0.38</w:t>
            </w:r>
          </w:p>
        </w:tc>
        <w:tc>
          <w:tcPr>
            <w:tcW w:w="393" w:type="pct"/>
          </w:tcPr>
          <w:p w14:paraId="6AFA57C6"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27505E" w14:paraId="3C00CFA5" w14:textId="77777777" w:rsidTr="00444693">
        <w:trPr>
          <w:cantSplit/>
          <w:trHeight w:val="13"/>
        </w:trPr>
        <w:tc>
          <w:tcPr>
            <w:tcW w:w="491" w:type="pct"/>
            <w:vMerge/>
            <w:tcBorders>
              <w:bottom w:val="single" w:sz="4" w:space="0" w:color="auto"/>
            </w:tcBorders>
          </w:tcPr>
          <w:p w14:paraId="06B60E3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14B21A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A56D1D2"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3FBC2A1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0A6EB00"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0E923F83" w14:textId="77777777" w:rsidR="00CE1436" w:rsidRDefault="00CE1436" w:rsidP="00444693">
            <w:pPr>
              <w:pStyle w:val="TableText"/>
              <w:widowControl w:val="0"/>
              <w:suppressAutoHyphens w:val="0"/>
              <w:spacing w:before="0" w:after="0" w:line="240" w:lineRule="auto"/>
              <w:jc w:val="center"/>
            </w:pPr>
            <w:r>
              <w:t>175</w:t>
            </w:r>
          </w:p>
        </w:tc>
        <w:tc>
          <w:tcPr>
            <w:tcW w:w="312" w:type="pct"/>
          </w:tcPr>
          <w:p w14:paraId="1B9B364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C7DB8F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E2D31D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6DE1711" w14:textId="77777777" w:rsidR="00CE1436" w:rsidRPr="003B78B6" w:rsidRDefault="00CE1436" w:rsidP="00444693">
            <w:pPr>
              <w:pStyle w:val="TableText"/>
              <w:widowControl w:val="0"/>
              <w:suppressAutoHyphens w:val="0"/>
              <w:spacing w:before="0" w:after="0" w:line="240" w:lineRule="auto"/>
              <w:jc w:val="center"/>
            </w:pPr>
            <w:r w:rsidRPr="00DC35FD">
              <w:t>2.0</w:t>
            </w:r>
          </w:p>
        </w:tc>
        <w:tc>
          <w:tcPr>
            <w:tcW w:w="312" w:type="pct"/>
          </w:tcPr>
          <w:p w14:paraId="2127BAB9"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0C3312FE" w14:textId="77777777" w:rsidR="00CE1436" w:rsidRPr="0027505E" w:rsidRDefault="00CE1436" w:rsidP="00444693">
            <w:pPr>
              <w:pStyle w:val="TableText"/>
              <w:widowControl w:val="0"/>
              <w:suppressAutoHyphens w:val="0"/>
              <w:spacing w:before="0" w:after="0" w:line="240" w:lineRule="auto"/>
              <w:jc w:val="center"/>
            </w:pPr>
            <w:r w:rsidRPr="00DC35FD">
              <w:t>0.34</w:t>
            </w:r>
          </w:p>
        </w:tc>
        <w:tc>
          <w:tcPr>
            <w:tcW w:w="393" w:type="pct"/>
          </w:tcPr>
          <w:p w14:paraId="1E6C4E33" w14:textId="77777777" w:rsidR="00CE1436" w:rsidRPr="0027505E" w:rsidRDefault="00CE1436" w:rsidP="00444693">
            <w:pPr>
              <w:pStyle w:val="TableText"/>
              <w:widowControl w:val="0"/>
              <w:suppressAutoHyphens w:val="0"/>
              <w:spacing w:before="0" w:after="0" w:line="240" w:lineRule="auto"/>
              <w:jc w:val="center"/>
            </w:pPr>
            <w:r w:rsidRPr="00DC35FD">
              <w:t>521</w:t>
            </w:r>
          </w:p>
        </w:tc>
      </w:tr>
      <w:tr w:rsidR="00CE1436" w:rsidRPr="00C3293F" w14:paraId="17DD625D" w14:textId="77777777" w:rsidTr="00444693">
        <w:trPr>
          <w:cantSplit/>
          <w:trHeight w:val="13"/>
        </w:trPr>
        <w:tc>
          <w:tcPr>
            <w:tcW w:w="491" w:type="pct"/>
            <w:vMerge/>
            <w:tcBorders>
              <w:bottom w:val="single" w:sz="4" w:space="0" w:color="auto"/>
            </w:tcBorders>
          </w:tcPr>
          <w:p w14:paraId="062AD3F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412A19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9CD14A9"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B9E813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ACF20EC"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272EDBB2"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4BAF0D1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596D60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69D586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D555868" w14:textId="77777777" w:rsidR="00CE1436" w:rsidRDefault="00CE1436" w:rsidP="00444693">
            <w:pPr>
              <w:pStyle w:val="TableText"/>
              <w:widowControl w:val="0"/>
              <w:suppressAutoHyphens w:val="0"/>
              <w:spacing w:before="0" w:after="0" w:line="240" w:lineRule="auto"/>
              <w:jc w:val="center"/>
            </w:pPr>
            <w:r w:rsidRPr="00DC35FD">
              <w:t>2.0</w:t>
            </w:r>
          </w:p>
        </w:tc>
        <w:tc>
          <w:tcPr>
            <w:tcW w:w="312" w:type="pct"/>
          </w:tcPr>
          <w:p w14:paraId="7E2D8AAF"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342E53FC" w14:textId="77777777" w:rsidR="00CE1436" w:rsidRDefault="00CE1436" w:rsidP="00444693">
            <w:pPr>
              <w:pStyle w:val="TableText"/>
              <w:widowControl w:val="0"/>
              <w:suppressAutoHyphens w:val="0"/>
              <w:spacing w:before="0" w:after="0" w:line="240" w:lineRule="auto"/>
              <w:jc w:val="center"/>
            </w:pPr>
            <w:r w:rsidRPr="00DC35FD">
              <w:t>0.33</w:t>
            </w:r>
          </w:p>
        </w:tc>
        <w:tc>
          <w:tcPr>
            <w:tcW w:w="393" w:type="pct"/>
          </w:tcPr>
          <w:p w14:paraId="7058C07D"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27505E" w14:paraId="72EF01DB" w14:textId="77777777" w:rsidTr="00444693">
        <w:trPr>
          <w:cantSplit/>
          <w:trHeight w:val="13"/>
        </w:trPr>
        <w:tc>
          <w:tcPr>
            <w:tcW w:w="491" w:type="pct"/>
            <w:vMerge/>
            <w:tcBorders>
              <w:bottom w:val="single" w:sz="4" w:space="0" w:color="auto"/>
            </w:tcBorders>
          </w:tcPr>
          <w:p w14:paraId="2313537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774DEB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9918D1E"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7FDF81E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C884C9F"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Pr>
          <w:p w14:paraId="53F03C6A" w14:textId="77777777" w:rsidR="00CE1436" w:rsidRDefault="00CE1436" w:rsidP="00444693">
            <w:pPr>
              <w:pStyle w:val="TableText"/>
              <w:widowControl w:val="0"/>
              <w:suppressAutoHyphens w:val="0"/>
              <w:spacing w:before="0" w:after="0" w:line="240" w:lineRule="auto"/>
              <w:jc w:val="center"/>
            </w:pPr>
            <w:r>
              <w:t>168</w:t>
            </w:r>
          </w:p>
        </w:tc>
        <w:tc>
          <w:tcPr>
            <w:tcW w:w="312" w:type="pct"/>
          </w:tcPr>
          <w:p w14:paraId="424A816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F523C0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0D5D7E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6C94A7B" w14:textId="77777777" w:rsidR="00CE1436" w:rsidRPr="003B78B6" w:rsidRDefault="00CE1436" w:rsidP="00444693">
            <w:pPr>
              <w:pStyle w:val="TableText"/>
              <w:widowControl w:val="0"/>
              <w:suppressAutoHyphens w:val="0"/>
              <w:spacing w:before="0" w:after="0" w:line="240" w:lineRule="auto"/>
              <w:jc w:val="center"/>
            </w:pPr>
            <w:r w:rsidRPr="00DC35FD">
              <w:t>2.0</w:t>
            </w:r>
          </w:p>
        </w:tc>
        <w:tc>
          <w:tcPr>
            <w:tcW w:w="312" w:type="pct"/>
          </w:tcPr>
          <w:p w14:paraId="633B310A"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Pr>
          <w:p w14:paraId="70D53D19" w14:textId="77777777" w:rsidR="00CE1436" w:rsidRPr="0027505E" w:rsidRDefault="00CE1436" w:rsidP="00444693">
            <w:pPr>
              <w:pStyle w:val="TableText"/>
              <w:widowControl w:val="0"/>
              <w:suppressAutoHyphens w:val="0"/>
              <w:spacing w:before="0" w:after="0" w:line="240" w:lineRule="auto"/>
              <w:jc w:val="center"/>
            </w:pPr>
            <w:r w:rsidRPr="00DC35FD">
              <w:t>0.32</w:t>
            </w:r>
          </w:p>
        </w:tc>
        <w:tc>
          <w:tcPr>
            <w:tcW w:w="393" w:type="pct"/>
          </w:tcPr>
          <w:p w14:paraId="3F95DA93" w14:textId="77777777" w:rsidR="00CE1436" w:rsidRPr="0027505E" w:rsidRDefault="00CE1436" w:rsidP="00444693">
            <w:pPr>
              <w:pStyle w:val="TableText"/>
              <w:widowControl w:val="0"/>
              <w:suppressAutoHyphens w:val="0"/>
              <w:spacing w:before="0" w:after="0" w:line="240" w:lineRule="auto"/>
              <w:jc w:val="center"/>
            </w:pPr>
            <w:r w:rsidRPr="00DC35FD">
              <w:t>521</w:t>
            </w:r>
          </w:p>
        </w:tc>
      </w:tr>
      <w:tr w:rsidR="00CE1436" w:rsidRPr="00C3293F" w14:paraId="603ACC4E" w14:textId="77777777" w:rsidTr="00444693">
        <w:trPr>
          <w:cantSplit/>
          <w:trHeight w:val="13"/>
        </w:trPr>
        <w:tc>
          <w:tcPr>
            <w:tcW w:w="491" w:type="pct"/>
            <w:vMerge/>
            <w:tcBorders>
              <w:bottom w:val="single" w:sz="4" w:space="0" w:color="auto"/>
            </w:tcBorders>
          </w:tcPr>
          <w:p w14:paraId="5627213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6317812"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2D81C83" w14:textId="77777777" w:rsidR="00CE1436" w:rsidRPr="00C20C79"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57CA9C7D"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12E24B84" w14:textId="77777777" w:rsidR="00CE1436" w:rsidRDefault="00CE1436" w:rsidP="00444693">
            <w:pPr>
              <w:pStyle w:val="TableText"/>
              <w:widowControl w:val="0"/>
              <w:suppressAutoHyphens w:val="0"/>
              <w:spacing w:before="0" w:after="0" w:line="240" w:lineRule="auto"/>
              <w:jc w:val="center"/>
            </w:pPr>
            <w:r w:rsidRPr="000F58EB">
              <w:t>11.7</w:t>
            </w:r>
            <w:r w:rsidRPr="000F58EB">
              <w:rPr>
                <w:vertAlign w:val="superscript"/>
              </w:rPr>
              <w:t>c</w:t>
            </w:r>
          </w:p>
        </w:tc>
        <w:tc>
          <w:tcPr>
            <w:tcW w:w="311" w:type="pct"/>
            <w:tcBorders>
              <w:bottom w:val="single" w:sz="4" w:space="0" w:color="auto"/>
            </w:tcBorders>
          </w:tcPr>
          <w:p w14:paraId="0E77D435" w14:textId="77777777" w:rsidR="00CE1436" w:rsidRDefault="00CE1436" w:rsidP="00444693">
            <w:pPr>
              <w:pStyle w:val="TableText"/>
              <w:widowControl w:val="0"/>
              <w:suppressAutoHyphens w:val="0"/>
              <w:spacing w:before="0" w:after="0" w:line="240" w:lineRule="auto"/>
              <w:jc w:val="center"/>
            </w:pPr>
            <w:r>
              <w:t>130</w:t>
            </w:r>
          </w:p>
        </w:tc>
        <w:tc>
          <w:tcPr>
            <w:tcW w:w="312" w:type="pct"/>
            <w:tcBorders>
              <w:bottom w:val="single" w:sz="4" w:space="0" w:color="auto"/>
            </w:tcBorders>
          </w:tcPr>
          <w:p w14:paraId="2614B326"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3296DA2"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675F9580"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58F72B70" w14:textId="77777777" w:rsidR="00CE1436" w:rsidRDefault="00CE1436" w:rsidP="00444693">
            <w:pPr>
              <w:pStyle w:val="TableText"/>
              <w:widowControl w:val="0"/>
              <w:suppressAutoHyphens w:val="0"/>
              <w:spacing w:before="0" w:after="0" w:line="240" w:lineRule="auto"/>
              <w:jc w:val="center"/>
            </w:pPr>
            <w:r w:rsidRPr="00DC35FD">
              <w:t>1.5</w:t>
            </w:r>
          </w:p>
        </w:tc>
        <w:tc>
          <w:tcPr>
            <w:tcW w:w="312" w:type="pct"/>
            <w:tcBorders>
              <w:bottom w:val="single" w:sz="4" w:space="0" w:color="auto"/>
            </w:tcBorders>
          </w:tcPr>
          <w:p w14:paraId="1D4A53A9" w14:textId="77777777" w:rsidR="00CE1436" w:rsidRDefault="00CE1436" w:rsidP="00444693">
            <w:pPr>
              <w:pStyle w:val="TableText"/>
              <w:widowControl w:val="0"/>
              <w:suppressAutoHyphens w:val="0"/>
              <w:spacing w:before="0" w:after="0" w:line="240" w:lineRule="auto"/>
              <w:jc w:val="center"/>
              <w:rPr>
                <w:szCs w:val="17"/>
              </w:rPr>
            </w:pPr>
            <w:r w:rsidRPr="00DC35FD">
              <w:t>6.1</w:t>
            </w:r>
          </w:p>
        </w:tc>
        <w:tc>
          <w:tcPr>
            <w:tcW w:w="312" w:type="pct"/>
            <w:tcBorders>
              <w:bottom w:val="single" w:sz="4" w:space="0" w:color="auto"/>
            </w:tcBorders>
          </w:tcPr>
          <w:p w14:paraId="47784A6B" w14:textId="77777777" w:rsidR="00CE1436" w:rsidRDefault="00CE1436" w:rsidP="00444693">
            <w:pPr>
              <w:pStyle w:val="TableText"/>
              <w:widowControl w:val="0"/>
              <w:suppressAutoHyphens w:val="0"/>
              <w:spacing w:before="0" w:after="0" w:line="240" w:lineRule="auto"/>
              <w:jc w:val="center"/>
            </w:pPr>
            <w:r w:rsidRPr="00DC35FD">
              <w:t>0.25</w:t>
            </w:r>
          </w:p>
        </w:tc>
        <w:tc>
          <w:tcPr>
            <w:tcW w:w="393" w:type="pct"/>
            <w:tcBorders>
              <w:bottom w:val="single" w:sz="4" w:space="0" w:color="auto"/>
            </w:tcBorders>
          </w:tcPr>
          <w:p w14:paraId="6CCBC468" w14:textId="77777777" w:rsidR="00CE1436" w:rsidRPr="00C3293F" w:rsidRDefault="00CE1436" w:rsidP="00444693">
            <w:pPr>
              <w:pStyle w:val="TableText"/>
              <w:widowControl w:val="0"/>
              <w:suppressAutoHyphens w:val="0"/>
              <w:spacing w:before="0" w:after="0" w:line="240" w:lineRule="auto"/>
              <w:jc w:val="center"/>
            </w:pPr>
            <w:r w:rsidRPr="00DC35FD">
              <w:t>521</w:t>
            </w:r>
          </w:p>
        </w:tc>
      </w:tr>
      <w:tr w:rsidR="00CE1436" w:rsidRPr="00C3293F" w14:paraId="452CFB3D" w14:textId="77777777" w:rsidTr="00444693">
        <w:trPr>
          <w:cantSplit/>
          <w:trHeight w:val="13"/>
        </w:trPr>
        <w:tc>
          <w:tcPr>
            <w:tcW w:w="491" w:type="pct"/>
            <w:vMerge/>
            <w:tcBorders>
              <w:bottom w:val="single" w:sz="4" w:space="0" w:color="auto"/>
            </w:tcBorders>
          </w:tcPr>
          <w:p w14:paraId="4ABCB65C"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44ACC216" w14:textId="77777777" w:rsidR="00CE1436"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329E9797" w14:textId="77777777" w:rsidR="00CE1436" w:rsidRPr="00C20C79" w:rsidRDefault="00CE1436" w:rsidP="00444693">
            <w:pPr>
              <w:pStyle w:val="TableText"/>
              <w:widowControl w:val="0"/>
              <w:suppressAutoHyphens w:val="0"/>
              <w:spacing w:before="0" w:after="0" w:line="240" w:lineRule="auto"/>
              <w:rPr>
                <w:szCs w:val="17"/>
              </w:rPr>
            </w:pPr>
            <w:r w:rsidRPr="00C20C79">
              <w:rPr>
                <w:szCs w:val="17"/>
              </w:rPr>
              <w:t>Ground directed</w:t>
            </w:r>
          </w:p>
        </w:tc>
        <w:tc>
          <w:tcPr>
            <w:tcW w:w="491" w:type="pct"/>
            <w:tcBorders>
              <w:top w:val="single" w:sz="4" w:space="0" w:color="auto"/>
            </w:tcBorders>
          </w:tcPr>
          <w:p w14:paraId="092A4E48" w14:textId="77777777" w:rsidR="00CE1436" w:rsidRDefault="00CE1436" w:rsidP="00444693">
            <w:pPr>
              <w:pStyle w:val="TableText"/>
              <w:widowControl w:val="0"/>
              <w:suppressAutoHyphens w:val="0"/>
              <w:spacing w:before="0" w:after="0" w:line="240" w:lineRule="auto"/>
              <w:jc w:val="center"/>
            </w:pPr>
            <w:r>
              <w:t>Chronic</w:t>
            </w:r>
          </w:p>
        </w:tc>
        <w:tc>
          <w:tcPr>
            <w:tcW w:w="449" w:type="pct"/>
            <w:tcBorders>
              <w:top w:val="single" w:sz="4" w:space="0" w:color="auto"/>
            </w:tcBorders>
            <w:shd w:val="clear" w:color="auto" w:fill="D5D7D5" w:themeFill="text1" w:themeFillTint="33"/>
          </w:tcPr>
          <w:p w14:paraId="3709CC24"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Borders>
              <w:top w:val="single" w:sz="4" w:space="0" w:color="auto"/>
            </w:tcBorders>
          </w:tcPr>
          <w:p w14:paraId="0DE94C76"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4A26F401"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536B997D" w14:textId="77777777" w:rsidR="00CE1436" w:rsidRDefault="00CE1436" w:rsidP="00444693">
            <w:pPr>
              <w:pStyle w:val="TableText"/>
              <w:widowControl w:val="0"/>
              <w:suppressAutoHyphens w:val="0"/>
              <w:spacing w:before="0" w:after="0" w:line="240" w:lineRule="auto"/>
              <w:jc w:val="center"/>
            </w:pPr>
            <w:r>
              <w:t>0.5</w:t>
            </w:r>
          </w:p>
        </w:tc>
        <w:tc>
          <w:tcPr>
            <w:tcW w:w="312" w:type="pct"/>
            <w:tcBorders>
              <w:top w:val="single" w:sz="4" w:space="0" w:color="auto"/>
            </w:tcBorders>
          </w:tcPr>
          <w:p w14:paraId="61EC230E" w14:textId="77777777" w:rsidR="00CE1436" w:rsidRDefault="00CE1436" w:rsidP="00444693">
            <w:pPr>
              <w:pStyle w:val="TableText"/>
              <w:widowControl w:val="0"/>
              <w:suppressAutoHyphens w:val="0"/>
              <w:spacing w:before="0" w:after="0" w:line="240" w:lineRule="auto"/>
              <w:jc w:val="center"/>
            </w:pPr>
            <w:r>
              <w:t>0.53</w:t>
            </w:r>
          </w:p>
        </w:tc>
        <w:tc>
          <w:tcPr>
            <w:tcW w:w="311" w:type="pct"/>
            <w:tcBorders>
              <w:top w:val="single" w:sz="4" w:space="0" w:color="auto"/>
            </w:tcBorders>
            <w:vAlign w:val="center"/>
          </w:tcPr>
          <w:p w14:paraId="3B09B756" w14:textId="77777777" w:rsidR="00CE1436" w:rsidRDefault="00CE1436" w:rsidP="00444693">
            <w:pPr>
              <w:pStyle w:val="TableText"/>
              <w:widowControl w:val="0"/>
              <w:suppressAutoHyphens w:val="0"/>
              <w:spacing w:before="0" w:after="0" w:line="240" w:lineRule="auto"/>
              <w:jc w:val="center"/>
            </w:pPr>
            <w:r>
              <w:rPr>
                <w:color w:val="1A1B1A"/>
                <w:szCs w:val="17"/>
              </w:rPr>
              <w:t>18</w:t>
            </w:r>
          </w:p>
        </w:tc>
        <w:tc>
          <w:tcPr>
            <w:tcW w:w="312" w:type="pct"/>
            <w:tcBorders>
              <w:top w:val="single" w:sz="4" w:space="0" w:color="auto"/>
            </w:tcBorders>
            <w:vAlign w:val="center"/>
          </w:tcPr>
          <w:p w14:paraId="7ECB439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top w:val="single" w:sz="4" w:space="0" w:color="auto"/>
            </w:tcBorders>
            <w:shd w:val="clear" w:color="auto" w:fill="FF0000"/>
            <w:vAlign w:val="center"/>
          </w:tcPr>
          <w:p w14:paraId="56EDFB6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4.6</w:t>
            </w:r>
          </w:p>
        </w:tc>
        <w:tc>
          <w:tcPr>
            <w:tcW w:w="393" w:type="pct"/>
            <w:tcBorders>
              <w:top w:val="single" w:sz="4" w:space="0" w:color="auto"/>
            </w:tcBorders>
            <w:vAlign w:val="center"/>
          </w:tcPr>
          <w:p w14:paraId="02D1C987"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5345C309" w14:textId="77777777" w:rsidTr="00444693">
        <w:trPr>
          <w:cantSplit/>
          <w:trHeight w:val="13"/>
        </w:trPr>
        <w:tc>
          <w:tcPr>
            <w:tcW w:w="491" w:type="pct"/>
            <w:vMerge/>
            <w:tcBorders>
              <w:bottom w:val="single" w:sz="4" w:space="0" w:color="auto"/>
            </w:tcBorders>
          </w:tcPr>
          <w:p w14:paraId="69AF19A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D78A30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813A262"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44944D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9E3EC7D"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47F44A35"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01CFA21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589B66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F275ECA"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46C6645" w14:textId="77777777" w:rsidR="00CE1436" w:rsidRPr="003B78B6"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4D9C1458"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7C5656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3.3</w:t>
            </w:r>
          </w:p>
        </w:tc>
        <w:tc>
          <w:tcPr>
            <w:tcW w:w="393" w:type="pct"/>
            <w:vAlign w:val="center"/>
          </w:tcPr>
          <w:p w14:paraId="6AD04722"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62FF1D08" w14:textId="77777777" w:rsidTr="00444693">
        <w:trPr>
          <w:cantSplit/>
          <w:trHeight w:val="13"/>
        </w:trPr>
        <w:tc>
          <w:tcPr>
            <w:tcW w:w="491" w:type="pct"/>
            <w:vMerge/>
            <w:tcBorders>
              <w:bottom w:val="single" w:sz="4" w:space="0" w:color="auto"/>
            </w:tcBorders>
          </w:tcPr>
          <w:p w14:paraId="3658087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A4968B0"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D420F44"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0A5069B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9F35170"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168820FD"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7F66419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0EEC966"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33B100A2"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87211A2" w14:textId="77777777" w:rsidR="00CE1436" w:rsidRDefault="00CE1436" w:rsidP="00444693">
            <w:pPr>
              <w:pStyle w:val="TableText"/>
              <w:widowControl w:val="0"/>
              <w:suppressAutoHyphens w:val="0"/>
              <w:spacing w:before="0" w:after="0" w:line="240" w:lineRule="auto"/>
              <w:jc w:val="center"/>
            </w:pPr>
            <w:r>
              <w:rPr>
                <w:color w:val="1A1B1A"/>
                <w:szCs w:val="17"/>
              </w:rPr>
              <w:t>9.4</w:t>
            </w:r>
          </w:p>
        </w:tc>
        <w:tc>
          <w:tcPr>
            <w:tcW w:w="312" w:type="pct"/>
            <w:vAlign w:val="center"/>
          </w:tcPr>
          <w:p w14:paraId="3B1B31F8"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1D58C0D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2.5</w:t>
            </w:r>
          </w:p>
        </w:tc>
        <w:tc>
          <w:tcPr>
            <w:tcW w:w="393" w:type="pct"/>
            <w:vAlign w:val="center"/>
          </w:tcPr>
          <w:p w14:paraId="70EA2E4C"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50D940BB" w14:textId="77777777" w:rsidTr="00444693">
        <w:trPr>
          <w:cantSplit/>
          <w:trHeight w:val="13"/>
        </w:trPr>
        <w:tc>
          <w:tcPr>
            <w:tcW w:w="491" w:type="pct"/>
            <w:vMerge/>
            <w:tcBorders>
              <w:bottom w:val="single" w:sz="4" w:space="0" w:color="auto"/>
            </w:tcBorders>
          </w:tcPr>
          <w:p w14:paraId="7009ACD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E37EA3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2218951"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B9D9E86"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8D75A11"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08A7116D"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0C542E8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488F5A4"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54441D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69E7D7F" w14:textId="77777777" w:rsidR="00CE1436" w:rsidRPr="003B78B6" w:rsidRDefault="00CE1436" w:rsidP="00444693">
            <w:pPr>
              <w:pStyle w:val="TableText"/>
              <w:widowControl w:val="0"/>
              <w:suppressAutoHyphens w:val="0"/>
              <w:spacing w:before="0" w:after="0" w:line="240" w:lineRule="auto"/>
              <w:jc w:val="center"/>
            </w:pPr>
            <w:r>
              <w:rPr>
                <w:color w:val="1A1B1A"/>
                <w:szCs w:val="17"/>
              </w:rPr>
              <w:t>7.9</w:t>
            </w:r>
          </w:p>
        </w:tc>
        <w:tc>
          <w:tcPr>
            <w:tcW w:w="312" w:type="pct"/>
            <w:vAlign w:val="center"/>
          </w:tcPr>
          <w:p w14:paraId="094120F2"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2299930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vAlign w:val="center"/>
          </w:tcPr>
          <w:p w14:paraId="78AAF07F"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7E55563C" w14:textId="77777777" w:rsidTr="00444693">
        <w:trPr>
          <w:cantSplit/>
          <w:trHeight w:val="13"/>
        </w:trPr>
        <w:tc>
          <w:tcPr>
            <w:tcW w:w="491" w:type="pct"/>
            <w:vMerge/>
            <w:tcBorders>
              <w:bottom w:val="single" w:sz="4" w:space="0" w:color="auto"/>
            </w:tcBorders>
          </w:tcPr>
          <w:p w14:paraId="399524D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9B437C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1CDCDE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F60D84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1551E71"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497DA3F3"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7407856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F94CDD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AAA088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815DED7" w14:textId="77777777" w:rsidR="00CE1436" w:rsidRDefault="00CE1436" w:rsidP="00444693">
            <w:pPr>
              <w:pStyle w:val="TableText"/>
              <w:widowControl w:val="0"/>
              <w:suppressAutoHyphens w:val="0"/>
              <w:spacing w:before="0" w:after="0" w:line="240" w:lineRule="auto"/>
              <w:jc w:val="center"/>
            </w:pPr>
            <w:r>
              <w:rPr>
                <w:color w:val="1A1B1A"/>
                <w:szCs w:val="17"/>
              </w:rPr>
              <w:t>7.0</w:t>
            </w:r>
          </w:p>
        </w:tc>
        <w:tc>
          <w:tcPr>
            <w:tcW w:w="312" w:type="pct"/>
            <w:vAlign w:val="center"/>
          </w:tcPr>
          <w:p w14:paraId="1A128FA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551D162A"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93" w:type="pct"/>
            <w:vAlign w:val="center"/>
          </w:tcPr>
          <w:p w14:paraId="57E81AB4"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778C1F14" w14:textId="77777777" w:rsidTr="00444693">
        <w:trPr>
          <w:cantSplit/>
          <w:trHeight w:val="13"/>
        </w:trPr>
        <w:tc>
          <w:tcPr>
            <w:tcW w:w="491" w:type="pct"/>
            <w:vMerge/>
            <w:tcBorders>
              <w:bottom w:val="single" w:sz="4" w:space="0" w:color="auto"/>
            </w:tcBorders>
          </w:tcPr>
          <w:p w14:paraId="2ADA3CC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1595C75"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C3CABA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2E91F385"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0380498"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7014F56F"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6F18A8B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00C9ACB"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E9B2767"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1436319" w14:textId="77777777" w:rsidR="00CE1436" w:rsidRDefault="00CE1436" w:rsidP="00444693">
            <w:pPr>
              <w:pStyle w:val="TableText"/>
              <w:widowControl w:val="0"/>
              <w:suppressAutoHyphens w:val="0"/>
              <w:spacing w:before="0" w:after="0" w:line="240" w:lineRule="auto"/>
              <w:jc w:val="center"/>
            </w:pPr>
            <w:r>
              <w:rPr>
                <w:color w:val="1A1B1A"/>
                <w:szCs w:val="17"/>
              </w:rPr>
              <w:t>6.8</w:t>
            </w:r>
          </w:p>
        </w:tc>
        <w:tc>
          <w:tcPr>
            <w:tcW w:w="312" w:type="pct"/>
            <w:vAlign w:val="center"/>
          </w:tcPr>
          <w:p w14:paraId="513D974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2E0D5B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46745275"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1E9BEF9B" w14:textId="77777777" w:rsidTr="00444693">
        <w:trPr>
          <w:cantSplit/>
          <w:trHeight w:val="13"/>
        </w:trPr>
        <w:tc>
          <w:tcPr>
            <w:tcW w:w="491" w:type="pct"/>
            <w:vMerge/>
            <w:tcBorders>
              <w:bottom w:val="single" w:sz="4" w:space="0" w:color="auto"/>
            </w:tcBorders>
          </w:tcPr>
          <w:p w14:paraId="5591348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E991F65"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356454E"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6FAD6C1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B19B03C"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538AD905" w14:textId="77777777" w:rsidR="00CE1436" w:rsidRDefault="00CE1436" w:rsidP="00444693">
            <w:pPr>
              <w:pStyle w:val="TableText"/>
              <w:widowControl w:val="0"/>
              <w:suppressAutoHyphens w:val="0"/>
              <w:spacing w:before="0" w:after="0" w:line="240" w:lineRule="auto"/>
              <w:jc w:val="center"/>
            </w:pPr>
            <w:r>
              <w:t>425</w:t>
            </w:r>
          </w:p>
        </w:tc>
        <w:tc>
          <w:tcPr>
            <w:tcW w:w="312" w:type="pct"/>
          </w:tcPr>
          <w:p w14:paraId="10B46BF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49E795B"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EA292B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3DE35DA8" w14:textId="77777777" w:rsidR="00CE1436" w:rsidRPr="003B78B6"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568CD484"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3C1A7AA"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674A0B2F"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352174A2" w14:textId="77777777" w:rsidTr="00444693">
        <w:trPr>
          <w:cantSplit/>
          <w:trHeight w:val="13"/>
        </w:trPr>
        <w:tc>
          <w:tcPr>
            <w:tcW w:w="491" w:type="pct"/>
            <w:vMerge/>
            <w:tcBorders>
              <w:bottom w:val="single" w:sz="4" w:space="0" w:color="auto"/>
            </w:tcBorders>
          </w:tcPr>
          <w:p w14:paraId="5F43C58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5FCC88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DA65ECE"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428FC44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06A920B"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33718232"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249C759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158930D"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E0E281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02520C5" w14:textId="77777777" w:rsidR="00CE1436" w:rsidRPr="003B78B6" w:rsidRDefault="00CE1436" w:rsidP="00444693">
            <w:pPr>
              <w:pStyle w:val="TableText"/>
              <w:widowControl w:val="0"/>
              <w:suppressAutoHyphens w:val="0"/>
              <w:spacing w:before="0" w:after="0" w:line="240" w:lineRule="auto"/>
              <w:jc w:val="center"/>
            </w:pPr>
            <w:r>
              <w:rPr>
                <w:color w:val="1A1B1A"/>
                <w:szCs w:val="17"/>
              </w:rPr>
              <w:t>5.2</w:t>
            </w:r>
          </w:p>
        </w:tc>
        <w:tc>
          <w:tcPr>
            <w:tcW w:w="312" w:type="pct"/>
            <w:vAlign w:val="center"/>
          </w:tcPr>
          <w:p w14:paraId="0B670FA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0BD0CE6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648A9FCD"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07283707" w14:textId="77777777" w:rsidTr="00444693">
        <w:trPr>
          <w:cantSplit/>
          <w:trHeight w:val="13"/>
        </w:trPr>
        <w:tc>
          <w:tcPr>
            <w:tcW w:w="491" w:type="pct"/>
            <w:vMerge/>
            <w:tcBorders>
              <w:bottom w:val="single" w:sz="4" w:space="0" w:color="auto"/>
            </w:tcBorders>
          </w:tcPr>
          <w:p w14:paraId="5F8439A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EA57EFB"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E055AEB"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0E7DCD6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B3DAEB4"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5863F167"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0D30D73C" w14:textId="77777777" w:rsidR="00CE1436" w:rsidRDefault="00CE1436" w:rsidP="00444693">
            <w:pPr>
              <w:pStyle w:val="TableText"/>
              <w:widowControl w:val="0"/>
              <w:suppressAutoHyphens w:val="0"/>
              <w:spacing w:before="0" w:after="0" w:line="240" w:lineRule="auto"/>
              <w:jc w:val="center"/>
            </w:pPr>
            <w:r>
              <w:t>1.4</w:t>
            </w:r>
          </w:p>
        </w:tc>
        <w:tc>
          <w:tcPr>
            <w:tcW w:w="311" w:type="pct"/>
          </w:tcPr>
          <w:p w14:paraId="25BDD1F8"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E2CE14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ACB0D87" w14:textId="77777777" w:rsidR="00CE1436" w:rsidRPr="003B78B6" w:rsidRDefault="00CE1436" w:rsidP="00444693">
            <w:pPr>
              <w:pStyle w:val="TableText"/>
              <w:widowControl w:val="0"/>
              <w:suppressAutoHyphens w:val="0"/>
              <w:spacing w:before="0" w:after="0" w:line="240" w:lineRule="auto"/>
              <w:jc w:val="center"/>
            </w:pPr>
            <w:r>
              <w:rPr>
                <w:color w:val="1A1B1A"/>
                <w:szCs w:val="17"/>
              </w:rPr>
              <w:t>7.1</w:t>
            </w:r>
          </w:p>
        </w:tc>
        <w:tc>
          <w:tcPr>
            <w:tcW w:w="312" w:type="pct"/>
            <w:vAlign w:val="center"/>
          </w:tcPr>
          <w:p w14:paraId="7AD2B87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00FB0DC4"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93" w:type="pct"/>
            <w:vAlign w:val="center"/>
          </w:tcPr>
          <w:p w14:paraId="3A4BC097" w14:textId="77777777" w:rsidR="00CE1436" w:rsidRPr="0027505E" w:rsidRDefault="00CE1436" w:rsidP="00444693">
            <w:pPr>
              <w:pStyle w:val="TableText"/>
              <w:widowControl w:val="0"/>
              <w:suppressAutoHyphens w:val="0"/>
              <w:spacing w:before="0" w:after="0" w:line="240" w:lineRule="auto"/>
              <w:jc w:val="center"/>
            </w:pPr>
            <w:r>
              <w:rPr>
                <w:color w:val="1A1B1A"/>
                <w:szCs w:val="17"/>
              </w:rPr>
              <w:t>173</w:t>
            </w:r>
          </w:p>
        </w:tc>
      </w:tr>
      <w:tr w:rsidR="00CE1436" w:rsidRPr="00C3293F" w14:paraId="7BE14193" w14:textId="77777777" w:rsidTr="00444693">
        <w:trPr>
          <w:cantSplit/>
          <w:trHeight w:val="13"/>
        </w:trPr>
        <w:tc>
          <w:tcPr>
            <w:tcW w:w="491" w:type="pct"/>
            <w:vMerge/>
            <w:tcBorders>
              <w:bottom w:val="single" w:sz="4" w:space="0" w:color="auto"/>
            </w:tcBorders>
          </w:tcPr>
          <w:p w14:paraId="2CD3C22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2CB943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7016069"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3ADC8DF6"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A3EECD6"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1B1098BF"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66C0AA6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8563B84"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F35E15C"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1137F49" w14:textId="77777777" w:rsidR="00CE1436" w:rsidRDefault="00CE1436" w:rsidP="00444693">
            <w:pPr>
              <w:pStyle w:val="TableText"/>
              <w:widowControl w:val="0"/>
              <w:suppressAutoHyphens w:val="0"/>
              <w:spacing w:before="0" w:after="0" w:line="240" w:lineRule="auto"/>
              <w:jc w:val="center"/>
            </w:pPr>
            <w:r>
              <w:rPr>
                <w:color w:val="1A1B1A"/>
                <w:szCs w:val="17"/>
              </w:rPr>
              <w:t>5.1</w:t>
            </w:r>
          </w:p>
        </w:tc>
        <w:tc>
          <w:tcPr>
            <w:tcW w:w="312" w:type="pct"/>
            <w:vAlign w:val="center"/>
          </w:tcPr>
          <w:p w14:paraId="6406C68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2FBB71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93" w:type="pct"/>
            <w:vAlign w:val="center"/>
          </w:tcPr>
          <w:p w14:paraId="3DAB9E36"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0D80A018" w14:textId="77777777" w:rsidTr="00444693">
        <w:trPr>
          <w:cantSplit/>
          <w:trHeight w:val="13"/>
        </w:trPr>
        <w:tc>
          <w:tcPr>
            <w:tcW w:w="491" w:type="pct"/>
            <w:vMerge/>
            <w:tcBorders>
              <w:bottom w:val="single" w:sz="4" w:space="0" w:color="auto"/>
            </w:tcBorders>
          </w:tcPr>
          <w:p w14:paraId="0B9D9AF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84DD0D0"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C509D6C"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5BB3F44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1AE280C"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3143244F"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77D4BD4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76DE05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D449FE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CB75E80" w14:textId="77777777" w:rsidR="00CE1436"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41B1187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4204370A" w14:textId="77777777" w:rsidR="00CE1436" w:rsidRDefault="00CE1436" w:rsidP="00444693">
            <w:pPr>
              <w:pStyle w:val="TableText"/>
              <w:widowControl w:val="0"/>
              <w:suppressAutoHyphens w:val="0"/>
              <w:spacing w:before="0" w:after="0" w:line="240" w:lineRule="auto"/>
              <w:jc w:val="center"/>
            </w:pPr>
            <w:r>
              <w:rPr>
                <w:color w:val="1A1B1A"/>
                <w:szCs w:val="17"/>
              </w:rPr>
              <w:t>0.83</w:t>
            </w:r>
          </w:p>
        </w:tc>
        <w:tc>
          <w:tcPr>
            <w:tcW w:w="393" w:type="pct"/>
            <w:vAlign w:val="center"/>
          </w:tcPr>
          <w:p w14:paraId="36C0621C"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672CAE5C" w14:textId="77777777" w:rsidTr="00444693">
        <w:trPr>
          <w:cantSplit/>
          <w:trHeight w:val="13"/>
        </w:trPr>
        <w:tc>
          <w:tcPr>
            <w:tcW w:w="491" w:type="pct"/>
            <w:vMerge/>
            <w:tcBorders>
              <w:bottom w:val="single" w:sz="4" w:space="0" w:color="auto"/>
            </w:tcBorders>
          </w:tcPr>
          <w:p w14:paraId="1A8A7CF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DE96EDE"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F4F11A5"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676495F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8DB342D"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2C6D6257" w14:textId="77777777" w:rsidR="00CE1436" w:rsidRDefault="00CE1436" w:rsidP="00444693">
            <w:pPr>
              <w:pStyle w:val="TableText"/>
              <w:widowControl w:val="0"/>
              <w:suppressAutoHyphens w:val="0"/>
              <w:spacing w:before="0" w:after="0" w:line="240" w:lineRule="auto"/>
              <w:jc w:val="center"/>
            </w:pPr>
            <w:r>
              <w:t>175</w:t>
            </w:r>
          </w:p>
        </w:tc>
        <w:tc>
          <w:tcPr>
            <w:tcW w:w="312" w:type="pct"/>
          </w:tcPr>
          <w:p w14:paraId="7B625BB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765CA4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70E129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1EBC395" w14:textId="77777777" w:rsidR="00CE1436" w:rsidRPr="003B78B6" w:rsidRDefault="00CE1436" w:rsidP="00444693">
            <w:pPr>
              <w:pStyle w:val="TableText"/>
              <w:widowControl w:val="0"/>
              <w:suppressAutoHyphens w:val="0"/>
              <w:spacing w:before="0" w:after="0" w:line="240" w:lineRule="auto"/>
              <w:jc w:val="center"/>
            </w:pPr>
            <w:r>
              <w:rPr>
                <w:color w:val="1A1B1A"/>
                <w:szCs w:val="17"/>
              </w:rPr>
              <w:t>2.8</w:t>
            </w:r>
          </w:p>
        </w:tc>
        <w:tc>
          <w:tcPr>
            <w:tcW w:w="312" w:type="pct"/>
            <w:vAlign w:val="center"/>
          </w:tcPr>
          <w:p w14:paraId="6CBB02B8"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5D6433A5" w14:textId="77777777" w:rsidR="00CE1436" w:rsidRPr="0027505E" w:rsidRDefault="00CE1436" w:rsidP="00444693">
            <w:pPr>
              <w:pStyle w:val="TableText"/>
              <w:widowControl w:val="0"/>
              <w:suppressAutoHyphens w:val="0"/>
              <w:spacing w:before="0" w:after="0" w:line="240" w:lineRule="auto"/>
              <w:jc w:val="center"/>
            </w:pPr>
            <w:r>
              <w:rPr>
                <w:color w:val="1A1B1A"/>
                <w:szCs w:val="17"/>
              </w:rPr>
              <w:t>0.72</w:t>
            </w:r>
          </w:p>
        </w:tc>
        <w:tc>
          <w:tcPr>
            <w:tcW w:w="393" w:type="pct"/>
            <w:vAlign w:val="center"/>
          </w:tcPr>
          <w:p w14:paraId="681E22DF"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27CA6B11" w14:textId="77777777" w:rsidTr="00444693">
        <w:trPr>
          <w:cantSplit/>
          <w:trHeight w:val="13"/>
        </w:trPr>
        <w:tc>
          <w:tcPr>
            <w:tcW w:w="491" w:type="pct"/>
            <w:vMerge/>
            <w:tcBorders>
              <w:bottom w:val="single" w:sz="4" w:space="0" w:color="auto"/>
            </w:tcBorders>
          </w:tcPr>
          <w:p w14:paraId="3829E81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AB9D76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6897FD6"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63F9DA0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32F3676"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45490B82"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1E4B4E6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A0A82AE"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04423D5"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11F54F5"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A0B05C8"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23E9AE23" w14:textId="77777777" w:rsidR="00CE1436" w:rsidRDefault="00CE1436" w:rsidP="00444693">
            <w:pPr>
              <w:pStyle w:val="TableText"/>
              <w:widowControl w:val="0"/>
              <w:suppressAutoHyphens w:val="0"/>
              <w:spacing w:before="0" w:after="0" w:line="240" w:lineRule="auto"/>
              <w:jc w:val="center"/>
            </w:pPr>
            <w:r>
              <w:rPr>
                <w:color w:val="1A1B1A"/>
                <w:szCs w:val="17"/>
              </w:rPr>
              <w:t>0.72</w:t>
            </w:r>
          </w:p>
        </w:tc>
        <w:tc>
          <w:tcPr>
            <w:tcW w:w="393" w:type="pct"/>
            <w:vAlign w:val="center"/>
          </w:tcPr>
          <w:p w14:paraId="56CA3E71"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6DC506D2" w14:textId="77777777" w:rsidTr="00444693">
        <w:trPr>
          <w:cantSplit/>
          <w:trHeight w:val="13"/>
        </w:trPr>
        <w:tc>
          <w:tcPr>
            <w:tcW w:w="491" w:type="pct"/>
            <w:vMerge/>
            <w:tcBorders>
              <w:bottom w:val="single" w:sz="4" w:space="0" w:color="auto"/>
            </w:tcBorders>
          </w:tcPr>
          <w:p w14:paraId="1B7A21E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77258C8"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8C4B24B" w14:textId="77777777" w:rsidR="00CE1436" w:rsidRPr="00C20C79" w:rsidRDefault="00CE1436" w:rsidP="00444693">
            <w:pPr>
              <w:pStyle w:val="TableText"/>
              <w:widowControl w:val="0"/>
              <w:suppressAutoHyphens w:val="0"/>
              <w:spacing w:before="0" w:after="0" w:line="240" w:lineRule="auto"/>
              <w:rPr>
                <w:szCs w:val="17"/>
              </w:rPr>
            </w:pPr>
          </w:p>
        </w:tc>
        <w:tc>
          <w:tcPr>
            <w:tcW w:w="491" w:type="pct"/>
          </w:tcPr>
          <w:p w14:paraId="6CF8C59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EC0B2E8" w14:textId="77777777" w:rsidR="00CE1436" w:rsidRPr="00693782"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Pr>
          <w:p w14:paraId="619C36BC" w14:textId="77777777" w:rsidR="00CE1436" w:rsidRDefault="00CE1436" w:rsidP="00444693">
            <w:pPr>
              <w:pStyle w:val="TableText"/>
              <w:widowControl w:val="0"/>
              <w:suppressAutoHyphens w:val="0"/>
              <w:spacing w:before="0" w:after="0" w:line="240" w:lineRule="auto"/>
              <w:jc w:val="center"/>
            </w:pPr>
            <w:r>
              <w:t>168</w:t>
            </w:r>
          </w:p>
        </w:tc>
        <w:tc>
          <w:tcPr>
            <w:tcW w:w="312" w:type="pct"/>
          </w:tcPr>
          <w:p w14:paraId="40ECBCF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5191994"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3EF72D2A"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B8C7B67" w14:textId="77777777" w:rsidR="00CE1436" w:rsidRPr="003B78B6"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4766DB69"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4FFC1F70" w14:textId="77777777" w:rsidR="00CE1436" w:rsidRPr="0027505E" w:rsidRDefault="00CE1436" w:rsidP="00444693">
            <w:pPr>
              <w:pStyle w:val="TableText"/>
              <w:widowControl w:val="0"/>
              <w:suppressAutoHyphens w:val="0"/>
              <w:spacing w:before="0" w:after="0" w:line="240" w:lineRule="auto"/>
              <w:jc w:val="center"/>
            </w:pPr>
            <w:r>
              <w:rPr>
                <w:color w:val="1A1B1A"/>
                <w:szCs w:val="17"/>
              </w:rPr>
              <w:t>0.69</w:t>
            </w:r>
          </w:p>
        </w:tc>
        <w:tc>
          <w:tcPr>
            <w:tcW w:w="393" w:type="pct"/>
            <w:vAlign w:val="center"/>
          </w:tcPr>
          <w:p w14:paraId="164EF2CB"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01D54E91" w14:textId="77777777" w:rsidTr="00444693">
        <w:trPr>
          <w:cantSplit/>
          <w:trHeight w:val="13"/>
        </w:trPr>
        <w:tc>
          <w:tcPr>
            <w:tcW w:w="491" w:type="pct"/>
            <w:vMerge/>
            <w:tcBorders>
              <w:bottom w:val="single" w:sz="4" w:space="0" w:color="auto"/>
            </w:tcBorders>
          </w:tcPr>
          <w:p w14:paraId="3AA3A58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311A34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6B1AAF7" w14:textId="77777777" w:rsidR="00CE1436" w:rsidRPr="00C20C79"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28F8AD35"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67199E2C" w14:textId="77777777" w:rsidR="00CE1436" w:rsidRDefault="00CE1436" w:rsidP="00444693">
            <w:pPr>
              <w:pStyle w:val="TableText"/>
              <w:widowControl w:val="0"/>
              <w:suppressAutoHyphens w:val="0"/>
              <w:spacing w:before="0" w:after="0" w:line="240" w:lineRule="auto"/>
              <w:jc w:val="center"/>
            </w:pPr>
            <w:r w:rsidRPr="00693782">
              <w:t>59.3</w:t>
            </w:r>
            <w:r w:rsidRPr="00693782">
              <w:rPr>
                <w:vertAlign w:val="superscript"/>
              </w:rPr>
              <w:t>a</w:t>
            </w:r>
          </w:p>
        </w:tc>
        <w:tc>
          <w:tcPr>
            <w:tcW w:w="311" w:type="pct"/>
            <w:tcBorders>
              <w:bottom w:val="single" w:sz="4" w:space="0" w:color="auto"/>
            </w:tcBorders>
          </w:tcPr>
          <w:p w14:paraId="5CD5E89B" w14:textId="77777777" w:rsidR="00CE1436" w:rsidRDefault="00CE1436" w:rsidP="00444693">
            <w:pPr>
              <w:pStyle w:val="TableText"/>
              <w:widowControl w:val="0"/>
              <w:suppressAutoHyphens w:val="0"/>
              <w:spacing w:before="0" w:after="0" w:line="240" w:lineRule="auto"/>
              <w:jc w:val="center"/>
            </w:pPr>
            <w:r>
              <w:t>130</w:t>
            </w:r>
          </w:p>
        </w:tc>
        <w:tc>
          <w:tcPr>
            <w:tcW w:w="312" w:type="pct"/>
            <w:tcBorders>
              <w:bottom w:val="single" w:sz="4" w:space="0" w:color="auto"/>
            </w:tcBorders>
          </w:tcPr>
          <w:p w14:paraId="15496E5C"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3D1B700D" w14:textId="77777777" w:rsidR="00CE1436" w:rsidRDefault="00CE1436" w:rsidP="00444693">
            <w:pPr>
              <w:pStyle w:val="TableText"/>
              <w:widowControl w:val="0"/>
              <w:suppressAutoHyphens w:val="0"/>
              <w:spacing w:before="0" w:after="0" w:line="240" w:lineRule="auto"/>
              <w:jc w:val="center"/>
            </w:pPr>
            <w:r>
              <w:t>0.5</w:t>
            </w:r>
          </w:p>
        </w:tc>
        <w:tc>
          <w:tcPr>
            <w:tcW w:w="312" w:type="pct"/>
            <w:tcBorders>
              <w:bottom w:val="single" w:sz="4" w:space="0" w:color="auto"/>
            </w:tcBorders>
          </w:tcPr>
          <w:p w14:paraId="60A67824" w14:textId="77777777" w:rsidR="00CE1436" w:rsidRDefault="00CE1436" w:rsidP="00444693">
            <w:pPr>
              <w:pStyle w:val="TableText"/>
              <w:widowControl w:val="0"/>
              <w:suppressAutoHyphens w:val="0"/>
              <w:spacing w:before="0" w:after="0" w:line="240" w:lineRule="auto"/>
              <w:jc w:val="center"/>
            </w:pPr>
            <w:r>
              <w:t>0.53</w:t>
            </w:r>
          </w:p>
        </w:tc>
        <w:tc>
          <w:tcPr>
            <w:tcW w:w="311" w:type="pct"/>
            <w:tcBorders>
              <w:bottom w:val="single" w:sz="4" w:space="0" w:color="auto"/>
            </w:tcBorders>
            <w:vAlign w:val="center"/>
          </w:tcPr>
          <w:p w14:paraId="6D5BD99D" w14:textId="77777777" w:rsidR="00CE1436" w:rsidRDefault="00CE1436" w:rsidP="00444693">
            <w:pPr>
              <w:pStyle w:val="TableText"/>
              <w:widowControl w:val="0"/>
              <w:suppressAutoHyphens w:val="0"/>
              <w:spacing w:before="0" w:after="0" w:line="240" w:lineRule="auto"/>
              <w:jc w:val="center"/>
            </w:pPr>
            <w:r>
              <w:rPr>
                <w:color w:val="1A1B1A"/>
                <w:szCs w:val="17"/>
              </w:rPr>
              <w:t>2.0</w:t>
            </w:r>
          </w:p>
        </w:tc>
        <w:tc>
          <w:tcPr>
            <w:tcW w:w="312" w:type="pct"/>
            <w:tcBorders>
              <w:bottom w:val="single" w:sz="4" w:space="0" w:color="auto"/>
            </w:tcBorders>
            <w:vAlign w:val="center"/>
          </w:tcPr>
          <w:p w14:paraId="77B84262"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72D7AE99" w14:textId="77777777" w:rsidR="00CE1436" w:rsidRDefault="00CE1436" w:rsidP="00444693">
            <w:pPr>
              <w:pStyle w:val="TableText"/>
              <w:widowControl w:val="0"/>
              <w:suppressAutoHyphens w:val="0"/>
              <w:spacing w:before="0" w:after="0" w:line="240" w:lineRule="auto"/>
              <w:jc w:val="center"/>
            </w:pPr>
            <w:r>
              <w:rPr>
                <w:color w:val="1A1B1A"/>
                <w:szCs w:val="17"/>
              </w:rPr>
              <w:t>0.54</w:t>
            </w:r>
          </w:p>
        </w:tc>
        <w:tc>
          <w:tcPr>
            <w:tcW w:w="393" w:type="pct"/>
            <w:tcBorders>
              <w:bottom w:val="single" w:sz="4" w:space="0" w:color="auto"/>
            </w:tcBorders>
            <w:vAlign w:val="center"/>
          </w:tcPr>
          <w:p w14:paraId="57520D4E"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32406397" w14:textId="77777777" w:rsidTr="00444693">
        <w:trPr>
          <w:cantSplit/>
          <w:trHeight w:val="13"/>
        </w:trPr>
        <w:tc>
          <w:tcPr>
            <w:tcW w:w="5000" w:type="pct"/>
            <w:gridSpan w:val="13"/>
            <w:tcBorders>
              <w:bottom w:val="single" w:sz="4" w:space="0" w:color="auto"/>
            </w:tcBorders>
          </w:tcPr>
          <w:p w14:paraId="6F33D35C" w14:textId="77777777" w:rsidR="00CE1436" w:rsidRPr="0027505E" w:rsidRDefault="00CE1436" w:rsidP="00AC06D7">
            <w:pPr>
              <w:pStyle w:val="TableSubHead0"/>
            </w:pPr>
            <w:r w:rsidRPr="005D3DCC">
              <w:t>General weed control in potatoes (pre-harvest)</w:t>
            </w:r>
          </w:p>
        </w:tc>
      </w:tr>
      <w:tr w:rsidR="00CE1436" w:rsidRPr="00C3293F" w14:paraId="1C29E35D" w14:textId="77777777" w:rsidTr="00444693">
        <w:trPr>
          <w:cantSplit/>
          <w:trHeight w:val="13"/>
        </w:trPr>
        <w:tc>
          <w:tcPr>
            <w:tcW w:w="491" w:type="pct"/>
            <w:vMerge w:val="restart"/>
            <w:tcBorders>
              <w:bottom w:val="single" w:sz="4" w:space="0" w:color="auto"/>
            </w:tcBorders>
          </w:tcPr>
          <w:p w14:paraId="6B39694D" w14:textId="77777777" w:rsidR="00CE1436" w:rsidRDefault="00CE1436" w:rsidP="00444693">
            <w:pPr>
              <w:pStyle w:val="TableText"/>
              <w:widowControl w:val="0"/>
              <w:suppressAutoHyphens w:val="0"/>
              <w:spacing w:before="0" w:after="0" w:line="240" w:lineRule="auto"/>
              <w:rPr>
                <w:szCs w:val="17"/>
              </w:rPr>
            </w:pPr>
            <w:r>
              <w:rPr>
                <w:szCs w:val="17"/>
              </w:rPr>
              <w:t>Potatoes</w:t>
            </w:r>
          </w:p>
        </w:tc>
        <w:tc>
          <w:tcPr>
            <w:tcW w:w="518" w:type="pct"/>
            <w:vMerge w:val="restart"/>
            <w:tcBorders>
              <w:bottom w:val="single" w:sz="4" w:space="0" w:color="auto"/>
            </w:tcBorders>
          </w:tcPr>
          <w:p w14:paraId="148999D3" w14:textId="77777777" w:rsidR="00CE1436" w:rsidRPr="00336DF4"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7DDEE806" w14:textId="77777777" w:rsidR="00CE1436" w:rsidRPr="00C20C79" w:rsidRDefault="00CE1436" w:rsidP="00444693">
            <w:pPr>
              <w:pStyle w:val="TableText"/>
              <w:widowControl w:val="0"/>
              <w:suppressAutoHyphens w:val="0"/>
              <w:spacing w:before="0" w:after="0" w:line="240" w:lineRule="auto"/>
              <w:rPr>
                <w:szCs w:val="17"/>
              </w:rPr>
            </w:pPr>
            <w:r>
              <w:rPr>
                <w:szCs w:val="17"/>
              </w:rPr>
              <w:t>BBCH ≥40</w:t>
            </w:r>
          </w:p>
        </w:tc>
        <w:tc>
          <w:tcPr>
            <w:tcW w:w="491" w:type="pct"/>
            <w:tcBorders>
              <w:top w:val="single" w:sz="4" w:space="0" w:color="auto"/>
            </w:tcBorders>
          </w:tcPr>
          <w:p w14:paraId="6B782D1B"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7C67599E" w14:textId="77777777" w:rsidR="00CE1436" w:rsidRDefault="00CE1436" w:rsidP="00444693">
            <w:pPr>
              <w:pStyle w:val="TableText"/>
              <w:widowControl w:val="0"/>
              <w:suppressAutoHyphens w:val="0"/>
              <w:spacing w:before="0" w:after="0" w:line="240" w:lineRule="auto"/>
              <w:jc w:val="center"/>
            </w:pPr>
            <w:r>
              <w:t>16.8</w:t>
            </w:r>
            <w:r w:rsidRPr="00077A92">
              <w:rPr>
                <w:vertAlign w:val="superscript"/>
              </w:rPr>
              <w:t>a</w:t>
            </w:r>
            <w:r>
              <w:rPr>
                <w:vertAlign w:val="superscript"/>
              </w:rPr>
              <w:t>,c</w:t>
            </w:r>
          </w:p>
        </w:tc>
        <w:tc>
          <w:tcPr>
            <w:tcW w:w="311" w:type="pct"/>
            <w:tcBorders>
              <w:top w:val="single" w:sz="4" w:space="0" w:color="auto"/>
            </w:tcBorders>
          </w:tcPr>
          <w:p w14:paraId="23E6097F" w14:textId="77777777" w:rsidR="00CE1436" w:rsidRDefault="00CE1436" w:rsidP="00444693">
            <w:pPr>
              <w:pStyle w:val="TableText"/>
              <w:widowControl w:val="0"/>
              <w:suppressAutoHyphens w:val="0"/>
              <w:spacing w:before="0" w:after="0" w:line="240" w:lineRule="auto"/>
              <w:jc w:val="center"/>
            </w:pPr>
            <w:r>
              <w:t>700</w:t>
            </w:r>
          </w:p>
        </w:tc>
        <w:tc>
          <w:tcPr>
            <w:tcW w:w="312" w:type="pct"/>
            <w:tcBorders>
              <w:top w:val="single" w:sz="4" w:space="0" w:color="auto"/>
            </w:tcBorders>
          </w:tcPr>
          <w:p w14:paraId="4B0713CB"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698F3799"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3654D527"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6F821A92" w14:textId="77777777" w:rsidR="00CE1436" w:rsidRDefault="00CE1436" w:rsidP="00444693">
            <w:pPr>
              <w:pStyle w:val="TableText"/>
              <w:widowControl w:val="0"/>
              <w:suppressAutoHyphens w:val="0"/>
              <w:spacing w:before="0" w:after="0" w:line="240" w:lineRule="auto"/>
              <w:jc w:val="center"/>
            </w:pPr>
            <w:r>
              <w:rPr>
                <w:color w:val="1A1B1A"/>
                <w:szCs w:val="17"/>
              </w:rPr>
              <w:t>12</w:t>
            </w:r>
          </w:p>
        </w:tc>
        <w:tc>
          <w:tcPr>
            <w:tcW w:w="312" w:type="pct"/>
            <w:tcBorders>
              <w:top w:val="single" w:sz="4" w:space="0" w:color="auto"/>
            </w:tcBorders>
            <w:vAlign w:val="center"/>
          </w:tcPr>
          <w:p w14:paraId="6D425856"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2543BA7A"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93" w:type="pct"/>
            <w:tcBorders>
              <w:top w:val="single" w:sz="4" w:space="0" w:color="auto"/>
            </w:tcBorders>
            <w:vAlign w:val="center"/>
          </w:tcPr>
          <w:p w14:paraId="3255AF11" w14:textId="77777777" w:rsidR="00CE1436" w:rsidRPr="00C3293F" w:rsidRDefault="00CE1436" w:rsidP="00444693">
            <w:pPr>
              <w:pStyle w:val="TableText"/>
              <w:widowControl w:val="0"/>
              <w:suppressAutoHyphens w:val="0"/>
              <w:spacing w:before="0" w:after="0" w:line="240" w:lineRule="auto"/>
              <w:jc w:val="center"/>
            </w:pPr>
            <w:r>
              <w:rPr>
                <w:color w:val="1A1B1A"/>
                <w:szCs w:val="17"/>
              </w:rPr>
              <w:t>363</w:t>
            </w:r>
          </w:p>
        </w:tc>
      </w:tr>
      <w:tr w:rsidR="00CE1436" w:rsidRPr="0027505E" w14:paraId="3A59B93D" w14:textId="77777777" w:rsidTr="00444693">
        <w:trPr>
          <w:cantSplit/>
          <w:trHeight w:val="13"/>
        </w:trPr>
        <w:tc>
          <w:tcPr>
            <w:tcW w:w="491" w:type="pct"/>
            <w:vMerge/>
            <w:tcBorders>
              <w:bottom w:val="single" w:sz="4" w:space="0" w:color="auto"/>
            </w:tcBorders>
          </w:tcPr>
          <w:p w14:paraId="0E04258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01F7A9D"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2AFAE14" w14:textId="77777777" w:rsidR="00CE1436" w:rsidRDefault="00CE1436" w:rsidP="00444693">
            <w:pPr>
              <w:pStyle w:val="TableText"/>
              <w:widowControl w:val="0"/>
              <w:suppressAutoHyphens w:val="0"/>
              <w:spacing w:before="0" w:after="0" w:line="240" w:lineRule="auto"/>
              <w:rPr>
                <w:szCs w:val="17"/>
              </w:rPr>
            </w:pPr>
          </w:p>
        </w:tc>
        <w:tc>
          <w:tcPr>
            <w:tcW w:w="491" w:type="pct"/>
          </w:tcPr>
          <w:p w14:paraId="08B6155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C5CE5BF" w14:textId="77777777" w:rsidR="00CE1436" w:rsidRPr="00E4120D" w:rsidRDefault="00CE1436" w:rsidP="00444693">
            <w:pPr>
              <w:pStyle w:val="TableText"/>
              <w:widowControl w:val="0"/>
              <w:suppressAutoHyphens w:val="0"/>
              <w:spacing w:before="0" w:after="0" w:line="240" w:lineRule="auto"/>
              <w:jc w:val="center"/>
            </w:pPr>
            <w:r w:rsidRPr="00F436E1">
              <w:t>16.8</w:t>
            </w:r>
            <w:r w:rsidRPr="00F436E1">
              <w:rPr>
                <w:vertAlign w:val="superscript"/>
              </w:rPr>
              <w:t>a,c</w:t>
            </w:r>
          </w:p>
        </w:tc>
        <w:tc>
          <w:tcPr>
            <w:tcW w:w="311" w:type="pct"/>
          </w:tcPr>
          <w:p w14:paraId="22E6AD00" w14:textId="77777777" w:rsidR="00CE1436" w:rsidRDefault="00CE1436" w:rsidP="00444693">
            <w:pPr>
              <w:pStyle w:val="TableText"/>
              <w:widowControl w:val="0"/>
              <w:suppressAutoHyphens w:val="0"/>
              <w:spacing w:before="0" w:after="0" w:line="240" w:lineRule="auto"/>
              <w:jc w:val="center"/>
            </w:pPr>
            <w:r>
              <w:t>693</w:t>
            </w:r>
          </w:p>
        </w:tc>
        <w:tc>
          <w:tcPr>
            <w:tcW w:w="312" w:type="pct"/>
          </w:tcPr>
          <w:p w14:paraId="06879FF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C10545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981763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6A1BEB4" w14:textId="77777777" w:rsidR="00CE1436" w:rsidRPr="003B78B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761DD03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0CA8D9F"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93" w:type="pct"/>
            <w:vAlign w:val="center"/>
          </w:tcPr>
          <w:p w14:paraId="25A80878" w14:textId="77777777" w:rsidR="00CE1436" w:rsidRPr="0027505E" w:rsidRDefault="00CE1436" w:rsidP="00444693">
            <w:pPr>
              <w:pStyle w:val="TableText"/>
              <w:widowControl w:val="0"/>
              <w:suppressAutoHyphens w:val="0"/>
              <w:spacing w:before="0" w:after="0" w:line="240" w:lineRule="auto"/>
              <w:jc w:val="center"/>
            </w:pPr>
            <w:r>
              <w:rPr>
                <w:color w:val="1A1B1A"/>
                <w:szCs w:val="17"/>
              </w:rPr>
              <w:t>363</w:t>
            </w:r>
          </w:p>
        </w:tc>
      </w:tr>
      <w:tr w:rsidR="00CE1436" w:rsidRPr="0027505E" w14:paraId="5AB598C7" w14:textId="77777777" w:rsidTr="00444693">
        <w:trPr>
          <w:cantSplit/>
          <w:trHeight w:val="13"/>
        </w:trPr>
        <w:tc>
          <w:tcPr>
            <w:tcW w:w="491" w:type="pct"/>
            <w:vMerge/>
            <w:tcBorders>
              <w:bottom w:val="single" w:sz="4" w:space="0" w:color="auto"/>
            </w:tcBorders>
          </w:tcPr>
          <w:p w14:paraId="1F24243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88F1226"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3B81B6A" w14:textId="77777777" w:rsidR="00CE1436" w:rsidRDefault="00CE1436" w:rsidP="00444693">
            <w:pPr>
              <w:pStyle w:val="TableText"/>
              <w:widowControl w:val="0"/>
              <w:suppressAutoHyphens w:val="0"/>
              <w:spacing w:before="0" w:after="0" w:line="240" w:lineRule="auto"/>
              <w:rPr>
                <w:szCs w:val="17"/>
              </w:rPr>
            </w:pPr>
          </w:p>
        </w:tc>
        <w:tc>
          <w:tcPr>
            <w:tcW w:w="491" w:type="pct"/>
          </w:tcPr>
          <w:p w14:paraId="390082A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3A13601" w14:textId="77777777" w:rsidR="00CE1436" w:rsidRPr="00E4120D" w:rsidRDefault="00CE1436" w:rsidP="00444693">
            <w:pPr>
              <w:pStyle w:val="TableText"/>
              <w:widowControl w:val="0"/>
              <w:suppressAutoHyphens w:val="0"/>
              <w:spacing w:before="0" w:after="0" w:line="240" w:lineRule="auto"/>
              <w:jc w:val="center"/>
            </w:pPr>
            <w:r w:rsidRPr="00F436E1">
              <w:t>16.8</w:t>
            </w:r>
            <w:r w:rsidRPr="00F436E1">
              <w:rPr>
                <w:vertAlign w:val="superscript"/>
              </w:rPr>
              <w:t>a,c</w:t>
            </w:r>
          </w:p>
        </w:tc>
        <w:tc>
          <w:tcPr>
            <w:tcW w:w="311" w:type="pct"/>
          </w:tcPr>
          <w:p w14:paraId="3AA1AF70" w14:textId="77777777" w:rsidR="00CE1436" w:rsidRDefault="00CE1436" w:rsidP="00444693">
            <w:pPr>
              <w:pStyle w:val="TableText"/>
              <w:widowControl w:val="0"/>
              <w:suppressAutoHyphens w:val="0"/>
              <w:spacing w:before="0" w:after="0" w:line="240" w:lineRule="auto"/>
              <w:jc w:val="center"/>
            </w:pPr>
            <w:r>
              <w:t>648</w:t>
            </w:r>
          </w:p>
        </w:tc>
        <w:tc>
          <w:tcPr>
            <w:tcW w:w="312" w:type="pct"/>
          </w:tcPr>
          <w:p w14:paraId="67D424D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0954A8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A5A014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9EEE205"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1C61B7A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BCE5ED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67198FFC" w14:textId="77777777" w:rsidR="00CE1436" w:rsidRPr="0027505E" w:rsidRDefault="00CE1436" w:rsidP="00444693">
            <w:pPr>
              <w:pStyle w:val="TableText"/>
              <w:widowControl w:val="0"/>
              <w:suppressAutoHyphens w:val="0"/>
              <w:spacing w:before="0" w:after="0" w:line="240" w:lineRule="auto"/>
              <w:jc w:val="center"/>
            </w:pPr>
            <w:r>
              <w:rPr>
                <w:color w:val="1A1B1A"/>
                <w:szCs w:val="17"/>
              </w:rPr>
              <w:t>363</w:t>
            </w:r>
          </w:p>
        </w:tc>
      </w:tr>
      <w:tr w:rsidR="00CE1436" w:rsidRPr="00C3293F" w14:paraId="0B9FB7FD" w14:textId="77777777" w:rsidTr="00444693">
        <w:trPr>
          <w:cantSplit/>
          <w:trHeight w:val="13"/>
        </w:trPr>
        <w:tc>
          <w:tcPr>
            <w:tcW w:w="491" w:type="pct"/>
            <w:vMerge/>
            <w:tcBorders>
              <w:bottom w:val="single" w:sz="4" w:space="0" w:color="auto"/>
            </w:tcBorders>
          </w:tcPr>
          <w:p w14:paraId="03B2E92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1A7555D"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B827C3F" w14:textId="77777777" w:rsidR="00CE1436" w:rsidRDefault="00CE1436" w:rsidP="00444693">
            <w:pPr>
              <w:pStyle w:val="TableText"/>
              <w:widowControl w:val="0"/>
              <w:suppressAutoHyphens w:val="0"/>
              <w:spacing w:before="0" w:after="0" w:line="240" w:lineRule="auto"/>
              <w:rPr>
                <w:szCs w:val="17"/>
              </w:rPr>
            </w:pPr>
          </w:p>
        </w:tc>
        <w:tc>
          <w:tcPr>
            <w:tcW w:w="491" w:type="pct"/>
          </w:tcPr>
          <w:p w14:paraId="27E53DD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082A5AF" w14:textId="77777777" w:rsidR="00CE1436" w:rsidRDefault="00CE1436" w:rsidP="00444693">
            <w:pPr>
              <w:pStyle w:val="TableText"/>
              <w:widowControl w:val="0"/>
              <w:suppressAutoHyphens w:val="0"/>
              <w:spacing w:before="0" w:after="0" w:line="240" w:lineRule="auto"/>
              <w:jc w:val="center"/>
            </w:pPr>
            <w:r w:rsidRPr="00F436E1">
              <w:t>16.8</w:t>
            </w:r>
            <w:r w:rsidRPr="00F436E1">
              <w:rPr>
                <w:vertAlign w:val="superscript"/>
              </w:rPr>
              <w:t>a,c</w:t>
            </w:r>
          </w:p>
        </w:tc>
        <w:tc>
          <w:tcPr>
            <w:tcW w:w="311" w:type="pct"/>
          </w:tcPr>
          <w:p w14:paraId="4F1ADF5C" w14:textId="77777777" w:rsidR="00CE1436" w:rsidRDefault="00CE1436" w:rsidP="00444693">
            <w:pPr>
              <w:pStyle w:val="TableText"/>
              <w:widowControl w:val="0"/>
              <w:suppressAutoHyphens w:val="0"/>
              <w:spacing w:before="0" w:after="0" w:line="240" w:lineRule="auto"/>
              <w:jc w:val="center"/>
            </w:pPr>
            <w:r>
              <w:t>525</w:t>
            </w:r>
          </w:p>
        </w:tc>
        <w:tc>
          <w:tcPr>
            <w:tcW w:w="312" w:type="pct"/>
          </w:tcPr>
          <w:p w14:paraId="54F7B82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E5FBB2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99AC57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1965653" w14:textId="77777777" w:rsidR="00CE1436" w:rsidRDefault="00CE1436" w:rsidP="00444693">
            <w:pPr>
              <w:pStyle w:val="TableText"/>
              <w:widowControl w:val="0"/>
              <w:suppressAutoHyphens w:val="0"/>
              <w:spacing w:before="0" w:after="0" w:line="240" w:lineRule="auto"/>
              <w:jc w:val="center"/>
            </w:pPr>
            <w:r>
              <w:rPr>
                <w:color w:val="1A1B1A"/>
                <w:szCs w:val="17"/>
              </w:rPr>
              <w:t>8.8</w:t>
            </w:r>
          </w:p>
        </w:tc>
        <w:tc>
          <w:tcPr>
            <w:tcW w:w="312" w:type="pct"/>
            <w:vAlign w:val="center"/>
          </w:tcPr>
          <w:p w14:paraId="3F7A7DC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938FE8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7A89982C" w14:textId="77777777" w:rsidR="00CE1436" w:rsidRPr="00C3293F" w:rsidRDefault="00CE1436" w:rsidP="00444693">
            <w:pPr>
              <w:pStyle w:val="TableText"/>
              <w:widowControl w:val="0"/>
              <w:suppressAutoHyphens w:val="0"/>
              <w:spacing w:before="0" w:after="0" w:line="240" w:lineRule="auto"/>
              <w:jc w:val="center"/>
            </w:pPr>
            <w:r>
              <w:rPr>
                <w:color w:val="1A1B1A"/>
                <w:szCs w:val="17"/>
              </w:rPr>
              <w:t>363</w:t>
            </w:r>
          </w:p>
        </w:tc>
      </w:tr>
      <w:tr w:rsidR="00CE1436" w:rsidRPr="00C3293F" w14:paraId="6312AC80" w14:textId="77777777" w:rsidTr="00444693">
        <w:trPr>
          <w:cantSplit/>
          <w:trHeight w:val="13"/>
        </w:trPr>
        <w:tc>
          <w:tcPr>
            <w:tcW w:w="491" w:type="pct"/>
            <w:vMerge/>
            <w:tcBorders>
              <w:bottom w:val="single" w:sz="4" w:space="0" w:color="auto"/>
            </w:tcBorders>
          </w:tcPr>
          <w:p w14:paraId="09621CE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3FAD7E1"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9389B0C" w14:textId="77777777" w:rsidR="00CE1436" w:rsidRDefault="00CE1436" w:rsidP="00444693">
            <w:pPr>
              <w:pStyle w:val="TableText"/>
              <w:widowControl w:val="0"/>
              <w:suppressAutoHyphens w:val="0"/>
              <w:spacing w:before="0" w:after="0" w:line="240" w:lineRule="auto"/>
              <w:rPr>
                <w:szCs w:val="17"/>
              </w:rPr>
            </w:pPr>
          </w:p>
        </w:tc>
        <w:tc>
          <w:tcPr>
            <w:tcW w:w="491" w:type="pct"/>
          </w:tcPr>
          <w:p w14:paraId="2BA0D9B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4CC86A9" w14:textId="77777777" w:rsidR="00CE1436" w:rsidRDefault="00CE1436" w:rsidP="00444693">
            <w:pPr>
              <w:pStyle w:val="TableText"/>
              <w:widowControl w:val="0"/>
              <w:suppressAutoHyphens w:val="0"/>
              <w:spacing w:before="0" w:after="0" w:line="240" w:lineRule="auto"/>
              <w:jc w:val="center"/>
            </w:pPr>
            <w:r w:rsidRPr="00F436E1">
              <w:t>16.8</w:t>
            </w:r>
            <w:r w:rsidRPr="00F436E1">
              <w:rPr>
                <w:vertAlign w:val="superscript"/>
              </w:rPr>
              <w:t>a,c</w:t>
            </w:r>
          </w:p>
        </w:tc>
        <w:tc>
          <w:tcPr>
            <w:tcW w:w="311" w:type="pct"/>
          </w:tcPr>
          <w:p w14:paraId="4556EB0B"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3283E32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8AF41E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6807E8E"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A83F18A" w14:textId="77777777" w:rsidR="00CE1436" w:rsidRDefault="00CE1436" w:rsidP="00444693">
            <w:pPr>
              <w:pStyle w:val="TableText"/>
              <w:widowControl w:val="0"/>
              <w:suppressAutoHyphens w:val="0"/>
              <w:spacing w:before="0" w:after="0" w:line="240" w:lineRule="auto"/>
              <w:jc w:val="center"/>
            </w:pPr>
            <w:r>
              <w:rPr>
                <w:color w:val="1A1B1A"/>
                <w:szCs w:val="17"/>
              </w:rPr>
              <w:t>7.3</w:t>
            </w:r>
          </w:p>
        </w:tc>
        <w:tc>
          <w:tcPr>
            <w:tcW w:w="312" w:type="pct"/>
            <w:vAlign w:val="center"/>
          </w:tcPr>
          <w:p w14:paraId="42D620D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BB591B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6FA3341A" w14:textId="77777777" w:rsidR="00CE1436" w:rsidRPr="00C3293F" w:rsidRDefault="00CE1436" w:rsidP="00444693">
            <w:pPr>
              <w:pStyle w:val="TableText"/>
              <w:widowControl w:val="0"/>
              <w:suppressAutoHyphens w:val="0"/>
              <w:spacing w:before="0" w:after="0" w:line="240" w:lineRule="auto"/>
              <w:jc w:val="center"/>
            </w:pPr>
            <w:r>
              <w:rPr>
                <w:color w:val="1A1B1A"/>
                <w:szCs w:val="17"/>
              </w:rPr>
              <w:t>363</w:t>
            </w:r>
          </w:p>
        </w:tc>
      </w:tr>
      <w:tr w:rsidR="00CE1436" w:rsidRPr="00C3293F" w14:paraId="2528DDA8" w14:textId="77777777" w:rsidTr="00444693">
        <w:trPr>
          <w:cantSplit/>
          <w:trHeight w:val="13"/>
        </w:trPr>
        <w:tc>
          <w:tcPr>
            <w:tcW w:w="491" w:type="pct"/>
            <w:vMerge/>
            <w:tcBorders>
              <w:bottom w:val="single" w:sz="4" w:space="0" w:color="auto"/>
            </w:tcBorders>
          </w:tcPr>
          <w:p w14:paraId="5E70896F"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E55467C"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87DD0BF"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1DBE1717"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20888FD2" w14:textId="77777777" w:rsidR="00CE1436" w:rsidRDefault="00CE1436" w:rsidP="00444693">
            <w:pPr>
              <w:pStyle w:val="TableText"/>
              <w:widowControl w:val="0"/>
              <w:suppressAutoHyphens w:val="0"/>
              <w:spacing w:before="0" w:after="0" w:line="240" w:lineRule="auto"/>
              <w:jc w:val="center"/>
            </w:pPr>
            <w:r w:rsidRPr="00F436E1">
              <w:t>16.8</w:t>
            </w:r>
            <w:r w:rsidRPr="00F436E1">
              <w:rPr>
                <w:vertAlign w:val="superscript"/>
              </w:rPr>
              <w:t>a,c</w:t>
            </w:r>
          </w:p>
        </w:tc>
        <w:tc>
          <w:tcPr>
            <w:tcW w:w="311" w:type="pct"/>
            <w:tcBorders>
              <w:bottom w:val="single" w:sz="4" w:space="0" w:color="auto"/>
            </w:tcBorders>
          </w:tcPr>
          <w:p w14:paraId="32022330" w14:textId="77777777" w:rsidR="00CE1436" w:rsidRDefault="00CE1436" w:rsidP="00444693">
            <w:pPr>
              <w:pStyle w:val="TableText"/>
              <w:widowControl w:val="0"/>
              <w:suppressAutoHyphens w:val="0"/>
              <w:spacing w:before="0" w:after="0" w:line="240" w:lineRule="auto"/>
              <w:jc w:val="center"/>
            </w:pPr>
            <w:r>
              <w:t>173</w:t>
            </w:r>
          </w:p>
        </w:tc>
        <w:tc>
          <w:tcPr>
            <w:tcW w:w="312" w:type="pct"/>
            <w:tcBorders>
              <w:bottom w:val="single" w:sz="4" w:space="0" w:color="auto"/>
            </w:tcBorders>
          </w:tcPr>
          <w:p w14:paraId="170CAF3F"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5CABD050"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46637164"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7001EB7B" w14:textId="77777777" w:rsidR="00CE1436" w:rsidRDefault="00CE1436" w:rsidP="00444693">
            <w:pPr>
              <w:pStyle w:val="TableText"/>
              <w:widowControl w:val="0"/>
              <w:suppressAutoHyphens w:val="0"/>
              <w:spacing w:before="0" w:after="0" w:line="240" w:lineRule="auto"/>
              <w:jc w:val="center"/>
            </w:pPr>
            <w:r>
              <w:rPr>
                <w:color w:val="1A1B1A"/>
                <w:szCs w:val="17"/>
              </w:rPr>
              <w:t>2.9</w:t>
            </w:r>
          </w:p>
        </w:tc>
        <w:tc>
          <w:tcPr>
            <w:tcW w:w="312" w:type="pct"/>
            <w:tcBorders>
              <w:bottom w:val="single" w:sz="4" w:space="0" w:color="auto"/>
            </w:tcBorders>
            <w:vAlign w:val="center"/>
          </w:tcPr>
          <w:p w14:paraId="14B3CBF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50A39293" w14:textId="77777777" w:rsidR="00CE1436" w:rsidRDefault="00CE1436" w:rsidP="00444693">
            <w:pPr>
              <w:pStyle w:val="TableText"/>
              <w:widowControl w:val="0"/>
              <w:suppressAutoHyphens w:val="0"/>
              <w:spacing w:before="0" w:after="0" w:line="240" w:lineRule="auto"/>
              <w:jc w:val="center"/>
            </w:pPr>
            <w:r>
              <w:rPr>
                <w:color w:val="1A1B1A"/>
                <w:szCs w:val="17"/>
              </w:rPr>
              <w:t>0.48</w:t>
            </w:r>
          </w:p>
        </w:tc>
        <w:tc>
          <w:tcPr>
            <w:tcW w:w="393" w:type="pct"/>
            <w:tcBorders>
              <w:bottom w:val="single" w:sz="4" w:space="0" w:color="auto"/>
            </w:tcBorders>
            <w:vAlign w:val="center"/>
          </w:tcPr>
          <w:p w14:paraId="2E3AE9D2" w14:textId="77777777" w:rsidR="00CE1436" w:rsidRPr="00C3293F" w:rsidRDefault="00CE1436" w:rsidP="00444693">
            <w:pPr>
              <w:pStyle w:val="TableText"/>
              <w:widowControl w:val="0"/>
              <w:suppressAutoHyphens w:val="0"/>
              <w:spacing w:before="0" w:after="0" w:line="240" w:lineRule="auto"/>
              <w:jc w:val="center"/>
            </w:pPr>
            <w:r>
              <w:rPr>
                <w:color w:val="1A1B1A"/>
                <w:szCs w:val="17"/>
              </w:rPr>
              <w:t>363</w:t>
            </w:r>
          </w:p>
        </w:tc>
      </w:tr>
      <w:tr w:rsidR="00CE1436" w:rsidRPr="00C3293F" w14:paraId="2DFE3B85" w14:textId="77777777" w:rsidTr="00444693">
        <w:trPr>
          <w:cantSplit/>
          <w:trHeight w:val="13"/>
        </w:trPr>
        <w:tc>
          <w:tcPr>
            <w:tcW w:w="491" w:type="pct"/>
            <w:vMerge/>
            <w:tcBorders>
              <w:bottom w:val="single" w:sz="4" w:space="0" w:color="auto"/>
            </w:tcBorders>
          </w:tcPr>
          <w:p w14:paraId="2BCC2AA2"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528C4FF5" w14:textId="77777777" w:rsidR="00CE1436" w:rsidRPr="00336DF4" w:rsidRDefault="00CE1436" w:rsidP="00444693">
            <w:pPr>
              <w:pStyle w:val="TableText"/>
              <w:widowControl w:val="0"/>
              <w:suppressAutoHyphens w:val="0"/>
              <w:spacing w:before="0" w:after="0" w:line="240" w:lineRule="auto"/>
              <w:rPr>
                <w:szCs w:val="17"/>
              </w:rPr>
            </w:pPr>
            <w:r>
              <w:rPr>
                <w:szCs w:val="17"/>
              </w:rPr>
              <w:t>Large herbivore</w:t>
            </w:r>
          </w:p>
        </w:tc>
        <w:tc>
          <w:tcPr>
            <w:tcW w:w="477" w:type="pct"/>
            <w:vMerge w:val="restart"/>
            <w:tcBorders>
              <w:bottom w:val="single" w:sz="4" w:space="0" w:color="auto"/>
            </w:tcBorders>
          </w:tcPr>
          <w:p w14:paraId="6BE4524D" w14:textId="77777777" w:rsidR="00CE1436" w:rsidRPr="00C20C79" w:rsidRDefault="00CE1436" w:rsidP="00444693">
            <w:pPr>
              <w:pStyle w:val="TableText"/>
              <w:widowControl w:val="0"/>
              <w:suppressAutoHyphens w:val="0"/>
              <w:spacing w:before="0" w:after="0" w:line="240" w:lineRule="auto"/>
              <w:rPr>
                <w:szCs w:val="17"/>
              </w:rPr>
            </w:pPr>
            <w:r>
              <w:rPr>
                <w:szCs w:val="17"/>
              </w:rPr>
              <w:t>BBCH ≥40</w:t>
            </w:r>
          </w:p>
        </w:tc>
        <w:tc>
          <w:tcPr>
            <w:tcW w:w="491" w:type="pct"/>
            <w:tcBorders>
              <w:top w:val="single" w:sz="4" w:space="0" w:color="auto"/>
            </w:tcBorders>
          </w:tcPr>
          <w:p w14:paraId="31364E2F"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0B621E72" w14:textId="77777777" w:rsidR="00CE1436" w:rsidRDefault="00CE1436" w:rsidP="00444693">
            <w:pPr>
              <w:pStyle w:val="TableText"/>
              <w:widowControl w:val="0"/>
              <w:suppressAutoHyphens w:val="0"/>
              <w:spacing w:before="0" w:after="0" w:line="240" w:lineRule="auto"/>
              <w:jc w:val="center"/>
            </w:pPr>
            <w:r>
              <w:t>3.3</w:t>
            </w:r>
            <w:r w:rsidRPr="00077A92">
              <w:rPr>
                <w:vertAlign w:val="superscript"/>
              </w:rPr>
              <w:t>b</w:t>
            </w:r>
            <w:r>
              <w:rPr>
                <w:vertAlign w:val="superscript"/>
              </w:rPr>
              <w:t>,c</w:t>
            </w:r>
          </w:p>
        </w:tc>
        <w:tc>
          <w:tcPr>
            <w:tcW w:w="311" w:type="pct"/>
            <w:tcBorders>
              <w:top w:val="single" w:sz="4" w:space="0" w:color="auto"/>
            </w:tcBorders>
          </w:tcPr>
          <w:p w14:paraId="4E36A5D3" w14:textId="77777777" w:rsidR="00CE1436" w:rsidRDefault="00CE1436" w:rsidP="00444693">
            <w:pPr>
              <w:pStyle w:val="TableText"/>
              <w:widowControl w:val="0"/>
              <w:suppressAutoHyphens w:val="0"/>
              <w:spacing w:before="0" w:after="0" w:line="240" w:lineRule="auto"/>
              <w:jc w:val="center"/>
            </w:pPr>
            <w:r>
              <w:t>700</w:t>
            </w:r>
          </w:p>
        </w:tc>
        <w:tc>
          <w:tcPr>
            <w:tcW w:w="312" w:type="pct"/>
            <w:tcBorders>
              <w:top w:val="single" w:sz="4" w:space="0" w:color="auto"/>
            </w:tcBorders>
          </w:tcPr>
          <w:p w14:paraId="21846227"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6EB6251E"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5CBADD84"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07D10745" w14:textId="77777777" w:rsidR="00CE1436" w:rsidRDefault="00CE1436" w:rsidP="00444693">
            <w:pPr>
              <w:pStyle w:val="TableText"/>
              <w:widowControl w:val="0"/>
              <w:suppressAutoHyphens w:val="0"/>
              <w:spacing w:before="0" w:after="0" w:line="240" w:lineRule="auto"/>
              <w:jc w:val="center"/>
            </w:pPr>
            <w:r>
              <w:rPr>
                <w:color w:val="1A1B1A"/>
                <w:szCs w:val="17"/>
              </w:rPr>
              <w:t>2.3</w:t>
            </w:r>
          </w:p>
        </w:tc>
        <w:tc>
          <w:tcPr>
            <w:tcW w:w="312" w:type="pct"/>
            <w:tcBorders>
              <w:top w:val="single" w:sz="4" w:space="0" w:color="auto"/>
            </w:tcBorders>
            <w:vAlign w:val="center"/>
          </w:tcPr>
          <w:p w14:paraId="79108E45"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vAlign w:val="center"/>
          </w:tcPr>
          <w:p w14:paraId="0B2EF3B7" w14:textId="77777777" w:rsidR="00CE1436" w:rsidRDefault="00CE1436" w:rsidP="00444693">
            <w:pPr>
              <w:pStyle w:val="TableText"/>
              <w:widowControl w:val="0"/>
              <w:suppressAutoHyphens w:val="0"/>
              <w:spacing w:before="0" w:after="0" w:line="240" w:lineRule="auto"/>
              <w:jc w:val="center"/>
            </w:pPr>
            <w:r>
              <w:rPr>
                <w:color w:val="1A1B1A"/>
                <w:szCs w:val="17"/>
              </w:rPr>
              <w:t>0.38</w:t>
            </w:r>
          </w:p>
        </w:tc>
        <w:tc>
          <w:tcPr>
            <w:tcW w:w="393" w:type="pct"/>
            <w:tcBorders>
              <w:top w:val="single" w:sz="4" w:space="0" w:color="auto"/>
            </w:tcBorders>
            <w:vAlign w:val="center"/>
          </w:tcPr>
          <w:p w14:paraId="234876B1" w14:textId="77777777" w:rsidR="00CE1436" w:rsidRPr="00C3293F" w:rsidRDefault="00CE1436" w:rsidP="00444693">
            <w:pPr>
              <w:pStyle w:val="TableText"/>
              <w:widowControl w:val="0"/>
              <w:suppressAutoHyphens w:val="0"/>
              <w:spacing w:before="0" w:after="0" w:line="240" w:lineRule="auto"/>
              <w:jc w:val="center"/>
            </w:pPr>
            <w:r>
              <w:rPr>
                <w:color w:val="1A1B1A"/>
                <w:szCs w:val="17"/>
              </w:rPr>
              <w:t>1848</w:t>
            </w:r>
          </w:p>
        </w:tc>
      </w:tr>
      <w:tr w:rsidR="00CE1436" w:rsidRPr="0027505E" w14:paraId="17704E2B" w14:textId="77777777" w:rsidTr="00444693">
        <w:trPr>
          <w:cantSplit/>
          <w:trHeight w:val="13"/>
        </w:trPr>
        <w:tc>
          <w:tcPr>
            <w:tcW w:w="491" w:type="pct"/>
            <w:vMerge/>
            <w:tcBorders>
              <w:bottom w:val="single" w:sz="4" w:space="0" w:color="auto"/>
            </w:tcBorders>
          </w:tcPr>
          <w:p w14:paraId="0D3E214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38F70F8"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0ED9B35" w14:textId="77777777" w:rsidR="00CE1436" w:rsidRDefault="00CE1436" w:rsidP="00444693">
            <w:pPr>
              <w:pStyle w:val="TableText"/>
              <w:widowControl w:val="0"/>
              <w:suppressAutoHyphens w:val="0"/>
              <w:spacing w:before="0" w:after="0" w:line="240" w:lineRule="auto"/>
              <w:rPr>
                <w:szCs w:val="17"/>
              </w:rPr>
            </w:pPr>
          </w:p>
        </w:tc>
        <w:tc>
          <w:tcPr>
            <w:tcW w:w="491" w:type="pct"/>
          </w:tcPr>
          <w:p w14:paraId="4668142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1DAC69C" w14:textId="77777777" w:rsidR="00CE1436" w:rsidRPr="00076CF2" w:rsidRDefault="00CE1436" w:rsidP="00444693">
            <w:pPr>
              <w:pStyle w:val="TableText"/>
              <w:widowControl w:val="0"/>
              <w:suppressAutoHyphens w:val="0"/>
              <w:spacing w:before="0" w:after="0" w:line="240" w:lineRule="auto"/>
              <w:jc w:val="center"/>
            </w:pPr>
            <w:r w:rsidRPr="009D1074">
              <w:t>3.3</w:t>
            </w:r>
            <w:r w:rsidRPr="009D1074">
              <w:rPr>
                <w:vertAlign w:val="superscript"/>
              </w:rPr>
              <w:t>b,c</w:t>
            </w:r>
          </w:p>
        </w:tc>
        <w:tc>
          <w:tcPr>
            <w:tcW w:w="311" w:type="pct"/>
          </w:tcPr>
          <w:p w14:paraId="6102145A" w14:textId="77777777" w:rsidR="00CE1436" w:rsidRDefault="00CE1436" w:rsidP="00444693">
            <w:pPr>
              <w:pStyle w:val="TableText"/>
              <w:widowControl w:val="0"/>
              <w:suppressAutoHyphens w:val="0"/>
              <w:spacing w:before="0" w:after="0" w:line="240" w:lineRule="auto"/>
              <w:jc w:val="center"/>
            </w:pPr>
            <w:r>
              <w:t>693</w:t>
            </w:r>
          </w:p>
        </w:tc>
        <w:tc>
          <w:tcPr>
            <w:tcW w:w="312" w:type="pct"/>
          </w:tcPr>
          <w:p w14:paraId="27D3BE0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12ECE2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BA7179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441C863" w14:textId="77777777" w:rsidR="00CE1436" w:rsidRPr="003B78B6"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7AB167FC"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02EF2F94" w14:textId="77777777" w:rsidR="00CE1436" w:rsidRPr="0027505E" w:rsidRDefault="00CE1436" w:rsidP="00444693">
            <w:pPr>
              <w:pStyle w:val="TableText"/>
              <w:widowControl w:val="0"/>
              <w:suppressAutoHyphens w:val="0"/>
              <w:spacing w:before="0" w:after="0" w:line="240" w:lineRule="auto"/>
              <w:jc w:val="center"/>
            </w:pPr>
            <w:r>
              <w:rPr>
                <w:color w:val="1A1B1A"/>
                <w:szCs w:val="17"/>
              </w:rPr>
              <w:t>0.37</w:t>
            </w:r>
          </w:p>
        </w:tc>
        <w:tc>
          <w:tcPr>
            <w:tcW w:w="393" w:type="pct"/>
            <w:vAlign w:val="center"/>
          </w:tcPr>
          <w:p w14:paraId="2D00EC27" w14:textId="77777777" w:rsidR="00CE1436" w:rsidRPr="0027505E" w:rsidRDefault="00CE1436" w:rsidP="00444693">
            <w:pPr>
              <w:pStyle w:val="TableText"/>
              <w:widowControl w:val="0"/>
              <w:suppressAutoHyphens w:val="0"/>
              <w:spacing w:before="0" w:after="0" w:line="240" w:lineRule="auto"/>
              <w:jc w:val="center"/>
            </w:pPr>
            <w:r>
              <w:rPr>
                <w:color w:val="1A1B1A"/>
                <w:szCs w:val="17"/>
              </w:rPr>
              <w:t>1848</w:t>
            </w:r>
          </w:p>
        </w:tc>
      </w:tr>
      <w:tr w:rsidR="00CE1436" w:rsidRPr="0027505E" w14:paraId="1F850826" w14:textId="77777777" w:rsidTr="00444693">
        <w:trPr>
          <w:cantSplit/>
          <w:trHeight w:val="13"/>
        </w:trPr>
        <w:tc>
          <w:tcPr>
            <w:tcW w:w="491" w:type="pct"/>
            <w:vMerge/>
            <w:tcBorders>
              <w:bottom w:val="single" w:sz="4" w:space="0" w:color="auto"/>
            </w:tcBorders>
          </w:tcPr>
          <w:p w14:paraId="4A73825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C5D1335"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9B6C7E6" w14:textId="77777777" w:rsidR="00CE1436" w:rsidRDefault="00CE1436" w:rsidP="00444693">
            <w:pPr>
              <w:pStyle w:val="TableText"/>
              <w:widowControl w:val="0"/>
              <w:suppressAutoHyphens w:val="0"/>
              <w:spacing w:before="0" w:after="0" w:line="240" w:lineRule="auto"/>
              <w:rPr>
                <w:szCs w:val="17"/>
              </w:rPr>
            </w:pPr>
          </w:p>
        </w:tc>
        <w:tc>
          <w:tcPr>
            <w:tcW w:w="491" w:type="pct"/>
          </w:tcPr>
          <w:p w14:paraId="641F8EC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9B477E7" w14:textId="77777777" w:rsidR="00CE1436" w:rsidRPr="00076CF2" w:rsidRDefault="00CE1436" w:rsidP="00444693">
            <w:pPr>
              <w:pStyle w:val="TableText"/>
              <w:widowControl w:val="0"/>
              <w:suppressAutoHyphens w:val="0"/>
              <w:spacing w:before="0" w:after="0" w:line="240" w:lineRule="auto"/>
              <w:jc w:val="center"/>
            </w:pPr>
            <w:r w:rsidRPr="009D1074">
              <w:t>3.3</w:t>
            </w:r>
            <w:r w:rsidRPr="009D1074">
              <w:rPr>
                <w:vertAlign w:val="superscript"/>
              </w:rPr>
              <w:t>b,c</w:t>
            </w:r>
          </w:p>
        </w:tc>
        <w:tc>
          <w:tcPr>
            <w:tcW w:w="311" w:type="pct"/>
          </w:tcPr>
          <w:p w14:paraId="0B68A114" w14:textId="77777777" w:rsidR="00CE1436" w:rsidRDefault="00CE1436" w:rsidP="00444693">
            <w:pPr>
              <w:pStyle w:val="TableText"/>
              <w:widowControl w:val="0"/>
              <w:suppressAutoHyphens w:val="0"/>
              <w:spacing w:before="0" w:after="0" w:line="240" w:lineRule="auto"/>
              <w:jc w:val="center"/>
            </w:pPr>
            <w:r>
              <w:t>648</w:t>
            </w:r>
          </w:p>
        </w:tc>
        <w:tc>
          <w:tcPr>
            <w:tcW w:w="312" w:type="pct"/>
          </w:tcPr>
          <w:p w14:paraId="47F82CA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6D6830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E6C598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DB3C1FF" w14:textId="77777777" w:rsidR="00CE1436" w:rsidRPr="003B78B6" w:rsidRDefault="00CE1436" w:rsidP="00444693">
            <w:pPr>
              <w:pStyle w:val="TableText"/>
              <w:widowControl w:val="0"/>
              <w:suppressAutoHyphens w:val="0"/>
              <w:spacing w:before="0" w:after="0" w:line="240" w:lineRule="auto"/>
              <w:jc w:val="center"/>
            </w:pPr>
            <w:r>
              <w:rPr>
                <w:color w:val="1A1B1A"/>
                <w:szCs w:val="17"/>
              </w:rPr>
              <w:t>2.1</w:t>
            </w:r>
          </w:p>
        </w:tc>
        <w:tc>
          <w:tcPr>
            <w:tcW w:w="312" w:type="pct"/>
            <w:vAlign w:val="center"/>
          </w:tcPr>
          <w:p w14:paraId="54263CAF"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59F2F8BD" w14:textId="77777777" w:rsidR="00CE1436" w:rsidRPr="0027505E" w:rsidRDefault="00CE1436" w:rsidP="00444693">
            <w:pPr>
              <w:pStyle w:val="TableText"/>
              <w:widowControl w:val="0"/>
              <w:suppressAutoHyphens w:val="0"/>
              <w:spacing w:before="0" w:after="0" w:line="240" w:lineRule="auto"/>
              <w:jc w:val="center"/>
            </w:pPr>
            <w:r>
              <w:rPr>
                <w:color w:val="1A1B1A"/>
                <w:szCs w:val="17"/>
              </w:rPr>
              <w:t>0.35</w:t>
            </w:r>
          </w:p>
        </w:tc>
        <w:tc>
          <w:tcPr>
            <w:tcW w:w="393" w:type="pct"/>
            <w:vAlign w:val="center"/>
          </w:tcPr>
          <w:p w14:paraId="593D4B77" w14:textId="77777777" w:rsidR="00CE1436" w:rsidRPr="0027505E" w:rsidRDefault="00CE1436" w:rsidP="00444693">
            <w:pPr>
              <w:pStyle w:val="TableText"/>
              <w:widowControl w:val="0"/>
              <w:suppressAutoHyphens w:val="0"/>
              <w:spacing w:before="0" w:after="0" w:line="240" w:lineRule="auto"/>
              <w:jc w:val="center"/>
            </w:pPr>
            <w:r>
              <w:rPr>
                <w:color w:val="1A1B1A"/>
                <w:szCs w:val="17"/>
              </w:rPr>
              <w:t>1848</w:t>
            </w:r>
          </w:p>
        </w:tc>
      </w:tr>
      <w:tr w:rsidR="00CE1436" w:rsidRPr="00C3293F" w14:paraId="6AC6CD80" w14:textId="77777777" w:rsidTr="00444693">
        <w:trPr>
          <w:cantSplit/>
          <w:trHeight w:val="13"/>
        </w:trPr>
        <w:tc>
          <w:tcPr>
            <w:tcW w:w="491" w:type="pct"/>
            <w:vMerge/>
            <w:tcBorders>
              <w:bottom w:val="single" w:sz="4" w:space="0" w:color="auto"/>
            </w:tcBorders>
          </w:tcPr>
          <w:p w14:paraId="4D964D3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A1CB4F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A56F883" w14:textId="77777777" w:rsidR="00CE1436" w:rsidRDefault="00CE1436" w:rsidP="00444693">
            <w:pPr>
              <w:pStyle w:val="TableText"/>
              <w:widowControl w:val="0"/>
              <w:suppressAutoHyphens w:val="0"/>
              <w:spacing w:before="0" w:after="0" w:line="240" w:lineRule="auto"/>
              <w:rPr>
                <w:szCs w:val="17"/>
              </w:rPr>
            </w:pPr>
          </w:p>
        </w:tc>
        <w:tc>
          <w:tcPr>
            <w:tcW w:w="491" w:type="pct"/>
          </w:tcPr>
          <w:p w14:paraId="5588ADC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780871B" w14:textId="77777777" w:rsidR="00CE1436" w:rsidRDefault="00CE1436" w:rsidP="00444693">
            <w:pPr>
              <w:pStyle w:val="TableText"/>
              <w:widowControl w:val="0"/>
              <w:suppressAutoHyphens w:val="0"/>
              <w:spacing w:before="0" w:after="0" w:line="240" w:lineRule="auto"/>
              <w:jc w:val="center"/>
            </w:pPr>
            <w:r w:rsidRPr="009D1074">
              <w:t>3.3</w:t>
            </w:r>
            <w:r w:rsidRPr="009D1074">
              <w:rPr>
                <w:vertAlign w:val="superscript"/>
              </w:rPr>
              <w:t>b,c</w:t>
            </w:r>
          </w:p>
        </w:tc>
        <w:tc>
          <w:tcPr>
            <w:tcW w:w="311" w:type="pct"/>
          </w:tcPr>
          <w:p w14:paraId="18CC1DC2" w14:textId="77777777" w:rsidR="00CE1436" w:rsidRDefault="00CE1436" w:rsidP="00444693">
            <w:pPr>
              <w:pStyle w:val="TableText"/>
              <w:widowControl w:val="0"/>
              <w:suppressAutoHyphens w:val="0"/>
              <w:spacing w:before="0" w:after="0" w:line="240" w:lineRule="auto"/>
              <w:jc w:val="center"/>
            </w:pPr>
            <w:r>
              <w:t>525</w:t>
            </w:r>
          </w:p>
        </w:tc>
        <w:tc>
          <w:tcPr>
            <w:tcW w:w="312" w:type="pct"/>
          </w:tcPr>
          <w:p w14:paraId="699E543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A10EF42"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6B7A2CC"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DED54A2" w14:textId="77777777" w:rsidR="00CE1436"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14D4B3A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EFDD22F" w14:textId="77777777" w:rsidR="00CE1436" w:rsidRDefault="00CE1436" w:rsidP="00444693">
            <w:pPr>
              <w:pStyle w:val="TableText"/>
              <w:widowControl w:val="0"/>
              <w:suppressAutoHyphens w:val="0"/>
              <w:spacing w:before="0" w:after="0" w:line="240" w:lineRule="auto"/>
              <w:jc w:val="center"/>
            </w:pPr>
            <w:r>
              <w:rPr>
                <w:color w:val="1A1B1A"/>
                <w:szCs w:val="17"/>
              </w:rPr>
              <w:t>0.28</w:t>
            </w:r>
          </w:p>
        </w:tc>
        <w:tc>
          <w:tcPr>
            <w:tcW w:w="393" w:type="pct"/>
            <w:vAlign w:val="center"/>
          </w:tcPr>
          <w:p w14:paraId="2A7522DA" w14:textId="77777777" w:rsidR="00CE1436" w:rsidRPr="00C3293F" w:rsidRDefault="00CE1436" w:rsidP="00444693">
            <w:pPr>
              <w:pStyle w:val="TableText"/>
              <w:widowControl w:val="0"/>
              <w:suppressAutoHyphens w:val="0"/>
              <w:spacing w:before="0" w:after="0" w:line="240" w:lineRule="auto"/>
              <w:jc w:val="center"/>
            </w:pPr>
            <w:r>
              <w:rPr>
                <w:color w:val="1A1B1A"/>
                <w:szCs w:val="17"/>
              </w:rPr>
              <w:t>1848</w:t>
            </w:r>
          </w:p>
        </w:tc>
      </w:tr>
      <w:tr w:rsidR="00CE1436" w:rsidRPr="00C3293F" w14:paraId="56896D54" w14:textId="77777777" w:rsidTr="00444693">
        <w:trPr>
          <w:cantSplit/>
          <w:trHeight w:val="13"/>
        </w:trPr>
        <w:tc>
          <w:tcPr>
            <w:tcW w:w="491" w:type="pct"/>
            <w:vMerge/>
            <w:tcBorders>
              <w:bottom w:val="single" w:sz="4" w:space="0" w:color="auto"/>
            </w:tcBorders>
          </w:tcPr>
          <w:p w14:paraId="67C68C3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6FD858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6F84F55" w14:textId="77777777" w:rsidR="00CE1436" w:rsidRDefault="00CE1436" w:rsidP="00444693">
            <w:pPr>
              <w:pStyle w:val="TableText"/>
              <w:widowControl w:val="0"/>
              <w:suppressAutoHyphens w:val="0"/>
              <w:spacing w:before="0" w:after="0" w:line="240" w:lineRule="auto"/>
              <w:rPr>
                <w:szCs w:val="17"/>
              </w:rPr>
            </w:pPr>
          </w:p>
        </w:tc>
        <w:tc>
          <w:tcPr>
            <w:tcW w:w="491" w:type="pct"/>
          </w:tcPr>
          <w:p w14:paraId="7F0827B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6E7E43A" w14:textId="77777777" w:rsidR="00CE1436" w:rsidRDefault="00CE1436" w:rsidP="00444693">
            <w:pPr>
              <w:pStyle w:val="TableText"/>
              <w:widowControl w:val="0"/>
              <w:suppressAutoHyphens w:val="0"/>
              <w:spacing w:before="0" w:after="0" w:line="240" w:lineRule="auto"/>
              <w:jc w:val="center"/>
            </w:pPr>
            <w:r w:rsidRPr="009D1074">
              <w:t>3.3</w:t>
            </w:r>
            <w:r w:rsidRPr="009D1074">
              <w:rPr>
                <w:vertAlign w:val="superscript"/>
              </w:rPr>
              <w:t>b,c</w:t>
            </w:r>
          </w:p>
        </w:tc>
        <w:tc>
          <w:tcPr>
            <w:tcW w:w="311" w:type="pct"/>
          </w:tcPr>
          <w:p w14:paraId="392B7BFB"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5440303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D86744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A2716B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89F454A" w14:textId="77777777" w:rsidR="00CE1436" w:rsidRDefault="00CE1436" w:rsidP="00444693">
            <w:pPr>
              <w:pStyle w:val="TableText"/>
              <w:widowControl w:val="0"/>
              <w:suppressAutoHyphens w:val="0"/>
              <w:spacing w:before="0" w:after="0" w:line="240" w:lineRule="auto"/>
              <w:jc w:val="center"/>
            </w:pPr>
            <w:r>
              <w:rPr>
                <w:color w:val="1A1B1A"/>
                <w:szCs w:val="17"/>
              </w:rPr>
              <w:t>1.4</w:t>
            </w:r>
          </w:p>
        </w:tc>
        <w:tc>
          <w:tcPr>
            <w:tcW w:w="312" w:type="pct"/>
            <w:vAlign w:val="center"/>
          </w:tcPr>
          <w:p w14:paraId="11322DC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D131BE9" w14:textId="77777777" w:rsidR="00CE1436" w:rsidRDefault="00CE1436" w:rsidP="00444693">
            <w:pPr>
              <w:pStyle w:val="TableText"/>
              <w:widowControl w:val="0"/>
              <w:suppressAutoHyphens w:val="0"/>
              <w:spacing w:before="0" w:after="0" w:line="240" w:lineRule="auto"/>
              <w:jc w:val="center"/>
            </w:pPr>
            <w:r>
              <w:rPr>
                <w:color w:val="1A1B1A"/>
                <w:szCs w:val="17"/>
              </w:rPr>
              <w:t>0.23</w:t>
            </w:r>
          </w:p>
        </w:tc>
        <w:tc>
          <w:tcPr>
            <w:tcW w:w="393" w:type="pct"/>
            <w:vAlign w:val="center"/>
          </w:tcPr>
          <w:p w14:paraId="712293B5" w14:textId="77777777" w:rsidR="00CE1436" w:rsidRPr="00C3293F" w:rsidRDefault="00CE1436" w:rsidP="00444693">
            <w:pPr>
              <w:pStyle w:val="TableText"/>
              <w:widowControl w:val="0"/>
              <w:suppressAutoHyphens w:val="0"/>
              <w:spacing w:before="0" w:after="0" w:line="240" w:lineRule="auto"/>
              <w:jc w:val="center"/>
            </w:pPr>
            <w:r>
              <w:rPr>
                <w:color w:val="1A1B1A"/>
                <w:szCs w:val="17"/>
              </w:rPr>
              <w:t>1848</w:t>
            </w:r>
          </w:p>
        </w:tc>
      </w:tr>
      <w:tr w:rsidR="00CE1436" w:rsidRPr="00C3293F" w14:paraId="3C146B6A" w14:textId="77777777" w:rsidTr="00444693">
        <w:trPr>
          <w:cantSplit/>
          <w:trHeight w:val="13"/>
        </w:trPr>
        <w:tc>
          <w:tcPr>
            <w:tcW w:w="491" w:type="pct"/>
            <w:vMerge/>
            <w:tcBorders>
              <w:bottom w:val="single" w:sz="4" w:space="0" w:color="auto"/>
            </w:tcBorders>
          </w:tcPr>
          <w:p w14:paraId="713422F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82ECD7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68E8AEE"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1574A7CD"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3756270F" w14:textId="77777777" w:rsidR="00CE1436" w:rsidRDefault="00CE1436" w:rsidP="00444693">
            <w:pPr>
              <w:pStyle w:val="TableText"/>
              <w:widowControl w:val="0"/>
              <w:suppressAutoHyphens w:val="0"/>
              <w:spacing w:before="0" w:after="0" w:line="240" w:lineRule="auto"/>
              <w:jc w:val="center"/>
            </w:pPr>
            <w:r w:rsidRPr="009D1074">
              <w:t>3.3</w:t>
            </w:r>
            <w:r w:rsidRPr="009D1074">
              <w:rPr>
                <w:vertAlign w:val="superscript"/>
              </w:rPr>
              <w:t>b,c</w:t>
            </w:r>
          </w:p>
        </w:tc>
        <w:tc>
          <w:tcPr>
            <w:tcW w:w="311" w:type="pct"/>
            <w:tcBorders>
              <w:bottom w:val="single" w:sz="4" w:space="0" w:color="auto"/>
            </w:tcBorders>
          </w:tcPr>
          <w:p w14:paraId="7F253E24" w14:textId="77777777" w:rsidR="00CE1436" w:rsidRDefault="00CE1436" w:rsidP="00444693">
            <w:pPr>
              <w:pStyle w:val="TableText"/>
              <w:widowControl w:val="0"/>
              <w:suppressAutoHyphens w:val="0"/>
              <w:spacing w:before="0" w:after="0" w:line="240" w:lineRule="auto"/>
              <w:jc w:val="center"/>
            </w:pPr>
            <w:r>
              <w:t>173</w:t>
            </w:r>
          </w:p>
        </w:tc>
        <w:tc>
          <w:tcPr>
            <w:tcW w:w="312" w:type="pct"/>
            <w:tcBorders>
              <w:bottom w:val="single" w:sz="4" w:space="0" w:color="auto"/>
            </w:tcBorders>
          </w:tcPr>
          <w:p w14:paraId="52CDE729"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4029E1F1"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21CDB06C"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6AF5D8DA" w14:textId="77777777" w:rsidR="00CE1436" w:rsidRDefault="00CE1436" w:rsidP="00444693">
            <w:pPr>
              <w:pStyle w:val="TableText"/>
              <w:widowControl w:val="0"/>
              <w:suppressAutoHyphens w:val="0"/>
              <w:spacing w:before="0" w:after="0" w:line="240" w:lineRule="auto"/>
              <w:jc w:val="center"/>
            </w:pPr>
            <w:r>
              <w:rPr>
                <w:color w:val="1A1B1A"/>
                <w:szCs w:val="17"/>
              </w:rPr>
              <w:t>0.57</w:t>
            </w:r>
          </w:p>
        </w:tc>
        <w:tc>
          <w:tcPr>
            <w:tcW w:w="312" w:type="pct"/>
            <w:tcBorders>
              <w:bottom w:val="single" w:sz="4" w:space="0" w:color="auto"/>
            </w:tcBorders>
            <w:vAlign w:val="center"/>
          </w:tcPr>
          <w:p w14:paraId="748D172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63BF46CE" w14:textId="77777777" w:rsidR="00CE1436" w:rsidRDefault="00CE1436" w:rsidP="00444693">
            <w:pPr>
              <w:pStyle w:val="TableText"/>
              <w:widowControl w:val="0"/>
              <w:suppressAutoHyphens w:val="0"/>
              <w:spacing w:before="0" w:after="0" w:line="240" w:lineRule="auto"/>
              <w:jc w:val="center"/>
            </w:pPr>
            <w:r>
              <w:rPr>
                <w:color w:val="1A1B1A"/>
                <w:szCs w:val="17"/>
              </w:rPr>
              <w:t>0.09</w:t>
            </w:r>
          </w:p>
        </w:tc>
        <w:tc>
          <w:tcPr>
            <w:tcW w:w="393" w:type="pct"/>
            <w:tcBorders>
              <w:bottom w:val="single" w:sz="4" w:space="0" w:color="auto"/>
            </w:tcBorders>
            <w:vAlign w:val="center"/>
          </w:tcPr>
          <w:p w14:paraId="3C0C39DB" w14:textId="77777777" w:rsidR="00CE1436" w:rsidRPr="00C3293F" w:rsidRDefault="00CE1436" w:rsidP="00444693">
            <w:pPr>
              <w:pStyle w:val="TableText"/>
              <w:widowControl w:val="0"/>
              <w:suppressAutoHyphens w:val="0"/>
              <w:spacing w:before="0" w:after="0" w:line="240" w:lineRule="auto"/>
              <w:jc w:val="center"/>
            </w:pPr>
            <w:r>
              <w:rPr>
                <w:color w:val="1A1B1A"/>
                <w:szCs w:val="17"/>
              </w:rPr>
              <w:t>1848</w:t>
            </w:r>
          </w:p>
        </w:tc>
      </w:tr>
      <w:tr w:rsidR="00CE1436" w:rsidRPr="00C3293F" w14:paraId="1B3DE2EC" w14:textId="77777777" w:rsidTr="00444693">
        <w:trPr>
          <w:cantSplit/>
          <w:trHeight w:val="13"/>
        </w:trPr>
        <w:tc>
          <w:tcPr>
            <w:tcW w:w="491" w:type="pct"/>
            <w:vMerge/>
            <w:tcBorders>
              <w:bottom w:val="single" w:sz="4" w:space="0" w:color="auto"/>
            </w:tcBorders>
          </w:tcPr>
          <w:p w14:paraId="766987B6"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498858E3" w14:textId="77777777" w:rsidR="00CE1436"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0EC6DB67" w14:textId="77777777" w:rsidR="00CE1436" w:rsidRDefault="00CE1436" w:rsidP="00444693">
            <w:pPr>
              <w:pStyle w:val="TableText"/>
              <w:widowControl w:val="0"/>
              <w:suppressAutoHyphens w:val="0"/>
              <w:spacing w:before="0" w:after="0" w:line="240" w:lineRule="auto"/>
              <w:rPr>
                <w:szCs w:val="17"/>
              </w:rPr>
            </w:pPr>
            <w:r>
              <w:rPr>
                <w:szCs w:val="17"/>
              </w:rPr>
              <w:t>BBCH ≥40</w:t>
            </w:r>
          </w:p>
        </w:tc>
        <w:tc>
          <w:tcPr>
            <w:tcW w:w="491" w:type="pct"/>
            <w:tcBorders>
              <w:top w:val="single" w:sz="4" w:space="0" w:color="auto"/>
            </w:tcBorders>
          </w:tcPr>
          <w:p w14:paraId="7DDBB736" w14:textId="77777777" w:rsidR="00CE1436" w:rsidRDefault="00CE1436" w:rsidP="00444693">
            <w:pPr>
              <w:pStyle w:val="TableText"/>
              <w:widowControl w:val="0"/>
              <w:suppressAutoHyphens w:val="0"/>
              <w:spacing w:before="0" w:after="0" w:line="240" w:lineRule="auto"/>
              <w:jc w:val="center"/>
            </w:pPr>
            <w:r>
              <w:t>Chronic</w:t>
            </w:r>
          </w:p>
        </w:tc>
        <w:tc>
          <w:tcPr>
            <w:tcW w:w="449" w:type="pct"/>
            <w:tcBorders>
              <w:top w:val="single" w:sz="4" w:space="0" w:color="auto"/>
            </w:tcBorders>
            <w:shd w:val="clear" w:color="auto" w:fill="D5D7D5" w:themeFill="text1" w:themeFillTint="33"/>
          </w:tcPr>
          <w:p w14:paraId="711086AE" w14:textId="77777777" w:rsidR="00CE1436" w:rsidRDefault="00CE1436" w:rsidP="00444693">
            <w:pPr>
              <w:pStyle w:val="TableText"/>
              <w:widowControl w:val="0"/>
              <w:suppressAutoHyphens w:val="0"/>
              <w:spacing w:before="0" w:after="0" w:line="240" w:lineRule="auto"/>
              <w:jc w:val="center"/>
            </w:pPr>
            <w:r>
              <w:t>8.9</w:t>
            </w:r>
            <w:r w:rsidRPr="002344F0">
              <w:rPr>
                <w:vertAlign w:val="superscript"/>
              </w:rPr>
              <w:t>a</w:t>
            </w:r>
            <w:r>
              <w:rPr>
                <w:vertAlign w:val="superscript"/>
              </w:rPr>
              <w:t>,c</w:t>
            </w:r>
          </w:p>
        </w:tc>
        <w:tc>
          <w:tcPr>
            <w:tcW w:w="311" w:type="pct"/>
            <w:tcBorders>
              <w:top w:val="single" w:sz="4" w:space="0" w:color="auto"/>
            </w:tcBorders>
          </w:tcPr>
          <w:p w14:paraId="220BA8FD" w14:textId="77777777" w:rsidR="00CE1436" w:rsidRDefault="00CE1436" w:rsidP="00444693">
            <w:pPr>
              <w:pStyle w:val="TableText"/>
              <w:widowControl w:val="0"/>
              <w:suppressAutoHyphens w:val="0"/>
              <w:spacing w:before="0" w:after="0" w:line="240" w:lineRule="auto"/>
              <w:jc w:val="center"/>
            </w:pPr>
            <w:r>
              <w:t>700</w:t>
            </w:r>
          </w:p>
        </w:tc>
        <w:tc>
          <w:tcPr>
            <w:tcW w:w="312" w:type="pct"/>
            <w:tcBorders>
              <w:top w:val="single" w:sz="4" w:space="0" w:color="auto"/>
            </w:tcBorders>
          </w:tcPr>
          <w:p w14:paraId="345EBB6A"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3148B29E" w14:textId="77777777" w:rsidR="00CE1436" w:rsidRDefault="00CE1436" w:rsidP="00444693">
            <w:pPr>
              <w:pStyle w:val="TableText"/>
              <w:widowControl w:val="0"/>
              <w:suppressAutoHyphens w:val="0"/>
              <w:spacing w:before="0" w:after="0" w:line="240" w:lineRule="auto"/>
              <w:jc w:val="center"/>
            </w:pPr>
            <w:r>
              <w:t>0.5</w:t>
            </w:r>
          </w:p>
        </w:tc>
        <w:tc>
          <w:tcPr>
            <w:tcW w:w="312" w:type="pct"/>
            <w:tcBorders>
              <w:top w:val="single" w:sz="4" w:space="0" w:color="auto"/>
            </w:tcBorders>
          </w:tcPr>
          <w:p w14:paraId="4CF91A75" w14:textId="77777777" w:rsidR="00CE1436" w:rsidRDefault="00CE1436" w:rsidP="00444693">
            <w:pPr>
              <w:pStyle w:val="TableText"/>
              <w:widowControl w:val="0"/>
              <w:suppressAutoHyphens w:val="0"/>
              <w:spacing w:before="0" w:after="0" w:line="240" w:lineRule="auto"/>
              <w:jc w:val="center"/>
            </w:pPr>
            <w:r>
              <w:t>0.53</w:t>
            </w:r>
          </w:p>
        </w:tc>
        <w:tc>
          <w:tcPr>
            <w:tcW w:w="311" w:type="pct"/>
            <w:tcBorders>
              <w:top w:val="single" w:sz="4" w:space="0" w:color="auto"/>
            </w:tcBorders>
            <w:vAlign w:val="center"/>
          </w:tcPr>
          <w:p w14:paraId="0B78EA27" w14:textId="77777777" w:rsidR="00CE1436" w:rsidRDefault="00CE1436" w:rsidP="00444693">
            <w:pPr>
              <w:pStyle w:val="TableText"/>
              <w:widowControl w:val="0"/>
              <w:suppressAutoHyphens w:val="0"/>
              <w:spacing w:before="0" w:after="0" w:line="240" w:lineRule="auto"/>
              <w:jc w:val="center"/>
            </w:pPr>
            <w:r>
              <w:rPr>
                <w:color w:val="1A1B1A"/>
                <w:szCs w:val="17"/>
              </w:rPr>
              <w:t>1.7</w:t>
            </w:r>
          </w:p>
        </w:tc>
        <w:tc>
          <w:tcPr>
            <w:tcW w:w="312" w:type="pct"/>
            <w:tcBorders>
              <w:top w:val="single" w:sz="4" w:space="0" w:color="auto"/>
            </w:tcBorders>
            <w:vAlign w:val="center"/>
          </w:tcPr>
          <w:p w14:paraId="38BB8002"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top w:val="single" w:sz="4" w:space="0" w:color="auto"/>
            </w:tcBorders>
            <w:vAlign w:val="center"/>
          </w:tcPr>
          <w:p w14:paraId="0C2A9C27" w14:textId="77777777" w:rsidR="00CE1436" w:rsidRDefault="00CE1436" w:rsidP="00444693">
            <w:pPr>
              <w:pStyle w:val="TableText"/>
              <w:widowControl w:val="0"/>
              <w:suppressAutoHyphens w:val="0"/>
              <w:spacing w:before="0" w:after="0" w:line="240" w:lineRule="auto"/>
              <w:jc w:val="center"/>
            </w:pPr>
            <w:r>
              <w:rPr>
                <w:color w:val="1A1B1A"/>
                <w:szCs w:val="17"/>
              </w:rPr>
              <w:t>0.43</w:t>
            </w:r>
          </w:p>
        </w:tc>
        <w:tc>
          <w:tcPr>
            <w:tcW w:w="393" w:type="pct"/>
            <w:tcBorders>
              <w:top w:val="single" w:sz="4" w:space="0" w:color="auto"/>
            </w:tcBorders>
            <w:vAlign w:val="center"/>
          </w:tcPr>
          <w:p w14:paraId="59B54C53" w14:textId="77777777" w:rsidR="00CE1436" w:rsidRPr="00C3293F" w:rsidRDefault="00CE1436" w:rsidP="00444693">
            <w:pPr>
              <w:pStyle w:val="TableText"/>
              <w:widowControl w:val="0"/>
              <w:suppressAutoHyphens w:val="0"/>
              <w:spacing w:before="0" w:after="0" w:line="240" w:lineRule="auto"/>
              <w:jc w:val="center"/>
            </w:pPr>
            <w:r>
              <w:rPr>
                <w:color w:val="1A1B1A"/>
                <w:szCs w:val="17"/>
              </w:rPr>
              <w:t>1611</w:t>
            </w:r>
          </w:p>
        </w:tc>
      </w:tr>
      <w:tr w:rsidR="00CE1436" w:rsidRPr="0027505E" w14:paraId="3316C860" w14:textId="77777777" w:rsidTr="00444693">
        <w:trPr>
          <w:cantSplit/>
          <w:trHeight w:val="13"/>
        </w:trPr>
        <w:tc>
          <w:tcPr>
            <w:tcW w:w="491" w:type="pct"/>
            <w:vMerge/>
            <w:tcBorders>
              <w:bottom w:val="single" w:sz="4" w:space="0" w:color="auto"/>
            </w:tcBorders>
          </w:tcPr>
          <w:p w14:paraId="3037384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175B1C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B325140" w14:textId="77777777" w:rsidR="00CE1436" w:rsidRDefault="00CE1436" w:rsidP="00444693">
            <w:pPr>
              <w:pStyle w:val="TableText"/>
              <w:widowControl w:val="0"/>
              <w:suppressAutoHyphens w:val="0"/>
              <w:spacing w:before="0" w:after="0" w:line="240" w:lineRule="auto"/>
              <w:rPr>
                <w:szCs w:val="17"/>
              </w:rPr>
            </w:pPr>
          </w:p>
        </w:tc>
        <w:tc>
          <w:tcPr>
            <w:tcW w:w="491" w:type="pct"/>
          </w:tcPr>
          <w:p w14:paraId="4463C6F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2D3B1FD" w14:textId="77777777" w:rsidR="00CE1436" w:rsidRPr="002344F0" w:rsidRDefault="00CE1436" w:rsidP="00444693">
            <w:pPr>
              <w:pStyle w:val="TableText"/>
              <w:widowControl w:val="0"/>
              <w:suppressAutoHyphens w:val="0"/>
              <w:spacing w:before="0" w:after="0" w:line="240" w:lineRule="auto"/>
              <w:jc w:val="center"/>
            </w:pPr>
            <w:r w:rsidRPr="001C1BA8">
              <w:t>8.9</w:t>
            </w:r>
            <w:r w:rsidRPr="001C1BA8">
              <w:rPr>
                <w:vertAlign w:val="superscript"/>
              </w:rPr>
              <w:t>a,c</w:t>
            </w:r>
          </w:p>
        </w:tc>
        <w:tc>
          <w:tcPr>
            <w:tcW w:w="311" w:type="pct"/>
          </w:tcPr>
          <w:p w14:paraId="4E6017B8" w14:textId="77777777" w:rsidR="00CE1436" w:rsidRDefault="00CE1436" w:rsidP="00444693">
            <w:pPr>
              <w:pStyle w:val="TableText"/>
              <w:widowControl w:val="0"/>
              <w:suppressAutoHyphens w:val="0"/>
              <w:spacing w:before="0" w:after="0" w:line="240" w:lineRule="auto"/>
              <w:jc w:val="center"/>
            </w:pPr>
            <w:r>
              <w:t>693</w:t>
            </w:r>
          </w:p>
        </w:tc>
        <w:tc>
          <w:tcPr>
            <w:tcW w:w="312" w:type="pct"/>
          </w:tcPr>
          <w:p w14:paraId="577ABB6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A73EB75"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C1CB234"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23ED78C4" w14:textId="77777777" w:rsidR="00CE1436" w:rsidRPr="003B78B6"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683EC50D"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4B1A795C" w14:textId="77777777" w:rsidR="00CE1436" w:rsidRPr="0027505E" w:rsidRDefault="00CE1436" w:rsidP="00444693">
            <w:pPr>
              <w:pStyle w:val="TableText"/>
              <w:widowControl w:val="0"/>
              <w:suppressAutoHyphens w:val="0"/>
              <w:spacing w:before="0" w:after="0" w:line="240" w:lineRule="auto"/>
              <w:jc w:val="center"/>
            </w:pPr>
            <w:r>
              <w:rPr>
                <w:color w:val="1A1B1A"/>
                <w:szCs w:val="17"/>
              </w:rPr>
              <w:t>0.43</w:t>
            </w:r>
          </w:p>
        </w:tc>
        <w:tc>
          <w:tcPr>
            <w:tcW w:w="393" w:type="pct"/>
            <w:vAlign w:val="center"/>
          </w:tcPr>
          <w:p w14:paraId="51AE9F01" w14:textId="77777777" w:rsidR="00CE1436" w:rsidRPr="0027505E" w:rsidRDefault="00CE1436" w:rsidP="00444693">
            <w:pPr>
              <w:pStyle w:val="TableText"/>
              <w:widowControl w:val="0"/>
              <w:suppressAutoHyphens w:val="0"/>
              <w:spacing w:before="0" w:after="0" w:line="240" w:lineRule="auto"/>
              <w:jc w:val="center"/>
            </w:pPr>
            <w:r>
              <w:rPr>
                <w:color w:val="1A1B1A"/>
                <w:szCs w:val="17"/>
              </w:rPr>
              <w:t>1611</w:t>
            </w:r>
          </w:p>
        </w:tc>
      </w:tr>
      <w:tr w:rsidR="00CE1436" w:rsidRPr="0027505E" w14:paraId="19B736BC" w14:textId="77777777" w:rsidTr="00444693">
        <w:trPr>
          <w:cantSplit/>
          <w:trHeight w:val="13"/>
        </w:trPr>
        <w:tc>
          <w:tcPr>
            <w:tcW w:w="491" w:type="pct"/>
            <w:vMerge/>
            <w:tcBorders>
              <w:bottom w:val="single" w:sz="4" w:space="0" w:color="auto"/>
            </w:tcBorders>
          </w:tcPr>
          <w:p w14:paraId="0C11CAA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197BF2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58D499B" w14:textId="77777777" w:rsidR="00CE1436" w:rsidRDefault="00CE1436" w:rsidP="00444693">
            <w:pPr>
              <w:pStyle w:val="TableText"/>
              <w:widowControl w:val="0"/>
              <w:suppressAutoHyphens w:val="0"/>
              <w:spacing w:before="0" w:after="0" w:line="240" w:lineRule="auto"/>
              <w:rPr>
                <w:szCs w:val="17"/>
              </w:rPr>
            </w:pPr>
          </w:p>
        </w:tc>
        <w:tc>
          <w:tcPr>
            <w:tcW w:w="491" w:type="pct"/>
          </w:tcPr>
          <w:p w14:paraId="284DA49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5B0E4B1" w14:textId="77777777" w:rsidR="00CE1436" w:rsidRPr="002344F0" w:rsidRDefault="00CE1436" w:rsidP="00444693">
            <w:pPr>
              <w:pStyle w:val="TableText"/>
              <w:widowControl w:val="0"/>
              <w:suppressAutoHyphens w:val="0"/>
              <w:spacing w:before="0" w:after="0" w:line="240" w:lineRule="auto"/>
              <w:jc w:val="center"/>
            </w:pPr>
            <w:r w:rsidRPr="001C1BA8">
              <w:t>8.9</w:t>
            </w:r>
            <w:r w:rsidRPr="001C1BA8">
              <w:rPr>
                <w:vertAlign w:val="superscript"/>
              </w:rPr>
              <w:t>a,c</w:t>
            </w:r>
          </w:p>
        </w:tc>
        <w:tc>
          <w:tcPr>
            <w:tcW w:w="311" w:type="pct"/>
          </w:tcPr>
          <w:p w14:paraId="2E4222FC" w14:textId="77777777" w:rsidR="00CE1436" w:rsidRDefault="00CE1436" w:rsidP="00444693">
            <w:pPr>
              <w:pStyle w:val="TableText"/>
              <w:widowControl w:val="0"/>
              <w:suppressAutoHyphens w:val="0"/>
              <w:spacing w:before="0" w:after="0" w:line="240" w:lineRule="auto"/>
              <w:jc w:val="center"/>
            </w:pPr>
            <w:r>
              <w:t>648</w:t>
            </w:r>
          </w:p>
        </w:tc>
        <w:tc>
          <w:tcPr>
            <w:tcW w:w="312" w:type="pct"/>
          </w:tcPr>
          <w:p w14:paraId="3A44D85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E2D582D"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C9CA1D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0FFAB4AB" w14:textId="77777777" w:rsidR="00CE1436" w:rsidRPr="003B78B6"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1FF1B0A1"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611E649" w14:textId="77777777" w:rsidR="00CE1436" w:rsidRPr="0027505E" w:rsidRDefault="00CE1436" w:rsidP="00444693">
            <w:pPr>
              <w:pStyle w:val="TableText"/>
              <w:widowControl w:val="0"/>
              <w:suppressAutoHyphens w:val="0"/>
              <w:spacing w:before="0" w:after="0" w:line="240" w:lineRule="auto"/>
              <w:jc w:val="center"/>
            </w:pPr>
            <w:r>
              <w:rPr>
                <w:color w:val="1A1B1A"/>
                <w:szCs w:val="17"/>
              </w:rPr>
              <w:t>0.40</w:t>
            </w:r>
          </w:p>
        </w:tc>
        <w:tc>
          <w:tcPr>
            <w:tcW w:w="393" w:type="pct"/>
            <w:vAlign w:val="center"/>
          </w:tcPr>
          <w:p w14:paraId="47BC312C" w14:textId="77777777" w:rsidR="00CE1436" w:rsidRPr="0027505E" w:rsidRDefault="00CE1436" w:rsidP="00444693">
            <w:pPr>
              <w:pStyle w:val="TableText"/>
              <w:widowControl w:val="0"/>
              <w:suppressAutoHyphens w:val="0"/>
              <w:spacing w:before="0" w:after="0" w:line="240" w:lineRule="auto"/>
              <w:jc w:val="center"/>
            </w:pPr>
            <w:r>
              <w:rPr>
                <w:color w:val="1A1B1A"/>
                <w:szCs w:val="17"/>
              </w:rPr>
              <w:t>1611</w:t>
            </w:r>
          </w:p>
        </w:tc>
      </w:tr>
      <w:tr w:rsidR="00CE1436" w:rsidRPr="00C3293F" w14:paraId="5286270A" w14:textId="77777777" w:rsidTr="00444693">
        <w:trPr>
          <w:cantSplit/>
          <w:trHeight w:val="13"/>
        </w:trPr>
        <w:tc>
          <w:tcPr>
            <w:tcW w:w="491" w:type="pct"/>
            <w:vMerge/>
            <w:tcBorders>
              <w:bottom w:val="single" w:sz="4" w:space="0" w:color="auto"/>
            </w:tcBorders>
          </w:tcPr>
          <w:p w14:paraId="24BB844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8CEFB5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78D77D3" w14:textId="77777777" w:rsidR="00CE1436" w:rsidRDefault="00CE1436" w:rsidP="00444693">
            <w:pPr>
              <w:pStyle w:val="TableText"/>
              <w:widowControl w:val="0"/>
              <w:suppressAutoHyphens w:val="0"/>
              <w:spacing w:before="0" w:after="0" w:line="240" w:lineRule="auto"/>
              <w:rPr>
                <w:szCs w:val="17"/>
              </w:rPr>
            </w:pPr>
          </w:p>
        </w:tc>
        <w:tc>
          <w:tcPr>
            <w:tcW w:w="491" w:type="pct"/>
          </w:tcPr>
          <w:p w14:paraId="193AA21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969D872" w14:textId="77777777" w:rsidR="00CE1436" w:rsidRDefault="00CE1436" w:rsidP="00444693">
            <w:pPr>
              <w:pStyle w:val="TableText"/>
              <w:widowControl w:val="0"/>
              <w:suppressAutoHyphens w:val="0"/>
              <w:spacing w:before="0" w:after="0" w:line="240" w:lineRule="auto"/>
              <w:jc w:val="center"/>
            </w:pPr>
            <w:r w:rsidRPr="001C1BA8">
              <w:t>8.9</w:t>
            </w:r>
            <w:r w:rsidRPr="001C1BA8">
              <w:rPr>
                <w:vertAlign w:val="superscript"/>
              </w:rPr>
              <w:t>a,c</w:t>
            </w:r>
          </w:p>
        </w:tc>
        <w:tc>
          <w:tcPr>
            <w:tcW w:w="311" w:type="pct"/>
          </w:tcPr>
          <w:p w14:paraId="6CA18A2B" w14:textId="77777777" w:rsidR="00CE1436" w:rsidRDefault="00CE1436" w:rsidP="00444693">
            <w:pPr>
              <w:pStyle w:val="TableText"/>
              <w:widowControl w:val="0"/>
              <w:suppressAutoHyphens w:val="0"/>
              <w:spacing w:before="0" w:after="0" w:line="240" w:lineRule="auto"/>
              <w:jc w:val="center"/>
            </w:pPr>
            <w:r>
              <w:t>525</w:t>
            </w:r>
          </w:p>
        </w:tc>
        <w:tc>
          <w:tcPr>
            <w:tcW w:w="312" w:type="pct"/>
          </w:tcPr>
          <w:p w14:paraId="0C3E7E1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4783CE7"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3C5501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39F85CF" w14:textId="77777777" w:rsidR="00CE1436"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79DD3A26"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370CCFD9" w14:textId="77777777" w:rsidR="00CE1436" w:rsidRDefault="00CE1436" w:rsidP="00444693">
            <w:pPr>
              <w:pStyle w:val="TableText"/>
              <w:widowControl w:val="0"/>
              <w:suppressAutoHyphens w:val="0"/>
              <w:spacing w:before="0" w:after="0" w:line="240" w:lineRule="auto"/>
              <w:jc w:val="center"/>
            </w:pPr>
            <w:r>
              <w:rPr>
                <w:color w:val="1A1B1A"/>
                <w:szCs w:val="17"/>
              </w:rPr>
              <w:t>0.33</w:t>
            </w:r>
          </w:p>
        </w:tc>
        <w:tc>
          <w:tcPr>
            <w:tcW w:w="393" w:type="pct"/>
            <w:vAlign w:val="center"/>
          </w:tcPr>
          <w:p w14:paraId="018E7E0B" w14:textId="77777777" w:rsidR="00CE1436" w:rsidRPr="00C3293F" w:rsidRDefault="00CE1436" w:rsidP="00444693">
            <w:pPr>
              <w:pStyle w:val="TableText"/>
              <w:widowControl w:val="0"/>
              <w:suppressAutoHyphens w:val="0"/>
              <w:spacing w:before="0" w:after="0" w:line="240" w:lineRule="auto"/>
              <w:jc w:val="center"/>
            </w:pPr>
            <w:r>
              <w:rPr>
                <w:color w:val="1A1B1A"/>
                <w:szCs w:val="17"/>
              </w:rPr>
              <w:t>1611</w:t>
            </w:r>
          </w:p>
        </w:tc>
      </w:tr>
      <w:tr w:rsidR="00CE1436" w:rsidRPr="00C3293F" w14:paraId="34512F73" w14:textId="77777777" w:rsidTr="00444693">
        <w:trPr>
          <w:cantSplit/>
          <w:trHeight w:val="13"/>
        </w:trPr>
        <w:tc>
          <w:tcPr>
            <w:tcW w:w="491" w:type="pct"/>
            <w:vMerge/>
            <w:tcBorders>
              <w:bottom w:val="single" w:sz="4" w:space="0" w:color="auto"/>
            </w:tcBorders>
          </w:tcPr>
          <w:p w14:paraId="7F94899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06E6A4E"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6F0D1BC" w14:textId="77777777" w:rsidR="00CE1436" w:rsidRDefault="00CE1436" w:rsidP="00444693">
            <w:pPr>
              <w:pStyle w:val="TableText"/>
              <w:widowControl w:val="0"/>
              <w:suppressAutoHyphens w:val="0"/>
              <w:spacing w:before="0" w:after="0" w:line="240" w:lineRule="auto"/>
              <w:rPr>
                <w:szCs w:val="17"/>
              </w:rPr>
            </w:pPr>
          </w:p>
        </w:tc>
        <w:tc>
          <w:tcPr>
            <w:tcW w:w="491" w:type="pct"/>
          </w:tcPr>
          <w:p w14:paraId="7FAAD0E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71CBDFD" w14:textId="77777777" w:rsidR="00CE1436" w:rsidRDefault="00CE1436" w:rsidP="00444693">
            <w:pPr>
              <w:pStyle w:val="TableText"/>
              <w:widowControl w:val="0"/>
              <w:suppressAutoHyphens w:val="0"/>
              <w:spacing w:before="0" w:after="0" w:line="240" w:lineRule="auto"/>
              <w:jc w:val="center"/>
            </w:pPr>
            <w:r w:rsidRPr="001C1BA8">
              <w:t>8.9</w:t>
            </w:r>
            <w:r w:rsidRPr="001C1BA8">
              <w:rPr>
                <w:vertAlign w:val="superscript"/>
              </w:rPr>
              <w:t>a,c</w:t>
            </w:r>
          </w:p>
        </w:tc>
        <w:tc>
          <w:tcPr>
            <w:tcW w:w="311" w:type="pct"/>
          </w:tcPr>
          <w:p w14:paraId="04B17E96"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2851F4A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B23219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3DCCEB9C"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7977916A" w14:textId="77777777" w:rsidR="00CE1436" w:rsidRDefault="00CE1436" w:rsidP="00444693">
            <w:pPr>
              <w:pStyle w:val="TableText"/>
              <w:widowControl w:val="0"/>
              <w:suppressAutoHyphens w:val="0"/>
              <w:spacing w:before="0" w:after="0" w:line="240" w:lineRule="auto"/>
              <w:jc w:val="center"/>
            </w:pPr>
            <w:r>
              <w:rPr>
                <w:color w:val="1A1B1A"/>
                <w:szCs w:val="17"/>
              </w:rPr>
              <w:t>1.0</w:t>
            </w:r>
          </w:p>
        </w:tc>
        <w:tc>
          <w:tcPr>
            <w:tcW w:w="312" w:type="pct"/>
            <w:vAlign w:val="center"/>
          </w:tcPr>
          <w:p w14:paraId="7B12963A"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31A1FB1" w14:textId="77777777" w:rsidR="00CE1436" w:rsidRDefault="00CE1436" w:rsidP="00444693">
            <w:pPr>
              <w:pStyle w:val="TableText"/>
              <w:widowControl w:val="0"/>
              <w:suppressAutoHyphens w:val="0"/>
              <w:spacing w:before="0" w:after="0" w:line="240" w:lineRule="auto"/>
              <w:jc w:val="center"/>
            </w:pPr>
            <w:r>
              <w:rPr>
                <w:color w:val="1A1B1A"/>
                <w:szCs w:val="17"/>
              </w:rPr>
              <w:t>0.27</w:t>
            </w:r>
          </w:p>
        </w:tc>
        <w:tc>
          <w:tcPr>
            <w:tcW w:w="393" w:type="pct"/>
            <w:vAlign w:val="center"/>
          </w:tcPr>
          <w:p w14:paraId="6C3E7D13" w14:textId="77777777" w:rsidR="00CE1436" w:rsidRPr="00C3293F" w:rsidRDefault="00CE1436" w:rsidP="00444693">
            <w:pPr>
              <w:pStyle w:val="TableText"/>
              <w:widowControl w:val="0"/>
              <w:suppressAutoHyphens w:val="0"/>
              <w:spacing w:before="0" w:after="0" w:line="240" w:lineRule="auto"/>
              <w:jc w:val="center"/>
            </w:pPr>
            <w:r>
              <w:rPr>
                <w:color w:val="1A1B1A"/>
                <w:szCs w:val="17"/>
              </w:rPr>
              <w:t>1611</w:t>
            </w:r>
          </w:p>
        </w:tc>
      </w:tr>
      <w:tr w:rsidR="00CE1436" w:rsidRPr="00C3293F" w14:paraId="60D1667F" w14:textId="77777777" w:rsidTr="00444693">
        <w:trPr>
          <w:cantSplit/>
          <w:trHeight w:val="13"/>
        </w:trPr>
        <w:tc>
          <w:tcPr>
            <w:tcW w:w="491" w:type="pct"/>
            <w:vMerge/>
            <w:tcBorders>
              <w:bottom w:val="single" w:sz="4" w:space="0" w:color="auto"/>
            </w:tcBorders>
          </w:tcPr>
          <w:p w14:paraId="299617D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E1D240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EFC6F6C"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754B4957"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644976E7" w14:textId="77777777" w:rsidR="00CE1436" w:rsidRDefault="00CE1436" w:rsidP="00444693">
            <w:pPr>
              <w:pStyle w:val="TableText"/>
              <w:widowControl w:val="0"/>
              <w:suppressAutoHyphens w:val="0"/>
              <w:spacing w:before="0" w:after="0" w:line="240" w:lineRule="auto"/>
              <w:jc w:val="center"/>
            </w:pPr>
            <w:r w:rsidRPr="001C1BA8">
              <w:t>8.9</w:t>
            </w:r>
            <w:r w:rsidRPr="001C1BA8">
              <w:rPr>
                <w:vertAlign w:val="superscript"/>
              </w:rPr>
              <w:t>a,c</w:t>
            </w:r>
          </w:p>
        </w:tc>
        <w:tc>
          <w:tcPr>
            <w:tcW w:w="311" w:type="pct"/>
            <w:tcBorders>
              <w:bottom w:val="single" w:sz="4" w:space="0" w:color="auto"/>
            </w:tcBorders>
          </w:tcPr>
          <w:p w14:paraId="71637620" w14:textId="77777777" w:rsidR="00CE1436" w:rsidRDefault="00CE1436" w:rsidP="00444693">
            <w:pPr>
              <w:pStyle w:val="TableText"/>
              <w:widowControl w:val="0"/>
              <w:suppressAutoHyphens w:val="0"/>
              <w:spacing w:before="0" w:after="0" w:line="240" w:lineRule="auto"/>
              <w:jc w:val="center"/>
            </w:pPr>
            <w:r>
              <w:t>173</w:t>
            </w:r>
          </w:p>
        </w:tc>
        <w:tc>
          <w:tcPr>
            <w:tcW w:w="312" w:type="pct"/>
            <w:tcBorders>
              <w:bottom w:val="single" w:sz="4" w:space="0" w:color="auto"/>
            </w:tcBorders>
          </w:tcPr>
          <w:p w14:paraId="0FB78D48"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FB3CD1D" w14:textId="77777777" w:rsidR="00CE1436" w:rsidRDefault="00CE1436" w:rsidP="00444693">
            <w:pPr>
              <w:pStyle w:val="TableText"/>
              <w:widowControl w:val="0"/>
              <w:suppressAutoHyphens w:val="0"/>
              <w:spacing w:before="0" w:after="0" w:line="240" w:lineRule="auto"/>
              <w:jc w:val="center"/>
            </w:pPr>
            <w:r>
              <w:t>0.5</w:t>
            </w:r>
          </w:p>
        </w:tc>
        <w:tc>
          <w:tcPr>
            <w:tcW w:w="312" w:type="pct"/>
            <w:tcBorders>
              <w:bottom w:val="single" w:sz="4" w:space="0" w:color="auto"/>
            </w:tcBorders>
          </w:tcPr>
          <w:p w14:paraId="7FD08FB9" w14:textId="77777777" w:rsidR="00CE1436" w:rsidRDefault="00CE1436" w:rsidP="00444693">
            <w:pPr>
              <w:pStyle w:val="TableText"/>
              <w:widowControl w:val="0"/>
              <w:suppressAutoHyphens w:val="0"/>
              <w:spacing w:before="0" w:after="0" w:line="240" w:lineRule="auto"/>
              <w:jc w:val="center"/>
            </w:pPr>
            <w:r>
              <w:t>0.53</w:t>
            </w:r>
          </w:p>
        </w:tc>
        <w:tc>
          <w:tcPr>
            <w:tcW w:w="311" w:type="pct"/>
            <w:tcBorders>
              <w:bottom w:val="single" w:sz="4" w:space="0" w:color="auto"/>
            </w:tcBorders>
            <w:vAlign w:val="center"/>
          </w:tcPr>
          <w:p w14:paraId="7F26A344" w14:textId="77777777" w:rsidR="00CE1436" w:rsidRDefault="00CE1436" w:rsidP="00444693">
            <w:pPr>
              <w:pStyle w:val="TableText"/>
              <w:widowControl w:val="0"/>
              <w:suppressAutoHyphens w:val="0"/>
              <w:spacing w:before="0" w:after="0" w:line="240" w:lineRule="auto"/>
              <w:jc w:val="center"/>
            </w:pPr>
            <w:r>
              <w:rPr>
                <w:color w:val="1A1B1A"/>
                <w:szCs w:val="17"/>
              </w:rPr>
              <w:t>0.41</w:t>
            </w:r>
          </w:p>
        </w:tc>
        <w:tc>
          <w:tcPr>
            <w:tcW w:w="312" w:type="pct"/>
            <w:tcBorders>
              <w:bottom w:val="single" w:sz="4" w:space="0" w:color="auto"/>
            </w:tcBorders>
            <w:vAlign w:val="center"/>
          </w:tcPr>
          <w:p w14:paraId="085259AC"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5A46D999" w14:textId="77777777" w:rsidR="00CE1436" w:rsidRDefault="00CE1436" w:rsidP="00444693">
            <w:pPr>
              <w:pStyle w:val="TableText"/>
              <w:widowControl w:val="0"/>
              <w:suppressAutoHyphens w:val="0"/>
              <w:spacing w:before="0" w:after="0" w:line="240" w:lineRule="auto"/>
              <w:jc w:val="center"/>
            </w:pPr>
            <w:r>
              <w:rPr>
                <w:color w:val="1A1B1A"/>
                <w:szCs w:val="17"/>
              </w:rPr>
              <w:t>0.11</w:t>
            </w:r>
          </w:p>
        </w:tc>
        <w:tc>
          <w:tcPr>
            <w:tcW w:w="393" w:type="pct"/>
            <w:tcBorders>
              <w:bottom w:val="single" w:sz="4" w:space="0" w:color="auto"/>
            </w:tcBorders>
            <w:vAlign w:val="center"/>
          </w:tcPr>
          <w:p w14:paraId="6B16B2AC" w14:textId="77777777" w:rsidR="00CE1436" w:rsidRPr="00C3293F" w:rsidRDefault="00CE1436" w:rsidP="00444693">
            <w:pPr>
              <w:pStyle w:val="TableText"/>
              <w:widowControl w:val="0"/>
              <w:suppressAutoHyphens w:val="0"/>
              <w:spacing w:before="0" w:after="0" w:line="240" w:lineRule="auto"/>
              <w:jc w:val="center"/>
            </w:pPr>
            <w:r>
              <w:rPr>
                <w:color w:val="1A1B1A"/>
                <w:szCs w:val="17"/>
              </w:rPr>
              <w:t>1611</w:t>
            </w:r>
          </w:p>
        </w:tc>
      </w:tr>
      <w:tr w:rsidR="00CE1436" w:rsidRPr="0027505E" w14:paraId="686295CD" w14:textId="77777777" w:rsidTr="00444693">
        <w:trPr>
          <w:cantSplit/>
          <w:trHeight w:val="13"/>
        </w:trPr>
        <w:tc>
          <w:tcPr>
            <w:tcW w:w="5000" w:type="pct"/>
            <w:gridSpan w:val="13"/>
            <w:tcBorders>
              <w:bottom w:val="single" w:sz="4" w:space="0" w:color="auto"/>
            </w:tcBorders>
          </w:tcPr>
          <w:p w14:paraId="5C55F345" w14:textId="77777777" w:rsidR="00CE1436" w:rsidRPr="0027505E" w:rsidRDefault="00CE1436" w:rsidP="00AC06D7">
            <w:pPr>
              <w:pStyle w:val="TableSubHead0"/>
            </w:pPr>
            <w:r w:rsidRPr="005D3DCC">
              <w:t>Spray topping in pulses</w:t>
            </w:r>
          </w:p>
        </w:tc>
      </w:tr>
      <w:tr w:rsidR="00CE1436" w:rsidRPr="00C3293F" w14:paraId="0DB66A24" w14:textId="77777777" w:rsidTr="00444693">
        <w:trPr>
          <w:cantSplit/>
          <w:trHeight w:val="13"/>
        </w:trPr>
        <w:tc>
          <w:tcPr>
            <w:tcW w:w="491" w:type="pct"/>
            <w:vMerge w:val="restart"/>
          </w:tcPr>
          <w:p w14:paraId="2919BD5B" w14:textId="77777777" w:rsidR="00CE1436" w:rsidRDefault="00CE1436" w:rsidP="00444693">
            <w:pPr>
              <w:pStyle w:val="TableText"/>
              <w:widowControl w:val="0"/>
              <w:suppressAutoHyphens w:val="0"/>
              <w:spacing w:before="0" w:after="0" w:line="240" w:lineRule="auto"/>
              <w:rPr>
                <w:szCs w:val="17"/>
              </w:rPr>
            </w:pPr>
            <w:r>
              <w:rPr>
                <w:szCs w:val="17"/>
              </w:rPr>
              <w:t>Pulses</w:t>
            </w:r>
          </w:p>
        </w:tc>
        <w:tc>
          <w:tcPr>
            <w:tcW w:w="518" w:type="pct"/>
            <w:vMerge w:val="restart"/>
          </w:tcPr>
          <w:p w14:paraId="5B820467" w14:textId="77777777" w:rsidR="00CE1436" w:rsidRPr="00336DF4"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Pr>
          <w:p w14:paraId="25EFD409" w14:textId="77777777" w:rsidR="00CE1436" w:rsidRPr="00C20C79" w:rsidRDefault="00CE1436" w:rsidP="00444693">
            <w:pPr>
              <w:pStyle w:val="TableText"/>
              <w:widowControl w:val="0"/>
              <w:suppressAutoHyphens w:val="0"/>
              <w:spacing w:before="0" w:after="0" w:line="240" w:lineRule="auto"/>
              <w:rPr>
                <w:szCs w:val="17"/>
              </w:rPr>
            </w:pPr>
            <w:r>
              <w:rPr>
                <w:szCs w:val="17"/>
              </w:rPr>
              <w:t>BBCH ≥50</w:t>
            </w:r>
          </w:p>
        </w:tc>
        <w:tc>
          <w:tcPr>
            <w:tcW w:w="491" w:type="pct"/>
            <w:tcBorders>
              <w:top w:val="single" w:sz="4" w:space="0" w:color="auto"/>
            </w:tcBorders>
          </w:tcPr>
          <w:p w14:paraId="7CA63754"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0FA59E76" w14:textId="77777777" w:rsidR="00CE1436" w:rsidRDefault="00CE1436" w:rsidP="00444693">
            <w:pPr>
              <w:pStyle w:val="TableText"/>
              <w:widowControl w:val="0"/>
              <w:suppressAutoHyphens w:val="0"/>
              <w:spacing w:before="0" w:after="0" w:line="240" w:lineRule="auto"/>
              <w:jc w:val="center"/>
            </w:pPr>
            <w:r>
              <w:t>16.8</w:t>
            </w:r>
            <w:r w:rsidRPr="00077A92">
              <w:rPr>
                <w:vertAlign w:val="superscript"/>
              </w:rPr>
              <w:t>a</w:t>
            </w:r>
            <w:r>
              <w:rPr>
                <w:vertAlign w:val="superscript"/>
              </w:rPr>
              <w:t>,c</w:t>
            </w:r>
          </w:p>
        </w:tc>
        <w:tc>
          <w:tcPr>
            <w:tcW w:w="311" w:type="pct"/>
            <w:tcBorders>
              <w:top w:val="single" w:sz="4" w:space="0" w:color="auto"/>
            </w:tcBorders>
          </w:tcPr>
          <w:p w14:paraId="5FBCBB9A" w14:textId="77777777" w:rsidR="00CE1436" w:rsidRDefault="00CE1436" w:rsidP="00444693">
            <w:pPr>
              <w:pStyle w:val="TableText"/>
              <w:widowControl w:val="0"/>
              <w:suppressAutoHyphens w:val="0"/>
              <w:spacing w:before="0" w:after="0" w:line="240" w:lineRule="auto"/>
              <w:jc w:val="center"/>
            </w:pPr>
            <w:r>
              <w:t>200</w:t>
            </w:r>
          </w:p>
        </w:tc>
        <w:tc>
          <w:tcPr>
            <w:tcW w:w="312" w:type="pct"/>
            <w:tcBorders>
              <w:top w:val="single" w:sz="4" w:space="0" w:color="auto"/>
            </w:tcBorders>
          </w:tcPr>
          <w:p w14:paraId="6675FFA0"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57DC808E"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413CA2D9"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4E4041D0" w14:textId="77777777" w:rsidR="00CE1436" w:rsidRDefault="00CE1436" w:rsidP="00444693">
            <w:pPr>
              <w:pStyle w:val="TableText"/>
              <w:widowControl w:val="0"/>
              <w:suppressAutoHyphens w:val="0"/>
              <w:spacing w:before="0" w:after="0" w:line="240" w:lineRule="auto"/>
              <w:jc w:val="center"/>
            </w:pPr>
            <w:r>
              <w:rPr>
                <w:color w:val="1A1B1A"/>
                <w:szCs w:val="17"/>
              </w:rPr>
              <w:t>3.4</w:t>
            </w:r>
          </w:p>
        </w:tc>
        <w:tc>
          <w:tcPr>
            <w:tcW w:w="312" w:type="pct"/>
            <w:tcBorders>
              <w:top w:val="single" w:sz="4" w:space="0" w:color="auto"/>
            </w:tcBorders>
            <w:vAlign w:val="center"/>
          </w:tcPr>
          <w:p w14:paraId="1229A062"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vAlign w:val="center"/>
          </w:tcPr>
          <w:p w14:paraId="61FA7E94"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0.6</w:t>
            </w:r>
          </w:p>
        </w:tc>
        <w:tc>
          <w:tcPr>
            <w:tcW w:w="393" w:type="pct"/>
            <w:tcBorders>
              <w:top w:val="single" w:sz="4" w:space="0" w:color="auto"/>
            </w:tcBorders>
            <w:vAlign w:val="center"/>
          </w:tcPr>
          <w:p w14:paraId="61D6EFB2" w14:textId="77777777" w:rsidR="00CE1436" w:rsidRPr="00C3293F" w:rsidRDefault="00CE1436" w:rsidP="00444693">
            <w:pPr>
              <w:pStyle w:val="TableText"/>
              <w:widowControl w:val="0"/>
              <w:suppressAutoHyphens w:val="0"/>
              <w:spacing w:before="0" w:after="0" w:line="240" w:lineRule="auto"/>
              <w:jc w:val="center"/>
            </w:pPr>
            <w:r>
              <w:rPr>
                <w:color w:val="1A1B1A"/>
                <w:szCs w:val="17"/>
              </w:rPr>
              <w:t>363</w:t>
            </w:r>
          </w:p>
        </w:tc>
      </w:tr>
      <w:tr w:rsidR="00CE1436" w:rsidRPr="0027505E" w14:paraId="48AFA0D3" w14:textId="77777777" w:rsidTr="00444693">
        <w:trPr>
          <w:cantSplit/>
          <w:trHeight w:val="13"/>
        </w:trPr>
        <w:tc>
          <w:tcPr>
            <w:tcW w:w="491" w:type="pct"/>
            <w:vMerge/>
            <w:tcBorders>
              <w:bottom w:val="single" w:sz="4" w:space="0" w:color="auto"/>
            </w:tcBorders>
          </w:tcPr>
          <w:p w14:paraId="2A129ED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763E3E3"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E2A5022"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78510BEE"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584392A9" w14:textId="77777777" w:rsidR="00CE1436" w:rsidRDefault="00CE1436" w:rsidP="00444693">
            <w:pPr>
              <w:pStyle w:val="TableText"/>
              <w:widowControl w:val="0"/>
              <w:suppressAutoHyphens w:val="0"/>
              <w:spacing w:before="0" w:after="0" w:line="240" w:lineRule="auto"/>
              <w:jc w:val="center"/>
            </w:pPr>
            <w:r>
              <w:t>16.8</w:t>
            </w:r>
            <w:r w:rsidRPr="00077A92">
              <w:rPr>
                <w:vertAlign w:val="superscript"/>
              </w:rPr>
              <w:t>a</w:t>
            </w:r>
            <w:r>
              <w:rPr>
                <w:vertAlign w:val="superscript"/>
              </w:rPr>
              <w:t>,c</w:t>
            </w:r>
          </w:p>
        </w:tc>
        <w:tc>
          <w:tcPr>
            <w:tcW w:w="311" w:type="pct"/>
            <w:tcBorders>
              <w:bottom w:val="single" w:sz="4" w:space="0" w:color="auto"/>
            </w:tcBorders>
          </w:tcPr>
          <w:p w14:paraId="335E3822" w14:textId="77777777" w:rsidR="00CE1436" w:rsidRDefault="00CE1436" w:rsidP="00444693">
            <w:pPr>
              <w:pStyle w:val="TableText"/>
              <w:widowControl w:val="0"/>
              <w:suppressAutoHyphens w:val="0"/>
              <w:spacing w:before="0" w:after="0" w:line="240" w:lineRule="auto"/>
              <w:jc w:val="center"/>
            </w:pPr>
            <w:r>
              <w:t>100</w:t>
            </w:r>
          </w:p>
        </w:tc>
        <w:tc>
          <w:tcPr>
            <w:tcW w:w="312" w:type="pct"/>
            <w:tcBorders>
              <w:bottom w:val="single" w:sz="4" w:space="0" w:color="auto"/>
            </w:tcBorders>
          </w:tcPr>
          <w:p w14:paraId="409C48EB"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46A62DAC"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7032F234"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6D82A31C" w14:textId="77777777" w:rsidR="00CE1436" w:rsidRPr="003B78B6" w:rsidRDefault="00CE1436" w:rsidP="00444693">
            <w:pPr>
              <w:pStyle w:val="TableText"/>
              <w:widowControl w:val="0"/>
              <w:suppressAutoHyphens w:val="0"/>
              <w:spacing w:before="0" w:after="0" w:line="240" w:lineRule="auto"/>
              <w:jc w:val="center"/>
            </w:pPr>
            <w:r>
              <w:rPr>
                <w:color w:val="1A1B1A"/>
                <w:szCs w:val="17"/>
              </w:rPr>
              <w:t>1.7</w:t>
            </w:r>
          </w:p>
        </w:tc>
        <w:tc>
          <w:tcPr>
            <w:tcW w:w="312" w:type="pct"/>
            <w:tcBorders>
              <w:bottom w:val="single" w:sz="4" w:space="0" w:color="auto"/>
            </w:tcBorders>
            <w:vAlign w:val="center"/>
          </w:tcPr>
          <w:p w14:paraId="47B84A8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040F0EE8" w14:textId="77777777" w:rsidR="00CE1436" w:rsidRPr="00EB1DDB" w:rsidRDefault="00CE1436" w:rsidP="00444693">
            <w:pPr>
              <w:pStyle w:val="TableText"/>
              <w:widowControl w:val="0"/>
              <w:suppressAutoHyphens w:val="0"/>
              <w:spacing w:before="0" w:after="0" w:line="240" w:lineRule="auto"/>
              <w:jc w:val="center"/>
              <w:rPr>
                <w:b/>
                <w:bCs/>
              </w:rPr>
            </w:pPr>
            <w:r>
              <w:rPr>
                <w:color w:val="1A1B1A"/>
                <w:szCs w:val="17"/>
              </w:rPr>
              <w:t>0.28</w:t>
            </w:r>
          </w:p>
        </w:tc>
        <w:tc>
          <w:tcPr>
            <w:tcW w:w="393" w:type="pct"/>
            <w:tcBorders>
              <w:bottom w:val="single" w:sz="4" w:space="0" w:color="auto"/>
            </w:tcBorders>
            <w:vAlign w:val="center"/>
          </w:tcPr>
          <w:p w14:paraId="50BB9E2A" w14:textId="77777777" w:rsidR="00CE1436" w:rsidRPr="0027505E" w:rsidRDefault="00CE1436" w:rsidP="00444693">
            <w:pPr>
              <w:pStyle w:val="TableText"/>
              <w:widowControl w:val="0"/>
              <w:suppressAutoHyphens w:val="0"/>
              <w:spacing w:before="0" w:after="0" w:line="240" w:lineRule="auto"/>
              <w:jc w:val="center"/>
            </w:pPr>
            <w:r>
              <w:rPr>
                <w:color w:val="1A1B1A"/>
                <w:szCs w:val="17"/>
              </w:rPr>
              <w:t>363</w:t>
            </w:r>
          </w:p>
        </w:tc>
      </w:tr>
      <w:tr w:rsidR="00CE1436" w14:paraId="31C52CCC" w14:textId="77777777" w:rsidTr="00444693">
        <w:trPr>
          <w:cantSplit/>
          <w:trHeight w:val="13"/>
        </w:trPr>
        <w:tc>
          <w:tcPr>
            <w:tcW w:w="5000" w:type="pct"/>
            <w:gridSpan w:val="13"/>
            <w:tcBorders>
              <w:bottom w:val="single" w:sz="4" w:space="0" w:color="auto"/>
            </w:tcBorders>
          </w:tcPr>
          <w:p w14:paraId="14B9AA41" w14:textId="77777777" w:rsidR="00CE1436" w:rsidRDefault="00CE1436" w:rsidP="00AC06D7">
            <w:pPr>
              <w:pStyle w:val="TableSubHead0"/>
              <w:rPr>
                <w:color w:val="1A1B1A"/>
                <w:szCs w:val="17"/>
              </w:rPr>
            </w:pPr>
            <w:r w:rsidRPr="005D3DCC">
              <w:t>Spray topping in pulses</w:t>
            </w:r>
            <w:r>
              <w:t xml:space="preserve"> (field beans)</w:t>
            </w:r>
          </w:p>
        </w:tc>
      </w:tr>
      <w:tr w:rsidR="00CE1436" w14:paraId="0C786337" w14:textId="77777777" w:rsidTr="00444693">
        <w:trPr>
          <w:cantSplit/>
          <w:trHeight w:val="13"/>
        </w:trPr>
        <w:tc>
          <w:tcPr>
            <w:tcW w:w="491" w:type="pct"/>
            <w:vMerge w:val="restart"/>
          </w:tcPr>
          <w:p w14:paraId="745455E3" w14:textId="77777777" w:rsidR="00CE1436" w:rsidRDefault="00CE1436" w:rsidP="00444693">
            <w:pPr>
              <w:pStyle w:val="TableText"/>
              <w:widowControl w:val="0"/>
              <w:suppressAutoHyphens w:val="0"/>
              <w:spacing w:before="0" w:after="0" w:line="240" w:lineRule="auto"/>
              <w:rPr>
                <w:szCs w:val="17"/>
              </w:rPr>
            </w:pPr>
            <w:r>
              <w:rPr>
                <w:szCs w:val="17"/>
              </w:rPr>
              <w:t>Pulses</w:t>
            </w:r>
          </w:p>
        </w:tc>
        <w:tc>
          <w:tcPr>
            <w:tcW w:w="518" w:type="pct"/>
            <w:vMerge w:val="restart"/>
          </w:tcPr>
          <w:p w14:paraId="626FE61D" w14:textId="77777777" w:rsidR="00CE1436" w:rsidRPr="00B6513E" w:rsidRDefault="00CE1436" w:rsidP="00444693">
            <w:pPr>
              <w:pStyle w:val="TableText"/>
              <w:widowControl w:val="0"/>
              <w:suppressAutoHyphens w:val="0"/>
              <w:spacing w:before="0" w:after="0" w:line="240" w:lineRule="auto"/>
              <w:rPr>
                <w:szCs w:val="17"/>
              </w:rPr>
            </w:pPr>
            <w:r w:rsidRPr="00B6513E">
              <w:rPr>
                <w:szCs w:val="17"/>
              </w:rPr>
              <w:t xml:space="preserve">Small </w:t>
            </w:r>
            <w:r w:rsidRPr="00B6513E">
              <w:rPr>
                <w:szCs w:val="17"/>
              </w:rPr>
              <w:lastRenderedPageBreak/>
              <w:t>herbivore</w:t>
            </w:r>
          </w:p>
        </w:tc>
        <w:tc>
          <w:tcPr>
            <w:tcW w:w="477" w:type="pct"/>
            <w:vMerge w:val="restart"/>
          </w:tcPr>
          <w:p w14:paraId="79DBE217" w14:textId="77777777" w:rsidR="00CE1436" w:rsidRDefault="00CE1436" w:rsidP="00444693">
            <w:pPr>
              <w:pStyle w:val="TableText"/>
              <w:widowControl w:val="0"/>
              <w:suppressAutoHyphens w:val="0"/>
              <w:spacing w:before="0" w:after="0" w:line="240" w:lineRule="auto"/>
              <w:rPr>
                <w:szCs w:val="17"/>
              </w:rPr>
            </w:pPr>
            <w:r>
              <w:rPr>
                <w:szCs w:val="17"/>
              </w:rPr>
              <w:lastRenderedPageBreak/>
              <w:t xml:space="preserve">BBCH </w:t>
            </w:r>
            <w:r>
              <w:rPr>
                <w:szCs w:val="17"/>
              </w:rPr>
              <w:lastRenderedPageBreak/>
              <w:t>≥50</w:t>
            </w:r>
          </w:p>
        </w:tc>
        <w:tc>
          <w:tcPr>
            <w:tcW w:w="491" w:type="pct"/>
          </w:tcPr>
          <w:p w14:paraId="037D7A5B" w14:textId="77777777" w:rsidR="00CE1436" w:rsidRDefault="00CE1436" w:rsidP="00444693">
            <w:pPr>
              <w:pStyle w:val="TableText"/>
              <w:widowControl w:val="0"/>
              <w:suppressAutoHyphens w:val="0"/>
              <w:spacing w:before="0" w:after="0" w:line="240" w:lineRule="auto"/>
              <w:jc w:val="center"/>
            </w:pPr>
            <w:r>
              <w:lastRenderedPageBreak/>
              <w:t>Acute</w:t>
            </w:r>
          </w:p>
        </w:tc>
        <w:tc>
          <w:tcPr>
            <w:tcW w:w="449" w:type="pct"/>
            <w:shd w:val="clear" w:color="auto" w:fill="D5D7D5" w:themeFill="text1" w:themeFillTint="33"/>
          </w:tcPr>
          <w:p w14:paraId="7FCB9B0B" w14:textId="77777777" w:rsidR="00CE1436" w:rsidRDefault="00CE1436" w:rsidP="00444693">
            <w:pPr>
              <w:pStyle w:val="TableText"/>
              <w:widowControl w:val="0"/>
              <w:suppressAutoHyphens w:val="0"/>
              <w:spacing w:before="0" w:after="0" w:line="240" w:lineRule="auto"/>
              <w:jc w:val="center"/>
            </w:pPr>
            <w:r>
              <w:t>33.6</w:t>
            </w:r>
            <w:r w:rsidRPr="00077A92">
              <w:rPr>
                <w:vertAlign w:val="superscript"/>
              </w:rPr>
              <w:t>a</w:t>
            </w:r>
            <w:r>
              <w:rPr>
                <w:vertAlign w:val="superscript"/>
              </w:rPr>
              <w:t>,c</w:t>
            </w:r>
          </w:p>
        </w:tc>
        <w:tc>
          <w:tcPr>
            <w:tcW w:w="311" w:type="pct"/>
          </w:tcPr>
          <w:p w14:paraId="4107F8B8"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69DD914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41AE984"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77D6AE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17B2D29"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6.7</w:t>
            </w:r>
          </w:p>
        </w:tc>
        <w:tc>
          <w:tcPr>
            <w:tcW w:w="312" w:type="pct"/>
            <w:vAlign w:val="center"/>
          </w:tcPr>
          <w:p w14:paraId="5D80406E"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6.1</w:t>
            </w:r>
          </w:p>
        </w:tc>
        <w:tc>
          <w:tcPr>
            <w:tcW w:w="312" w:type="pct"/>
            <w:shd w:val="clear" w:color="auto" w:fill="FF0000"/>
            <w:vAlign w:val="center"/>
          </w:tcPr>
          <w:p w14:paraId="1C34A131" w14:textId="77777777" w:rsidR="00CE1436" w:rsidRDefault="00CE1436" w:rsidP="00444693">
            <w:pPr>
              <w:pStyle w:val="TableText"/>
              <w:widowControl w:val="0"/>
              <w:suppressAutoHyphens w:val="0"/>
              <w:spacing w:before="0" w:after="0" w:line="240" w:lineRule="auto"/>
              <w:jc w:val="center"/>
              <w:rPr>
                <w:color w:val="1A1B1A"/>
                <w:szCs w:val="17"/>
              </w:rPr>
            </w:pPr>
            <w:r>
              <w:rPr>
                <w:b/>
                <w:bCs/>
                <w:color w:val="1A1B1A"/>
                <w:szCs w:val="17"/>
              </w:rPr>
              <w:t>1.1</w:t>
            </w:r>
          </w:p>
        </w:tc>
        <w:tc>
          <w:tcPr>
            <w:tcW w:w="393" w:type="pct"/>
            <w:vAlign w:val="center"/>
          </w:tcPr>
          <w:p w14:paraId="2A18977D"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182</w:t>
            </w:r>
          </w:p>
        </w:tc>
      </w:tr>
      <w:tr w:rsidR="00CE1436" w14:paraId="400B870A" w14:textId="77777777" w:rsidTr="00444693">
        <w:trPr>
          <w:cantSplit/>
          <w:trHeight w:val="13"/>
        </w:trPr>
        <w:tc>
          <w:tcPr>
            <w:tcW w:w="491" w:type="pct"/>
            <w:vMerge/>
            <w:tcBorders>
              <w:bottom w:val="single" w:sz="4" w:space="0" w:color="auto"/>
            </w:tcBorders>
          </w:tcPr>
          <w:p w14:paraId="0182EF6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727F62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31AE991" w14:textId="77777777" w:rsidR="00CE1436"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6A7F5C3E"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3302A2CC" w14:textId="77777777" w:rsidR="00CE1436" w:rsidRDefault="00CE1436" w:rsidP="00444693">
            <w:pPr>
              <w:pStyle w:val="TableText"/>
              <w:widowControl w:val="0"/>
              <w:suppressAutoHyphens w:val="0"/>
              <w:spacing w:before="0" w:after="0" w:line="240" w:lineRule="auto"/>
              <w:jc w:val="center"/>
            </w:pPr>
            <w:r>
              <w:t>33.6</w:t>
            </w:r>
            <w:r w:rsidRPr="00077A92">
              <w:rPr>
                <w:vertAlign w:val="superscript"/>
              </w:rPr>
              <w:t>a</w:t>
            </w:r>
            <w:r>
              <w:rPr>
                <w:vertAlign w:val="superscript"/>
              </w:rPr>
              <w:t>,c</w:t>
            </w:r>
          </w:p>
        </w:tc>
        <w:tc>
          <w:tcPr>
            <w:tcW w:w="311" w:type="pct"/>
            <w:tcBorders>
              <w:bottom w:val="single" w:sz="4" w:space="0" w:color="auto"/>
            </w:tcBorders>
          </w:tcPr>
          <w:p w14:paraId="072C31A6" w14:textId="77777777" w:rsidR="00CE1436" w:rsidRDefault="00CE1436" w:rsidP="00444693">
            <w:pPr>
              <w:pStyle w:val="TableText"/>
              <w:widowControl w:val="0"/>
              <w:suppressAutoHyphens w:val="0"/>
              <w:spacing w:before="0" w:after="0" w:line="240" w:lineRule="auto"/>
              <w:jc w:val="center"/>
            </w:pPr>
            <w:r>
              <w:t>100</w:t>
            </w:r>
          </w:p>
        </w:tc>
        <w:tc>
          <w:tcPr>
            <w:tcW w:w="312" w:type="pct"/>
            <w:tcBorders>
              <w:bottom w:val="single" w:sz="4" w:space="0" w:color="auto"/>
            </w:tcBorders>
          </w:tcPr>
          <w:p w14:paraId="45794FFF"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59FEC74C"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E308A66"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473A3216"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3.4</w:t>
            </w:r>
          </w:p>
        </w:tc>
        <w:tc>
          <w:tcPr>
            <w:tcW w:w="312" w:type="pct"/>
            <w:tcBorders>
              <w:bottom w:val="single" w:sz="4" w:space="0" w:color="auto"/>
            </w:tcBorders>
            <w:vAlign w:val="center"/>
          </w:tcPr>
          <w:p w14:paraId="1EA05754"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6.1</w:t>
            </w:r>
          </w:p>
        </w:tc>
        <w:tc>
          <w:tcPr>
            <w:tcW w:w="312" w:type="pct"/>
            <w:tcBorders>
              <w:bottom w:val="single" w:sz="4" w:space="0" w:color="auto"/>
            </w:tcBorders>
            <w:vAlign w:val="center"/>
          </w:tcPr>
          <w:p w14:paraId="0842E31F"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0.55</w:t>
            </w:r>
          </w:p>
        </w:tc>
        <w:tc>
          <w:tcPr>
            <w:tcW w:w="393" w:type="pct"/>
            <w:tcBorders>
              <w:bottom w:val="single" w:sz="4" w:space="0" w:color="auto"/>
            </w:tcBorders>
            <w:vAlign w:val="center"/>
          </w:tcPr>
          <w:p w14:paraId="090FD92F"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182</w:t>
            </w:r>
          </w:p>
        </w:tc>
      </w:tr>
      <w:tr w:rsidR="00CE1436" w:rsidRPr="0027505E" w14:paraId="121E6BD8" w14:textId="77777777" w:rsidTr="00444693">
        <w:trPr>
          <w:cantSplit/>
          <w:trHeight w:val="13"/>
        </w:trPr>
        <w:tc>
          <w:tcPr>
            <w:tcW w:w="5000" w:type="pct"/>
            <w:gridSpan w:val="13"/>
            <w:tcBorders>
              <w:bottom w:val="single" w:sz="4" w:space="0" w:color="auto"/>
            </w:tcBorders>
          </w:tcPr>
          <w:p w14:paraId="15484F7F" w14:textId="77777777" w:rsidR="00CE1436" w:rsidRPr="0027505E" w:rsidRDefault="00CE1436" w:rsidP="00AC06D7">
            <w:pPr>
              <w:pStyle w:val="TableSubHead0"/>
            </w:pPr>
            <w:r w:rsidRPr="005D3DCC">
              <w:t>General weed control in vineyards</w:t>
            </w:r>
          </w:p>
        </w:tc>
      </w:tr>
      <w:tr w:rsidR="00CE1436" w:rsidRPr="00401A10" w14:paraId="0EFFCC14" w14:textId="77777777" w:rsidTr="00444693">
        <w:trPr>
          <w:cantSplit/>
          <w:trHeight w:val="13"/>
        </w:trPr>
        <w:tc>
          <w:tcPr>
            <w:tcW w:w="491" w:type="pct"/>
            <w:vMerge w:val="restart"/>
            <w:tcBorders>
              <w:bottom w:val="single" w:sz="4" w:space="0" w:color="auto"/>
            </w:tcBorders>
          </w:tcPr>
          <w:p w14:paraId="341BF37E" w14:textId="77777777" w:rsidR="00CE1436" w:rsidRDefault="00CE1436" w:rsidP="00444693">
            <w:pPr>
              <w:pStyle w:val="TableText"/>
              <w:widowControl w:val="0"/>
              <w:suppressAutoHyphens w:val="0"/>
              <w:spacing w:before="0" w:after="0" w:line="240" w:lineRule="auto"/>
              <w:rPr>
                <w:szCs w:val="17"/>
              </w:rPr>
            </w:pPr>
            <w:r>
              <w:rPr>
                <w:szCs w:val="17"/>
              </w:rPr>
              <w:t>Vineyards</w:t>
            </w:r>
          </w:p>
        </w:tc>
        <w:tc>
          <w:tcPr>
            <w:tcW w:w="518" w:type="pct"/>
            <w:vMerge w:val="restart"/>
            <w:tcBorders>
              <w:bottom w:val="single" w:sz="4" w:space="0" w:color="auto"/>
            </w:tcBorders>
          </w:tcPr>
          <w:p w14:paraId="2F590131" w14:textId="77777777" w:rsidR="00CE1436"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048F752B" w14:textId="77777777" w:rsidR="00CE1436" w:rsidRDefault="00CE1436" w:rsidP="00444693">
            <w:pPr>
              <w:pStyle w:val="TableText"/>
              <w:widowControl w:val="0"/>
              <w:suppressAutoHyphens w:val="0"/>
              <w:spacing w:before="0" w:after="0" w:line="240" w:lineRule="auto"/>
              <w:rPr>
                <w:szCs w:val="17"/>
              </w:rPr>
            </w:pPr>
            <w:r w:rsidRPr="00065967">
              <w:rPr>
                <w:szCs w:val="17"/>
              </w:rPr>
              <w:t>Ground directed</w:t>
            </w:r>
          </w:p>
        </w:tc>
        <w:tc>
          <w:tcPr>
            <w:tcW w:w="491" w:type="pct"/>
            <w:tcBorders>
              <w:top w:val="single" w:sz="4" w:space="0" w:color="auto"/>
            </w:tcBorders>
          </w:tcPr>
          <w:p w14:paraId="0E8EA739"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11B1FCD1" w14:textId="77777777" w:rsidR="00CE1436" w:rsidRDefault="00CE1436" w:rsidP="00444693">
            <w:pPr>
              <w:pStyle w:val="TableText"/>
              <w:widowControl w:val="0"/>
              <w:suppressAutoHyphens w:val="0"/>
              <w:spacing w:before="0" w:after="0" w:line="240" w:lineRule="auto"/>
              <w:jc w:val="center"/>
            </w:pPr>
            <w:r>
              <w:t>112.0</w:t>
            </w:r>
            <w:r w:rsidRPr="00077A92">
              <w:rPr>
                <w:vertAlign w:val="superscript"/>
              </w:rPr>
              <w:t>a</w:t>
            </w:r>
          </w:p>
        </w:tc>
        <w:tc>
          <w:tcPr>
            <w:tcW w:w="311" w:type="pct"/>
            <w:tcBorders>
              <w:top w:val="single" w:sz="4" w:space="0" w:color="auto"/>
            </w:tcBorders>
          </w:tcPr>
          <w:p w14:paraId="743C9FDC"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54CDB521"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72AA96B7"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1564E19F"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5A303D0B" w14:textId="77777777" w:rsidR="00CE1436" w:rsidRDefault="00CE1436" w:rsidP="00444693">
            <w:pPr>
              <w:pStyle w:val="TableText"/>
              <w:widowControl w:val="0"/>
              <w:suppressAutoHyphens w:val="0"/>
              <w:spacing w:before="0" w:after="0" w:line="240" w:lineRule="auto"/>
              <w:jc w:val="center"/>
            </w:pPr>
            <w:r>
              <w:rPr>
                <w:color w:val="1A1B1A"/>
                <w:szCs w:val="17"/>
              </w:rPr>
              <w:t>125</w:t>
            </w:r>
          </w:p>
        </w:tc>
        <w:tc>
          <w:tcPr>
            <w:tcW w:w="312" w:type="pct"/>
            <w:tcBorders>
              <w:top w:val="single" w:sz="4" w:space="0" w:color="auto"/>
            </w:tcBorders>
            <w:vAlign w:val="center"/>
          </w:tcPr>
          <w:p w14:paraId="07A2B640"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0836744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tcBorders>
              <w:top w:val="single" w:sz="4" w:space="0" w:color="auto"/>
            </w:tcBorders>
            <w:vAlign w:val="center"/>
          </w:tcPr>
          <w:p w14:paraId="2C172554"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539E1E6D" w14:textId="77777777" w:rsidTr="00444693">
        <w:trPr>
          <w:cantSplit/>
          <w:trHeight w:val="13"/>
        </w:trPr>
        <w:tc>
          <w:tcPr>
            <w:tcW w:w="491" w:type="pct"/>
            <w:vMerge/>
            <w:tcBorders>
              <w:bottom w:val="single" w:sz="4" w:space="0" w:color="auto"/>
            </w:tcBorders>
          </w:tcPr>
          <w:p w14:paraId="0644D67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9E43361"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293C0CA"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957FA3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F2630D3" w14:textId="77777777" w:rsidR="00CE1436" w:rsidRPr="00F04A33"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172BCE45"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0694E8B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9B0581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D2F8F1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4915C6B" w14:textId="77777777" w:rsidR="00CE1436" w:rsidRPr="003B78B6" w:rsidRDefault="00CE1436" w:rsidP="00444693">
            <w:pPr>
              <w:pStyle w:val="TableText"/>
              <w:widowControl w:val="0"/>
              <w:suppressAutoHyphens w:val="0"/>
              <w:spacing w:before="0" w:after="0" w:line="240" w:lineRule="auto"/>
              <w:jc w:val="center"/>
            </w:pPr>
            <w:r>
              <w:rPr>
                <w:color w:val="1A1B1A"/>
                <w:szCs w:val="17"/>
              </w:rPr>
              <w:t>91</w:t>
            </w:r>
          </w:p>
        </w:tc>
        <w:tc>
          <w:tcPr>
            <w:tcW w:w="312" w:type="pct"/>
            <w:vAlign w:val="center"/>
          </w:tcPr>
          <w:p w14:paraId="1793406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071A667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93" w:type="pct"/>
            <w:vAlign w:val="center"/>
          </w:tcPr>
          <w:p w14:paraId="1ADAB6A8"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6055B0E3" w14:textId="77777777" w:rsidTr="00444693">
        <w:trPr>
          <w:cantSplit/>
          <w:trHeight w:val="13"/>
        </w:trPr>
        <w:tc>
          <w:tcPr>
            <w:tcW w:w="491" w:type="pct"/>
            <w:vMerge/>
            <w:tcBorders>
              <w:bottom w:val="single" w:sz="4" w:space="0" w:color="auto"/>
            </w:tcBorders>
          </w:tcPr>
          <w:p w14:paraId="74021BC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FF1905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13C3A98"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3EA0A7E5"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455CB64" w14:textId="77777777" w:rsidR="00CE1436"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5A6894F1"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7926C4A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F542CF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B4DCCFB"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2BD9D70" w14:textId="77777777" w:rsidR="00CE1436"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2F4DACE0"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1EDE96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93" w:type="pct"/>
            <w:vAlign w:val="center"/>
          </w:tcPr>
          <w:p w14:paraId="2F1F56E7"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178623B9" w14:textId="77777777" w:rsidTr="00444693">
        <w:trPr>
          <w:cantSplit/>
          <w:trHeight w:val="13"/>
        </w:trPr>
        <w:tc>
          <w:tcPr>
            <w:tcW w:w="491" w:type="pct"/>
            <w:vMerge/>
            <w:tcBorders>
              <w:bottom w:val="single" w:sz="4" w:space="0" w:color="auto"/>
            </w:tcBorders>
          </w:tcPr>
          <w:p w14:paraId="526FCD8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62D994E"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E5EFB3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CD8111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814B4AF" w14:textId="77777777" w:rsidR="00CE1436" w:rsidRPr="00F04A33"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7D649E26"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18140C5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4296AA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3ED395F"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EBECDE6" w14:textId="77777777" w:rsidR="00CE1436" w:rsidRPr="003B78B6" w:rsidRDefault="00CE1436" w:rsidP="00444693">
            <w:pPr>
              <w:pStyle w:val="TableText"/>
              <w:widowControl w:val="0"/>
              <w:suppressAutoHyphens w:val="0"/>
              <w:spacing w:before="0" w:after="0" w:line="240" w:lineRule="auto"/>
              <w:jc w:val="center"/>
            </w:pPr>
            <w:r>
              <w:rPr>
                <w:color w:val="1A1B1A"/>
                <w:szCs w:val="17"/>
              </w:rPr>
              <w:t>56</w:t>
            </w:r>
          </w:p>
        </w:tc>
        <w:tc>
          <w:tcPr>
            <w:tcW w:w="312" w:type="pct"/>
            <w:vAlign w:val="center"/>
          </w:tcPr>
          <w:p w14:paraId="08EDC8F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2543B8D3"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9.2</w:t>
            </w:r>
          </w:p>
        </w:tc>
        <w:tc>
          <w:tcPr>
            <w:tcW w:w="393" w:type="pct"/>
            <w:vAlign w:val="center"/>
          </w:tcPr>
          <w:p w14:paraId="32162B41"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1642A923" w14:textId="77777777" w:rsidTr="00444693">
        <w:trPr>
          <w:cantSplit/>
          <w:trHeight w:val="13"/>
        </w:trPr>
        <w:tc>
          <w:tcPr>
            <w:tcW w:w="491" w:type="pct"/>
            <w:vMerge/>
            <w:tcBorders>
              <w:bottom w:val="single" w:sz="4" w:space="0" w:color="auto"/>
            </w:tcBorders>
          </w:tcPr>
          <w:p w14:paraId="1015322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831894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F6C992D"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443D1D2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79437C8" w14:textId="77777777" w:rsidR="00CE1436"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0C2CF2F7"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3371923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70359C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698865B"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4672115" w14:textId="77777777" w:rsidR="00CE1436" w:rsidRDefault="00CE1436" w:rsidP="00444693">
            <w:pPr>
              <w:pStyle w:val="TableText"/>
              <w:widowControl w:val="0"/>
              <w:suppressAutoHyphens w:val="0"/>
              <w:spacing w:before="0" w:after="0" w:line="240" w:lineRule="auto"/>
              <w:jc w:val="center"/>
            </w:pPr>
            <w:r>
              <w:rPr>
                <w:color w:val="1A1B1A"/>
                <w:szCs w:val="17"/>
              </w:rPr>
              <w:t>50</w:t>
            </w:r>
          </w:p>
        </w:tc>
        <w:tc>
          <w:tcPr>
            <w:tcW w:w="312" w:type="pct"/>
            <w:vAlign w:val="center"/>
          </w:tcPr>
          <w:p w14:paraId="636CFC2B"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712D9C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8.2</w:t>
            </w:r>
          </w:p>
        </w:tc>
        <w:tc>
          <w:tcPr>
            <w:tcW w:w="393" w:type="pct"/>
            <w:vAlign w:val="center"/>
          </w:tcPr>
          <w:p w14:paraId="5939B787"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401A10" w14:paraId="5BEA9DBA" w14:textId="77777777" w:rsidTr="00444693">
        <w:trPr>
          <w:cantSplit/>
          <w:trHeight w:val="13"/>
        </w:trPr>
        <w:tc>
          <w:tcPr>
            <w:tcW w:w="491" w:type="pct"/>
            <w:vMerge/>
            <w:tcBorders>
              <w:bottom w:val="single" w:sz="4" w:space="0" w:color="auto"/>
            </w:tcBorders>
          </w:tcPr>
          <w:p w14:paraId="165F573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2A0C47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C9E2F59"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6B8B378E"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6DF34B3" w14:textId="77777777" w:rsidR="00CE1436"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4BF5A971"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2A723BE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B70DD5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3E7427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49ECD6F8" w14:textId="77777777" w:rsidR="00CE1436" w:rsidRDefault="00CE1436" w:rsidP="00444693">
            <w:pPr>
              <w:pStyle w:val="TableText"/>
              <w:widowControl w:val="0"/>
              <w:suppressAutoHyphens w:val="0"/>
              <w:spacing w:before="0" w:after="0" w:line="240" w:lineRule="auto"/>
              <w:jc w:val="center"/>
            </w:pPr>
            <w:r>
              <w:rPr>
                <w:color w:val="1A1B1A"/>
                <w:szCs w:val="17"/>
              </w:rPr>
              <w:t>48</w:t>
            </w:r>
          </w:p>
        </w:tc>
        <w:tc>
          <w:tcPr>
            <w:tcW w:w="312" w:type="pct"/>
            <w:vAlign w:val="center"/>
          </w:tcPr>
          <w:p w14:paraId="1DFFD3D8"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A6EC09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7.9</w:t>
            </w:r>
          </w:p>
        </w:tc>
        <w:tc>
          <w:tcPr>
            <w:tcW w:w="393" w:type="pct"/>
            <w:vAlign w:val="center"/>
          </w:tcPr>
          <w:p w14:paraId="05DF2066"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210BDD79" w14:textId="77777777" w:rsidTr="00444693">
        <w:trPr>
          <w:cantSplit/>
          <w:trHeight w:val="13"/>
        </w:trPr>
        <w:tc>
          <w:tcPr>
            <w:tcW w:w="491" w:type="pct"/>
            <w:vMerge/>
            <w:tcBorders>
              <w:bottom w:val="single" w:sz="4" w:space="0" w:color="auto"/>
            </w:tcBorders>
          </w:tcPr>
          <w:p w14:paraId="52B1DD0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C7879E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4E98D81"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0EE647A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3356ED6A" w14:textId="77777777" w:rsidR="00CE1436" w:rsidRPr="00F04A33"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28DED400"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0777CB5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9C052B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2324AB1"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E6826B7" w14:textId="77777777" w:rsidR="00CE1436" w:rsidRPr="003B78B6" w:rsidRDefault="00CE1436" w:rsidP="00444693">
            <w:pPr>
              <w:pStyle w:val="TableText"/>
              <w:widowControl w:val="0"/>
              <w:suppressAutoHyphens w:val="0"/>
              <w:spacing w:before="0" w:after="0" w:line="240" w:lineRule="auto"/>
              <w:jc w:val="center"/>
            </w:pPr>
            <w:r>
              <w:rPr>
                <w:color w:val="1A1B1A"/>
                <w:szCs w:val="17"/>
              </w:rPr>
              <w:t>47</w:t>
            </w:r>
          </w:p>
        </w:tc>
        <w:tc>
          <w:tcPr>
            <w:tcW w:w="312" w:type="pct"/>
            <w:vAlign w:val="center"/>
          </w:tcPr>
          <w:p w14:paraId="5CA2201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2B5C22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7.7</w:t>
            </w:r>
          </w:p>
        </w:tc>
        <w:tc>
          <w:tcPr>
            <w:tcW w:w="393" w:type="pct"/>
            <w:vAlign w:val="center"/>
          </w:tcPr>
          <w:p w14:paraId="21E67464"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0DB19259" w14:textId="77777777" w:rsidTr="00444693">
        <w:trPr>
          <w:cantSplit/>
          <w:trHeight w:val="13"/>
        </w:trPr>
        <w:tc>
          <w:tcPr>
            <w:tcW w:w="491" w:type="pct"/>
            <w:vMerge/>
            <w:tcBorders>
              <w:bottom w:val="single" w:sz="4" w:space="0" w:color="auto"/>
            </w:tcBorders>
          </w:tcPr>
          <w:p w14:paraId="5F3C26D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1AA4B8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1D1FB8C8"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6500A27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46609A5" w14:textId="77777777" w:rsidR="00CE1436" w:rsidRPr="00F04A33"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398CEB4A"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6E2B426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C9E94E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AC3199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69B98E1E" w14:textId="77777777" w:rsidR="00CE1436" w:rsidRPr="003B78B6"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0E8E140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BA419E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6.1</w:t>
            </w:r>
          </w:p>
        </w:tc>
        <w:tc>
          <w:tcPr>
            <w:tcW w:w="393" w:type="pct"/>
            <w:vAlign w:val="center"/>
          </w:tcPr>
          <w:p w14:paraId="618385D1"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27505E" w14:paraId="76205F85" w14:textId="77777777" w:rsidTr="00444693">
        <w:trPr>
          <w:cantSplit/>
          <w:trHeight w:val="13"/>
        </w:trPr>
        <w:tc>
          <w:tcPr>
            <w:tcW w:w="491" w:type="pct"/>
            <w:vMerge/>
            <w:tcBorders>
              <w:bottom w:val="single" w:sz="4" w:space="0" w:color="auto"/>
            </w:tcBorders>
          </w:tcPr>
          <w:p w14:paraId="704817A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8BF574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F8405E5"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06E330D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4D61567" w14:textId="77777777" w:rsidR="00CE1436" w:rsidRPr="00F04A33"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33FFF413"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7D4346B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8FC646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25A36974"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91151EC" w14:textId="77777777" w:rsidR="00CE1436" w:rsidRPr="003B78B6" w:rsidRDefault="00CE1436" w:rsidP="00444693">
            <w:pPr>
              <w:pStyle w:val="TableText"/>
              <w:widowControl w:val="0"/>
              <w:suppressAutoHyphens w:val="0"/>
              <w:spacing w:before="0" w:after="0" w:line="240" w:lineRule="auto"/>
              <w:jc w:val="center"/>
            </w:pPr>
            <w:r>
              <w:rPr>
                <w:color w:val="1A1B1A"/>
                <w:szCs w:val="17"/>
              </w:rPr>
              <w:t>36</w:t>
            </w:r>
          </w:p>
        </w:tc>
        <w:tc>
          <w:tcPr>
            <w:tcW w:w="312" w:type="pct"/>
            <w:vAlign w:val="center"/>
          </w:tcPr>
          <w:p w14:paraId="788088D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60EDCE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5.9</w:t>
            </w:r>
          </w:p>
        </w:tc>
        <w:tc>
          <w:tcPr>
            <w:tcW w:w="393" w:type="pct"/>
            <w:vAlign w:val="center"/>
          </w:tcPr>
          <w:p w14:paraId="333E3FBF"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1FE3CEAF" w14:textId="77777777" w:rsidTr="00444693">
        <w:trPr>
          <w:cantSplit/>
          <w:trHeight w:val="13"/>
        </w:trPr>
        <w:tc>
          <w:tcPr>
            <w:tcW w:w="491" w:type="pct"/>
            <w:vMerge/>
            <w:tcBorders>
              <w:bottom w:val="single" w:sz="4" w:space="0" w:color="auto"/>
            </w:tcBorders>
          </w:tcPr>
          <w:p w14:paraId="52FD690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EB3FBC0"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9CDE16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2A4CC81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EA40EFD" w14:textId="77777777" w:rsidR="00CE1436"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56DFDF71"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658BE29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280B450"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E924BC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2D71447E" w14:textId="77777777" w:rsidR="00CE1436" w:rsidRDefault="00CE1436" w:rsidP="00444693">
            <w:pPr>
              <w:pStyle w:val="TableText"/>
              <w:widowControl w:val="0"/>
              <w:suppressAutoHyphens w:val="0"/>
              <w:spacing w:before="0" w:after="0" w:line="240" w:lineRule="auto"/>
              <w:jc w:val="center"/>
            </w:pPr>
            <w:r>
              <w:rPr>
                <w:color w:val="1A1B1A"/>
                <w:szCs w:val="17"/>
              </w:rPr>
              <w:t>22</w:t>
            </w:r>
          </w:p>
        </w:tc>
        <w:tc>
          <w:tcPr>
            <w:tcW w:w="312" w:type="pct"/>
            <w:vAlign w:val="center"/>
          </w:tcPr>
          <w:p w14:paraId="6D5D68A4"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38457B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93" w:type="pct"/>
            <w:vAlign w:val="center"/>
          </w:tcPr>
          <w:p w14:paraId="7726A062"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27505E" w14:paraId="70C159DB" w14:textId="77777777" w:rsidTr="00444693">
        <w:trPr>
          <w:cantSplit/>
          <w:trHeight w:val="13"/>
        </w:trPr>
        <w:tc>
          <w:tcPr>
            <w:tcW w:w="491" w:type="pct"/>
            <w:vMerge/>
            <w:tcBorders>
              <w:bottom w:val="single" w:sz="4" w:space="0" w:color="auto"/>
            </w:tcBorders>
          </w:tcPr>
          <w:p w14:paraId="017CC57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AAF9742"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D4A879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F4044D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F9DEF44" w14:textId="77777777" w:rsidR="00CE1436" w:rsidRPr="00F04A33"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Pr>
          <w:p w14:paraId="68F0EF43"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7E17C09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0456116"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0AA7437"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6393920" w14:textId="77777777" w:rsidR="00CE1436" w:rsidRPr="003B78B6"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2C513D9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3B5AAB1"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3.2</w:t>
            </w:r>
          </w:p>
        </w:tc>
        <w:tc>
          <w:tcPr>
            <w:tcW w:w="393" w:type="pct"/>
            <w:vAlign w:val="center"/>
          </w:tcPr>
          <w:p w14:paraId="2B622F67" w14:textId="77777777" w:rsidR="00CE1436" w:rsidRPr="0027505E" w:rsidRDefault="00CE1436" w:rsidP="00444693">
            <w:pPr>
              <w:pStyle w:val="TableText"/>
              <w:widowControl w:val="0"/>
              <w:suppressAutoHyphens w:val="0"/>
              <w:spacing w:before="0" w:after="0" w:line="240" w:lineRule="auto"/>
              <w:jc w:val="center"/>
            </w:pPr>
            <w:r>
              <w:rPr>
                <w:color w:val="1A1B1A"/>
                <w:szCs w:val="17"/>
              </w:rPr>
              <w:t>54</w:t>
            </w:r>
          </w:p>
        </w:tc>
      </w:tr>
      <w:tr w:rsidR="00CE1436" w:rsidRPr="00401A10" w14:paraId="09F6FD5B" w14:textId="77777777" w:rsidTr="00444693">
        <w:trPr>
          <w:cantSplit/>
          <w:trHeight w:val="13"/>
        </w:trPr>
        <w:tc>
          <w:tcPr>
            <w:tcW w:w="491" w:type="pct"/>
            <w:vMerge/>
            <w:tcBorders>
              <w:bottom w:val="single" w:sz="4" w:space="0" w:color="auto"/>
            </w:tcBorders>
          </w:tcPr>
          <w:p w14:paraId="44A125C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5337A57"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2E95224" w14:textId="77777777" w:rsidR="00CE1436" w:rsidRPr="00065967"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5C0116B4"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30D0D940" w14:textId="77777777" w:rsidR="00CE1436" w:rsidRDefault="00CE1436" w:rsidP="00444693">
            <w:pPr>
              <w:pStyle w:val="TableText"/>
              <w:widowControl w:val="0"/>
              <w:suppressAutoHyphens w:val="0"/>
              <w:spacing w:before="0" w:after="0" w:line="240" w:lineRule="auto"/>
              <w:jc w:val="center"/>
            </w:pPr>
            <w:r w:rsidRPr="00E32BD0">
              <w:t>112.0</w:t>
            </w:r>
            <w:r w:rsidRPr="00E32BD0">
              <w:rPr>
                <w:vertAlign w:val="superscript"/>
              </w:rPr>
              <w:t>a</w:t>
            </w:r>
          </w:p>
        </w:tc>
        <w:tc>
          <w:tcPr>
            <w:tcW w:w="311" w:type="pct"/>
            <w:tcBorders>
              <w:bottom w:val="single" w:sz="4" w:space="0" w:color="auto"/>
            </w:tcBorders>
          </w:tcPr>
          <w:p w14:paraId="572B2844" w14:textId="77777777" w:rsidR="00CE1436" w:rsidRDefault="00CE1436" w:rsidP="00444693">
            <w:pPr>
              <w:pStyle w:val="TableText"/>
              <w:widowControl w:val="0"/>
              <w:suppressAutoHyphens w:val="0"/>
              <w:spacing w:before="0" w:after="0" w:line="240" w:lineRule="auto"/>
              <w:jc w:val="center"/>
            </w:pPr>
            <w:r>
              <w:t>170</w:t>
            </w:r>
          </w:p>
        </w:tc>
        <w:tc>
          <w:tcPr>
            <w:tcW w:w="312" w:type="pct"/>
            <w:tcBorders>
              <w:bottom w:val="single" w:sz="4" w:space="0" w:color="auto"/>
            </w:tcBorders>
          </w:tcPr>
          <w:p w14:paraId="2DB4A580"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63DEF74"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117E15A"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5C2CF39D" w14:textId="77777777" w:rsidR="00CE1436" w:rsidRDefault="00CE1436" w:rsidP="00444693">
            <w:pPr>
              <w:pStyle w:val="TableText"/>
              <w:widowControl w:val="0"/>
              <w:suppressAutoHyphens w:val="0"/>
              <w:spacing w:before="0" w:after="0" w:line="240" w:lineRule="auto"/>
              <w:jc w:val="center"/>
            </w:pPr>
            <w:r>
              <w:rPr>
                <w:color w:val="1A1B1A"/>
                <w:szCs w:val="17"/>
              </w:rPr>
              <w:t>19</w:t>
            </w:r>
          </w:p>
        </w:tc>
        <w:tc>
          <w:tcPr>
            <w:tcW w:w="312" w:type="pct"/>
            <w:tcBorders>
              <w:bottom w:val="single" w:sz="4" w:space="0" w:color="auto"/>
            </w:tcBorders>
            <w:vAlign w:val="center"/>
          </w:tcPr>
          <w:p w14:paraId="438AB789"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shd w:val="clear" w:color="auto" w:fill="FF0000"/>
            <w:vAlign w:val="center"/>
          </w:tcPr>
          <w:p w14:paraId="3BAFD305"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3.1</w:t>
            </w:r>
          </w:p>
        </w:tc>
        <w:tc>
          <w:tcPr>
            <w:tcW w:w="393" w:type="pct"/>
            <w:tcBorders>
              <w:bottom w:val="single" w:sz="4" w:space="0" w:color="auto"/>
            </w:tcBorders>
            <w:vAlign w:val="center"/>
          </w:tcPr>
          <w:p w14:paraId="633F2EE5" w14:textId="77777777" w:rsidR="00CE1436" w:rsidRPr="00401A10" w:rsidRDefault="00CE1436" w:rsidP="00444693">
            <w:pPr>
              <w:pStyle w:val="TableText"/>
              <w:widowControl w:val="0"/>
              <w:suppressAutoHyphens w:val="0"/>
              <w:spacing w:before="0" w:after="0" w:line="240" w:lineRule="auto"/>
              <w:jc w:val="center"/>
              <w:rPr>
                <w:b/>
                <w:bCs/>
              </w:rPr>
            </w:pPr>
            <w:r>
              <w:rPr>
                <w:color w:val="1A1B1A"/>
                <w:szCs w:val="17"/>
              </w:rPr>
              <w:t>54</w:t>
            </w:r>
          </w:p>
        </w:tc>
      </w:tr>
      <w:tr w:rsidR="00CE1436" w:rsidRPr="00C3293F" w14:paraId="011ACACB" w14:textId="77777777" w:rsidTr="00444693">
        <w:trPr>
          <w:cantSplit/>
          <w:trHeight w:val="13"/>
        </w:trPr>
        <w:tc>
          <w:tcPr>
            <w:tcW w:w="491" w:type="pct"/>
            <w:vMerge/>
            <w:tcBorders>
              <w:bottom w:val="single" w:sz="4" w:space="0" w:color="auto"/>
            </w:tcBorders>
          </w:tcPr>
          <w:p w14:paraId="636250B1"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4DBE7ED3" w14:textId="77777777" w:rsidR="00CE1436" w:rsidRDefault="00CE1436" w:rsidP="00444693">
            <w:pPr>
              <w:pStyle w:val="TableText"/>
              <w:widowControl w:val="0"/>
              <w:suppressAutoHyphens w:val="0"/>
              <w:spacing w:before="0" w:after="0" w:line="240" w:lineRule="auto"/>
              <w:rPr>
                <w:szCs w:val="17"/>
              </w:rPr>
            </w:pPr>
            <w:r>
              <w:rPr>
                <w:szCs w:val="17"/>
              </w:rPr>
              <w:t>Large herbivore</w:t>
            </w:r>
          </w:p>
        </w:tc>
        <w:tc>
          <w:tcPr>
            <w:tcW w:w="477" w:type="pct"/>
            <w:vMerge w:val="restart"/>
            <w:tcBorders>
              <w:bottom w:val="single" w:sz="4" w:space="0" w:color="auto"/>
            </w:tcBorders>
          </w:tcPr>
          <w:p w14:paraId="20144D68" w14:textId="77777777" w:rsidR="00CE1436" w:rsidRDefault="00CE1436" w:rsidP="00444693">
            <w:pPr>
              <w:pStyle w:val="TableText"/>
              <w:widowControl w:val="0"/>
              <w:suppressAutoHyphens w:val="0"/>
              <w:spacing w:before="0" w:after="0" w:line="240" w:lineRule="auto"/>
              <w:rPr>
                <w:szCs w:val="17"/>
              </w:rPr>
            </w:pPr>
            <w:r w:rsidRPr="00065967">
              <w:rPr>
                <w:szCs w:val="17"/>
              </w:rPr>
              <w:t>Ground directed</w:t>
            </w:r>
          </w:p>
        </w:tc>
        <w:tc>
          <w:tcPr>
            <w:tcW w:w="491" w:type="pct"/>
            <w:tcBorders>
              <w:top w:val="single" w:sz="4" w:space="0" w:color="auto"/>
            </w:tcBorders>
          </w:tcPr>
          <w:p w14:paraId="45EA3FB6"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469AF40C" w14:textId="77777777" w:rsidR="00CE1436" w:rsidRDefault="00CE1436" w:rsidP="00444693">
            <w:pPr>
              <w:pStyle w:val="TableText"/>
              <w:widowControl w:val="0"/>
              <w:suppressAutoHyphens w:val="0"/>
              <w:spacing w:before="0" w:after="0" w:line="240" w:lineRule="auto"/>
              <w:jc w:val="center"/>
            </w:pPr>
            <w:r>
              <w:t>22.2</w:t>
            </w:r>
            <w:r w:rsidRPr="00077A92">
              <w:rPr>
                <w:vertAlign w:val="superscript"/>
              </w:rPr>
              <w:t>b</w:t>
            </w:r>
          </w:p>
        </w:tc>
        <w:tc>
          <w:tcPr>
            <w:tcW w:w="311" w:type="pct"/>
            <w:tcBorders>
              <w:top w:val="single" w:sz="4" w:space="0" w:color="auto"/>
            </w:tcBorders>
          </w:tcPr>
          <w:p w14:paraId="41913C69"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7BC76FFE"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2D205A09"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4D2AE15D"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vAlign w:val="center"/>
          </w:tcPr>
          <w:p w14:paraId="01147B50" w14:textId="77777777" w:rsidR="00CE1436" w:rsidRDefault="00CE1436" w:rsidP="00444693">
            <w:pPr>
              <w:pStyle w:val="TableText"/>
              <w:widowControl w:val="0"/>
              <w:suppressAutoHyphens w:val="0"/>
              <w:spacing w:before="0" w:after="0" w:line="240" w:lineRule="auto"/>
              <w:jc w:val="center"/>
            </w:pPr>
            <w:r>
              <w:rPr>
                <w:color w:val="1A1B1A"/>
                <w:szCs w:val="17"/>
              </w:rPr>
              <w:t>25</w:t>
            </w:r>
          </w:p>
        </w:tc>
        <w:tc>
          <w:tcPr>
            <w:tcW w:w="312" w:type="pct"/>
            <w:tcBorders>
              <w:top w:val="single" w:sz="4" w:space="0" w:color="auto"/>
            </w:tcBorders>
            <w:vAlign w:val="center"/>
          </w:tcPr>
          <w:p w14:paraId="09CB6D54" w14:textId="77777777" w:rsidR="00CE1436" w:rsidRDefault="00CE1436" w:rsidP="00444693">
            <w:pPr>
              <w:pStyle w:val="TableText"/>
              <w:widowControl w:val="0"/>
              <w:suppressAutoHyphens w:val="0"/>
              <w:spacing w:before="0" w:after="0" w:line="240" w:lineRule="auto"/>
              <w:jc w:val="center"/>
            </w:pPr>
            <w:r>
              <w:rPr>
                <w:color w:val="1A1B1A"/>
                <w:szCs w:val="17"/>
              </w:rPr>
              <w:t>6.1</w:t>
            </w:r>
          </w:p>
        </w:tc>
        <w:tc>
          <w:tcPr>
            <w:tcW w:w="312" w:type="pct"/>
            <w:tcBorders>
              <w:top w:val="single" w:sz="4" w:space="0" w:color="auto"/>
            </w:tcBorders>
            <w:shd w:val="clear" w:color="auto" w:fill="FF0000"/>
            <w:vAlign w:val="center"/>
          </w:tcPr>
          <w:p w14:paraId="5C2DEB02"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4.1</w:t>
            </w:r>
          </w:p>
        </w:tc>
        <w:tc>
          <w:tcPr>
            <w:tcW w:w="393" w:type="pct"/>
            <w:tcBorders>
              <w:top w:val="single" w:sz="4" w:space="0" w:color="auto"/>
            </w:tcBorders>
            <w:vAlign w:val="center"/>
          </w:tcPr>
          <w:p w14:paraId="689D999B" w14:textId="77777777" w:rsidR="00CE1436" w:rsidRPr="00C3293F"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07115D6B" w14:textId="77777777" w:rsidTr="00444693">
        <w:trPr>
          <w:cantSplit/>
          <w:trHeight w:val="13"/>
        </w:trPr>
        <w:tc>
          <w:tcPr>
            <w:tcW w:w="491" w:type="pct"/>
            <w:vMerge/>
            <w:tcBorders>
              <w:bottom w:val="single" w:sz="4" w:space="0" w:color="auto"/>
            </w:tcBorders>
          </w:tcPr>
          <w:p w14:paraId="7BE28E6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D7E229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B02EFED"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2ABB197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6CD8156" w14:textId="77777777" w:rsidR="00CE1436" w:rsidRPr="003D3212"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74E7B188"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7792A0D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F308037"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2B3956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E78291A" w14:textId="77777777" w:rsidR="00CE1436" w:rsidRPr="003B78B6"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32CD8E4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12D73C3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2.9</w:t>
            </w:r>
          </w:p>
        </w:tc>
        <w:tc>
          <w:tcPr>
            <w:tcW w:w="393" w:type="pct"/>
            <w:vAlign w:val="center"/>
          </w:tcPr>
          <w:p w14:paraId="662DD355"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314BD4D8" w14:textId="77777777" w:rsidTr="00444693">
        <w:trPr>
          <w:cantSplit/>
          <w:trHeight w:val="13"/>
        </w:trPr>
        <w:tc>
          <w:tcPr>
            <w:tcW w:w="491" w:type="pct"/>
            <w:vMerge/>
            <w:tcBorders>
              <w:bottom w:val="single" w:sz="4" w:space="0" w:color="auto"/>
            </w:tcBorders>
          </w:tcPr>
          <w:p w14:paraId="403976D0"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78FD21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37BB5F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C00971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DB0A5A4" w14:textId="77777777" w:rsidR="00CE1436"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5CCF7A70"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1E99102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10E60FE"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FABD78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0E781536" w14:textId="77777777" w:rsidR="00CE1436"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2FD270D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373EBE3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93" w:type="pct"/>
            <w:vAlign w:val="center"/>
          </w:tcPr>
          <w:p w14:paraId="7D1532D3" w14:textId="77777777" w:rsidR="00CE1436" w:rsidRPr="00C3293F"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6EC4FF92" w14:textId="77777777" w:rsidTr="00444693">
        <w:trPr>
          <w:cantSplit/>
          <w:trHeight w:val="13"/>
        </w:trPr>
        <w:tc>
          <w:tcPr>
            <w:tcW w:w="491" w:type="pct"/>
            <w:vMerge/>
            <w:tcBorders>
              <w:bottom w:val="single" w:sz="4" w:space="0" w:color="auto"/>
            </w:tcBorders>
          </w:tcPr>
          <w:p w14:paraId="4531369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C08FE3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00CCA3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5B651B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E6A6427" w14:textId="77777777" w:rsidR="00CE1436" w:rsidRPr="003D3212"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2290F141"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2D84103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E6F2AB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9C72179"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75BFB1E" w14:textId="77777777" w:rsidR="00CE1436" w:rsidRPr="003B78B6"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1EBD97C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6A7453BB"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0BBD0DBF"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351683AF" w14:textId="77777777" w:rsidTr="00444693">
        <w:trPr>
          <w:cantSplit/>
          <w:trHeight w:val="13"/>
        </w:trPr>
        <w:tc>
          <w:tcPr>
            <w:tcW w:w="491" w:type="pct"/>
            <w:vMerge/>
            <w:tcBorders>
              <w:bottom w:val="single" w:sz="4" w:space="0" w:color="auto"/>
            </w:tcBorders>
          </w:tcPr>
          <w:p w14:paraId="168D842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E14307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7947D67"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69BC46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0CA006C" w14:textId="77777777" w:rsidR="00CE1436"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107F361C"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7B4B81D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AC14C1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4908AF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830B8B8" w14:textId="77777777" w:rsidR="00CE1436" w:rsidRDefault="00CE1436" w:rsidP="00444693">
            <w:pPr>
              <w:pStyle w:val="TableText"/>
              <w:widowControl w:val="0"/>
              <w:suppressAutoHyphens w:val="0"/>
              <w:spacing w:before="0" w:after="0" w:line="240" w:lineRule="auto"/>
              <w:jc w:val="center"/>
            </w:pPr>
            <w:r>
              <w:rPr>
                <w:color w:val="1A1B1A"/>
                <w:szCs w:val="17"/>
              </w:rPr>
              <w:t>9.9</w:t>
            </w:r>
          </w:p>
        </w:tc>
        <w:tc>
          <w:tcPr>
            <w:tcW w:w="312" w:type="pct"/>
            <w:vAlign w:val="center"/>
          </w:tcPr>
          <w:p w14:paraId="402B3626"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4C9185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93" w:type="pct"/>
            <w:vAlign w:val="center"/>
          </w:tcPr>
          <w:p w14:paraId="41B76E7D" w14:textId="77777777" w:rsidR="00CE1436" w:rsidRPr="00C3293F"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1F854482" w14:textId="77777777" w:rsidTr="00444693">
        <w:trPr>
          <w:cantSplit/>
          <w:trHeight w:val="13"/>
        </w:trPr>
        <w:tc>
          <w:tcPr>
            <w:tcW w:w="491" w:type="pct"/>
            <w:vMerge/>
            <w:tcBorders>
              <w:bottom w:val="single" w:sz="4" w:space="0" w:color="auto"/>
            </w:tcBorders>
          </w:tcPr>
          <w:p w14:paraId="3BC694F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C4E5B2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50C4F5E"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744DC5AD"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6A579DA" w14:textId="77777777" w:rsidR="00CE1436"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754091B5"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4922D413"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82EB88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36A659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3C83B6D" w14:textId="77777777" w:rsidR="00CE1436" w:rsidRDefault="00CE1436" w:rsidP="00444693">
            <w:pPr>
              <w:pStyle w:val="TableText"/>
              <w:widowControl w:val="0"/>
              <w:suppressAutoHyphens w:val="0"/>
              <w:spacing w:before="0" w:after="0" w:line="240" w:lineRule="auto"/>
              <w:jc w:val="center"/>
            </w:pPr>
            <w:r>
              <w:rPr>
                <w:color w:val="1A1B1A"/>
                <w:szCs w:val="17"/>
              </w:rPr>
              <w:t>9.6</w:t>
            </w:r>
          </w:p>
        </w:tc>
        <w:tc>
          <w:tcPr>
            <w:tcW w:w="312" w:type="pct"/>
            <w:vAlign w:val="center"/>
          </w:tcPr>
          <w:p w14:paraId="639CC22D"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0FD222AD"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93" w:type="pct"/>
            <w:vAlign w:val="center"/>
          </w:tcPr>
          <w:p w14:paraId="0B88F0A9" w14:textId="77777777" w:rsidR="00CE1436" w:rsidRPr="00C3293F"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04442896" w14:textId="77777777" w:rsidTr="00444693">
        <w:trPr>
          <w:cantSplit/>
          <w:trHeight w:val="13"/>
        </w:trPr>
        <w:tc>
          <w:tcPr>
            <w:tcW w:w="491" w:type="pct"/>
            <w:vMerge/>
            <w:tcBorders>
              <w:bottom w:val="single" w:sz="4" w:space="0" w:color="auto"/>
            </w:tcBorders>
          </w:tcPr>
          <w:p w14:paraId="56A2032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5F8D11"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CB38ADD"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EE2F0E9"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341166D" w14:textId="77777777" w:rsidR="00CE1436" w:rsidRPr="003D3212"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33063023"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0F716EB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DB0CDE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2D6E616"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1945C06C" w14:textId="77777777" w:rsidR="00CE1436" w:rsidRPr="003B78B6" w:rsidRDefault="00CE1436" w:rsidP="00444693">
            <w:pPr>
              <w:pStyle w:val="TableText"/>
              <w:widowControl w:val="0"/>
              <w:suppressAutoHyphens w:val="0"/>
              <w:spacing w:before="0" w:after="0" w:line="240" w:lineRule="auto"/>
              <w:jc w:val="center"/>
            </w:pPr>
            <w:r>
              <w:rPr>
                <w:color w:val="1A1B1A"/>
                <w:szCs w:val="17"/>
              </w:rPr>
              <w:t>9.3</w:t>
            </w:r>
          </w:p>
        </w:tc>
        <w:tc>
          <w:tcPr>
            <w:tcW w:w="312" w:type="pct"/>
            <w:vAlign w:val="center"/>
          </w:tcPr>
          <w:p w14:paraId="23F3AE53"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56737DB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93" w:type="pct"/>
            <w:vAlign w:val="center"/>
          </w:tcPr>
          <w:p w14:paraId="27ABC8D4"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2F71F4F4" w14:textId="77777777" w:rsidTr="00444693">
        <w:trPr>
          <w:cantSplit/>
          <w:trHeight w:val="13"/>
        </w:trPr>
        <w:tc>
          <w:tcPr>
            <w:tcW w:w="491" w:type="pct"/>
            <w:vMerge/>
            <w:tcBorders>
              <w:bottom w:val="single" w:sz="4" w:space="0" w:color="auto"/>
            </w:tcBorders>
          </w:tcPr>
          <w:p w14:paraId="45D5C57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505C1FF"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8F023F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6FA0636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712CB8C" w14:textId="77777777" w:rsidR="00CE1436" w:rsidRPr="003D3212"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2717A562"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51306D4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9DC297C"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E304FD8"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E73C41F" w14:textId="77777777" w:rsidR="00CE1436" w:rsidRPr="003B78B6" w:rsidRDefault="00CE1436" w:rsidP="00444693">
            <w:pPr>
              <w:pStyle w:val="TableText"/>
              <w:widowControl w:val="0"/>
              <w:suppressAutoHyphens w:val="0"/>
              <w:spacing w:before="0" w:after="0" w:line="240" w:lineRule="auto"/>
              <w:jc w:val="center"/>
            </w:pPr>
            <w:r>
              <w:rPr>
                <w:color w:val="1A1B1A"/>
                <w:szCs w:val="17"/>
              </w:rPr>
              <w:t>7.3</w:t>
            </w:r>
          </w:p>
        </w:tc>
        <w:tc>
          <w:tcPr>
            <w:tcW w:w="312" w:type="pct"/>
            <w:vAlign w:val="center"/>
          </w:tcPr>
          <w:p w14:paraId="7A37AB01"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44A84C1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077BB240"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0083321C" w14:textId="77777777" w:rsidTr="00444693">
        <w:trPr>
          <w:cantSplit/>
          <w:trHeight w:val="13"/>
        </w:trPr>
        <w:tc>
          <w:tcPr>
            <w:tcW w:w="491" w:type="pct"/>
            <w:vMerge/>
            <w:tcBorders>
              <w:bottom w:val="single" w:sz="4" w:space="0" w:color="auto"/>
            </w:tcBorders>
          </w:tcPr>
          <w:p w14:paraId="41CEF4D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B94429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1CB43D7"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2DF676A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332E5EB" w14:textId="77777777" w:rsidR="00CE1436" w:rsidRPr="003D3212"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32AB4EE0"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70FDAD6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EF34ECB"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722A912"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37BD03E3" w14:textId="77777777" w:rsidR="00CE1436" w:rsidRPr="003B78B6" w:rsidRDefault="00CE1436" w:rsidP="00444693">
            <w:pPr>
              <w:pStyle w:val="TableText"/>
              <w:widowControl w:val="0"/>
              <w:suppressAutoHyphens w:val="0"/>
              <w:spacing w:before="0" w:after="0" w:line="240" w:lineRule="auto"/>
              <w:jc w:val="center"/>
            </w:pPr>
            <w:r>
              <w:rPr>
                <w:color w:val="1A1B1A"/>
                <w:szCs w:val="17"/>
              </w:rPr>
              <w:t>7.2</w:t>
            </w:r>
          </w:p>
        </w:tc>
        <w:tc>
          <w:tcPr>
            <w:tcW w:w="312" w:type="pct"/>
            <w:vAlign w:val="center"/>
          </w:tcPr>
          <w:p w14:paraId="694AE7F7"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shd w:val="clear" w:color="auto" w:fill="FF0000"/>
            <w:vAlign w:val="center"/>
          </w:tcPr>
          <w:p w14:paraId="79B1DA0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93" w:type="pct"/>
            <w:vAlign w:val="center"/>
          </w:tcPr>
          <w:p w14:paraId="37061C94"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6E739738" w14:textId="77777777" w:rsidTr="00444693">
        <w:trPr>
          <w:cantSplit/>
          <w:trHeight w:val="13"/>
        </w:trPr>
        <w:tc>
          <w:tcPr>
            <w:tcW w:w="491" w:type="pct"/>
            <w:vMerge/>
            <w:tcBorders>
              <w:bottom w:val="single" w:sz="4" w:space="0" w:color="auto"/>
            </w:tcBorders>
          </w:tcPr>
          <w:p w14:paraId="44261591"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4163AC4"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3D91D09"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B3BC61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F2A9EA4" w14:textId="77777777" w:rsidR="00CE1436"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0114EE52"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1B07731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7D809A3"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5F678F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5B8C37AB" w14:textId="77777777" w:rsidR="00CE1436" w:rsidRDefault="00CE1436" w:rsidP="00444693">
            <w:pPr>
              <w:pStyle w:val="TableText"/>
              <w:widowControl w:val="0"/>
              <w:suppressAutoHyphens w:val="0"/>
              <w:spacing w:before="0" w:after="0" w:line="240" w:lineRule="auto"/>
              <w:jc w:val="center"/>
            </w:pPr>
            <w:r>
              <w:rPr>
                <w:color w:val="1A1B1A"/>
                <w:szCs w:val="17"/>
              </w:rPr>
              <w:t>4.4</w:t>
            </w:r>
          </w:p>
        </w:tc>
        <w:tc>
          <w:tcPr>
            <w:tcW w:w="312" w:type="pct"/>
            <w:vAlign w:val="center"/>
          </w:tcPr>
          <w:p w14:paraId="2D4094B2"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21952C4F" w14:textId="77777777" w:rsidR="00CE1436" w:rsidRDefault="00CE1436" w:rsidP="00444693">
            <w:pPr>
              <w:pStyle w:val="TableText"/>
              <w:widowControl w:val="0"/>
              <w:suppressAutoHyphens w:val="0"/>
              <w:spacing w:before="0" w:after="0" w:line="240" w:lineRule="auto"/>
              <w:jc w:val="center"/>
            </w:pPr>
            <w:r>
              <w:rPr>
                <w:color w:val="1A1B1A"/>
                <w:szCs w:val="17"/>
              </w:rPr>
              <w:t>0.73</w:t>
            </w:r>
          </w:p>
        </w:tc>
        <w:tc>
          <w:tcPr>
            <w:tcW w:w="393" w:type="pct"/>
            <w:vAlign w:val="center"/>
          </w:tcPr>
          <w:p w14:paraId="72D19CA7" w14:textId="77777777" w:rsidR="00CE1436" w:rsidRPr="00C3293F" w:rsidRDefault="00CE1436" w:rsidP="00444693">
            <w:pPr>
              <w:pStyle w:val="TableText"/>
              <w:widowControl w:val="0"/>
              <w:suppressAutoHyphens w:val="0"/>
              <w:spacing w:before="0" w:after="0" w:line="240" w:lineRule="auto"/>
              <w:jc w:val="center"/>
            </w:pPr>
            <w:r>
              <w:rPr>
                <w:color w:val="1A1B1A"/>
                <w:szCs w:val="17"/>
              </w:rPr>
              <w:t>275</w:t>
            </w:r>
          </w:p>
        </w:tc>
      </w:tr>
      <w:tr w:rsidR="00CE1436" w:rsidRPr="0027505E" w14:paraId="34952133" w14:textId="77777777" w:rsidTr="00444693">
        <w:trPr>
          <w:cantSplit/>
          <w:trHeight w:val="13"/>
        </w:trPr>
        <w:tc>
          <w:tcPr>
            <w:tcW w:w="491" w:type="pct"/>
            <w:vMerge/>
            <w:tcBorders>
              <w:bottom w:val="single" w:sz="4" w:space="0" w:color="auto"/>
            </w:tcBorders>
          </w:tcPr>
          <w:p w14:paraId="637D368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5A2BF20"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F8B0AC9"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7429AAE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D8DDFEA" w14:textId="77777777" w:rsidR="00CE1436" w:rsidRPr="003D3212"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Pr>
          <w:p w14:paraId="46D41436"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51182D5D"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791292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06E43A8D" w14:textId="77777777" w:rsidR="00CE1436" w:rsidRDefault="00CE1436" w:rsidP="00444693">
            <w:pPr>
              <w:pStyle w:val="TableText"/>
              <w:widowControl w:val="0"/>
              <w:suppressAutoHyphens w:val="0"/>
              <w:spacing w:before="0" w:after="0" w:line="240" w:lineRule="auto"/>
              <w:jc w:val="center"/>
            </w:pPr>
            <w:r>
              <w:t>1.0</w:t>
            </w:r>
          </w:p>
        </w:tc>
        <w:tc>
          <w:tcPr>
            <w:tcW w:w="311" w:type="pct"/>
            <w:vAlign w:val="center"/>
          </w:tcPr>
          <w:p w14:paraId="7CA6D8FC" w14:textId="77777777" w:rsidR="00CE1436" w:rsidRPr="003B78B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27DF2A5E"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7692480" w14:textId="77777777" w:rsidR="00CE1436" w:rsidRPr="0027505E" w:rsidRDefault="00CE1436" w:rsidP="00444693">
            <w:pPr>
              <w:pStyle w:val="TableText"/>
              <w:widowControl w:val="0"/>
              <w:suppressAutoHyphens w:val="0"/>
              <w:spacing w:before="0" w:after="0" w:line="240" w:lineRule="auto"/>
              <w:jc w:val="center"/>
            </w:pPr>
            <w:r>
              <w:rPr>
                <w:color w:val="1A1B1A"/>
                <w:szCs w:val="17"/>
              </w:rPr>
              <w:t>0.63</w:t>
            </w:r>
          </w:p>
        </w:tc>
        <w:tc>
          <w:tcPr>
            <w:tcW w:w="393" w:type="pct"/>
            <w:vAlign w:val="center"/>
          </w:tcPr>
          <w:p w14:paraId="57AA1FDC" w14:textId="77777777" w:rsidR="00CE1436" w:rsidRPr="0027505E"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54268701" w14:textId="77777777" w:rsidTr="00444693">
        <w:trPr>
          <w:cantSplit/>
          <w:trHeight w:val="13"/>
        </w:trPr>
        <w:tc>
          <w:tcPr>
            <w:tcW w:w="491" w:type="pct"/>
            <w:vMerge/>
            <w:tcBorders>
              <w:bottom w:val="single" w:sz="4" w:space="0" w:color="auto"/>
            </w:tcBorders>
          </w:tcPr>
          <w:p w14:paraId="5827790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D5B7AD3"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983FD12" w14:textId="77777777" w:rsidR="00CE1436" w:rsidRPr="00065967"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17905E4E"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187E83BF" w14:textId="77777777" w:rsidR="00CE1436" w:rsidRDefault="00CE1436" w:rsidP="00444693">
            <w:pPr>
              <w:pStyle w:val="TableText"/>
              <w:widowControl w:val="0"/>
              <w:suppressAutoHyphens w:val="0"/>
              <w:spacing w:before="0" w:after="0" w:line="240" w:lineRule="auto"/>
              <w:jc w:val="center"/>
            </w:pPr>
            <w:r w:rsidRPr="00CF3343">
              <w:t>22.2</w:t>
            </w:r>
            <w:r w:rsidRPr="00CF3343">
              <w:rPr>
                <w:vertAlign w:val="superscript"/>
              </w:rPr>
              <w:t>b</w:t>
            </w:r>
          </w:p>
        </w:tc>
        <w:tc>
          <w:tcPr>
            <w:tcW w:w="311" w:type="pct"/>
            <w:tcBorders>
              <w:bottom w:val="single" w:sz="4" w:space="0" w:color="auto"/>
            </w:tcBorders>
          </w:tcPr>
          <w:p w14:paraId="4890ECB6" w14:textId="77777777" w:rsidR="00CE1436" w:rsidRDefault="00CE1436" w:rsidP="00444693">
            <w:pPr>
              <w:pStyle w:val="TableText"/>
              <w:widowControl w:val="0"/>
              <w:suppressAutoHyphens w:val="0"/>
              <w:spacing w:before="0" w:after="0" w:line="240" w:lineRule="auto"/>
              <w:jc w:val="center"/>
            </w:pPr>
            <w:r>
              <w:t>170</w:t>
            </w:r>
          </w:p>
        </w:tc>
        <w:tc>
          <w:tcPr>
            <w:tcW w:w="312" w:type="pct"/>
            <w:tcBorders>
              <w:bottom w:val="single" w:sz="4" w:space="0" w:color="auto"/>
            </w:tcBorders>
          </w:tcPr>
          <w:p w14:paraId="7AD5D00A"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779B0C3C"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12315CB3"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vAlign w:val="center"/>
          </w:tcPr>
          <w:p w14:paraId="0ABDFF18"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35EFFACF" w14:textId="77777777" w:rsidR="00CE1436"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tcBorders>
              <w:bottom w:val="single" w:sz="4" w:space="0" w:color="auto"/>
            </w:tcBorders>
            <w:vAlign w:val="center"/>
          </w:tcPr>
          <w:p w14:paraId="5275AECA" w14:textId="77777777" w:rsidR="00CE1436" w:rsidRDefault="00CE1436" w:rsidP="00444693">
            <w:pPr>
              <w:pStyle w:val="TableText"/>
              <w:widowControl w:val="0"/>
              <w:suppressAutoHyphens w:val="0"/>
              <w:spacing w:before="0" w:after="0" w:line="240" w:lineRule="auto"/>
              <w:jc w:val="center"/>
            </w:pPr>
            <w:r>
              <w:rPr>
                <w:color w:val="1A1B1A"/>
                <w:szCs w:val="17"/>
              </w:rPr>
              <w:t>0.62</w:t>
            </w:r>
          </w:p>
        </w:tc>
        <w:tc>
          <w:tcPr>
            <w:tcW w:w="393" w:type="pct"/>
            <w:tcBorders>
              <w:bottom w:val="single" w:sz="4" w:space="0" w:color="auto"/>
            </w:tcBorders>
            <w:vAlign w:val="center"/>
          </w:tcPr>
          <w:p w14:paraId="07BF6230" w14:textId="77777777" w:rsidR="00CE1436" w:rsidRPr="00C3293F" w:rsidRDefault="00CE1436" w:rsidP="00444693">
            <w:pPr>
              <w:pStyle w:val="TableText"/>
              <w:widowControl w:val="0"/>
              <w:suppressAutoHyphens w:val="0"/>
              <w:spacing w:before="0" w:after="0" w:line="240" w:lineRule="auto"/>
              <w:jc w:val="center"/>
            </w:pPr>
            <w:r>
              <w:rPr>
                <w:color w:val="1A1B1A"/>
                <w:szCs w:val="17"/>
              </w:rPr>
              <w:t>275</w:t>
            </w:r>
          </w:p>
        </w:tc>
      </w:tr>
      <w:tr w:rsidR="00CE1436" w:rsidRPr="00C3293F" w14:paraId="029B7D05" w14:textId="77777777" w:rsidTr="00444693">
        <w:trPr>
          <w:cantSplit/>
          <w:trHeight w:val="13"/>
        </w:trPr>
        <w:tc>
          <w:tcPr>
            <w:tcW w:w="491" w:type="pct"/>
            <w:vMerge/>
            <w:tcBorders>
              <w:bottom w:val="single" w:sz="4" w:space="0" w:color="auto"/>
            </w:tcBorders>
          </w:tcPr>
          <w:p w14:paraId="65161AB6"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1C0BA0CB" w14:textId="77777777" w:rsidR="00CE1436" w:rsidRDefault="00CE1436" w:rsidP="00444693">
            <w:pPr>
              <w:pStyle w:val="TableText"/>
              <w:widowControl w:val="0"/>
              <w:suppressAutoHyphens w:val="0"/>
              <w:spacing w:before="0" w:after="0" w:line="240" w:lineRule="auto"/>
              <w:rPr>
                <w:szCs w:val="17"/>
              </w:rPr>
            </w:pPr>
            <w:r>
              <w:rPr>
                <w:szCs w:val="17"/>
              </w:rPr>
              <w:t>Small omnivore</w:t>
            </w:r>
          </w:p>
        </w:tc>
        <w:tc>
          <w:tcPr>
            <w:tcW w:w="477" w:type="pct"/>
            <w:vMerge w:val="restart"/>
            <w:tcBorders>
              <w:bottom w:val="single" w:sz="4" w:space="0" w:color="auto"/>
            </w:tcBorders>
          </w:tcPr>
          <w:p w14:paraId="05245C13" w14:textId="77777777" w:rsidR="00CE1436" w:rsidRDefault="00CE1436" w:rsidP="00444693">
            <w:pPr>
              <w:pStyle w:val="TableText"/>
              <w:widowControl w:val="0"/>
              <w:suppressAutoHyphens w:val="0"/>
              <w:spacing w:before="0" w:after="0" w:line="240" w:lineRule="auto"/>
              <w:rPr>
                <w:szCs w:val="17"/>
              </w:rPr>
            </w:pPr>
            <w:r w:rsidRPr="00065967">
              <w:rPr>
                <w:szCs w:val="17"/>
              </w:rPr>
              <w:t>Ground directed</w:t>
            </w:r>
          </w:p>
        </w:tc>
        <w:tc>
          <w:tcPr>
            <w:tcW w:w="491" w:type="pct"/>
            <w:tcBorders>
              <w:top w:val="single" w:sz="4" w:space="0" w:color="auto"/>
            </w:tcBorders>
          </w:tcPr>
          <w:p w14:paraId="5EECED96" w14:textId="77777777" w:rsidR="00CE1436" w:rsidRDefault="00CE1436" w:rsidP="00444693">
            <w:pPr>
              <w:pStyle w:val="TableText"/>
              <w:widowControl w:val="0"/>
              <w:suppressAutoHyphens w:val="0"/>
              <w:spacing w:before="0" w:after="0" w:line="240" w:lineRule="auto"/>
              <w:jc w:val="center"/>
            </w:pPr>
            <w:r>
              <w:t>Acute</w:t>
            </w:r>
          </w:p>
        </w:tc>
        <w:tc>
          <w:tcPr>
            <w:tcW w:w="449" w:type="pct"/>
            <w:tcBorders>
              <w:top w:val="single" w:sz="4" w:space="0" w:color="auto"/>
            </w:tcBorders>
            <w:shd w:val="clear" w:color="auto" w:fill="D5D7D5" w:themeFill="text1" w:themeFillTint="33"/>
          </w:tcPr>
          <w:p w14:paraId="42638589" w14:textId="77777777" w:rsidR="00CE1436" w:rsidRDefault="00CE1436" w:rsidP="00444693">
            <w:pPr>
              <w:pStyle w:val="TableText"/>
              <w:widowControl w:val="0"/>
              <w:suppressAutoHyphens w:val="0"/>
              <w:spacing w:before="0" w:after="0" w:line="240" w:lineRule="auto"/>
              <w:jc w:val="center"/>
            </w:pPr>
            <w:r w:rsidRPr="004D7ED5">
              <w:t>1</w:t>
            </w:r>
            <w:r>
              <w:t>1.7</w:t>
            </w:r>
            <w:r w:rsidRPr="00E5519A">
              <w:rPr>
                <w:vertAlign w:val="superscript"/>
              </w:rPr>
              <w:t>c</w:t>
            </w:r>
          </w:p>
        </w:tc>
        <w:tc>
          <w:tcPr>
            <w:tcW w:w="311" w:type="pct"/>
            <w:tcBorders>
              <w:top w:val="single" w:sz="4" w:space="0" w:color="auto"/>
            </w:tcBorders>
          </w:tcPr>
          <w:p w14:paraId="7F069DC6"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3BDFC04C"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11E0F7C2" w14:textId="77777777" w:rsidR="00CE1436" w:rsidRDefault="00CE1436" w:rsidP="00444693">
            <w:pPr>
              <w:pStyle w:val="TableText"/>
              <w:widowControl w:val="0"/>
              <w:suppressAutoHyphens w:val="0"/>
              <w:spacing w:before="0" w:after="0" w:line="240" w:lineRule="auto"/>
              <w:jc w:val="center"/>
            </w:pPr>
            <w:r>
              <w:t>1.0</w:t>
            </w:r>
          </w:p>
        </w:tc>
        <w:tc>
          <w:tcPr>
            <w:tcW w:w="312" w:type="pct"/>
            <w:tcBorders>
              <w:top w:val="single" w:sz="4" w:space="0" w:color="auto"/>
            </w:tcBorders>
          </w:tcPr>
          <w:p w14:paraId="7E8D8046"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157F037B" w14:textId="77777777" w:rsidR="00CE1436" w:rsidRDefault="00CE1436" w:rsidP="00444693">
            <w:pPr>
              <w:pStyle w:val="TableText"/>
              <w:widowControl w:val="0"/>
              <w:suppressAutoHyphens w:val="0"/>
              <w:spacing w:before="0" w:after="0" w:line="240" w:lineRule="auto"/>
              <w:jc w:val="center"/>
            </w:pPr>
            <w:r w:rsidRPr="00AD6226">
              <w:t>13</w:t>
            </w:r>
          </w:p>
        </w:tc>
        <w:tc>
          <w:tcPr>
            <w:tcW w:w="312" w:type="pct"/>
            <w:tcBorders>
              <w:top w:val="single" w:sz="4" w:space="0" w:color="auto"/>
            </w:tcBorders>
          </w:tcPr>
          <w:p w14:paraId="44B53783" w14:textId="77777777" w:rsidR="00CE1436" w:rsidRDefault="00CE1436" w:rsidP="00444693">
            <w:pPr>
              <w:pStyle w:val="TableText"/>
              <w:widowControl w:val="0"/>
              <w:suppressAutoHyphens w:val="0"/>
              <w:spacing w:before="0" w:after="0" w:line="240" w:lineRule="auto"/>
              <w:jc w:val="center"/>
            </w:pPr>
            <w:r w:rsidRPr="00AD6226">
              <w:t>6.1</w:t>
            </w:r>
          </w:p>
        </w:tc>
        <w:tc>
          <w:tcPr>
            <w:tcW w:w="312" w:type="pct"/>
            <w:tcBorders>
              <w:top w:val="single" w:sz="4" w:space="0" w:color="auto"/>
            </w:tcBorders>
            <w:shd w:val="clear" w:color="auto" w:fill="FF0000"/>
          </w:tcPr>
          <w:p w14:paraId="771F6E69" w14:textId="77777777" w:rsidR="00CE1436" w:rsidRPr="00E5519A" w:rsidRDefault="00CE1436" w:rsidP="00444693">
            <w:pPr>
              <w:pStyle w:val="TableText"/>
              <w:widowControl w:val="0"/>
              <w:suppressAutoHyphens w:val="0"/>
              <w:spacing w:before="0" w:after="0" w:line="240" w:lineRule="auto"/>
              <w:jc w:val="center"/>
              <w:rPr>
                <w:b/>
                <w:bCs/>
              </w:rPr>
            </w:pPr>
            <w:r w:rsidRPr="00E5519A">
              <w:rPr>
                <w:b/>
                <w:bCs/>
              </w:rPr>
              <w:t>2.1</w:t>
            </w:r>
          </w:p>
        </w:tc>
        <w:tc>
          <w:tcPr>
            <w:tcW w:w="393" w:type="pct"/>
            <w:tcBorders>
              <w:top w:val="single" w:sz="4" w:space="0" w:color="auto"/>
            </w:tcBorders>
          </w:tcPr>
          <w:p w14:paraId="0BDB9979" w14:textId="77777777" w:rsidR="00CE1436" w:rsidRPr="00C3293F" w:rsidRDefault="00CE1436" w:rsidP="00444693">
            <w:pPr>
              <w:pStyle w:val="TableText"/>
              <w:widowControl w:val="0"/>
              <w:suppressAutoHyphens w:val="0"/>
              <w:spacing w:before="0" w:after="0" w:line="240" w:lineRule="auto"/>
              <w:jc w:val="center"/>
            </w:pPr>
            <w:r w:rsidRPr="00AD6226">
              <w:t>521</w:t>
            </w:r>
          </w:p>
        </w:tc>
      </w:tr>
      <w:tr w:rsidR="00CE1436" w:rsidRPr="0027505E" w14:paraId="12E8FFFB" w14:textId="77777777" w:rsidTr="00444693">
        <w:trPr>
          <w:cantSplit/>
          <w:trHeight w:val="13"/>
        </w:trPr>
        <w:tc>
          <w:tcPr>
            <w:tcW w:w="491" w:type="pct"/>
            <w:vMerge/>
            <w:tcBorders>
              <w:bottom w:val="single" w:sz="4" w:space="0" w:color="auto"/>
            </w:tcBorders>
          </w:tcPr>
          <w:p w14:paraId="2217D5E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776A5E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DC7D10E"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25ABF82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15ACF25"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23C9B162"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0BA6C88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866D6C8"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C4A68E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DA86E19" w14:textId="77777777" w:rsidR="00CE1436" w:rsidRPr="003B78B6" w:rsidRDefault="00CE1436" w:rsidP="00444693">
            <w:pPr>
              <w:pStyle w:val="TableText"/>
              <w:widowControl w:val="0"/>
              <w:suppressAutoHyphens w:val="0"/>
              <w:spacing w:before="0" w:after="0" w:line="240" w:lineRule="auto"/>
              <w:jc w:val="center"/>
            </w:pPr>
            <w:r w:rsidRPr="00AD6226">
              <w:t>9.5</w:t>
            </w:r>
          </w:p>
        </w:tc>
        <w:tc>
          <w:tcPr>
            <w:tcW w:w="312" w:type="pct"/>
          </w:tcPr>
          <w:p w14:paraId="11945D52"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shd w:val="clear" w:color="auto" w:fill="FF0000"/>
          </w:tcPr>
          <w:p w14:paraId="03CCDB06" w14:textId="77777777" w:rsidR="00CE1436" w:rsidRPr="00E5519A" w:rsidRDefault="00CE1436" w:rsidP="00444693">
            <w:pPr>
              <w:pStyle w:val="TableText"/>
              <w:widowControl w:val="0"/>
              <w:suppressAutoHyphens w:val="0"/>
              <w:spacing w:before="0" w:after="0" w:line="240" w:lineRule="auto"/>
              <w:jc w:val="center"/>
              <w:rPr>
                <w:b/>
                <w:bCs/>
              </w:rPr>
            </w:pPr>
            <w:r w:rsidRPr="00E5519A">
              <w:rPr>
                <w:b/>
                <w:bCs/>
              </w:rPr>
              <w:t>1.6</w:t>
            </w:r>
          </w:p>
        </w:tc>
        <w:tc>
          <w:tcPr>
            <w:tcW w:w="393" w:type="pct"/>
          </w:tcPr>
          <w:p w14:paraId="64FB2C8D" w14:textId="77777777" w:rsidR="00CE1436" w:rsidRPr="0027505E" w:rsidRDefault="00CE1436" w:rsidP="00444693">
            <w:pPr>
              <w:pStyle w:val="TableText"/>
              <w:widowControl w:val="0"/>
              <w:suppressAutoHyphens w:val="0"/>
              <w:spacing w:before="0" w:after="0" w:line="240" w:lineRule="auto"/>
              <w:jc w:val="center"/>
            </w:pPr>
            <w:r w:rsidRPr="00AD6226">
              <w:t>521</w:t>
            </w:r>
          </w:p>
        </w:tc>
      </w:tr>
      <w:tr w:rsidR="00CE1436" w:rsidRPr="00C3293F" w14:paraId="2DA220B2" w14:textId="77777777" w:rsidTr="00444693">
        <w:trPr>
          <w:cantSplit/>
          <w:trHeight w:val="13"/>
        </w:trPr>
        <w:tc>
          <w:tcPr>
            <w:tcW w:w="491" w:type="pct"/>
            <w:vMerge/>
            <w:tcBorders>
              <w:bottom w:val="single" w:sz="4" w:space="0" w:color="auto"/>
            </w:tcBorders>
          </w:tcPr>
          <w:p w14:paraId="0FB1031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14D0916E"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067D70B"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4AB18FA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8E188B0"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1F457B31"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4793C39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AC2776F"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16C840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B133022" w14:textId="77777777" w:rsidR="00CE1436" w:rsidRDefault="00CE1436" w:rsidP="00444693">
            <w:pPr>
              <w:pStyle w:val="TableText"/>
              <w:widowControl w:val="0"/>
              <w:suppressAutoHyphens w:val="0"/>
              <w:spacing w:before="0" w:after="0" w:line="240" w:lineRule="auto"/>
              <w:jc w:val="center"/>
            </w:pPr>
            <w:r w:rsidRPr="00AD6226">
              <w:t>7.0</w:t>
            </w:r>
          </w:p>
        </w:tc>
        <w:tc>
          <w:tcPr>
            <w:tcW w:w="312" w:type="pct"/>
          </w:tcPr>
          <w:p w14:paraId="4A2A456B"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shd w:val="clear" w:color="auto" w:fill="FF0000"/>
          </w:tcPr>
          <w:p w14:paraId="52B5F522" w14:textId="77777777" w:rsidR="00CE1436" w:rsidRPr="00E5519A" w:rsidRDefault="00CE1436" w:rsidP="00444693">
            <w:pPr>
              <w:pStyle w:val="TableText"/>
              <w:widowControl w:val="0"/>
              <w:suppressAutoHyphens w:val="0"/>
              <w:spacing w:before="0" w:after="0" w:line="240" w:lineRule="auto"/>
              <w:jc w:val="center"/>
              <w:rPr>
                <w:b/>
                <w:bCs/>
              </w:rPr>
            </w:pPr>
            <w:r w:rsidRPr="00E5519A">
              <w:rPr>
                <w:b/>
                <w:bCs/>
              </w:rPr>
              <w:t>1.2</w:t>
            </w:r>
          </w:p>
        </w:tc>
        <w:tc>
          <w:tcPr>
            <w:tcW w:w="393" w:type="pct"/>
          </w:tcPr>
          <w:p w14:paraId="2989FC55" w14:textId="77777777" w:rsidR="00CE1436" w:rsidRPr="00C3293F" w:rsidRDefault="00CE1436" w:rsidP="00444693">
            <w:pPr>
              <w:pStyle w:val="TableText"/>
              <w:widowControl w:val="0"/>
              <w:suppressAutoHyphens w:val="0"/>
              <w:spacing w:before="0" w:after="0" w:line="240" w:lineRule="auto"/>
              <w:jc w:val="center"/>
            </w:pPr>
            <w:r w:rsidRPr="00AD6226">
              <w:t>521</w:t>
            </w:r>
          </w:p>
        </w:tc>
      </w:tr>
      <w:tr w:rsidR="00CE1436" w:rsidRPr="0027505E" w14:paraId="13F73643" w14:textId="77777777" w:rsidTr="00444693">
        <w:trPr>
          <w:cantSplit/>
          <w:trHeight w:val="13"/>
        </w:trPr>
        <w:tc>
          <w:tcPr>
            <w:tcW w:w="491" w:type="pct"/>
            <w:vMerge/>
            <w:tcBorders>
              <w:bottom w:val="single" w:sz="4" w:space="0" w:color="auto"/>
            </w:tcBorders>
          </w:tcPr>
          <w:p w14:paraId="3FCD220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B9E7C4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A1333B8"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DB3F7F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C3C2AE0"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0B45A80C"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0A4C919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6799D9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29FF7A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7DEDCD23" w14:textId="77777777" w:rsidR="00CE1436" w:rsidRPr="003B78B6" w:rsidRDefault="00CE1436" w:rsidP="00444693">
            <w:pPr>
              <w:pStyle w:val="TableText"/>
              <w:widowControl w:val="0"/>
              <w:suppressAutoHyphens w:val="0"/>
              <w:spacing w:before="0" w:after="0" w:line="240" w:lineRule="auto"/>
              <w:jc w:val="center"/>
            </w:pPr>
            <w:r w:rsidRPr="00AD6226">
              <w:t>5.9</w:t>
            </w:r>
          </w:p>
        </w:tc>
        <w:tc>
          <w:tcPr>
            <w:tcW w:w="312" w:type="pct"/>
          </w:tcPr>
          <w:p w14:paraId="26E3AC88"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075E97C7" w14:textId="77777777" w:rsidR="00CE1436" w:rsidRPr="00EB1DDB" w:rsidRDefault="00CE1436" w:rsidP="00444693">
            <w:pPr>
              <w:pStyle w:val="TableText"/>
              <w:widowControl w:val="0"/>
              <w:suppressAutoHyphens w:val="0"/>
              <w:spacing w:before="0" w:after="0" w:line="240" w:lineRule="auto"/>
              <w:jc w:val="center"/>
              <w:rPr>
                <w:b/>
                <w:bCs/>
              </w:rPr>
            </w:pPr>
            <w:r w:rsidRPr="00AD6226">
              <w:t>0.96</w:t>
            </w:r>
          </w:p>
        </w:tc>
        <w:tc>
          <w:tcPr>
            <w:tcW w:w="393" w:type="pct"/>
          </w:tcPr>
          <w:p w14:paraId="52F173E0" w14:textId="77777777" w:rsidR="00CE1436" w:rsidRPr="0027505E" w:rsidRDefault="00CE1436" w:rsidP="00444693">
            <w:pPr>
              <w:pStyle w:val="TableText"/>
              <w:widowControl w:val="0"/>
              <w:suppressAutoHyphens w:val="0"/>
              <w:spacing w:before="0" w:after="0" w:line="240" w:lineRule="auto"/>
              <w:jc w:val="center"/>
            </w:pPr>
            <w:r w:rsidRPr="00AD6226">
              <w:t>521</w:t>
            </w:r>
          </w:p>
        </w:tc>
      </w:tr>
      <w:tr w:rsidR="00CE1436" w:rsidRPr="00C3293F" w14:paraId="6E962A0E" w14:textId="77777777" w:rsidTr="00444693">
        <w:trPr>
          <w:cantSplit/>
          <w:trHeight w:val="13"/>
        </w:trPr>
        <w:tc>
          <w:tcPr>
            <w:tcW w:w="491" w:type="pct"/>
            <w:vMerge/>
            <w:tcBorders>
              <w:bottom w:val="single" w:sz="4" w:space="0" w:color="auto"/>
            </w:tcBorders>
          </w:tcPr>
          <w:p w14:paraId="0DE972AC"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FE0EB27"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2AA19A1"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2A5DC86"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009F2E0"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58B73EF6"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08F7371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F083689"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920D17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0B102503" w14:textId="77777777" w:rsidR="00CE1436" w:rsidRDefault="00CE1436" w:rsidP="00444693">
            <w:pPr>
              <w:pStyle w:val="TableText"/>
              <w:widowControl w:val="0"/>
              <w:suppressAutoHyphens w:val="0"/>
              <w:spacing w:before="0" w:after="0" w:line="240" w:lineRule="auto"/>
              <w:jc w:val="center"/>
            </w:pPr>
            <w:r w:rsidRPr="00AD6226">
              <w:t>5.2</w:t>
            </w:r>
          </w:p>
        </w:tc>
        <w:tc>
          <w:tcPr>
            <w:tcW w:w="312" w:type="pct"/>
          </w:tcPr>
          <w:p w14:paraId="05689DB7"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19771CBF" w14:textId="77777777" w:rsidR="00CE1436" w:rsidRPr="00EB1DDB" w:rsidRDefault="00CE1436" w:rsidP="00444693">
            <w:pPr>
              <w:pStyle w:val="TableText"/>
              <w:widowControl w:val="0"/>
              <w:suppressAutoHyphens w:val="0"/>
              <w:spacing w:before="0" w:after="0" w:line="240" w:lineRule="auto"/>
              <w:jc w:val="center"/>
              <w:rPr>
                <w:b/>
                <w:bCs/>
              </w:rPr>
            </w:pPr>
            <w:r w:rsidRPr="00AD6226">
              <w:t>0.86</w:t>
            </w:r>
          </w:p>
        </w:tc>
        <w:tc>
          <w:tcPr>
            <w:tcW w:w="393" w:type="pct"/>
          </w:tcPr>
          <w:p w14:paraId="099685C2" w14:textId="77777777" w:rsidR="00CE1436" w:rsidRPr="00C3293F" w:rsidRDefault="00CE1436" w:rsidP="00444693">
            <w:pPr>
              <w:pStyle w:val="TableText"/>
              <w:widowControl w:val="0"/>
              <w:suppressAutoHyphens w:val="0"/>
              <w:spacing w:before="0" w:after="0" w:line="240" w:lineRule="auto"/>
              <w:jc w:val="center"/>
            </w:pPr>
            <w:r w:rsidRPr="00AD6226">
              <w:t>521</w:t>
            </w:r>
          </w:p>
        </w:tc>
      </w:tr>
      <w:tr w:rsidR="00CE1436" w:rsidRPr="00C3293F" w14:paraId="06AC0039" w14:textId="77777777" w:rsidTr="00444693">
        <w:trPr>
          <w:cantSplit/>
          <w:trHeight w:val="13"/>
        </w:trPr>
        <w:tc>
          <w:tcPr>
            <w:tcW w:w="491" w:type="pct"/>
            <w:vMerge/>
            <w:tcBorders>
              <w:bottom w:val="single" w:sz="4" w:space="0" w:color="auto"/>
            </w:tcBorders>
          </w:tcPr>
          <w:p w14:paraId="11D85F5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4CE30A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52D11F1"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0D1628E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62B5A3E"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6831C4D4"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5858DDB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43EBA7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5584C3F8"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15EDF47" w14:textId="77777777" w:rsidR="00CE1436" w:rsidRDefault="00CE1436" w:rsidP="00444693">
            <w:pPr>
              <w:pStyle w:val="TableText"/>
              <w:widowControl w:val="0"/>
              <w:suppressAutoHyphens w:val="0"/>
              <w:spacing w:before="0" w:after="0" w:line="240" w:lineRule="auto"/>
              <w:jc w:val="center"/>
            </w:pPr>
            <w:r w:rsidRPr="00AD6226">
              <w:t>5.1</w:t>
            </w:r>
          </w:p>
        </w:tc>
        <w:tc>
          <w:tcPr>
            <w:tcW w:w="312" w:type="pct"/>
          </w:tcPr>
          <w:p w14:paraId="0FA88D00"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5035E32F" w14:textId="77777777" w:rsidR="00CE1436" w:rsidRPr="00EB1DDB" w:rsidRDefault="00CE1436" w:rsidP="00444693">
            <w:pPr>
              <w:pStyle w:val="TableText"/>
              <w:widowControl w:val="0"/>
              <w:suppressAutoHyphens w:val="0"/>
              <w:spacing w:before="0" w:after="0" w:line="240" w:lineRule="auto"/>
              <w:jc w:val="center"/>
              <w:rPr>
                <w:b/>
                <w:bCs/>
              </w:rPr>
            </w:pPr>
            <w:r w:rsidRPr="00AD6226">
              <w:t>0.83</w:t>
            </w:r>
          </w:p>
        </w:tc>
        <w:tc>
          <w:tcPr>
            <w:tcW w:w="393" w:type="pct"/>
          </w:tcPr>
          <w:p w14:paraId="3E596607" w14:textId="77777777" w:rsidR="00CE1436" w:rsidRPr="00C3293F" w:rsidRDefault="00CE1436" w:rsidP="00444693">
            <w:pPr>
              <w:pStyle w:val="TableText"/>
              <w:widowControl w:val="0"/>
              <w:suppressAutoHyphens w:val="0"/>
              <w:spacing w:before="0" w:after="0" w:line="240" w:lineRule="auto"/>
              <w:jc w:val="center"/>
            </w:pPr>
            <w:r w:rsidRPr="00AD6226">
              <w:t>521</w:t>
            </w:r>
          </w:p>
        </w:tc>
      </w:tr>
      <w:tr w:rsidR="00CE1436" w:rsidRPr="0027505E" w14:paraId="502E88BA" w14:textId="77777777" w:rsidTr="00444693">
        <w:trPr>
          <w:cantSplit/>
          <w:trHeight w:val="13"/>
        </w:trPr>
        <w:tc>
          <w:tcPr>
            <w:tcW w:w="491" w:type="pct"/>
            <w:vMerge/>
            <w:tcBorders>
              <w:bottom w:val="single" w:sz="4" w:space="0" w:color="auto"/>
            </w:tcBorders>
          </w:tcPr>
          <w:p w14:paraId="0F9150D8"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4D7228B"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C55118D"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468F2D0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DBE76F2"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0EE61E39"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2D22315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13CCD9FD"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34D37589"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F50CC35" w14:textId="77777777" w:rsidR="00CE1436" w:rsidRPr="003B78B6" w:rsidRDefault="00CE1436" w:rsidP="00444693">
            <w:pPr>
              <w:pStyle w:val="TableText"/>
              <w:widowControl w:val="0"/>
              <w:suppressAutoHyphens w:val="0"/>
              <w:spacing w:before="0" w:after="0" w:line="240" w:lineRule="auto"/>
              <w:jc w:val="center"/>
            </w:pPr>
            <w:r w:rsidRPr="00AD6226">
              <w:t>4.9</w:t>
            </w:r>
          </w:p>
        </w:tc>
        <w:tc>
          <w:tcPr>
            <w:tcW w:w="312" w:type="pct"/>
          </w:tcPr>
          <w:p w14:paraId="49B6D303"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05C9F80E" w14:textId="77777777" w:rsidR="00CE1436" w:rsidRPr="0027505E" w:rsidRDefault="00CE1436" w:rsidP="00444693">
            <w:pPr>
              <w:pStyle w:val="TableText"/>
              <w:widowControl w:val="0"/>
              <w:suppressAutoHyphens w:val="0"/>
              <w:spacing w:before="0" w:after="0" w:line="240" w:lineRule="auto"/>
              <w:jc w:val="center"/>
            </w:pPr>
            <w:r w:rsidRPr="00AD6226">
              <w:t>0.81</w:t>
            </w:r>
          </w:p>
        </w:tc>
        <w:tc>
          <w:tcPr>
            <w:tcW w:w="393" w:type="pct"/>
          </w:tcPr>
          <w:p w14:paraId="303DDC05" w14:textId="77777777" w:rsidR="00CE1436" w:rsidRPr="0027505E" w:rsidRDefault="00CE1436" w:rsidP="00444693">
            <w:pPr>
              <w:pStyle w:val="TableText"/>
              <w:widowControl w:val="0"/>
              <w:suppressAutoHyphens w:val="0"/>
              <w:spacing w:before="0" w:after="0" w:line="240" w:lineRule="auto"/>
              <w:jc w:val="center"/>
            </w:pPr>
            <w:r w:rsidRPr="00AD6226">
              <w:t>521</w:t>
            </w:r>
          </w:p>
        </w:tc>
      </w:tr>
      <w:tr w:rsidR="00CE1436" w:rsidRPr="0027505E" w14:paraId="09B3BAD7" w14:textId="77777777" w:rsidTr="00444693">
        <w:trPr>
          <w:cantSplit/>
          <w:trHeight w:val="13"/>
        </w:trPr>
        <w:tc>
          <w:tcPr>
            <w:tcW w:w="491" w:type="pct"/>
            <w:vMerge/>
            <w:tcBorders>
              <w:bottom w:val="single" w:sz="4" w:space="0" w:color="auto"/>
            </w:tcBorders>
          </w:tcPr>
          <w:p w14:paraId="24402A6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CA77B4C"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5031F032"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26D882FC"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B25C8B3"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53915BFC"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0A82AE0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25B60C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169D1734"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38FD5FF" w14:textId="77777777" w:rsidR="00CE1436" w:rsidRPr="003B78B6" w:rsidRDefault="00CE1436" w:rsidP="00444693">
            <w:pPr>
              <w:pStyle w:val="TableText"/>
              <w:widowControl w:val="0"/>
              <w:suppressAutoHyphens w:val="0"/>
              <w:spacing w:before="0" w:after="0" w:line="240" w:lineRule="auto"/>
              <w:jc w:val="center"/>
            </w:pPr>
            <w:r w:rsidRPr="00AD6226">
              <w:t>3.9</w:t>
            </w:r>
          </w:p>
        </w:tc>
        <w:tc>
          <w:tcPr>
            <w:tcW w:w="312" w:type="pct"/>
          </w:tcPr>
          <w:p w14:paraId="601162A3"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1602009A" w14:textId="77777777" w:rsidR="00CE1436" w:rsidRPr="0027505E" w:rsidRDefault="00CE1436" w:rsidP="00444693">
            <w:pPr>
              <w:pStyle w:val="TableText"/>
              <w:widowControl w:val="0"/>
              <w:suppressAutoHyphens w:val="0"/>
              <w:spacing w:before="0" w:after="0" w:line="240" w:lineRule="auto"/>
              <w:jc w:val="center"/>
            </w:pPr>
            <w:r w:rsidRPr="00AD6226">
              <w:t>0.63</w:t>
            </w:r>
          </w:p>
        </w:tc>
        <w:tc>
          <w:tcPr>
            <w:tcW w:w="393" w:type="pct"/>
          </w:tcPr>
          <w:p w14:paraId="65DDD14F" w14:textId="77777777" w:rsidR="00CE1436" w:rsidRPr="0027505E" w:rsidRDefault="00CE1436" w:rsidP="00444693">
            <w:pPr>
              <w:pStyle w:val="TableText"/>
              <w:widowControl w:val="0"/>
              <w:suppressAutoHyphens w:val="0"/>
              <w:spacing w:before="0" w:after="0" w:line="240" w:lineRule="auto"/>
              <w:jc w:val="center"/>
            </w:pPr>
            <w:r w:rsidRPr="00AD6226">
              <w:t>521</w:t>
            </w:r>
          </w:p>
        </w:tc>
      </w:tr>
      <w:tr w:rsidR="00CE1436" w:rsidRPr="0027505E" w14:paraId="42B02298" w14:textId="77777777" w:rsidTr="00444693">
        <w:trPr>
          <w:cantSplit/>
          <w:trHeight w:val="13"/>
        </w:trPr>
        <w:tc>
          <w:tcPr>
            <w:tcW w:w="491" w:type="pct"/>
            <w:vMerge/>
            <w:tcBorders>
              <w:bottom w:val="single" w:sz="4" w:space="0" w:color="auto"/>
            </w:tcBorders>
          </w:tcPr>
          <w:p w14:paraId="4F13763D"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8ABDB7A"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40F9E94"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64363A3"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252562E"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5BC1071D"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173ACCAA"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5CA432A"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7B7F7EF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535D7D6" w14:textId="77777777" w:rsidR="00CE1436" w:rsidRPr="003B78B6" w:rsidRDefault="00CE1436" w:rsidP="00444693">
            <w:pPr>
              <w:pStyle w:val="TableText"/>
              <w:widowControl w:val="0"/>
              <w:suppressAutoHyphens w:val="0"/>
              <w:spacing w:before="0" w:after="0" w:line="240" w:lineRule="auto"/>
              <w:jc w:val="center"/>
            </w:pPr>
            <w:r w:rsidRPr="00AD6226">
              <w:t>3.8</w:t>
            </w:r>
          </w:p>
        </w:tc>
        <w:tc>
          <w:tcPr>
            <w:tcW w:w="312" w:type="pct"/>
          </w:tcPr>
          <w:p w14:paraId="5DA62959"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4A8D17CB" w14:textId="77777777" w:rsidR="00CE1436" w:rsidRPr="0027505E" w:rsidRDefault="00CE1436" w:rsidP="00444693">
            <w:pPr>
              <w:pStyle w:val="TableText"/>
              <w:widowControl w:val="0"/>
              <w:suppressAutoHyphens w:val="0"/>
              <w:spacing w:before="0" w:after="0" w:line="240" w:lineRule="auto"/>
              <w:jc w:val="center"/>
            </w:pPr>
            <w:r w:rsidRPr="00AD6226">
              <w:t>0.62</w:t>
            </w:r>
          </w:p>
        </w:tc>
        <w:tc>
          <w:tcPr>
            <w:tcW w:w="393" w:type="pct"/>
          </w:tcPr>
          <w:p w14:paraId="21D6A622" w14:textId="77777777" w:rsidR="00CE1436" w:rsidRPr="0027505E" w:rsidRDefault="00CE1436" w:rsidP="00444693">
            <w:pPr>
              <w:pStyle w:val="TableText"/>
              <w:widowControl w:val="0"/>
              <w:suppressAutoHyphens w:val="0"/>
              <w:spacing w:before="0" w:after="0" w:line="240" w:lineRule="auto"/>
              <w:jc w:val="center"/>
            </w:pPr>
            <w:r w:rsidRPr="00AD6226">
              <w:t>521</w:t>
            </w:r>
          </w:p>
        </w:tc>
      </w:tr>
      <w:tr w:rsidR="00CE1436" w:rsidRPr="00C3293F" w14:paraId="48F350BB" w14:textId="77777777" w:rsidTr="00444693">
        <w:trPr>
          <w:cantSplit/>
          <w:trHeight w:val="13"/>
        </w:trPr>
        <w:tc>
          <w:tcPr>
            <w:tcW w:w="491" w:type="pct"/>
            <w:vMerge/>
            <w:tcBorders>
              <w:bottom w:val="single" w:sz="4" w:space="0" w:color="auto"/>
            </w:tcBorders>
          </w:tcPr>
          <w:p w14:paraId="7A2BFC8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0484BD8A"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7368049D"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7885DEB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2BCF641"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6640003D"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40562231"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36A7935"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66B8C41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9468389" w14:textId="77777777" w:rsidR="00CE1436" w:rsidRDefault="00CE1436" w:rsidP="00444693">
            <w:pPr>
              <w:pStyle w:val="TableText"/>
              <w:widowControl w:val="0"/>
              <w:suppressAutoHyphens w:val="0"/>
              <w:spacing w:before="0" w:after="0" w:line="240" w:lineRule="auto"/>
              <w:jc w:val="center"/>
            </w:pPr>
            <w:r w:rsidRPr="00AD6226">
              <w:t>2.3</w:t>
            </w:r>
          </w:p>
        </w:tc>
        <w:tc>
          <w:tcPr>
            <w:tcW w:w="312" w:type="pct"/>
          </w:tcPr>
          <w:p w14:paraId="013103ED"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507056D1" w14:textId="77777777" w:rsidR="00CE1436" w:rsidRDefault="00CE1436" w:rsidP="00444693">
            <w:pPr>
              <w:pStyle w:val="TableText"/>
              <w:widowControl w:val="0"/>
              <w:suppressAutoHyphens w:val="0"/>
              <w:spacing w:before="0" w:after="0" w:line="240" w:lineRule="auto"/>
              <w:jc w:val="center"/>
            </w:pPr>
            <w:r w:rsidRPr="00AD6226">
              <w:t>0.38</w:t>
            </w:r>
          </w:p>
        </w:tc>
        <w:tc>
          <w:tcPr>
            <w:tcW w:w="393" w:type="pct"/>
          </w:tcPr>
          <w:p w14:paraId="00BF60DB" w14:textId="77777777" w:rsidR="00CE1436" w:rsidRPr="00C3293F" w:rsidRDefault="00CE1436" w:rsidP="00444693">
            <w:pPr>
              <w:pStyle w:val="TableText"/>
              <w:widowControl w:val="0"/>
              <w:suppressAutoHyphens w:val="0"/>
              <w:spacing w:before="0" w:after="0" w:line="240" w:lineRule="auto"/>
              <w:jc w:val="center"/>
            </w:pPr>
            <w:r w:rsidRPr="00AD6226">
              <w:t>521</w:t>
            </w:r>
          </w:p>
        </w:tc>
      </w:tr>
      <w:tr w:rsidR="00CE1436" w:rsidRPr="0027505E" w14:paraId="4158A59F" w14:textId="77777777" w:rsidTr="00444693">
        <w:trPr>
          <w:cantSplit/>
          <w:trHeight w:val="13"/>
        </w:trPr>
        <w:tc>
          <w:tcPr>
            <w:tcW w:w="491" w:type="pct"/>
            <w:vMerge/>
            <w:tcBorders>
              <w:bottom w:val="single" w:sz="4" w:space="0" w:color="auto"/>
            </w:tcBorders>
          </w:tcPr>
          <w:p w14:paraId="396CDEFE"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0B37909"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037220B"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7E21B651"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E5C35B6"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Pr>
          <w:p w14:paraId="628583B9"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371B2CB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8905B61" w14:textId="77777777" w:rsidR="00CE1436" w:rsidRDefault="00CE1436" w:rsidP="00444693">
            <w:pPr>
              <w:pStyle w:val="TableText"/>
              <w:widowControl w:val="0"/>
              <w:suppressAutoHyphens w:val="0"/>
              <w:spacing w:before="0" w:after="0" w:line="240" w:lineRule="auto"/>
              <w:jc w:val="center"/>
            </w:pPr>
            <w:r>
              <w:t>1.0</w:t>
            </w:r>
          </w:p>
        </w:tc>
        <w:tc>
          <w:tcPr>
            <w:tcW w:w="312" w:type="pct"/>
          </w:tcPr>
          <w:p w14:paraId="450E505C"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12DB522" w14:textId="77777777" w:rsidR="00CE1436" w:rsidRPr="003B78B6" w:rsidRDefault="00CE1436" w:rsidP="00444693">
            <w:pPr>
              <w:pStyle w:val="TableText"/>
              <w:widowControl w:val="0"/>
              <w:suppressAutoHyphens w:val="0"/>
              <w:spacing w:before="0" w:after="0" w:line="240" w:lineRule="auto"/>
              <w:jc w:val="center"/>
            </w:pPr>
            <w:r w:rsidRPr="00AD6226">
              <w:t>2.0</w:t>
            </w:r>
          </w:p>
        </w:tc>
        <w:tc>
          <w:tcPr>
            <w:tcW w:w="312" w:type="pct"/>
          </w:tcPr>
          <w:p w14:paraId="618ABFC7"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Pr>
          <w:p w14:paraId="22EC1ABF" w14:textId="77777777" w:rsidR="00CE1436" w:rsidRPr="0027505E" w:rsidRDefault="00CE1436" w:rsidP="00444693">
            <w:pPr>
              <w:pStyle w:val="TableText"/>
              <w:widowControl w:val="0"/>
              <w:suppressAutoHyphens w:val="0"/>
              <w:spacing w:before="0" w:after="0" w:line="240" w:lineRule="auto"/>
              <w:jc w:val="center"/>
            </w:pPr>
            <w:r w:rsidRPr="00AD6226">
              <w:t>0.33</w:t>
            </w:r>
          </w:p>
        </w:tc>
        <w:tc>
          <w:tcPr>
            <w:tcW w:w="393" w:type="pct"/>
          </w:tcPr>
          <w:p w14:paraId="56CAE8FA" w14:textId="77777777" w:rsidR="00CE1436" w:rsidRPr="0027505E" w:rsidRDefault="00CE1436" w:rsidP="00444693">
            <w:pPr>
              <w:pStyle w:val="TableText"/>
              <w:widowControl w:val="0"/>
              <w:suppressAutoHyphens w:val="0"/>
              <w:spacing w:before="0" w:after="0" w:line="240" w:lineRule="auto"/>
              <w:jc w:val="center"/>
            </w:pPr>
            <w:r w:rsidRPr="00AD6226">
              <w:t>521</w:t>
            </w:r>
          </w:p>
        </w:tc>
      </w:tr>
      <w:tr w:rsidR="00CE1436" w:rsidRPr="00C3293F" w14:paraId="51C82D75" w14:textId="77777777" w:rsidTr="00444693">
        <w:trPr>
          <w:cantSplit/>
          <w:trHeight w:val="13"/>
        </w:trPr>
        <w:tc>
          <w:tcPr>
            <w:tcW w:w="491" w:type="pct"/>
            <w:vMerge/>
            <w:tcBorders>
              <w:bottom w:val="single" w:sz="4" w:space="0" w:color="auto"/>
            </w:tcBorders>
          </w:tcPr>
          <w:p w14:paraId="00D6A6B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5C5BDA6" w14:textId="77777777" w:rsidR="00CE1436"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E0971FB" w14:textId="77777777" w:rsidR="00CE1436" w:rsidRPr="00065967"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5B6685F8"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072E687E" w14:textId="77777777" w:rsidR="00CE1436" w:rsidRDefault="00CE1436" w:rsidP="00444693">
            <w:pPr>
              <w:pStyle w:val="TableText"/>
              <w:widowControl w:val="0"/>
              <w:suppressAutoHyphens w:val="0"/>
              <w:spacing w:before="0" w:after="0" w:line="240" w:lineRule="auto"/>
              <w:jc w:val="center"/>
            </w:pPr>
            <w:r w:rsidRPr="00951956">
              <w:t>11.7</w:t>
            </w:r>
            <w:r w:rsidRPr="00951956">
              <w:rPr>
                <w:vertAlign w:val="superscript"/>
              </w:rPr>
              <w:t>c</w:t>
            </w:r>
          </w:p>
        </w:tc>
        <w:tc>
          <w:tcPr>
            <w:tcW w:w="311" w:type="pct"/>
            <w:tcBorders>
              <w:bottom w:val="single" w:sz="4" w:space="0" w:color="auto"/>
            </w:tcBorders>
          </w:tcPr>
          <w:p w14:paraId="1A6B64BF" w14:textId="77777777" w:rsidR="00CE1436" w:rsidRDefault="00CE1436" w:rsidP="00444693">
            <w:pPr>
              <w:pStyle w:val="TableText"/>
              <w:widowControl w:val="0"/>
              <w:suppressAutoHyphens w:val="0"/>
              <w:spacing w:before="0" w:after="0" w:line="240" w:lineRule="auto"/>
              <w:jc w:val="center"/>
            </w:pPr>
            <w:r>
              <w:t>170</w:t>
            </w:r>
          </w:p>
        </w:tc>
        <w:tc>
          <w:tcPr>
            <w:tcW w:w="312" w:type="pct"/>
            <w:tcBorders>
              <w:bottom w:val="single" w:sz="4" w:space="0" w:color="auto"/>
            </w:tcBorders>
          </w:tcPr>
          <w:p w14:paraId="2504A4FE"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3E3A6131" w14:textId="77777777" w:rsidR="00CE1436" w:rsidRDefault="00CE1436" w:rsidP="00444693">
            <w:pPr>
              <w:pStyle w:val="TableText"/>
              <w:widowControl w:val="0"/>
              <w:suppressAutoHyphens w:val="0"/>
              <w:spacing w:before="0" w:after="0" w:line="240" w:lineRule="auto"/>
              <w:jc w:val="center"/>
            </w:pPr>
            <w:r>
              <w:t>1.0</w:t>
            </w:r>
          </w:p>
        </w:tc>
        <w:tc>
          <w:tcPr>
            <w:tcW w:w="312" w:type="pct"/>
            <w:tcBorders>
              <w:bottom w:val="single" w:sz="4" w:space="0" w:color="auto"/>
            </w:tcBorders>
          </w:tcPr>
          <w:p w14:paraId="60AF6220"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435450D9" w14:textId="77777777" w:rsidR="00CE1436" w:rsidRDefault="00CE1436" w:rsidP="00444693">
            <w:pPr>
              <w:pStyle w:val="TableText"/>
              <w:widowControl w:val="0"/>
              <w:suppressAutoHyphens w:val="0"/>
              <w:spacing w:before="0" w:after="0" w:line="240" w:lineRule="auto"/>
              <w:jc w:val="center"/>
            </w:pPr>
            <w:r w:rsidRPr="00AD6226">
              <w:t>2.0</w:t>
            </w:r>
          </w:p>
        </w:tc>
        <w:tc>
          <w:tcPr>
            <w:tcW w:w="312" w:type="pct"/>
            <w:tcBorders>
              <w:bottom w:val="single" w:sz="4" w:space="0" w:color="auto"/>
            </w:tcBorders>
          </w:tcPr>
          <w:p w14:paraId="14AE6BE7" w14:textId="77777777" w:rsidR="00CE1436" w:rsidRDefault="00CE1436" w:rsidP="00444693">
            <w:pPr>
              <w:pStyle w:val="TableText"/>
              <w:widowControl w:val="0"/>
              <w:suppressAutoHyphens w:val="0"/>
              <w:spacing w:before="0" w:after="0" w:line="240" w:lineRule="auto"/>
              <w:jc w:val="center"/>
              <w:rPr>
                <w:szCs w:val="17"/>
              </w:rPr>
            </w:pPr>
            <w:r w:rsidRPr="00AD6226">
              <w:t>6.1</w:t>
            </w:r>
          </w:p>
        </w:tc>
        <w:tc>
          <w:tcPr>
            <w:tcW w:w="312" w:type="pct"/>
            <w:tcBorders>
              <w:bottom w:val="single" w:sz="4" w:space="0" w:color="auto"/>
            </w:tcBorders>
          </w:tcPr>
          <w:p w14:paraId="026E32F2" w14:textId="77777777" w:rsidR="00CE1436" w:rsidRDefault="00CE1436" w:rsidP="00444693">
            <w:pPr>
              <w:pStyle w:val="TableText"/>
              <w:widowControl w:val="0"/>
              <w:suppressAutoHyphens w:val="0"/>
              <w:spacing w:before="0" w:after="0" w:line="240" w:lineRule="auto"/>
              <w:jc w:val="center"/>
            </w:pPr>
            <w:r w:rsidRPr="00AD6226">
              <w:t>0.33</w:t>
            </w:r>
          </w:p>
        </w:tc>
        <w:tc>
          <w:tcPr>
            <w:tcW w:w="393" w:type="pct"/>
            <w:tcBorders>
              <w:bottom w:val="single" w:sz="4" w:space="0" w:color="auto"/>
            </w:tcBorders>
          </w:tcPr>
          <w:p w14:paraId="58A51FF7" w14:textId="77777777" w:rsidR="00CE1436" w:rsidRPr="00C3293F" w:rsidRDefault="00CE1436" w:rsidP="00444693">
            <w:pPr>
              <w:pStyle w:val="TableText"/>
              <w:widowControl w:val="0"/>
              <w:suppressAutoHyphens w:val="0"/>
              <w:spacing w:before="0" w:after="0" w:line="240" w:lineRule="auto"/>
              <w:jc w:val="center"/>
            </w:pPr>
            <w:r w:rsidRPr="00AD6226">
              <w:t>521</w:t>
            </w:r>
          </w:p>
        </w:tc>
      </w:tr>
      <w:tr w:rsidR="00CE1436" w:rsidRPr="00C3293F" w14:paraId="7C97988B" w14:textId="77777777" w:rsidTr="00444693">
        <w:trPr>
          <w:cantSplit/>
          <w:trHeight w:val="13"/>
        </w:trPr>
        <w:tc>
          <w:tcPr>
            <w:tcW w:w="491" w:type="pct"/>
            <w:vMerge/>
            <w:tcBorders>
              <w:bottom w:val="single" w:sz="4" w:space="0" w:color="auto"/>
            </w:tcBorders>
          </w:tcPr>
          <w:p w14:paraId="0784D379" w14:textId="77777777" w:rsidR="00CE1436" w:rsidRDefault="00CE1436" w:rsidP="00444693">
            <w:pPr>
              <w:pStyle w:val="TableText"/>
              <w:widowControl w:val="0"/>
              <w:suppressAutoHyphens w:val="0"/>
              <w:spacing w:before="0" w:after="0" w:line="240" w:lineRule="auto"/>
              <w:rPr>
                <w:szCs w:val="17"/>
              </w:rPr>
            </w:pPr>
          </w:p>
        </w:tc>
        <w:tc>
          <w:tcPr>
            <w:tcW w:w="518" w:type="pct"/>
            <w:vMerge w:val="restart"/>
            <w:tcBorders>
              <w:bottom w:val="single" w:sz="4" w:space="0" w:color="auto"/>
            </w:tcBorders>
          </w:tcPr>
          <w:p w14:paraId="0DB18700" w14:textId="77777777" w:rsidR="00CE1436" w:rsidRDefault="00CE1436" w:rsidP="00444693">
            <w:pPr>
              <w:pStyle w:val="TableText"/>
              <w:widowControl w:val="0"/>
              <w:suppressAutoHyphens w:val="0"/>
              <w:spacing w:before="0" w:after="0" w:line="240" w:lineRule="auto"/>
              <w:rPr>
                <w:szCs w:val="17"/>
              </w:rPr>
            </w:pPr>
            <w:r w:rsidRPr="00B6513E">
              <w:rPr>
                <w:szCs w:val="17"/>
              </w:rPr>
              <w:t>Small herbivore</w:t>
            </w:r>
          </w:p>
        </w:tc>
        <w:tc>
          <w:tcPr>
            <w:tcW w:w="477" w:type="pct"/>
            <w:vMerge w:val="restart"/>
            <w:tcBorders>
              <w:bottom w:val="single" w:sz="4" w:space="0" w:color="auto"/>
            </w:tcBorders>
          </w:tcPr>
          <w:p w14:paraId="6E94CDC2" w14:textId="77777777" w:rsidR="00CE1436" w:rsidRPr="00065967" w:rsidRDefault="00CE1436" w:rsidP="00444693">
            <w:pPr>
              <w:pStyle w:val="TableText"/>
              <w:widowControl w:val="0"/>
              <w:suppressAutoHyphens w:val="0"/>
              <w:spacing w:before="0" w:after="0" w:line="240" w:lineRule="auto"/>
              <w:rPr>
                <w:szCs w:val="17"/>
              </w:rPr>
            </w:pPr>
            <w:r w:rsidRPr="00065967">
              <w:rPr>
                <w:szCs w:val="17"/>
              </w:rPr>
              <w:t>Ground directed</w:t>
            </w:r>
          </w:p>
        </w:tc>
        <w:tc>
          <w:tcPr>
            <w:tcW w:w="491" w:type="pct"/>
            <w:tcBorders>
              <w:top w:val="single" w:sz="4" w:space="0" w:color="auto"/>
            </w:tcBorders>
          </w:tcPr>
          <w:p w14:paraId="5DA6859C" w14:textId="77777777" w:rsidR="00CE1436" w:rsidRDefault="00CE1436" w:rsidP="00444693">
            <w:pPr>
              <w:pStyle w:val="TableText"/>
              <w:widowControl w:val="0"/>
              <w:suppressAutoHyphens w:val="0"/>
              <w:spacing w:before="0" w:after="0" w:line="240" w:lineRule="auto"/>
              <w:jc w:val="center"/>
            </w:pPr>
            <w:r>
              <w:t>Chronic</w:t>
            </w:r>
          </w:p>
        </w:tc>
        <w:tc>
          <w:tcPr>
            <w:tcW w:w="449" w:type="pct"/>
            <w:tcBorders>
              <w:top w:val="single" w:sz="4" w:space="0" w:color="auto"/>
            </w:tcBorders>
            <w:shd w:val="clear" w:color="auto" w:fill="D5D7D5" w:themeFill="text1" w:themeFillTint="33"/>
          </w:tcPr>
          <w:p w14:paraId="58608E82" w14:textId="77777777" w:rsidR="00CE1436" w:rsidRDefault="00CE1436" w:rsidP="00444693">
            <w:pPr>
              <w:pStyle w:val="TableText"/>
              <w:widowControl w:val="0"/>
              <w:suppressAutoHyphens w:val="0"/>
              <w:spacing w:before="0" w:after="0" w:line="240" w:lineRule="auto"/>
              <w:jc w:val="center"/>
            </w:pPr>
            <w:r>
              <w:t>59.3</w:t>
            </w:r>
            <w:r w:rsidRPr="00077A92">
              <w:rPr>
                <w:vertAlign w:val="superscript"/>
              </w:rPr>
              <w:t>a</w:t>
            </w:r>
          </w:p>
        </w:tc>
        <w:tc>
          <w:tcPr>
            <w:tcW w:w="311" w:type="pct"/>
            <w:tcBorders>
              <w:top w:val="single" w:sz="4" w:space="0" w:color="auto"/>
            </w:tcBorders>
          </w:tcPr>
          <w:p w14:paraId="0B47ED18" w14:textId="77777777" w:rsidR="00CE1436" w:rsidRDefault="00CE1436" w:rsidP="00444693">
            <w:pPr>
              <w:pStyle w:val="TableText"/>
              <w:widowControl w:val="0"/>
              <w:suppressAutoHyphens w:val="0"/>
              <w:spacing w:before="0" w:after="0" w:line="240" w:lineRule="auto"/>
              <w:jc w:val="center"/>
            </w:pPr>
            <w:r>
              <w:t>1120</w:t>
            </w:r>
          </w:p>
        </w:tc>
        <w:tc>
          <w:tcPr>
            <w:tcW w:w="312" w:type="pct"/>
            <w:tcBorders>
              <w:top w:val="single" w:sz="4" w:space="0" w:color="auto"/>
            </w:tcBorders>
          </w:tcPr>
          <w:p w14:paraId="615F595B" w14:textId="77777777" w:rsidR="00CE1436" w:rsidRDefault="00CE1436" w:rsidP="00444693">
            <w:pPr>
              <w:pStyle w:val="TableText"/>
              <w:widowControl w:val="0"/>
              <w:suppressAutoHyphens w:val="0"/>
              <w:spacing w:before="0" w:after="0" w:line="240" w:lineRule="auto"/>
              <w:jc w:val="center"/>
            </w:pPr>
            <w:r>
              <w:t>1.0</w:t>
            </w:r>
          </w:p>
        </w:tc>
        <w:tc>
          <w:tcPr>
            <w:tcW w:w="311" w:type="pct"/>
            <w:tcBorders>
              <w:top w:val="single" w:sz="4" w:space="0" w:color="auto"/>
            </w:tcBorders>
          </w:tcPr>
          <w:p w14:paraId="21F3D546" w14:textId="77777777" w:rsidR="00CE1436" w:rsidRDefault="00CE1436" w:rsidP="00444693">
            <w:pPr>
              <w:pStyle w:val="TableText"/>
              <w:widowControl w:val="0"/>
              <w:suppressAutoHyphens w:val="0"/>
              <w:spacing w:before="0" w:after="0" w:line="240" w:lineRule="auto"/>
              <w:jc w:val="center"/>
            </w:pPr>
            <w:r>
              <w:t>0.5</w:t>
            </w:r>
          </w:p>
        </w:tc>
        <w:tc>
          <w:tcPr>
            <w:tcW w:w="312" w:type="pct"/>
            <w:tcBorders>
              <w:top w:val="single" w:sz="4" w:space="0" w:color="auto"/>
            </w:tcBorders>
          </w:tcPr>
          <w:p w14:paraId="22499069" w14:textId="77777777" w:rsidR="00CE1436" w:rsidRDefault="00CE1436" w:rsidP="00444693">
            <w:pPr>
              <w:pStyle w:val="TableText"/>
              <w:widowControl w:val="0"/>
              <w:suppressAutoHyphens w:val="0"/>
              <w:spacing w:before="0" w:after="0" w:line="240" w:lineRule="auto"/>
              <w:jc w:val="center"/>
            </w:pPr>
            <w:r>
              <w:t>0.53</w:t>
            </w:r>
          </w:p>
        </w:tc>
        <w:tc>
          <w:tcPr>
            <w:tcW w:w="311" w:type="pct"/>
            <w:tcBorders>
              <w:top w:val="single" w:sz="4" w:space="0" w:color="auto"/>
            </w:tcBorders>
            <w:vAlign w:val="center"/>
          </w:tcPr>
          <w:p w14:paraId="7B35C589" w14:textId="77777777" w:rsidR="00CE1436" w:rsidRDefault="00CE1436" w:rsidP="00444693">
            <w:pPr>
              <w:pStyle w:val="TableText"/>
              <w:widowControl w:val="0"/>
              <w:suppressAutoHyphens w:val="0"/>
              <w:spacing w:before="0" w:after="0" w:line="240" w:lineRule="auto"/>
              <w:jc w:val="center"/>
            </w:pPr>
            <w:r>
              <w:rPr>
                <w:color w:val="1A1B1A"/>
                <w:szCs w:val="17"/>
              </w:rPr>
              <w:t>17.6</w:t>
            </w:r>
          </w:p>
        </w:tc>
        <w:tc>
          <w:tcPr>
            <w:tcW w:w="312" w:type="pct"/>
            <w:tcBorders>
              <w:top w:val="single" w:sz="4" w:space="0" w:color="auto"/>
            </w:tcBorders>
            <w:vAlign w:val="center"/>
          </w:tcPr>
          <w:p w14:paraId="58E81E37"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top w:val="single" w:sz="4" w:space="0" w:color="auto"/>
            </w:tcBorders>
            <w:shd w:val="clear" w:color="auto" w:fill="FF0000"/>
            <w:vAlign w:val="center"/>
          </w:tcPr>
          <w:p w14:paraId="5BDC1126"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4.6</w:t>
            </w:r>
          </w:p>
        </w:tc>
        <w:tc>
          <w:tcPr>
            <w:tcW w:w="393" w:type="pct"/>
            <w:tcBorders>
              <w:top w:val="single" w:sz="4" w:space="0" w:color="auto"/>
            </w:tcBorders>
            <w:vAlign w:val="center"/>
          </w:tcPr>
          <w:p w14:paraId="248AD199"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2310A787" w14:textId="77777777" w:rsidTr="00444693">
        <w:trPr>
          <w:cantSplit/>
          <w:trHeight w:val="13"/>
        </w:trPr>
        <w:tc>
          <w:tcPr>
            <w:tcW w:w="491" w:type="pct"/>
            <w:vMerge/>
            <w:tcBorders>
              <w:bottom w:val="single" w:sz="4" w:space="0" w:color="auto"/>
            </w:tcBorders>
          </w:tcPr>
          <w:p w14:paraId="5EC4150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367127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43D560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0019ED64"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DB4B432" w14:textId="77777777" w:rsidR="00CE1436" w:rsidRPr="00A0160E"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1871DC14" w14:textId="77777777" w:rsidR="00CE1436" w:rsidRDefault="00CE1436" w:rsidP="00444693">
            <w:pPr>
              <w:pStyle w:val="TableText"/>
              <w:widowControl w:val="0"/>
              <w:suppressAutoHyphens w:val="0"/>
              <w:spacing w:before="0" w:after="0" w:line="240" w:lineRule="auto"/>
              <w:jc w:val="center"/>
            </w:pPr>
            <w:r>
              <w:t>810</w:t>
            </w:r>
          </w:p>
        </w:tc>
        <w:tc>
          <w:tcPr>
            <w:tcW w:w="312" w:type="pct"/>
          </w:tcPr>
          <w:p w14:paraId="63149A65"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873F833"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405786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0E8998D" w14:textId="77777777" w:rsidR="00CE1436" w:rsidRPr="003B78B6" w:rsidRDefault="00CE1436" w:rsidP="00444693">
            <w:pPr>
              <w:pStyle w:val="TableText"/>
              <w:widowControl w:val="0"/>
              <w:suppressAutoHyphens w:val="0"/>
              <w:spacing w:before="0" w:after="0" w:line="240" w:lineRule="auto"/>
              <w:jc w:val="center"/>
            </w:pPr>
            <w:r>
              <w:rPr>
                <w:color w:val="1A1B1A"/>
                <w:szCs w:val="17"/>
              </w:rPr>
              <w:t>12.7</w:t>
            </w:r>
          </w:p>
        </w:tc>
        <w:tc>
          <w:tcPr>
            <w:tcW w:w="312" w:type="pct"/>
            <w:vAlign w:val="center"/>
          </w:tcPr>
          <w:p w14:paraId="56578E6A"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7FF4A54"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3.3</w:t>
            </w:r>
          </w:p>
        </w:tc>
        <w:tc>
          <w:tcPr>
            <w:tcW w:w="393" w:type="pct"/>
            <w:vAlign w:val="center"/>
          </w:tcPr>
          <w:p w14:paraId="17D35FD8"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3CF3404B" w14:textId="77777777" w:rsidTr="00444693">
        <w:trPr>
          <w:cantSplit/>
          <w:trHeight w:val="13"/>
        </w:trPr>
        <w:tc>
          <w:tcPr>
            <w:tcW w:w="491" w:type="pct"/>
            <w:vMerge/>
            <w:tcBorders>
              <w:bottom w:val="single" w:sz="4" w:space="0" w:color="auto"/>
            </w:tcBorders>
          </w:tcPr>
          <w:p w14:paraId="50F7B983"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A94BDC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4740E69D"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FDBE9C8"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52A461D7" w14:textId="77777777" w:rsidR="00CE1436"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074A5A30" w14:textId="77777777" w:rsidR="00CE1436" w:rsidRDefault="00CE1436" w:rsidP="00444693">
            <w:pPr>
              <w:pStyle w:val="TableText"/>
              <w:widowControl w:val="0"/>
              <w:suppressAutoHyphens w:val="0"/>
              <w:spacing w:before="0" w:after="0" w:line="240" w:lineRule="auto"/>
              <w:jc w:val="center"/>
            </w:pPr>
            <w:r>
              <w:t>600</w:t>
            </w:r>
          </w:p>
        </w:tc>
        <w:tc>
          <w:tcPr>
            <w:tcW w:w="312" w:type="pct"/>
          </w:tcPr>
          <w:p w14:paraId="4A729830"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9453E7C"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07AD4BD"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340519E" w14:textId="77777777" w:rsidR="00CE1436" w:rsidRDefault="00CE1436" w:rsidP="00444693">
            <w:pPr>
              <w:pStyle w:val="TableText"/>
              <w:widowControl w:val="0"/>
              <w:suppressAutoHyphens w:val="0"/>
              <w:spacing w:before="0" w:after="0" w:line="240" w:lineRule="auto"/>
              <w:jc w:val="center"/>
            </w:pPr>
            <w:r>
              <w:rPr>
                <w:color w:val="1A1B1A"/>
                <w:szCs w:val="17"/>
              </w:rPr>
              <w:t>9.4</w:t>
            </w:r>
          </w:p>
        </w:tc>
        <w:tc>
          <w:tcPr>
            <w:tcW w:w="312" w:type="pct"/>
            <w:vAlign w:val="center"/>
          </w:tcPr>
          <w:p w14:paraId="3587F70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3C1BF50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2.5</w:t>
            </w:r>
          </w:p>
        </w:tc>
        <w:tc>
          <w:tcPr>
            <w:tcW w:w="393" w:type="pct"/>
            <w:vAlign w:val="center"/>
          </w:tcPr>
          <w:p w14:paraId="1794A7BA"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6A1FD11D" w14:textId="77777777" w:rsidTr="00444693">
        <w:trPr>
          <w:cantSplit/>
          <w:trHeight w:val="13"/>
        </w:trPr>
        <w:tc>
          <w:tcPr>
            <w:tcW w:w="491" w:type="pct"/>
            <w:vMerge/>
            <w:tcBorders>
              <w:bottom w:val="single" w:sz="4" w:space="0" w:color="auto"/>
            </w:tcBorders>
          </w:tcPr>
          <w:p w14:paraId="5AF6602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8D3890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63C37EB"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6F3A079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20410D4F" w14:textId="77777777" w:rsidR="00CE1436" w:rsidRPr="00A0160E"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7AA85C0C" w14:textId="77777777" w:rsidR="00CE1436" w:rsidRDefault="00CE1436" w:rsidP="00444693">
            <w:pPr>
              <w:pStyle w:val="TableText"/>
              <w:widowControl w:val="0"/>
              <w:suppressAutoHyphens w:val="0"/>
              <w:spacing w:before="0" w:after="0" w:line="240" w:lineRule="auto"/>
              <w:jc w:val="center"/>
            </w:pPr>
            <w:r>
              <w:t>500</w:t>
            </w:r>
          </w:p>
        </w:tc>
        <w:tc>
          <w:tcPr>
            <w:tcW w:w="312" w:type="pct"/>
          </w:tcPr>
          <w:p w14:paraId="27E03C16"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06DD80E"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7106768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1FFE63BA" w14:textId="77777777" w:rsidR="00CE1436" w:rsidRPr="003B78B6" w:rsidRDefault="00CE1436" w:rsidP="00444693">
            <w:pPr>
              <w:pStyle w:val="TableText"/>
              <w:widowControl w:val="0"/>
              <w:suppressAutoHyphens w:val="0"/>
              <w:spacing w:before="0" w:after="0" w:line="240" w:lineRule="auto"/>
              <w:jc w:val="center"/>
            </w:pPr>
            <w:r>
              <w:rPr>
                <w:color w:val="1A1B1A"/>
                <w:szCs w:val="17"/>
              </w:rPr>
              <w:t>7.9</w:t>
            </w:r>
          </w:p>
        </w:tc>
        <w:tc>
          <w:tcPr>
            <w:tcW w:w="312" w:type="pct"/>
            <w:vAlign w:val="center"/>
          </w:tcPr>
          <w:p w14:paraId="7D449715"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B64E987"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93" w:type="pct"/>
            <w:vAlign w:val="center"/>
          </w:tcPr>
          <w:p w14:paraId="795FC545"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3280CFE6" w14:textId="77777777" w:rsidTr="00444693">
        <w:trPr>
          <w:cantSplit/>
          <w:trHeight w:val="13"/>
        </w:trPr>
        <w:tc>
          <w:tcPr>
            <w:tcW w:w="491" w:type="pct"/>
            <w:vMerge/>
            <w:tcBorders>
              <w:bottom w:val="single" w:sz="4" w:space="0" w:color="auto"/>
            </w:tcBorders>
          </w:tcPr>
          <w:p w14:paraId="61A638D9"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0DFCB94"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491B213"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44695D6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9319589" w14:textId="77777777" w:rsidR="00CE1436"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1E425D12" w14:textId="77777777" w:rsidR="00CE1436" w:rsidRDefault="00CE1436" w:rsidP="00444693">
            <w:pPr>
              <w:pStyle w:val="TableText"/>
              <w:widowControl w:val="0"/>
              <w:suppressAutoHyphens w:val="0"/>
              <w:spacing w:before="0" w:after="0" w:line="240" w:lineRule="auto"/>
              <w:jc w:val="center"/>
            </w:pPr>
            <w:r>
              <w:t>448</w:t>
            </w:r>
          </w:p>
        </w:tc>
        <w:tc>
          <w:tcPr>
            <w:tcW w:w="312" w:type="pct"/>
          </w:tcPr>
          <w:p w14:paraId="72F94D22"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1110A22"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5BEB30F"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FE83830" w14:textId="77777777" w:rsidR="00CE1436" w:rsidRDefault="00CE1436" w:rsidP="00444693">
            <w:pPr>
              <w:pStyle w:val="TableText"/>
              <w:widowControl w:val="0"/>
              <w:suppressAutoHyphens w:val="0"/>
              <w:spacing w:before="0" w:after="0" w:line="240" w:lineRule="auto"/>
              <w:jc w:val="center"/>
            </w:pPr>
            <w:r>
              <w:rPr>
                <w:color w:val="1A1B1A"/>
                <w:szCs w:val="17"/>
              </w:rPr>
              <w:t>7.0</w:t>
            </w:r>
          </w:p>
        </w:tc>
        <w:tc>
          <w:tcPr>
            <w:tcW w:w="312" w:type="pct"/>
            <w:vAlign w:val="center"/>
          </w:tcPr>
          <w:p w14:paraId="6AC07F4C"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5E07C18"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93" w:type="pct"/>
            <w:vAlign w:val="center"/>
          </w:tcPr>
          <w:p w14:paraId="40059DBA"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0E0A6D02" w14:textId="77777777" w:rsidTr="00444693">
        <w:trPr>
          <w:cantSplit/>
          <w:trHeight w:val="13"/>
        </w:trPr>
        <w:tc>
          <w:tcPr>
            <w:tcW w:w="491" w:type="pct"/>
            <w:vMerge/>
            <w:tcBorders>
              <w:bottom w:val="single" w:sz="4" w:space="0" w:color="auto"/>
            </w:tcBorders>
          </w:tcPr>
          <w:p w14:paraId="12B4708A"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F4E2AA3"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4C67426"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2C62B3D7"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19A175F" w14:textId="77777777" w:rsidR="00CE1436" w:rsidRPr="00A0160E"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6F7F704D" w14:textId="77777777" w:rsidR="00CE1436" w:rsidRDefault="00CE1436" w:rsidP="00444693">
            <w:pPr>
              <w:pStyle w:val="TableText"/>
              <w:widowControl w:val="0"/>
              <w:suppressAutoHyphens w:val="0"/>
              <w:spacing w:before="0" w:after="0" w:line="240" w:lineRule="auto"/>
              <w:jc w:val="center"/>
            </w:pPr>
            <w:r>
              <w:t>432</w:t>
            </w:r>
          </w:p>
        </w:tc>
        <w:tc>
          <w:tcPr>
            <w:tcW w:w="312" w:type="pct"/>
          </w:tcPr>
          <w:p w14:paraId="07041D2E"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3E03412"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0B3A5F86"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96F4802" w14:textId="77777777" w:rsidR="00CE1436" w:rsidRPr="003B78B6" w:rsidRDefault="00CE1436" w:rsidP="00444693">
            <w:pPr>
              <w:pStyle w:val="TableText"/>
              <w:widowControl w:val="0"/>
              <w:suppressAutoHyphens w:val="0"/>
              <w:spacing w:before="0" w:after="0" w:line="240" w:lineRule="auto"/>
              <w:jc w:val="center"/>
            </w:pPr>
            <w:r>
              <w:rPr>
                <w:color w:val="1A1B1A"/>
                <w:szCs w:val="17"/>
              </w:rPr>
              <w:t>6.8</w:t>
            </w:r>
          </w:p>
        </w:tc>
        <w:tc>
          <w:tcPr>
            <w:tcW w:w="312" w:type="pct"/>
            <w:vAlign w:val="center"/>
          </w:tcPr>
          <w:p w14:paraId="1D2A54A3"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7BFDB7DE"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93" w:type="pct"/>
            <w:vAlign w:val="center"/>
          </w:tcPr>
          <w:p w14:paraId="4F83CADD"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22167151" w14:textId="77777777" w:rsidTr="00444693">
        <w:trPr>
          <w:cantSplit/>
          <w:trHeight w:val="13"/>
        </w:trPr>
        <w:tc>
          <w:tcPr>
            <w:tcW w:w="491" w:type="pct"/>
            <w:vMerge/>
            <w:tcBorders>
              <w:bottom w:val="single" w:sz="4" w:space="0" w:color="auto"/>
            </w:tcBorders>
          </w:tcPr>
          <w:p w14:paraId="4104AEB5"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BAF2C72"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A48F153"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1B5EC3D0"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1D8AC10E" w14:textId="77777777" w:rsidR="00CE1436" w:rsidRPr="00A0160E"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6F1CFC4B"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4607AAA7"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2F2AA79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126C9E1B"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6BFA3F82" w14:textId="77777777" w:rsidR="00CE1436" w:rsidRPr="003B78B6" w:rsidRDefault="00CE1436" w:rsidP="00444693">
            <w:pPr>
              <w:pStyle w:val="TableText"/>
              <w:widowControl w:val="0"/>
              <w:suppressAutoHyphens w:val="0"/>
              <w:spacing w:before="0" w:after="0" w:line="240" w:lineRule="auto"/>
              <w:jc w:val="center"/>
            </w:pPr>
            <w:r>
              <w:rPr>
                <w:color w:val="1A1B1A"/>
                <w:szCs w:val="17"/>
              </w:rPr>
              <w:t>6.6</w:t>
            </w:r>
          </w:p>
        </w:tc>
        <w:tc>
          <w:tcPr>
            <w:tcW w:w="312" w:type="pct"/>
            <w:vAlign w:val="center"/>
          </w:tcPr>
          <w:p w14:paraId="7A6345ED"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D7E7DEC"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93" w:type="pct"/>
            <w:vAlign w:val="center"/>
          </w:tcPr>
          <w:p w14:paraId="08B1A513"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55FC78AE" w14:textId="77777777" w:rsidTr="00444693">
        <w:trPr>
          <w:cantSplit/>
          <w:trHeight w:val="13"/>
        </w:trPr>
        <w:tc>
          <w:tcPr>
            <w:tcW w:w="491" w:type="pct"/>
            <w:vMerge/>
            <w:tcBorders>
              <w:bottom w:val="single" w:sz="4" w:space="0" w:color="auto"/>
            </w:tcBorders>
          </w:tcPr>
          <w:p w14:paraId="5205F8BB"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4A2402A3"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28605D9"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4A9B3F7B"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40DF2FDE" w14:textId="77777777" w:rsidR="00CE1436" w:rsidRPr="00A0160E"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4D3C3DDA" w14:textId="77777777" w:rsidR="00CE1436" w:rsidRDefault="00CE1436" w:rsidP="00444693">
            <w:pPr>
              <w:pStyle w:val="TableText"/>
              <w:widowControl w:val="0"/>
              <w:suppressAutoHyphens w:val="0"/>
              <w:spacing w:before="0" w:after="0" w:line="240" w:lineRule="auto"/>
              <w:jc w:val="center"/>
            </w:pPr>
            <w:r>
              <w:t>330</w:t>
            </w:r>
          </w:p>
        </w:tc>
        <w:tc>
          <w:tcPr>
            <w:tcW w:w="312" w:type="pct"/>
          </w:tcPr>
          <w:p w14:paraId="1B1DA4B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5B45F0FA"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253A8C80"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522CD0A2" w14:textId="77777777" w:rsidR="00CE1436" w:rsidRPr="003B78B6" w:rsidRDefault="00CE1436" w:rsidP="00444693">
            <w:pPr>
              <w:pStyle w:val="TableText"/>
              <w:widowControl w:val="0"/>
              <w:suppressAutoHyphens w:val="0"/>
              <w:spacing w:before="0" w:after="0" w:line="240" w:lineRule="auto"/>
              <w:jc w:val="center"/>
            </w:pPr>
            <w:r>
              <w:rPr>
                <w:color w:val="1A1B1A"/>
                <w:szCs w:val="17"/>
              </w:rPr>
              <w:t>5.2</w:t>
            </w:r>
          </w:p>
        </w:tc>
        <w:tc>
          <w:tcPr>
            <w:tcW w:w="312" w:type="pct"/>
            <w:vAlign w:val="center"/>
          </w:tcPr>
          <w:p w14:paraId="1C4CB14B"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453A46F0"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93" w:type="pct"/>
            <w:vAlign w:val="center"/>
          </w:tcPr>
          <w:p w14:paraId="67C043F8"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53C83D59" w14:textId="77777777" w:rsidTr="00444693">
        <w:trPr>
          <w:cantSplit/>
          <w:trHeight w:val="13"/>
        </w:trPr>
        <w:tc>
          <w:tcPr>
            <w:tcW w:w="491" w:type="pct"/>
            <w:vMerge/>
            <w:tcBorders>
              <w:bottom w:val="single" w:sz="4" w:space="0" w:color="auto"/>
            </w:tcBorders>
          </w:tcPr>
          <w:p w14:paraId="51AE8127"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2E9D9C1F"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6F7B1AC4"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60BEB24F"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0ECB6A20" w14:textId="77777777" w:rsidR="00CE1436"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2CB316E8" w14:textId="77777777" w:rsidR="00CE1436" w:rsidRDefault="00CE1436" w:rsidP="00444693">
            <w:pPr>
              <w:pStyle w:val="TableText"/>
              <w:widowControl w:val="0"/>
              <w:suppressAutoHyphens w:val="0"/>
              <w:spacing w:before="0" w:after="0" w:line="240" w:lineRule="auto"/>
              <w:jc w:val="center"/>
            </w:pPr>
            <w:r>
              <w:t>324</w:t>
            </w:r>
          </w:p>
        </w:tc>
        <w:tc>
          <w:tcPr>
            <w:tcW w:w="312" w:type="pct"/>
          </w:tcPr>
          <w:p w14:paraId="6D828E7B"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44A0FA7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EB5BC1C"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CFE7B4D" w14:textId="77777777" w:rsidR="00CE1436" w:rsidRDefault="00CE1436" w:rsidP="00444693">
            <w:pPr>
              <w:pStyle w:val="TableText"/>
              <w:widowControl w:val="0"/>
              <w:suppressAutoHyphens w:val="0"/>
              <w:spacing w:before="0" w:after="0" w:line="240" w:lineRule="auto"/>
              <w:jc w:val="center"/>
            </w:pPr>
            <w:r>
              <w:rPr>
                <w:color w:val="1A1B1A"/>
                <w:szCs w:val="17"/>
              </w:rPr>
              <w:t>5.1</w:t>
            </w:r>
          </w:p>
        </w:tc>
        <w:tc>
          <w:tcPr>
            <w:tcW w:w="312" w:type="pct"/>
            <w:vAlign w:val="center"/>
          </w:tcPr>
          <w:p w14:paraId="59CD1FFF"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shd w:val="clear" w:color="auto" w:fill="FF0000"/>
            <w:vAlign w:val="center"/>
          </w:tcPr>
          <w:p w14:paraId="2D517079" w14:textId="77777777" w:rsidR="00CE1436" w:rsidRPr="00EB1DDB"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93" w:type="pct"/>
            <w:vAlign w:val="center"/>
          </w:tcPr>
          <w:p w14:paraId="2854AEF2"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7302859B" w14:textId="77777777" w:rsidTr="00444693">
        <w:trPr>
          <w:cantSplit/>
          <w:trHeight w:val="13"/>
        </w:trPr>
        <w:tc>
          <w:tcPr>
            <w:tcW w:w="491" w:type="pct"/>
            <w:vMerge/>
            <w:tcBorders>
              <w:bottom w:val="single" w:sz="4" w:space="0" w:color="auto"/>
            </w:tcBorders>
          </w:tcPr>
          <w:p w14:paraId="43E66B74"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79B51F19"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3476F9BE"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5357CB02"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6A13F586" w14:textId="77777777" w:rsidR="00CE1436"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1ABF01CE" w14:textId="77777777" w:rsidR="00CE1436" w:rsidRDefault="00CE1436" w:rsidP="00444693">
            <w:pPr>
              <w:pStyle w:val="TableText"/>
              <w:widowControl w:val="0"/>
              <w:suppressAutoHyphens w:val="0"/>
              <w:spacing w:before="0" w:after="0" w:line="240" w:lineRule="auto"/>
              <w:jc w:val="center"/>
            </w:pPr>
            <w:r>
              <w:t>200</w:t>
            </w:r>
          </w:p>
        </w:tc>
        <w:tc>
          <w:tcPr>
            <w:tcW w:w="312" w:type="pct"/>
          </w:tcPr>
          <w:p w14:paraId="2CB4F36F"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34EBBA9F"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526342AC"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501A351" w14:textId="77777777" w:rsidR="00CE1436"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6AE3244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26F4A1EC" w14:textId="77777777" w:rsidR="00CE1436" w:rsidRDefault="00CE1436" w:rsidP="00444693">
            <w:pPr>
              <w:pStyle w:val="TableText"/>
              <w:widowControl w:val="0"/>
              <w:suppressAutoHyphens w:val="0"/>
              <w:spacing w:before="0" w:after="0" w:line="240" w:lineRule="auto"/>
              <w:jc w:val="center"/>
            </w:pPr>
            <w:r>
              <w:rPr>
                <w:color w:val="1A1B1A"/>
                <w:szCs w:val="17"/>
              </w:rPr>
              <w:t>0.83</w:t>
            </w:r>
          </w:p>
        </w:tc>
        <w:tc>
          <w:tcPr>
            <w:tcW w:w="393" w:type="pct"/>
            <w:vAlign w:val="center"/>
          </w:tcPr>
          <w:p w14:paraId="11F4AFA2"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r w:rsidR="00CE1436" w:rsidRPr="0027505E" w14:paraId="4713DF44" w14:textId="77777777" w:rsidTr="00444693">
        <w:trPr>
          <w:cantSplit/>
          <w:trHeight w:val="13"/>
        </w:trPr>
        <w:tc>
          <w:tcPr>
            <w:tcW w:w="491" w:type="pct"/>
            <w:vMerge/>
            <w:tcBorders>
              <w:bottom w:val="single" w:sz="4" w:space="0" w:color="auto"/>
            </w:tcBorders>
          </w:tcPr>
          <w:p w14:paraId="42CC8E82"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C83ED2A"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2C2E393A" w14:textId="77777777" w:rsidR="00CE1436" w:rsidRPr="00065967" w:rsidRDefault="00CE1436" w:rsidP="00444693">
            <w:pPr>
              <w:pStyle w:val="TableText"/>
              <w:widowControl w:val="0"/>
              <w:suppressAutoHyphens w:val="0"/>
              <w:spacing w:before="0" w:after="0" w:line="240" w:lineRule="auto"/>
              <w:rPr>
                <w:szCs w:val="17"/>
              </w:rPr>
            </w:pPr>
          </w:p>
        </w:tc>
        <w:tc>
          <w:tcPr>
            <w:tcW w:w="491" w:type="pct"/>
          </w:tcPr>
          <w:p w14:paraId="04563F2A" w14:textId="77777777" w:rsidR="00CE1436" w:rsidRDefault="00CE1436" w:rsidP="00444693">
            <w:pPr>
              <w:pStyle w:val="TableText"/>
              <w:widowControl w:val="0"/>
              <w:suppressAutoHyphens w:val="0"/>
              <w:spacing w:before="0" w:after="0" w:line="240" w:lineRule="auto"/>
              <w:jc w:val="center"/>
            </w:pPr>
          </w:p>
        </w:tc>
        <w:tc>
          <w:tcPr>
            <w:tcW w:w="449" w:type="pct"/>
            <w:shd w:val="clear" w:color="auto" w:fill="D5D7D5" w:themeFill="text1" w:themeFillTint="33"/>
          </w:tcPr>
          <w:p w14:paraId="7BC1E09B" w14:textId="77777777" w:rsidR="00CE1436" w:rsidRPr="00A0160E"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Pr>
          <w:p w14:paraId="57D29CE8" w14:textId="77777777" w:rsidR="00CE1436" w:rsidRDefault="00CE1436" w:rsidP="00444693">
            <w:pPr>
              <w:pStyle w:val="TableText"/>
              <w:widowControl w:val="0"/>
              <w:suppressAutoHyphens w:val="0"/>
              <w:spacing w:before="0" w:after="0" w:line="240" w:lineRule="auto"/>
              <w:jc w:val="center"/>
            </w:pPr>
            <w:r>
              <w:t>173</w:t>
            </w:r>
          </w:p>
        </w:tc>
        <w:tc>
          <w:tcPr>
            <w:tcW w:w="312" w:type="pct"/>
          </w:tcPr>
          <w:p w14:paraId="45DA6133" w14:textId="77777777" w:rsidR="00CE1436" w:rsidRDefault="00CE1436" w:rsidP="00444693">
            <w:pPr>
              <w:pStyle w:val="TableText"/>
              <w:widowControl w:val="0"/>
              <w:suppressAutoHyphens w:val="0"/>
              <w:spacing w:before="0" w:after="0" w:line="240" w:lineRule="auto"/>
              <w:jc w:val="center"/>
            </w:pPr>
            <w:r>
              <w:t>1.0</w:t>
            </w:r>
          </w:p>
        </w:tc>
        <w:tc>
          <w:tcPr>
            <w:tcW w:w="311" w:type="pct"/>
          </w:tcPr>
          <w:p w14:paraId="65CFB119" w14:textId="77777777" w:rsidR="00CE1436" w:rsidRDefault="00CE1436" w:rsidP="00444693">
            <w:pPr>
              <w:pStyle w:val="TableText"/>
              <w:widowControl w:val="0"/>
              <w:suppressAutoHyphens w:val="0"/>
              <w:spacing w:before="0" w:after="0" w:line="240" w:lineRule="auto"/>
              <w:jc w:val="center"/>
            </w:pPr>
            <w:r>
              <w:t>0.5</w:t>
            </w:r>
          </w:p>
        </w:tc>
        <w:tc>
          <w:tcPr>
            <w:tcW w:w="312" w:type="pct"/>
          </w:tcPr>
          <w:p w14:paraId="6BCA0889" w14:textId="77777777" w:rsidR="00CE1436" w:rsidRDefault="00CE1436" w:rsidP="00444693">
            <w:pPr>
              <w:pStyle w:val="TableText"/>
              <w:widowControl w:val="0"/>
              <w:suppressAutoHyphens w:val="0"/>
              <w:spacing w:before="0" w:after="0" w:line="240" w:lineRule="auto"/>
              <w:jc w:val="center"/>
            </w:pPr>
            <w:r>
              <w:t>0.53</w:t>
            </w:r>
          </w:p>
        </w:tc>
        <w:tc>
          <w:tcPr>
            <w:tcW w:w="311" w:type="pct"/>
            <w:vAlign w:val="center"/>
          </w:tcPr>
          <w:p w14:paraId="40B664A8" w14:textId="77777777" w:rsidR="00CE1436" w:rsidRPr="003B78B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04068A9"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31FBD6E4" w14:textId="77777777" w:rsidR="00CE1436" w:rsidRPr="0027505E" w:rsidRDefault="00CE1436" w:rsidP="00444693">
            <w:pPr>
              <w:pStyle w:val="TableText"/>
              <w:widowControl w:val="0"/>
              <w:suppressAutoHyphens w:val="0"/>
              <w:spacing w:before="0" w:after="0" w:line="240" w:lineRule="auto"/>
              <w:jc w:val="center"/>
            </w:pPr>
            <w:r>
              <w:rPr>
                <w:color w:val="1A1B1A"/>
                <w:szCs w:val="17"/>
              </w:rPr>
              <w:t>0.72</w:t>
            </w:r>
          </w:p>
        </w:tc>
        <w:tc>
          <w:tcPr>
            <w:tcW w:w="393" w:type="pct"/>
            <w:vAlign w:val="center"/>
          </w:tcPr>
          <w:p w14:paraId="256FA4D9" w14:textId="77777777" w:rsidR="00CE1436" w:rsidRPr="0027505E" w:rsidRDefault="00CE1436" w:rsidP="00444693">
            <w:pPr>
              <w:pStyle w:val="TableText"/>
              <w:widowControl w:val="0"/>
              <w:suppressAutoHyphens w:val="0"/>
              <w:spacing w:before="0" w:after="0" w:line="240" w:lineRule="auto"/>
              <w:jc w:val="center"/>
            </w:pPr>
            <w:r>
              <w:rPr>
                <w:color w:val="1A1B1A"/>
                <w:szCs w:val="17"/>
              </w:rPr>
              <w:t>242</w:t>
            </w:r>
          </w:p>
        </w:tc>
      </w:tr>
      <w:tr w:rsidR="00CE1436" w:rsidRPr="00C3293F" w14:paraId="1661390B" w14:textId="77777777" w:rsidTr="00444693">
        <w:trPr>
          <w:cantSplit/>
          <w:trHeight w:val="13"/>
        </w:trPr>
        <w:tc>
          <w:tcPr>
            <w:tcW w:w="491" w:type="pct"/>
            <w:vMerge/>
            <w:tcBorders>
              <w:bottom w:val="single" w:sz="4" w:space="0" w:color="auto"/>
            </w:tcBorders>
          </w:tcPr>
          <w:p w14:paraId="606903A6" w14:textId="77777777" w:rsidR="00CE1436" w:rsidRDefault="00CE1436" w:rsidP="00444693">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7BDF03D" w14:textId="77777777" w:rsidR="00CE1436" w:rsidRPr="00B6513E" w:rsidRDefault="00CE1436" w:rsidP="00444693">
            <w:pPr>
              <w:pStyle w:val="TableText"/>
              <w:widowControl w:val="0"/>
              <w:suppressAutoHyphens w:val="0"/>
              <w:spacing w:before="0" w:after="0" w:line="240" w:lineRule="auto"/>
              <w:rPr>
                <w:szCs w:val="17"/>
              </w:rPr>
            </w:pPr>
          </w:p>
        </w:tc>
        <w:tc>
          <w:tcPr>
            <w:tcW w:w="477" w:type="pct"/>
            <w:vMerge/>
            <w:tcBorders>
              <w:bottom w:val="single" w:sz="4" w:space="0" w:color="auto"/>
            </w:tcBorders>
          </w:tcPr>
          <w:p w14:paraId="0CB63472" w14:textId="77777777" w:rsidR="00CE1436" w:rsidRPr="00065967" w:rsidRDefault="00CE1436" w:rsidP="00444693">
            <w:pPr>
              <w:pStyle w:val="TableText"/>
              <w:widowControl w:val="0"/>
              <w:suppressAutoHyphens w:val="0"/>
              <w:spacing w:before="0" w:after="0" w:line="240" w:lineRule="auto"/>
              <w:rPr>
                <w:szCs w:val="17"/>
              </w:rPr>
            </w:pPr>
          </w:p>
        </w:tc>
        <w:tc>
          <w:tcPr>
            <w:tcW w:w="491" w:type="pct"/>
            <w:tcBorders>
              <w:bottom w:val="single" w:sz="4" w:space="0" w:color="auto"/>
            </w:tcBorders>
          </w:tcPr>
          <w:p w14:paraId="4506BC8D" w14:textId="77777777" w:rsidR="00CE1436" w:rsidRDefault="00CE1436" w:rsidP="00444693">
            <w:pPr>
              <w:pStyle w:val="TableText"/>
              <w:widowControl w:val="0"/>
              <w:suppressAutoHyphens w:val="0"/>
              <w:spacing w:before="0" w:after="0" w:line="240" w:lineRule="auto"/>
              <w:jc w:val="center"/>
            </w:pPr>
          </w:p>
        </w:tc>
        <w:tc>
          <w:tcPr>
            <w:tcW w:w="449" w:type="pct"/>
            <w:tcBorders>
              <w:bottom w:val="single" w:sz="4" w:space="0" w:color="auto"/>
            </w:tcBorders>
            <w:shd w:val="clear" w:color="auto" w:fill="D5D7D5" w:themeFill="text1" w:themeFillTint="33"/>
          </w:tcPr>
          <w:p w14:paraId="2E7C3D79" w14:textId="77777777" w:rsidR="00CE1436" w:rsidRDefault="00CE1436" w:rsidP="00444693">
            <w:pPr>
              <w:pStyle w:val="TableText"/>
              <w:widowControl w:val="0"/>
              <w:suppressAutoHyphens w:val="0"/>
              <w:spacing w:before="0" w:after="0" w:line="240" w:lineRule="auto"/>
              <w:jc w:val="center"/>
            </w:pPr>
            <w:r w:rsidRPr="00067474">
              <w:t>59.3</w:t>
            </w:r>
            <w:r w:rsidRPr="00067474">
              <w:rPr>
                <w:vertAlign w:val="superscript"/>
              </w:rPr>
              <w:t>a</w:t>
            </w:r>
          </w:p>
        </w:tc>
        <w:tc>
          <w:tcPr>
            <w:tcW w:w="311" w:type="pct"/>
            <w:tcBorders>
              <w:bottom w:val="single" w:sz="4" w:space="0" w:color="auto"/>
            </w:tcBorders>
          </w:tcPr>
          <w:p w14:paraId="6F4F1309" w14:textId="77777777" w:rsidR="00CE1436" w:rsidRDefault="00CE1436" w:rsidP="00444693">
            <w:pPr>
              <w:pStyle w:val="TableText"/>
              <w:widowControl w:val="0"/>
              <w:suppressAutoHyphens w:val="0"/>
              <w:spacing w:before="0" w:after="0" w:line="240" w:lineRule="auto"/>
              <w:jc w:val="center"/>
            </w:pPr>
            <w:r>
              <w:t>170</w:t>
            </w:r>
          </w:p>
        </w:tc>
        <w:tc>
          <w:tcPr>
            <w:tcW w:w="312" w:type="pct"/>
            <w:tcBorders>
              <w:bottom w:val="single" w:sz="4" w:space="0" w:color="auto"/>
            </w:tcBorders>
          </w:tcPr>
          <w:p w14:paraId="479A366E" w14:textId="77777777" w:rsidR="00CE1436" w:rsidRDefault="00CE1436" w:rsidP="00444693">
            <w:pPr>
              <w:pStyle w:val="TableText"/>
              <w:widowControl w:val="0"/>
              <w:suppressAutoHyphens w:val="0"/>
              <w:spacing w:before="0" w:after="0" w:line="240" w:lineRule="auto"/>
              <w:jc w:val="center"/>
            </w:pPr>
            <w:r>
              <w:t>1.0</w:t>
            </w:r>
          </w:p>
        </w:tc>
        <w:tc>
          <w:tcPr>
            <w:tcW w:w="311" w:type="pct"/>
            <w:tcBorders>
              <w:bottom w:val="single" w:sz="4" w:space="0" w:color="auto"/>
            </w:tcBorders>
          </w:tcPr>
          <w:p w14:paraId="0227050A" w14:textId="77777777" w:rsidR="00CE1436" w:rsidRDefault="00CE1436" w:rsidP="00444693">
            <w:pPr>
              <w:pStyle w:val="TableText"/>
              <w:widowControl w:val="0"/>
              <w:suppressAutoHyphens w:val="0"/>
              <w:spacing w:before="0" w:after="0" w:line="240" w:lineRule="auto"/>
              <w:jc w:val="center"/>
            </w:pPr>
            <w:r>
              <w:t>0.5</w:t>
            </w:r>
          </w:p>
        </w:tc>
        <w:tc>
          <w:tcPr>
            <w:tcW w:w="312" w:type="pct"/>
            <w:tcBorders>
              <w:bottom w:val="single" w:sz="4" w:space="0" w:color="auto"/>
            </w:tcBorders>
          </w:tcPr>
          <w:p w14:paraId="2DF8F367" w14:textId="77777777" w:rsidR="00CE1436" w:rsidRDefault="00CE1436" w:rsidP="00444693">
            <w:pPr>
              <w:pStyle w:val="TableText"/>
              <w:widowControl w:val="0"/>
              <w:suppressAutoHyphens w:val="0"/>
              <w:spacing w:before="0" w:after="0" w:line="240" w:lineRule="auto"/>
              <w:jc w:val="center"/>
            </w:pPr>
            <w:r>
              <w:t>0.53</w:t>
            </w:r>
          </w:p>
        </w:tc>
        <w:tc>
          <w:tcPr>
            <w:tcW w:w="311" w:type="pct"/>
            <w:tcBorders>
              <w:bottom w:val="single" w:sz="4" w:space="0" w:color="auto"/>
            </w:tcBorders>
            <w:vAlign w:val="center"/>
          </w:tcPr>
          <w:p w14:paraId="429E74B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bottom w:val="single" w:sz="4" w:space="0" w:color="auto"/>
            </w:tcBorders>
            <w:vAlign w:val="center"/>
          </w:tcPr>
          <w:p w14:paraId="53EF4C3E" w14:textId="77777777" w:rsidR="00CE1436" w:rsidRDefault="00CE1436" w:rsidP="00444693">
            <w:pPr>
              <w:pStyle w:val="TableText"/>
              <w:widowControl w:val="0"/>
              <w:suppressAutoHyphens w:val="0"/>
              <w:spacing w:before="0" w:after="0" w:line="240" w:lineRule="auto"/>
              <w:jc w:val="center"/>
            </w:pPr>
            <w:r>
              <w:rPr>
                <w:color w:val="1A1B1A"/>
                <w:szCs w:val="17"/>
              </w:rPr>
              <w:t>3.8</w:t>
            </w:r>
          </w:p>
        </w:tc>
        <w:tc>
          <w:tcPr>
            <w:tcW w:w="312" w:type="pct"/>
            <w:tcBorders>
              <w:bottom w:val="single" w:sz="4" w:space="0" w:color="auto"/>
            </w:tcBorders>
            <w:vAlign w:val="center"/>
          </w:tcPr>
          <w:p w14:paraId="1E4CCB3B" w14:textId="77777777" w:rsidR="00CE1436" w:rsidRDefault="00CE1436" w:rsidP="00444693">
            <w:pPr>
              <w:pStyle w:val="TableText"/>
              <w:widowControl w:val="0"/>
              <w:suppressAutoHyphens w:val="0"/>
              <w:spacing w:before="0" w:after="0" w:line="240" w:lineRule="auto"/>
              <w:jc w:val="center"/>
            </w:pPr>
            <w:r>
              <w:rPr>
                <w:color w:val="1A1B1A"/>
                <w:szCs w:val="17"/>
              </w:rPr>
              <w:t>0.70</w:t>
            </w:r>
          </w:p>
        </w:tc>
        <w:tc>
          <w:tcPr>
            <w:tcW w:w="393" w:type="pct"/>
            <w:tcBorders>
              <w:bottom w:val="single" w:sz="4" w:space="0" w:color="auto"/>
            </w:tcBorders>
            <w:vAlign w:val="center"/>
          </w:tcPr>
          <w:p w14:paraId="031D4EB5" w14:textId="77777777" w:rsidR="00CE1436" w:rsidRPr="00C3293F" w:rsidRDefault="00CE1436" w:rsidP="00444693">
            <w:pPr>
              <w:pStyle w:val="TableText"/>
              <w:widowControl w:val="0"/>
              <w:suppressAutoHyphens w:val="0"/>
              <w:spacing w:before="0" w:after="0" w:line="240" w:lineRule="auto"/>
              <w:jc w:val="center"/>
            </w:pPr>
            <w:r>
              <w:rPr>
                <w:color w:val="1A1B1A"/>
                <w:szCs w:val="17"/>
              </w:rPr>
              <w:t>242</w:t>
            </w:r>
          </w:p>
        </w:tc>
      </w:tr>
    </w:tbl>
    <w:p w14:paraId="2AD612D2" w14:textId="77777777" w:rsidR="00CE1436" w:rsidRDefault="00CE1436" w:rsidP="00CE1436">
      <w:pPr>
        <w:pStyle w:val="SourceTableNote"/>
        <w:widowControl w:val="0"/>
        <w:suppressAutoHyphens w:val="0"/>
        <w:spacing w:line="240" w:lineRule="auto"/>
        <w:rPr>
          <w:sz w:val="17"/>
          <w:szCs w:val="17"/>
        </w:rPr>
      </w:pPr>
      <w:r w:rsidRPr="00450770">
        <w:rPr>
          <w:sz w:val="17"/>
          <w:szCs w:val="17"/>
          <w:vertAlign w:val="superscript"/>
        </w:rPr>
        <w:t>a</w:t>
      </w:r>
      <w:r>
        <w:rPr>
          <w:sz w:val="17"/>
          <w:szCs w:val="17"/>
        </w:rPr>
        <w:t xml:space="preserve"> Refined shortcut value used for risk assessment; small herbivores, bodyweight adjusted to 50 g</w:t>
      </w:r>
    </w:p>
    <w:p w14:paraId="719CD921" w14:textId="77777777" w:rsidR="00CE1436" w:rsidRDefault="00CE1436" w:rsidP="00CE1436">
      <w:pPr>
        <w:pStyle w:val="SourceTableNote"/>
        <w:widowControl w:val="0"/>
        <w:suppressAutoHyphens w:val="0"/>
        <w:spacing w:line="240" w:lineRule="auto"/>
        <w:rPr>
          <w:sz w:val="17"/>
          <w:szCs w:val="17"/>
        </w:rPr>
      </w:pPr>
      <w:r>
        <w:rPr>
          <w:sz w:val="17"/>
          <w:szCs w:val="17"/>
          <w:vertAlign w:val="superscript"/>
        </w:rPr>
        <w:t>b</w:t>
      </w:r>
      <w:r>
        <w:rPr>
          <w:sz w:val="17"/>
          <w:szCs w:val="17"/>
        </w:rPr>
        <w:t xml:space="preserve"> Refined shortcut value used for risk assessment; large herbivores, bodyweight adjusted to 1500 g and DEE based on non-eutherian mammals</w:t>
      </w:r>
    </w:p>
    <w:p w14:paraId="2942B4D6" w14:textId="77777777" w:rsidR="00CE1436" w:rsidRDefault="00CE1436" w:rsidP="00CE1436">
      <w:pPr>
        <w:pStyle w:val="SourceTableNote"/>
        <w:widowControl w:val="0"/>
        <w:suppressAutoHyphens w:val="0"/>
        <w:spacing w:line="240" w:lineRule="auto"/>
        <w:rPr>
          <w:sz w:val="17"/>
          <w:szCs w:val="17"/>
        </w:rPr>
      </w:pPr>
      <w:r>
        <w:rPr>
          <w:sz w:val="17"/>
          <w:szCs w:val="17"/>
          <w:vertAlign w:val="superscript"/>
        </w:rPr>
        <w:t>c</w:t>
      </w:r>
      <w:r>
        <w:rPr>
          <w:sz w:val="17"/>
          <w:szCs w:val="17"/>
        </w:rPr>
        <w:t xml:space="preserve"> Refined shortcut value used for risk assessment; adjusted for interception values in EFSA (2020)</w:t>
      </w:r>
    </w:p>
    <w:p w14:paraId="7F20344E" w14:textId="77777777" w:rsidR="00CE1436" w:rsidRDefault="00CE1436" w:rsidP="00CE1436">
      <w:pPr>
        <w:pStyle w:val="SourceTableNote"/>
        <w:widowControl w:val="0"/>
        <w:suppressAutoHyphens w:val="0"/>
        <w:spacing w:line="240" w:lineRule="auto"/>
        <w:rPr>
          <w:sz w:val="17"/>
          <w:szCs w:val="17"/>
        </w:rPr>
      </w:pPr>
      <w:r>
        <w:rPr>
          <w:sz w:val="17"/>
          <w:szCs w:val="17"/>
          <w:vertAlign w:val="superscript"/>
        </w:rPr>
        <w:t>d</w:t>
      </w:r>
      <w:r>
        <w:rPr>
          <w:sz w:val="17"/>
          <w:szCs w:val="17"/>
        </w:rPr>
        <w:t xml:space="preserve"> Value (MAF or TWA) adjusted to account for DT</w:t>
      </w:r>
      <w:r w:rsidRPr="00450770">
        <w:rPr>
          <w:sz w:val="17"/>
          <w:szCs w:val="17"/>
          <w:vertAlign w:val="subscript"/>
        </w:rPr>
        <w:t>50</w:t>
      </w:r>
      <w:r>
        <w:rPr>
          <w:sz w:val="17"/>
          <w:szCs w:val="17"/>
        </w:rPr>
        <w:t xml:space="preserve"> 4.6 d for arthropod food items</w:t>
      </w:r>
    </w:p>
    <w:p w14:paraId="118387E1" w14:textId="2EA38C8D" w:rsidR="00CE1436" w:rsidRPr="00401A10" w:rsidRDefault="00CE1436" w:rsidP="00CE1436">
      <w:pPr>
        <w:pStyle w:val="SourceTableNote"/>
        <w:widowControl w:val="0"/>
        <w:suppressAutoHyphens w:val="0"/>
        <w:spacing w:line="240" w:lineRule="auto"/>
        <w:rPr>
          <w:sz w:val="17"/>
          <w:szCs w:val="17"/>
        </w:rPr>
      </w:pPr>
      <w:r w:rsidRPr="00401A10">
        <w:rPr>
          <w:sz w:val="17"/>
          <w:szCs w:val="17"/>
        </w:rPr>
        <w:t xml:space="preserve">Crop groups and situations as indicated in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p>
    <w:p w14:paraId="7E0079CF" w14:textId="77777777" w:rsidR="00CE1436" w:rsidRPr="00401A10" w:rsidRDefault="00CE1436" w:rsidP="00CE1436">
      <w:pPr>
        <w:pStyle w:val="SourceTableNote"/>
        <w:widowControl w:val="0"/>
        <w:suppressAutoHyphens w:val="0"/>
        <w:spacing w:line="240" w:lineRule="auto"/>
        <w:rPr>
          <w:sz w:val="17"/>
          <w:szCs w:val="17"/>
        </w:rPr>
      </w:pPr>
      <w:r w:rsidRPr="00401A10">
        <w:rPr>
          <w:sz w:val="17"/>
          <w:szCs w:val="17"/>
        </w:rPr>
        <w:t>Generic focal species and shortcut values for indicated crop groups from EFSA (2009)</w:t>
      </w:r>
      <w:r>
        <w:rPr>
          <w:sz w:val="17"/>
          <w:szCs w:val="17"/>
        </w:rPr>
        <w:t>, unless indicated otherwise</w:t>
      </w:r>
    </w:p>
    <w:p w14:paraId="734DE771" w14:textId="5E064C16" w:rsidR="00CE1436" w:rsidRDefault="00CE1436" w:rsidP="00CE1436">
      <w:pPr>
        <w:pStyle w:val="SourceTableNote"/>
        <w:widowControl w:val="0"/>
        <w:suppressAutoHyphens w:val="0"/>
        <w:spacing w:line="240" w:lineRule="auto"/>
        <w:rPr>
          <w:sz w:val="17"/>
          <w:szCs w:val="17"/>
        </w:rPr>
      </w:pPr>
      <w:r>
        <w:rPr>
          <w:sz w:val="17"/>
          <w:szCs w:val="17"/>
        </w:rPr>
        <w:t>AR (g ac/ha) = application rate, the values quoted</w:t>
      </w:r>
      <w:r w:rsidRPr="00F363D5">
        <w:rPr>
          <w:sz w:val="17"/>
          <w:szCs w:val="17"/>
        </w:rPr>
        <w:t xml:space="preserve"> </w:t>
      </w:r>
      <w:r>
        <w:rPr>
          <w:sz w:val="17"/>
          <w:szCs w:val="17"/>
        </w:rPr>
        <w:t xml:space="preserve">have been adjusted for FFT (from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r>
        <w:rPr>
          <w:sz w:val="17"/>
          <w:szCs w:val="17"/>
        </w:rPr>
        <w:t>)</w:t>
      </w:r>
    </w:p>
    <w:p w14:paraId="0EB4D3F6" w14:textId="77777777" w:rsidR="00CE1436" w:rsidRDefault="00CE1436" w:rsidP="00CE1436">
      <w:pPr>
        <w:pStyle w:val="SourceTableNote"/>
        <w:widowControl w:val="0"/>
        <w:suppressAutoHyphens w:val="0"/>
        <w:spacing w:line="240" w:lineRule="auto"/>
        <w:rPr>
          <w:sz w:val="17"/>
          <w:szCs w:val="17"/>
        </w:rPr>
      </w:pPr>
      <w:r>
        <w:rPr>
          <w:sz w:val="17"/>
          <w:szCs w:val="17"/>
        </w:rPr>
        <w:t>MAF = multiple application factor</w:t>
      </w:r>
    </w:p>
    <w:p w14:paraId="4A344C39" w14:textId="77777777" w:rsidR="00CE1436" w:rsidRDefault="00CE1436" w:rsidP="00CE1436">
      <w:pPr>
        <w:pStyle w:val="SourceTableNote"/>
        <w:widowControl w:val="0"/>
        <w:suppressAutoHyphens w:val="0"/>
        <w:spacing w:line="240" w:lineRule="auto"/>
        <w:rPr>
          <w:sz w:val="17"/>
          <w:szCs w:val="17"/>
        </w:rPr>
      </w:pPr>
      <w:r>
        <w:rPr>
          <w:sz w:val="17"/>
          <w:szCs w:val="17"/>
        </w:rPr>
        <w:t xml:space="preserve">PT = </w:t>
      </w:r>
      <w:r w:rsidRPr="00450770">
        <w:rPr>
          <w:sz w:val="17"/>
          <w:szCs w:val="17"/>
        </w:rPr>
        <w:t xml:space="preserve">proportion of daily diet obtained treated </w:t>
      </w:r>
      <w:r>
        <w:rPr>
          <w:sz w:val="17"/>
          <w:szCs w:val="17"/>
        </w:rPr>
        <w:t>area (acute 1.0, chronic 0.5)</w:t>
      </w:r>
    </w:p>
    <w:p w14:paraId="535D07F7" w14:textId="77777777" w:rsidR="00CE1436" w:rsidRDefault="00CE1436" w:rsidP="00CE1436">
      <w:pPr>
        <w:pStyle w:val="SourceTableNote"/>
        <w:widowControl w:val="0"/>
        <w:suppressAutoHyphens w:val="0"/>
        <w:spacing w:line="240" w:lineRule="auto"/>
        <w:rPr>
          <w:sz w:val="17"/>
          <w:szCs w:val="17"/>
        </w:rPr>
      </w:pPr>
      <w:r>
        <w:rPr>
          <w:sz w:val="17"/>
          <w:szCs w:val="17"/>
        </w:rPr>
        <w:t>TWA = time weighted average factor</w:t>
      </w:r>
    </w:p>
    <w:p w14:paraId="33075FBB" w14:textId="77777777" w:rsidR="00CE1436" w:rsidRDefault="00CE1436" w:rsidP="00CE1436">
      <w:pPr>
        <w:pStyle w:val="SourceTableNote"/>
        <w:widowControl w:val="0"/>
        <w:suppressAutoHyphens w:val="0"/>
        <w:spacing w:line="240" w:lineRule="auto"/>
        <w:rPr>
          <w:sz w:val="17"/>
          <w:szCs w:val="17"/>
        </w:rPr>
      </w:pPr>
      <w:r>
        <w:rPr>
          <w:sz w:val="17"/>
          <w:szCs w:val="17"/>
        </w:rPr>
        <w:t>DDD (mg ac/kg bw or mg ac/kg bw/d) = daily dietary dose = AR ∕ 1000 × shortcut value × MAF × PT × TWA</w:t>
      </w:r>
    </w:p>
    <w:p w14:paraId="3CF049F9" w14:textId="77777777" w:rsidR="00CE1436" w:rsidRPr="00401A10" w:rsidRDefault="00CE1436" w:rsidP="00CE1436">
      <w:pPr>
        <w:pStyle w:val="SourceTableNote"/>
        <w:widowControl w:val="0"/>
        <w:suppressAutoHyphens w:val="0"/>
        <w:spacing w:line="240" w:lineRule="auto"/>
        <w:rPr>
          <w:sz w:val="17"/>
          <w:szCs w:val="17"/>
        </w:rPr>
      </w:pPr>
      <w:r w:rsidRPr="00401A10">
        <w:rPr>
          <w:sz w:val="17"/>
          <w:szCs w:val="17"/>
        </w:rPr>
        <w:t>RAL = regulatory acceptable level</w:t>
      </w:r>
    </w:p>
    <w:p w14:paraId="6952A268" w14:textId="77777777" w:rsidR="00CE1436" w:rsidRPr="00401A10" w:rsidRDefault="00CE1436" w:rsidP="00CE1436">
      <w:pPr>
        <w:pStyle w:val="SourceTableNote"/>
        <w:widowControl w:val="0"/>
        <w:suppressAutoHyphens w:val="0"/>
        <w:spacing w:line="240" w:lineRule="auto"/>
        <w:ind w:left="567"/>
        <w:rPr>
          <w:sz w:val="17"/>
          <w:szCs w:val="17"/>
        </w:rPr>
      </w:pPr>
      <w:r w:rsidRPr="00401A10">
        <w:rPr>
          <w:sz w:val="17"/>
          <w:szCs w:val="17"/>
        </w:rPr>
        <w:t>Acute = geomean LD</w:t>
      </w:r>
      <w:r w:rsidRPr="00401A10">
        <w:rPr>
          <w:sz w:val="17"/>
          <w:szCs w:val="17"/>
          <w:vertAlign w:val="subscript"/>
        </w:rPr>
        <w:t>50</w:t>
      </w:r>
      <w:r w:rsidRPr="00401A10">
        <w:rPr>
          <w:sz w:val="17"/>
          <w:szCs w:val="17"/>
        </w:rPr>
        <w:t xml:space="preserve"> 61 mg/kg bw (Duerden 1994, Farnworth et al. 1993, Fletcher 1967, Heylings &amp; Farnworth 1992, Kimbrough &amp; Gaines 1970, Murray &amp; Gibson 1972) and assessment factor of 10</w:t>
      </w:r>
    </w:p>
    <w:p w14:paraId="222D5E87" w14:textId="77777777" w:rsidR="00CE1436" w:rsidRPr="00401A10" w:rsidRDefault="00CE1436" w:rsidP="00CE1436">
      <w:pPr>
        <w:pStyle w:val="SourceTableNote"/>
        <w:widowControl w:val="0"/>
        <w:suppressAutoHyphens w:val="0"/>
        <w:spacing w:line="240" w:lineRule="auto"/>
        <w:rPr>
          <w:sz w:val="17"/>
          <w:szCs w:val="17"/>
        </w:rPr>
      </w:pPr>
      <w:r w:rsidRPr="00401A10">
        <w:rPr>
          <w:sz w:val="17"/>
          <w:szCs w:val="17"/>
        </w:rPr>
        <w:tab/>
        <w:t>Chronic = NOAEL 3.8 mg/kg bw/d (Lindsay 1982a, 1982b) and assessment factor of 1</w:t>
      </w:r>
    </w:p>
    <w:p w14:paraId="4190265A" w14:textId="77777777" w:rsidR="00CE1436" w:rsidRDefault="00CE1436" w:rsidP="00CE1436">
      <w:pPr>
        <w:pStyle w:val="SourceTableNote"/>
        <w:widowControl w:val="0"/>
        <w:suppressAutoHyphens w:val="0"/>
        <w:spacing w:line="240" w:lineRule="auto"/>
        <w:rPr>
          <w:sz w:val="17"/>
          <w:szCs w:val="17"/>
        </w:rPr>
      </w:pPr>
      <w:r>
        <w:rPr>
          <w:sz w:val="17"/>
          <w:szCs w:val="17"/>
        </w:rPr>
        <w:t>RQ = risk quotient = DDD ∕ RAL, RQ ≤1 indicates an acceptable risk</w:t>
      </w:r>
    </w:p>
    <w:p w14:paraId="521C2535" w14:textId="77777777" w:rsidR="00CE1436" w:rsidRDefault="00CE1436" w:rsidP="00CE1436">
      <w:pPr>
        <w:pStyle w:val="SourceTableNote"/>
        <w:widowControl w:val="0"/>
        <w:suppressAutoHyphens w:val="0"/>
        <w:spacing w:line="240" w:lineRule="auto"/>
        <w:rPr>
          <w:sz w:val="17"/>
          <w:szCs w:val="17"/>
        </w:rPr>
      </w:pPr>
      <w:r w:rsidRPr="00401A10">
        <w:rPr>
          <w:sz w:val="17"/>
          <w:szCs w:val="17"/>
        </w:rPr>
        <w:t>Max</w:t>
      </w:r>
      <w:r>
        <w:rPr>
          <w:sz w:val="17"/>
          <w:szCs w:val="17"/>
        </w:rPr>
        <w:t xml:space="preserve"> rate </w:t>
      </w:r>
      <w:r w:rsidRPr="00401A10">
        <w:rPr>
          <w:sz w:val="17"/>
          <w:szCs w:val="17"/>
        </w:rPr>
        <w:t>(g ac/ha)</w:t>
      </w:r>
      <w:r>
        <w:rPr>
          <w:sz w:val="17"/>
          <w:szCs w:val="17"/>
        </w:rPr>
        <w:t xml:space="preserve"> </w:t>
      </w:r>
      <w:r w:rsidRPr="00401A10">
        <w:rPr>
          <w:sz w:val="17"/>
          <w:szCs w:val="17"/>
        </w:rPr>
        <w:t xml:space="preserve">= </w:t>
      </w:r>
      <w:r>
        <w:rPr>
          <w:sz w:val="17"/>
          <w:szCs w:val="17"/>
        </w:rPr>
        <w:t xml:space="preserve">maximum acceptable rate, per application = </w:t>
      </w:r>
      <w:r w:rsidRPr="00401A10">
        <w:rPr>
          <w:sz w:val="17"/>
          <w:szCs w:val="17"/>
        </w:rPr>
        <w:t xml:space="preserve">RAL × 1000 / (shortcut value × </w:t>
      </w:r>
      <w:r>
        <w:rPr>
          <w:sz w:val="17"/>
          <w:szCs w:val="17"/>
        </w:rPr>
        <w:t xml:space="preserve">MAF × </w:t>
      </w:r>
      <w:r w:rsidRPr="00401A10">
        <w:rPr>
          <w:sz w:val="17"/>
          <w:szCs w:val="17"/>
        </w:rPr>
        <w:t>PT</w:t>
      </w:r>
      <w:r>
        <w:rPr>
          <w:sz w:val="17"/>
          <w:szCs w:val="17"/>
        </w:rPr>
        <w:t xml:space="preserve"> </w:t>
      </w:r>
      <w:r w:rsidRPr="00401A10">
        <w:rPr>
          <w:sz w:val="17"/>
          <w:szCs w:val="17"/>
        </w:rPr>
        <w:t>× TWA)</w:t>
      </w:r>
    </w:p>
    <w:p w14:paraId="1CCC4C48" w14:textId="7AA302D0" w:rsidR="00CE1436" w:rsidRPr="00AC06D7" w:rsidRDefault="00CE1436" w:rsidP="00AC06D7">
      <w:pPr>
        <w:pStyle w:val="Caption"/>
        <w:rPr>
          <w:rStyle w:val="FigurecaptionChar"/>
          <w:szCs w:val="22"/>
        </w:rPr>
      </w:pPr>
      <w:bookmarkStart w:id="735" w:name="_Ref220573323"/>
      <w:bookmarkStart w:id="736" w:name="_Toc230692344"/>
      <w:bookmarkStart w:id="737" w:name="_Toc233036565"/>
      <w:r w:rsidRPr="00AC06D7">
        <w:t>Table</w:t>
      </w:r>
      <w:r w:rsidRPr="00AC06D7">
        <w:rPr>
          <w:rStyle w:val="FigurecaptionChar"/>
          <w:szCs w:val="22"/>
        </w:rPr>
        <w:t xml:space="preserve"> </w:t>
      </w:r>
      <w:r w:rsidRPr="00AC06D7">
        <w:rPr>
          <w:rStyle w:val="FigurecaptionChar"/>
          <w:szCs w:val="22"/>
        </w:rPr>
        <w:fldChar w:fldCharType="begin"/>
      </w:r>
      <w:r w:rsidRPr="00AC06D7">
        <w:rPr>
          <w:rStyle w:val="FigurecaptionChar"/>
          <w:szCs w:val="22"/>
        </w:rPr>
        <w:instrText xml:space="preserve"> SEQ Table \* ARABIC </w:instrText>
      </w:r>
      <w:r w:rsidRPr="00AC06D7">
        <w:rPr>
          <w:rStyle w:val="FigurecaptionChar"/>
          <w:szCs w:val="22"/>
        </w:rPr>
        <w:fldChar w:fldCharType="separate"/>
      </w:r>
      <w:r w:rsidR="008A397D" w:rsidRPr="00AC06D7">
        <w:rPr>
          <w:rStyle w:val="FigurecaptionChar"/>
          <w:szCs w:val="22"/>
        </w:rPr>
        <w:t>78</w:t>
      </w:r>
      <w:r w:rsidRPr="00AC06D7">
        <w:rPr>
          <w:rStyle w:val="FigurecaptionChar"/>
          <w:szCs w:val="22"/>
        </w:rPr>
        <w:fldChar w:fldCharType="end"/>
      </w:r>
      <w:bookmarkEnd w:id="735"/>
      <w:r w:rsidRPr="00AC06D7">
        <w:rPr>
          <w:rStyle w:val="FigurecaptionChar"/>
          <w:szCs w:val="22"/>
        </w:rPr>
        <w:t>: Refined assessment of risks to birds (acute RAL 5.7 mg/kg bw</w:t>
      </w:r>
      <w:r w:rsidRPr="00AC06D7">
        <w:t>; chronic 2.7 mg ac/kg bw/d</w:t>
      </w:r>
      <w:r w:rsidRPr="00AC06D7">
        <w:rPr>
          <w:rStyle w:val="FigurecaptionChar"/>
          <w:szCs w:val="22"/>
        </w:rPr>
        <w:t>)</w:t>
      </w:r>
      <w:bookmarkEnd w:id="736"/>
      <w:bookmarkEnd w:id="737"/>
    </w:p>
    <w:tbl>
      <w:tblPr>
        <w:tblW w:w="4952" w:type="pct"/>
        <w:tblLayout w:type="fixed"/>
        <w:tblCellMar>
          <w:top w:w="57" w:type="dxa"/>
          <w:left w:w="57" w:type="dxa"/>
          <w:bottom w:w="57" w:type="dxa"/>
          <w:right w:w="57" w:type="dxa"/>
        </w:tblCellMar>
        <w:tblLook w:val="0000" w:firstRow="0" w:lastRow="0" w:firstColumn="0" w:lastColumn="0" w:noHBand="0" w:noVBand="0"/>
      </w:tblPr>
      <w:tblGrid>
        <w:gridCol w:w="994"/>
        <w:gridCol w:w="1123"/>
        <w:gridCol w:w="849"/>
        <w:gridCol w:w="993"/>
        <w:gridCol w:w="851"/>
        <w:gridCol w:w="565"/>
        <w:gridCol w:w="596"/>
        <w:gridCol w:w="596"/>
        <w:gridCol w:w="596"/>
        <w:gridCol w:w="596"/>
        <w:gridCol w:w="596"/>
        <w:gridCol w:w="596"/>
        <w:gridCol w:w="594"/>
      </w:tblGrid>
      <w:tr w:rsidR="00CE1436" w:rsidRPr="0095443F" w14:paraId="5953DA4A" w14:textId="77777777" w:rsidTr="00444693">
        <w:trPr>
          <w:cantSplit/>
          <w:tblHeader/>
        </w:trPr>
        <w:tc>
          <w:tcPr>
            <w:tcW w:w="521" w:type="pct"/>
            <w:tcBorders>
              <w:top w:val="single" w:sz="4" w:space="0" w:color="auto"/>
              <w:bottom w:val="single" w:sz="4" w:space="0" w:color="auto"/>
            </w:tcBorders>
            <w:shd w:val="clear" w:color="auto" w:fill="5C2946"/>
          </w:tcPr>
          <w:p w14:paraId="64971A74" w14:textId="77777777" w:rsidR="00CE1436" w:rsidRPr="00012C56" w:rsidRDefault="00CE1436" w:rsidP="00012C56">
            <w:pPr>
              <w:pStyle w:val="TableHead"/>
            </w:pPr>
            <w:r w:rsidRPr="00012C56">
              <w:t>Crop group</w:t>
            </w:r>
          </w:p>
        </w:tc>
        <w:tc>
          <w:tcPr>
            <w:tcW w:w="589" w:type="pct"/>
            <w:tcBorders>
              <w:top w:val="single" w:sz="4" w:space="0" w:color="auto"/>
              <w:bottom w:val="single" w:sz="4" w:space="0" w:color="auto"/>
            </w:tcBorders>
            <w:shd w:val="clear" w:color="auto" w:fill="5C2946"/>
          </w:tcPr>
          <w:p w14:paraId="13DECC1B" w14:textId="77777777" w:rsidR="00CE1436" w:rsidRPr="00012C56" w:rsidRDefault="00CE1436" w:rsidP="00012C56">
            <w:pPr>
              <w:pStyle w:val="TableHead"/>
            </w:pPr>
            <w:r w:rsidRPr="00012C56">
              <w:t>Generic focal species</w:t>
            </w:r>
          </w:p>
        </w:tc>
        <w:tc>
          <w:tcPr>
            <w:tcW w:w="445" w:type="pct"/>
            <w:tcBorders>
              <w:top w:val="single" w:sz="4" w:space="0" w:color="auto"/>
              <w:bottom w:val="single" w:sz="4" w:space="0" w:color="auto"/>
            </w:tcBorders>
            <w:shd w:val="clear" w:color="auto" w:fill="5C2946"/>
          </w:tcPr>
          <w:p w14:paraId="6548D3DD" w14:textId="77777777" w:rsidR="00CE1436" w:rsidRPr="00012C56" w:rsidRDefault="00CE1436" w:rsidP="00012C56">
            <w:pPr>
              <w:pStyle w:val="TableHead"/>
            </w:pPr>
            <w:r w:rsidRPr="00012C56">
              <w:t>Crop stage</w:t>
            </w:r>
          </w:p>
        </w:tc>
        <w:tc>
          <w:tcPr>
            <w:tcW w:w="520" w:type="pct"/>
            <w:tcBorders>
              <w:top w:val="single" w:sz="4" w:space="0" w:color="auto"/>
              <w:bottom w:val="single" w:sz="4" w:space="0" w:color="auto"/>
            </w:tcBorders>
            <w:shd w:val="clear" w:color="auto" w:fill="5C2946"/>
          </w:tcPr>
          <w:p w14:paraId="35F4BDFF" w14:textId="77777777" w:rsidR="00CE1436" w:rsidRPr="00012C56" w:rsidRDefault="00CE1436" w:rsidP="00012C56">
            <w:pPr>
              <w:pStyle w:val="TableHead"/>
            </w:pPr>
            <w:r w:rsidRPr="00012C56">
              <w:t>Exposure</w:t>
            </w:r>
          </w:p>
        </w:tc>
        <w:tc>
          <w:tcPr>
            <w:tcW w:w="446" w:type="pct"/>
            <w:tcBorders>
              <w:top w:val="single" w:sz="4" w:space="0" w:color="auto"/>
              <w:bottom w:val="single" w:sz="4" w:space="0" w:color="auto"/>
            </w:tcBorders>
            <w:shd w:val="clear" w:color="auto" w:fill="5C2946"/>
          </w:tcPr>
          <w:p w14:paraId="0929AB05" w14:textId="77777777" w:rsidR="00CE1436" w:rsidRPr="0095443F" w:rsidRDefault="00CE1436" w:rsidP="00012C56">
            <w:pPr>
              <w:pStyle w:val="TableHeadRight"/>
            </w:pPr>
            <w:r w:rsidRPr="0095443F">
              <w:t>Shortcut value</w:t>
            </w:r>
          </w:p>
        </w:tc>
        <w:tc>
          <w:tcPr>
            <w:tcW w:w="296" w:type="pct"/>
            <w:tcBorders>
              <w:top w:val="single" w:sz="4" w:space="0" w:color="auto"/>
              <w:bottom w:val="single" w:sz="4" w:space="0" w:color="auto"/>
            </w:tcBorders>
            <w:shd w:val="clear" w:color="auto" w:fill="5C2946"/>
          </w:tcPr>
          <w:p w14:paraId="1E9287F4" w14:textId="77777777" w:rsidR="00CE1436" w:rsidRPr="0095443F" w:rsidRDefault="00CE1436" w:rsidP="00012C56">
            <w:pPr>
              <w:pStyle w:val="TableHeadRight"/>
            </w:pPr>
            <w:r w:rsidRPr="0095443F">
              <w:t>AR</w:t>
            </w:r>
          </w:p>
        </w:tc>
        <w:tc>
          <w:tcPr>
            <w:tcW w:w="312" w:type="pct"/>
            <w:tcBorders>
              <w:top w:val="single" w:sz="4" w:space="0" w:color="auto"/>
              <w:bottom w:val="single" w:sz="4" w:space="0" w:color="auto"/>
            </w:tcBorders>
            <w:shd w:val="clear" w:color="auto" w:fill="5C2946"/>
          </w:tcPr>
          <w:p w14:paraId="76766AC3" w14:textId="77777777" w:rsidR="00CE1436" w:rsidRPr="0095443F" w:rsidRDefault="00CE1436" w:rsidP="00012C56">
            <w:pPr>
              <w:pStyle w:val="TableHeadRight"/>
            </w:pPr>
            <w:r w:rsidRPr="0095443F">
              <w:t>MAF</w:t>
            </w:r>
          </w:p>
        </w:tc>
        <w:tc>
          <w:tcPr>
            <w:tcW w:w="312" w:type="pct"/>
            <w:tcBorders>
              <w:top w:val="single" w:sz="4" w:space="0" w:color="auto"/>
              <w:bottom w:val="single" w:sz="4" w:space="0" w:color="auto"/>
            </w:tcBorders>
            <w:shd w:val="clear" w:color="auto" w:fill="5C2946"/>
          </w:tcPr>
          <w:p w14:paraId="37EAB3DA" w14:textId="77777777" w:rsidR="00CE1436" w:rsidRPr="0095443F" w:rsidRDefault="00CE1436" w:rsidP="00012C56">
            <w:pPr>
              <w:pStyle w:val="TableHeadRight"/>
            </w:pPr>
            <w:r w:rsidRPr="0095443F">
              <w:t>PT</w:t>
            </w:r>
          </w:p>
        </w:tc>
        <w:tc>
          <w:tcPr>
            <w:tcW w:w="312" w:type="pct"/>
            <w:tcBorders>
              <w:top w:val="single" w:sz="4" w:space="0" w:color="auto"/>
              <w:bottom w:val="single" w:sz="4" w:space="0" w:color="auto"/>
            </w:tcBorders>
            <w:shd w:val="clear" w:color="auto" w:fill="5C2946"/>
          </w:tcPr>
          <w:p w14:paraId="42027329" w14:textId="77777777" w:rsidR="00CE1436" w:rsidRPr="0095443F" w:rsidRDefault="00CE1436" w:rsidP="00012C56">
            <w:pPr>
              <w:pStyle w:val="TableHeadRight"/>
            </w:pPr>
            <w:r w:rsidRPr="0095443F">
              <w:t>TWA</w:t>
            </w:r>
          </w:p>
        </w:tc>
        <w:tc>
          <w:tcPr>
            <w:tcW w:w="312" w:type="pct"/>
            <w:tcBorders>
              <w:top w:val="single" w:sz="4" w:space="0" w:color="auto"/>
              <w:bottom w:val="single" w:sz="4" w:space="0" w:color="auto"/>
            </w:tcBorders>
            <w:shd w:val="clear" w:color="auto" w:fill="5C2946"/>
          </w:tcPr>
          <w:p w14:paraId="7308B1E0" w14:textId="77777777" w:rsidR="00CE1436" w:rsidRPr="0095443F" w:rsidRDefault="00CE1436" w:rsidP="00012C56">
            <w:pPr>
              <w:pStyle w:val="TableHeadRight"/>
            </w:pPr>
            <w:r w:rsidRPr="0095443F">
              <w:t>DDD</w:t>
            </w:r>
          </w:p>
        </w:tc>
        <w:tc>
          <w:tcPr>
            <w:tcW w:w="312" w:type="pct"/>
            <w:tcBorders>
              <w:top w:val="single" w:sz="4" w:space="0" w:color="auto"/>
              <w:bottom w:val="single" w:sz="4" w:space="0" w:color="auto"/>
            </w:tcBorders>
            <w:shd w:val="clear" w:color="auto" w:fill="5C2946"/>
          </w:tcPr>
          <w:p w14:paraId="2F9CD13E" w14:textId="77777777" w:rsidR="00CE1436" w:rsidRPr="0095443F" w:rsidRDefault="00CE1436" w:rsidP="00012C56">
            <w:pPr>
              <w:pStyle w:val="TableHeadRight"/>
            </w:pPr>
            <w:r w:rsidRPr="0095443F">
              <w:t>RAL</w:t>
            </w:r>
          </w:p>
        </w:tc>
        <w:tc>
          <w:tcPr>
            <w:tcW w:w="312" w:type="pct"/>
            <w:tcBorders>
              <w:top w:val="single" w:sz="4" w:space="0" w:color="auto"/>
              <w:bottom w:val="single" w:sz="4" w:space="0" w:color="auto"/>
            </w:tcBorders>
            <w:shd w:val="clear" w:color="auto" w:fill="5C2946"/>
          </w:tcPr>
          <w:p w14:paraId="2E13FC89" w14:textId="77777777" w:rsidR="00CE1436" w:rsidRPr="0095443F" w:rsidRDefault="00CE1436" w:rsidP="00012C56">
            <w:pPr>
              <w:pStyle w:val="TableHeadRight"/>
            </w:pPr>
            <w:r w:rsidRPr="0095443F">
              <w:t>RQ</w:t>
            </w:r>
          </w:p>
        </w:tc>
        <w:tc>
          <w:tcPr>
            <w:tcW w:w="310" w:type="pct"/>
            <w:tcBorders>
              <w:top w:val="single" w:sz="4" w:space="0" w:color="auto"/>
              <w:bottom w:val="single" w:sz="4" w:space="0" w:color="auto"/>
            </w:tcBorders>
            <w:shd w:val="clear" w:color="auto" w:fill="5C2946"/>
          </w:tcPr>
          <w:p w14:paraId="4FCBD269" w14:textId="77777777" w:rsidR="00CE1436" w:rsidRPr="0095443F" w:rsidRDefault="00CE1436" w:rsidP="00012C56">
            <w:pPr>
              <w:pStyle w:val="TableHeadRight"/>
            </w:pPr>
            <w:r w:rsidRPr="0095443F">
              <w:t>Max rate</w:t>
            </w:r>
          </w:p>
        </w:tc>
      </w:tr>
      <w:tr w:rsidR="00CE1436" w:rsidRPr="0023247F" w14:paraId="3129060B" w14:textId="77777777" w:rsidTr="00444693">
        <w:trPr>
          <w:cantSplit/>
          <w:trHeight w:val="13"/>
        </w:trPr>
        <w:tc>
          <w:tcPr>
            <w:tcW w:w="5000" w:type="pct"/>
            <w:gridSpan w:val="13"/>
            <w:tcBorders>
              <w:top w:val="single" w:sz="4" w:space="0" w:color="auto"/>
              <w:bottom w:val="single" w:sz="4" w:space="0" w:color="auto"/>
            </w:tcBorders>
          </w:tcPr>
          <w:p w14:paraId="00EA220D" w14:textId="77777777" w:rsidR="00CE1436" w:rsidRPr="0023247F" w:rsidRDefault="00CE1436" w:rsidP="00AC06D7">
            <w:pPr>
              <w:pStyle w:val="TableSubHead0"/>
            </w:pPr>
            <w:r>
              <w:t>General weed control in f</w:t>
            </w:r>
            <w:r w:rsidRPr="00DA6DCD">
              <w:t>allow</w:t>
            </w:r>
            <w:r>
              <w:t xml:space="preserve"> (including minimal/full disturbance, and optical spot spraying)</w:t>
            </w:r>
            <w:r w:rsidRPr="00DA6DCD">
              <w:t xml:space="preserve">, </w:t>
            </w:r>
            <w:r>
              <w:t>h</w:t>
            </w:r>
            <w:r w:rsidRPr="00DA6DCD">
              <w:t>ops,</w:t>
            </w:r>
            <w:r>
              <w:t xml:space="preserve"> </w:t>
            </w:r>
            <w:r w:rsidRPr="00DA6DCD">
              <w:t xml:space="preserve">market gardens, </w:t>
            </w:r>
            <w:r>
              <w:t xml:space="preserve">nurseries, </w:t>
            </w:r>
            <w:r w:rsidRPr="00DA6DCD">
              <w:t xml:space="preserve">row crops, </w:t>
            </w:r>
            <w:r>
              <w:t xml:space="preserve">potatoes (pre/early emergence), </w:t>
            </w:r>
            <w:r w:rsidRPr="00DA6DCD">
              <w:t>rice</w:t>
            </w:r>
            <w:r>
              <w:t xml:space="preserve"> (pre/post sowing)</w:t>
            </w:r>
            <w:r w:rsidRPr="00DA6DCD">
              <w:t>, vegetables</w:t>
            </w:r>
          </w:p>
        </w:tc>
      </w:tr>
      <w:tr w:rsidR="00CE1436" w:rsidRPr="00886278" w14:paraId="215A02D2" w14:textId="77777777" w:rsidTr="00444693">
        <w:trPr>
          <w:cantSplit/>
          <w:trHeight w:val="13"/>
        </w:trPr>
        <w:tc>
          <w:tcPr>
            <w:tcW w:w="521" w:type="pct"/>
            <w:vMerge w:val="restart"/>
            <w:tcBorders>
              <w:top w:val="single" w:sz="4" w:space="0" w:color="auto"/>
            </w:tcBorders>
          </w:tcPr>
          <w:p w14:paraId="0DD9AC1E" w14:textId="77777777" w:rsidR="00CE1436" w:rsidRPr="00886278" w:rsidRDefault="00CE1436" w:rsidP="00444693">
            <w:pPr>
              <w:pStyle w:val="TableText"/>
              <w:widowControl w:val="0"/>
              <w:suppressAutoHyphens w:val="0"/>
              <w:spacing w:before="0" w:after="0" w:line="240" w:lineRule="auto"/>
              <w:rPr>
                <w:szCs w:val="17"/>
              </w:rPr>
            </w:pPr>
            <w:r w:rsidRPr="00886278">
              <w:rPr>
                <w:szCs w:val="17"/>
              </w:rPr>
              <w:t>Bare soil</w:t>
            </w:r>
          </w:p>
        </w:tc>
        <w:tc>
          <w:tcPr>
            <w:tcW w:w="589" w:type="pct"/>
            <w:vMerge w:val="restart"/>
            <w:tcBorders>
              <w:top w:val="single" w:sz="4" w:space="0" w:color="auto"/>
            </w:tcBorders>
          </w:tcPr>
          <w:p w14:paraId="72ACAAE3" w14:textId="77777777" w:rsidR="00CE1436" w:rsidRPr="00886278" w:rsidRDefault="00CE1436" w:rsidP="00444693">
            <w:pPr>
              <w:pStyle w:val="TableText"/>
              <w:widowControl w:val="0"/>
              <w:suppressAutoHyphens w:val="0"/>
              <w:spacing w:before="0" w:after="0" w:line="240" w:lineRule="auto"/>
              <w:rPr>
                <w:szCs w:val="17"/>
              </w:rPr>
            </w:pPr>
            <w:r>
              <w:rPr>
                <w:szCs w:val="17"/>
              </w:rPr>
              <w:t>Small granivore</w:t>
            </w:r>
          </w:p>
        </w:tc>
        <w:tc>
          <w:tcPr>
            <w:tcW w:w="445" w:type="pct"/>
            <w:vMerge w:val="restart"/>
            <w:tcBorders>
              <w:top w:val="single" w:sz="4" w:space="0" w:color="auto"/>
            </w:tcBorders>
          </w:tcPr>
          <w:p w14:paraId="6524C08F" w14:textId="77777777" w:rsidR="00CE1436" w:rsidRPr="00886278" w:rsidRDefault="00CE1436" w:rsidP="00444693">
            <w:pPr>
              <w:pStyle w:val="TableText"/>
              <w:widowControl w:val="0"/>
              <w:suppressAutoHyphens w:val="0"/>
              <w:spacing w:before="0" w:after="0" w:line="240" w:lineRule="auto"/>
              <w:rPr>
                <w:szCs w:val="17"/>
              </w:rPr>
            </w:pPr>
            <w:r w:rsidRPr="00886278">
              <w:rPr>
                <w:szCs w:val="17"/>
              </w:rPr>
              <w:t>BBCH &lt;10</w:t>
            </w:r>
          </w:p>
        </w:tc>
        <w:tc>
          <w:tcPr>
            <w:tcW w:w="520" w:type="pct"/>
            <w:tcBorders>
              <w:top w:val="single" w:sz="4" w:space="0" w:color="auto"/>
            </w:tcBorders>
          </w:tcPr>
          <w:p w14:paraId="4DFC1A5F" w14:textId="77777777" w:rsidR="00CE1436" w:rsidRPr="00886278" w:rsidRDefault="00CE1436" w:rsidP="00444693">
            <w:pPr>
              <w:pStyle w:val="TableText"/>
              <w:widowControl w:val="0"/>
              <w:suppressAutoHyphens w:val="0"/>
              <w:spacing w:before="0" w:after="0" w:line="240" w:lineRule="auto"/>
              <w:jc w:val="center"/>
              <w:rPr>
                <w:szCs w:val="17"/>
              </w:rPr>
            </w:pPr>
            <w:r w:rsidRPr="00886278">
              <w:rPr>
                <w:szCs w:val="17"/>
              </w:rPr>
              <w:t>Acute</w:t>
            </w:r>
          </w:p>
        </w:tc>
        <w:tc>
          <w:tcPr>
            <w:tcW w:w="446" w:type="pct"/>
            <w:tcBorders>
              <w:top w:val="single" w:sz="4" w:space="0" w:color="auto"/>
            </w:tcBorders>
          </w:tcPr>
          <w:p w14:paraId="5B8C81FB"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24.7</w:t>
            </w:r>
          </w:p>
        </w:tc>
        <w:tc>
          <w:tcPr>
            <w:tcW w:w="296" w:type="pct"/>
            <w:tcBorders>
              <w:top w:val="single" w:sz="4" w:space="0" w:color="auto"/>
            </w:tcBorders>
          </w:tcPr>
          <w:p w14:paraId="3863615C"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1505</w:t>
            </w:r>
          </w:p>
        </w:tc>
        <w:tc>
          <w:tcPr>
            <w:tcW w:w="312" w:type="pct"/>
            <w:tcBorders>
              <w:top w:val="single" w:sz="4" w:space="0" w:color="auto"/>
            </w:tcBorders>
          </w:tcPr>
          <w:p w14:paraId="579AE4D5"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6C49941F"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5DC453CF"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4FD0116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37</w:t>
            </w:r>
          </w:p>
        </w:tc>
        <w:tc>
          <w:tcPr>
            <w:tcW w:w="312" w:type="pct"/>
            <w:tcBorders>
              <w:top w:val="single" w:sz="4" w:space="0" w:color="auto"/>
            </w:tcBorders>
            <w:vAlign w:val="center"/>
          </w:tcPr>
          <w:p w14:paraId="7C396BA5"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41E38C1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6.5</w:t>
            </w:r>
          </w:p>
        </w:tc>
        <w:tc>
          <w:tcPr>
            <w:tcW w:w="310" w:type="pct"/>
            <w:tcBorders>
              <w:top w:val="single" w:sz="4" w:space="0" w:color="auto"/>
            </w:tcBorders>
            <w:vAlign w:val="center"/>
          </w:tcPr>
          <w:p w14:paraId="5182C8B1"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67B5AADE" w14:textId="77777777" w:rsidTr="00444693">
        <w:trPr>
          <w:cantSplit/>
          <w:trHeight w:val="13"/>
        </w:trPr>
        <w:tc>
          <w:tcPr>
            <w:tcW w:w="521" w:type="pct"/>
            <w:vMerge/>
          </w:tcPr>
          <w:p w14:paraId="152B07E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EDC26E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ECD45E8"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33FFB4E4"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73CB5FF9"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5C2DC8CB" w14:textId="77777777" w:rsidR="00CE1436" w:rsidRDefault="00CE1436" w:rsidP="00444693">
            <w:pPr>
              <w:pStyle w:val="TableText"/>
              <w:widowControl w:val="0"/>
              <w:suppressAutoHyphens w:val="0"/>
              <w:spacing w:before="0" w:after="0" w:line="240" w:lineRule="auto"/>
              <w:jc w:val="center"/>
              <w:rPr>
                <w:szCs w:val="17"/>
              </w:rPr>
            </w:pPr>
            <w:r>
              <w:rPr>
                <w:szCs w:val="17"/>
              </w:rPr>
              <w:t>675</w:t>
            </w:r>
          </w:p>
        </w:tc>
        <w:tc>
          <w:tcPr>
            <w:tcW w:w="312" w:type="pct"/>
          </w:tcPr>
          <w:p w14:paraId="637CFEF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D4E472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F0CCC4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905BE9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17</w:t>
            </w:r>
          </w:p>
        </w:tc>
        <w:tc>
          <w:tcPr>
            <w:tcW w:w="312" w:type="pct"/>
            <w:vAlign w:val="center"/>
          </w:tcPr>
          <w:p w14:paraId="2C6CCDC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51EB32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2.9</w:t>
            </w:r>
          </w:p>
        </w:tc>
        <w:tc>
          <w:tcPr>
            <w:tcW w:w="310" w:type="pct"/>
            <w:vAlign w:val="center"/>
          </w:tcPr>
          <w:p w14:paraId="65CC3FBA"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7B04198A" w14:textId="77777777" w:rsidTr="00444693">
        <w:trPr>
          <w:cantSplit/>
          <w:trHeight w:val="13"/>
        </w:trPr>
        <w:tc>
          <w:tcPr>
            <w:tcW w:w="521" w:type="pct"/>
            <w:vMerge/>
          </w:tcPr>
          <w:p w14:paraId="3F6900D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A52B53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1FEC8CA"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76699DA2"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4CD14F27"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14D67C63" w14:textId="77777777" w:rsidR="00CE1436" w:rsidRDefault="00CE1436" w:rsidP="00444693">
            <w:pPr>
              <w:pStyle w:val="TableText"/>
              <w:widowControl w:val="0"/>
              <w:suppressAutoHyphens w:val="0"/>
              <w:spacing w:before="0" w:after="0" w:line="240" w:lineRule="auto"/>
              <w:jc w:val="center"/>
              <w:rPr>
                <w:szCs w:val="17"/>
              </w:rPr>
            </w:pPr>
            <w:r>
              <w:rPr>
                <w:szCs w:val="17"/>
              </w:rPr>
              <w:t>600</w:t>
            </w:r>
          </w:p>
        </w:tc>
        <w:tc>
          <w:tcPr>
            <w:tcW w:w="312" w:type="pct"/>
          </w:tcPr>
          <w:p w14:paraId="036EA70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70B635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AEE83E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B470E7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15</w:t>
            </w:r>
          </w:p>
        </w:tc>
        <w:tc>
          <w:tcPr>
            <w:tcW w:w="312" w:type="pct"/>
            <w:vAlign w:val="center"/>
          </w:tcPr>
          <w:p w14:paraId="00027AA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A28B5A1"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10" w:type="pct"/>
            <w:vAlign w:val="center"/>
          </w:tcPr>
          <w:p w14:paraId="06CCD495"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532E39A9" w14:textId="77777777" w:rsidTr="00444693">
        <w:trPr>
          <w:cantSplit/>
          <w:trHeight w:val="13"/>
        </w:trPr>
        <w:tc>
          <w:tcPr>
            <w:tcW w:w="521" w:type="pct"/>
            <w:vMerge/>
          </w:tcPr>
          <w:p w14:paraId="6754B2E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761083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085D358"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49099FE0"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147241A"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7140B71C" w14:textId="77777777" w:rsidR="00CE1436" w:rsidRDefault="00CE1436" w:rsidP="00444693">
            <w:pPr>
              <w:pStyle w:val="TableText"/>
              <w:widowControl w:val="0"/>
              <w:suppressAutoHyphens w:val="0"/>
              <w:spacing w:before="0" w:after="0" w:line="240" w:lineRule="auto"/>
              <w:jc w:val="center"/>
              <w:rPr>
                <w:szCs w:val="17"/>
              </w:rPr>
            </w:pPr>
            <w:r>
              <w:rPr>
                <w:szCs w:val="17"/>
              </w:rPr>
              <w:t>595</w:t>
            </w:r>
          </w:p>
        </w:tc>
        <w:tc>
          <w:tcPr>
            <w:tcW w:w="312" w:type="pct"/>
          </w:tcPr>
          <w:p w14:paraId="5ABD99D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6C2CF7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A9D578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133AD56" w14:textId="77777777" w:rsidR="00CE1436" w:rsidRPr="003203B5"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268D872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E876F0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10" w:type="pct"/>
            <w:vAlign w:val="center"/>
          </w:tcPr>
          <w:p w14:paraId="4CBB941F"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6CF4B745" w14:textId="77777777" w:rsidTr="00444693">
        <w:trPr>
          <w:cantSplit/>
          <w:trHeight w:val="13"/>
        </w:trPr>
        <w:tc>
          <w:tcPr>
            <w:tcW w:w="521" w:type="pct"/>
            <w:vMerge/>
          </w:tcPr>
          <w:p w14:paraId="2F66DE6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86F5011"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15F6190"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432E8C6E"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6BCE3DDD"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62282DC9" w14:textId="77777777" w:rsidR="00CE1436" w:rsidRDefault="00CE1436" w:rsidP="00444693">
            <w:pPr>
              <w:pStyle w:val="TableText"/>
              <w:widowControl w:val="0"/>
              <w:suppressAutoHyphens w:val="0"/>
              <w:spacing w:before="0" w:after="0" w:line="240" w:lineRule="auto"/>
              <w:jc w:val="center"/>
              <w:rPr>
                <w:szCs w:val="17"/>
              </w:rPr>
            </w:pPr>
            <w:r>
              <w:rPr>
                <w:szCs w:val="17"/>
              </w:rPr>
              <w:t>525</w:t>
            </w:r>
          </w:p>
        </w:tc>
        <w:tc>
          <w:tcPr>
            <w:tcW w:w="312" w:type="pct"/>
          </w:tcPr>
          <w:p w14:paraId="3A71647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B27168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597D37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C99672E"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24184AD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2FB1E8C"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2.3</w:t>
            </w:r>
          </w:p>
        </w:tc>
        <w:tc>
          <w:tcPr>
            <w:tcW w:w="310" w:type="pct"/>
            <w:vAlign w:val="center"/>
          </w:tcPr>
          <w:p w14:paraId="06CFCCE9"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3C9B3CDD" w14:textId="77777777" w:rsidTr="00444693">
        <w:trPr>
          <w:cantSplit/>
          <w:trHeight w:val="13"/>
        </w:trPr>
        <w:tc>
          <w:tcPr>
            <w:tcW w:w="521" w:type="pct"/>
            <w:vMerge/>
          </w:tcPr>
          <w:p w14:paraId="0327CDD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910DA5F"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6962E82"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4A82D9FD"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8F1918F"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0669DBD7" w14:textId="77777777" w:rsidR="00CE1436" w:rsidRDefault="00CE1436" w:rsidP="00444693">
            <w:pPr>
              <w:pStyle w:val="TableText"/>
              <w:widowControl w:val="0"/>
              <w:suppressAutoHyphens w:val="0"/>
              <w:spacing w:before="0" w:after="0" w:line="240" w:lineRule="auto"/>
              <w:jc w:val="center"/>
              <w:rPr>
                <w:szCs w:val="17"/>
              </w:rPr>
            </w:pPr>
            <w:r>
              <w:rPr>
                <w:szCs w:val="17"/>
              </w:rPr>
              <w:t>510</w:t>
            </w:r>
          </w:p>
        </w:tc>
        <w:tc>
          <w:tcPr>
            <w:tcW w:w="312" w:type="pct"/>
          </w:tcPr>
          <w:p w14:paraId="2623861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BDD23E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DB6800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D5A47BC"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1B7EE42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E041C89"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10" w:type="pct"/>
            <w:vAlign w:val="center"/>
          </w:tcPr>
          <w:p w14:paraId="2EC7A896"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200E3460" w14:textId="77777777" w:rsidTr="00444693">
        <w:trPr>
          <w:cantSplit/>
          <w:trHeight w:val="13"/>
        </w:trPr>
        <w:tc>
          <w:tcPr>
            <w:tcW w:w="521" w:type="pct"/>
            <w:vMerge/>
          </w:tcPr>
          <w:p w14:paraId="2A7AB0D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FE01289"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233DC1A"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6A8F8C1D"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FFF16FE"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1821DBAD" w14:textId="77777777" w:rsidR="00CE1436" w:rsidRDefault="00CE1436" w:rsidP="00444693">
            <w:pPr>
              <w:pStyle w:val="TableText"/>
              <w:widowControl w:val="0"/>
              <w:suppressAutoHyphens w:val="0"/>
              <w:spacing w:before="0" w:after="0" w:line="240" w:lineRule="auto"/>
              <w:jc w:val="center"/>
              <w:rPr>
                <w:szCs w:val="17"/>
              </w:rPr>
            </w:pPr>
            <w:r>
              <w:rPr>
                <w:szCs w:val="17"/>
              </w:rPr>
              <w:t>504</w:t>
            </w:r>
          </w:p>
        </w:tc>
        <w:tc>
          <w:tcPr>
            <w:tcW w:w="312" w:type="pct"/>
          </w:tcPr>
          <w:p w14:paraId="65F547A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DCB8AC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4986A8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63AD21E"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12</w:t>
            </w:r>
          </w:p>
        </w:tc>
        <w:tc>
          <w:tcPr>
            <w:tcW w:w="312" w:type="pct"/>
            <w:vAlign w:val="center"/>
          </w:tcPr>
          <w:p w14:paraId="499BC16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756A96F"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10" w:type="pct"/>
            <w:vAlign w:val="center"/>
          </w:tcPr>
          <w:p w14:paraId="52AF098C"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5590D392" w14:textId="77777777" w:rsidTr="00444693">
        <w:trPr>
          <w:cantSplit/>
          <w:trHeight w:val="13"/>
        </w:trPr>
        <w:tc>
          <w:tcPr>
            <w:tcW w:w="521" w:type="pct"/>
            <w:vMerge/>
          </w:tcPr>
          <w:p w14:paraId="5BFC0BA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F58227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3301C48"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07B9CE33"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7E283E69"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68EF31B6" w14:textId="77777777" w:rsidR="00CE1436" w:rsidRDefault="00CE1436" w:rsidP="00444693">
            <w:pPr>
              <w:pStyle w:val="TableText"/>
              <w:widowControl w:val="0"/>
              <w:suppressAutoHyphens w:val="0"/>
              <w:spacing w:before="0" w:after="0" w:line="240" w:lineRule="auto"/>
              <w:jc w:val="center"/>
              <w:rPr>
                <w:szCs w:val="17"/>
              </w:rPr>
            </w:pPr>
            <w:r>
              <w:rPr>
                <w:szCs w:val="17"/>
              </w:rPr>
              <w:t>500</w:t>
            </w:r>
          </w:p>
        </w:tc>
        <w:tc>
          <w:tcPr>
            <w:tcW w:w="312" w:type="pct"/>
          </w:tcPr>
          <w:p w14:paraId="3B52FEC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A0565E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C22EC3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2CCD4B9"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27096F6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003DD7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10" w:type="pct"/>
            <w:vAlign w:val="center"/>
          </w:tcPr>
          <w:p w14:paraId="1F533123"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2EC802BF" w14:textId="77777777" w:rsidTr="00444693">
        <w:trPr>
          <w:cantSplit/>
          <w:trHeight w:val="13"/>
        </w:trPr>
        <w:tc>
          <w:tcPr>
            <w:tcW w:w="521" w:type="pct"/>
            <w:vMerge/>
          </w:tcPr>
          <w:p w14:paraId="3011694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701599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9D776B5"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59F1F111"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31BA07FF"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48D18DEA" w14:textId="77777777" w:rsidR="00CE1436" w:rsidRDefault="00CE1436" w:rsidP="00444693">
            <w:pPr>
              <w:pStyle w:val="TableText"/>
              <w:widowControl w:val="0"/>
              <w:suppressAutoHyphens w:val="0"/>
              <w:spacing w:before="0" w:after="0" w:line="240" w:lineRule="auto"/>
              <w:jc w:val="center"/>
              <w:rPr>
                <w:szCs w:val="17"/>
              </w:rPr>
            </w:pPr>
            <w:r>
              <w:rPr>
                <w:szCs w:val="17"/>
              </w:rPr>
              <w:t>450</w:t>
            </w:r>
          </w:p>
        </w:tc>
        <w:tc>
          <w:tcPr>
            <w:tcW w:w="312" w:type="pct"/>
          </w:tcPr>
          <w:p w14:paraId="2A3E206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C6DD37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C55E04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58A0D8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11</w:t>
            </w:r>
          </w:p>
        </w:tc>
        <w:tc>
          <w:tcPr>
            <w:tcW w:w="312" w:type="pct"/>
            <w:vAlign w:val="center"/>
          </w:tcPr>
          <w:p w14:paraId="2C352EE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F547B3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10" w:type="pct"/>
            <w:vAlign w:val="center"/>
          </w:tcPr>
          <w:p w14:paraId="37075155"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7016A779" w14:textId="77777777" w:rsidTr="00444693">
        <w:trPr>
          <w:cantSplit/>
          <w:trHeight w:val="13"/>
        </w:trPr>
        <w:tc>
          <w:tcPr>
            <w:tcW w:w="521" w:type="pct"/>
            <w:vMerge/>
          </w:tcPr>
          <w:p w14:paraId="4A1E1D3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052EFC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8C4FB90"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07F37020"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21212EF2"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1112AE65"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tcPr>
          <w:p w14:paraId="14B91948" w14:textId="77777777" w:rsidR="00CE1436" w:rsidRDefault="00CE1436" w:rsidP="00444693">
            <w:pPr>
              <w:pStyle w:val="TableText"/>
              <w:widowControl w:val="0"/>
              <w:suppressAutoHyphens w:val="0"/>
              <w:spacing w:before="0" w:after="0" w:line="240" w:lineRule="auto"/>
              <w:jc w:val="center"/>
              <w:rPr>
                <w:szCs w:val="17"/>
              </w:rPr>
            </w:pPr>
            <w:r>
              <w:rPr>
                <w:szCs w:val="17"/>
              </w:rPr>
              <w:t>1.6</w:t>
            </w:r>
          </w:p>
        </w:tc>
        <w:tc>
          <w:tcPr>
            <w:tcW w:w="312" w:type="pct"/>
          </w:tcPr>
          <w:p w14:paraId="1C0BA8A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6523C8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BE7E3E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17</w:t>
            </w:r>
          </w:p>
        </w:tc>
        <w:tc>
          <w:tcPr>
            <w:tcW w:w="312" w:type="pct"/>
            <w:vAlign w:val="center"/>
          </w:tcPr>
          <w:p w14:paraId="2A1FC46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FBD8971"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3.0</w:t>
            </w:r>
          </w:p>
        </w:tc>
        <w:tc>
          <w:tcPr>
            <w:tcW w:w="310" w:type="pct"/>
            <w:vAlign w:val="center"/>
          </w:tcPr>
          <w:p w14:paraId="454E837A" w14:textId="77777777" w:rsidR="00CE1436" w:rsidRPr="00886278" w:rsidRDefault="00CE1436" w:rsidP="00444693">
            <w:pPr>
              <w:pStyle w:val="TableText"/>
              <w:widowControl w:val="0"/>
              <w:suppressAutoHyphens w:val="0"/>
              <w:spacing w:before="0" w:after="0" w:line="240" w:lineRule="auto"/>
              <w:jc w:val="center"/>
            </w:pPr>
            <w:r>
              <w:rPr>
                <w:color w:val="1A1B1A"/>
                <w:szCs w:val="17"/>
              </w:rPr>
              <w:t>144</w:t>
            </w:r>
          </w:p>
        </w:tc>
      </w:tr>
      <w:tr w:rsidR="00CE1436" w:rsidRPr="00886278" w14:paraId="2DB6D0FA" w14:textId="77777777" w:rsidTr="00444693">
        <w:trPr>
          <w:cantSplit/>
          <w:trHeight w:val="13"/>
        </w:trPr>
        <w:tc>
          <w:tcPr>
            <w:tcW w:w="521" w:type="pct"/>
            <w:vMerge/>
          </w:tcPr>
          <w:p w14:paraId="3023CA1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80C950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5BDB14A"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194740DF"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5D906E72"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08E9F78A"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tcPr>
          <w:p w14:paraId="12CA20B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F56773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328EF5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472E5C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11</w:t>
            </w:r>
          </w:p>
        </w:tc>
        <w:tc>
          <w:tcPr>
            <w:tcW w:w="312" w:type="pct"/>
            <w:vAlign w:val="center"/>
          </w:tcPr>
          <w:p w14:paraId="36E6B35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B7B614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10" w:type="pct"/>
            <w:vAlign w:val="center"/>
          </w:tcPr>
          <w:p w14:paraId="574FDBF9"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06FA87C5" w14:textId="77777777" w:rsidTr="00444693">
        <w:trPr>
          <w:cantSplit/>
          <w:trHeight w:val="13"/>
        </w:trPr>
        <w:tc>
          <w:tcPr>
            <w:tcW w:w="521" w:type="pct"/>
            <w:vMerge/>
          </w:tcPr>
          <w:p w14:paraId="597BC16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BB7DAF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7593A28"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1519025A"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7B7BE6CC"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5B521179" w14:textId="77777777" w:rsidR="00CE1436"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Pr>
          <w:p w14:paraId="7675486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C67F53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B36BEE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E469D2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9.9</w:t>
            </w:r>
          </w:p>
        </w:tc>
        <w:tc>
          <w:tcPr>
            <w:tcW w:w="312" w:type="pct"/>
            <w:vAlign w:val="center"/>
          </w:tcPr>
          <w:p w14:paraId="0607B6F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102D461"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10" w:type="pct"/>
            <w:vAlign w:val="center"/>
          </w:tcPr>
          <w:p w14:paraId="149A855A"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1ED347E5" w14:textId="77777777" w:rsidTr="00444693">
        <w:trPr>
          <w:cantSplit/>
          <w:trHeight w:val="13"/>
        </w:trPr>
        <w:tc>
          <w:tcPr>
            <w:tcW w:w="521" w:type="pct"/>
            <w:vMerge/>
          </w:tcPr>
          <w:p w14:paraId="54373B4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5E9DAC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77BB34D"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3F9A8017"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2530DA82"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5E3B7322" w14:textId="77777777" w:rsidR="00CE1436" w:rsidRDefault="00CE1436" w:rsidP="00444693">
            <w:pPr>
              <w:pStyle w:val="TableText"/>
              <w:widowControl w:val="0"/>
              <w:suppressAutoHyphens w:val="0"/>
              <w:spacing w:before="0" w:after="0" w:line="240" w:lineRule="auto"/>
              <w:jc w:val="center"/>
              <w:rPr>
                <w:szCs w:val="17"/>
              </w:rPr>
            </w:pPr>
            <w:r>
              <w:rPr>
                <w:szCs w:val="17"/>
              </w:rPr>
              <w:t>390</w:t>
            </w:r>
          </w:p>
        </w:tc>
        <w:tc>
          <w:tcPr>
            <w:tcW w:w="312" w:type="pct"/>
          </w:tcPr>
          <w:p w14:paraId="29BCCB4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ACE1F4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093D0F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1C5A26D" w14:textId="77777777" w:rsidR="00CE1436" w:rsidRPr="003203B5" w:rsidRDefault="00CE1436" w:rsidP="00444693">
            <w:pPr>
              <w:pStyle w:val="TableText"/>
              <w:widowControl w:val="0"/>
              <w:suppressAutoHyphens w:val="0"/>
              <w:spacing w:before="0" w:after="0" w:line="240" w:lineRule="auto"/>
              <w:jc w:val="center"/>
            </w:pPr>
            <w:r>
              <w:rPr>
                <w:color w:val="1A1B1A"/>
                <w:szCs w:val="17"/>
              </w:rPr>
              <w:t>9.6</w:t>
            </w:r>
          </w:p>
        </w:tc>
        <w:tc>
          <w:tcPr>
            <w:tcW w:w="312" w:type="pct"/>
            <w:vAlign w:val="center"/>
          </w:tcPr>
          <w:p w14:paraId="35F4F6A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1A65FD3"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10" w:type="pct"/>
            <w:vAlign w:val="center"/>
          </w:tcPr>
          <w:p w14:paraId="36B6D341"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630DB347" w14:textId="77777777" w:rsidTr="00444693">
        <w:trPr>
          <w:cantSplit/>
          <w:trHeight w:val="13"/>
        </w:trPr>
        <w:tc>
          <w:tcPr>
            <w:tcW w:w="521" w:type="pct"/>
            <w:vMerge/>
          </w:tcPr>
          <w:p w14:paraId="2A79E98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200582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2438D6B"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7494F7E4"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1F6E49D"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47AD0C1D" w14:textId="77777777" w:rsidR="00CE1436" w:rsidRDefault="00CE1436" w:rsidP="00444693">
            <w:pPr>
              <w:pStyle w:val="TableText"/>
              <w:widowControl w:val="0"/>
              <w:suppressAutoHyphens w:val="0"/>
              <w:spacing w:before="0" w:after="0" w:line="240" w:lineRule="auto"/>
              <w:jc w:val="center"/>
              <w:rPr>
                <w:szCs w:val="17"/>
              </w:rPr>
            </w:pPr>
            <w:r>
              <w:rPr>
                <w:szCs w:val="17"/>
              </w:rPr>
              <w:t>375</w:t>
            </w:r>
          </w:p>
        </w:tc>
        <w:tc>
          <w:tcPr>
            <w:tcW w:w="312" w:type="pct"/>
          </w:tcPr>
          <w:p w14:paraId="54B68D6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A5B6C3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053D5A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B38F0D7" w14:textId="77777777" w:rsidR="00CE1436" w:rsidRPr="003203B5" w:rsidRDefault="00CE1436" w:rsidP="00444693">
            <w:pPr>
              <w:pStyle w:val="TableText"/>
              <w:widowControl w:val="0"/>
              <w:suppressAutoHyphens w:val="0"/>
              <w:spacing w:before="0" w:after="0" w:line="240" w:lineRule="auto"/>
              <w:jc w:val="center"/>
            </w:pPr>
            <w:r>
              <w:rPr>
                <w:color w:val="1A1B1A"/>
                <w:szCs w:val="17"/>
              </w:rPr>
              <w:t>9.3</w:t>
            </w:r>
          </w:p>
        </w:tc>
        <w:tc>
          <w:tcPr>
            <w:tcW w:w="312" w:type="pct"/>
            <w:vAlign w:val="center"/>
          </w:tcPr>
          <w:p w14:paraId="627C3B4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2FADE1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10" w:type="pct"/>
            <w:vAlign w:val="center"/>
          </w:tcPr>
          <w:p w14:paraId="7D272D9C"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2D79DB58" w14:textId="77777777" w:rsidTr="00444693">
        <w:trPr>
          <w:cantSplit/>
          <w:trHeight w:val="13"/>
        </w:trPr>
        <w:tc>
          <w:tcPr>
            <w:tcW w:w="521" w:type="pct"/>
            <w:vMerge/>
          </w:tcPr>
          <w:p w14:paraId="1FA3A38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3C4573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E53B505"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6C54764D"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7F4B60FA"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09D46483" w14:textId="77777777" w:rsidR="00CE1436" w:rsidRDefault="00CE1436" w:rsidP="00444693">
            <w:pPr>
              <w:pStyle w:val="TableText"/>
              <w:widowControl w:val="0"/>
              <w:suppressAutoHyphens w:val="0"/>
              <w:spacing w:before="0" w:after="0" w:line="240" w:lineRule="auto"/>
              <w:jc w:val="center"/>
              <w:rPr>
                <w:szCs w:val="17"/>
              </w:rPr>
            </w:pPr>
            <w:r>
              <w:rPr>
                <w:szCs w:val="17"/>
              </w:rPr>
              <w:t>350</w:t>
            </w:r>
          </w:p>
        </w:tc>
        <w:tc>
          <w:tcPr>
            <w:tcW w:w="312" w:type="pct"/>
          </w:tcPr>
          <w:p w14:paraId="3420BBA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6CBA2C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D306D1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5D68338" w14:textId="77777777" w:rsidR="00CE1436" w:rsidRPr="003203B5" w:rsidRDefault="00CE1436" w:rsidP="00444693">
            <w:pPr>
              <w:pStyle w:val="TableText"/>
              <w:widowControl w:val="0"/>
              <w:suppressAutoHyphens w:val="0"/>
              <w:spacing w:before="0" w:after="0" w:line="240" w:lineRule="auto"/>
              <w:jc w:val="center"/>
            </w:pPr>
            <w:r>
              <w:rPr>
                <w:color w:val="1A1B1A"/>
                <w:szCs w:val="17"/>
              </w:rPr>
              <w:t>8.6</w:t>
            </w:r>
          </w:p>
        </w:tc>
        <w:tc>
          <w:tcPr>
            <w:tcW w:w="312" w:type="pct"/>
            <w:vAlign w:val="center"/>
          </w:tcPr>
          <w:p w14:paraId="0174D01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95FC689"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10" w:type="pct"/>
            <w:vAlign w:val="center"/>
          </w:tcPr>
          <w:p w14:paraId="6A508136"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6628D3B6" w14:textId="77777777" w:rsidTr="00444693">
        <w:trPr>
          <w:cantSplit/>
          <w:trHeight w:val="13"/>
        </w:trPr>
        <w:tc>
          <w:tcPr>
            <w:tcW w:w="521" w:type="pct"/>
            <w:vMerge/>
          </w:tcPr>
          <w:p w14:paraId="36E099E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17E2CE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08E8EC3"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3807A2AF"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7F8F73B"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45315C3D" w14:textId="77777777" w:rsidR="00CE1436"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Pr>
          <w:p w14:paraId="11AC66C8" w14:textId="77777777" w:rsidR="00CE1436" w:rsidRDefault="00CE1436" w:rsidP="00444693">
            <w:pPr>
              <w:pStyle w:val="TableText"/>
              <w:widowControl w:val="0"/>
              <w:suppressAutoHyphens w:val="0"/>
              <w:spacing w:before="0" w:after="0" w:line="240" w:lineRule="auto"/>
              <w:jc w:val="center"/>
              <w:rPr>
                <w:szCs w:val="17"/>
              </w:rPr>
            </w:pPr>
            <w:r>
              <w:rPr>
                <w:szCs w:val="17"/>
              </w:rPr>
              <w:t>1.6</w:t>
            </w:r>
          </w:p>
        </w:tc>
        <w:tc>
          <w:tcPr>
            <w:tcW w:w="312" w:type="pct"/>
          </w:tcPr>
          <w:p w14:paraId="1DEFB93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0A1FD9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189D4E2"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0FB8ABD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AA4DA07"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10" w:type="pct"/>
            <w:vAlign w:val="center"/>
          </w:tcPr>
          <w:p w14:paraId="614D1B9A" w14:textId="77777777" w:rsidR="00CE1436" w:rsidRPr="0023247F" w:rsidRDefault="00CE1436" w:rsidP="00444693">
            <w:pPr>
              <w:pStyle w:val="TableText"/>
              <w:widowControl w:val="0"/>
              <w:suppressAutoHyphens w:val="0"/>
              <w:spacing w:before="0" w:after="0" w:line="240" w:lineRule="auto"/>
              <w:jc w:val="center"/>
            </w:pPr>
            <w:r>
              <w:rPr>
                <w:color w:val="1A1B1A"/>
                <w:szCs w:val="17"/>
              </w:rPr>
              <w:t>144</w:t>
            </w:r>
          </w:p>
        </w:tc>
      </w:tr>
      <w:tr w:rsidR="00CE1436" w:rsidRPr="00886278" w14:paraId="37E960D4" w14:textId="77777777" w:rsidTr="00444693">
        <w:trPr>
          <w:cantSplit/>
          <w:trHeight w:val="13"/>
        </w:trPr>
        <w:tc>
          <w:tcPr>
            <w:tcW w:w="521" w:type="pct"/>
            <w:vMerge/>
          </w:tcPr>
          <w:p w14:paraId="474ED51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652BE3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F58D193"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2D6CBCB6"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3F905075"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1E6B7724" w14:textId="77777777" w:rsidR="00CE1436"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Pr>
          <w:p w14:paraId="1BC6635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4DEC4F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137444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043E829"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8.0</w:t>
            </w:r>
          </w:p>
        </w:tc>
        <w:tc>
          <w:tcPr>
            <w:tcW w:w="312" w:type="pct"/>
            <w:vAlign w:val="center"/>
          </w:tcPr>
          <w:p w14:paraId="182E2A7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E20BCB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10" w:type="pct"/>
            <w:vAlign w:val="center"/>
          </w:tcPr>
          <w:p w14:paraId="08F4F1B5"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6303ED0D" w14:textId="77777777" w:rsidTr="00444693">
        <w:trPr>
          <w:cantSplit/>
          <w:trHeight w:val="13"/>
        </w:trPr>
        <w:tc>
          <w:tcPr>
            <w:tcW w:w="521" w:type="pct"/>
            <w:vMerge/>
          </w:tcPr>
          <w:p w14:paraId="0F34881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D54F952"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FEDB65F"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0D7A56D2"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296176F4"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1B1D3F1E" w14:textId="77777777" w:rsidR="00CE1436" w:rsidRDefault="00CE1436" w:rsidP="00444693">
            <w:pPr>
              <w:pStyle w:val="TableText"/>
              <w:widowControl w:val="0"/>
              <w:suppressAutoHyphens w:val="0"/>
              <w:spacing w:before="0" w:after="0" w:line="240" w:lineRule="auto"/>
              <w:jc w:val="center"/>
              <w:rPr>
                <w:szCs w:val="17"/>
              </w:rPr>
            </w:pPr>
            <w:r>
              <w:rPr>
                <w:szCs w:val="17"/>
              </w:rPr>
              <w:t>300</w:t>
            </w:r>
          </w:p>
        </w:tc>
        <w:tc>
          <w:tcPr>
            <w:tcW w:w="312" w:type="pct"/>
          </w:tcPr>
          <w:p w14:paraId="4C0B188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0B8901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37D94A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3BCCEFE" w14:textId="77777777" w:rsidR="00CE1436" w:rsidRPr="003203B5" w:rsidRDefault="00CE1436" w:rsidP="00444693">
            <w:pPr>
              <w:pStyle w:val="TableText"/>
              <w:widowControl w:val="0"/>
              <w:suppressAutoHyphens w:val="0"/>
              <w:spacing w:before="0" w:after="0" w:line="240" w:lineRule="auto"/>
              <w:jc w:val="center"/>
            </w:pPr>
            <w:r>
              <w:rPr>
                <w:color w:val="1A1B1A"/>
                <w:szCs w:val="17"/>
              </w:rPr>
              <w:t>7.4</w:t>
            </w:r>
          </w:p>
        </w:tc>
        <w:tc>
          <w:tcPr>
            <w:tcW w:w="312" w:type="pct"/>
            <w:vAlign w:val="center"/>
          </w:tcPr>
          <w:p w14:paraId="1D5DB79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F5838F4"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1.3</w:t>
            </w:r>
          </w:p>
        </w:tc>
        <w:tc>
          <w:tcPr>
            <w:tcW w:w="310" w:type="pct"/>
            <w:vAlign w:val="center"/>
          </w:tcPr>
          <w:p w14:paraId="668DA51B"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5F7715F2" w14:textId="77777777" w:rsidTr="00444693">
        <w:trPr>
          <w:cantSplit/>
          <w:trHeight w:val="13"/>
        </w:trPr>
        <w:tc>
          <w:tcPr>
            <w:tcW w:w="521" w:type="pct"/>
            <w:vMerge/>
          </w:tcPr>
          <w:p w14:paraId="28A9E94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968508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1E5C978"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776EE18C"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73CFB9B5"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03144CB8" w14:textId="77777777" w:rsidR="00CE1436" w:rsidRDefault="00CE1436" w:rsidP="00444693">
            <w:pPr>
              <w:pStyle w:val="TableText"/>
              <w:widowControl w:val="0"/>
              <w:suppressAutoHyphens w:val="0"/>
              <w:spacing w:before="0" w:after="0" w:line="240" w:lineRule="auto"/>
              <w:jc w:val="center"/>
              <w:rPr>
                <w:szCs w:val="17"/>
              </w:rPr>
            </w:pPr>
            <w:r>
              <w:rPr>
                <w:szCs w:val="17"/>
              </w:rPr>
              <w:t>243</w:t>
            </w:r>
          </w:p>
        </w:tc>
        <w:tc>
          <w:tcPr>
            <w:tcW w:w="312" w:type="pct"/>
          </w:tcPr>
          <w:p w14:paraId="3CCFDAF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D10822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D5D56F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0DE7BA1" w14:textId="77777777" w:rsidR="00CE1436" w:rsidRPr="003203B5" w:rsidRDefault="00CE1436" w:rsidP="00444693">
            <w:pPr>
              <w:pStyle w:val="TableText"/>
              <w:widowControl w:val="0"/>
              <w:suppressAutoHyphens w:val="0"/>
              <w:spacing w:before="0" w:after="0" w:line="240" w:lineRule="auto"/>
              <w:jc w:val="center"/>
            </w:pPr>
            <w:r>
              <w:rPr>
                <w:color w:val="1A1B1A"/>
                <w:szCs w:val="17"/>
              </w:rPr>
              <w:t>6.0</w:t>
            </w:r>
          </w:p>
        </w:tc>
        <w:tc>
          <w:tcPr>
            <w:tcW w:w="312" w:type="pct"/>
            <w:vAlign w:val="center"/>
          </w:tcPr>
          <w:p w14:paraId="42399BE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71F4456"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458D7966"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3011B7D8" w14:textId="77777777" w:rsidTr="00444693">
        <w:trPr>
          <w:cantSplit/>
          <w:trHeight w:val="13"/>
        </w:trPr>
        <w:tc>
          <w:tcPr>
            <w:tcW w:w="521" w:type="pct"/>
            <w:vMerge/>
          </w:tcPr>
          <w:p w14:paraId="7691C13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0AE9F8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62A75E0"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35F8F3EF"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2AB2DE55"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2B0839CC"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759E158E" w14:textId="77777777" w:rsidR="00CE1436" w:rsidRDefault="00CE1436" w:rsidP="00444693">
            <w:pPr>
              <w:pStyle w:val="TableText"/>
              <w:widowControl w:val="0"/>
              <w:suppressAutoHyphens w:val="0"/>
              <w:spacing w:before="0" w:after="0" w:line="240" w:lineRule="auto"/>
              <w:jc w:val="center"/>
              <w:rPr>
                <w:szCs w:val="17"/>
              </w:rPr>
            </w:pPr>
            <w:r>
              <w:rPr>
                <w:szCs w:val="17"/>
              </w:rPr>
              <w:t>1.6</w:t>
            </w:r>
          </w:p>
        </w:tc>
        <w:tc>
          <w:tcPr>
            <w:tcW w:w="312" w:type="pct"/>
          </w:tcPr>
          <w:p w14:paraId="4CADEF9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7CDF37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300D944" w14:textId="77777777" w:rsidR="00CE1436" w:rsidRPr="003203B5" w:rsidRDefault="00CE1436" w:rsidP="00444693">
            <w:pPr>
              <w:pStyle w:val="TableText"/>
              <w:widowControl w:val="0"/>
              <w:suppressAutoHyphens w:val="0"/>
              <w:spacing w:before="0" w:after="0" w:line="240" w:lineRule="auto"/>
              <w:jc w:val="center"/>
            </w:pPr>
            <w:r>
              <w:rPr>
                <w:color w:val="1A1B1A"/>
                <w:szCs w:val="17"/>
              </w:rPr>
              <w:t>8.5</w:t>
            </w:r>
          </w:p>
        </w:tc>
        <w:tc>
          <w:tcPr>
            <w:tcW w:w="312" w:type="pct"/>
            <w:vAlign w:val="center"/>
          </w:tcPr>
          <w:p w14:paraId="129BEDC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2FDD09A"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1.5</w:t>
            </w:r>
          </w:p>
        </w:tc>
        <w:tc>
          <w:tcPr>
            <w:tcW w:w="310" w:type="pct"/>
            <w:vAlign w:val="center"/>
          </w:tcPr>
          <w:p w14:paraId="5E38473C" w14:textId="77777777" w:rsidR="00CE1436" w:rsidRPr="0023247F" w:rsidRDefault="00CE1436" w:rsidP="00444693">
            <w:pPr>
              <w:pStyle w:val="TableText"/>
              <w:widowControl w:val="0"/>
              <w:suppressAutoHyphens w:val="0"/>
              <w:spacing w:before="0" w:after="0" w:line="240" w:lineRule="auto"/>
              <w:jc w:val="center"/>
            </w:pPr>
            <w:r>
              <w:rPr>
                <w:color w:val="1A1B1A"/>
                <w:szCs w:val="17"/>
              </w:rPr>
              <w:t>144</w:t>
            </w:r>
          </w:p>
        </w:tc>
      </w:tr>
      <w:tr w:rsidR="00CE1436" w:rsidRPr="0023247F" w14:paraId="2A2AF87F" w14:textId="77777777" w:rsidTr="00444693">
        <w:trPr>
          <w:cantSplit/>
          <w:trHeight w:val="13"/>
        </w:trPr>
        <w:tc>
          <w:tcPr>
            <w:tcW w:w="521" w:type="pct"/>
            <w:vMerge/>
          </w:tcPr>
          <w:p w14:paraId="32C6AB4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AA61D3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1BB669A"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2D5BEE73"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3AD776B6" w14:textId="77777777" w:rsidR="00CE1436" w:rsidRPr="000A0741" w:rsidRDefault="00CE1436" w:rsidP="00444693">
            <w:pPr>
              <w:pStyle w:val="TableText"/>
              <w:widowControl w:val="0"/>
              <w:suppressAutoHyphens w:val="0"/>
              <w:spacing w:before="0" w:after="0" w:line="240" w:lineRule="auto"/>
              <w:jc w:val="center"/>
              <w:rPr>
                <w:szCs w:val="17"/>
              </w:rPr>
            </w:pPr>
            <w:r>
              <w:rPr>
                <w:szCs w:val="17"/>
              </w:rPr>
              <w:t>24.7</w:t>
            </w:r>
          </w:p>
        </w:tc>
        <w:tc>
          <w:tcPr>
            <w:tcW w:w="296" w:type="pct"/>
          </w:tcPr>
          <w:p w14:paraId="76F20226"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3D496A6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484FD4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CF4E47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9EE272A" w14:textId="77777777" w:rsidR="00CE1436" w:rsidRPr="003203B5" w:rsidRDefault="00CE1436" w:rsidP="00444693">
            <w:pPr>
              <w:pStyle w:val="TableText"/>
              <w:widowControl w:val="0"/>
              <w:suppressAutoHyphens w:val="0"/>
              <w:spacing w:before="0" w:after="0" w:line="240" w:lineRule="auto"/>
              <w:jc w:val="center"/>
            </w:pPr>
            <w:r>
              <w:rPr>
                <w:color w:val="1A1B1A"/>
                <w:szCs w:val="17"/>
              </w:rPr>
              <w:t>5.3</w:t>
            </w:r>
          </w:p>
        </w:tc>
        <w:tc>
          <w:tcPr>
            <w:tcW w:w="312" w:type="pct"/>
            <w:vAlign w:val="center"/>
          </w:tcPr>
          <w:p w14:paraId="60613FFC" w14:textId="77777777" w:rsidR="00CE1436" w:rsidRPr="00F90D90"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0DE09C90" w14:textId="77777777" w:rsidR="00CE1436" w:rsidRPr="0023247F" w:rsidRDefault="00CE1436" w:rsidP="00444693">
            <w:pPr>
              <w:pStyle w:val="TableText"/>
              <w:widowControl w:val="0"/>
              <w:suppressAutoHyphens w:val="0"/>
              <w:spacing w:before="0" w:after="0" w:line="240" w:lineRule="auto"/>
              <w:jc w:val="center"/>
            </w:pPr>
            <w:r>
              <w:rPr>
                <w:color w:val="1A1B1A"/>
                <w:szCs w:val="17"/>
              </w:rPr>
              <w:t>0.94</w:t>
            </w:r>
          </w:p>
        </w:tc>
        <w:tc>
          <w:tcPr>
            <w:tcW w:w="310" w:type="pct"/>
            <w:vAlign w:val="center"/>
          </w:tcPr>
          <w:p w14:paraId="7CE2F702"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7E550E62" w14:textId="77777777" w:rsidTr="00444693">
        <w:trPr>
          <w:cantSplit/>
          <w:trHeight w:val="13"/>
        </w:trPr>
        <w:tc>
          <w:tcPr>
            <w:tcW w:w="521" w:type="pct"/>
            <w:vMerge/>
          </w:tcPr>
          <w:p w14:paraId="4D8BE1D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A64272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F3E335F"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50458C31"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72014FC"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44D1D193" w14:textId="77777777" w:rsidR="00CE1436"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4061DFE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5D853A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70EDFC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0AAA2A9"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4.9</w:t>
            </w:r>
          </w:p>
        </w:tc>
        <w:tc>
          <w:tcPr>
            <w:tcW w:w="312" w:type="pct"/>
            <w:vAlign w:val="center"/>
          </w:tcPr>
          <w:p w14:paraId="5D2F2C6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5C71A65" w14:textId="77777777" w:rsidR="00CE1436" w:rsidRPr="00886278" w:rsidRDefault="00CE1436" w:rsidP="00444693">
            <w:pPr>
              <w:pStyle w:val="TableText"/>
              <w:widowControl w:val="0"/>
              <w:suppressAutoHyphens w:val="0"/>
              <w:spacing w:before="0" w:after="0" w:line="240" w:lineRule="auto"/>
              <w:jc w:val="center"/>
            </w:pPr>
            <w:r>
              <w:rPr>
                <w:color w:val="1A1B1A"/>
                <w:szCs w:val="17"/>
              </w:rPr>
              <w:t>0.87</w:t>
            </w:r>
          </w:p>
        </w:tc>
        <w:tc>
          <w:tcPr>
            <w:tcW w:w="310" w:type="pct"/>
            <w:vAlign w:val="center"/>
          </w:tcPr>
          <w:p w14:paraId="724C909F"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7AFD0E6F" w14:textId="77777777" w:rsidTr="00444693">
        <w:trPr>
          <w:cantSplit/>
          <w:trHeight w:val="13"/>
        </w:trPr>
        <w:tc>
          <w:tcPr>
            <w:tcW w:w="521" w:type="pct"/>
            <w:vMerge/>
          </w:tcPr>
          <w:p w14:paraId="2015B1B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B4FE43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2F3F6CA"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244F7C53"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86146EF"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66EAFCF0" w14:textId="77777777" w:rsidR="00CE1436" w:rsidRDefault="00CE1436" w:rsidP="00444693">
            <w:pPr>
              <w:pStyle w:val="TableText"/>
              <w:widowControl w:val="0"/>
              <w:suppressAutoHyphens w:val="0"/>
              <w:spacing w:before="0" w:after="0" w:line="240" w:lineRule="auto"/>
              <w:jc w:val="center"/>
              <w:rPr>
                <w:szCs w:val="17"/>
              </w:rPr>
            </w:pPr>
            <w:r>
              <w:rPr>
                <w:szCs w:val="17"/>
              </w:rPr>
              <w:t>188</w:t>
            </w:r>
          </w:p>
        </w:tc>
        <w:tc>
          <w:tcPr>
            <w:tcW w:w="312" w:type="pct"/>
          </w:tcPr>
          <w:p w14:paraId="5FF6734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CB160C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BDB9BE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2F890F6" w14:textId="77777777" w:rsidR="00CE1436" w:rsidRPr="003203B5"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14DDEF0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126D7B4" w14:textId="77777777" w:rsidR="00CE1436" w:rsidRPr="0023247F" w:rsidRDefault="00CE1436" w:rsidP="00444693">
            <w:pPr>
              <w:pStyle w:val="TableText"/>
              <w:widowControl w:val="0"/>
              <w:suppressAutoHyphens w:val="0"/>
              <w:spacing w:before="0" w:after="0" w:line="240" w:lineRule="auto"/>
              <w:jc w:val="center"/>
            </w:pPr>
            <w:r>
              <w:rPr>
                <w:color w:val="1A1B1A"/>
                <w:szCs w:val="17"/>
              </w:rPr>
              <w:t>0.81</w:t>
            </w:r>
          </w:p>
        </w:tc>
        <w:tc>
          <w:tcPr>
            <w:tcW w:w="310" w:type="pct"/>
            <w:vAlign w:val="center"/>
          </w:tcPr>
          <w:p w14:paraId="6A2DD2CE"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556AC5F2" w14:textId="77777777" w:rsidTr="00444693">
        <w:trPr>
          <w:cantSplit/>
          <w:trHeight w:val="13"/>
        </w:trPr>
        <w:tc>
          <w:tcPr>
            <w:tcW w:w="521" w:type="pct"/>
            <w:vMerge/>
          </w:tcPr>
          <w:p w14:paraId="591FC43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2B7509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D9C80AF"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380197C3"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3027D3AE"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02F08AC3" w14:textId="77777777" w:rsidR="00CE1436" w:rsidRDefault="00CE1436" w:rsidP="00444693">
            <w:pPr>
              <w:pStyle w:val="TableText"/>
              <w:widowControl w:val="0"/>
              <w:suppressAutoHyphens w:val="0"/>
              <w:spacing w:before="0" w:after="0" w:line="240" w:lineRule="auto"/>
              <w:jc w:val="center"/>
              <w:rPr>
                <w:szCs w:val="17"/>
              </w:rPr>
            </w:pPr>
            <w:r>
              <w:rPr>
                <w:szCs w:val="17"/>
              </w:rPr>
              <w:t>185</w:t>
            </w:r>
          </w:p>
        </w:tc>
        <w:tc>
          <w:tcPr>
            <w:tcW w:w="312" w:type="pct"/>
          </w:tcPr>
          <w:p w14:paraId="6108186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E9E19A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24A85B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FF88EDA" w14:textId="77777777" w:rsidR="00CE1436" w:rsidRPr="003203B5"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5D8D251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0AD4289E" w14:textId="77777777" w:rsidR="00CE1436" w:rsidRPr="0023247F" w:rsidRDefault="00CE1436" w:rsidP="00444693">
            <w:pPr>
              <w:pStyle w:val="TableText"/>
              <w:widowControl w:val="0"/>
              <w:suppressAutoHyphens w:val="0"/>
              <w:spacing w:before="0" w:after="0" w:line="240" w:lineRule="auto"/>
              <w:jc w:val="center"/>
            </w:pPr>
            <w:r>
              <w:rPr>
                <w:color w:val="1A1B1A"/>
                <w:szCs w:val="17"/>
              </w:rPr>
              <w:t>0.80</w:t>
            </w:r>
          </w:p>
        </w:tc>
        <w:tc>
          <w:tcPr>
            <w:tcW w:w="310" w:type="pct"/>
            <w:vAlign w:val="center"/>
          </w:tcPr>
          <w:p w14:paraId="0826D94B"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07BEBD80" w14:textId="77777777" w:rsidTr="00444693">
        <w:trPr>
          <w:cantSplit/>
          <w:trHeight w:val="13"/>
        </w:trPr>
        <w:tc>
          <w:tcPr>
            <w:tcW w:w="521" w:type="pct"/>
            <w:vMerge/>
          </w:tcPr>
          <w:p w14:paraId="7C38BB7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77D9DC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91B90D3"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518FAFD7"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1059A5FF"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5A41E7C6" w14:textId="77777777" w:rsidR="00CE1436" w:rsidRDefault="00CE1436" w:rsidP="00444693">
            <w:pPr>
              <w:pStyle w:val="TableText"/>
              <w:widowControl w:val="0"/>
              <w:suppressAutoHyphens w:val="0"/>
              <w:spacing w:before="0" w:after="0" w:line="240" w:lineRule="auto"/>
              <w:jc w:val="center"/>
              <w:rPr>
                <w:szCs w:val="17"/>
              </w:rPr>
            </w:pPr>
            <w:r>
              <w:rPr>
                <w:szCs w:val="17"/>
              </w:rPr>
              <w:t>173</w:t>
            </w:r>
          </w:p>
        </w:tc>
        <w:tc>
          <w:tcPr>
            <w:tcW w:w="312" w:type="pct"/>
          </w:tcPr>
          <w:p w14:paraId="2D65835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A6CE72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EED1D6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98F09BC" w14:textId="77777777" w:rsidR="00CE1436" w:rsidRPr="003203B5" w:rsidRDefault="00CE1436" w:rsidP="00444693">
            <w:pPr>
              <w:pStyle w:val="TableText"/>
              <w:widowControl w:val="0"/>
              <w:suppressAutoHyphens w:val="0"/>
              <w:spacing w:before="0" w:after="0" w:line="240" w:lineRule="auto"/>
              <w:jc w:val="center"/>
            </w:pPr>
            <w:r>
              <w:rPr>
                <w:color w:val="1A1B1A"/>
                <w:szCs w:val="17"/>
              </w:rPr>
              <w:t>4.3</w:t>
            </w:r>
          </w:p>
        </w:tc>
        <w:tc>
          <w:tcPr>
            <w:tcW w:w="312" w:type="pct"/>
            <w:vAlign w:val="center"/>
          </w:tcPr>
          <w:p w14:paraId="5F75460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10CD82F" w14:textId="77777777" w:rsidR="00CE1436" w:rsidRPr="0023247F" w:rsidRDefault="00CE1436" w:rsidP="00444693">
            <w:pPr>
              <w:pStyle w:val="TableText"/>
              <w:widowControl w:val="0"/>
              <w:suppressAutoHyphens w:val="0"/>
              <w:spacing w:before="0" w:after="0" w:line="240" w:lineRule="auto"/>
              <w:jc w:val="center"/>
            </w:pPr>
            <w:r>
              <w:rPr>
                <w:color w:val="1A1B1A"/>
                <w:szCs w:val="17"/>
              </w:rPr>
              <w:t>0.75</w:t>
            </w:r>
          </w:p>
        </w:tc>
        <w:tc>
          <w:tcPr>
            <w:tcW w:w="310" w:type="pct"/>
            <w:vAlign w:val="center"/>
          </w:tcPr>
          <w:p w14:paraId="54CE41CA"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17896B2D" w14:textId="77777777" w:rsidTr="00444693">
        <w:trPr>
          <w:cantSplit/>
          <w:trHeight w:val="13"/>
        </w:trPr>
        <w:tc>
          <w:tcPr>
            <w:tcW w:w="521" w:type="pct"/>
            <w:vMerge/>
          </w:tcPr>
          <w:p w14:paraId="3B78862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9C072C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6FFC42A"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1D153582"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51B2832F"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485F7C70"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tcPr>
          <w:p w14:paraId="1235B0C7" w14:textId="77777777" w:rsidR="00CE1436" w:rsidRDefault="00CE1436" w:rsidP="00444693">
            <w:pPr>
              <w:pStyle w:val="TableText"/>
              <w:widowControl w:val="0"/>
              <w:suppressAutoHyphens w:val="0"/>
              <w:spacing w:before="0" w:after="0" w:line="240" w:lineRule="auto"/>
              <w:jc w:val="center"/>
              <w:rPr>
                <w:szCs w:val="17"/>
              </w:rPr>
            </w:pPr>
            <w:r>
              <w:rPr>
                <w:szCs w:val="17"/>
              </w:rPr>
              <w:t>1.6</w:t>
            </w:r>
          </w:p>
        </w:tc>
        <w:tc>
          <w:tcPr>
            <w:tcW w:w="312" w:type="pct"/>
          </w:tcPr>
          <w:p w14:paraId="30CB7ED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9CDA89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1C98252" w14:textId="77777777" w:rsidR="00CE1436" w:rsidRPr="003203B5" w:rsidRDefault="00CE1436" w:rsidP="00444693">
            <w:pPr>
              <w:pStyle w:val="TableText"/>
              <w:widowControl w:val="0"/>
              <w:suppressAutoHyphens w:val="0"/>
              <w:spacing w:before="0" w:after="0" w:line="240" w:lineRule="auto"/>
              <w:jc w:val="center"/>
            </w:pPr>
            <w:r>
              <w:rPr>
                <w:color w:val="1A1B1A"/>
                <w:szCs w:val="17"/>
              </w:rPr>
              <w:t>6.4</w:t>
            </w:r>
          </w:p>
        </w:tc>
        <w:tc>
          <w:tcPr>
            <w:tcW w:w="312" w:type="pct"/>
            <w:vAlign w:val="center"/>
          </w:tcPr>
          <w:p w14:paraId="1A9958F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7F7832F"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3D704810" w14:textId="77777777" w:rsidR="00CE1436" w:rsidRPr="0023247F" w:rsidRDefault="00CE1436" w:rsidP="00444693">
            <w:pPr>
              <w:pStyle w:val="TableText"/>
              <w:widowControl w:val="0"/>
              <w:suppressAutoHyphens w:val="0"/>
              <w:spacing w:before="0" w:after="0" w:line="240" w:lineRule="auto"/>
              <w:jc w:val="center"/>
            </w:pPr>
            <w:r>
              <w:rPr>
                <w:color w:val="1A1B1A"/>
                <w:szCs w:val="17"/>
              </w:rPr>
              <w:t>144</w:t>
            </w:r>
          </w:p>
        </w:tc>
      </w:tr>
      <w:tr w:rsidR="00CE1436" w:rsidRPr="0023247F" w14:paraId="4C0C4AB4" w14:textId="77777777" w:rsidTr="00444693">
        <w:trPr>
          <w:cantSplit/>
          <w:trHeight w:val="13"/>
        </w:trPr>
        <w:tc>
          <w:tcPr>
            <w:tcW w:w="521" w:type="pct"/>
            <w:vMerge/>
          </w:tcPr>
          <w:p w14:paraId="0DE15D4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9C3AAD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27E7365"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481DA961"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34F7D737"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230835D2"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tcPr>
          <w:p w14:paraId="0D056EC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478096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C0CD1D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2D9F0E8" w14:textId="77777777" w:rsidR="00CE1436" w:rsidRPr="003203B5" w:rsidRDefault="00CE1436" w:rsidP="00444693">
            <w:pPr>
              <w:pStyle w:val="TableText"/>
              <w:widowControl w:val="0"/>
              <w:suppressAutoHyphens w:val="0"/>
              <w:spacing w:before="0" w:after="0" w:line="240" w:lineRule="auto"/>
              <w:jc w:val="center"/>
            </w:pPr>
            <w:r>
              <w:rPr>
                <w:color w:val="1A1B1A"/>
                <w:szCs w:val="17"/>
              </w:rPr>
              <w:t>4.0</w:t>
            </w:r>
          </w:p>
        </w:tc>
        <w:tc>
          <w:tcPr>
            <w:tcW w:w="312" w:type="pct"/>
            <w:vAlign w:val="center"/>
          </w:tcPr>
          <w:p w14:paraId="7DFBADA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B42A4EF" w14:textId="77777777" w:rsidR="00CE1436" w:rsidRPr="0023247F" w:rsidRDefault="00CE1436" w:rsidP="00444693">
            <w:pPr>
              <w:pStyle w:val="TableText"/>
              <w:widowControl w:val="0"/>
              <w:suppressAutoHyphens w:val="0"/>
              <w:spacing w:before="0" w:after="0" w:line="240" w:lineRule="auto"/>
              <w:jc w:val="center"/>
            </w:pPr>
            <w:r>
              <w:rPr>
                <w:color w:val="1A1B1A"/>
                <w:szCs w:val="17"/>
              </w:rPr>
              <w:t>0.70</w:t>
            </w:r>
          </w:p>
        </w:tc>
        <w:tc>
          <w:tcPr>
            <w:tcW w:w="310" w:type="pct"/>
            <w:vAlign w:val="center"/>
          </w:tcPr>
          <w:p w14:paraId="06BE4290"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1A659D9F" w14:textId="77777777" w:rsidTr="00444693">
        <w:trPr>
          <w:cantSplit/>
          <w:trHeight w:val="13"/>
        </w:trPr>
        <w:tc>
          <w:tcPr>
            <w:tcW w:w="521" w:type="pct"/>
            <w:vMerge/>
          </w:tcPr>
          <w:p w14:paraId="0E9AC4A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2778F7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FC79CAD"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47D26786"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6DDA4EE0"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6B10E75A"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02884AD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1AB667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78750C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D31E550" w14:textId="77777777" w:rsidR="00CE1436" w:rsidRPr="003203B5"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0E3708C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0597909" w14:textId="77777777" w:rsidR="00CE1436" w:rsidRPr="0023247F" w:rsidRDefault="00CE1436" w:rsidP="00444693">
            <w:pPr>
              <w:pStyle w:val="TableText"/>
              <w:widowControl w:val="0"/>
              <w:suppressAutoHyphens w:val="0"/>
              <w:spacing w:before="0" w:after="0" w:line="240" w:lineRule="auto"/>
              <w:jc w:val="center"/>
            </w:pPr>
            <w:r>
              <w:rPr>
                <w:color w:val="1A1B1A"/>
                <w:szCs w:val="17"/>
              </w:rPr>
              <w:t>0.65</w:t>
            </w:r>
          </w:p>
        </w:tc>
        <w:tc>
          <w:tcPr>
            <w:tcW w:w="310" w:type="pct"/>
            <w:vAlign w:val="center"/>
          </w:tcPr>
          <w:p w14:paraId="338542EF"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310B9B90" w14:textId="77777777" w:rsidTr="00444693">
        <w:trPr>
          <w:cantSplit/>
          <w:trHeight w:val="13"/>
        </w:trPr>
        <w:tc>
          <w:tcPr>
            <w:tcW w:w="521" w:type="pct"/>
            <w:vMerge/>
          </w:tcPr>
          <w:p w14:paraId="475CAB9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92F76A1"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CE6CFDC" w14:textId="77777777" w:rsidR="00CE1436" w:rsidRPr="00886278" w:rsidRDefault="00CE1436" w:rsidP="00444693">
            <w:pPr>
              <w:pStyle w:val="TableText"/>
              <w:widowControl w:val="0"/>
              <w:suppressAutoHyphens w:val="0"/>
              <w:spacing w:before="0" w:after="0" w:line="240" w:lineRule="auto"/>
              <w:rPr>
                <w:szCs w:val="17"/>
              </w:rPr>
            </w:pPr>
          </w:p>
        </w:tc>
        <w:tc>
          <w:tcPr>
            <w:tcW w:w="520" w:type="pct"/>
          </w:tcPr>
          <w:p w14:paraId="7DC10ECC"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Pr>
          <w:p w14:paraId="7261AD2E" w14:textId="77777777" w:rsidR="00CE1436" w:rsidRPr="00F739A8"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Pr>
          <w:p w14:paraId="283DAE54" w14:textId="77777777" w:rsidR="00CE1436" w:rsidRDefault="00CE1436" w:rsidP="00444693">
            <w:pPr>
              <w:pStyle w:val="TableText"/>
              <w:widowControl w:val="0"/>
              <w:suppressAutoHyphens w:val="0"/>
              <w:spacing w:before="0" w:after="0" w:line="240" w:lineRule="auto"/>
              <w:jc w:val="center"/>
              <w:rPr>
                <w:szCs w:val="17"/>
              </w:rPr>
            </w:pPr>
            <w:r>
              <w:rPr>
                <w:szCs w:val="17"/>
              </w:rPr>
              <w:t>113</w:t>
            </w:r>
          </w:p>
        </w:tc>
        <w:tc>
          <w:tcPr>
            <w:tcW w:w="312" w:type="pct"/>
          </w:tcPr>
          <w:p w14:paraId="6155A6A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DE7423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BE400E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502D431" w14:textId="77777777" w:rsidR="00CE1436" w:rsidRPr="003203B5" w:rsidRDefault="00CE1436" w:rsidP="00444693">
            <w:pPr>
              <w:pStyle w:val="TableText"/>
              <w:widowControl w:val="0"/>
              <w:suppressAutoHyphens w:val="0"/>
              <w:spacing w:before="0" w:after="0" w:line="240" w:lineRule="auto"/>
              <w:jc w:val="center"/>
            </w:pPr>
            <w:r>
              <w:rPr>
                <w:color w:val="1A1B1A"/>
                <w:szCs w:val="17"/>
              </w:rPr>
              <w:t>2.8</w:t>
            </w:r>
          </w:p>
        </w:tc>
        <w:tc>
          <w:tcPr>
            <w:tcW w:w="312" w:type="pct"/>
            <w:vAlign w:val="center"/>
          </w:tcPr>
          <w:p w14:paraId="2893197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E44D6E1" w14:textId="77777777" w:rsidR="00CE1436" w:rsidRPr="0023247F" w:rsidRDefault="00CE1436" w:rsidP="00444693">
            <w:pPr>
              <w:pStyle w:val="TableText"/>
              <w:widowControl w:val="0"/>
              <w:suppressAutoHyphens w:val="0"/>
              <w:spacing w:before="0" w:after="0" w:line="240" w:lineRule="auto"/>
              <w:jc w:val="center"/>
            </w:pPr>
            <w:r>
              <w:rPr>
                <w:color w:val="1A1B1A"/>
                <w:szCs w:val="17"/>
              </w:rPr>
              <w:t>0.49</w:t>
            </w:r>
          </w:p>
        </w:tc>
        <w:tc>
          <w:tcPr>
            <w:tcW w:w="310" w:type="pct"/>
            <w:vAlign w:val="center"/>
          </w:tcPr>
          <w:p w14:paraId="21F437C1"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103A43FF" w14:textId="77777777" w:rsidTr="00444693">
        <w:trPr>
          <w:cantSplit/>
          <w:trHeight w:val="13"/>
        </w:trPr>
        <w:tc>
          <w:tcPr>
            <w:tcW w:w="521" w:type="pct"/>
            <w:vMerge/>
          </w:tcPr>
          <w:p w14:paraId="255BC2D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4C4EC903"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05824B30" w14:textId="77777777" w:rsidR="00CE1436" w:rsidRPr="00886278"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728B34C5" w14:textId="77777777" w:rsidR="00CE1436" w:rsidRPr="00886278"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61745C94" w14:textId="77777777" w:rsidR="00CE1436" w:rsidRDefault="00CE1436" w:rsidP="00444693">
            <w:pPr>
              <w:pStyle w:val="TableText"/>
              <w:widowControl w:val="0"/>
              <w:suppressAutoHyphens w:val="0"/>
              <w:spacing w:before="0" w:after="0" w:line="240" w:lineRule="auto"/>
              <w:jc w:val="center"/>
              <w:rPr>
                <w:szCs w:val="17"/>
              </w:rPr>
            </w:pPr>
            <w:r w:rsidRPr="000A0741">
              <w:rPr>
                <w:szCs w:val="17"/>
              </w:rPr>
              <w:t>24.7</w:t>
            </w:r>
          </w:p>
        </w:tc>
        <w:tc>
          <w:tcPr>
            <w:tcW w:w="296" w:type="pct"/>
            <w:tcBorders>
              <w:bottom w:val="single" w:sz="4" w:space="0" w:color="auto"/>
            </w:tcBorders>
          </w:tcPr>
          <w:p w14:paraId="48109313" w14:textId="77777777" w:rsidR="00CE1436" w:rsidRDefault="00CE1436" w:rsidP="00444693">
            <w:pPr>
              <w:pStyle w:val="TableText"/>
              <w:widowControl w:val="0"/>
              <w:suppressAutoHyphens w:val="0"/>
              <w:spacing w:before="0" w:after="0" w:line="240" w:lineRule="auto"/>
              <w:jc w:val="center"/>
              <w:rPr>
                <w:szCs w:val="17"/>
              </w:rPr>
            </w:pPr>
            <w:r>
              <w:rPr>
                <w:szCs w:val="17"/>
              </w:rPr>
              <w:t>108</w:t>
            </w:r>
          </w:p>
        </w:tc>
        <w:tc>
          <w:tcPr>
            <w:tcW w:w="312" w:type="pct"/>
            <w:tcBorders>
              <w:bottom w:val="single" w:sz="4" w:space="0" w:color="auto"/>
            </w:tcBorders>
          </w:tcPr>
          <w:p w14:paraId="3EE71CA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43437AA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0EC52AC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3D076438"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2.7</w:t>
            </w:r>
          </w:p>
        </w:tc>
        <w:tc>
          <w:tcPr>
            <w:tcW w:w="312" w:type="pct"/>
            <w:tcBorders>
              <w:bottom w:val="single" w:sz="4" w:space="0" w:color="auto"/>
            </w:tcBorders>
            <w:vAlign w:val="center"/>
          </w:tcPr>
          <w:p w14:paraId="5F9C943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14EE8342" w14:textId="77777777" w:rsidR="00CE1436" w:rsidRPr="00886278" w:rsidRDefault="00CE1436" w:rsidP="00444693">
            <w:pPr>
              <w:pStyle w:val="TableText"/>
              <w:widowControl w:val="0"/>
              <w:suppressAutoHyphens w:val="0"/>
              <w:spacing w:before="0" w:after="0" w:line="240" w:lineRule="auto"/>
              <w:jc w:val="center"/>
            </w:pPr>
            <w:r>
              <w:rPr>
                <w:color w:val="1A1B1A"/>
                <w:szCs w:val="17"/>
              </w:rPr>
              <w:t>0.47</w:t>
            </w:r>
          </w:p>
        </w:tc>
        <w:tc>
          <w:tcPr>
            <w:tcW w:w="310" w:type="pct"/>
            <w:tcBorders>
              <w:bottom w:val="single" w:sz="4" w:space="0" w:color="auto"/>
            </w:tcBorders>
            <w:vAlign w:val="center"/>
          </w:tcPr>
          <w:p w14:paraId="1D2E31D4"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3DC85CCA" w14:textId="77777777" w:rsidTr="00444693">
        <w:trPr>
          <w:cantSplit/>
          <w:trHeight w:val="13"/>
        </w:trPr>
        <w:tc>
          <w:tcPr>
            <w:tcW w:w="521" w:type="pct"/>
            <w:vMerge/>
          </w:tcPr>
          <w:p w14:paraId="264F470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4A64DCFD" w14:textId="77777777" w:rsidR="00CE1436" w:rsidRPr="00886278" w:rsidRDefault="00CE1436" w:rsidP="00444693">
            <w:pPr>
              <w:pStyle w:val="TableText"/>
              <w:widowControl w:val="0"/>
              <w:suppressAutoHyphens w:val="0"/>
              <w:spacing w:before="0" w:after="0" w:line="240" w:lineRule="auto"/>
              <w:rPr>
                <w:szCs w:val="17"/>
              </w:rPr>
            </w:pPr>
            <w:r>
              <w:rPr>
                <w:szCs w:val="17"/>
              </w:rPr>
              <w:t>Small omnivore</w:t>
            </w:r>
          </w:p>
        </w:tc>
        <w:tc>
          <w:tcPr>
            <w:tcW w:w="445" w:type="pct"/>
            <w:vMerge w:val="restart"/>
            <w:tcBorders>
              <w:top w:val="single" w:sz="4" w:space="0" w:color="auto"/>
            </w:tcBorders>
          </w:tcPr>
          <w:p w14:paraId="1A7EC302" w14:textId="77777777" w:rsidR="00CE1436" w:rsidRPr="00886278" w:rsidRDefault="00CE1436" w:rsidP="00444693">
            <w:pPr>
              <w:pStyle w:val="TableText"/>
              <w:widowControl w:val="0"/>
              <w:suppressAutoHyphens w:val="0"/>
              <w:spacing w:before="0" w:after="0" w:line="240" w:lineRule="auto"/>
              <w:rPr>
                <w:szCs w:val="17"/>
              </w:rPr>
            </w:pPr>
            <w:r w:rsidRPr="005643BC">
              <w:rPr>
                <w:szCs w:val="17"/>
              </w:rPr>
              <w:t>BBCH &lt;10</w:t>
            </w:r>
          </w:p>
        </w:tc>
        <w:tc>
          <w:tcPr>
            <w:tcW w:w="520" w:type="pct"/>
            <w:tcBorders>
              <w:top w:val="single" w:sz="4" w:space="0" w:color="auto"/>
            </w:tcBorders>
          </w:tcPr>
          <w:p w14:paraId="0C0BE930" w14:textId="77777777" w:rsidR="00CE1436" w:rsidRPr="00886278" w:rsidRDefault="00CE1436" w:rsidP="00444693">
            <w:pPr>
              <w:pStyle w:val="TableText"/>
              <w:widowControl w:val="0"/>
              <w:suppressAutoHyphens w:val="0"/>
              <w:spacing w:before="0" w:after="0" w:line="240" w:lineRule="auto"/>
              <w:jc w:val="center"/>
              <w:rPr>
                <w:szCs w:val="17"/>
              </w:rPr>
            </w:pPr>
            <w:r w:rsidRPr="00A61741">
              <w:rPr>
                <w:szCs w:val="17"/>
              </w:rPr>
              <w:t>Acute</w:t>
            </w:r>
          </w:p>
        </w:tc>
        <w:tc>
          <w:tcPr>
            <w:tcW w:w="446" w:type="pct"/>
            <w:tcBorders>
              <w:top w:val="single" w:sz="4" w:space="0" w:color="auto"/>
            </w:tcBorders>
          </w:tcPr>
          <w:p w14:paraId="3FFD9886"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17.4</w:t>
            </w:r>
          </w:p>
        </w:tc>
        <w:tc>
          <w:tcPr>
            <w:tcW w:w="296" w:type="pct"/>
            <w:tcBorders>
              <w:top w:val="single" w:sz="4" w:space="0" w:color="auto"/>
            </w:tcBorders>
          </w:tcPr>
          <w:p w14:paraId="7ED12E75"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1505</w:t>
            </w:r>
          </w:p>
        </w:tc>
        <w:tc>
          <w:tcPr>
            <w:tcW w:w="312" w:type="pct"/>
            <w:tcBorders>
              <w:top w:val="single" w:sz="4" w:space="0" w:color="auto"/>
            </w:tcBorders>
          </w:tcPr>
          <w:p w14:paraId="39F04048"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50DED4B6"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0F9319B2"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194D716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26</w:t>
            </w:r>
          </w:p>
        </w:tc>
        <w:tc>
          <w:tcPr>
            <w:tcW w:w="312" w:type="pct"/>
            <w:tcBorders>
              <w:top w:val="single" w:sz="4" w:space="0" w:color="auto"/>
            </w:tcBorders>
            <w:vAlign w:val="center"/>
          </w:tcPr>
          <w:p w14:paraId="4B03FE37"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733C6B9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4.6</w:t>
            </w:r>
          </w:p>
        </w:tc>
        <w:tc>
          <w:tcPr>
            <w:tcW w:w="310" w:type="pct"/>
            <w:tcBorders>
              <w:top w:val="single" w:sz="4" w:space="0" w:color="auto"/>
            </w:tcBorders>
            <w:vAlign w:val="center"/>
          </w:tcPr>
          <w:p w14:paraId="6FF8FB2A"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3F302A5A" w14:textId="77777777" w:rsidTr="00444693">
        <w:trPr>
          <w:cantSplit/>
          <w:trHeight w:val="13"/>
        </w:trPr>
        <w:tc>
          <w:tcPr>
            <w:tcW w:w="521" w:type="pct"/>
            <w:vMerge/>
          </w:tcPr>
          <w:p w14:paraId="4A9C85D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1C6E4B0"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640297F"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1684ED31"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48C349D"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11CB2D46" w14:textId="77777777" w:rsidR="00CE1436" w:rsidRDefault="00CE1436" w:rsidP="00444693">
            <w:pPr>
              <w:pStyle w:val="TableText"/>
              <w:widowControl w:val="0"/>
              <w:suppressAutoHyphens w:val="0"/>
              <w:spacing w:before="0" w:after="0" w:line="240" w:lineRule="auto"/>
              <w:jc w:val="center"/>
              <w:rPr>
                <w:szCs w:val="17"/>
              </w:rPr>
            </w:pPr>
            <w:r>
              <w:rPr>
                <w:szCs w:val="17"/>
              </w:rPr>
              <w:t>700</w:t>
            </w:r>
          </w:p>
        </w:tc>
        <w:tc>
          <w:tcPr>
            <w:tcW w:w="312" w:type="pct"/>
          </w:tcPr>
          <w:p w14:paraId="3A949FC9"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2C2B53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2ADE41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414A86A"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378DC4B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4C0BB5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10" w:type="pct"/>
            <w:vAlign w:val="center"/>
          </w:tcPr>
          <w:p w14:paraId="00E07D36"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1AF5C9A2" w14:textId="77777777" w:rsidTr="00444693">
        <w:trPr>
          <w:cantSplit/>
          <w:trHeight w:val="13"/>
        </w:trPr>
        <w:tc>
          <w:tcPr>
            <w:tcW w:w="521" w:type="pct"/>
            <w:vMerge/>
          </w:tcPr>
          <w:p w14:paraId="35D59F3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F49716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F9011ED"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50C6997"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83BC468"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7EAC20B"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675</w:t>
            </w:r>
          </w:p>
        </w:tc>
        <w:tc>
          <w:tcPr>
            <w:tcW w:w="312" w:type="pct"/>
          </w:tcPr>
          <w:p w14:paraId="7422E800"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A2B373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6F141E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07ABC98"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12</w:t>
            </w:r>
          </w:p>
        </w:tc>
        <w:tc>
          <w:tcPr>
            <w:tcW w:w="312" w:type="pct"/>
            <w:vAlign w:val="center"/>
          </w:tcPr>
          <w:p w14:paraId="0FA20676"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5DE9E47"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10" w:type="pct"/>
            <w:vAlign w:val="center"/>
          </w:tcPr>
          <w:p w14:paraId="586AF996"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13D4D542" w14:textId="77777777" w:rsidTr="00444693">
        <w:trPr>
          <w:cantSplit/>
          <w:trHeight w:val="13"/>
        </w:trPr>
        <w:tc>
          <w:tcPr>
            <w:tcW w:w="521" w:type="pct"/>
            <w:vMerge/>
          </w:tcPr>
          <w:p w14:paraId="6245130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EF8092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C84D312"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EA23D91"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120D052"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42E4C250" w14:textId="77777777" w:rsidR="00CE1436" w:rsidRDefault="00CE1436" w:rsidP="00444693">
            <w:pPr>
              <w:pStyle w:val="TableText"/>
              <w:widowControl w:val="0"/>
              <w:suppressAutoHyphens w:val="0"/>
              <w:spacing w:before="0" w:after="0" w:line="240" w:lineRule="auto"/>
              <w:jc w:val="center"/>
              <w:rPr>
                <w:szCs w:val="17"/>
              </w:rPr>
            </w:pPr>
            <w:r>
              <w:rPr>
                <w:szCs w:val="17"/>
              </w:rPr>
              <w:t>648</w:t>
            </w:r>
          </w:p>
        </w:tc>
        <w:tc>
          <w:tcPr>
            <w:tcW w:w="312" w:type="pct"/>
          </w:tcPr>
          <w:p w14:paraId="5CFF5FD0"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C0B85D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11AED7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115A077" w14:textId="77777777" w:rsidR="00CE1436" w:rsidRPr="003203B5"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25B9B6CB"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0A6611C"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10" w:type="pct"/>
            <w:vAlign w:val="center"/>
          </w:tcPr>
          <w:p w14:paraId="69E8676E"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0ECCE5CA" w14:textId="77777777" w:rsidTr="00444693">
        <w:trPr>
          <w:cantSplit/>
          <w:trHeight w:val="13"/>
        </w:trPr>
        <w:tc>
          <w:tcPr>
            <w:tcW w:w="521" w:type="pct"/>
            <w:vMerge/>
          </w:tcPr>
          <w:p w14:paraId="670606D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D4132FB"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94DAEF5"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43DDCDF"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444F3832"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E2BA032"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600</w:t>
            </w:r>
          </w:p>
        </w:tc>
        <w:tc>
          <w:tcPr>
            <w:tcW w:w="312" w:type="pct"/>
          </w:tcPr>
          <w:p w14:paraId="5AAD6352"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8C833B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37558D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7DDE3A9"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10</w:t>
            </w:r>
          </w:p>
        </w:tc>
        <w:tc>
          <w:tcPr>
            <w:tcW w:w="312" w:type="pct"/>
            <w:vAlign w:val="center"/>
          </w:tcPr>
          <w:p w14:paraId="66737CAB"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782A7C0"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10" w:type="pct"/>
            <w:vAlign w:val="center"/>
          </w:tcPr>
          <w:p w14:paraId="6A6A65B6"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247521CF" w14:textId="77777777" w:rsidTr="00444693">
        <w:trPr>
          <w:cantSplit/>
          <w:trHeight w:val="13"/>
        </w:trPr>
        <w:tc>
          <w:tcPr>
            <w:tcW w:w="521" w:type="pct"/>
            <w:vMerge/>
          </w:tcPr>
          <w:p w14:paraId="659834B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B2B7BD8"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E3AD0C0"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1675A4C"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4FFFBE3"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7B6F0AFA" w14:textId="77777777" w:rsidR="00CE1436" w:rsidRDefault="00CE1436" w:rsidP="00444693">
            <w:pPr>
              <w:pStyle w:val="TableText"/>
              <w:widowControl w:val="0"/>
              <w:suppressAutoHyphens w:val="0"/>
              <w:spacing w:before="0" w:after="0" w:line="240" w:lineRule="auto"/>
              <w:jc w:val="center"/>
              <w:rPr>
                <w:szCs w:val="17"/>
              </w:rPr>
            </w:pPr>
            <w:r>
              <w:rPr>
                <w:szCs w:val="17"/>
              </w:rPr>
              <w:t>595</w:t>
            </w:r>
          </w:p>
        </w:tc>
        <w:tc>
          <w:tcPr>
            <w:tcW w:w="312" w:type="pct"/>
          </w:tcPr>
          <w:p w14:paraId="6E051F04"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583C29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ACC97C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5E7C2B3" w14:textId="77777777" w:rsidR="00CE1436" w:rsidRPr="003203B5" w:rsidRDefault="00CE1436" w:rsidP="00444693">
            <w:pPr>
              <w:pStyle w:val="TableText"/>
              <w:widowControl w:val="0"/>
              <w:suppressAutoHyphens w:val="0"/>
              <w:spacing w:before="0" w:after="0" w:line="240" w:lineRule="auto"/>
              <w:jc w:val="center"/>
            </w:pPr>
            <w:r>
              <w:rPr>
                <w:color w:val="1A1B1A"/>
                <w:szCs w:val="17"/>
              </w:rPr>
              <w:t>10</w:t>
            </w:r>
          </w:p>
        </w:tc>
        <w:tc>
          <w:tcPr>
            <w:tcW w:w="312" w:type="pct"/>
            <w:vAlign w:val="center"/>
          </w:tcPr>
          <w:p w14:paraId="37252E3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86A97A6"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10" w:type="pct"/>
            <w:vAlign w:val="center"/>
          </w:tcPr>
          <w:p w14:paraId="1C488077"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0C645548" w14:textId="77777777" w:rsidTr="00444693">
        <w:trPr>
          <w:cantSplit/>
          <w:trHeight w:val="13"/>
        </w:trPr>
        <w:tc>
          <w:tcPr>
            <w:tcW w:w="521" w:type="pct"/>
            <w:vMerge/>
          </w:tcPr>
          <w:p w14:paraId="3C9ECE1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355955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54FC30F"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0FFB1216"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DF17E61"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48A2568" w14:textId="77777777" w:rsidR="00CE1436" w:rsidRDefault="00CE1436" w:rsidP="00444693">
            <w:pPr>
              <w:pStyle w:val="TableText"/>
              <w:widowControl w:val="0"/>
              <w:suppressAutoHyphens w:val="0"/>
              <w:spacing w:before="0" w:after="0" w:line="240" w:lineRule="auto"/>
              <w:jc w:val="center"/>
              <w:rPr>
                <w:szCs w:val="17"/>
              </w:rPr>
            </w:pPr>
            <w:r>
              <w:rPr>
                <w:szCs w:val="17"/>
              </w:rPr>
              <w:t>525</w:t>
            </w:r>
          </w:p>
        </w:tc>
        <w:tc>
          <w:tcPr>
            <w:tcW w:w="312" w:type="pct"/>
          </w:tcPr>
          <w:p w14:paraId="62C9DC46"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5144CE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6D84F0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35DAB05" w14:textId="77777777" w:rsidR="00CE1436" w:rsidRPr="003203B5" w:rsidRDefault="00CE1436" w:rsidP="00444693">
            <w:pPr>
              <w:pStyle w:val="TableText"/>
              <w:widowControl w:val="0"/>
              <w:suppressAutoHyphens w:val="0"/>
              <w:spacing w:before="0" w:after="0" w:line="240" w:lineRule="auto"/>
              <w:jc w:val="center"/>
            </w:pPr>
            <w:r>
              <w:rPr>
                <w:color w:val="1A1B1A"/>
                <w:szCs w:val="17"/>
              </w:rPr>
              <w:t>9.1</w:t>
            </w:r>
          </w:p>
        </w:tc>
        <w:tc>
          <w:tcPr>
            <w:tcW w:w="312" w:type="pct"/>
            <w:vAlign w:val="center"/>
          </w:tcPr>
          <w:p w14:paraId="4B76BDF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562ED86"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10" w:type="pct"/>
            <w:vAlign w:val="center"/>
          </w:tcPr>
          <w:p w14:paraId="5F3EEF04"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5C2288A1" w14:textId="77777777" w:rsidTr="00444693">
        <w:trPr>
          <w:cantSplit/>
          <w:trHeight w:val="13"/>
        </w:trPr>
        <w:tc>
          <w:tcPr>
            <w:tcW w:w="521" w:type="pct"/>
            <w:vMerge/>
          </w:tcPr>
          <w:p w14:paraId="0028630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86CD6E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27CDB9E"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B022F1D"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DD648F8"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00BA3F58" w14:textId="77777777" w:rsidR="00CE1436" w:rsidRDefault="00CE1436" w:rsidP="00444693">
            <w:pPr>
              <w:pStyle w:val="TableText"/>
              <w:widowControl w:val="0"/>
              <w:suppressAutoHyphens w:val="0"/>
              <w:spacing w:before="0" w:after="0" w:line="240" w:lineRule="auto"/>
              <w:jc w:val="center"/>
              <w:rPr>
                <w:szCs w:val="17"/>
              </w:rPr>
            </w:pPr>
            <w:r>
              <w:rPr>
                <w:szCs w:val="17"/>
              </w:rPr>
              <w:t>510</w:t>
            </w:r>
          </w:p>
        </w:tc>
        <w:tc>
          <w:tcPr>
            <w:tcW w:w="312" w:type="pct"/>
          </w:tcPr>
          <w:p w14:paraId="041CC001"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DFEA03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C54FF4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3D24892" w14:textId="77777777" w:rsidR="00CE1436" w:rsidRPr="003203B5" w:rsidRDefault="00CE1436" w:rsidP="00444693">
            <w:pPr>
              <w:pStyle w:val="TableText"/>
              <w:widowControl w:val="0"/>
              <w:suppressAutoHyphens w:val="0"/>
              <w:spacing w:before="0" w:after="0" w:line="240" w:lineRule="auto"/>
              <w:jc w:val="center"/>
            </w:pPr>
            <w:r>
              <w:rPr>
                <w:color w:val="1A1B1A"/>
                <w:szCs w:val="17"/>
              </w:rPr>
              <w:t>8.9</w:t>
            </w:r>
          </w:p>
        </w:tc>
        <w:tc>
          <w:tcPr>
            <w:tcW w:w="312" w:type="pct"/>
            <w:vAlign w:val="center"/>
          </w:tcPr>
          <w:p w14:paraId="2536D39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3603DC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10" w:type="pct"/>
            <w:vAlign w:val="center"/>
          </w:tcPr>
          <w:p w14:paraId="5E2F6AD6"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5896A1F8" w14:textId="77777777" w:rsidTr="00444693">
        <w:trPr>
          <w:cantSplit/>
          <w:trHeight w:val="13"/>
        </w:trPr>
        <w:tc>
          <w:tcPr>
            <w:tcW w:w="521" w:type="pct"/>
            <w:vMerge/>
          </w:tcPr>
          <w:p w14:paraId="33E0701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439EA6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CE1E0B5"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00766C8E"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A2F2D2B"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5EE4C38E"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504</w:t>
            </w:r>
          </w:p>
        </w:tc>
        <w:tc>
          <w:tcPr>
            <w:tcW w:w="312" w:type="pct"/>
          </w:tcPr>
          <w:p w14:paraId="092F0A5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CAC405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72DEF5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8431E3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8.8</w:t>
            </w:r>
          </w:p>
        </w:tc>
        <w:tc>
          <w:tcPr>
            <w:tcW w:w="312" w:type="pct"/>
            <w:vAlign w:val="center"/>
          </w:tcPr>
          <w:p w14:paraId="31EA0BE1"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AD6748D"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10" w:type="pct"/>
            <w:vAlign w:val="center"/>
          </w:tcPr>
          <w:p w14:paraId="10423FCF"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0E662222" w14:textId="77777777" w:rsidTr="00444693">
        <w:trPr>
          <w:cantSplit/>
          <w:trHeight w:val="13"/>
        </w:trPr>
        <w:tc>
          <w:tcPr>
            <w:tcW w:w="521" w:type="pct"/>
            <w:vMerge/>
          </w:tcPr>
          <w:p w14:paraId="25D082A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B313F8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B5EBF03"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CD2ACEF"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941144D"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50B4D91D" w14:textId="77777777" w:rsidR="00CE1436" w:rsidRDefault="00CE1436" w:rsidP="00444693">
            <w:pPr>
              <w:pStyle w:val="TableText"/>
              <w:widowControl w:val="0"/>
              <w:suppressAutoHyphens w:val="0"/>
              <w:spacing w:before="0" w:after="0" w:line="240" w:lineRule="auto"/>
              <w:jc w:val="center"/>
              <w:rPr>
                <w:szCs w:val="17"/>
              </w:rPr>
            </w:pPr>
            <w:r>
              <w:rPr>
                <w:szCs w:val="17"/>
              </w:rPr>
              <w:t>500</w:t>
            </w:r>
          </w:p>
        </w:tc>
        <w:tc>
          <w:tcPr>
            <w:tcW w:w="312" w:type="pct"/>
          </w:tcPr>
          <w:p w14:paraId="44FA1336"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8BFEB1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5AB91F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20BE08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8.7</w:t>
            </w:r>
          </w:p>
        </w:tc>
        <w:tc>
          <w:tcPr>
            <w:tcW w:w="312" w:type="pct"/>
            <w:vAlign w:val="center"/>
          </w:tcPr>
          <w:p w14:paraId="3CB0E06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89C941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10" w:type="pct"/>
            <w:vAlign w:val="center"/>
          </w:tcPr>
          <w:p w14:paraId="59EA5906"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5E655687" w14:textId="77777777" w:rsidTr="00444693">
        <w:trPr>
          <w:cantSplit/>
          <w:trHeight w:val="13"/>
        </w:trPr>
        <w:tc>
          <w:tcPr>
            <w:tcW w:w="521" w:type="pct"/>
            <w:vMerge/>
          </w:tcPr>
          <w:p w14:paraId="7F383BD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B5D21AB"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EE1602F"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1733B45B"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59AD343"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0FA780C4"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450</w:t>
            </w:r>
          </w:p>
        </w:tc>
        <w:tc>
          <w:tcPr>
            <w:tcW w:w="312" w:type="pct"/>
          </w:tcPr>
          <w:p w14:paraId="2803A75C"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F384B3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DA9575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48780F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7.8</w:t>
            </w:r>
          </w:p>
        </w:tc>
        <w:tc>
          <w:tcPr>
            <w:tcW w:w="312" w:type="pct"/>
            <w:vAlign w:val="center"/>
          </w:tcPr>
          <w:p w14:paraId="5D6B4298"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6E6AA44"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10" w:type="pct"/>
            <w:vAlign w:val="center"/>
          </w:tcPr>
          <w:p w14:paraId="0A1EE5DF"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7927B1ED" w14:textId="77777777" w:rsidTr="00444693">
        <w:trPr>
          <w:cantSplit/>
          <w:trHeight w:val="13"/>
        </w:trPr>
        <w:tc>
          <w:tcPr>
            <w:tcW w:w="521" w:type="pct"/>
            <w:vMerge/>
          </w:tcPr>
          <w:p w14:paraId="70B573E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C2D20B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A4DE42D"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49377361"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F5232B1"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3F6FA411"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432</w:t>
            </w:r>
          </w:p>
        </w:tc>
        <w:tc>
          <w:tcPr>
            <w:tcW w:w="312" w:type="pct"/>
            <w:shd w:val="clear" w:color="auto" w:fill="D5D7D5" w:themeFill="text1" w:themeFillTint="33"/>
          </w:tcPr>
          <w:p w14:paraId="38F5EC14"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1.48</w:t>
            </w:r>
            <w:r>
              <w:rPr>
                <w:szCs w:val="17"/>
                <w:vertAlign w:val="superscript"/>
              </w:rPr>
              <w:t>a</w:t>
            </w:r>
          </w:p>
        </w:tc>
        <w:tc>
          <w:tcPr>
            <w:tcW w:w="312" w:type="pct"/>
          </w:tcPr>
          <w:p w14:paraId="4D6E952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65DDE5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A27F7F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11</w:t>
            </w:r>
          </w:p>
        </w:tc>
        <w:tc>
          <w:tcPr>
            <w:tcW w:w="312" w:type="pct"/>
            <w:vAlign w:val="center"/>
          </w:tcPr>
          <w:p w14:paraId="6A608D54"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51ABE30"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10" w:type="pct"/>
            <w:vAlign w:val="center"/>
          </w:tcPr>
          <w:p w14:paraId="3DFEF5C7" w14:textId="77777777" w:rsidR="00CE1436" w:rsidRPr="00886278" w:rsidRDefault="00CE1436" w:rsidP="00444693">
            <w:pPr>
              <w:pStyle w:val="TableText"/>
              <w:widowControl w:val="0"/>
              <w:suppressAutoHyphens w:val="0"/>
              <w:spacing w:before="0" w:after="0" w:line="240" w:lineRule="auto"/>
              <w:jc w:val="center"/>
            </w:pPr>
            <w:r>
              <w:rPr>
                <w:color w:val="1A1B1A"/>
                <w:szCs w:val="17"/>
              </w:rPr>
              <w:t>221</w:t>
            </w:r>
          </w:p>
        </w:tc>
      </w:tr>
      <w:tr w:rsidR="00CE1436" w:rsidRPr="00886278" w14:paraId="5A8F2FE4" w14:textId="77777777" w:rsidTr="00444693">
        <w:trPr>
          <w:cantSplit/>
          <w:trHeight w:val="13"/>
        </w:trPr>
        <w:tc>
          <w:tcPr>
            <w:tcW w:w="521" w:type="pct"/>
            <w:vMerge/>
          </w:tcPr>
          <w:p w14:paraId="02E1BAC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8C60FB9"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155F9FC"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A6417D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CF40833"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58EB459F"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tcPr>
          <w:p w14:paraId="54DACE5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92A907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0F4C2D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8E30F3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7.5</w:t>
            </w:r>
          </w:p>
        </w:tc>
        <w:tc>
          <w:tcPr>
            <w:tcW w:w="312" w:type="pct"/>
            <w:vAlign w:val="center"/>
          </w:tcPr>
          <w:p w14:paraId="69CA8BE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A6663EE"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10" w:type="pct"/>
            <w:vAlign w:val="center"/>
          </w:tcPr>
          <w:p w14:paraId="651465B8"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51EEA890" w14:textId="77777777" w:rsidTr="00444693">
        <w:trPr>
          <w:cantSplit/>
          <w:trHeight w:val="13"/>
        </w:trPr>
        <w:tc>
          <w:tcPr>
            <w:tcW w:w="521" w:type="pct"/>
            <w:vMerge/>
          </w:tcPr>
          <w:p w14:paraId="422D14D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68491B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6D6A94B"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429623C"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2AA7649"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008883DF"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Pr>
          <w:p w14:paraId="1037C21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61D385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A07DE2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AE24D4B"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7.0</w:t>
            </w:r>
          </w:p>
        </w:tc>
        <w:tc>
          <w:tcPr>
            <w:tcW w:w="312" w:type="pct"/>
            <w:vAlign w:val="center"/>
          </w:tcPr>
          <w:p w14:paraId="66BC08E4"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6ADFA14"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10" w:type="pct"/>
            <w:vAlign w:val="center"/>
          </w:tcPr>
          <w:p w14:paraId="6B5FB6A4"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79B111F1" w14:textId="77777777" w:rsidTr="00444693">
        <w:trPr>
          <w:cantSplit/>
          <w:trHeight w:val="13"/>
        </w:trPr>
        <w:tc>
          <w:tcPr>
            <w:tcW w:w="521" w:type="pct"/>
            <w:vMerge/>
          </w:tcPr>
          <w:p w14:paraId="4BC5873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3E1EA5A"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CE86B91"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B7370AB"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6B6258A"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4CAFBAC" w14:textId="77777777" w:rsidR="00CE1436" w:rsidRDefault="00CE1436" w:rsidP="00444693">
            <w:pPr>
              <w:pStyle w:val="TableText"/>
              <w:widowControl w:val="0"/>
              <w:suppressAutoHyphens w:val="0"/>
              <w:spacing w:before="0" w:after="0" w:line="240" w:lineRule="auto"/>
              <w:jc w:val="center"/>
              <w:rPr>
                <w:szCs w:val="17"/>
              </w:rPr>
            </w:pPr>
            <w:r>
              <w:rPr>
                <w:szCs w:val="17"/>
              </w:rPr>
              <w:t>390</w:t>
            </w:r>
          </w:p>
        </w:tc>
        <w:tc>
          <w:tcPr>
            <w:tcW w:w="312" w:type="pct"/>
          </w:tcPr>
          <w:p w14:paraId="1A25B57A"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3AFC17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89CE7C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6740A45" w14:textId="77777777" w:rsidR="00CE1436" w:rsidRPr="003203B5" w:rsidRDefault="00CE1436" w:rsidP="00444693">
            <w:pPr>
              <w:pStyle w:val="TableText"/>
              <w:widowControl w:val="0"/>
              <w:suppressAutoHyphens w:val="0"/>
              <w:spacing w:before="0" w:after="0" w:line="240" w:lineRule="auto"/>
              <w:jc w:val="center"/>
            </w:pPr>
            <w:r>
              <w:rPr>
                <w:color w:val="1A1B1A"/>
                <w:szCs w:val="17"/>
              </w:rPr>
              <w:t>6.8</w:t>
            </w:r>
          </w:p>
        </w:tc>
        <w:tc>
          <w:tcPr>
            <w:tcW w:w="312" w:type="pct"/>
            <w:vAlign w:val="center"/>
          </w:tcPr>
          <w:p w14:paraId="1CBAB83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23A8DFE"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1.2</w:t>
            </w:r>
          </w:p>
        </w:tc>
        <w:tc>
          <w:tcPr>
            <w:tcW w:w="310" w:type="pct"/>
            <w:vAlign w:val="center"/>
          </w:tcPr>
          <w:p w14:paraId="5B662BF4"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0E6A5C8E" w14:textId="77777777" w:rsidTr="00444693">
        <w:trPr>
          <w:cantSplit/>
          <w:trHeight w:val="13"/>
        </w:trPr>
        <w:tc>
          <w:tcPr>
            <w:tcW w:w="521" w:type="pct"/>
            <w:vMerge/>
          </w:tcPr>
          <w:p w14:paraId="190A56B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CAE8B2B"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F1DC9CA"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04D303B5"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E41E882"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31818E15" w14:textId="77777777" w:rsidR="00CE1436" w:rsidRDefault="00CE1436" w:rsidP="00444693">
            <w:pPr>
              <w:pStyle w:val="TableText"/>
              <w:widowControl w:val="0"/>
              <w:suppressAutoHyphens w:val="0"/>
              <w:spacing w:before="0" w:after="0" w:line="240" w:lineRule="auto"/>
              <w:jc w:val="center"/>
              <w:rPr>
                <w:szCs w:val="17"/>
              </w:rPr>
            </w:pPr>
            <w:r>
              <w:rPr>
                <w:szCs w:val="17"/>
              </w:rPr>
              <w:t>375</w:t>
            </w:r>
          </w:p>
        </w:tc>
        <w:tc>
          <w:tcPr>
            <w:tcW w:w="312" w:type="pct"/>
          </w:tcPr>
          <w:p w14:paraId="523480B6"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33AB21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DCEEC6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64F1EC7" w14:textId="77777777" w:rsidR="00CE1436" w:rsidRPr="003203B5" w:rsidRDefault="00CE1436" w:rsidP="00444693">
            <w:pPr>
              <w:pStyle w:val="TableText"/>
              <w:widowControl w:val="0"/>
              <w:suppressAutoHyphens w:val="0"/>
              <w:spacing w:before="0" w:after="0" w:line="240" w:lineRule="auto"/>
              <w:jc w:val="center"/>
            </w:pPr>
            <w:r>
              <w:rPr>
                <w:color w:val="1A1B1A"/>
                <w:szCs w:val="17"/>
              </w:rPr>
              <w:t>6.5</w:t>
            </w:r>
          </w:p>
        </w:tc>
        <w:tc>
          <w:tcPr>
            <w:tcW w:w="312" w:type="pct"/>
            <w:vAlign w:val="center"/>
          </w:tcPr>
          <w:p w14:paraId="645C947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EB81004"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064B362F"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46F336B0" w14:textId="77777777" w:rsidTr="00444693">
        <w:trPr>
          <w:cantSplit/>
          <w:trHeight w:val="13"/>
        </w:trPr>
        <w:tc>
          <w:tcPr>
            <w:tcW w:w="521" w:type="pct"/>
            <w:vMerge/>
          </w:tcPr>
          <w:p w14:paraId="216D5EE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BDE509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AC6325B"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408698D0"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6A12F8B"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70A9A203" w14:textId="77777777" w:rsidR="00CE1436" w:rsidRDefault="00CE1436" w:rsidP="00444693">
            <w:pPr>
              <w:pStyle w:val="TableText"/>
              <w:widowControl w:val="0"/>
              <w:suppressAutoHyphens w:val="0"/>
              <w:spacing w:before="0" w:after="0" w:line="240" w:lineRule="auto"/>
              <w:jc w:val="center"/>
              <w:rPr>
                <w:szCs w:val="17"/>
              </w:rPr>
            </w:pPr>
            <w:r>
              <w:rPr>
                <w:szCs w:val="17"/>
              </w:rPr>
              <w:t>350</w:t>
            </w:r>
          </w:p>
        </w:tc>
        <w:tc>
          <w:tcPr>
            <w:tcW w:w="312" w:type="pct"/>
          </w:tcPr>
          <w:p w14:paraId="36B947F9"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D0AF11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7D03D8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AD517D1" w14:textId="77777777" w:rsidR="00CE1436" w:rsidRPr="003203B5" w:rsidRDefault="00CE1436" w:rsidP="00444693">
            <w:pPr>
              <w:pStyle w:val="TableText"/>
              <w:widowControl w:val="0"/>
              <w:suppressAutoHyphens w:val="0"/>
              <w:spacing w:before="0" w:after="0" w:line="240" w:lineRule="auto"/>
              <w:jc w:val="center"/>
            </w:pPr>
            <w:r>
              <w:rPr>
                <w:color w:val="1A1B1A"/>
                <w:szCs w:val="17"/>
              </w:rPr>
              <w:t>6.1</w:t>
            </w:r>
          </w:p>
        </w:tc>
        <w:tc>
          <w:tcPr>
            <w:tcW w:w="312" w:type="pct"/>
            <w:vAlign w:val="center"/>
          </w:tcPr>
          <w:p w14:paraId="5BFF9A7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7D5DD02"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628C99C0"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12F7F7C2" w14:textId="77777777" w:rsidTr="00444693">
        <w:trPr>
          <w:cantSplit/>
          <w:trHeight w:val="13"/>
        </w:trPr>
        <w:tc>
          <w:tcPr>
            <w:tcW w:w="521" w:type="pct"/>
            <w:vMerge/>
          </w:tcPr>
          <w:p w14:paraId="7B85D2E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7F8E75F"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2D1004E"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7056D2E"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63A4413"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54524685" w14:textId="77777777" w:rsidR="00CE1436" w:rsidRDefault="00CE1436" w:rsidP="00444693">
            <w:pPr>
              <w:pStyle w:val="TableText"/>
              <w:widowControl w:val="0"/>
              <w:suppressAutoHyphens w:val="0"/>
              <w:spacing w:before="0" w:after="0" w:line="240" w:lineRule="auto"/>
              <w:jc w:val="center"/>
              <w:rPr>
                <w:szCs w:val="17"/>
              </w:rPr>
            </w:pPr>
            <w:r>
              <w:rPr>
                <w:szCs w:val="17"/>
              </w:rPr>
              <w:t>324</w:t>
            </w:r>
          </w:p>
        </w:tc>
        <w:tc>
          <w:tcPr>
            <w:tcW w:w="312" w:type="pct"/>
            <w:shd w:val="clear" w:color="auto" w:fill="D5D7D5" w:themeFill="text1" w:themeFillTint="33"/>
          </w:tcPr>
          <w:p w14:paraId="7368504D" w14:textId="77777777" w:rsidR="00CE1436" w:rsidRDefault="00CE1436" w:rsidP="00444693">
            <w:pPr>
              <w:pStyle w:val="TableText"/>
              <w:widowControl w:val="0"/>
              <w:suppressAutoHyphens w:val="0"/>
              <w:spacing w:before="0" w:after="0" w:line="240" w:lineRule="auto"/>
              <w:jc w:val="center"/>
              <w:rPr>
                <w:szCs w:val="17"/>
              </w:rPr>
            </w:pPr>
            <w:r>
              <w:rPr>
                <w:szCs w:val="17"/>
              </w:rPr>
              <w:t>1.48</w:t>
            </w:r>
            <w:r>
              <w:rPr>
                <w:szCs w:val="17"/>
                <w:vertAlign w:val="superscript"/>
              </w:rPr>
              <w:t>a</w:t>
            </w:r>
          </w:p>
        </w:tc>
        <w:tc>
          <w:tcPr>
            <w:tcW w:w="312" w:type="pct"/>
          </w:tcPr>
          <w:p w14:paraId="03DDA113" w14:textId="77777777" w:rsidR="00CE1436" w:rsidRPr="00C44CF4" w:rsidRDefault="00CE1436" w:rsidP="00444693">
            <w:pPr>
              <w:pStyle w:val="TableText"/>
              <w:widowControl w:val="0"/>
              <w:suppressAutoHyphens w:val="0"/>
              <w:spacing w:before="0" w:after="0" w:line="240" w:lineRule="auto"/>
              <w:jc w:val="center"/>
              <w:rPr>
                <w:szCs w:val="17"/>
              </w:rPr>
            </w:pPr>
            <w:r w:rsidRPr="00544382">
              <w:rPr>
                <w:szCs w:val="17"/>
              </w:rPr>
              <w:t>1.0</w:t>
            </w:r>
          </w:p>
        </w:tc>
        <w:tc>
          <w:tcPr>
            <w:tcW w:w="312" w:type="pct"/>
          </w:tcPr>
          <w:p w14:paraId="6878F632" w14:textId="77777777" w:rsidR="00CE1436" w:rsidRPr="00D4112C" w:rsidRDefault="00CE1436" w:rsidP="00444693">
            <w:pPr>
              <w:pStyle w:val="TableText"/>
              <w:widowControl w:val="0"/>
              <w:suppressAutoHyphens w:val="0"/>
              <w:spacing w:before="0" w:after="0" w:line="240" w:lineRule="auto"/>
              <w:jc w:val="center"/>
              <w:rPr>
                <w:szCs w:val="17"/>
              </w:rPr>
            </w:pPr>
            <w:r w:rsidRPr="00544382">
              <w:rPr>
                <w:szCs w:val="17"/>
              </w:rPr>
              <w:t>1.0</w:t>
            </w:r>
          </w:p>
        </w:tc>
        <w:tc>
          <w:tcPr>
            <w:tcW w:w="312" w:type="pct"/>
            <w:vAlign w:val="center"/>
          </w:tcPr>
          <w:p w14:paraId="0389C106" w14:textId="77777777" w:rsidR="00CE1436" w:rsidRPr="003203B5" w:rsidRDefault="00CE1436" w:rsidP="00444693">
            <w:pPr>
              <w:pStyle w:val="TableText"/>
              <w:widowControl w:val="0"/>
              <w:suppressAutoHyphens w:val="0"/>
              <w:spacing w:before="0" w:after="0" w:line="240" w:lineRule="auto"/>
              <w:jc w:val="center"/>
            </w:pPr>
            <w:r>
              <w:rPr>
                <w:color w:val="1A1B1A"/>
                <w:szCs w:val="17"/>
              </w:rPr>
              <w:t>8.3</w:t>
            </w:r>
          </w:p>
        </w:tc>
        <w:tc>
          <w:tcPr>
            <w:tcW w:w="312" w:type="pct"/>
            <w:vAlign w:val="center"/>
          </w:tcPr>
          <w:p w14:paraId="56BEA30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A80FE96"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1.5</w:t>
            </w:r>
          </w:p>
        </w:tc>
        <w:tc>
          <w:tcPr>
            <w:tcW w:w="310" w:type="pct"/>
            <w:vAlign w:val="center"/>
          </w:tcPr>
          <w:p w14:paraId="71B39F6C" w14:textId="77777777" w:rsidR="00CE1436" w:rsidRPr="0023247F" w:rsidRDefault="00CE1436" w:rsidP="00444693">
            <w:pPr>
              <w:pStyle w:val="TableText"/>
              <w:widowControl w:val="0"/>
              <w:suppressAutoHyphens w:val="0"/>
              <w:spacing w:before="0" w:after="0" w:line="240" w:lineRule="auto"/>
              <w:jc w:val="center"/>
            </w:pPr>
            <w:r>
              <w:rPr>
                <w:color w:val="1A1B1A"/>
                <w:szCs w:val="17"/>
              </w:rPr>
              <w:t>221</w:t>
            </w:r>
          </w:p>
        </w:tc>
      </w:tr>
      <w:tr w:rsidR="00CE1436" w:rsidRPr="00886278" w14:paraId="5A70E526" w14:textId="77777777" w:rsidTr="00444693">
        <w:trPr>
          <w:cantSplit/>
          <w:trHeight w:val="13"/>
        </w:trPr>
        <w:tc>
          <w:tcPr>
            <w:tcW w:w="521" w:type="pct"/>
            <w:vMerge/>
          </w:tcPr>
          <w:p w14:paraId="4DE89B5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F9BB4CA"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37389F7"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4280A7D1"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CB2C3A8"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5108EFDA"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Pr>
          <w:p w14:paraId="5EE666A5"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7FCA9B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307F99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400135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5.6</w:t>
            </w:r>
          </w:p>
        </w:tc>
        <w:tc>
          <w:tcPr>
            <w:tcW w:w="312" w:type="pct"/>
            <w:vAlign w:val="center"/>
          </w:tcPr>
          <w:p w14:paraId="31F1DA0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6450818" w14:textId="77777777" w:rsidR="00CE1436" w:rsidRPr="00886278" w:rsidRDefault="00CE1436" w:rsidP="00444693">
            <w:pPr>
              <w:pStyle w:val="TableText"/>
              <w:widowControl w:val="0"/>
              <w:suppressAutoHyphens w:val="0"/>
              <w:spacing w:before="0" w:after="0" w:line="240" w:lineRule="auto"/>
              <w:jc w:val="center"/>
            </w:pPr>
            <w:r>
              <w:rPr>
                <w:color w:val="1A1B1A"/>
                <w:szCs w:val="17"/>
              </w:rPr>
              <w:t>0.99</w:t>
            </w:r>
          </w:p>
        </w:tc>
        <w:tc>
          <w:tcPr>
            <w:tcW w:w="310" w:type="pct"/>
            <w:vAlign w:val="center"/>
          </w:tcPr>
          <w:p w14:paraId="41544F3E"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3EFF372E" w14:textId="77777777" w:rsidTr="00444693">
        <w:trPr>
          <w:cantSplit/>
          <w:trHeight w:val="13"/>
        </w:trPr>
        <w:tc>
          <w:tcPr>
            <w:tcW w:w="521" w:type="pct"/>
            <w:vMerge/>
          </w:tcPr>
          <w:p w14:paraId="3813C4A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96C69C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F22BDB9"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2D55884"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DB1B8F5"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6119CB2" w14:textId="77777777" w:rsidR="00CE1436" w:rsidRDefault="00CE1436" w:rsidP="00444693">
            <w:pPr>
              <w:pStyle w:val="TableText"/>
              <w:widowControl w:val="0"/>
              <w:suppressAutoHyphens w:val="0"/>
              <w:spacing w:before="0" w:after="0" w:line="240" w:lineRule="auto"/>
              <w:jc w:val="center"/>
              <w:rPr>
                <w:szCs w:val="17"/>
              </w:rPr>
            </w:pPr>
            <w:r>
              <w:rPr>
                <w:szCs w:val="17"/>
              </w:rPr>
              <w:t>300</w:t>
            </w:r>
          </w:p>
        </w:tc>
        <w:tc>
          <w:tcPr>
            <w:tcW w:w="312" w:type="pct"/>
          </w:tcPr>
          <w:p w14:paraId="0CB51EBA"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B6872A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1043E0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ACC4A96" w14:textId="77777777" w:rsidR="00CE1436" w:rsidRPr="003203B5" w:rsidRDefault="00CE1436" w:rsidP="00444693">
            <w:pPr>
              <w:pStyle w:val="TableText"/>
              <w:widowControl w:val="0"/>
              <w:suppressAutoHyphens w:val="0"/>
              <w:spacing w:before="0" w:after="0" w:line="240" w:lineRule="auto"/>
              <w:jc w:val="center"/>
            </w:pPr>
            <w:r>
              <w:rPr>
                <w:color w:val="1A1B1A"/>
                <w:szCs w:val="17"/>
              </w:rPr>
              <w:t>5.2</w:t>
            </w:r>
          </w:p>
        </w:tc>
        <w:tc>
          <w:tcPr>
            <w:tcW w:w="312" w:type="pct"/>
            <w:vAlign w:val="center"/>
          </w:tcPr>
          <w:p w14:paraId="3A56579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D6B7335" w14:textId="77777777" w:rsidR="00CE1436" w:rsidRPr="0023247F" w:rsidRDefault="00CE1436" w:rsidP="00444693">
            <w:pPr>
              <w:pStyle w:val="TableText"/>
              <w:widowControl w:val="0"/>
              <w:suppressAutoHyphens w:val="0"/>
              <w:spacing w:before="0" w:after="0" w:line="240" w:lineRule="auto"/>
              <w:jc w:val="center"/>
            </w:pPr>
            <w:r>
              <w:rPr>
                <w:color w:val="1A1B1A"/>
                <w:szCs w:val="17"/>
              </w:rPr>
              <w:t>0.92</w:t>
            </w:r>
          </w:p>
        </w:tc>
        <w:tc>
          <w:tcPr>
            <w:tcW w:w="310" w:type="pct"/>
            <w:vAlign w:val="center"/>
          </w:tcPr>
          <w:p w14:paraId="3E2F7DF0"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72D1A66D" w14:textId="77777777" w:rsidTr="00444693">
        <w:trPr>
          <w:cantSplit/>
          <w:trHeight w:val="13"/>
        </w:trPr>
        <w:tc>
          <w:tcPr>
            <w:tcW w:w="521" w:type="pct"/>
            <w:vMerge/>
          </w:tcPr>
          <w:p w14:paraId="5FF4B52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9D58F8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0EFEE09"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F8B8764"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6D5E30B"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673DD10" w14:textId="77777777" w:rsidR="00CE1436" w:rsidRDefault="00CE1436" w:rsidP="00444693">
            <w:pPr>
              <w:pStyle w:val="TableText"/>
              <w:widowControl w:val="0"/>
              <w:suppressAutoHyphens w:val="0"/>
              <w:spacing w:before="0" w:after="0" w:line="240" w:lineRule="auto"/>
              <w:jc w:val="center"/>
              <w:rPr>
                <w:szCs w:val="17"/>
              </w:rPr>
            </w:pPr>
            <w:r>
              <w:rPr>
                <w:szCs w:val="17"/>
              </w:rPr>
              <w:t>243</w:t>
            </w:r>
          </w:p>
        </w:tc>
        <w:tc>
          <w:tcPr>
            <w:tcW w:w="312" w:type="pct"/>
          </w:tcPr>
          <w:p w14:paraId="45F46DE7"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D290E8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B1E780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AEF867A" w14:textId="77777777" w:rsidR="00CE1436" w:rsidRPr="003203B5" w:rsidRDefault="00CE1436" w:rsidP="00444693">
            <w:pPr>
              <w:pStyle w:val="TableText"/>
              <w:widowControl w:val="0"/>
              <w:suppressAutoHyphens w:val="0"/>
              <w:spacing w:before="0" w:after="0" w:line="240" w:lineRule="auto"/>
              <w:jc w:val="center"/>
            </w:pPr>
            <w:r>
              <w:rPr>
                <w:color w:val="1A1B1A"/>
                <w:szCs w:val="17"/>
              </w:rPr>
              <w:t>4.2</w:t>
            </w:r>
          </w:p>
        </w:tc>
        <w:tc>
          <w:tcPr>
            <w:tcW w:w="312" w:type="pct"/>
            <w:vAlign w:val="center"/>
          </w:tcPr>
          <w:p w14:paraId="7206B94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06FFCE04" w14:textId="77777777" w:rsidR="00CE1436" w:rsidRPr="0023247F" w:rsidRDefault="00CE1436" w:rsidP="00444693">
            <w:pPr>
              <w:pStyle w:val="TableText"/>
              <w:widowControl w:val="0"/>
              <w:suppressAutoHyphens w:val="0"/>
              <w:spacing w:before="0" w:after="0" w:line="240" w:lineRule="auto"/>
              <w:jc w:val="center"/>
            </w:pPr>
            <w:r>
              <w:rPr>
                <w:color w:val="1A1B1A"/>
                <w:szCs w:val="17"/>
              </w:rPr>
              <w:t>0.74</w:t>
            </w:r>
          </w:p>
        </w:tc>
        <w:tc>
          <w:tcPr>
            <w:tcW w:w="310" w:type="pct"/>
            <w:vAlign w:val="center"/>
          </w:tcPr>
          <w:p w14:paraId="1E8F197E"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13461A03" w14:textId="77777777" w:rsidTr="00444693">
        <w:trPr>
          <w:cantSplit/>
          <w:trHeight w:val="13"/>
        </w:trPr>
        <w:tc>
          <w:tcPr>
            <w:tcW w:w="521" w:type="pct"/>
            <w:vMerge/>
          </w:tcPr>
          <w:p w14:paraId="6FEA918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4DD60C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BD67475"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D3E6EE4"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F30F81F"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34AB8831"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shd w:val="clear" w:color="auto" w:fill="D5D7D5" w:themeFill="text1" w:themeFillTint="33"/>
          </w:tcPr>
          <w:p w14:paraId="33948BDB" w14:textId="77777777" w:rsidR="00CE1436" w:rsidRDefault="00CE1436" w:rsidP="00444693">
            <w:pPr>
              <w:pStyle w:val="TableText"/>
              <w:widowControl w:val="0"/>
              <w:suppressAutoHyphens w:val="0"/>
              <w:spacing w:before="0" w:after="0" w:line="240" w:lineRule="auto"/>
              <w:jc w:val="center"/>
              <w:rPr>
                <w:szCs w:val="17"/>
              </w:rPr>
            </w:pPr>
            <w:r>
              <w:rPr>
                <w:szCs w:val="17"/>
              </w:rPr>
              <w:t>1.48</w:t>
            </w:r>
            <w:r>
              <w:rPr>
                <w:szCs w:val="17"/>
                <w:vertAlign w:val="superscript"/>
              </w:rPr>
              <w:t>a</w:t>
            </w:r>
          </w:p>
        </w:tc>
        <w:tc>
          <w:tcPr>
            <w:tcW w:w="312" w:type="pct"/>
          </w:tcPr>
          <w:p w14:paraId="64C6120B" w14:textId="77777777" w:rsidR="00CE1436" w:rsidRPr="00C44CF4" w:rsidRDefault="00CE1436" w:rsidP="00444693">
            <w:pPr>
              <w:pStyle w:val="TableText"/>
              <w:widowControl w:val="0"/>
              <w:suppressAutoHyphens w:val="0"/>
              <w:spacing w:before="0" w:after="0" w:line="240" w:lineRule="auto"/>
              <w:jc w:val="center"/>
              <w:rPr>
                <w:szCs w:val="17"/>
              </w:rPr>
            </w:pPr>
            <w:r w:rsidRPr="00763E24">
              <w:rPr>
                <w:szCs w:val="17"/>
              </w:rPr>
              <w:t>1.0</w:t>
            </w:r>
          </w:p>
        </w:tc>
        <w:tc>
          <w:tcPr>
            <w:tcW w:w="312" w:type="pct"/>
          </w:tcPr>
          <w:p w14:paraId="1DAF26C3" w14:textId="77777777" w:rsidR="00CE1436" w:rsidRPr="00D4112C" w:rsidRDefault="00CE1436" w:rsidP="00444693">
            <w:pPr>
              <w:pStyle w:val="TableText"/>
              <w:widowControl w:val="0"/>
              <w:suppressAutoHyphens w:val="0"/>
              <w:spacing w:before="0" w:after="0" w:line="240" w:lineRule="auto"/>
              <w:jc w:val="center"/>
              <w:rPr>
                <w:szCs w:val="17"/>
              </w:rPr>
            </w:pPr>
            <w:r w:rsidRPr="00763E24">
              <w:rPr>
                <w:szCs w:val="17"/>
              </w:rPr>
              <w:t>1.0</w:t>
            </w:r>
          </w:p>
        </w:tc>
        <w:tc>
          <w:tcPr>
            <w:tcW w:w="312" w:type="pct"/>
            <w:vAlign w:val="center"/>
          </w:tcPr>
          <w:p w14:paraId="636EB67E" w14:textId="77777777" w:rsidR="00CE1436" w:rsidRPr="003203B5" w:rsidRDefault="00CE1436" w:rsidP="00444693">
            <w:pPr>
              <w:pStyle w:val="TableText"/>
              <w:widowControl w:val="0"/>
              <w:suppressAutoHyphens w:val="0"/>
              <w:spacing w:before="0" w:after="0" w:line="240" w:lineRule="auto"/>
              <w:jc w:val="center"/>
            </w:pPr>
            <w:r>
              <w:rPr>
                <w:color w:val="1A1B1A"/>
                <w:szCs w:val="17"/>
              </w:rPr>
              <w:t>5.6</w:t>
            </w:r>
          </w:p>
        </w:tc>
        <w:tc>
          <w:tcPr>
            <w:tcW w:w="312" w:type="pct"/>
            <w:vAlign w:val="center"/>
          </w:tcPr>
          <w:p w14:paraId="295BEDB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6BA8B0C" w14:textId="77777777" w:rsidR="00CE1436" w:rsidRPr="0023247F" w:rsidRDefault="00CE1436" w:rsidP="00444693">
            <w:pPr>
              <w:pStyle w:val="TableText"/>
              <w:widowControl w:val="0"/>
              <w:suppressAutoHyphens w:val="0"/>
              <w:spacing w:before="0" w:after="0" w:line="240" w:lineRule="auto"/>
              <w:jc w:val="center"/>
            </w:pPr>
            <w:r>
              <w:rPr>
                <w:color w:val="1A1B1A"/>
                <w:szCs w:val="17"/>
              </w:rPr>
              <w:t>0.98</w:t>
            </w:r>
          </w:p>
        </w:tc>
        <w:tc>
          <w:tcPr>
            <w:tcW w:w="310" w:type="pct"/>
            <w:vAlign w:val="center"/>
          </w:tcPr>
          <w:p w14:paraId="7D752CD6" w14:textId="77777777" w:rsidR="00CE1436" w:rsidRPr="0023247F" w:rsidRDefault="00CE1436" w:rsidP="00444693">
            <w:pPr>
              <w:pStyle w:val="TableText"/>
              <w:widowControl w:val="0"/>
              <w:suppressAutoHyphens w:val="0"/>
              <w:spacing w:before="0" w:after="0" w:line="240" w:lineRule="auto"/>
              <w:jc w:val="center"/>
            </w:pPr>
            <w:r>
              <w:rPr>
                <w:color w:val="1A1B1A"/>
                <w:szCs w:val="17"/>
              </w:rPr>
              <w:t>221</w:t>
            </w:r>
          </w:p>
        </w:tc>
      </w:tr>
      <w:tr w:rsidR="00CE1436" w:rsidRPr="0023247F" w14:paraId="5F08DC9B" w14:textId="77777777" w:rsidTr="00444693">
        <w:trPr>
          <w:cantSplit/>
          <w:trHeight w:val="13"/>
        </w:trPr>
        <w:tc>
          <w:tcPr>
            <w:tcW w:w="521" w:type="pct"/>
            <w:vMerge/>
          </w:tcPr>
          <w:p w14:paraId="036099C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BF7C248"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AE501F9"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1E8981AE"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C40A9FC"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77C5DDBE"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7CD8C0E0"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26C3F2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DBF4C5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EDFFCD9" w14:textId="77777777" w:rsidR="00CE1436" w:rsidRPr="003203B5"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11F3CB8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0D2CFF4" w14:textId="77777777" w:rsidR="00CE1436" w:rsidRPr="0023247F" w:rsidRDefault="00CE1436" w:rsidP="00444693">
            <w:pPr>
              <w:pStyle w:val="TableText"/>
              <w:widowControl w:val="0"/>
              <w:suppressAutoHyphens w:val="0"/>
              <w:spacing w:before="0" w:after="0" w:line="240" w:lineRule="auto"/>
              <w:jc w:val="center"/>
            </w:pPr>
            <w:r>
              <w:rPr>
                <w:color w:val="1A1B1A"/>
                <w:szCs w:val="17"/>
              </w:rPr>
              <w:t>0.66</w:t>
            </w:r>
          </w:p>
        </w:tc>
        <w:tc>
          <w:tcPr>
            <w:tcW w:w="310" w:type="pct"/>
            <w:vAlign w:val="center"/>
          </w:tcPr>
          <w:p w14:paraId="4280B768"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5121D8AB" w14:textId="77777777" w:rsidTr="00444693">
        <w:trPr>
          <w:cantSplit/>
          <w:trHeight w:val="13"/>
        </w:trPr>
        <w:tc>
          <w:tcPr>
            <w:tcW w:w="521" w:type="pct"/>
            <w:vMerge/>
          </w:tcPr>
          <w:p w14:paraId="72041F9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33DCD29"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4F472F1"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00EA4140"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5D5E27B"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695E654B"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6560E707"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18BF04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08CB8F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1A1B7C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3.5</w:t>
            </w:r>
          </w:p>
        </w:tc>
        <w:tc>
          <w:tcPr>
            <w:tcW w:w="312" w:type="pct"/>
            <w:vAlign w:val="center"/>
          </w:tcPr>
          <w:p w14:paraId="2413F60F"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CD3553C" w14:textId="77777777" w:rsidR="00CE1436" w:rsidRPr="00886278" w:rsidRDefault="00CE1436" w:rsidP="00444693">
            <w:pPr>
              <w:pStyle w:val="TableText"/>
              <w:widowControl w:val="0"/>
              <w:suppressAutoHyphens w:val="0"/>
              <w:spacing w:before="0" w:after="0" w:line="240" w:lineRule="auto"/>
              <w:jc w:val="center"/>
            </w:pPr>
            <w:r>
              <w:rPr>
                <w:color w:val="1A1B1A"/>
                <w:szCs w:val="17"/>
              </w:rPr>
              <w:t>0.61</w:t>
            </w:r>
          </w:p>
        </w:tc>
        <w:tc>
          <w:tcPr>
            <w:tcW w:w="310" w:type="pct"/>
            <w:vAlign w:val="center"/>
          </w:tcPr>
          <w:p w14:paraId="4279AE55"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74E65896" w14:textId="77777777" w:rsidTr="00444693">
        <w:trPr>
          <w:cantSplit/>
          <w:trHeight w:val="13"/>
        </w:trPr>
        <w:tc>
          <w:tcPr>
            <w:tcW w:w="521" w:type="pct"/>
            <w:vMerge/>
          </w:tcPr>
          <w:p w14:paraId="1A81FBE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7AA8AD8"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49D287B"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0C26D060"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4814B69C"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5DAE604D" w14:textId="77777777" w:rsidR="00CE1436" w:rsidRDefault="00CE1436" w:rsidP="00444693">
            <w:pPr>
              <w:pStyle w:val="TableText"/>
              <w:widowControl w:val="0"/>
              <w:suppressAutoHyphens w:val="0"/>
              <w:spacing w:before="0" w:after="0" w:line="240" w:lineRule="auto"/>
              <w:jc w:val="center"/>
              <w:rPr>
                <w:szCs w:val="17"/>
              </w:rPr>
            </w:pPr>
            <w:r>
              <w:rPr>
                <w:szCs w:val="17"/>
              </w:rPr>
              <w:t>188</w:t>
            </w:r>
          </w:p>
        </w:tc>
        <w:tc>
          <w:tcPr>
            <w:tcW w:w="312" w:type="pct"/>
          </w:tcPr>
          <w:p w14:paraId="05B15DD1"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068C75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EB4E33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C7EC507" w14:textId="77777777" w:rsidR="00CE1436" w:rsidRPr="003203B5" w:rsidRDefault="00CE1436" w:rsidP="00444693">
            <w:pPr>
              <w:pStyle w:val="TableText"/>
              <w:widowControl w:val="0"/>
              <w:suppressAutoHyphens w:val="0"/>
              <w:spacing w:before="0" w:after="0" w:line="240" w:lineRule="auto"/>
              <w:jc w:val="center"/>
            </w:pPr>
            <w:r>
              <w:rPr>
                <w:color w:val="1A1B1A"/>
                <w:szCs w:val="17"/>
              </w:rPr>
              <w:t>3.3</w:t>
            </w:r>
          </w:p>
        </w:tc>
        <w:tc>
          <w:tcPr>
            <w:tcW w:w="312" w:type="pct"/>
            <w:vAlign w:val="center"/>
          </w:tcPr>
          <w:p w14:paraId="765956E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C691445" w14:textId="77777777" w:rsidR="00CE1436" w:rsidRPr="0023247F" w:rsidRDefault="00CE1436" w:rsidP="00444693">
            <w:pPr>
              <w:pStyle w:val="TableText"/>
              <w:widowControl w:val="0"/>
              <w:suppressAutoHyphens w:val="0"/>
              <w:spacing w:before="0" w:after="0" w:line="240" w:lineRule="auto"/>
              <w:jc w:val="center"/>
            </w:pPr>
            <w:r>
              <w:rPr>
                <w:color w:val="1A1B1A"/>
                <w:szCs w:val="17"/>
              </w:rPr>
              <w:t>0.57</w:t>
            </w:r>
          </w:p>
        </w:tc>
        <w:tc>
          <w:tcPr>
            <w:tcW w:w="310" w:type="pct"/>
            <w:vAlign w:val="center"/>
          </w:tcPr>
          <w:p w14:paraId="463B883D"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1F433106" w14:textId="77777777" w:rsidTr="00444693">
        <w:trPr>
          <w:cantSplit/>
          <w:trHeight w:val="13"/>
        </w:trPr>
        <w:tc>
          <w:tcPr>
            <w:tcW w:w="521" w:type="pct"/>
            <w:vMerge/>
          </w:tcPr>
          <w:p w14:paraId="43E156D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6CC988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204052D"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4F47678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15BEAF5"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3E5179F8" w14:textId="77777777" w:rsidR="00CE1436" w:rsidRDefault="00CE1436" w:rsidP="00444693">
            <w:pPr>
              <w:pStyle w:val="TableText"/>
              <w:widowControl w:val="0"/>
              <w:suppressAutoHyphens w:val="0"/>
              <w:spacing w:before="0" w:after="0" w:line="240" w:lineRule="auto"/>
              <w:jc w:val="center"/>
              <w:rPr>
                <w:szCs w:val="17"/>
              </w:rPr>
            </w:pPr>
            <w:r>
              <w:rPr>
                <w:szCs w:val="17"/>
              </w:rPr>
              <w:t>185</w:t>
            </w:r>
          </w:p>
        </w:tc>
        <w:tc>
          <w:tcPr>
            <w:tcW w:w="312" w:type="pct"/>
          </w:tcPr>
          <w:p w14:paraId="56C0E514"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121083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B45A2B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98013CF" w14:textId="77777777" w:rsidR="00CE1436" w:rsidRPr="003203B5"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3184B10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A896384" w14:textId="77777777" w:rsidR="00CE1436" w:rsidRPr="0023247F" w:rsidRDefault="00CE1436" w:rsidP="00444693">
            <w:pPr>
              <w:pStyle w:val="TableText"/>
              <w:widowControl w:val="0"/>
              <w:suppressAutoHyphens w:val="0"/>
              <w:spacing w:before="0" w:after="0" w:line="240" w:lineRule="auto"/>
              <w:jc w:val="center"/>
            </w:pPr>
            <w:r>
              <w:rPr>
                <w:color w:val="1A1B1A"/>
                <w:szCs w:val="17"/>
              </w:rPr>
              <w:t>0.56</w:t>
            </w:r>
          </w:p>
        </w:tc>
        <w:tc>
          <w:tcPr>
            <w:tcW w:w="310" w:type="pct"/>
            <w:vAlign w:val="center"/>
          </w:tcPr>
          <w:p w14:paraId="13BB9B58"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2A2D03D4" w14:textId="77777777" w:rsidTr="00444693">
        <w:trPr>
          <w:cantSplit/>
          <w:trHeight w:val="13"/>
        </w:trPr>
        <w:tc>
          <w:tcPr>
            <w:tcW w:w="521" w:type="pct"/>
            <w:vMerge/>
          </w:tcPr>
          <w:p w14:paraId="6FBC738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BA9767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F325420"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8D21F7F"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00F3D1A"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43A7F2D9" w14:textId="77777777" w:rsidR="00CE1436" w:rsidRDefault="00CE1436" w:rsidP="00444693">
            <w:pPr>
              <w:pStyle w:val="TableText"/>
              <w:widowControl w:val="0"/>
              <w:suppressAutoHyphens w:val="0"/>
              <w:spacing w:before="0" w:after="0" w:line="240" w:lineRule="auto"/>
              <w:jc w:val="center"/>
              <w:rPr>
                <w:szCs w:val="17"/>
              </w:rPr>
            </w:pPr>
            <w:r>
              <w:rPr>
                <w:szCs w:val="17"/>
              </w:rPr>
              <w:t>173</w:t>
            </w:r>
          </w:p>
        </w:tc>
        <w:tc>
          <w:tcPr>
            <w:tcW w:w="312" w:type="pct"/>
          </w:tcPr>
          <w:p w14:paraId="1D1C57F5"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36725C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720F99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714F054" w14:textId="77777777" w:rsidR="00CE1436" w:rsidRPr="003203B5" w:rsidRDefault="00CE1436" w:rsidP="00444693">
            <w:pPr>
              <w:pStyle w:val="TableText"/>
              <w:widowControl w:val="0"/>
              <w:suppressAutoHyphens w:val="0"/>
              <w:spacing w:before="0" w:after="0" w:line="240" w:lineRule="auto"/>
              <w:jc w:val="center"/>
            </w:pPr>
            <w:r>
              <w:rPr>
                <w:color w:val="1A1B1A"/>
                <w:szCs w:val="17"/>
              </w:rPr>
              <w:t>3.0</w:t>
            </w:r>
          </w:p>
        </w:tc>
        <w:tc>
          <w:tcPr>
            <w:tcW w:w="312" w:type="pct"/>
            <w:vAlign w:val="center"/>
          </w:tcPr>
          <w:p w14:paraId="1954766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84EDD27" w14:textId="77777777" w:rsidR="00CE1436" w:rsidRPr="0023247F" w:rsidRDefault="00CE1436" w:rsidP="00444693">
            <w:pPr>
              <w:pStyle w:val="TableText"/>
              <w:widowControl w:val="0"/>
              <w:suppressAutoHyphens w:val="0"/>
              <w:spacing w:before="0" w:after="0" w:line="240" w:lineRule="auto"/>
              <w:jc w:val="center"/>
            </w:pPr>
            <w:r>
              <w:rPr>
                <w:color w:val="1A1B1A"/>
                <w:szCs w:val="17"/>
              </w:rPr>
              <w:t>0.53</w:t>
            </w:r>
          </w:p>
        </w:tc>
        <w:tc>
          <w:tcPr>
            <w:tcW w:w="310" w:type="pct"/>
            <w:vAlign w:val="center"/>
          </w:tcPr>
          <w:p w14:paraId="6487008D"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003F57B6" w14:textId="77777777" w:rsidTr="00444693">
        <w:trPr>
          <w:cantSplit/>
          <w:trHeight w:val="13"/>
        </w:trPr>
        <w:tc>
          <w:tcPr>
            <w:tcW w:w="521" w:type="pct"/>
            <w:vMerge/>
          </w:tcPr>
          <w:p w14:paraId="1BF8B75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F9EE1A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D434AA2"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199324EF"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CFCB6DF"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46005EE1"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shd w:val="clear" w:color="auto" w:fill="D5D7D5" w:themeFill="text1" w:themeFillTint="33"/>
          </w:tcPr>
          <w:p w14:paraId="1744BDB9" w14:textId="77777777" w:rsidR="00CE1436" w:rsidRDefault="00CE1436" w:rsidP="00444693">
            <w:pPr>
              <w:pStyle w:val="TableText"/>
              <w:widowControl w:val="0"/>
              <w:suppressAutoHyphens w:val="0"/>
              <w:spacing w:before="0" w:after="0" w:line="240" w:lineRule="auto"/>
              <w:jc w:val="center"/>
              <w:rPr>
                <w:szCs w:val="17"/>
              </w:rPr>
            </w:pPr>
            <w:r>
              <w:rPr>
                <w:szCs w:val="17"/>
              </w:rPr>
              <w:t>1.48</w:t>
            </w:r>
            <w:r>
              <w:rPr>
                <w:szCs w:val="17"/>
                <w:vertAlign w:val="superscript"/>
              </w:rPr>
              <w:t>a</w:t>
            </w:r>
          </w:p>
        </w:tc>
        <w:tc>
          <w:tcPr>
            <w:tcW w:w="312" w:type="pct"/>
          </w:tcPr>
          <w:p w14:paraId="432F2FD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44ADF1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75E221E" w14:textId="77777777" w:rsidR="00CE1436" w:rsidRPr="003203B5" w:rsidRDefault="00CE1436" w:rsidP="00444693">
            <w:pPr>
              <w:pStyle w:val="TableText"/>
              <w:widowControl w:val="0"/>
              <w:suppressAutoHyphens w:val="0"/>
              <w:spacing w:before="0" w:after="0" w:line="240" w:lineRule="auto"/>
              <w:jc w:val="center"/>
            </w:pPr>
            <w:r>
              <w:rPr>
                <w:color w:val="1A1B1A"/>
                <w:szCs w:val="17"/>
              </w:rPr>
              <w:t>4.2</w:t>
            </w:r>
          </w:p>
        </w:tc>
        <w:tc>
          <w:tcPr>
            <w:tcW w:w="312" w:type="pct"/>
            <w:vAlign w:val="center"/>
          </w:tcPr>
          <w:p w14:paraId="014FB6C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A240759" w14:textId="77777777" w:rsidR="00CE1436" w:rsidRPr="0023247F" w:rsidRDefault="00CE1436" w:rsidP="00444693">
            <w:pPr>
              <w:pStyle w:val="TableText"/>
              <w:widowControl w:val="0"/>
              <w:suppressAutoHyphens w:val="0"/>
              <w:spacing w:before="0" w:after="0" w:line="240" w:lineRule="auto"/>
              <w:jc w:val="center"/>
            </w:pPr>
            <w:r>
              <w:rPr>
                <w:color w:val="1A1B1A"/>
                <w:szCs w:val="17"/>
              </w:rPr>
              <w:t>0.73</w:t>
            </w:r>
          </w:p>
        </w:tc>
        <w:tc>
          <w:tcPr>
            <w:tcW w:w="310" w:type="pct"/>
            <w:vAlign w:val="center"/>
          </w:tcPr>
          <w:p w14:paraId="033AC25F" w14:textId="77777777" w:rsidR="00CE1436" w:rsidRPr="0023247F" w:rsidRDefault="00CE1436" w:rsidP="00444693">
            <w:pPr>
              <w:pStyle w:val="TableText"/>
              <w:widowControl w:val="0"/>
              <w:suppressAutoHyphens w:val="0"/>
              <w:spacing w:before="0" w:after="0" w:line="240" w:lineRule="auto"/>
              <w:jc w:val="center"/>
            </w:pPr>
            <w:r>
              <w:rPr>
                <w:color w:val="1A1B1A"/>
                <w:szCs w:val="17"/>
              </w:rPr>
              <w:t>221</w:t>
            </w:r>
          </w:p>
        </w:tc>
      </w:tr>
      <w:tr w:rsidR="00CE1436" w:rsidRPr="0023247F" w14:paraId="5232A8D0" w14:textId="77777777" w:rsidTr="00444693">
        <w:trPr>
          <w:cantSplit/>
          <w:trHeight w:val="13"/>
        </w:trPr>
        <w:tc>
          <w:tcPr>
            <w:tcW w:w="521" w:type="pct"/>
            <w:vMerge/>
          </w:tcPr>
          <w:p w14:paraId="1914802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284B732"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874C5BD"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2D2D5ED"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D65BF16"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23608E9A"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tcPr>
          <w:p w14:paraId="4A4B7B18"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CBE16B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3796F6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4B27F01" w14:textId="77777777" w:rsidR="00CE1436" w:rsidRPr="003203B5" w:rsidRDefault="00CE1436" w:rsidP="00444693">
            <w:pPr>
              <w:pStyle w:val="TableText"/>
              <w:widowControl w:val="0"/>
              <w:suppressAutoHyphens w:val="0"/>
              <w:spacing w:before="0" w:after="0" w:line="240" w:lineRule="auto"/>
              <w:jc w:val="center"/>
            </w:pPr>
            <w:r>
              <w:rPr>
                <w:color w:val="1A1B1A"/>
                <w:szCs w:val="17"/>
              </w:rPr>
              <w:t>2.8</w:t>
            </w:r>
          </w:p>
        </w:tc>
        <w:tc>
          <w:tcPr>
            <w:tcW w:w="312" w:type="pct"/>
            <w:vAlign w:val="center"/>
          </w:tcPr>
          <w:p w14:paraId="5EBF2DF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75440F0" w14:textId="77777777" w:rsidR="00CE1436" w:rsidRPr="0023247F" w:rsidRDefault="00CE1436" w:rsidP="00444693">
            <w:pPr>
              <w:pStyle w:val="TableText"/>
              <w:widowControl w:val="0"/>
              <w:suppressAutoHyphens w:val="0"/>
              <w:spacing w:before="0" w:after="0" w:line="240" w:lineRule="auto"/>
              <w:jc w:val="center"/>
            </w:pPr>
            <w:r>
              <w:rPr>
                <w:color w:val="1A1B1A"/>
                <w:szCs w:val="17"/>
              </w:rPr>
              <w:t>0.49</w:t>
            </w:r>
          </w:p>
        </w:tc>
        <w:tc>
          <w:tcPr>
            <w:tcW w:w="310" w:type="pct"/>
            <w:vAlign w:val="center"/>
          </w:tcPr>
          <w:p w14:paraId="264C24F6"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38F3E140" w14:textId="77777777" w:rsidTr="00444693">
        <w:trPr>
          <w:cantSplit/>
          <w:trHeight w:val="13"/>
        </w:trPr>
        <w:tc>
          <w:tcPr>
            <w:tcW w:w="521" w:type="pct"/>
            <w:vMerge/>
          </w:tcPr>
          <w:p w14:paraId="7C831D4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D075EA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EC7CEB7"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42522157"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3D5DECB"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1ED109EF"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5476D6C9"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E1AC95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4ABE7A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1E2B6AE"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1186EFDB"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00AC5258" w14:textId="77777777" w:rsidR="00CE1436" w:rsidRPr="0023247F" w:rsidRDefault="00CE1436" w:rsidP="00444693">
            <w:pPr>
              <w:pStyle w:val="TableText"/>
              <w:widowControl w:val="0"/>
              <w:suppressAutoHyphens w:val="0"/>
              <w:spacing w:before="0" w:after="0" w:line="240" w:lineRule="auto"/>
              <w:jc w:val="center"/>
            </w:pPr>
            <w:r>
              <w:rPr>
                <w:color w:val="1A1B1A"/>
                <w:szCs w:val="17"/>
              </w:rPr>
              <w:t>0.46</w:t>
            </w:r>
          </w:p>
        </w:tc>
        <w:tc>
          <w:tcPr>
            <w:tcW w:w="310" w:type="pct"/>
            <w:vAlign w:val="center"/>
          </w:tcPr>
          <w:p w14:paraId="6DDFACC5"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23247F" w14:paraId="47FED998" w14:textId="77777777" w:rsidTr="00444693">
        <w:trPr>
          <w:cantSplit/>
          <w:trHeight w:val="13"/>
        </w:trPr>
        <w:tc>
          <w:tcPr>
            <w:tcW w:w="521" w:type="pct"/>
            <w:vMerge/>
          </w:tcPr>
          <w:p w14:paraId="7F1537F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C1168F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2F451A6"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1ED34A2"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408F0E9" w14:textId="77777777" w:rsidR="00CE1436" w:rsidRPr="004F02BE"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Pr>
          <w:p w14:paraId="060EEE1E" w14:textId="77777777" w:rsidR="00CE1436" w:rsidRDefault="00CE1436" w:rsidP="00444693">
            <w:pPr>
              <w:pStyle w:val="TableText"/>
              <w:widowControl w:val="0"/>
              <w:suppressAutoHyphens w:val="0"/>
              <w:spacing w:before="0" w:after="0" w:line="240" w:lineRule="auto"/>
              <w:jc w:val="center"/>
              <w:rPr>
                <w:szCs w:val="17"/>
              </w:rPr>
            </w:pPr>
            <w:r>
              <w:rPr>
                <w:szCs w:val="17"/>
              </w:rPr>
              <w:t>113</w:t>
            </w:r>
          </w:p>
        </w:tc>
        <w:tc>
          <w:tcPr>
            <w:tcW w:w="312" w:type="pct"/>
          </w:tcPr>
          <w:p w14:paraId="05D1B5B7"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934E58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D5640C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1004991" w14:textId="77777777" w:rsidR="00CE1436" w:rsidRPr="003203B5" w:rsidRDefault="00CE1436" w:rsidP="00444693">
            <w:pPr>
              <w:pStyle w:val="TableText"/>
              <w:widowControl w:val="0"/>
              <w:suppressAutoHyphens w:val="0"/>
              <w:spacing w:before="0" w:after="0" w:line="240" w:lineRule="auto"/>
              <w:jc w:val="center"/>
            </w:pPr>
            <w:r>
              <w:rPr>
                <w:color w:val="1A1B1A"/>
                <w:szCs w:val="17"/>
              </w:rPr>
              <w:t>2.0</w:t>
            </w:r>
          </w:p>
        </w:tc>
        <w:tc>
          <w:tcPr>
            <w:tcW w:w="312" w:type="pct"/>
            <w:vAlign w:val="center"/>
          </w:tcPr>
          <w:p w14:paraId="131324C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075DB39" w14:textId="77777777" w:rsidR="00CE1436" w:rsidRPr="0023247F" w:rsidRDefault="00CE1436" w:rsidP="00444693">
            <w:pPr>
              <w:pStyle w:val="TableText"/>
              <w:widowControl w:val="0"/>
              <w:suppressAutoHyphens w:val="0"/>
              <w:spacing w:before="0" w:after="0" w:line="240" w:lineRule="auto"/>
              <w:jc w:val="center"/>
            </w:pPr>
            <w:r>
              <w:rPr>
                <w:color w:val="1A1B1A"/>
                <w:szCs w:val="17"/>
              </w:rPr>
              <w:t>0.34</w:t>
            </w:r>
          </w:p>
        </w:tc>
        <w:tc>
          <w:tcPr>
            <w:tcW w:w="310" w:type="pct"/>
            <w:vAlign w:val="center"/>
          </w:tcPr>
          <w:p w14:paraId="2468151E" w14:textId="77777777" w:rsidR="00CE1436" w:rsidRPr="0023247F"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61FD4E7D" w14:textId="77777777" w:rsidTr="00444693">
        <w:trPr>
          <w:cantSplit/>
          <w:trHeight w:val="13"/>
        </w:trPr>
        <w:tc>
          <w:tcPr>
            <w:tcW w:w="521" w:type="pct"/>
            <w:vMerge/>
          </w:tcPr>
          <w:p w14:paraId="16EE70D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546AB82C"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1D285D4F" w14:textId="77777777" w:rsidR="00CE1436" w:rsidRPr="005643BC"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309053B3"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2BE7D61E" w14:textId="77777777" w:rsidR="00CE1436" w:rsidRDefault="00CE1436" w:rsidP="00444693">
            <w:pPr>
              <w:pStyle w:val="TableText"/>
              <w:widowControl w:val="0"/>
              <w:suppressAutoHyphens w:val="0"/>
              <w:spacing w:before="0" w:after="0" w:line="240" w:lineRule="auto"/>
              <w:jc w:val="center"/>
              <w:rPr>
                <w:szCs w:val="17"/>
              </w:rPr>
            </w:pPr>
            <w:r w:rsidRPr="00EC12AD">
              <w:rPr>
                <w:szCs w:val="17"/>
              </w:rPr>
              <w:t>17.4</w:t>
            </w:r>
          </w:p>
        </w:tc>
        <w:tc>
          <w:tcPr>
            <w:tcW w:w="296" w:type="pct"/>
            <w:tcBorders>
              <w:bottom w:val="single" w:sz="4" w:space="0" w:color="auto"/>
            </w:tcBorders>
          </w:tcPr>
          <w:p w14:paraId="780DF970"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108</w:t>
            </w:r>
          </w:p>
        </w:tc>
        <w:tc>
          <w:tcPr>
            <w:tcW w:w="312" w:type="pct"/>
            <w:tcBorders>
              <w:bottom w:val="single" w:sz="4" w:space="0" w:color="auto"/>
            </w:tcBorders>
          </w:tcPr>
          <w:p w14:paraId="4B2734E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3A25351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4072B5E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0BB8629E"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1.9</w:t>
            </w:r>
          </w:p>
        </w:tc>
        <w:tc>
          <w:tcPr>
            <w:tcW w:w="312" w:type="pct"/>
            <w:tcBorders>
              <w:bottom w:val="single" w:sz="4" w:space="0" w:color="auto"/>
            </w:tcBorders>
            <w:vAlign w:val="center"/>
          </w:tcPr>
          <w:p w14:paraId="3BABEDC3"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4DCD2BAE" w14:textId="77777777" w:rsidR="00CE1436" w:rsidRPr="00886278" w:rsidRDefault="00CE1436" w:rsidP="00444693">
            <w:pPr>
              <w:pStyle w:val="TableText"/>
              <w:widowControl w:val="0"/>
              <w:suppressAutoHyphens w:val="0"/>
              <w:spacing w:before="0" w:after="0" w:line="240" w:lineRule="auto"/>
              <w:jc w:val="center"/>
            </w:pPr>
            <w:r>
              <w:rPr>
                <w:color w:val="1A1B1A"/>
                <w:szCs w:val="17"/>
              </w:rPr>
              <w:t>0.33</w:t>
            </w:r>
          </w:p>
        </w:tc>
        <w:tc>
          <w:tcPr>
            <w:tcW w:w="310" w:type="pct"/>
            <w:tcBorders>
              <w:bottom w:val="single" w:sz="4" w:space="0" w:color="auto"/>
            </w:tcBorders>
            <w:vAlign w:val="center"/>
          </w:tcPr>
          <w:p w14:paraId="531183E2" w14:textId="77777777" w:rsidR="00CE1436" w:rsidRPr="00886278" w:rsidRDefault="00CE1436" w:rsidP="00444693">
            <w:pPr>
              <w:pStyle w:val="TableText"/>
              <w:widowControl w:val="0"/>
              <w:suppressAutoHyphens w:val="0"/>
              <w:spacing w:before="0" w:after="0" w:line="240" w:lineRule="auto"/>
              <w:jc w:val="center"/>
            </w:pPr>
            <w:r>
              <w:rPr>
                <w:color w:val="1A1B1A"/>
                <w:szCs w:val="17"/>
              </w:rPr>
              <w:t>328</w:t>
            </w:r>
          </w:p>
        </w:tc>
      </w:tr>
      <w:tr w:rsidR="00CE1436" w:rsidRPr="00886278" w14:paraId="2DE575B2" w14:textId="77777777" w:rsidTr="00444693">
        <w:trPr>
          <w:cantSplit/>
          <w:trHeight w:val="13"/>
        </w:trPr>
        <w:tc>
          <w:tcPr>
            <w:tcW w:w="521" w:type="pct"/>
            <w:vMerge/>
          </w:tcPr>
          <w:p w14:paraId="4DB9060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4E27F9C1" w14:textId="77777777" w:rsidR="00CE1436" w:rsidRPr="00886278" w:rsidRDefault="00CE1436" w:rsidP="00444693">
            <w:pPr>
              <w:pStyle w:val="TableText"/>
              <w:widowControl w:val="0"/>
              <w:suppressAutoHyphens w:val="0"/>
              <w:spacing w:before="0" w:after="0" w:line="240" w:lineRule="auto"/>
              <w:rPr>
                <w:szCs w:val="17"/>
              </w:rPr>
            </w:pPr>
            <w:r>
              <w:rPr>
                <w:szCs w:val="17"/>
              </w:rPr>
              <w:t>Small insectivore</w:t>
            </w:r>
          </w:p>
        </w:tc>
        <w:tc>
          <w:tcPr>
            <w:tcW w:w="445" w:type="pct"/>
            <w:vMerge w:val="restart"/>
            <w:tcBorders>
              <w:top w:val="single" w:sz="4" w:space="0" w:color="auto"/>
            </w:tcBorders>
          </w:tcPr>
          <w:p w14:paraId="6EA52D17" w14:textId="77777777" w:rsidR="00CE1436" w:rsidRPr="00886278" w:rsidRDefault="00CE1436" w:rsidP="00444693">
            <w:pPr>
              <w:pStyle w:val="TableText"/>
              <w:widowControl w:val="0"/>
              <w:suppressAutoHyphens w:val="0"/>
              <w:spacing w:before="0" w:after="0" w:line="240" w:lineRule="auto"/>
              <w:rPr>
                <w:szCs w:val="17"/>
              </w:rPr>
            </w:pPr>
            <w:r w:rsidRPr="005643BC">
              <w:rPr>
                <w:szCs w:val="17"/>
              </w:rPr>
              <w:t>BBCH &lt;10</w:t>
            </w:r>
          </w:p>
        </w:tc>
        <w:tc>
          <w:tcPr>
            <w:tcW w:w="520" w:type="pct"/>
            <w:tcBorders>
              <w:top w:val="single" w:sz="4" w:space="0" w:color="auto"/>
            </w:tcBorders>
          </w:tcPr>
          <w:p w14:paraId="51BFAC3D" w14:textId="77777777" w:rsidR="00CE1436" w:rsidRPr="00886278" w:rsidRDefault="00CE1436" w:rsidP="00444693">
            <w:pPr>
              <w:pStyle w:val="TableText"/>
              <w:widowControl w:val="0"/>
              <w:suppressAutoHyphens w:val="0"/>
              <w:spacing w:before="0" w:after="0" w:line="240" w:lineRule="auto"/>
              <w:jc w:val="center"/>
              <w:rPr>
                <w:szCs w:val="17"/>
              </w:rPr>
            </w:pPr>
            <w:r w:rsidRPr="00A61741">
              <w:rPr>
                <w:szCs w:val="17"/>
              </w:rPr>
              <w:t>Acute</w:t>
            </w:r>
          </w:p>
        </w:tc>
        <w:tc>
          <w:tcPr>
            <w:tcW w:w="446" w:type="pct"/>
            <w:tcBorders>
              <w:top w:val="single" w:sz="4" w:space="0" w:color="auto"/>
            </w:tcBorders>
          </w:tcPr>
          <w:p w14:paraId="413F74C1"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10.9</w:t>
            </w:r>
          </w:p>
        </w:tc>
        <w:tc>
          <w:tcPr>
            <w:tcW w:w="296" w:type="pct"/>
            <w:tcBorders>
              <w:top w:val="single" w:sz="4" w:space="0" w:color="auto"/>
            </w:tcBorders>
          </w:tcPr>
          <w:p w14:paraId="3A6EECBA"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1505</w:t>
            </w:r>
          </w:p>
        </w:tc>
        <w:tc>
          <w:tcPr>
            <w:tcW w:w="312" w:type="pct"/>
            <w:tcBorders>
              <w:top w:val="single" w:sz="4" w:space="0" w:color="auto"/>
            </w:tcBorders>
          </w:tcPr>
          <w:p w14:paraId="4C7C6287"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5ADCAF68"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5F4204DE"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02C19B8F"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16</w:t>
            </w:r>
          </w:p>
        </w:tc>
        <w:tc>
          <w:tcPr>
            <w:tcW w:w="312" w:type="pct"/>
            <w:tcBorders>
              <w:top w:val="single" w:sz="4" w:space="0" w:color="auto"/>
            </w:tcBorders>
            <w:vAlign w:val="center"/>
          </w:tcPr>
          <w:p w14:paraId="5879676F"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4481E6C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2.9</w:t>
            </w:r>
          </w:p>
        </w:tc>
        <w:tc>
          <w:tcPr>
            <w:tcW w:w="310" w:type="pct"/>
            <w:tcBorders>
              <w:top w:val="single" w:sz="4" w:space="0" w:color="auto"/>
            </w:tcBorders>
            <w:vAlign w:val="center"/>
          </w:tcPr>
          <w:p w14:paraId="467FBF94"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7DA85FF4" w14:textId="77777777" w:rsidTr="00444693">
        <w:trPr>
          <w:cantSplit/>
          <w:trHeight w:val="13"/>
        </w:trPr>
        <w:tc>
          <w:tcPr>
            <w:tcW w:w="521" w:type="pct"/>
            <w:vMerge/>
          </w:tcPr>
          <w:p w14:paraId="56E0FAD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003E76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0D0C6A4"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46136D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08228A9"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1C5E83B5" w14:textId="77777777" w:rsidR="00CE1436" w:rsidRDefault="00CE1436" w:rsidP="00444693">
            <w:pPr>
              <w:pStyle w:val="TableText"/>
              <w:widowControl w:val="0"/>
              <w:suppressAutoHyphens w:val="0"/>
              <w:spacing w:before="0" w:after="0" w:line="240" w:lineRule="auto"/>
              <w:jc w:val="center"/>
              <w:rPr>
                <w:szCs w:val="17"/>
              </w:rPr>
            </w:pPr>
            <w:r>
              <w:rPr>
                <w:szCs w:val="17"/>
              </w:rPr>
              <w:t>700</w:t>
            </w:r>
          </w:p>
        </w:tc>
        <w:tc>
          <w:tcPr>
            <w:tcW w:w="312" w:type="pct"/>
          </w:tcPr>
          <w:p w14:paraId="70EF85F4"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FF2C6C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FBFCBE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BFF3FEE" w14:textId="77777777" w:rsidR="00CE1436" w:rsidRPr="003203B5" w:rsidRDefault="00CE1436" w:rsidP="00444693">
            <w:pPr>
              <w:pStyle w:val="TableText"/>
              <w:widowControl w:val="0"/>
              <w:suppressAutoHyphens w:val="0"/>
              <w:spacing w:before="0" w:after="0" w:line="240" w:lineRule="auto"/>
              <w:jc w:val="center"/>
            </w:pPr>
            <w:r>
              <w:rPr>
                <w:color w:val="1A1B1A"/>
                <w:szCs w:val="17"/>
              </w:rPr>
              <w:t>7.6</w:t>
            </w:r>
          </w:p>
        </w:tc>
        <w:tc>
          <w:tcPr>
            <w:tcW w:w="312" w:type="pct"/>
            <w:vAlign w:val="center"/>
          </w:tcPr>
          <w:p w14:paraId="1A44587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B02A040"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10" w:type="pct"/>
            <w:vAlign w:val="center"/>
          </w:tcPr>
          <w:p w14:paraId="3ECA9AFB"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27F283CC" w14:textId="77777777" w:rsidTr="00444693">
        <w:trPr>
          <w:cantSplit/>
          <w:trHeight w:val="13"/>
        </w:trPr>
        <w:tc>
          <w:tcPr>
            <w:tcW w:w="521" w:type="pct"/>
            <w:vMerge/>
          </w:tcPr>
          <w:p w14:paraId="3F760C8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ECA63E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566F00E"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91414D6"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2704816"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788A2EA8"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675</w:t>
            </w:r>
          </w:p>
        </w:tc>
        <w:tc>
          <w:tcPr>
            <w:tcW w:w="312" w:type="pct"/>
          </w:tcPr>
          <w:p w14:paraId="682CEBD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E60D7C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441942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2DD66DF"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7.4</w:t>
            </w:r>
          </w:p>
        </w:tc>
        <w:tc>
          <w:tcPr>
            <w:tcW w:w="312" w:type="pct"/>
            <w:vAlign w:val="center"/>
          </w:tcPr>
          <w:p w14:paraId="62C05685"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7C42089"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10" w:type="pct"/>
            <w:vAlign w:val="center"/>
          </w:tcPr>
          <w:p w14:paraId="0A20D0AF"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510D7C69" w14:textId="77777777" w:rsidTr="00444693">
        <w:trPr>
          <w:cantSplit/>
          <w:trHeight w:val="13"/>
        </w:trPr>
        <w:tc>
          <w:tcPr>
            <w:tcW w:w="521" w:type="pct"/>
            <w:vMerge/>
          </w:tcPr>
          <w:p w14:paraId="1DB6E1C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BFF8F3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627071A"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02485886"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C78CB9F"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31285C6B" w14:textId="77777777" w:rsidR="00CE1436" w:rsidRDefault="00CE1436" w:rsidP="00444693">
            <w:pPr>
              <w:pStyle w:val="TableText"/>
              <w:widowControl w:val="0"/>
              <w:suppressAutoHyphens w:val="0"/>
              <w:spacing w:before="0" w:after="0" w:line="240" w:lineRule="auto"/>
              <w:jc w:val="center"/>
              <w:rPr>
                <w:szCs w:val="17"/>
              </w:rPr>
            </w:pPr>
            <w:r>
              <w:rPr>
                <w:szCs w:val="17"/>
              </w:rPr>
              <w:t>648</w:t>
            </w:r>
          </w:p>
        </w:tc>
        <w:tc>
          <w:tcPr>
            <w:tcW w:w="312" w:type="pct"/>
          </w:tcPr>
          <w:p w14:paraId="746E548D"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7AEA3B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1CAFB3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31564F9" w14:textId="77777777" w:rsidR="00CE1436" w:rsidRPr="003203B5" w:rsidRDefault="00CE1436" w:rsidP="00444693">
            <w:pPr>
              <w:pStyle w:val="TableText"/>
              <w:widowControl w:val="0"/>
              <w:suppressAutoHyphens w:val="0"/>
              <w:spacing w:before="0" w:after="0" w:line="240" w:lineRule="auto"/>
              <w:jc w:val="center"/>
            </w:pPr>
            <w:r>
              <w:rPr>
                <w:color w:val="1A1B1A"/>
                <w:szCs w:val="17"/>
              </w:rPr>
              <w:t>7.1</w:t>
            </w:r>
          </w:p>
        </w:tc>
        <w:tc>
          <w:tcPr>
            <w:tcW w:w="312" w:type="pct"/>
            <w:vAlign w:val="center"/>
          </w:tcPr>
          <w:p w14:paraId="56CF6A1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E24DE3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10" w:type="pct"/>
            <w:vAlign w:val="center"/>
          </w:tcPr>
          <w:p w14:paraId="176D2412"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69795746" w14:textId="77777777" w:rsidTr="00444693">
        <w:trPr>
          <w:cantSplit/>
          <w:trHeight w:val="13"/>
        </w:trPr>
        <w:tc>
          <w:tcPr>
            <w:tcW w:w="521" w:type="pct"/>
            <w:vMerge/>
          </w:tcPr>
          <w:p w14:paraId="0D6AB8F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2478A8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D99C42B"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F0773C6"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4BF137B7"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7FF33793"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600</w:t>
            </w:r>
          </w:p>
        </w:tc>
        <w:tc>
          <w:tcPr>
            <w:tcW w:w="312" w:type="pct"/>
          </w:tcPr>
          <w:p w14:paraId="30A8094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9789A7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2CAD7D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AC742A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6.5</w:t>
            </w:r>
          </w:p>
        </w:tc>
        <w:tc>
          <w:tcPr>
            <w:tcW w:w="312" w:type="pct"/>
            <w:vAlign w:val="center"/>
          </w:tcPr>
          <w:p w14:paraId="6955AC14"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6B7752D"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10" w:type="pct"/>
            <w:vAlign w:val="center"/>
          </w:tcPr>
          <w:p w14:paraId="17170722"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7D5D56D3" w14:textId="77777777" w:rsidTr="00444693">
        <w:trPr>
          <w:cantSplit/>
          <w:trHeight w:val="13"/>
        </w:trPr>
        <w:tc>
          <w:tcPr>
            <w:tcW w:w="521" w:type="pct"/>
            <w:vMerge/>
          </w:tcPr>
          <w:p w14:paraId="6F1613E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D06B8A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5E76F08"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5A9B69DC"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739029A"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01259415" w14:textId="77777777" w:rsidR="00CE1436" w:rsidRDefault="00CE1436" w:rsidP="00444693">
            <w:pPr>
              <w:pStyle w:val="TableText"/>
              <w:widowControl w:val="0"/>
              <w:suppressAutoHyphens w:val="0"/>
              <w:spacing w:before="0" w:after="0" w:line="240" w:lineRule="auto"/>
              <w:jc w:val="center"/>
              <w:rPr>
                <w:szCs w:val="17"/>
              </w:rPr>
            </w:pPr>
            <w:r>
              <w:rPr>
                <w:szCs w:val="17"/>
              </w:rPr>
              <w:t>595</w:t>
            </w:r>
          </w:p>
        </w:tc>
        <w:tc>
          <w:tcPr>
            <w:tcW w:w="312" w:type="pct"/>
          </w:tcPr>
          <w:p w14:paraId="19AE9DB5"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AE4E57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A4330B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EB022F0" w14:textId="77777777" w:rsidR="00CE1436" w:rsidRPr="003203B5" w:rsidRDefault="00CE1436" w:rsidP="00444693">
            <w:pPr>
              <w:pStyle w:val="TableText"/>
              <w:widowControl w:val="0"/>
              <w:suppressAutoHyphens w:val="0"/>
              <w:spacing w:before="0" w:after="0" w:line="240" w:lineRule="auto"/>
              <w:jc w:val="center"/>
            </w:pPr>
            <w:r>
              <w:rPr>
                <w:color w:val="1A1B1A"/>
                <w:szCs w:val="17"/>
              </w:rPr>
              <w:t>6.5</w:t>
            </w:r>
          </w:p>
        </w:tc>
        <w:tc>
          <w:tcPr>
            <w:tcW w:w="312" w:type="pct"/>
            <w:vAlign w:val="center"/>
          </w:tcPr>
          <w:p w14:paraId="663917D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7549E53"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444A9C5C"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4CDDC535" w14:textId="77777777" w:rsidTr="00444693">
        <w:trPr>
          <w:cantSplit/>
          <w:trHeight w:val="13"/>
        </w:trPr>
        <w:tc>
          <w:tcPr>
            <w:tcW w:w="521" w:type="pct"/>
            <w:vMerge/>
          </w:tcPr>
          <w:p w14:paraId="00D8E1F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B61068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443A442"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201670E"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ADB7C0B"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0132AAC9" w14:textId="77777777" w:rsidR="00CE1436" w:rsidRDefault="00CE1436" w:rsidP="00444693">
            <w:pPr>
              <w:pStyle w:val="TableText"/>
              <w:widowControl w:val="0"/>
              <w:suppressAutoHyphens w:val="0"/>
              <w:spacing w:before="0" w:after="0" w:line="240" w:lineRule="auto"/>
              <w:jc w:val="center"/>
              <w:rPr>
                <w:szCs w:val="17"/>
              </w:rPr>
            </w:pPr>
            <w:r>
              <w:rPr>
                <w:szCs w:val="17"/>
              </w:rPr>
              <w:t>525</w:t>
            </w:r>
          </w:p>
        </w:tc>
        <w:tc>
          <w:tcPr>
            <w:tcW w:w="312" w:type="pct"/>
          </w:tcPr>
          <w:p w14:paraId="0FCE8D01"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2042AB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4E89605"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9D041F5" w14:textId="77777777" w:rsidR="00CE1436" w:rsidRPr="003203B5"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57F17D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7C16F29"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1.0</w:t>
            </w:r>
          </w:p>
        </w:tc>
        <w:tc>
          <w:tcPr>
            <w:tcW w:w="310" w:type="pct"/>
            <w:vAlign w:val="center"/>
          </w:tcPr>
          <w:p w14:paraId="32D2679D"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2D1BF9D4" w14:textId="77777777" w:rsidTr="00444693">
        <w:trPr>
          <w:cantSplit/>
          <w:trHeight w:val="13"/>
        </w:trPr>
        <w:tc>
          <w:tcPr>
            <w:tcW w:w="521" w:type="pct"/>
            <w:vMerge/>
          </w:tcPr>
          <w:p w14:paraId="72E34D8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5232F7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1E154EF"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C8400BC"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F1CF0B6"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044B3A61" w14:textId="77777777" w:rsidR="00CE1436" w:rsidRDefault="00CE1436" w:rsidP="00444693">
            <w:pPr>
              <w:pStyle w:val="TableText"/>
              <w:widowControl w:val="0"/>
              <w:suppressAutoHyphens w:val="0"/>
              <w:spacing w:before="0" w:after="0" w:line="240" w:lineRule="auto"/>
              <w:jc w:val="center"/>
              <w:rPr>
                <w:szCs w:val="17"/>
              </w:rPr>
            </w:pPr>
            <w:r>
              <w:rPr>
                <w:szCs w:val="17"/>
              </w:rPr>
              <w:t>510</w:t>
            </w:r>
          </w:p>
        </w:tc>
        <w:tc>
          <w:tcPr>
            <w:tcW w:w="312" w:type="pct"/>
          </w:tcPr>
          <w:p w14:paraId="550B60EC"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09214B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F31F8F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B29DE72" w14:textId="77777777" w:rsidR="00CE1436" w:rsidRPr="003203B5" w:rsidRDefault="00CE1436" w:rsidP="00444693">
            <w:pPr>
              <w:pStyle w:val="TableText"/>
              <w:widowControl w:val="0"/>
              <w:suppressAutoHyphens w:val="0"/>
              <w:spacing w:before="0" w:after="0" w:line="240" w:lineRule="auto"/>
              <w:jc w:val="center"/>
            </w:pPr>
            <w:r>
              <w:rPr>
                <w:color w:val="1A1B1A"/>
                <w:szCs w:val="17"/>
              </w:rPr>
              <w:t>5.6</w:t>
            </w:r>
          </w:p>
        </w:tc>
        <w:tc>
          <w:tcPr>
            <w:tcW w:w="312" w:type="pct"/>
            <w:vAlign w:val="center"/>
          </w:tcPr>
          <w:p w14:paraId="4047A1D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7189AA3" w14:textId="77777777" w:rsidR="00CE1436" w:rsidRPr="0023247F" w:rsidRDefault="00CE1436" w:rsidP="00444693">
            <w:pPr>
              <w:pStyle w:val="TableText"/>
              <w:widowControl w:val="0"/>
              <w:suppressAutoHyphens w:val="0"/>
              <w:spacing w:before="0" w:after="0" w:line="240" w:lineRule="auto"/>
              <w:jc w:val="center"/>
            </w:pPr>
            <w:r>
              <w:rPr>
                <w:color w:val="1A1B1A"/>
                <w:szCs w:val="17"/>
              </w:rPr>
              <w:t>0.98</w:t>
            </w:r>
          </w:p>
        </w:tc>
        <w:tc>
          <w:tcPr>
            <w:tcW w:w="310" w:type="pct"/>
            <w:vAlign w:val="center"/>
          </w:tcPr>
          <w:p w14:paraId="25F1176A"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76AD82E4" w14:textId="77777777" w:rsidTr="00444693">
        <w:trPr>
          <w:cantSplit/>
          <w:trHeight w:val="13"/>
        </w:trPr>
        <w:tc>
          <w:tcPr>
            <w:tcW w:w="521" w:type="pct"/>
            <w:vMerge/>
          </w:tcPr>
          <w:p w14:paraId="254BF5F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E279DD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0DEC874"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DBCB61F"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4BA3B501"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6263C266"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504</w:t>
            </w:r>
          </w:p>
        </w:tc>
        <w:tc>
          <w:tcPr>
            <w:tcW w:w="312" w:type="pct"/>
          </w:tcPr>
          <w:p w14:paraId="2825B77F"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9FD40F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3B1A4D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10E6C0F"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5.5</w:t>
            </w:r>
          </w:p>
        </w:tc>
        <w:tc>
          <w:tcPr>
            <w:tcW w:w="312" w:type="pct"/>
            <w:vAlign w:val="center"/>
          </w:tcPr>
          <w:p w14:paraId="415430A6"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5DB28CB" w14:textId="77777777" w:rsidR="00CE1436" w:rsidRPr="00886278" w:rsidRDefault="00CE1436" w:rsidP="00444693">
            <w:pPr>
              <w:pStyle w:val="TableText"/>
              <w:widowControl w:val="0"/>
              <w:suppressAutoHyphens w:val="0"/>
              <w:spacing w:before="0" w:after="0" w:line="240" w:lineRule="auto"/>
              <w:jc w:val="center"/>
            </w:pPr>
            <w:r>
              <w:rPr>
                <w:color w:val="1A1B1A"/>
                <w:szCs w:val="17"/>
              </w:rPr>
              <w:t>0.96</w:t>
            </w:r>
          </w:p>
        </w:tc>
        <w:tc>
          <w:tcPr>
            <w:tcW w:w="310" w:type="pct"/>
            <w:vAlign w:val="center"/>
          </w:tcPr>
          <w:p w14:paraId="53B8E171"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6F72E4B9" w14:textId="77777777" w:rsidTr="00444693">
        <w:trPr>
          <w:cantSplit/>
          <w:trHeight w:val="13"/>
        </w:trPr>
        <w:tc>
          <w:tcPr>
            <w:tcW w:w="521" w:type="pct"/>
            <w:vMerge/>
          </w:tcPr>
          <w:p w14:paraId="798352A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E07756A"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F3030C2"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6CB66BB"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430EF1F"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54525446" w14:textId="77777777" w:rsidR="00CE1436" w:rsidRDefault="00CE1436" w:rsidP="00444693">
            <w:pPr>
              <w:pStyle w:val="TableText"/>
              <w:widowControl w:val="0"/>
              <w:suppressAutoHyphens w:val="0"/>
              <w:spacing w:before="0" w:after="0" w:line="240" w:lineRule="auto"/>
              <w:jc w:val="center"/>
              <w:rPr>
                <w:szCs w:val="17"/>
              </w:rPr>
            </w:pPr>
            <w:r>
              <w:rPr>
                <w:szCs w:val="17"/>
              </w:rPr>
              <w:t>500</w:t>
            </w:r>
          </w:p>
        </w:tc>
        <w:tc>
          <w:tcPr>
            <w:tcW w:w="312" w:type="pct"/>
          </w:tcPr>
          <w:p w14:paraId="7577DD5D"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274341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F003C2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70FF15F"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5.5</w:t>
            </w:r>
          </w:p>
        </w:tc>
        <w:tc>
          <w:tcPr>
            <w:tcW w:w="312" w:type="pct"/>
            <w:vAlign w:val="center"/>
          </w:tcPr>
          <w:p w14:paraId="59AB772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20691AC" w14:textId="77777777" w:rsidR="00CE1436" w:rsidRPr="00886278" w:rsidRDefault="00CE1436" w:rsidP="00444693">
            <w:pPr>
              <w:pStyle w:val="TableText"/>
              <w:widowControl w:val="0"/>
              <w:suppressAutoHyphens w:val="0"/>
              <w:spacing w:before="0" w:after="0" w:line="240" w:lineRule="auto"/>
              <w:jc w:val="center"/>
            </w:pPr>
            <w:r>
              <w:rPr>
                <w:color w:val="1A1B1A"/>
                <w:szCs w:val="17"/>
              </w:rPr>
              <w:t>0.96</w:t>
            </w:r>
          </w:p>
        </w:tc>
        <w:tc>
          <w:tcPr>
            <w:tcW w:w="310" w:type="pct"/>
            <w:vAlign w:val="center"/>
          </w:tcPr>
          <w:p w14:paraId="710F350B"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3B4934DE" w14:textId="77777777" w:rsidTr="00444693">
        <w:trPr>
          <w:cantSplit/>
          <w:trHeight w:val="13"/>
        </w:trPr>
        <w:tc>
          <w:tcPr>
            <w:tcW w:w="521" w:type="pct"/>
            <w:vMerge/>
          </w:tcPr>
          <w:p w14:paraId="25BD859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2BBD45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ACDF48F"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A2BDB9B"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F9491FD"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41B17818"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450</w:t>
            </w:r>
          </w:p>
        </w:tc>
        <w:tc>
          <w:tcPr>
            <w:tcW w:w="312" w:type="pct"/>
          </w:tcPr>
          <w:p w14:paraId="5058FABF"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0985CE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031233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8210D9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4.9</w:t>
            </w:r>
          </w:p>
        </w:tc>
        <w:tc>
          <w:tcPr>
            <w:tcW w:w="312" w:type="pct"/>
            <w:vAlign w:val="center"/>
          </w:tcPr>
          <w:p w14:paraId="1713FF34"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5322615" w14:textId="77777777" w:rsidR="00CE1436" w:rsidRPr="00886278" w:rsidRDefault="00CE1436" w:rsidP="00444693">
            <w:pPr>
              <w:pStyle w:val="TableText"/>
              <w:widowControl w:val="0"/>
              <w:suppressAutoHyphens w:val="0"/>
              <w:spacing w:before="0" w:after="0" w:line="240" w:lineRule="auto"/>
              <w:jc w:val="center"/>
            </w:pPr>
            <w:r>
              <w:rPr>
                <w:color w:val="1A1B1A"/>
                <w:szCs w:val="17"/>
              </w:rPr>
              <w:t>0.86</w:t>
            </w:r>
          </w:p>
        </w:tc>
        <w:tc>
          <w:tcPr>
            <w:tcW w:w="310" w:type="pct"/>
            <w:vAlign w:val="center"/>
          </w:tcPr>
          <w:p w14:paraId="1FEBFCAD"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1E480CB6" w14:textId="77777777" w:rsidTr="00444693">
        <w:trPr>
          <w:cantSplit/>
          <w:trHeight w:val="13"/>
        </w:trPr>
        <w:tc>
          <w:tcPr>
            <w:tcW w:w="521" w:type="pct"/>
            <w:vMerge/>
          </w:tcPr>
          <w:p w14:paraId="027DEF1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449C89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DA0A858"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766E287"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10D3579"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22C95A65"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432</w:t>
            </w:r>
          </w:p>
        </w:tc>
        <w:tc>
          <w:tcPr>
            <w:tcW w:w="312" w:type="pct"/>
            <w:shd w:val="clear" w:color="auto" w:fill="D5D7D5" w:themeFill="text1" w:themeFillTint="33"/>
          </w:tcPr>
          <w:p w14:paraId="219D9CD9"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1.3</w:t>
            </w:r>
            <w:r>
              <w:rPr>
                <w:szCs w:val="17"/>
                <w:vertAlign w:val="superscript"/>
              </w:rPr>
              <w:t>a</w:t>
            </w:r>
          </w:p>
        </w:tc>
        <w:tc>
          <w:tcPr>
            <w:tcW w:w="312" w:type="pct"/>
          </w:tcPr>
          <w:p w14:paraId="3697079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B0B5F75"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E59F46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3C01F8A6"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2ACBAFE"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10" w:type="pct"/>
            <w:vAlign w:val="center"/>
          </w:tcPr>
          <w:p w14:paraId="278E6F14" w14:textId="77777777" w:rsidR="00CE1436" w:rsidRPr="00886278" w:rsidRDefault="00CE1436" w:rsidP="00444693">
            <w:pPr>
              <w:pStyle w:val="TableText"/>
              <w:widowControl w:val="0"/>
              <w:suppressAutoHyphens w:val="0"/>
              <w:spacing w:before="0" w:after="0" w:line="240" w:lineRule="auto"/>
              <w:jc w:val="center"/>
            </w:pPr>
            <w:r>
              <w:rPr>
                <w:color w:val="1A1B1A"/>
                <w:szCs w:val="17"/>
              </w:rPr>
              <w:t>402</w:t>
            </w:r>
          </w:p>
        </w:tc>
      </w:tr>
      <w:tr w:rsidR="00CE1436" w:rsidRPr="00886278" w14:paraId="3C694089" w14:textId="77777777" w:rsidTr="00444693">
        <w:trPr>
          <w:cantSplit/>
          <w:trHeight w:val="13"/>
        </w:trPr>
        <w:tc>
          <w:tcPr>
            <w:tcW w:w="521" w:type="pct"/>
            <w:vMerge/>
          </w:tcPr>
          <w:p w14:paraId="4D1C6FA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6F4CCE2"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864EB2C"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29EAE22"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C8B1C34"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3FC5C62A"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tcPr>
          <w:p w14:paraId="215019D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8FC2C1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D353AA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E18555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4.7</w:t>
            </w:r>
          </w:p>
        </w:tc>
        <w:tc>
          <w:tcPr>
            <w:tcW w:w="312" w:type="pct"/>
            <w:vAlign w:val="center"/>
          </w:tcPr>
          <w:p w14:paraId="268EAC5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A7584BB" w14:textId="77777777" w:rsidR="00CE1436" w:rsidRPr="00886278" w:rsidRDefault="00CE1436" w:rsidP="00444693">
            <w:pPr>
              <w:pStyle w:val="TableText"/>
              <w:widowControl w:val="0"/>
              <w:suppressAutoHyphens w:val="0"/>
              <w:spacing w:before="0" w:after="0" w:line="240" w:lineRule="auto"/>
              <w:jc w:val="center"/>
            </w:pPr>
            <w:r>
              <w:rPr>
                <w:color w:val="1A1B1A"/>
                <w:szCs w:val="17"/>
              </w:rPr>
              <w:t>0.83</w:t>
            </w:r>
          </w:p>
        </w:tc>
        <w:tc>
          <w:tcPr>
            <w:tcW w:w="310" w:type="pct"/>
            <w:vAlign w:val="center"/>
          </w:tcPr>
          <w:p w14:paraId="1971C397"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7B4D6625" w14:textId="77777777" w:rsidTr="00444693">
        <w:trPr>
          <w:cantSplit/>
          <w:trHeight w:val="13"/>
        </w:trPr>
        <w:tc>
          <w:tcPr>
            <w:tcW w:w="521" w:type="pct"/>
            <w:vMerge/>
          </w:tcPr>
          <w:p w14:paraId="2CDDA8F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EA762AB"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68125A6"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38DF785"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185D7539"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5466BF42"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Pr>
          <w:p w14:paraId="04C41F9F"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2FDC5A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C94FFB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B23248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4.4</w:t>
            </w:r>
          </w:p>
        </w:tc>
        <w:tc>
          <w:tcPr>
            <w:tcW w:w="312" w:type="pct"/>
            <w:vAlign w:val="center"/>
          </w:tcPr>
          <w:p w14:paraId="1E3C9A4C"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5F80DE2" w14:textId="77777777" w:rsidR="00CE1436" w:rsidRPr="00886278" w:rsidRDefault="00CE1436" w:rsidP="00444693">
            <w:pPr>
              <w:pStyle w:val="TableText"/>
              <w:widowControl w:val="0"/>
              <w:suppressAutoHyphens w:val="0"/>
              <w:spacing w:before="0" w:after="0" w:line="240" w:lineRule="auto"/>
              <w:jc w:val="center"/>
            </w:pPr>
            <w:r>
              <w:rPr>
                <w:color w:val="1A1B1A"/>
                <w:szCs w:val="17"/>
              </w:rPr>
              <w:t>0.76</w:t>
            </w:r>
          </w:p>
        </w:tc>
        <w:tc>
          <w:tcPr>
            <w:tcW w:w="310" w:type="pct"/>
            <w:vAlign w:val="center"/>
          </w:tcPr>
          <w:p w14:paraId="68395A63"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29A19C77" w14:textId="77777777" w:rsidTr="00444693">
        <w:trPr>
          <w:cantSplit/>
          <w:trHeight w:val="13"/>
        </w:trPr>
        <w:tc>
          <w:tcPr>
            <w:tcW w:w="521" w:type="pct"/>
            <w:vMerge/>
          </w:tcPr>
          <w:p w14:paraId="6354A60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1716B46"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72D4063"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5E0BD547"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701F14B"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70927E52" w14:textId="77777777" w:rsidR="00CE1436" w:rsidRDefault="00CE1436" w:rsidP="00444693">
            <w:pPr>
              <w:pStyle w:val="TableText"/>
              <w:widowControl w:val="0"/>
              <w:suppressAutoHyphens w:val="0"/>
              <w:spacing w:before="0" w:after="0" w:line="240" w:lineRule="auto"/>
              <w:jc w:val="center"/>
              <w:rPr>
                <w:szCs w:val="17"/>
              </w:rPr>
            </w:pPr>
            <w:r>
              <w:rPr>
                <w:szCs w:val="17"/>
              </w:rPr>
              <w:t>390</w:t>
            </w:r>
          </w:p>
        </w:tc>
        <w:tc>
          <w:tcPr>
            <w:tcW w:w="312" w:type="pct"/>
          </w:tcPr>
          <w:p w14:paraId="3F04F2D8"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BE5276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125799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5B5F077" w14:textId="77777777" w:rsidR="00CE1436" w:rsidRPr="003203B5" w:rsidRDefault="00CE1436" w:rsidP="00444693">
            <w:pPr>
              <w:pStyle w:val="TableText"/>
              <w:widowControl w:val="0"/>
              <w:suppressAutoHyphens w:val="0"/>
              <w:spacing w:before="0" w:after="0" w:line="240" w:lineRule="auto"/>
              <w:jc w:val="center"/>
            </w:pPr>
            <w:r>
              <w:rPr>
                <w:color w:val="1A1B1A"/>
                <w:szCs w:val="17"/>
              </w:rPr>
              <w:t>4.3</w:t>
            </w:r>
          </w:p>
        </w:tc>
        <w:tc>
          <w:tcPr>
            <w:tcW w:w="312" w:type="pct"/>
            <w:vAlign w:val="center"/>
          </w:tcPr>
          <w:p w14:paraId="5FD6ECE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34C4F49" w14:textId="77777777" w:rsidR="00CE1436" w:rsidRPr="0023247F" w:rsidRDefault="00CE1436" w:rsidP="00444693">
            <w:pPr>
              <w:pStyle w:val="TableText"/>
              <w:widowControl w:val="0"/>
              <w:suppressAutoHyphens w:val="0"/>
              <w:spacing w:before="0" w:after="0" w:line="240" w:lineRule="auto"/>
              <w:jc w:val="center"/>
            </w:pPr>
            <w:r>
              <w:rPr>
                <w:color w:val="1A1B1A"/>
                <w:szCs w:val="17"/>
              </w:rPr>
              <w:t>0.75</w:t>
            </w:r>
          </w:p>
        </w:tc>
        <w:tc>
          <w:tcPr>
            <w:tcW w:w="310" w:type="pct"/>
            <w:vAlign w:val="center"/>
          </w:tcPr>
          <w:p w14:paraId="318A81C8"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38726D77" w14:textId="77777777" w:rsidTr="00444693">
        <w:trPr>
          <w:cantSplit/>
          <w:trHeight w:val="13"/>
        </w:trPr>
        <w:tc>
          <w:tcPr>
            <w:tcW w:w="521" w:type="pct"/>
            <w:vMerge/>
          </w:tcPr>
          <w:p w14:paraId="37FC4DA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53C0A5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B664D94"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EBAFEA8"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6C84F58"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5D98B46A" w14:textId="77777777" w:rsidR="00CE1436" w:rsidRDefault="00CE1436" w:rsidP="00444693">
            <w:pPr>
              <w:pStyle w:val="TableText"/>
              <w:widowControl w:val="0"/>
              <w:suppressAutoHyphens w:val="0"/>
              <w:spacing w:before="0" w:after="0" w:line="240" w:lineRule="auto"/>
              <w:jc w:val="center"/>
              <w:rPr>
                <w:szCs w:val="17"/>
              </w:rPr>
            </w:pPr>
            <w:r>
              <w:rPr>
                <w:szCs w:val="17"/>
              </w:rPr>
              <w:t>375</w:t>
            </w:r>
          </w:p>
        </w:tc>
        <w:tc>
          <w:tcPr>
            <w:tcW w:w="312" w:type="pct"/>
          </w:tcPr>
          <w:p w14:paraId="464E315B"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0C84AA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EE48CE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0FF835F" w14:textId="77777777" w:rsidR="00CE1436" w:rsidRPr="003203B5" w:rsidRDefault="00CE1436" w:rsidP="00444693">
            <w:pPr>
              <w:pStyle w:val="TableText"/>
              <w:widowControl w:val="0"/>
              <w:suppressAutoHyphens w:val="0"/>
              <w:spacing w:before="0" w:after="0" w:line="240" w:lineRule="auto"/>
              <w:jc w:val="center"/>
            </w:pPr>
            <w:r>
              <w:rPr>
                <w:color w:val="1A1B1A"/>
                <w:szCs w:val="17"/>
              </w:rPr>
              <w:t>4.1</w:t>
            </w:r>
          </w:p>
        </w:tc>
        <w:tc>
          <w:tcPr>
            <w:tcW w:w="312" w:type="pct"/>
            <w:vAlign w:val="center"/>
          </w:tcPr>
          <w:p w14:paraId="655F7F1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B9C972A" w14:textId="77777777" w:rsidR="00CE1436" w:rsidRPr="0023247F" w:rsidRDefault="00CE1436" w:rsidP="00444693">
            <w:pPr>
              <w:pStyle w:val="TableText"/>
              <w:widowControl w:val="0"/>
              <w:suppressAutoHyphens w:val="0"/>
              <w:spacing w:before="0" w:after="0" w:line="240" w:lineRule="auto"/>
              <w:jc w:val="center"/>
            </w:pPr>
            <w:r>
              <w:rPr>
                <w:color w:val="1A1B1A"/>
                <w:szCs w:val="17"/>
              </w:rPr>
              <w:t>0.72</w:t>
            </w:r>
          </w:p>
        </w:tc>
        <w:tc>
          <w:tcPr>
            <w:tcW w:w="310" w:type="pct"/>
            <w:vAlign w:val="center"/>
          </w:tcPr>
          <w:p w14:paraId="615FEF76"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6EEDABB7" w14:textId="77777777" w:rsidTr="00444693">
        <w:trPr>
          <w:cantSplit/>
          <w:trHeight w:val="13"/>
        </w:trPr>
        <w:tc>
          <w:tcPr>
            <w:tcW w:w="521" w:type="pct"/>
            <w:vMerge/>
          </w:tcPr>
          <w:p w14:paraId="18DE41C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18E371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7E3AE30"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49E62EC"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B45B865"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6CBFF186" w14:textId="77777777" w:rsidR="00CE1436" w:rsidRDefault="00CE1436" w:rsidP="00444693">
            <w:pPr>
              <w:pStyle w:val="TableText"/>
              <w:widowControl w:val="0"/>
              <w:suppressAutoHyphens w:val="0"/>
              <w:spacing w:before="0" w:after="0" w:line="240" w:lineRule="auto"/>
              <w:jc w:val="center"/>
              <w:rPr>
                <w:szCs w:val="17"/>
              </w:rPr>
            </w:pPr>
            <w:r>
              <w:rPr>
                <w:szCs w:val="17"/>
              </w:rPr>
              <w:t>350</w:t>
            </w:r>
          </w:p>
        </w:tc>
        <w:tc>
          <w:tcPr>
            <w:tcW w:w="312" w:type="pct"/>
          </w:tcPr>
          <w:p w14:paraId="1AA1A52E"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64AA72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8FB946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67827D4" w14:textId="77777777" w:rsidR="00CE1436" w:rsidRPr="003203B5" w:rsidRDefault="00CE1436" w:rsidP="00444693">
            <w:pPr>
              <w:pStyle w:val="TableText"/>
              <w:widowControl w:val="0"/>
              <w:suppressAutoHyphens w:val="0"/>
              <w:spacing w:before="0" w:after="0" w:line="240" w:lineRule="auto"/>
              <w:jc w:val="center"/>
            </w:pPr>
            <w:r>
              <w:rPr>
                <w:color w:val="1A1B1A"/>
                <w:szCs w:val="17"/>
              </w:rPr>
              <w:t>3.8</w:t>
            </w:r>
          </w:p>
        </w:tc>
        <w:tc>
          <w:tcPr>
            <w:tcW w:w="312" w:type="pct"/>
            <w:vAlign w:val="center"/>
          </w:tcPr>
          <w:p w14:paraId="6A9CBAA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9B1227C" w14:textId="77777777" w:rsidR="00CE1436" w:rsidRPr="0023247F" w:rsidRDefault="00CE1436" w:rsidP="00444693">
            <w:pPr>
              <w:pStyle w:val="TableText"/>
              <w:widowControl w:val="0"/>
              <w:suppressAutoHyphens w:val="0"/>
              <w:spacing w:before="0" w:after="0" w:line="240" w:lineRule="auto"/>
              <w:jc w:val="center"/>
            </w:pPr>
            <w:r>
              <w:rPr>
                <w:color w:val="1A1B1A"/>
                <w:szCs w:val="17"/>
              </w:rPr>
              <w:t>0.67</w:t>
            </w:r>
          </w:p>
        </w:tc>
        <w:tc>
          <w:tcPr>
            <w:tcW w:w="310" w:type="pct"/>
            <w:vAlign w:val="center"/>
          </w:tcPr>
          <w:p w14:paraId="3B84C105"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5C7E4564" w14:textId="77777777" w:rsidTr="00444693">
        <w:trPr>
          <w:cantSplit/>
          <w:trHeight w:val="13"/>
        </w:trPr>
        <w:tc>
          <w:tcPr>
            <w:tcW w:w="521" w:type="pct"/>
            <w:vMerge/>
          </w:tcPr>
          <w:p w14:paraId="2EE16F9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9829ABF"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2774F47"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62931F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56F4633"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38E4C81A" w14:textId="77777777" w:rsidR="00CE1436" w:rsidRDefault="00CE1436" w:rsidP="00444693">
            <w:pPr>
              <w:pStyle w:val="TableText"/>
              <w:widowControl w:val="0"/>
              <w:suppressAutoHyphens w:val="0"/>
              <w:spacing w:before="0" w:after="0" w:line="240" w:lineRule="auto"/>
              <w:jc w:val="center"/>
              <w:rPr>
                <w:szCs w:val="17"/>
              </w:rPr>
            </w:pPr>
            <w:r>
              <w:rPr>
                <w:szCs w:val="17"/>
              </w:rPr>
              <w:t>324</w:t>
            </w:r>
          </w:p>
        </w:tc>
        <w:tc>
          <w:tcPr>
            <w:tcW w:w="312" w:type="pct"/>
            <w:shd w:val="clear" w:color="auto" w:fill="D5D7D5" w:themeFill="text1" w:themeFillTint="33"/>
          </w:tcPr>
          <w:p w14:paraId="3BDD626A" w14:textId="77777777" w:rsidR="00CE1436" w:rsidRDefault="00CE1436" w:rsidP="00444693">
            <w:pPr>
              <w:pStyle w:val="TableText"/>
              <w:widowControl w:val="0"/>
              <w:suppressAutoHyphens w:val="0"/>
              <w:spacing w:before="0" w:after="0" w:line="240" w:lineRule="auto"/>
              <w:jc w:val="center"/>
              <w:rPr>
                <w:szCs w:val="17"/>
              </w:rPr>
            </w:pPr>
            <w:r>
              <w:rPr>
                <w:szCs w:val="17"/>
              </w:rPr>
              <w:t>1.3</w:t>
            </w:r>
            <w:r>
              <w:rPr>
                <w:szCs w:val="17"/>
                <w:vertAlign w:val="superscript"/>
              </w:rPr>
              <w:t>a</w:t>
            </w:r>
          </w:p>
        </w:tc>
        <w:tc>
          <w:tcPr>
            <w:tcW w:w="312" w:type="pct"/>
          </w:tcPr>
          <w:p w14:paraId="3715559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881A74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0FBEAD9" w14:textId="77777777" w:rsidR="00CE1436" w:rsidRPr="003203B5"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4B6D514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BD532AB" w14:textId="77777777" w:rsidR="00CE1436" w:rsidRPr="0023247F" w:rsidRDefault="00CE1436" w:rsidP="00444693">
            <w:pPr>
              <w:pStyle w:val="TableText"/>
              <w:widowControl w:val="0"/>
              <w:suppressAutoHyphens w:val="0"/>
              <w:spacing w:before="0" w:after="0" w:line="240" w:lineRule="auto"/>
              <w:jc w:val="center"/>
            </w:pPr>
            <w:r>
              <w:rPr>
                <w:color w:val="1A1B1A"/>
                <w:szCs w:val="17"/>
              </w:rPr>
              <w:t>0.81</w:t>
            </w:r>
          </w:p>
        </w:tc>
        <w:tc>
          <w:tcPr>
            <w:tcW w:w="310" w:type="pct"/>
            <w:vAlign w:val="center"/>
          </w:tcPr>
          <w:p w14:paraId="7D05A455" w14:textId="77777777" w:rsidR="00CE1436" w:rsidRPr="0023247F" w:rsidRDefault="00CE1436" w:rsidP="00444693">
            <w:pPr>
              <w:pStyle w:val="TableText"/>
              <w:widowControl w:val="0"/>
              <w:suppressAutoHyphens w:val="0"/>
              <w:spacing w:before="0" w:after="0" w:line="240" w:lineRule="auto"/>
              <w:jc w:val="center"/>
            </w:pPr>
            <w:r>
              <w:rPr>
                <w:color w:val="1A1B1A"/>
                <w:szCs w:val="17"/>
              </w:rPr>
              <w:t>402</w:t>
            </w:r>
          </w:p>
        </w:tc>
      </w:tr>
      <w:tr w:rsidR="00CE1436" w:rsidRPr="00886278" w14:paraId="3A700E98" w14:textId="77777777" w:rsidTr="00444693">
        <w:trPr>
          <w:cantSplit/>
          <w:trHeight w:val="13"/>
        </w:trPr>
        <w:tc>
          <w:tcPr>
            <w:tcW w:w="521" w:type="pct"/>
            <w:vMerge/>
          </w:tcPr>
          <w:p w14:paraId="7338F88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BA41049"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011C36C"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1482C64D"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7FE370F"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6E933867"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Pr>
          <w:p w14:paraId="20E7AE4C"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3165C3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BDCBC8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E39DF1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3.5</w:t>
            </w:r>
          </w:p>
        </w:tc>
        <w:tc>
          <w:tcPr>
            <w:tcW w:w="312" w:type="pct"/>
            <w:vAlign w:val="center"/>
          </w:tcPr>
          <w:p w14:paraId="2D2F35FD"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07370833" w14:textId="77777777" w:rsidR="00CE1436" w:rsidRPr="00886278" w:rsidRDefault="00CE1436" w:rsidP="00444693">
            <w:pPr>
              <w:pStyle w:val="TableText"/>
              <w:widowControl w:val="0"/>
              <w:suppressAutoHyphens w:val="0"/>
              <w:spacing w:before="0" w:after="0" w:line="240" w:lineRule="auto"/>
              <w:jc w:val="center"/>
            </w:pPr>
            <w:r>
              <w:rPr>
                <w:color w:val="1A1B1A"/>
                <w:szCs w:val="17"/>
              </w:rPr>
              <w:t>0.62</w:t>
            </w:r>
          </w:p>
        </w:tc>
        <w:tc>
          <w:tcPr>
            <w:tcW w:w="310" w:type="pct"/>
            <w:vAlign w:val="center"/>
          </w:tcPr>
          <w:p w14:paraId="65424579"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58834286" w14:textId="77777777" w:rsidTr="00444693">
        <w:trPr>
          <w:cantSplit/>
          <w:trHeight w:val="13"/>
        </w:trPr>
        <w:tc>
          <w:tcPr>
            <w:tcW w:w="521" w:type="pct"/>
            <w:vMerge/>
          </w:tcPr>
          <w:p w14:paraId="77ECBCA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00F226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FA86086"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98BE5F9"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7024D82"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2E645C14" w14:textId="77777777" w:rsidR="00CE1436" w:rsidRDefault="00CE1436" w:rsidP="00444693">
            <w:pPr>
              <w:pStyle w:val="TableText"/>
              <w:widowControl w:val="0"/>
              <w:suppressAutoHyphens w:val="0"/>
              <w:spacing w:before="0" w:after="0" w:line="240" w:lineRule="auto"/>
              <w:jc w:val="center"/>
              <w:rPr>
                <w:szCs w:val="17"/>
              </w:rPr>
            </w:pPr>
            <w:r>
              <w:rPr>
                <w:szCs w:val="17"/>
              </w:rPr>
              <w:t>300</w:t>
            </w:r>
          </w:p>
        </w:tc>
        <w:tc>
          <w:tcPr>
            <w:tcW w:w="312" w:type="pct"/>
          </w:tcPr>
          <w:p w14:paraId="5B2D3BD0"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15C7E8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46E73A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C56D410" w14:textId="77777777" w:rsidR="00CE1436" w:rsidRPr="003203B5" w:rsidRDefault="00CE1436" w:rsidP="00444693">
            <w:pPr>
              <w:pStyle w:val="TableText"/>
              <w:widowControl w:val="0"/>
              <w:suppressAutoHyphens w:val="0"/>
              <w:spacing w:before="0" w:after="0" w:line="240" w:lineRule="auto"/>
              <w:jc w:val="center"/>
            </w:pPr>
            <w:r>
              <w:rPr>
                <w:color w:val="1A1B1A"/>
                <w:szCs w:val="17"/>
              </w:rPr>
              <w:t>3.3</w:t>
            </w:r>
          </w:p>
        </w:tc>
        <w:tc>
          <w:tcPr>
            <w:tcW w:w="312" w:type="pct"/>
            <w:vAlign w:val="center"/>
          </w:tcPr>
          <w:p w14:paraId="4A1224DB"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51CC47E" w14:textId="77777777" w:rsidR="00CE1436" w:rsidRPr="0023247F" w:rsidRDefault="00CE1436" w:rsidP="00444693">
            <w:pPr>
              <w:pStyle w:val="TableText"/>
              <w:widowControl w:val="0"/>
              <w:suppressAutoHyphens w:val="0"/>
              <w:spacing w:before="0" w:after="0" w:line="240" w:lineRule="auto"/>
              <w:jc w:val="center"/>
            </w:pPr>
            <w:r>
              <w:rPr>
                <w:color w:val="1A1B1A"/>
                <w:szCs w:val="17"/>
              </w:rPr>
              <w:t>0.57</w:t>
            </w:r>
          </w:p>
        </w:tc>
        <w:tc>
          <w:tcPr>
            <w:tcW w:w="310" w:type="pct"/>
            <w:vAlign w:val="center"/>
          </w:tcPr>
          <w:p w14:paraId="2BAAF4EF"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55F224F1" w14:textId="77777777" w:rsidTr="00444693">
        <w:trPr>
          <w:cantSplit/>
          <w:trHeight w:val="13"/>
        </w:trPr>
        <w:tc>
          <w:tcPr>
            <w:tcW w:w="521" w:type="pct"/>
            <w:vMerge/>
          </w:tcPr>
          <w:p w14:paraId="3E9BF66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047D011"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E05D412"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0A5A3B7"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D8657EF"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75E824FE" w14:textId="77777777" w:rsidR="00CE1436" w:rsidRDefault="00CE1436" w:rsidP="00444693">
            <w:pPr>
              <w:pStyle w:val="TableText"/>
              <w:widowControl w:val="0"/>
              <w:suppressAutoHyphens w:val="0"/>
              <w:spacing w:before="0" w:after="0" w:line="240" w:lineRule="auto"/>
              <w:jc w:val="center"/>
              <w:rPr>
                <w:szCs w:val="17"/>
              </w:rPr>
            </w:pPr>
            <w:r>
              <w:rPr>
                <w:szCs w:val="17"/>
              </w:rPr>
              <w:t>243</w:t>
            </w:r>
          </w:p>
        </w:tc>
        <w:tc>
          <w:tcPr>
            <w:tcW w:w="312" w:type="pct"/>
          </w:tcPr>
          <w:p w14:paraId="65E014D0"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08B692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F4E8F4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3DA9B62"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5487F89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F58613D" w14:textId="77777777" w:rsidR="00CE1436" w:rsidRPr="0023247F" w:rsidRDefault="00CE1436" w:rsidP="00444693">
            <w:pPr>
              <w:pStyle w:val="TableText"/>
              <w:widowControl w:val="0"/>
              <w:suppressAutoHyphens w:val="0"/>
              <w:spacing w:before="0" w:after="0" w:line="240" w:lineRule="auto"/>
              <w:jc w:val="center"/>
            </w:pPr>
            <w:r>
              <w:rPr>
                <w:color w:val="1A1B1A"/>
                <w:szCs w:val="17"/>
              </w:rPr>
              <w:t>0.46</w:t>
            </w:r>
          </w:p>
        </w:tc>
        <w:tc>
          <w:tcPr>
            <w:tcW w:w="310" w:type="pct"/>
            <w:vAlign w:val="center"/>
          </w:tcPr>
          <w:p w14:paraId="7C975DB0"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42335C59" w14:textId="77777777" w:rsidTr="00444693">
        <w:trPr>
          <w:cantSplit/>
          <w:trHeight w:val="13"/>
        </w:trPr>
        <w:tc>
          <w:tcPr>
            <w:tcW w:w="521" w:type="pct"/>
            <w:vMerge/>
          </w:tcPr>
          <w:p w14:paraId="4580231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FCE2422"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24D07D8"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03294A0"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F7CAFF2"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3D769E06"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shd w:val="clear" w:color="auto" w:fill="D5D7D5" w:themeFill="text1" w:themeFillTint="33"/>
          </w:tcPr>
          <w:p w14:paraId="0A990E1F" w14:textId="77777777" w:rsidR="00CE1436" w:rsidRDefault="00CE1436" w:rsidP="00444693">
            <w:pPr>
              <w:pStyle w:val="TableText"/>
              <w:widowControl w:val="0"/>
              <w:suppressAutoHyphens w:val="0"/>
              <w:spacing w:before="0" w:after="0" w:line="240" w:lineRule="auto"/>
              <w:jc w:val="center"/>
              <w:rPr>
                <w:szCs w:val="17"/>
              </w:rPr>
            </w:pPr>
            <w:r>
              <w:rPr>
                <w:szCs w:val="17"/>
              </w:rPr>
              <w:t>1.3</w:t>
            </w:r>
            <w:r>
              <w:rPr>
                <w:szCs w:val="17"/>
                <w:vertAlign w:val="superscript"/>
              </w:rPr>
              <w:t>a</w:t>
            </w:r>
          </w:p>
        </w:tc>
        <w:tc>
          <w:tcPr>
            <w:tcW w:w="312" w:type="pct"/>
          </w:tcPr>
          <w:p w14:paraId="2CBF68B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62224A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6E5F104" w14:textId="77777777" w:rsidR="00CE1436" w:rsidRPr="003203B5"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5E5BFD1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0A08747C" w14:textId="77777777" w:rsidR="00CE1436" w:rsidRPr="0023247F" w:rsidRDefault="00CE1436" w:rsidP="00444693">
            <w:pPr>
              <w:pStyle w:val="TableText"/>
              <w:widowControl w:val="0"/>
              <w:suppressAutoHyphens w:val="0"/>
              <w:spacing w:before="0" w:after="0" w:line="240" w:lineRule="auto"/>
              <w:jc w:val="center"/>
            </w:pPr>
            <w:r>
              <w:rPr>
                <w:color w:val="1A1B1A"/>
                <w:szCs w:val="17"/>
              </w:rPr>
              <w:t>0.54</w:t>
            </w:r>
          </w:p>
        </w:tc>
        <w:tc>
          <w:tcPr>
            <w:tcW w:w="310" w:type="pct"/>
            <w:vAlign w:val="center"/>
          </w:tcPr>
          <w:p w14:paraId="01695D77" w14:textId="77777777" w:rsidR="00CE1436" w:rsidRPr="0023247F" w:rsidRDefault="00CE1436" w:rsidP="00444693">
            <w:pPr>
              <w:pStyle w:val="TableText"/>
              <w:widowControl w:val="0"/>
              <w:suppressAutoHyphens w:val="0"/>
              <w:spacing w:before="0" w:after="0" w:line="240" w:lineRule="auto"/>
              <w:jc w:val="center"/>
            </w:pPr>
            <w:r>
              <w:rPr>
                <w:color w:val="1A1B1A"/>
                <w:szCs w:val="17"/>
              </w:rPr>
              <w:t>402</w:t>
            </w:r>
          </w:p>
        </w:tc>
      </w:tr>
      <w:tr w:rsidR="00CE1436" w:rsidRPr="0023247F" w14:paraId="36513B58" w14:textId="77777777" w:rsidTr="00444693">
        <w:trPr>
          <w:cantSplit/>
          <w:trHeight w:val="13"/>
        </w:trPr>
        <w:tc>
          <w:tcPr>
            <w:tcW w:w="521" w:type="pct"/>
            <w:vMerge/>
          </w:tcPr>
          <w:p w14:paraId="476A8C1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D8C1CE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33E8524"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0869622"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763A914E"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3FE56063"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5DAF83F7"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16677F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31430E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8A47A95" w14:textId="77777777" w:rsidR="00CE1436" w:rsidRPr="003203B5" w:rsidRDefault="00CE1436" w:rsidP="00444693">
            <w:pPr>
              <w:pStyle w:val="TableText"/>
              <w:widowControl w:val="0"/>
              <w:suppressAutoHyphens w:val="0"/>
              <w:spacing w:before="0" w:after="0" w:line="240" w:lineRule="auto"/>
              <w:jc w:val="center"/>
            </w:pPr>
            <w:r>
              <w:rPr>
                <w:color w:val="1A1B1A"/>
                <w:szCs w:val="17"/>
              </w:rPr>
              <w:t>2.4</w:t>
            </w:r>
          </w:p>
        </w:tc>
        <w:tc>
          <w:tcPr>
            <w:tcW w:w="312" w:type="pct"/>
            <w:vAlign w:val="center"/>
          </w:tcPr>
          <w:p w14:paraId="58FFAB9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3661392" w14:textId="77777777" w:rsidR="00CE1436" w:rsidRPr="0023247F" w:rsidRDefault="00CE1436" w:rsidP="00444693">
            <w:pPr>
              <w:pStyle w:val="TableText"/>
              <w:widowControl w:val="0"/>
              <w:suppressAutoHyphens w:val="0"/>
              <w:spacing w:before="0" w:after="0" w:line="240" w:lineRule="auto"/>
              <w:jc w:val="center"/>
            </w:pPr>
            <w:r>
              <w:rPr>
                <w:color w:val="1A1B1A"/>
                <w:szCs w:val="17"/>
              </w:rPr>
              <w:t>0.41</w:t>
            </w:r>
          </w:p>
        </w:tc>
        <w:tc>
          <w:tcPr>
            <w:tcW w:w="310" w:type="pct"/>
            <w:vAlign w:val="center"/>
          </w:tcPr>
          <w:p w14:paraId="5E09BAD4"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001380E7" w14:textId="77777777" w:rsidTr="00444693">
        <w:trPr>
          <w:cantSplit/>
          <w:trHeight w:val="13"/>
        </w:trPr>
        <w:tc>
          <w:tcPr>
            <w:tcW w:w="521" w:type="pct"/>
            <w:vMerge/>
          </w:tcPr>
          <w:p w14:paraId="655E811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58C8083"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A2B2444"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541B1626"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2E2D9AA7"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2692D342"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69BF559A"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C43F1D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5A20A2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46CE2AC"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2.2</w:t>
            </w:r>
          </w:p>
        </w:tc>
        <w:tc>
          <w:tcPr>
            <w:tcW w:w="312" w:type="pct"/>
            <w:vAlign w:val="center"/>
          </w:tcPr>
          <w:p w14:paraId="5040AC2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C198C44" w14:textId="77777777" w:rsidR="00CE1436" w:rsidRPr="00886278" w:rsidRDefault="00CE1436" w:rsidP="00444693">
            <w:pPr>
              <w:pStyle w:val="TableText"/>
              <w:widowControl w:val="0"/>
              <w:suppressAutoHyphens w:val="0"/>
              <w:spacing w:before="0" w:after="0" w:line="240" w:lineRule="auto"/>
              <w:jc w:val="center"/>
            </w:pPr>
            <w:r>
              <w:rPr>
                <w:color w:val="1A1B1A"/>
                <w:szCs w:val="17"/>
              </w:rPr>
              <w:t>0.38</w:t>
            </w:r>
          </w:p>
        </w:tc>
        <w:tc>
          <w:tcPr>
            <w:tcW w:w="310" w:type="pct"/>
            <w:vAlign w:val="center"/>
          </w:tcPr>
          <w:p w14:paraId="5B26F1B5"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10AD888C" w14:textId="77777777" w:rsidTr="00444693">
        <w:trPr>
          <w:cantSplit/>
          <w:trHeight w:val="13"/>
        </w:trPr>
        <w:tc>
          <w:tcPr>
            <w:tcW w:w="521" w:type="pct"/>
            <w:vMerge/>
          </w:tcPr>
          <w:p w14:paraId="0744D0B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608028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C55DAD1"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74B8493B"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CDE5D4F"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59AE89B9" w14:textId="77777777" w:rsidR="00CE1436" w:rsidRDefault="00CE1436" w:rsidP="00444693">
            <w:pPr>
              <w:pStyle w:val="TableText"/>
              <w:widowControl w:val="0"/>
              <w:suppressAutoHyphens w:val="0"/>
              <w:spacing w:before="0" w:after="0" w:line="240" w:lineRule="auto"/>
              <w:jc w:val="center"/>
              <w:rPr>
                <w:szCs w:val="17"/>
              </w:rPr>
            </w:pPr>
            <w:r>
              <w:rPr>
                <w:szCs w:val="17"/>
              </w:rPr>
              <w:t>188</w:t>
            </w:r>
          </w:p>
        </w:tc>
        <w:tc>
          <w:tcPr>
            <w:tcW w:w="312" w:type="pct"/>
          </w:tcPr>
          <w:p w14:paraId="17E658DF"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AEC349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2AB171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8A1C612" w14:textId="77777777" w:rsidR="00CE1436" w:rsidRPr="003203B5" w:rsidRDefault="00CE1436" w:rsidP="00444693">
            <w:pPr>
              <w:pStyle w:val="TableText"/>
              <w:widowControl w:val="0"/>
              <w:suppressAutoHyphens w:val="0"/>
              <w:spacing w:before="0" w:after="0" w:line="240" w:lineRule="auto"/>
              <w:jc w:val="center"/>
            </w:pPr>
            <w:r>
              <w:rPr>
                <w:color w:val="1A1B1A"/>
                <w:szCs w:val="17"/>
              </w:rPr>
              <w:t>2.0</w:t>
            </w:r>
          </w:p>
        </w:tc>
        <w:tc>
          <w:tcPr>
            <w:tcW w:w="312" w:type="pct"/>
            <w:vAlign w:val="center"/>
          </w:tcPr>
          <w:p w14:paraId="4138458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6D12816" w14:textId="77777777" w:rsidR="00CE1436" w:rsidRPr="0023247F" w:rsidRDefault="00CE1436" w:rsidP="00444693">
            <w:pPr>
              <w:pStyle w:val="TableText"/>
              <w:widowControl w:val="0"/>
              <w:suppressAutoHyphens w:val="0"/>
              <w:spacing w:before="0" w:after="0" w:line="240" w:lineRule="auto"/>
              <w:jc w:val="center"/>
            </w:pPr>
            <w:r>
              <w:rPr>
                <w:color w:val="1A1B1A"/>
                <w:szCs w:val="17"/>
              </w:rPr>
              <w:t>0.36</w:t>
            </w:r>
          </w:p>
        </w:tc>
        <w:tc>
          <w:tcPr>
            <w:tcW w:w="310" w:type="pct"/>
            <w:vAlign w:val="center"/>
          </w:tcPr>
          <w:p w14:paraId="40FBA31E"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77FD5759" w14:textId="77777777" w:rsidTr="00444693">
        <w:trPr>
          <w:cantSplit/>
          <w:trHeight w:val="13"/>
        </w:trPr>
        <w:tc>
          <w:tcPr>
            <w:tcW w:w="521" w:type="pct"/>
            <w:vMerge/>
          </w:tcPr>
          <w:p w14:paraId="6C5C23B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5D43BC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A059EE6"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24ADCF73"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AFC25DA"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7644E313" w14:textId="77777777" w:rsidR="00CE1436" w:rsidRDefault="00CE1436" w:rsidP="00444693">
            <w:pPr>
              <w:pStyle w:val="TableText"/>
              <w:widowControl w:val="0"/>
              <w:suppressAutoHyphens w:val="0"/>
              <w:spacing w:before="0" w:after="0" w:line="240" w:lineRule="auto"/>
              <w:jc w:val="center"/>
              <w:rPr>
                <w:szCs w:val="17"/>
              </w:rPr>
            </w:pPr>
            <w:r>
              <w:rPr>
                <w:szCs w:val="17"/>
              </w:rPr>
              <w:t>185</w:t>
            </w:r>
          </w:p>
        </w:tc>
        <w:tc>
          <w:tcPr>
            <w:tcW w:w="312" w:type="pct"/>
          </w:tcPr>
          <w:p w14:paraId="4BC849A9"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DBEB8A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8BFAE5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C905C94" w14:textId="77777777" w:rsidR="00CE1436" w:rsidRPr="003203B5" w:rsidRDefault="00CE1436" w:rsidP="00444693">
            <w:pPr>
              <w:pStyle w:val="TableText"/>
              <w:widowControl w:val="0"/>
              <w:suppressAutoHyphens w:val="0"/>
              <w:spacing w:before="0" w:after="0" w:line="240" w:lineRule="auto"/>
              <w:jc w:val="center"/>
            </w:pPr>
            <w:r>
              <w:rPr>
                <w:color w:val="1A1B1A"/>
                <w:szCs w:val="17"/>
              </w:rPr>
              <w:t>2.0</w:t>
            </w:r>
          </w:p>
        </w:tc>
        <w:tc>
          <w:tcPr>
            <w:tcW w:w="312" w:type="pct"/>
            <w:vAlign w:val="center"/>
          </w:tcPr>
          <w:p w14:paraId="793C884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2452F5D" w14:textId="77777777" w:rsidR="00CE1436" w:rsidRPr="0023247F" w:rsidRDefault="00CE1436" w:rsidP="00444693">
            <w:pPr>
              <w:pStyle w:val="TableText"/>
              <w:widowControl w:val="0"/>
              <w:suppressAutoHyphens w:val="0"/>
              <w:spacing w:before="0" w:after="0" w:line="240" w:lineRule="auto"/>
              <w:jc w:val="center"/>
            </w:pPr>
            <w:r>
              <w:rPr>
                <w:color w:val="1A1B1A"/>
                <w:szCs w:val="17"/>
              </w:rPr>
              <w:t>0.35</w:t>
            </w:r>
          </w:p>
        </w:tc>
        <w:tc>
          <w:tcPr>
            <w:tcW w:w="310" w:type="pct"/>
            <w:vAlign w:val="center"/>
          </w:tcPr>
          <w:p w14:paraId="5336CA57"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529067CB" w14:textId="77777777" w:rsidTr="00444693">
        <w:trPr>
          <w:cantSplit/>
          <w:trHeight w:val="13"/>
        </w:trPr>
        <w:tc>
          <w:tcPr>
            <w:tcW w:w="521" w:type="pct"/>
            <w:vMerge/>
          </w:tcPr>
          <w:p w14:paraId="4D0CF92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5C0195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35986729"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2BA59D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3215BE63"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0735ACAB" w14:textId="77777777" w:rsidR="00CE1436" w:rsidRDefault="00CE1436" w:rsidP="00444693">
            <w:pPr>
              <w:pStyle w:val="TableText"/>
              <w:widowControl w:val="0"/>
              <w:suppressAutoHyphens w:val="0"/>
              <w:spacing w:before="0" w:after="0" w:line="240" w:lineRule="auto"/>
              <w:jc w:val="center"/>
              <w:rPr>
                <w:szCs w:val="17"/>
              </w:rPr>
            </w:pPr>
            <w:r>
              <w:rPr>
                <w:szCs w:val="17"/>
              </w:rPr>
              <w:t>173</w:t>
            </w:r>
          </w:p>
        </w:tc>
        <w:tc>
          <w:tcPr>
            <w:tcW w:w="312" w:type="pct"/>
          </w:tcPr>
          <w:p w14:paraId="312DC14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35CEAF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EAE7FE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76CFADC" w14:textId="77777777" w:rsidR="00CE1436" w:rsidRPr="003203B5"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5AE0AA2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7EB9684" w14:textId="77777777" w:rsidR="00CE1436" w:rsidRPr="0023247F" w:rsidRDefault="00CE1436" w:rsidP="00444693">
            <w:pPr>
              <w:pStyle w:val="TableText"/>
              <w:widowControl w:val="0"/>
              <w:suppressAutoHyphens w:val="0"/>
              <w:spacing w:before="0" w:after="0" w:line="240" w:lineRule="auto"/>
              <w:jc w:val="center"/>
            </w:pPr>
            <w:r>
              <w:rPr>
                <w:color w:val="1A1B1A"/>
                <w:szCs w:val="17"/>
              </w:rPr>
              <w:t>0.33</w:t>
            </w:r>
          </w:p>
        </w:tc>
        <w:tc>
          <w:tcPr>
            <w:tcW w:w="310" w:type="pct"/>
            <w:vAlign w:val="center"/>
          </w:tcPr>
          <w:p w14:paraId="23FA40B0"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1508944B" w14:textId="77777777" w:rsidTr="00444693">
        <w:trPr>
          <w:cantSplit/>
          <w:trHeight w:val="13"/>
        </w:trPr>
        <w:tc>
          <w:tcPr>
            <w:tcW w:w="521" w:type="pct"/>
            <w:vMerge/>
          </w:tcPr>
          <w:p w14:paraId="08EAB80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FA1CF5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D9CE3D2"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6DCE29B"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52EE1CC3"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13D2577C"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shd w:val="clear" w:color="auto" w:fill="D5D7D5" w:themeFill="text1" w:themeFillTint="33"/>
          </w:tcPr>
          <w:p w14:paraId="0772E014" w14:textId="77777777" w:rsidR="00CE1436" w:rsidRDefault="00CE1436" w:rsidP="00444693">
            <w:pPr>
              <w:pStyle w:val="TableText"/>
              <w:widowControl w:val="0"/>
              <w:suppressAutoHyphens w:val="0"/>
              <w:spacing w:before="0" w:after="0" w:line="240" w:lineRule="auto"/>
              <w:jc w:val="center"/>
              <w:rPr>
                <w:szCs w:val="17"/>
              </w:rPr>
            </w:pPr>
            <w:r>
              <w:rPr>
                <w:szCs w:val="17"/>
              </w:rPr>
              <w:t>1.3</w:t>
            </w:r>
            <w:r>
              <w:rPr>
                <w:szCs w:val="17"/>
                <w:vertAlign w:val="superscript"/>
              </w:rPr>
              <w:t>a</w:t>
            </w:r>
          </w:p>
        </w:tc>
        <w:tc>
          <w:tcPr>
            <w:tcW w:w="312" w:type="pct"/>
          </w:tcPr>
          <w:p w14:paraId="5D0B234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F56181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4E7F3E3" w14:textId="77777777" w:rsidR="00CE1436" w:rsidRPr="003203B5"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0184462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A82FA70" w14:textId="77777777" w:rsidR="00CE1436" w:rsidRPr="0023247F" w:rsidRDefault="00CE1436" w:rsidP="00444693">
            <w:pPr>
              <w:pStyle w:val="TableText"/>
              <w:widowControl w:val="0"/>
              <w:suppressAutoHyphens w:val="0"/>
              <w:spacing w:before="0" w:after="0" w:line="240" w:lineRule="auto"/>
              <w:jc w:val="center"/>
            </w:pPr>
            <w:r>
              <w:rPr>
                <w:color w:val="1A1B1A"/>
                <w:szCs w:val="17"/>
              </w:rPr>
              <w:t>0.40</w:t>
            </w:r>
          </w:p>
        </w:tc>
        <w:tc>
          <w:tcPr>
            <w:tcW w:w="310" w:type="pct"/>
            <w:vAlign w:val="center"/>
          </w:tcPr>
          <w:p w14:paraId="1DCE791A" w14:textId="77777777" w:rsidR="00CE1436" w:rsidRPr="0023247F" w:rsidRDefault="00CE1436" w:rsidP="00444693">
            <w:pPr>
              <w:pStyle w:val="TableText"/>
              <w:widowControl w:val="0"/>
              <w:suppressAutoHyphens w:val="0"/>
              <w:spacing w:before="0" w:after="0" w:line="240" w:lineRule="auto"/>
              <w:jc w:val="center"/>
            </w:pPr>
            <w:r>
              <w:rPr>
                <w:color w:val="1A1B1A"/>
                <w:szCs w:val="17"/>
              </w:rPr>
              <w:t>402</w:t>
            </w:r>
          </w:p>
        </w:tc>
      </w:tr>
      <w:tr w:rsidR="00CE1436" w:rsidRPr="0023247F" w14:paraId="08EF29F7" w14:textId="77777777" w:rsidTr="00444693">
        <w:trPr>
          <w:cantSplit/>
          <w:trHeight w:val="13"/>
        </w:trPr>
        <w:tc>
          <w:tcPr>
            <w:tcW w:w="521" w:type="pct"/>
            <w:vMerge/>
          </w:tcPr>
          <w:p w14:paraId="052DBD6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6C85FE1"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0130273"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4451A2BC"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ADCDF8A"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5678716C" w14:textId="77777777" w:rsidR="00CE1436" w:rsidRDefault="00CE1436" w:rsidP="00444693">
            <w:pPr>
              <w:pStyle w:val="TableText"/>
              <w:widowControl w:val="0"/>
              <w:suppressAutoHyphens w:val="0"/>
              <w:spacing w:before="0" w:after="0" w:line="240" w:lineRule="auto"/>
              <w:jc w:val="center"/>
              <w:rPr>
                <w:szCs w:val="17"/>
              </w:rPr>
            </w:pPr>
            <w:r>
              <w:rPr>
                <w:szCs w:val="17"/>
              </w:rPr>
              <w:t>162</w:t>
            </w:r>
          </w:p>
        </w:tc>
        <w:tc>
          <w:tcPr>
            <w:tcW w:w="312" w:type="pct"/>
          </w:tcPr>
          <w:p w14:paraId="65A4103A"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20F72A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5AEA55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8091229" w14:textId="77777777" w:rsidR="00CE1436" w:rsidRPr="003203B5"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2F0A5A6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B3BF5E5" w14:textId="77777777" w:rsidR="00CE1436" w:rsidRPr="0023247F" w:rsidRDefault="00CE1436" w:rsidP="00444693">
            <w:pPr>
              <w:pStyle w:val="TableText"/>
              <w:widowControl w:val="0"/>
              <w:suppressAutoHyphens w:val="0"/>
              <w:spacing w:before="0" w:after="0" w:line="240" w:lineRule="auto"/>
              <w:jc w:val="center"/>
            </w:pPr>
            <w:r>
              <w:rPr>
                <w:color w:val="1A1B1A"/>
                <w:szCs w:val="17"/>
              </w:rPr>
              <w:t>0.31</w:t>
            </w:r>
          </w:p>
        </w:tc>
        <w:tc>
          <w:tcPr>
            <w:tcW w:w="310" w:type="pct"/>
            <w:vAlign w:val="center"/>
          </w:tcPr>
          <w:p w14:paraId="0655140F"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2FE00FDF" w14:textId="77777777" w:rsidTr="00444693">
        <w:trPr>
          <w:cantSplit/>
          <w:trHeight w:val="13"/>
        </w:trPr>
        <w:tc>
          <w:tcPr>
            <w:tcW w:w="521" w:type="pct"/>
            <w:vMerge/>
          </w:tcPr>
          <w:p w14:paraId="5A29AA2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B7116E0"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C874327"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3C27F65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6422A399"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1FEB1AAC"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196AF627"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771FC7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AEEB02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1E8A2FC" w14:textId="77777777" w:rsidR="00CE1436" w:rsidRPr="003203B5"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74C156B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8289B06" w14:textId="77777777" w:rsidR="00CE1436" w:rsidRPr="0023247F" w:rsidRDefault="00CE1436" w:rsidP="00444693">
            <w:pPr>
              <w:pStyle w:val="TableText"/>
              <w:widowControl w:val="0"/>
              <w:suppressAutoHyphens w:val="0"/>
              <w:spacing w:before="0" w:after="0" w:line="240" w:lineRule="auto"/>
              <w:jc w:val="center"/>
            </w:pPr>
            <w:r>
              <w:rPr>
                <w:color w:val="1A1B1A"/>
                <w:szCs w:val="17"/>
              </w:rPr>
              <w:t>0.29</w:t>
            </w:r>
          </w:p>
        </w:tc>
        <w:tc>
          <w:tcPr>
            <w:tcW w:w="310" w:type="pct"/>
            <w:vAlign w:val="center"/>
          </w:tcPr>
          <w:p w14:paraId="08D0086E"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13050A5C" w14:textId="77777777" w:rsidTr="00444693">
        <w:trPr>
          <w:cantSplit/>
          <w:trHeight w:val="13"/>
        </w:trPr>
        <w:tc>
          <w:tcPr>
            <w:tcW w:w="521" w:type="pct"/>
            <w:vMerge/>
          </w:tcPr>
          <w:p w14:paraId="41CDA26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8DCDCDC"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C118C50" w14:textId="77777777" w:rsidR="00CE1436" w:rsidRPr="005643BC" w:rsidRDefault="00CE1436" w:rsidP="00444693">
            <w:pPr>
              <w:pStyle w:val="TableText"/>
              <w:widowControl w:val="0"/>
              <w:suppressAutoHyphens w:val="0"/>
              <w:spacing w:before="0" w:after="0" w:line="240" w:lineRule="auto"/>
              <w:rPr>
                <w:szCs w:val="17"/>
              </w:rPr>
            </w:pPr>
          </w:p>
        </w:tc>
        <w:tc>
          <w:tcPr>
            <w:tcW w:w="520" w:type="pct"/>
          </w:tcPr>
          <w:p w14:paraId="684088DD"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Pr>
          <w:p w14:paraId="0ECF8225" w14:textId="77777777" w:rsidR="00CE1436" w:rsidRPr="005723DE"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Pr>
          <w:p w14:paraId="49C08295" w14:textId="77777777" w:rsidR="00CE1436" w:rsidRDefault="00CE1436" w:rsidP="00444693">
            <w:pPr>
              <w:pStyle w:val="TableText"/>
              <w:widowControl w:val="0"/>
              <w:suppressAutoHyphens w:val="0"/>
              <w:spacing w:before="0" w:after="0" w:line="240" w:lineRule="auto"/>
              <w:jc w:val="center"/>
              <w:rPr>
                <w:szCs w:val="17"/>
              </w:rPr>
            </w:pPr>
            <w:r>
              <w:rPr>
                <w:szCs w:val="17"/>
              </w:rPr>
              <w:t>113</w:t>
            </w:r>
          </w:p>
        </w:tc>
        <w:tc>
          <w:tcPr>
            <w:tcW w:w="312" w:type="pct"/>
          </w:tcPr>
          <w:p w14:paraId="795E705B"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709584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C8C9A7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90FD9E5"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3027056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407FB44" w14:textId="77777777" w:rsidR="00CE1436" w:rsidRPr="0023247F" w:rsidRDefault="00CE1436" w:rsidP="00444693">
            <w:pPr>
              <w:pStyle w:val="TableText"/>
              <w:widowControl w:val="0"/>
              <w:suppressAutoHyphens w:val="0"/>
              <w:spacing w:before="0" w:after="0" w:line="240" w:lineRule="auto"/>
              <w:jc w:val="center"/>
            </w:pPr>
            <w:r>
              <w:rPr>
                <w:color w:val="1A1B1A"/>
                <w:szCs w:val="17"/>
              </w:rPr>
              <w:t>0.22</w:t>
            </w:r>
          </w:p>
        </w:tc>
        <w:tc>
          <w:tcPr>
            <w:tcW w:w="310" w:type="pct"/>
            <w:vAlign w:val="center"/>
          </w:tcPr>
          <w:p w14:paraId="213F4349" w14:textId="77777777" w:rsidR="00CE1436" w:rsidRPr="0023247F" w:rsidRDefault="00CE1436" w:rsidP="00444693">
            <w:pPr>
              <w:pStyle w:val="TableText"/>
              <w:widowControl w:val="0"/>
              <w:suppressAutoHyphens w:val="0"/>
              <w:spacing w:before="0" w:after="0" w:line="240" w:lineRule="auto"/>
              <w:jc w:val="center"/>
            </w:pPr>
            <w:r>
              <w:rPr>
                <w:color w:val="1A1B1A"/>
                <w:szCs w:val="17"/>
              </w:rPr>
              <w:t>523</w:t>
            </w:r>
          </w:p>
        </w:tc>
      </w:tr>
      <w:tr w:rsidR="00CE1436" w:rsidRPr="00886278" w14:paraId="3DC892DC" w14:textId="77777777" w:rsidTr="00444693">
        <w:trPr>
          <w:cantSplit/>
          <w:trHeight w:val="13"/>
        </w:trPr>
        <w:tc>
          <w:tcPr>
            <w:tcW w:w="521" w:type="pct"/>
            <w:vMerge/>
            <w:tcBorders>
              <w:bottom w:val="single" w:sz="4" w:space="0" w:color="auto"/>
            </w:tcBorders>
          </w:tcPr>
          <w:p w14:paraId="436B1FC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7FAFADAC"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11A69427" w14:textId="77777777" w:rsidR="00CE1436" w:rsidRPr="005643BC"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3E8E489A" w14:textId="77777777" w:rsidR="00CE1436" w:rsidRPr="00A61741"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73840AC4" w14:textId="77777777" w:rsidR="00CE1436" w:rsidRDefault="00CE1436" w:rsidP="00444693">
            <w:pPr>
              <w:pStyle w:val="TableText"/>
              <w:widowControl w:val="0"/>
              <w:suppressAutoHyphens w:val="0"/>
              <w:spacing w:before="0" w:after="0" w:line="240" w:lineRule="auto"/>
              <w:jc w:val="center"/>
              <w:rPr>
                <w:szCs w:val="17"/>
              </w:rPr>
            </w:pPr>
            <w:r w:rsidRPr="007A4890">
              <w:rPr>
                <w:szCs w:val="17"/>
              </w:rPr>
              <w:t>10.9</w:t>
            </w:r>
          </w:p>
        </w:tc>
        <w:tc>
          <w:tcPr>
            <w:tcW w:w="296" w:type="pct"/>
            <w:tcBorders>
              <w:bottom w:val="single" w:sz="4" w:space="0" w:color="auto"/>
            </w:tcBorders>
          </w:tcPr>
          <w:p w14:paraId="2B9E04B4"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108</w:t>
            </w:r>
          </w:p>
        </w:tc>
        <w:tc>
          <w:tcPr>
            <w:tcW w:w="312" w:type="pct"/>
            <w:tcBorders>
              <w:bottom w:val="single" w:sz="4" w:space="0" w:color="auto"/>
            </w:tcBorders>
          </w:tcPr>
          <w:p w14:paraId="68273ED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44A2829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2978B57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16D5A10C"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1.2</w:t>
            </w:r>
          </w:p>
        </w:tc>
        <w:tc>
          <w:tcPr>
            <w:tcW w:w="312" w:type="pct"/>
            <w:tcBorders>
              <w:bottom w:val="single" w:sz="4" w:space="0" w:color="auto"/>
            </w:tcBorders>
            <w:vAlign w:val="center"/>
          </w:tcPr>
          <w:p w14:paraId="1C8FF98A"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5A64F51A" w14:textId="77777777" w:rsidR="00CE1436" w:rsidRPr="00886278" w:rsidRDefault="00CE1436" w:rsidP="00444693">
            <w:pPr>
              <w:pStyle w:val="TableText"/>
              <w:widowControl w:val="0"/>
              <w:suppressAutoHyphens w:val="0"/>
              <w:spacing w:before="0" w:after="0" w:line="240" w:lineRule="auto"/>
              <w:jc w:val="center"/>
            </w:pPr>
            <w:r>
              <w:rPr>
                <w:color w:val="1A1B1A"/>
                <w:szCs w:val="17"/>
              </w:rPr>
              <w:t>0.21</w:t>
            </w:r>
          </w:p>
        </w:tc>
        <w:tc>
          <w:tcPr>
            <w:tcW w:w="310" w:type="pct"/>
            <w:tcBorders>
              <w:bottom w:val="single" w:sz="4" w:space="0" w:color="auto"/>
            </w:tcBorders>
            <w:vAlign w:val="center"/>
          </w:tcPr>
          <w:p w14:paraId="6E1BDBB5" w14:textId="77777777" w:rsidR="00CE1436" w:rsidRPr="00886278" w:rsidRDefault="00CE1436" w:rsidP="00444693">
            <w:pPr>
              <w:pStyle w:val="TableText"/>
              <w:widowControl w:val="0"/>
              <w:suppressAutoHyphens w:val="0"/>
              <w:spacing w:before="0" w:after="0" w:line="240" w:lineRule="auto"/>
              <w:jc w:val="center"/>
            </w:pPr>
            <w:r>
              <w:rPr>
                <w:color w:val="1A1B1A"/>
                <w:szCs w:val="17"/>
              </w:rPr>
              <w:t>523</w:t>
            </w:r>
          </w:p>
        </w:tc>
      </w:tr>
      <w:tr w:rsidR="00CE1436" w:rsidRPr="0023247F" w14:paraId="4A36AF3D" w14:textId="77777777" w:rsidTr="00444693">
        <w:trPr>
          <w:cantSplit/>
          <w:trHeight w:val="13"/>
        </w:trPr>
        <w:tc>
          <w:tcPr>
            <w:tcW w:w="5000" w:type="pct"/>
            <w:gridSpan w:val="13"/>
            <w:tcBorders>
              <w:top w:val="single" w:sz="4" w:space="0" w:color="auto"/>
              <w:bottom w:val="single" w:sz="4" w:space="0" w:color="auto"/>
            </w:tcBorders>
          </w:tcPr>
          <w:p w14:paraId="52B6CF2C" w14:textId="77777777" w:rsidR="00CE1436" w:rsidRPr="0023247F" w:rsidRDefault="00CE1436" w:rsidP="00AC06D7">
            <w:pPr>
              <w:pStyle w:val="TableSubHead0"/>
            </w:pPr>
            <w:r w:rsidRPr="001B1B9E">
              <w:t>General weed control in industrial vegetation management, pasture, public service areas, rights of way</w:t>
            </w:r>
          </w:p>
        </w:tc>
      </w:tr>
      <w:tr w:rsidR="00CE1436" w:rsidRPr="00886278" w14:paraId="1506F918" w14:textId="77777777" w:rsidTr="00444693">
        <w:trPr>
          <w:cantSplit/>
          <w:trHeight w:val="13"/>
        </w:trPr>
        <w:tc>
          <w:tcPr>
            <w:tcW w:w="521" w:type="pct"/>
            <w:vMerge w:val="restart"/>
            <w:tcBorders>
              <w:top w:val="single" w:sz="4" w:space="0" w:color="auto"/>
            </w:tcBorders>
          </w:tcPr>
          <w:p w14:paraId="2EED9259" w14:textId="77777777" w:rsidR="00CE1436" w:rsidRPr="00886278" w:rsidRDefault="00CE1436" w:rsidP="00444693">
            <w:pPr>
              <w:pStyle w:val="TableText"/>
              <w:widowControl w:val="0"/>
              <w:suppressAutoHyphens w:val="0"/>
              <w:spacing w:before="0" w:after="0" w:line="240" w:lineRule="auto"/>
              <w:rPr>
                <w:szCs w:val="17"/>
              </w:rPr>
            </w:pPr>
            <w:r>
              <w:rPr>
                <w:szCs w:val="17"/>
              </w:rPr>
              <w:t>Grassland</w:t>
            </w:r>
          </w:p>
        </w:tc>
        <w:tc>
          <w:tcPr>
            <w:tcW w:w="589" w:type="pct"/>
            <w:vMerge w:val="restart"/>
            <w:tcBorders>
              <w:top w:val="single" w:sz="4" w:space="0" w:color="auto"/>
            </w:tcBorders>
          </w:tcPr>
          <w:p w14:paraId="6B143C57" w14:textId="77777777" w:rsidR="00CE1436" w:rsidRPr="00886278" w:rsidRDefault="00CE1436" w:rsidP="00444693">
            <w:pPr>
              <w:pStyle w:val="TableText"/>
              <w:widowControl w:val="0"/>
              <w:suppressAutoHyphens w:val="0"/>
              <w:spacing w:before="0" w:after="0" w:line="240" w:lineRule="auto"/>
              <w:rPr>
                <w:szCs w:val="17"/>
              </w:rPr>
            </w:pPr>
            <w:r w:rsidRPr="00C13A11">
              <w:t>Small granivore</w:t>
            </w:r>
          </w:p>
        </w:tc>
        <w:tc>
          <w:tcPr>
            <w:tcW w:w="445" w:type="pct"/>
            <w:vMerge w:val="restart"/>
            <w:tcBorders>
              <w:top w:val="single" w:sz="4" w:space="0" w:color="auto"/>
            </w:tcBorders>
          </w:tcPr>
          <w:p w14:paraId="025BD7E9" w14:textId="77777777" w:rsidR="00CE1436" w:rsidRPr="00886278" w:rsidRDefault="00CE1436" w:rsidP="00444693">
            <w:pPr>
              <w:pStyle w:val="TableText"/>
              <w:widowControl w:val="0"/>
              <w:suppressAutoHyphens w:val="0"/>
              <w:spacing w:before="0" w:after="0" w:line="240" w:lineRule="auto"/>
              <w:rPr>
                <w:szCs w:val="17"/>
              </w:rPr>
            </w:pPr>
            <w:r w:rsidRPr="00F33F63">
              <w:t>Late season</w:t>
            </w:r>
          </w:p>
        </w:tc>
        <w:tc>
          <w:tcPr>
            <w:tcW w:w="520" w:type="pct"/>
            <w:tcBorders>
              <w:top w:val="single" w:sz="4" w:space="0" w:color="auto"/>
            </w:tcBorders>
          </w:tcPr>
          <w:p w14:paraId="1876B454"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Acute</w:t>
            </w:r>
          </w:p>
        </w:tc>
        <w:tc>
          <w:tcPr>
            <w:tcW w:w="446" w:type="pct"/>
            <w:tcBorders>
              <w:top w:val="single" w:sz="4" w:space="0" w:color="auto"/>
            </w:tcBorders>
          </w:tcPr>
          <w:p w14:paraId="1CF0B437" w14:textId="77777777" w:rsidR="00CE1436" w:rsidRPr="00886278" w:rsidRDefault="00CE1436" w:rsidP="00444693">
            <w:pPr>
              <w:pStyle w:val="TableText"/>
              <w:widowControl w:val="0"/>
              <w:suppressAutoHyphens w:val="0"/>
              <w:spacing w:before="0" w:after="0" w:line="240" w:lineRule="auto"/>
              <w:jc w:val="center"/>
              <w:rPr>
                <w:szCs w:val="17"/>
              </w:rPr>
            </w:pPr>
            <w:r w:rsidRPr="00323407">
              <w:t>24.7</w:t>
            </w:r>
          </w:p>
        </w:tc>
        <w:tc>
          <w:tcPr>
            <w:tcW w:w="296" w:type="pct"/>
            <w:tcBorders>
              <w:top w:val="single" w:sz="4" w:space="0" w:color="auto"/>
            </w:tcBorders>
          </w:tcPr>
          <w:p w14:paraId="593E6737" w14:textId="77777777" w:rsidR="00CE1436" w:rsidRPr="00886278" w:rsidRDefault="00CE1436" w:rsidP="00444693">
            <w:pPr>
              <w:pStyle w:val="TableText"/>
              <w:widowControl w:val="0"/>
              <w:suppressAutoHyphens w:val="0"/>
              <w:spacing w:before="0" w:after="0" w:line="240" w:lineRule="auto"/>
              <w:jc w:val="center"/>
              <w:rPr>
                <w:szCs w:val="17"/>
              </w:rPr>
            </w:pPr>
            <w:r>
              <w:t>1140</w:t>
            </w:r>
          </w:p>
        </w:tc>
        <w:tc>
          <w:tcPr>
            <w:tcW w:w="312" w:type="pct"/>
            <w:tcBorders>
              <w:top w:val="single" w:sz="4" w:space="0" w:color="auto"/>
            </w:tcBorders>
          </w:tcPr>
          <w:p w14:paraId="4A0A7C86"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0F580ED4"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403D8EF1"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14A188AC"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28</w:t>
            </w:r>
          </w:p>
        </w:tc>
        <w:tc>
          <w:tcPr>
            <w:tcW w:w="312" w:type="pct"/>
            <w:tcBorders>
              <w:top w:val="single" w:sz="4" w:space="0" w:color="auto"/>
            </w:tcBorders>
            <w:vAlign w:val="center"/>
          </w:tcPr>
          <w:p w14:paraId="1404EF27"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1C57554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4.9</w:t>
            </w:r>
          </w:p>
        </w:tc>
        <w:tc>
          <w:tcPr>
            <w:tcW w:w="310" w:type="pct"/>
            <w:tcBorders>
              <w:top w:val="single" w:sz="4" w:space="0" w:color="auto"/>
            </w:tcBorders>
            <w:vAlign w:val="center"/>
          </w:tcPr>
          <w:p w14:paraId="5D6F61C7"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69B2B124" w14:textId="77777777" w:rsidTr="00444693">
        <w:trPr>
          <w:cantSplit/>
          <w:trHeight w:val="13"/>
        </w:trPr>
        <w:tc>
          <w:tcPr>
            <w:tcW w:w="521" w:type="pct"/>
            <w:vMerge/>
          </w:tcPr>
          <w:p w14:paraId="478ED37A"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D53CD4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2F71475" w14:textId="77777777" w:rsidR="00CE1436" w:rsidRPr="00F33F63" w:rsidRDefault="00CE1436" w:rsidP="00444693">
            <w:pPr>
              <w:pStyle w:val="TableText"/>
              <w:widowControl w:val="0"/>
              <w:suppressAutoHyphens w:val="0"/>
              <w:spacing w:before="0" w:after="0" w:line="240" w:lineRule="auto"/>
            </w:pPr>
          </w:p>
        </w:tc>
        <w:tc>
          <w:tcPr>
            <w:tcW w:w="520" w:type="pct"/>
          </w:tcPr>
          <w:p w14:paraId="7BD8830C"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C286C8E"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75D94D8A" w14:textId="77777777" w:rsidR="00CE1436" w:rsidRDefault="00CE1436" w:rsidP="00444693">
            <w:pPr>
              <w:pStyle w:val="TableText"/>
              <w:widowControl w:val="0"/>
              <w:suppressAutoHyphens w:val="0"/>
              <w:spacing w:before="0" w:after="0" w:line="240" w:lineRule="auto"/>
              <w:jc w:val="center"/>
              <w:rPr>
                <w:szCs w:val="17"/>
              </w:rPr>
            </w:pPr>
            <w:r>
              <w:t>1125</w:t>
            </w:r>
          </w:p>
        </w:tc>
        <w:tc>
          <w:tcPr>
            <w:tcW w:w="312" w:type="pct"/>
          </w:tcPr>
          <w:p w14:paraId="2C808BB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A7BAFC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6138B7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6DAE93E" w14:textId="77777777" w:rsidR="00CE1436" w:rsidRPr="003203B5" w:rsidRDefault="00CE1436" w:rsidP="00444693">
            <w:pPr>
              <w:pStyle w:val="TableText"/>
              <w:widowControl w:val="0"/>
              <w:suppressAutoHyphens w:val="0"/>
              <w:spacing w:before="0" w:after="0" w:line="240" w:lineRule="auto"/>
              <w:jc w:val="center"/>
            </w:pPr>
            <w:r>
              <w:rPr>
                <w:color w:val="1A1B1A"/>
                <w:szCs w:val="17"/>
              </w:rPr>
              <w:t>28</w:t>
            </w:r>
          </w:p>
        </w:tc>
        <w:tc>
          <w:tcPr>
            <w:tcW w:w="312" w:type="pct"/>
            <w:vAlign w:val="center"/>
          </w:tcPr>
          <w:p w14:paraId="5732B72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FA945E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4.9</w:t>
            </w:r>
          </w:p>
        </w:tc>
        <w:tc>
          <w:tcPr>
            <w:tcW w:w="310" w:type="pct"/>
            <w:vAlign w:val="center"/>
          </w:tcPr>
          <w:p w14:paraId="2BEACC77"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236097D7" w14:textId="77777777" w:rsidTr="00444693">
        <w:trPr>
          <w:cantSplit/>
          <w:trHeight w:val="13"/>
        </w:trPr>
        <w:tc>
          <w:tcPr>
            <w:tcW w:w="521" w:type="pct"/>
            <w:vMerge/>
          </w:tcPr>
          <w:p w14:paraId="0742AFF6"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246529D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802DCCB" w14:textId="77777777" w:rsidR="00CE1436" w:rsidRPr="00F33F63" w:rsidRDefault="00CE1436" w:rsidP="00444693">
            <w:pPr>
              <w:pStyle w:val="TableText"/>
              <w:widowControl w:val="0"/>
              <w:suppressAutoHyphens w:val="0"/>
              <w:spacing w:before="0" w:after="0" w:line="240" w:lineRule="auto"/>
            </w:pPr>
          </w:p>
        </w:tc>
        <w:tc>
          <w:tcPr>
            <w:tcW w:w="520" w:type="pct"/>
          </w:tcPr>
          <w:p w14:paraId="00DD40B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308BF0A"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4195C790" w14:textId="77777777" w:rsidR="00CE1436" w:rsidRDefault="00CE1436" w:rsidP="00444693">
            <w:pPr>
              <w:pStyle w:val="TableText"/>
              <w:widowControl w:val="0"/>
              <w:suppressAutoHyphens w:val="0"/>
              <w:spacing w:before="0" w:after="0" w:line="240" w:lineRule="auto"/>
              <w:jc w:val="center"/>
              <w:rPr>
                <w:szCs w:val="17"/>
              </w:rPr>
            </w:pPr>
            <w:r>
              <w:t>1000</w:t>
            </w:r>
          </w:p>
        </w:tc>
        <w:tc>
          <w:tcPr>
            <w:tcW w:w="312" w:type="pct"/>
          </w:tcPr>
          <w:p w14:paraId="2A15B7F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E3EE0E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D47193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BA04E1E"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25</w:t>
            </w:r>
          </w:p>
        </w:tc>
        <w:tc>
          <w:tcPr>
            <w:tcW w:w="312" w:type="pct"/>
            <w:vAlign w:val="center"/>
          </w:tcPr>
          <w:p w14:paraId="2FE1B2A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08ED39C"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4.3</w:t>
            </w:r>
          </w:p>
        </w:tc>
        <w:tc>
          <w:tcPr>
            <w:tcW w:w="310" w:type="pct"/>
            <w:vAlign w:val="center"/>
          </w:tcPr>
          <w:p w14:paraId="0258CA96"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25A753CD" w14:textId="77777777" w:rsidTr="00444693">
        <w:trPr>
          <w:cantSplit/>
          <w:trHeight w:val="13"/>
        </w:trPr>
        <w:tc>
          <w:tcPr>
            <w:tcW w:w="521" w:type="pct"/>
            <w:vMerge/>
          </w:tcPr>
          <w:p w14:paraId="4BADCCAF"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65924241"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704B6B1" w14:textId="77777777" w:rsidR="00CE1436" w:rsidRPr="00F33F63" w:rsidRDefault="00CE1436" w:rsidP="00444693">
            <w:pPr>
              <w:pStyle w:val="TableText"/>
              <w:widowControl w:val="0"/>
              <w:suppressAutoHyphens w:val="0"/>
              <w:spacing w:before="0" w:after="0" w:line="240" w:lineRule="auto"/>
            </w:pPr>
          </w:p>
        </w:tc>
        <w:tc>
          <w:tcPr>
            <w:tcW w:w="520" w:type="pct"/>
          </w:tcPr>
          <w:p w14:paraId="4AE1808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80CF89D"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34AA67A4" w14:textId="77777777" w:rsidR="00CE1436" w:rsidRDefault="00CE1436" w:rsidP="00444693">
            <w:pPr>
              <w:pStyle w:val="TableText"/>
              <w:widowControl w:val="0"/>
              <w:suppressAutoHyphens w:val="0"/>
              <w:spacing w:before="0" w:after="0" w:line="240" w:lineRule="auto"/>
              <w:jc w:val="center"/>
              <w:rPr>
                <w:szCs w:val="17"/>
              </w:rPr>
            </w:pPr>
            <w:r>
              <w:t>850</w:t>
            </w:r>
          </w:p>
        </w:tc>
        <w:tc>
          <w:tcPr>
            <w:tcW w:w="312" w:type="pct"/>
          </w:tcPr>
          <w:p w14:paraId="0856D8C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6C7B1E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600895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DA19EB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21</w:t>
            </w:r>
          </w:p>
        </w:tc>
        <w:tc>
          <w:tcPr>
            <w:tcW w:w="312" w:type="pct"/>
            <w:vAlign w:val="center"/>
          </w:tcPr>
          <w:p w14:paraId="4C523FE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A6A3299"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3.7</w:t>
            </w:r>
          </w:p>
        </w:tc>
        <w:tc>
          <w:tcPr>
            <w:tcW w:w="310" w:type="pct"/>
            <w:vAlign w:val="center"/>
          </w:tcPr>
          <w:p w14:paraId="2723DB78"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69854233" w14:textId="77777777" w:rsidTr="00444693">
        <w:trPr>
          <w:cantSplit/>
          <w:trHeight w:val="13"/>
        </w:trPr>
        <w:tc>
          <w:tcPr>
            <w:tcW w:w="521" w:type="pct"/>
            <w:vMerge/>
          </w:tcPr>
          <w:p w14:paraId="1F46A4B5"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429874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8385CC0" w14:textId="77777777" w:rsidR="00CE1436" w:rsidRPr="00F33F63" w:rsidRDefault="00CE1436" w:rsidP="00444693">
            <w:pPr>
              <w:pStyle w:val="TableText"/>
              <w:widowControl w:val="0"/>
              <w:suppressAutoHyphens w:val="0"/>
              <w:spacing w:before="0" w:after="0" w:line="240" w:lineRule="auto"/>
            </w:pPr>
          </w:p>
        </w:tc>
        <w:tc>
          <w:tcPr>
            <w:tcW w:w="520" w:type="pct"/>
          </w:tcPr>
          <w:p w14:paraId="254B328E"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0DF2E5A"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1D021873" w14:textId="77777777" w:rsidR="00CE1436" w:rsidRDefault="00CE1436" w:rsidP="00444693">
            <w:pPr>
              <w:pStyle w:val="TableText"/>
              <w:widowControl w:val="0"/>
              <w:suppressAutoHyphens w:val="0"/>
              <w:spacing w:before="0" w:after="0" w:line="240" w:lineRule="auto"/>
              <w:jc w:val="center"/>
              <w:rPr>
                <w:szCs w:val="17"/>
              </w:rPr>
            </w:pPr>
            <w:r>
              <w:t>840</w:t>
            </w:r>
          </w:p>
        </w:tc>
        <w:tc>
          <w:tcPr>
            <w:tcW w:w="312" w:type="pct"/>
          </w:tcPr>
          <w:p w14:paraId="7470C0E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4A44E0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E53528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D916D3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21</w:t>
            </w:r>
          </w:p>
        </w:tc>
        <w:tc>
          <w:tcPr>
            <w:tcW w:w="312" w:type="pct"/>
            <w:vAlign w:val="center"/>
          </w:tcPr>
          <w:p w14:paraId="7F17B9F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C45EA4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3.6</w:t>
            </w:r>
          </w:p>
        </w:tc>
        <w:tc>
          <w:tcPr>
            <w:tcW w:w="310" w:type="pct"/>
            <w:vAlign w:val="center"/>
          </w:tcPr>
          <w:p w14:paraId="3138C25D"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74DD8C4B" w14:textId="77777777" w:rsidTr="00444693">
        <w:trPr>
          <w:cantSplit/>
          <w:trHeight w:val="13"/>
        </w:trPr>
        <w:tc>
          <w:tcPr>
            <w:tcW w:w="521" w:type="pct"/>
            <w:vMerge/>
          </w:tcPr>
          <w:p w14:paraId="38498541"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789E99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0D299E0" w14:textId="77777777" w:rsidR="00CE1436" w:rsidRPr="00F33F63" w:rsidRDefault="00CE1436" w:rsidP="00444693">
            <w:pPr>
              <w:pStyle w:val="TableText"/>
              <w:widowControl w:val="0"/>
              <w:suppressAutoHyphens w:val="0"/>
              <w:spacing w:before="0" w:after="0" w:line="240" w:lineRule="auto"/>
            </w:pPr>
          </w:p>
        </w:tc>
        <w:tc>
          <w:tcPr>
            <w:tcW w:w="520" w:type="pct"/>
          </w:tcPr>
          <w:p w14:paraId="2A65E863"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290F8C8"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2EA4D554" w14:textId="77777777" w:rsidR="00CE1436" w:rsidRDefault="00CE1436" w:rsidP="00444693">
            <w:pPr>
              <w:pStyle w:val="TableText"/>
              <w:widowControl w:val="0"/>
              <w:suppressAutoHyphens w:val="0"/>
              <w:spacing w:before="0" w:after="0" w:line="240" w:lineRule="auto"/>
              <w:jc w:val="center"/>
              <w:rPr>
                <w:szCs w:val="17"/>
              </w:rPr>
            </w:pPr>
            <w:r>
              <w:t>750</w:t>
            </w:r>
          </w:p>
        </w:tc>
        <w:tc>
          <w:tcPr>
            <w:tcW w:w="312" w:type="pct"/>
          </w:tcPr>
          <w:p w14:paraId="0498D05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57D937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D8F86C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6332FAE" w14:textId="77777777" w:rsidR="00CE1436" w:rsidRPr="003203B5"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64B8EB8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53027D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3.3</w:t>
            </w:r>
          </w:p>
        </w:tc>
        <w:tc>
          <w:tcPr>
            <w:tcW w:w="310" w:type="pct"/>
            <w:vAlign w:val="center"/>
          </w:tcPr>
          <w:p w14:paraId="4374DA0A"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22069B2B" w14:textId="77777777" w:rsidTr="00444693">
        <w:trPr>
          <w:cantSplit/>
          <w:trHeight w:val="13"/>
        </w:trPr>
        <w:tc>
          <w:tcPr>
            <w:tcW w:w="521" w:type="pct"/>
            <w:vMerge/>
          </w:tcPr>
          <w:p w14:paraId="725C1134"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510CF0C0"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87CCF23" w14:textId="77777777" w:rsidR="00CE1436" w:rsidRPr="00F33F63" w:rsidRDefault="00CE1436" w:rsidP="00444693">
            <w:pPr>
              <w:pStyle w:val="TableText"/>
              <w:widowControl w:val="0"/>
              <w:suppressAutoHyphens w:val="0"/>
              <w:spacing w:before="0" w:after="0" w:line="240" w:lineRule="auto"/>
            </w:pPr>
          </w:p>
        </w:tc>
        <w:tc>
          <w:tcPr>
            <w:tcW w:w="520" w:type="pct"/>
          </w:tcPr>
          <w:p w14:paraId="6723664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4188A16"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4C766055" w14:textId="77777777" w:rsidR="00CE1436" w:rsidRPr="00886278" w:rsidRDefault="00CE1436" w:rsidP="00444693">
            <w:pPr>
              <w:pStyle w:val="TableText"/>
              <w:widowControl w:val="0"/>
              <w:suppressAutoHyphens w:val="0"/>
              <w:spacing w:before="0" w:after="0" w:line="240" w:lineRule="auto"/>
              <w:jc w:val="center"/>
              <w:rPr>
                <w:szCs w:val="17"/>
              </w:rPr>
            </w:pPr>
            <w:r>
              <w:t>600</w:t>
            </w:r>
          </w:p>
        </w:tc>
        <w:tc>
          <w:tcPr>
            <w:tcW w:w="312" w:type="pct"/>
          </w:tcPr>
          <w:p w14:paraId="745A7DC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E97765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3A47D1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85EC04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15</w:t>
            </w:r>
          </w:p>
        </w:tc>
        <w:tc>
          <w:tcPr>
            <w:tcW w:w="312" w:type="pct"/>
            <w:vAlign w:val="center"/>
          </w:tcPr>
          <w:p w14:paraId="6602579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2E78EA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10" w:type="pct"/>
            <w:vAlign w:val="center"/>
          </w:tcPr>
          <w:p w14:paraId="08578E9C"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423A2908" w14:textId="77777777" w:rsidTr="00444693">
        <w:trPr>
          <w:cantSplit/>
          <w:trHeight w:val="13"/>
        </w:trPr>
        <w:tc>
          <w:tcPr>
            <w:tcW w:w="521" w:type="pct"/>
            <w:vMerge/>
          </w:tcPr>
          <w:p w14:paraId="727B7655"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057794E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7982115" w14:textId="77777777" w:rsidR="00CE1436" w:rsidRPr="00F33F63" w:rsidRDefault="00CE1436" w:rsidP="00444693">
            <w:pPr>
              <w:pStyle w:val="TableText"/>
              <w:widowControl w:val="0"/>
              <w:suppressAutoHyphens w:val="0"/>
              <w:spacing w:before="0" w:after="0" w:line="240" w:lineRule="auto"/>
            </w:pPr>
          </w:p>
        </w:tc>
        <w:tc>
          <w:tcPr>
            <w:tcW w:w="520" w:type="pct"/>
          </w:tcPr>
          <w:p w14:paraId="023A0131"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64C711F"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3D9C6E35" w14:textId="77777777" w:rsidR="00CE1436" w:rsidRDefault="00CE1436" w:rsidP="00444693">
            <w:pPr>
              <w:pStyle w:val="TableText"/>
              <w:widowControl w:val="0"/>
              <w:suppressAutoHyphens w:val="0"/>
              <w:spacing w:before="0" w:after="0" w:line="240" w:lineRule="auto"/>
              <w:jc w:val="center"/>
              <w:rPr>
                <w:szCs w:val="17"/>
              </w:rPr>
            </w:pPr>
            <w:r>
              <w:t>595</w:t>
            </w:r>
          </w:p>
        </w:tc>
        <w:tc>
          <w:tcPr>
            <w:tcW w:w="312" w:type="pct"/>
          </w:tcPr>
          <w:p w14:paraId="353CBDB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646D13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5D4627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FD1B637" w14:textId="77777777" w:rsidR="00CE1436" w:rsidRPr="003203B5"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7B4806B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5357C4F"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10" w:type="pct"/>
            <w:vAlign w:val="center"/>
          </w:tcPr>
          <w:p w14:paraId="3FEEAB9B"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4E3744F1" w14:textId="77777777" w:rsidTr="00444693">
        <w:trPr>
          <w:cantSplit/>
          <w:trHeight w:val="13"/>
        </w:trPr>
        <w:tc>
          <w:tcPr>
            <w:tcW w:w="521" w:type="pct"/>
            <w:vMerge/>
          </w:tcPr>
          <w:p w14:paraId="4C44FBEF"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0D81EC7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C599FF8" w14:textId="77777777" w:rsidR="00CE1436" w:rsidRPr="00F33F63" w:rsidRDefault="00CE1436" w:rsidP="00444693">
            <w:pPr>
              <w:pStyle w:val="TableText"/>
              <w:widowControl w:val="0"/>
              <w:suppressAutoHyphens w:val="0"/>
              <w:spacing w:before="0" w:after="0" w:line="240" w:lineRule="auto"/>
            </w:pPr>
          </w:p>
        </w:tc>
        <w:tc>
          <w:tcPr>
            <w:tcW w:w="520" w:type="pct"/>
          </w:tcPr>
          <w:p w14:paraId="255AC7E9"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6B3EED1"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5FDD921A"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523AE8E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905D09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F210A0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18B6798"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7C12080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ACA341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2.2</w:t>
            </w:r>
          </w:p>
        </w:tc>
        <w:tc>
          <w:tcPr>
            <w:tcW w:w="310" w:type="pct"/>
            <w:vAlign w:val="center"/>
          </w:tcPr>
          <w:p w14:paraId="1A3DC18F"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58186C87" w14:textId="77777777" w:rsidTr="00444693">
        <w:trPr>
          <w:cantSplit/>
          <w:trHeight w:val="13"/>
        </w:trPr>
        <w:tc>
          <w:tcPr>
            <w:tcW w:w="521" w:type="pct"/>
            <w:vMerge/>
          </w:tcPr>
          <w:p w14:paraId="395CC205"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368C05F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4CCDD5F" w14:textId="77777777" w:rsidR="00CE1436" w:rsidRPr="00F33F63" w:rsidRDefault="00CE1436" w:rsidP="00444693">
            <w:pPr>
              <w:pStyle w:val="TableText"/>
              <w:widowControl w:val="0"/>
              <w:suppressAutoHyphens w:val="0"/>
              <w:spacing w:before="0" w:after="0" w:line="240" w:lineRule="auto"/>
            </w:pPr>
          </w:p>
        </w:tc>
        <w:tc>
          <w:tcPr>
            <w:tcW w:w="520" w:type="pct"/>
          </w:tcPr>
          <w:p w14:paraId="325551C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E2F88C7"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509EFE54"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7E8FB3A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9EC176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14A056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FBE5BD2"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11</w:t>
            </w:r>
          </w:p>
        </w:tc>
        <w:tc>
          <w:tcPr>
            <w:tcW w:w="312" w:type="pct"/>
            <w:vAlign w:val="center"/>
          </w:tcPr>
          <w:p w14:paraId="34D5567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763D30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10" w:type="pct"/>
            <w:vAlign w:val="center"/>
          </w:tcPr>
          <w:p w14:paraId="4BA3704F"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6F415529" w14:textId="77777777" w:rsidTr="00444693">
        <w:trPr>
          <w:cantSplit/>
          <w:trHeight w:val="13"/>
        </w:trPr>
        <w:tc>
          <w:tcPr>
            <w:tcW w:w="521" w:type="pct"/>
            <w:vMerge/>
          </w:tcPr>
          <w:p w14:paraId="3C084B1D"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253669B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3830EBD" w14:textId="77777777" w:rsidR="00CE1436" w:rsidRPr="00F33F63" w:rsidRDefault="00CE1436" w:rsidP="00444693">
            <w:pPr>
              <w:pStyle w:val="TableText"/>
              <w:widowControl w:val="0"/>
              <w:suppressAutoHyphens w:val="0"/>
              <w:spacing w:before="0" w:after="0" w:line="240" w:lineRule="auto"/>
            </w:pPr>
          </w:p>
        </w:tc>
        <w:tc>
          <w:tcPr>
            <w:tcW w:w="520" w:type="pct"/>
          </w:tcPr>
          <w:p w14:paraId="45D94067"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A887DCB"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214EAE70" w14:textId="77777777" w:rsidR="00CE1436" w:rsidRDefault="00CE1436" w:rsidP="00444693">
            <w:pPr>
              <w:pStyle w:val="TableText"/>
              <w:widowControl w:val="0"/>
              <w:suppressAutoHyphens w:val="0"/>
              <w:spacing w:before="0" w:after="0" w:line="240" w:lineRule="auto"/>
              <w:jc w:val="center"/>
              <w:rPr>
                <w:szCs w:val="17"/>
              </w:rPr>
            </w:pPr>
            <w:r>
              <w:t>400</w:t>
            </w:r>
          </w:p>
        </w:tc>
        <w:tc>
          <w:tcPr>
            <w:tcW w:w="312" w:type="pct"/>
          </w:tcPr>
          <w:p w14:paraId="6286C26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6DD8AD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C25341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A4D826C" w14:textId="77777777" w:rsidR="00CE1436" w:rsidRPr="003203B5" w:rsidRDefault="00CE1436" w:rsidP="00444693">
            <w:pPr>
              <w:pStyle w:val="TableText"/>
              <w:widowControl w:val="0"/>
              <w:suppressAutoHyphens w:val="0"/>
              <w:spacing w:before="0" w:after="0" w:line="240" w:lineRule="auto"/>
              <w:jc w:val="center"/>
            </w:pPr>
            <w:r>
              <w:rPr>
                <w:color w:val="1A1B1A"/>
                <w:szCs w:val="17"/>
              </w:rPr>
              <w:t>9.9</w:t>
            </w:r>
          </w:p>
        </w:tc>
        <w:tc>
          <w:tcPr>
            <w:tcW w:w="312" w:type="pct"/>
            <w:vAlign w:val="center"/>
          </w:tcPr>
          <w:p w14:paraId="2A91381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0207496"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1.7</w:t>
            </w:r>
          </w:p>
        </w:tc>
        <w:tc>
          <w:tcPr>
            <w:tcW w:w="310" w:type="pct"/>
            <w:vAlign w:val="center"/>
          </w:tcPr>
          <w:p w14:paraId="18256FDE"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1C6CEB51" w14:textId="77777777" w:rsidTr="00444693">
        <w:trPr>
          <w:cantSplit/>
          <w:trHeight w:val="13"/>
        </w:trPr>
        <w:tc>
          <w:tcPr>
            <w:tcW w:w="521" w:type="pct"/>
            <w:vMerge/>
          </w:tcPr>
          <w:p w14:paraId="386D0AF8"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A4A965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A76AE66" w14:textId="77777777" w:rsidR="00CE1436" w:rsidRPr="00F33F63" w:rsidRDefault="00CE1436" w:rsidP="00444693">
            <w:pPr>
              <w:pStyle w:val="TableText"/>
              <w:widowControl w:val="0"/>
              <w:suppressAutoHyphens w:val="0"/>
              <w:spacing w:before="0" w:after="0" w:line="240" w:lineRule="auto"/>
            </w:pPr>
          </w:p>
        </w:tc>
        <w:tc>
          <w:tcPr>
            <w:tcW w:w="520" w:type="pct"/>
          </w:tcPr>
          <w:p w14:paraId="260D3F4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5410717"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0AB9F312"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1AAEBAB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C3E4C7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D080B0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89B11C8" w14:textId="77777777" w:rsidR="00CE1436" w:rsidRPr="003203B5" w:rsidRDefault="00CE1436" w:rsidP="00444693">
            <w:pPr>
              <w:pStyle w:val="TableText"/>
              <w:widowControl w:val="0"/>
              <w:suppressAutoHyphens w:val="0"/>
              <w:spacing w:before="0" w:after="0" w:line="240" w:lineRule="auto"/>
              <w:jc w:val="center"/>
            </w:pPr>
            <w:r>
              <w:rPr>
                <w:color w:val="1A1B1A"/>
                <w:szCs w:val="17"/>
              </w:rPr>
              <w:t>8.0</w:t>
            </w:r>
          </w:p>
        </w:tc>
        <w:tc>
          <w:tcPr>
            <w:tcW w:w="312" w:type="pct"/>
            <w:vAlign w:val="center"/>
          </w:tcPr>
          <w:p w14:paraId="70061F7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5F2E5BD"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1.4</w:t>
            </w:r>
          </w:p>
        </w:tc>
        <w:tc>
          <w:tcPr>
            <w:tcW w:w="310" w:type="pct"/>
            <w:vAlign w:val="center"/>
          </w:tcPr>
          <w:p w14:paraId="426449B8"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40A65E4C" w14:textId="77777777" w:rsidTr="00444693">
        <w:trPr>
          <w:cantSplit/>
          <w:trHeight w:val="13"/>
        </w:trPr>
        <w:tc>
          <w:tcPr>
            <w:tcW w:w="521" w:type="pct"/>
            <w:vMerge/>
          </w:tcPr>
          <w:p w14:paraId="198C433E"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34FC599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0050AC8" w14:textId="77777777" w:rsidR="00CE1436" w:rsidRPr="00F33F63" w:rsidRDefault="00CE1436" w:rsidP="00444693">
            <w:pPr>
              <w:pStyle w:val="TableText"/>
              <w:widowControl w:val="0"/>
              <w:suppressAutoHyphens w:val="0"/>
              <w:spacing w:before="0" w:after="0" w:line="240" w:lineRule="auto"/>
            </w:pPr>
          </w:p>
        </w:tc>
        <w:tc>
          <w:tcPr>
            <w:tcW w:w="520" w:type="pct"/>
          </w:tcPr>
          <w:p w14:paraId="6C7B8534"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9B200F8"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1CDC0549" w14:textId="77777777" w:rsidR="00CE1436" w:rsidRDefault="00CE1436" w:rsidP="00444693">
            <w:pPr>
              <w:pStyle w:val="TableText"/>
              <w:widowControl w:val="0"/>
              <w:suppressAutoHyphens w:val="0"/>
              <w:spacing w:before="0" w:after="0" w:line="240" w:lineRule="auto"/>
              <w:jc w:val="center"/>
              <w:rPr>
                <w:szCs w:val="17"/>
              </w:rPr>
            </w:pPr>
            <w:r>
              <w:t>300</w:t>
            </w:r>
          </w:p>
        </w:tc>
        <w:tc>
          <w:tcPr>
            <w:tcW w:w="312" w:type="pct"/>
          </w:tcPr>
          <w:p w14:paraId="3FC3772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8BF888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6E6AAE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A37D277" w14:textId="77777777" w:rsidR="00CE1436" w:rsidRPr="003203B5" w:rsidRDefault="00CE1436" w:rsidP="00444693">
            <w:pPr>
              <w:pStyle w:val="TableText"/>
              <w:widowControl w:val="0"/>
              <w:suppressAutoHyphens w:val="0"/>
              <w:spacing w:before="0" w:after="0" w:line="240" w:lineRule="auto"/>
              <w:jc w:val="center"/>
            </w:pPr>
            <w:r>
              <w:rPr>
                <w:color w:val="1A1B1A"/>
                <w:szCs w:val="17"/>
              </w:rPr>
              <w:t>7.4</w:t>
            </w:r>
          </w:p>
        </w:tc>
        <w:tc>
          <w:tcPr>
            <w:tcW w:w="312" w:type="pct"/>
            <w:vAlign w:val="center"/>
          </w:tcPr>
          <w:p w14:paraId="1A91D1A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724FD3C"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1.3</w:t>
            </w:r>
          </w:p>
        </w:tc>
        <w:tc>
          <w:tcPr>
            <w:tcW w:w="310" w:type="pct"/>
            <w:vAlign w:val="center"/>
          </w:tcPr>
          <w:p w14:paraId="1113D385"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26584C6D" w14:textId="77777777" w:rsidTr="00444693">
        <w:trPr>
          <w:cantSplit/>
          <w:trHeight w:val="13"/>
        </w:trPr>
        <w:tc>
          <w:tcPr>
            <w:tcW w:w="521" w:type="pct"/>
            <w:vMerge/>
          </w:tcPr>
          <w:p w14:paraId="497C604D"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38749E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82A29C2" w14:textId="77777777" w:rsidR="00CE1436" w:rsidRPr="00F33F63" w:rsidRDefault="00CE1436" w:rsidP="00444693">
            <w:pPr>
              <w:pStyle w:val="TableText"/>
              <w:widowControl w:val="0"/>
              <w:suppressAutoHyphens w:val="0"/>
              <w:spacing w:before="0" w:after="0" w:line="240" w:lineRule="auto"/>
            </w:pPr>
          </w:p>
        </w:tc>
        <w:tc>
          <w:tcPr>
            <w:tcW w:w="520" w:type="pct"/>
          </w:tcPr>
          <w:p w14:paraId="4490DC5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4616F17"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28EF8067" w14:textId="77777777" w:rsidR="00CE1436" w:rsidRDefault="00CE1436" w:rsidP="00444693">
            <w:pPr>
              <w:pStyle w:val="TableText"/>
              <w:widowControl w:val="0"/>
              <w:suppressAutoHyphens w:val="0"/>
              <w:spacing w:before="0" w:after="0" w:line="240" w:lineRule="auto"/>
              <w:jc w:val="center"/>
              <w:rPr>
                <w:szCs w:val="17"/>
              </w:rPr>
            </w:pPr>
            <w:r>
              <w:t>216</w:t>
            </w:r>
          </w:p>
        </w:tc>
        <w:tc>
          <w:tcPr>
            <w:tcW w:w="312" w:type="pct"/>
          </w:tcPr>
          <w:p w14:paraId="071DA7F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7C2741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9EBA43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0089FDD" w14:textId="77777777" w:rsidR="00CE1436" w:rsidRPr="003203B5" w:rsidRDefault="00CE1436" w:rsidP="00444693">
            <w:pPr>
              <w:pStyle w:val="TableText"/>
              <w:widowControl w:val="0"/>
              <w:suppressAutoHyphens w:val="0"/>
              <w:spacing w:before="0" w:after="0" w:line="240" w:lineRule="auto"/>
              <w:jc w:val="center"/>
            </w:pPr>
            <w:r>
              <w:rPr>
                <w:color w:val="1A1B1A"/>
                <w:szCs w:val="17"/>
              </w:rPr>
              <w:t>5.3</w:t>
            </w:r>
          </w:p>
        </w:tc>
        <w:tc>
          <w:tcPr>
            <w:tcW w:w="312" w:type="pct"/>
            <w:vAlign w:val="center"/>
          </w:tcPr>
          <w:p w14:paraId="65E9A3B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F3BB4A6" w14:textId="77777777" w:rsidR="00CE1436" w:rsidRPr="0023247F" w:rsidRDefault="00CE1436" w:rsidP="00444693">
            <w:pPr>
              <w:pStyle w:val="TableText"/>
              <w:widowControl w:val="0"/>
              <w:suppressAutoHyphens w:val="0"/>
              <w:spacing w:before="0" w:after="0" w:line="240" w:lineRule="auto"/>
              <w:jc w:val="center"/>
            </w:pPr>
            <w:r>
              <w:rPr>
                <w:color w:val="1A1B1A"/>
                <w:szCs w:val="17"/>
              </w:rPr>
              <w:t>0.94</w:t>
            </w:r>
          </w:p>
        </w:tc>
        <w:tc>
          <w:tcPr>
            <w:tcW w:w="310" w:type="pct"/>
            <w:vAlign w:val="center"/>
          </w:tcPr>
          <w:p w14:paraId="408E18C0"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5C548939" w14:textId="77777777" w:rsidTr="00444693">
        <w:trPr>
          <w:cantSplit/>
          <w:trHeight w:val="13"/>
        </w:trPr>
        <w:tc>
          <w:tcPr>
            <w:tcW w:w="521" w:type="pct"/>
            <w:vMerge/>
          </w:tcPr>
          <w:p w14:paraId="2478C0CD"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7892BB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45F3B56" w14:textId="77777777" w:rsidR="00CE1436" w:rsidRPr="00F33F63" w:rsidRDefault="00CE1436" w:rsidP="00444693">
            <w:pPr>
              <w:pStyle w:val="TableText"/>
              <w:widowControl w:val="0"/>
              <w:suppressAutoHyphens w:val="0"/>
              <w:spacing w:before="0" w:after="0" w:line="240" w:lineRule="auto"/>
            </w:pPr>
          </w:p>
        </w:tc>
        <w:tc>
          <w:tcPr>
            <w:tcW w:w="520" w:type="pct"/>
          </w:tcPr>
          <w:p w14:paraId="0474380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994FEE2"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64032EB8" w14:textId="77777777" w:rsidR="00CE1436" w:rsidRDefault="00CE1436" w:rsidP="00444693">
            <w:pPr>
              <w:pStyle w:val="TableText"/>
              <w:widowControl w:val="0"/>
              <w:suppressAutoHyphens w:val="0"/>
              <w:spacing w:before="0" w:after="0" w:line="240" w:lineRule="auto"/>
              <w:jc w:val="center"/>
              <w:rPr>
                <w:szCs w:val="17"/>
              </w:rPr>
            </w:pPr>
            <w:r>
              <w:t>203</w:t>
            </w:r>
          </w:p>
        </w:tc>
        <w:tc>
          <w:tcPr>
            <w:tcW w:w="312" w:type="pct"/>
          </w:tcPr>
          <w:p w14:paraId="6924242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A8CE2A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9E0411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B2DE51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5.0</w:t>
            </w:r>
          </w:p>
        </w:tc>
        <w:tc>
          <w:tcPr>
            <w:tcW w:w="312" w:type="pct"/>
            <w:vAlign w:val="center"/>
          </w:tcPr>
          <w:p w14:paraId="1AB9DBF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737CF25" w14:textId="77777777" w:rsidR="00CE1436" w:rsidRPr="00886278" w:rsidRDefault="00CE1436" w:rsidP="00444693">
            <w:pPr>
              <w:pStyle w:val="TableText"/>
              <w:widowControl w:val="0"/>
              <w:suppressAutoHyphens w:val="0"/>
              <w:spacing w:before="0" w:after="0" w:line="240" w:lineRule="auto"/>
              <w:jc w:val="center"/>
            </w:pPr>
            <w:r>
              <w:rPr>
                <w:color w:val="1A1B1A"/>
                <w:szCs w:val="17"/>
              </w:rPr>
              <w:t>0.88</w:t>
            </w:r>
          </w:p>
        </w:tc>
        <w:tc>
          <w:tcPr>
            <w:tcW w:w="310" w:type="pct"/>
            <w:vAlign w:val="center"/>
          </w:tcPr>
          <w:p w14:paraId="63129E6C"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47245C38" w14:textId="77777777" w:rsidTr="00444693">
        <w:trPr>
          <w:cantSplit/>
          <w:trHeight w:val="13"/>
        </w:trPr>
        <w:tc>
          <w:tcPr>
            <w:tcW w:w="521" w:type="pct"/>
            <w:vMerge/>
          </w:tcPr>
          <w:p w14:paraId="32213071"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3E4C25A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A4C95BE" w14:textId="77777777" w:rsidR="00CE1436" w:rsidRPr="00F33F63" w:rsidRDefault="00CE1436" w:rsidP="00444693">
            <w:pPr>
              <w:pStyle w:val="TableText"/>
              <w:widowControl w:val="0"/>
              <w:suppressAutoHyphens w:val="0"/>
              <w:spacing w:before="0" w:after="0" w:line="240" w:lineRule="auto"/>
            </w:pPr>
          </w:p>
        </w:tc>
        <w:tc>
          <w:tcPr>
            <w:tcW w:w="520" w:type="pct"/>
          </w:tcPr>
          <w:p w14:paraId="37193DF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E6BF3F1"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6E7A4701" w14:textId="77777777" w:rsidR="00CE1436" w:rsidRPr="00886278" w:rsidRDefault="00CE1436" w:rsidP="00444693">
            <w:pPr>
              <w:pStyle w:val="TableText"/>
              <w:widowControl w:val="0"/>
              <w:suppressAutoHyphens w:val="0"/>
              <w:spacing w:before="0" w:after="0" w:line="240" w:lineRule="auto"/>
              <w:jc w:val="center"/>
              <w:rPr>
                <w:szCs w:val="17"/>
              </w:rPr>
            </w:pPr>
            <w:r>
              <w:t>200</w:t>
            </w:r>
          </w:p>
        </w:tc>
        <w:tc>
          <w:tcPr>
            <w:tcW w:w="312" w:type="pct"/>
          </w:tcPr>
          <w:p w14:paraId="6402E52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E1CEEE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7057AB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842A3AA"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4.9</w:t>
            </w:r>
          </w:p>
        </w:tc>
        <w:tc>
          <w:tcPr>
            <w:tcW w:w="312" w:type="pct"/>
            <w:vAlign w:val="center"/>
          </w:tcPr>
          <w:p w14:paraId="3F8D860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35B8925" w14:textId="77777777" w:rsidR="00CE1436" w:rsidRPr="00886278" w:rsidRDefault="00CE1436" w:rsidP="00444693">
            <w:pPr>
              <w:pStyle w:val="TableText"/>
              <w:widowControl w:val="0"/>
              <w:suppressAutoHyphens w:val="0"/>
              <w:spacing w:before="0" w:after="0" w:line="240" w:lineRule="auto"/>
              <w:jc w:val="center"/>
            </w:pPr>
            <w:r>
              <w:rPr>
                <w:color w:val="1A1B1A"/>
                <w:szCs w:val="17"/>
              </w:rPr>
              <w:t>0.87</w:t>
            </w:r>
          </w:p>
        </w:tc>
        <w:tc>
          <w:tcPr>
            <w:tcW w:w="310" w:type="pct"/>
            <w:vAlign w:val="center"/>
          </w:tcPr>
          <w:p w14:paraId="59A918AC"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12F63862" w14:textId="77777777" w:rsidTr="00444693">
        <w:trPr>
          <w:cantSplit/>
          <w:trHeight w:val="13"/>
        </w:trPr>
        <w:tc>
          <w:tcPr>
            <w:tcW w:w="521" w:type="pct"/>
            <w:vMerge/>
          </w:tcPr>
          <w:p w14:paraId="58F2B319"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1CDAF5B"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ACD17C3" w14:textId="77777777" w:rsidR="00CE1436" w:rsidRPr="00F33F63" w:rsidRDefault="00CE1436" w:rsidP="00444693">
            <w:pPr>
              <w:pStyle w:val="TableText"/>
              <w:widowControl w:val="0"/>
              <w:suppressAutoHyphens w:val="0"/>
              <w:spacing w:before="0" w:after="0" w:line="240" w:lineRule="auto"/>
            </w:pPr>
          </w:p>
        </w:tc>
        <w:tc>
          <w:tcPr>
            <w:tcW w:w="520" w:type="pct"/>
          </w:tcPr>
          <w:p w14:paraId="29158EA6"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B0E450E"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2D7C0041" w14:textId="77777777" w:rsidR="00CE1436" w:rsidRDefault="00CE1436" w:rsidP="00444693">
            <w:pPr>
              <w:pStyle w:val="TableText"/>
              <w:widowControl w:val="0"/>
              <w:suppressAutoHyphens w:val="0"/>
              <w:spacing w:before="0" w:after="0" w:line="240" w:lineRule="auto"/>
              <w:jc w:val="center"/>
              <w:rPr>
                <w:szCs w:val="17"/>
              </w:rPr>
            </w:pPr>
            <w:r>
              <w:t>173</w:t>
            </w:r>
          </w:p>
        </w:tc>
        <w:tc>
          <w:tcPr>
            <w:tcW w:w="312" w:type="pct"/>
          </w:tcPr>
          <w:p w14:paraId="0922931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E72565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3661D4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F7EA51C"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4.3</w:t>
            </w:r>
          </w:p>
        </w:tc>
        <w:tc>
          <w:tcPr>
            <w:tcW w:w="312" w:type="pct"/>
            <w:vAlign w:val="center"/>
          </w:tcPr>
          <w:p w14:paraId="0890D50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74832D3" w14:textId="77777777" w:rsidR="00CE1436" w:rsidRPr="00886278" w:rsidRDefault="00CE1436" w:rsidP="00444693">
            <w:pPr>
              <w:pStyle w:val="TableText"/>
              <w:widowControl w:val="0"/>
              <w:suppressAutoHyphens w:val="0"/>
              <w:spacing w:before="0" w:after="0" w:line="240" w:lineRule="auto"/>
              <w:jc w:val="center"/>
            </w:pPr>
            <w:r>
              <w:rPr>
                <w:color w:val="1A1B1A"/>
                <w:szCs w:val="17"/>
              </w:rPr>
              <w:t>0.75</w:t>
            </w:r>
          </w:p>
        </w:tc>
        <w:tc>
          <w:tcPr>
            <w:tcW w:w="310" w:type="pct"/>
            <w:vAlign w:val="center"/>
          </w:tcPr>
          <w:p w14:paraId="67D2899D"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0E851B38" w14:textId="77777777" w:rsidTr="00444693">
        <w:trPr>
          <w:cantSplit/>
          <w:trHeight w:val="13"/>
        </w:trPr>
        <w:tc>
          <w:tcPr>
            <w:tcW w:w="521" w:type="pct"/>
            <w:vMerge/>
          </w:tcPr>
          <w:p w14:paraId="0ADDD41B"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B1ED4B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8D45B0E" w14:textId="77777777" w:rsidR="00CE1436" w:rsidRPr="00F33F63" w:rsidRDefault="00CE1436" w:rsidP="00444693">
            <w:pPr>
              <w:pStyle w:val="TableText"/>
              <w:widowControl w:val="0"/>
              <w:suppressAutoHyphens w:val="0"/>
              <w:spacing w:before="0" w:after="0" w:line="240" w:lineRule="auto"/>
            </w:pPr>
          </w:p>
        </w:tc>
        <w:tc>
          <w:tcPr>
            <w:tcW w:w="520" w:type="pct"/>
          </w:tcPr>
          <w:p w14:paraId="35B626C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7FAF325"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614E8B29" w14:textId="77777777" w:rsidR="00CE1436" w:rsidRDefault="00CE1436" w:rsidP="00444693">
            <w:pPr>
              <w:pStyle w:val="TableText"/>
              <w:widowControl w:val="0"/>
              <w:suppressAutoHyphens w:val="0"/>
              <w:spacing w:before="0" w:after="0" w:line="240" w:lineRule="auto"/>
              <w:jc w:val="center"/>
              <w:rPr>
                <w:szCs w:val="17"/>
              </w:rPr>
            </w:pPr>
            <w:r>
              <w:t>165</w:t>
            </w:r>
          </w:p>
        </w:tc>
        <w:tc>
          <w:tcPr>
            <w:tcW w:w="312" w:type="pct"/>
          </w:tcPr>
          <w:p w14:paraId="1D3D90F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DF025B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0E45F6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42C1462" w14:textId="77777777" w:rsidR="00CE1436" w:rsidRPr="003203B5" w:rsidRDefault="00CE1436" w:rsidP="00444693">
            <w:pPr>
              <w:pStyle w:val="TableText"/>
              <w:widowControl w:val="0"/>
              <w:suppressAutoHyphens w:val="0"/>
              <w:spacing w:before="0" w:after="0" w:line="240" w:lineRule="auto"/>
              <w:jc w:val="center"/>
            </w:pPr>
            <w:r>
              <w:rPr>
                <w:color w:val="1A1B1A"/>
                <w:szCs w:val="17"/>
              </w:rPr>
              <w:t>4.1</w:t>
            </w:r>
          </w:p>
        </w:tc>
        <w:tc>
          <w:tcPr>
            <w:tcW w:w="312" w:type="pct"/>
            <w:vAlign w:val="center"/>
          </w:tcPr>
          <w:p w14:paraId="1A16CF0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8109701" w14:textId="77777777" w:rsidR="00CE1436" w:rsidRPr="0023247F" w:rsidRDefault="00CE1436" w:rsidP="00444693">
            <w:pPr>
              <w:pStyle w:val="TableText"/>
              <w:widowControl w:val="0"/>
              <w:suppressAutoHyphens w:val="0"/>
              <w:spacing w:before="0" w:after="0" w:line="240" w:lineRule="auto"/>
              <w:jc w:val="center"/>
            </w:pPr>
            <w:r>
              <w:rPr>
                <w:color w:val="1A1B1A"/>
                <w:szCs w:val="17"/>
              </w:rPr>
              <w:t>0.72</w:t>
            </w:r>
          </w:p>
        </w:tc>
        <w:tc>
          <w:tcPr>
            <w:tcW w:w="310" w:type="pct"/>
            <w:vAlign w:val="center"/>
          </w:tcPr>
          <w:p w14:paraId="2F7DF74D"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4BE7708A" w14:textId="77777777" w:rsidTr="00444693">
        <w:trPr>
          <w:cantSplit/>
          <w:trHeight w:val="13"/>
        </w:trPr>
        <w:tc>
          <w:tcPr>
            <w:tcW w:w="521" w:type="pct"/>
            <w:vMerge/>
          </w:tcPr>
          <w:p w14:paraId="2371E972"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6415736F"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5FA4BEF" w14:textId="77777777" w:rsidR="00CE1436" w:rsidRPr="00F33F63" w:rsidRDefault="00CE1436" w:rsidP="00444693">
            <w:pPr>
              <w:pStyle w:val="TableText"/>
              <w:widowControl w:val="0"/>
              <w:suppressAutoHyphens w:val="0"/>
              <w:spacing w:before="0" w:after="0" w:line="240" w:lineRule="auto"/>
            </w:pPr>
          </w:p>
        </w:tc>
        <w:tc>
          <w:tcPr>
            <w:tcW w:w="520" w:type="pct"/>
          </w:tcPr>
          <w:p w14:paraId="0E3FC4C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F6DB00F"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6E080324" w14:textId="77777777" w:rsidR="00CE1436" w:rsidRDefault="00CE1436" w:rsidP="00444693">
            <w:pPr>
              <w:pStyle w:val="TableText"/>
              <w:widowControl w:val="0"/>
              <w:suppressAutoHyphens w:val="0"/>
              <w:spacing w:before="0" w:after="0" w:line="240" w:lineRule="auto"/>
              <w:jc w:val="center"/>
              <w:rPr>
                <w:szCs w:val="17"/>
              </w:rPr>
            </w:pPr>
            <w:r>
              <w:t>160</w:t>
            </w:r>
          </w:p>
        </w:tc>
        <w:tc>
          <w:tcPr>
            <w:tcW w:w="312" w:type="pct"/>
          </w:tcPr>
          <w:p w14:paraId="446D782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6A78EF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523896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F5BADDB" w14:textId="77777777" w:rsidR="00CE1436" w:rsidRPr="003203B5" w:rsidRDefault="00CE1436" w:rsidP="00444693">
            <w:pPr>
              <w:pStyle w:val="TableText"/>
              <w:widowControl w:val="0"/>
              <w:suppressAutoHyphens w:val="0"/>
              <w:spacing w:before="0" w:after="0" w:line="240" w:lineRule="auto"/>
              <w:jc w:val="center"/>
            </w:pPr>
            <w:r>
              <w:rPr>
                <w:color w:val="1A1B1A"/>
                <w:szCs w:val="17"/>
              </w:rPr>
              <w:t>4.0</w:t>
            </w:r>
          </w:p>
        </w:tc>
        <w:tc>
          <w:tcPr>
            <w:tcW w:w="312" w:type="pct"/>
            <w:vAlign w:val="center"/>
          </w:tcPr>
          <w:p w14:paraId="0B29783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0F483CE" w14:textId="77777777" w:rsidR="00CE1436" w:rsidRPr="0023247F" w:rsidRDefault="00CE1436" w:rsidP="00444693">
            <w:pPr>
              <w:pStyle w:val="TableText"/>
              <w:widowControl w:val="0"/>
              <w:suppressAutoHyphens w:val="0"/>
              <w:spacing w:before="0" w:after="0" w:line="240" w:lineRule="auto"/>
              <w:jc w:val="center"/>
            </w:pPr>
            <w:r>
              <w:rPr>
                <w:color w:val="1A1B1A"/>
                <w:szCs w:val="17"/>
              </w:rPr>
              <w:t>0.69</w:t>
            </w:r>
          </w:p>
        </w:tc>
        <w:tc>
          <w:tcPr>
            <w:tcW w:w="310" w:type="pct"/>
            <w:vAlign w:val="center"/>
          </w:tcPr>
          <w:p w14:paraId="4F7162C8"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55B51A72" w14:textId="77777777" w:rsidTr="00444693">
        <w:trPr>
          <w:cantSplit/>
          <w:trHeight w:val="13"/>
        </w:trPr>
        <w:tc>
          <w:tcPr>
            <w:tcW w:w="521" w:type="pct"/>
            <w:vMerge/>
          </w:tcPr>
          <w:p w14:paraId="08D54ED4"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A3DD5A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13B7D08" w14:textId="77777777" w:rsidR="00CE1436" w:rsidRPr="00F33F63" w:rsidRDefault="00CE1436" w:rsidP="00444693">
            <w:pPr>
              <w:pStyle w:val="TableText"/>
              <w:widowControl w:val="0"/>
              <w:suppressAutoHyphens w:val="0"/>
              <w:spacing w:before="0" w:after="0" w:line="240" w:lineRule="auto"/>
            </w:pPr>
          </w:p>
        </w:tc>
        <w:tc>
          <w:tcPr>
            <w:tcW w:w="520" w:type="pct"/>
          </w:tcPr>
          <w:p w14:paraId="5238697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9328744" w14:textId="77777777" w:rsidR="00CE1436" w:rsidRPr="00323407" w:rsidRDefault="00CE1436" w:rsidP="00444693">
            <w:pPr>
              <w:pStyle w:val="TableText"/>
              <w:widowControl w:val="0"/>
              <w:suppressAutoHyphens w:val="0"/>
              <w:spacing w:before="0" w:after="0" w:line="240" w:lineRule="auto"/>
              <w:jc w:val="center"/>
            </w:pPr>
            <w:r w:rsidRPr="00107061">
              <w:t>24.7</w:t>
            </w:r>
          </w:p>
        </w:tc>
        <w:tc>
          <w:tcPr>
            <w:tcW w:w="296" w:type="pct"/>
          </w:tcPr>
          <w:p w14:paraId="027C2CC6" w14:textId="77777777" w:rsidR="00CE1436" w:rsidRDefault="00CE1436" w:rsidP="00444693">
            <w:pPr>
              <w:pStyle w:val="TableText"/>
              <w:widowControl w:val="0"/>
              <w:suppressAutoHyphens w:val="0"/>
              <w:spacing w:before="0" w:after="0" w:line="240" w:lineRule="auto"/>
              <w:jc w:val="center"/>
              <w:rPr>
                <w:szCs w:val="17"/>
              </w:rPr>
            </w:pPr>
            <w:r>
              <w:t>150</w:t>
            </w:r>
          </w:p>
        </w:tc>
        <w:tc>
          <w:tcPr>
            <w:tcW w:w="312" w:type="pct"/>
          </w:tcPr>
          <w:p w14:paraId="70CE5F1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822501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768752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D6416DE"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3.7</w:t>
            </w:r>
          </w:p>
        </w:tc>
        <w:tc>
          <w:tcPr>
            <w:tcW w:w="312" w:type="pct"/>
            <w:vAlign w:val="center"/>
          </w:tcPr>
          <w:p w14:paraId="23CDFC1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04DF0F4" w14:textId="77777777" w:rsidR="00CE1436" w:rsidRPr="00886278" w:rsidRDefault="00CE1436" w:rsidP="00444693">
            <w:pPr>
              <w:pStyle w:val="TableText"/>
              <w:widowControl w:val="0"/>
              <w:suppressAutoHyphens w:val="0"/>
              <w:spacing w:before="0" w:after="0" w:line="240" w:lineRule="auto"/>
              <w:jc w:val="center"/>
            </w:pPr>
            <w:r>
              <w:rPr>
                <w:color w:val="1A1B1A"/>
                <w:szCs w:val="17"/>
              </w:rPr>
              <w:t>0.65</w:t>
            </w:r>
          </w:p>
        </w:tc>
        <w:tc>
          <w:tcPr>
            <w:tcW w:w="310" w:type="pct"/>
            <w:vAlign w:val="center"/>
          </w:tcPr>
          <w:p w14:paraId="39218341"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0E11353B" w14:textId="77777777" w:rsidTr="00444693">
        <w:trPr>
          <w:cantSplit/>
          <w:trHeight w:val="13"/>
        </w:trPr>
        <w:tc>
          <w:tcPr>
            <w:tcW w:w="521" w:type="pct"/>
            <w:vMerge/>
          </w:tcPr>
          <w:p w14:paraId="1FC46C58"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D7D392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8061DBA" w14:textId="77777777" w:rsidR="00CE1436" w:rsidRPr="00F33F63" w:rsidRDefault="00CE1436" w:rsidP="00444693">
            <w:pPr>
              <w:pStyle w:val="TableText"/>
              <w:widowControl w:val="0"/>
              <w:suppressAutoHyphens w:val="0"/>
              <w:spacing w:before="0" w:after="0" w:line="240" w:lineRule="auto"/>
            </w:pPr>
          </w:p>
        </w:tc>
        <w:tc>
          <w:tcPr>
            <w:tcW w:w="520" w:type="pct"/>
          </w:tcPr>
          <w:p w14:paraId="7DAF47E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8655E60"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73E26868" w14:textId="77777777" w:rsidR="00CE1436" w:rsidRDefault="00CE1436" w:rsidP="00444693">
            <w:pPr>
              <w:pStyle w:val="TableText"/>
              <w:widowControl w:val="0"/>
              <w:suppressAutoHyphens w:val="0"/>
              <w:spacing w:before="0" w:after="0" w:line="240" w:lineRule="auto"/>
              <w:jc w:val="center"/>
              <w:rPr>
                <w:szCs w:val="17"/>
              </w:rPr>
            </w:pPr>
            <w:r>
              <w:t>108</w:t>
            </w:r>
          </w:p>
        </w:tc>
        <w:tc>
          <w:tcPr>
            <w:tcW w:w="312" w:type="pct"/>
          </w:tcPr>
          <w:p w14:paraId="4FCC4E5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BE5996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23AB05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08B4B14" w14:textId="77777777" w:rsidR="00CE1436" w:rsidRPr="003203B5"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ACBF97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E2DEA5F" w14:textId="77777777" w:rsidR="00CE1436" w:rsidRPr="0023247F" w:rsidRDefault="00CE1436" w:rsidP="00444693">
            <w:pPr>
              <w:pStyle w:val="TableText"/>
              <w:widowControl w:val="0"/>
              <w:suppressAutoHyphens w:val="0"/>
              <w:spacing w:before="0" w:after="0" w:line="240" w:lineRule="auto"/>
              <w:jc w:val="center"/>
            </w:pPr>
            <w:r>
              <w:rPr>
                <w:color w:val="1A1B1A"/>
                <w:szCs w:val="17"/>
              </w:rPr>
              <w:t>0.47</w:t>
            </w:r>
          </w:p>
        </w:tc>
        <w:tc>
          <w:tcPr>
            <w:tcW w:w="310" w:type="pct"/>
            <w:vAlign w:val="center"/>
          </w:tcPr>
          <w:p w14:paraId="42854768"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2D07497C" w14:textId="77777777" w:rsidTr="00444693">
        <w:trPr>
          <w:cantSplit/>
          <w:trHeight w:val="13"/>
        </w:trPr>
        <w:tc>
          <w:tcPr>
            <w:tcW w:w="521" w:type="pct"/>
            <w:vMerge/>
          </w:tcPr>
          <w:p w14:paraId="4533C0BF"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6D762E9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9E60A1B" w14:textId="77777777" w:rsidR="00CE1436" w:rsidRPr="00F33F63" w:rsidRDefault="00CE1436" w:rsidP="00444693">
            <w:pPr>
              <w:pStyle w:val="TableText"/>
              <w:widowControl w:val="0"/>
              <w:suppressAutoHyphens w:val="0"/>
              <w:spacing w:before="0" w:after="0" w:line="240" w:lineRule="auto"/>
            </w:pPr>
          </w:p>
        </w:tc>
        <w:tc>
          <w:tcPr>
            <w:tcW w:w="520" w:type="pct"/>
          </w:tcPr>
          <w:p w14:paraId="391E90F1"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4AB2CF0" w14:textId="77777777" w:rsidR="00CE1436" w:rsidRPr="00733398" w:rsidRDefault="00CE1436" w:rsidP="00444693">
            <w:pPr>
              <w:pStyle w:val="TableText"/>
              <w:widowControl w:val="0"/>
              <w:suppressAutoHyphens w:val="0"/>
              <w:spacing w:before="0" w:after="0" w:line="240" w:lineRule="auto"/>
              <w:jc w:val="center"/>
            </w:pPr>
            <w:r w:rsidRPr="00107061">
              <w:t>24.7</w:t>
            </w:r>
          </w:p>
        </w:tc>
        <w:tc>
          <w:tcPr>
            <w:tcW w:w="296" w:type="pct"/>
          </w:tcPr>
          <w:p w14:paraId="15E7E6A8" w14:textId="77777777" w:rsidR="00CE1436" w:rsidRDefault="00CE1436" w:rsidP="00444693">
            <w:pPr>
              <w:pStyle w:val="TableText"/>
              <w:widowControl w:val="0"/>
              <w:suppressAutoHyphens w:val="0"/>
              <w:spacing w:before="0" w:after="0" w:line="240" w:lineRule="auto"/>
              <w:jc w:val="center"/>
              <w:rPr>
                <w:szCs w:val="17"/>
              </w:rPr>
            </w:pPr>
            <w:r>
              <w:t>100</w:t>
            </w:r>
          </w:p>
        </w:tc>
        <w:tc>
          <w:tcPr>
            <w:tcW w:w="312" w:type="pct"/>
          </w:tcPr>
          <w:p w14:paraId="7C886AF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87D28F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499DA2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D531A7A" w14:textId="77777777" w:rsidR="00CE1436" w:rsidRPr="003203B5" w:rsidRDefault="00CE1436" w:rsidP="00444693">
            <w:pPr>
              <w:pStyle w:val="TableText"/>
              <w:widowControl w:val="0"/>
              <w:suppressAutoHyphens w:val="0"/>
              <w:spacing w:before="0" w:after="0" w:line="240" w:lineRule="auto"/>
              <w:jc w:val="center"/>
            </w:pPr>
            <w:r>
              <w:rPr>
                <w:color w:val="1A1B1A"/>
                <w:szCs w:val="17"/>
              </w:rPr>
              <w:t>2.5</w:t>
            </w:r>
          </w:p>
        </w:tc>
        <w:tc>
          <w:tcPr>
            <w:tcW w:w="312" w:type="pct"/>
            <w:vAlign w:val="center"/>
          </w:tcPr>
          <w:p w14:paraId="282BB46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FB3C308" w14:textId="77777777" w:rsidR="00CE1436" w:rsidRPr="0023247F" w:rsidRDefault="00CE1436" w:rsidP="00444693">
            <w:pPr>
              <w:pStyle w:val="TableText"/>
              <w:widowControl w:val="0"/>
              <w:suppressAutoHyphens w:val="0"/>
              <w:spacing w:before="0" w:after="0" w:line="240" w:lineRule="auto"/>
              <w:jc w:val="center"/>
            </w:pPr>
            <w:r>
              <w:rPr>
                <w:color w:val="1A1B1A"/>
                <w:szCs w:val="17"/>
              </w:rPr>
              <w:t>0.43</w:t>
            </w:r>
          </w:p>
        </w:tc>
        <w:tc>
          <w:tcPr>
            <w:tcW w:w="310" w:type="pct"/>
            <w:vAlign w:val="center"/>
          </w:tcPr>
          <w:p w14:paraId="1E4DE2EC"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4779E9BF" w14:textId="77777777" w:rsidTr="00444693">
        <w:trPr>
          <w:cantSplit/>
          <w:trHeight w:val="13"/>
        </w:trPr>
        <w:tc>
          <w:tcPr>
            <w:tcW w:w="521" w:type="pct"/>
            <w:vMerge/>
          </w:tcPr>
          <w:p w14:paraId="0B9AD40B"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4DC5741A"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2B03D593" w14:textId="77777777" w:rsidR="00CE1436" w:rsidRPr="00F33F63"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4D2530DC" w14:textId="77777777" w:rsidR="00CE1436"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26D03433" w14:textId="77777777" w:rsidR="00CE1436" w:rsidRPr="00323407" w:rsidRDefault="00CE1436" w:rsidP="00444693">
            <w:pPr>
              <w:pStyle w:val="TableText"/>
              <w:widowControl w:val="0"/>
              <w:suppressAutoHyphens w:val="0"/>
              <w:spacing w:before="0" w:after="0" w:line="240" w:lineRule="auto"/>
              <w:jc w:val="center"/>
            </w:pPr>
            <w:r w:rsidRPr="00733398">
              <w:t>24.7</w:t>
            </w:r>
          </w:p>
        </w:tc>
        <w:tc>
          <w:tcPr>
            <w:tcW w:w="296" w:type="pct"/>
            <w:tcBorders>
              <w:bottom w:val="single" w:sz="4" w:space="0" w:color="auto"/>
            </w:tcBorders>
          </w:tcPr>
          <w:p w14:paraId="1C6F5EEC" w14:textId="77777777" w:rsidR="00CE1436" w:rsidRDefault="00CE1436" w:rsidP="00444693">
            <w:pPr>
              <w:pStyle w:val="TableText"/>
              <w:widowControl w:val="0"/>
              <w:suppressAutoHyphens w:val="0"/>
              <w:spacing w:before="0" w:after="0" w:line="240" w:lineRule="auto"/>
              <w:jc w:val="center"/>
              <w:rPr>
                <w:szCs w:val="17"/>
              </w:rPr>
            </w:pPr>
            <w:r>
              <w:t>75</w:t>
            </w:r>
          </w:p>
        </w:tc>
        <w:tc>
          <w:tcPr>
            <w:tcW w:w="312" w:type="pct"/>
            <w:tcBorders>
              <w:bottom w:val="single" w:sz="4" w:space="0" w:color="auto"/>
            </w:tcBorders>
          </w:tcPr>
          <w:p w14:paraId="779947C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4E6327B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4CF72E2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41B39C5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1.9</w:t>
            </w:r>
          </w:p>
        </w:tc>
        <w:tc>
          <w:tcPr>
            <w:tcW w:w="312" w:type="pct"/>
            <w:tcBorders>
              <w:bottom w:val="single" w:sz="4" w:space="0" w:color="auto"/>
            </w:tcBorders>
            <w:vAlign w:val="center"/>
          </w:tcPr>
          <w:p w14:paraId="2281723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5B07CC86" w14:textId="77777777" w:rsidR="00CE1436" w:rsidRPr="00886278" w:rsidRDefault="00CE1436" w:rsidP="00444693">
            <w:pPr>
              <w:pStyle w:val="TableText"/>
              <w:widowControl w:val="0"/>
              <w:suppressAutoHyphens w:val="0"/>
              <w:spacing w:before="0" w:after="0" w:line="240" w:lineRule="auto"/>
              <w:jc w:val="center"/>
            </w:pPr>
            <w:r>
              <w:rPr>
                <w:color w:val="1A1B1A"/>
                <w:szCs w:val="17"/>
              </w:rPr>
              <w:t>0.33</w:t>
            </w:r>
          </w:p>
        </w:tc>
        <w:tc>
          <w:tcPr>
            <w:tcW w:w="310" w:type="pct"/>
            <w:tcBorders>
              <w:bottom w:val="single" w:sz="4" w:space="0" w:color="auto"/>
            </w:tcBorders>
            <w:vAlign w:val="center"/>
          </w:tcPr>
          <w:p w14:paraId="553E0606"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1500ED65" w14:textId="77777777" w:rsidTr="00444693">
        <w:trPr>
          <w:cantSplit/>
          <w:trHeight w:val="13"/>
        </w:trPr>
        <w:tc>
          <w:tcPr>
            <w:tcW w:w="521" w:type="pct"/>
            <w:vMerge/>
          </w:tcPr>
          <w:p w14:paraId="2B092ED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1A578C09" w14:textId="77777777" w:rsidR="00CE1436" w:rsidRPr="00886278" w:rsidRDefault="00CE1436" w:rsidP="00444693">
            <w:pPr>
              <w:pStyle w:val="TableText"/>
              <w:widowControl w:val="0"/>
              <w:suppressAutoHyphens w:val="0"/>
              <w:spacing w:before="0" w:after="0" w:line="240" w:lineRule="auto"/>
              <w:rPr>
                <w:szCs w:val="17"/>
              </w:rPr>
            </w:pPr>
            <w:r w:rsidRPr="00C13A11">
              <w:t xml:space="preserve">Large </w:t>
            </w:r>
            <w:r w:rsidRPr="00C13A11">
              <w:lastRenderedPageBreak/>
              <w:t>herbivore</w:t>
            </w:r>
          </w:p>
        </w:tc>
        <w:tc>
          <w:tcPr>
            <w:tcW w:w="445" w:type="pct"/>
            <w:vMerge w:val="restart"/>
            <w:tcBorders>
              <w:top w:val="single" w:sz="4" w:space="0" w:color="auto"/>
            </w:tcBorders>
          </w:tcPr>
          <w:p w14:paraId="2BA3EE24" w14:textId="77777777" w:rsidR="00CE1436" w:rsidRPr="00886278" w:rsidRDefault="00CE1436" w:rsidP="00444693">
            <w:pPr>
              <w:pStyle w:val="TableText"/>
              <w:widowControl w:val="0"/>
              <w:suppressAutoHyphens w:val="0"/>
              <w:spacing w:before="0" w:after="0" w:line="240" w:lineRule="auto"/>
              <w:rPr>
                <w:szCs w:val="17"/>
              </w:rPr>
            </w:pPr>
            <w:r w:rsidRPr="00F33F63">
              <w:lastRenderedPageBreak/>
              <w:t xml:space="preserve">Growing </w:t>
            </w:r>
            <w:r w:rsidRPr="00F33F63">
              <w:lastRenderedPageBreak/>
              <w:t>shoots</w:t>
            </w:r>
          </w:p>
        </w:tc>
        <w:tc>
          <w:tcPr>
            <w:tcW w:w="520" w:type="pct"/>
            <w:tcBorders>
              <w:top w:val="single" w:sz="4" w:space="0" w:color="auto"/>
            </w:tcBorders>
          </w:tcPr>
          <w:p w14:paraId="4AF3AFBF" w14:textId="77777777" w:rsidR="00CE1436" w:rsidRPr="00886278" w:rsidRDefault="00CE1436" w:rsidP="00444693">
            <w:pPr>
              <w:pStyle w:val="TableText"/>
              <w:widowControl w:val="0"/>
              <w:suppressAutoHyphens w:val="0"/>
              <w:spacing w:before="0" w:after="0" w:line="240" w:lineRule="auto"/>
              <w:jc w:val="center"/>
              <w:rPr>
                <w:szCs w:val="17"/>
              </w:rPr>
            </w:pPr>
            <w:r w:rsidRPr="001B5959">
              <w:rPr>
                <w:szCs w:val="17"/>
              </w:rPr>
              <w:lastRenderedPageBreak/>
              <w:t>Acute</w:t>
            </w:r>
          </w:p>
        </w:tc>
        <w:tc>
          <w:tcPr>
            <w:tcW w:w="446" w:type="pct"/>
            <w:tcBorders>
              <w:top w:val="single" w:sz="4" w:space="0" w:color="auto"/>
            </w:tcBorders>
          </w:tcPr>
          <w:p w14:paraId="01AA15F8" w14:textId="77777777" w:rsidR="00CE1436" w:rsidRPr="00886278" w:rsidRDefault="00CE1436" w:rsidP="00444693">
            <w:pPr>
              <w:pStyle w:val="TableText"/>
              <w:widowControl w:val="0"/>
              <w:suppressAutoHyphens w:val="0"/>
              <w:spacing w:before="0" w:after="0" w:line="240" w:lineRule="auto"/>
              <w:jc w:val="center"/>
              <w:rPr>
                <w:szCs w:val="17"/>
              </w:rPr>
            </w:pPr>
            <w:r w:rsidRPr="00323407">
              <w:t>30.5</w:t>
            </w:r>
          </w:p>
        </w:tc>
        <w:tc>
          <w:tcPr>
            <w:tcW w:w="296" w:type="pct"/>
            <w:tcBorders>
              <w:top w:val="single" w:sz="4" w:space="0" w:color="auto"/>
            </w:tcBorders>
          </w:tcPr>
          <w:p w14:paraId="75198DED" w14:textId="77777777" w:rsidR="00CE1436" w:rsidRPr="00886278" w:rsidRDefault="00CE1436" w:rsidP="00444693">
            <w:pPr>
              <w:pStyle w:val="TableText"/>
              <w:widowControl w:val="0"/>
              <w:suppressAutoHyphens w:val="0"/>
              <w:spacing w:before="0" w:after="0" w:line="240" w:lineRule="auto"/>
              <w:jc w:val="center"/>
              <w:rPr>
                <w:szCs w:val="17"/>
              </w:rPr>
            </w:pPr>
            <w:r>
              <w:t>1140</w:t>
            </w:r>
          </w:p>
        </w:tc>
        <w:tc>
          <w:tcPr>
            <w:tcW w:w="312" w:type="pct"/>
            <w:tcBorders>
              <w:top w:val="single" w:sz="4" w:space="0" w:color="auto"/>
            </w:tcBorders>
          </w:tcPr>
          <w:p w14:paraId="7066BE33"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309B8EB5"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5ABE8A0C"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5AC2D57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35</w:t>
            </w:r>
          </w:p>
        </w:tc>
        <w:tc>
          <w:tcPr>
            <w:tcW w:w="312" w:type="pct"/>
            <w:tcBorders>
              <w:top w:val="single" w:sz="4" w:space="0" w:color="auto"/>
            </w:tcBorders>
            <w:vAlign w:val="center"/>
          </w:tcPr>
          <w:p w14:paraId="7F83E74E"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024D9A91"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6.1</w:t>
            </w:r>
          </w:p>
        </w:tc>
        <w:tc>
          <w:tcPr>
            <w:tcW w:w="310" w:type="pct"/>
            <w:tcBorders>
              <w:top w:val="single" w:sz="4" w:space="0" w:color="auto"/>
            </w:tcBorders>
            <w:vAlign w:val="center"/>
          </w:tcPr>
          <w:p w14:paraId="762F70A2"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4B337630" w14:textId="77777777" w:rsidTr="00444693">
        <w:trPr>
          <w:cantSplit/>
          <w:trHeight w:val="13"/>
        </w:trPr>
        <w:tc>
          <w:tcPr>
            <w:tcW w:w="521" w:type="pct"/>
            <w:vMerge/>
          </w:tcPr>
          <w:p w14:paraId="5F9FED8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567D92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C01FB0A" w14:textId="77777777" w:rsidR="00CE1436" w:rsidRPr="00F33F63" w:rsidRDefault="00CE1436" w:rsidP="00444693">
            <w:pPr>
              <w:pStyle w:val="TableText"/>
              <w:widowControl w:val="0"/>
              <w:suppressAutoHyphens w:val="0"/>
              <w:spacing w:before="0" w:after="0" w:line="240" w:lineRule="auto"/>
            </w:pPr>
          </w:p>
        </w:tc>
        <w:tc>
          <w:tcPr>
            <w:tcW w:w="520" w:type="pct"/>
          </w:tcPr>
          <w:p w14:paraId="03089AFC"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7C2E5BAF"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198033E0" w14:textId="77777777" w:rsidR="00CE1436" w:rsidRDefault="00CE1436" w:rsidP="00444693">
            <w:pPr>
              <w:pStyle w:val="TableText"/>
              <w:widowControl w:val="0"/>
              <w:suppressAutoHyphens w:val="0"/>
              <w:spacing w:before="0" w:after="0" w:line="240" w:lineRule="auto"/>
              <w:jc w:val="center"/>
              <w:rPr>
                <w:szCs w:val="17"/>
              </w:rPr>
            </w:pPr>
            <w:r>
              <w:t>1125</w:t>
            </w:r>
          </w:p>
        </w:tc>
        <w:tc>
          <w:tcPr>
            <w:tcW w:w="312" w:type="pct"/>
          </w:tcPr>
          <w:p w14:paraId="6652E71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5798CC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31B1D3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23D90AA" w14:textId="77777777" w:rsidR="00CE1436" w:rsidRPr="003203B5" w:rsidRDefault="00CE1436" w:rsidP="00444693">
            <w:pPr>
              <w:pStyle w:val="TableText"/>
              <w:widowControl w:val="0"/>
              <w:suppressAutoHyphens w:val="0"/>
              <w:spacing w:before="0" w:after="0" w:line="240" w:lineRule="auto"/>
              <w:jc w:val="center"/>
            </w:pPr>
            <w:r>
              <w:rPr>
                <w:color w:val="1A1B1A"/>
                <w:szCs w:val="17"/>
              </w:rPr>
              <w:t>34</w:t>
            </w:r>
          </w:p>
        </w:tc>
        <w:tc>
          <w:tcPr>
            <w:tcW w:w="312" w:type="pct"/>
            <w:vAlign w:val="center"/>
          </w:tcPr>
          <w:p w14:paraId="3EE3ABF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F49E7D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6.0</w:t>
            </w:r>
          </w:p>
        </w:tc>
        <w:tc>
          <w:tcPr>
            <w:tcW w:w="310" w:type="pct"/>
            <w:vAlign w:val="center"/>
          </w:tcPr>
          <w:p w14:paraId="115028A1"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30EFC980" w14:textId="77777777" w:rsidTr="00444693">
        <w:trPr>
          <w:cantSplit/>
          <w:trHeight w:val="13"/>
        </w:trPr>
        <w:tc>
          <w:tcPr>
            <w:tcW w:w="521" w:type="pct"/>
            <w:vMerge/>
          </w:tcPr>
          <w:p w14:paraId="1049F72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09AE28B"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0F1A664" w14:textId="77777777" w:rsidR="00CE1436" w:rsidRPr="00F33F63" w:rsidRDefault="00CE1436" w:rsidP="00444693">
            <w:pPr>
              <w:pStyle w:val="TableText"/>
              <w:widowControl w:val="0"/>
              <w:suppressAutoHyphens w:val="0"/>
              <w:spacing w:before="0" w:after="0" w:line="240" w:lineRule="auto"/>
            </w:pPr>
          </w:p>
        </w:tc>
        <w:tc>
          <w:tcPr>
            <w:tcW w:w="520" w:type="pct"/>
          </w:tcPr>
          <w:p w14:paraId="61893780"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68230164"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21F935A4" w14:textId="77777777" w:rsidR="00CE1436" w:rsidRDefault="00CE1436" w:rsidP="00444693">
            <w:pPr>
              <w:pStyle w:val="TableText"/>
              <w:widowControl w:val="0"/>
              <w:suppressAutoHyphens w:val="0"/>
              <w:spacing w:before="0" w:after="0" w:line="240" w:lineRule="auto"/>
              <w:jc w:val="center"/>
              <w:rPr>
                <w:szCs w:val="17"/>
              </w:rPr>
            </w:pPr>
            <w:r>
              <w:t>1000</w:t>
            </w:r>
          </w:p>
        </w:tc>
        <w:tc>
          <w:tcPr>
            <w:tcW w:w="312" w:type="pct"/>
          </w:tcPr>
          <w:p w14:paraId="708BA60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86D1F0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D4C2A4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DFEE4B8" w14:textId="77777777" w:rsidR="00CE1436" w:rsidRPr="003203B5"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36995B8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4585D06"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5.4</w:t>
            </w:r>
          </w:p>
        </w:tc>
        <w:tc>
          <w:tcPr>
            <w:tcW w:w="310" w:type="pct"/>
            <w:vAlign w:val="center"/>
          </w:tcPr>
          <w:p w14:paraId="3CF57E01"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061E53BD" w14:textId="77777777" w:rsidTr="00444693">
        <w:trPr>
          <w:cantSplit/>
          <w:trHeight w:val="13"/>
        </w:trPr>
        <w:tc>
          <w:tcPr>
            <w:tcW w:w="521" w:type="pct"/>
            <w:vMerge/>
          </w:tcPr>
          <w:p w14:paraId="7A1204D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051C2E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BAE839C" w14:textId="77777777" w:rsidR="00CE1436" w:rsidRPr="00F33F63" w:rsidRDefault="00CE1436" w:rsidP="00444693">
            <w:pPr>
              <w:pStyle w:val="TableText"/>
              <w:widowControl w:val="0"/>
              <w:suppressAutoHyphens w:val="0"/>
              <w:spacing w:before="0" w:after="0" w:line="240" w:lineRule="auto"/>
            </w:pPr>
          </w:p>
        </w:tc>
        <w:tc>
          <w:tcPr>
            <w:tcW w:w="520" w:type="pct"/>
          </w:tcPr>
          <w:p w14:paraId="70FBEF41"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0C168CEC"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5828FA65" w14:textId="77777777" w:rsidR="00CE1436" w:rsidRDefault="00CE1436" w:rsidP="00444693">
            <w:pPr>
              <w:pStyle w:val="TableText"/>
              <w:widowControl w:val="0"/>
              <w:suppressAutoHyphens w:val="0"/>
              <w:spacing w:before="0" w:after="0" w:line="240" w:lineRule="auto"/>
              <w:jc w:val="center"/>
              <w:rPr>
                <w:szCs w:val="17"/>
              </w:rPr>
            </w:pPr>
            <w:r>
              <w:t>850</w:t>
            </w:r>
          </w:p>
        </w:tc>
        <w:tc>
          <w:tcPr>
            <w:tcW w:w="312" w:type="pct"/>
          </w:tcPr>
          <w:p w14:paraId="371AEB8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ECA770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845315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182C2B9"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4075378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BE02DD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4.5</w:t>
            </w:r>
          </w:p>
        </w:tc>
        <w:tc>
          <w:tcPr>
            <w:tcW w:w="310" w:type="pct"/>
            <w:vAlign w:val="center"/>
          </w:tcPr>
          <w:p w14:paraId="124BEF0C"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1E6F3EBE" w14:textId="77777777" w:rsidTr="00444693">
        <w:trPr>
          <w:cantSplit/>
          <w:trHeight w:val="13"/>
        </w:trPr>
        <w:tc>
          <w:tcPr>
            <w:tcW w:w="521" w:type="pct"/>
            <w:vMerge/>
          </w:tcPr>
          <w:p w14:paraId="547F2BD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DC28B9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B71CC37" w14:textId="77777777" w:rsidR="00CE1436" w:rsidRPr="00F33F63" w:rsidRDefault="00CE1436" w:rsidP="00444693">
            <w:pPr>
              <w:pStyle w:val="TableText"/>
              <w:widowControl w:val="0"/>
              <w:suppressAutoHyphens w:val="0"/>
              <w:spacing w:before="0" w:after="0" w:line="240" w:lineRule="auto"/>
            </w:pPr>
          </w:p>
        </w:tc>
        <w:tc>
          <w:tcPr>
            <w:tcW w:w="520" w:type="pct"/>
          </w:tcPr>
          <w:p w14:paraId="77B421D5"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482F000"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3E3E0126" w14:textId="77777777" w:rsidR="00CE1436" w:rsidRPr="00886278" w:rsidRDefault="00CE1436" w:rsidP="00444693">
            <w:pPr>
              <w:pStyle w:val="TableText"/>
              <w:widowControl w:val="0"/>
              <w:suppressAutoHyphens w:val="0"/>
              <w:spacing w:before="0" w:after="0" w:line="240" w:lineRule="auto"/>
              <w:jc w:val="center"/>
              <w:rPr>
                <w:szCs w:val="17"/>
              </w:rPr>
            </w:pPr>
            <w:r>
              <w:t>840</w:t>
            </w:r>
          </w:p>
        </w:tc>
        <w:tc>
          <w:tcPr>
            <w:tcW w:w="312" w:type="pct"/>
          </w:tcPr>
          <w:p w14:paraId="6BBEDDC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44F065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6B40D5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471214B"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26</w:t>
            </w:r>
          </w:p>
        </w:tc>
        <w:tc>
          <w:tcPr>
            <w:tcW w:w="312" w:type="pct"/>
            <w:vAlign w:val="center"/>
          </w:tcPr>
          <w:p w14:paraId="73170DCA"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678EC87"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4.5</w:t>
            </w:r>
          </w:p>
        </w:tc>
        <w:tc>
          <w:tcPr>
            <w:tcW w:w="310" w:type="pct"/>
            <w:vAlign w:val="center"/>
          </w:tcPr>
          <w:p w14:paraId="7816D17A"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26E766F0" w14:textId="77777777" w:rsidTr="00444693">
        <w:trPr>
          <w:cantSplit/>
          <w:trHeight w:val="13"/>
        </w:trPr>
        <w:tc>
          <w:tcPr>
            <w:tcW w:w="521" w:type="pct"/>
            <w:vMerge/>
          </w:tcPr>
          <w:p w14:paraId="2CC6B79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E7E2160"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7D353F1" w14:textId="77777777" w:rsidR="00CE1436" w:rsidRPr="00F33F63" w:rsidRDefault="00CE1436" w:rsidP="00444693">
            <w:pPr>
              <w:pStyle w:val="TableText"/>
              <w:widowControl w:val="0"/>
              <w:suppressAutoHyphens w:val="0"/>
              <w:spacing w:before="0" w:after="0" w:line="240" w:lineRule="auto"/>
            </w:pPr>
          </w:p>
        </w:tc>
        <w:tc>
          <w:tcPr>
            <w:tcW w:w="520" w:type="pct"/>
          </w:tcPr>
          <w:p w14:paraId="714805E3"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7316BE49"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4A8EFB38" w14:textId="77777777" w:rsidR="00CE1436" w:rsidRDefault="00CE1436" w:rsidP="00444693">
            <w:pPr>
              <w:pStyle w:val="TableText"/>
              <w:widowControl w:val="0"/>
              <w:suppressAutoHyphens w:val="0"/>
              <w:spacing w:before="0" w:after="0" w:line="240" w:lineRule="auto"/>
              <w:jc w:val="center"/>
              <w:rPr>
                <w:szCs w:val="17"/>
              </w:rPr>
            </w:pPr>
            <w:r>
              <w:t>750</w:t>
            </w:r>
          </w:p>
        </w:tc>
        <w:tc>
          <w:tcPr>
            <w:tcW w:w="312" w:type="pct"/>
          </w:tcPr>
          <w:p w14:paraId="6A48613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5C58A6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65CCB45"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0EEF527" w14:textId="77777777" w:rsidR="00CE1436" w:rsidRPr="003203B5"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0A3F9FE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5E62660"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4.0</w:t>
            </w:r>
          </w:p>
        </w:tc>
        <w:tc>
          <w:tcPr>
            <w:tcW w:w="310" w:type="pct"/>
            <w:vAlign w:val="center"/>
          </w:tcPr>
          <w:p w14:paraId="295B1954"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327F5295" w14:textId="77777777" w:rsidTr="00444693">
        <w:trPr>
          <w:cantSplit/>
          <w:trHeight w:val="13"/>
        </w:trPr>
        <w:tc>
          <w:tcPr>
            <w:tcW w:w="521" w:type="pct"/>
            <w:vMerge/>
          </w:tcPr>
          <w:p w14:paraId="1664BA3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14980B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BDBBC0D" w14:textId="77777777" w:rsidR="00CE1436" w:rsidRPr="00F33F63" w:rsidRDefault="00CE1436" w:rsidP="00444693">
            <w:pPr>
              <w:pStyle w:val="TableText"/>
              <w:widowControl w:val="0"/>
              <w:suppressAutoHyphens w:val="0"/>
              <w:spacing w:before="0" w:after="0" w:line="240" w:lineRule="auto"/>
            </w:pPr>
          </w:p>
        </w:tc>
        <w:tc>
          <w:tcPr>
            <w:tcW w:w="520" w:type="pct"/>
          </w:tcPr>
          <w:p w14:paraId="67CA3B2D"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44D224F"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2E2A1F4B" w14:textId="77777777" w:rsidR="00CE1436" w:rsidRPr="00886278" w:rsidRDefault="00CE1436" w:rsidP="00444693">
            <w:pPr>
              <w:pStyle w:val="TableText"/>
              <w:widowControl w:val="0"/>
              <w:suppressAutoHyphens w:val="0"/>
              <w:spacing w:before="0" w:after="0" w:line="240" w:lineRule="auto"/>
              <w:jc w:val="center"/>
              <w:rPr>
                <w:szCs w:val="17"/>
              </w:rPr>
            </w:pPr>
            <w:r>
              <w:t>600</w:t>
            </w:r>
          </w:p>
        </w:tc>
        <w:tc>
          <w:tcPr>
            <w:tcW w:w="312" w:type="pct"/>
          </w:tcPr>
          <w:p w14:paraId="20FF5DF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FC548E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E8C087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D2D78A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18</w:t>
            </w:r>
          </w:p>
        </w:tc>
        <w:tc>
          <w:tcPr>
            <w:tcW w:w="312" w:type="pct"/>
            <w:vAlign w:val="center"/>
          </w:tcPr>
          <w:p w14:paraId="047A53B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3EA846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3.2</w:t>
            </w:r>
          </w:p>
        </w:tc>
        <w:tc>
          <w:tcPr>
            <w:tcW w:w="310" w:type="pct"/>
            <w:vAlign w:val="center"/>
          </w:tcPr>
          <w:p w14:paraId="36E60CA1"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1375674B" w14:textId="77777777" w:rsidTr="00444693">
        <w:trPr>
          <w:cantSplit/>
          <w:trHeight w:val="13"/>
        </w:trPr>
        <w:tc>
          <w:tcPr>
            <w:tcW w:w="521" w:type="pct"/>
            <w:vMerge/>
          </w:tcPr>
          <w:p w14:paraId="598FECA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176AA4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06FE11A" w14:textId="77777777" w:rsidR="00CE1436" w:rsidRPr="00F33F63" w:rsidRDefault="00CE1436" w:rsidP="00444693">
            <w:pPr>
              <w:pStyle w:val="TableText"/>
              <w:widowControl w:val="0"/>
              <w:suppressAutoHyphens w:val="0"/>
              <w:spacing w:before="0" w:after="0" w:line="240" w:lineRule="auto"/>
            </w:pPr>
          </w:p>
        </w:tc>
        <w:tc>
          <w:tcPr>
            <w:tcW w:w="520" w:type="pct"/>
          </w:tcPr>
          <w:p w14:paraId="1F1B84D4"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7DC38AE9"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51B4FAF0" w14:textId="77777777" w:rsidR="00CE1436" w:rsidRDefault="00CE1436" w:rsidP="00444693">
            <w:pPr>
              <w:pStyle w:val="TableText"/>
              <w:widowControl w:val="0"/>
              <w:suppressAutoHyphens w:val="0"/>
              <w:spacing w:before="0" w:after="0" w:line="240" w:lineRule="auto"/>
              <w:jc w:val="center"/>
              <w:rPr>
                <w:szCs w:val="17"/>
              </w:rPr>
            </w:pPr>
            <w:r>
              <w:t>595</w:t>
            </w:r>
          </w:p>
        </w:tc>
        <w:tc>
          <w:tcPr>
            <w:tcW w:w="312" w:type="pct"/>
          </w:tcPr>
          <w:p w14:paraId="270BB16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6A1FC6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F5C236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CC609AB" w14:textId="77777777" w:rsidR="00CE1436" w:rsidRPr="003203B5"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346DBF4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14F348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3.2</w:t>
            </w:r>
          </w:p>
        </w:tc>
        <w:tc>
          <w:tcPr>
            <w:tcW w:w="310" w:type="pct"/>
            <w:vAlign w:val="center"/>
          </w:tcPr>
          <w:p w14:paraId="069EC197"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3A08BA57" w14:textId="77777777" w:rsidTr="00444693">
        <w:trPr>
          <w:cantSplit/>
          <w:trHeight w:val="13"/>
        </w:trPr>
        <w:tc>
          <w:tcPr>
            <w:tcW w:w="521" w:type="pct"/>
            <w:vMerge/>
          </w:tcPr>
          <w:p w14:paraId="1A086CE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045DC4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31FDF17" w14:textId="77777777" w:rsidR="00CE1436" w:rsidRPr="00F33F63" w:rsidRDefault="00CE1436" w:rsidP="00444693">
            <w:pPr>
              <w:pStyle w:val="TableText"/>
              <w:widowControl w:val="0"/>
              <w:suppressAutoHyphens w:val="0"/>
              <w:spacing w:before="0" w:after="0" w:line="240" w:lineRule="auto"/>
            </w:pPr>
          </w:p>
        </w:tc>
        <w:tc>
          <w:tcPr>
            <w:tcW w:w="520" w:type="pct"/>
          </w:tcPr>
          <w:p w14:paraId="18BE4CA6"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78F473B"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2EAC94DA"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2DD730A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37379F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01B1B7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AF9DEE0" w14:textId="77777777" w:rsidR="00CE1436" w:rsidRPr="003203B5"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3EE82332"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A9B1D9D"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2.7</w:t>
            </w:r>
          </w:p>
        </w:tc>
        <w:tc>
          <w:tcPr>
            <w:tcW w:w="310" w:type="pct"/>
            <w:vAlign w:val="center"/>
          </w:tcPr>
          <w:p w14:paraId="5BCBF1D1"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22609C2B" w14:textId="77777777" w:rsidTr="00444693">
        <w:trPr>
          <w:cantSplit/>
          <w:trHeight w:val="13"/>
        </w:trPr>
        <w:tc>
          <w:tcPr>
            <w:tcW w:w="521" w:type="pct"/>
            <w:vMerge/>
          </w:tcPr>
          <w:p w14:paraId="7BE1662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119027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7808BD7" w14:textId="77777777" w:rsidR="00CE1436" w:rsidRPr="00F33F63" w:rsidRDefault="00CE1436" w:rsidP="00444693">
            <w:pPr>
              <w:pStyle w:val="TableText"/>
              <w:widowControl w:val="0"/>
              <w:suppressAutoHyphens w:val="0"/>
              <w:spacing w:before="0" w:after="0" w:line="240" w:lineRule="auto"/>
            </w:pPr>
          </w:p>
        </w:tc>
        <w:tc>
          <w:tcPr>
            <w:tcW w:w="520" w:type="pct"/>
          </w:tcPr>
          <w:p w14:paraId="69816D34"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5474347"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39ECB709" w14:textId="77777777" w:rsidR="00CE1436" w:rsidRPr="00886278" w:rsidRDefault="00CE1436" w:rsidP="00444693">
            <w:pPr>
              <w:pStyle w:val="TableText"/>
              <w:widowControl w:val="0"/>
              <w:suppressAutoHyphens w:val="0"/>
              <w:spacing w:before="0" w:after="0" w:line="240" w:lineRule="auto"/>
              <w:jc w:val="center"/>
              <w:rPr>
                <w:szCs w:val="17"/>
              </w:rPr>
            </w:pPr>
            <w:r>
              <w:t>432</w:t>
            </w:r>
          </w:p>
        </w:tc>
        <w:tc>
          <w:tcPr>
            <w:tcW w:w="312" w:type="pct"/>
          </w:tcPr>
          <w:p w14:paraId="4936AF9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1FBB74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0B232A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F4EC63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13</w:t>
            </w:r>
          </w:p>
        </w:tc>
        <w:tc>
          <w:tcPr>
            <w:tcW w:w="312" w:type="pct"/>
            <w:vAlign w:val="center"/>
          </w:tcPr>
          <w:p w14:paraId="5C168AF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7DCEF0E"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2.3</w:t>
            </w:r>
          </w:p>
        </w:tc>
        <w:tc>
          <w:tcPr>
            <w:tcW w:w="310" w:type="pct"/>
            <w:vAlign w:val="center"/>
          </w:tcPr>
          <w:p w14:paraId="21CBCC12"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5D9998B6" w14:textId="77777777" w:rsidTr="00444693">
        <w:trPr>
          <w:cantSplit/>
          <w:trHeight w:val="13"/>
        </w:trPr>
        <w:tc>
          <w:tcPr>
            <w:tcW w:w="521" w:type="pct"/>
            <w:vMerge/>
          </w:tcPr>
          <w:p w14:paraId="6F53D7F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E91F1D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FF83C98" w14:textId="77777777" w:rsidR="00CE1436" w:rsidRPr="00F33F63" w:rsidRDefault="00CE1436" w:rsidP="00444693">
            <w:pPr>
              <w:pStyle w:val="TableText"/>
              <w:widowControl w:val="0"/>
              <w:suppressAutoHyphens w:val="0"/>
              <w:spacing w:before="0" w:after="0" w:line="240" w:lineRule="auto"/>
            </w:pPr>
          </w:p>
        </w:tc>
        <w:tc>
          <w:tcPr>
            <w:tcW w:w="520" w:type="pct"/>
          </w:tcPr>
          <w:p w14:paraId="31396B8F"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02E02CB6"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6D1FFAD6" w14:textId="77777777" w:rsidR="00CE1436" w:rsidRDefault="00CE1436" w:rsidP="00444693">
            <w:pPr>
              <w:pStyle w:val="TableText"/>
              <w:widowControl w:val="0"/>
              <w:suppressAutoHyphens w:val="0"/>
              <w:spacing w:before="0" w:after="0" w:line="240" w:lineRule="auto"/>
              <w:jc w:val="center"/>
              <w:rPr>
                <w:szCs w:val="17"/>
              </w:rPr>
            </w:pPr>
            <w:r>
              <w:t>400</w:t>
            </w:r>
          </w:p>
        </w:tc>
        <w:tc>
          <w:tcPr>
            <w:tcW w:w="312" w:type="pct"/>
          </w:tcPr>
          <w:p w14:paraId="7EE6D0D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7E6A4A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6470E0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EF121E4"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13AE066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637E6A6"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2.1</w:t>
            </w:r>
          </w:p>
        </w:tc>
        <w:tc>
          <w:tcPr>
            <w:tcW w:w="310" w:type="pct"/>
            <w:vAlign w:val="center"/>
          </w:tcPr>
          <w:p w14:paraId="79982A3E"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5924CAE6" w14:textId="77777777" w:rsidTr="00444693">
        <w:trPr>
          <w:cantSplit/>
          <w:trHeight w:val="13"/>
        </w:trPr>
        <w:tc>
          <w:tcPr>
            <w:tcW w:w="521" w:type="pct"/>
            <w:vMerge/>
          </w:tcPr>
          <w:p w14:paraId="6884789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D146B4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364D591" w14:textId="77777777" w:rsidR="00CE1436" w:rsidRPr="00F33F63" w:rsidRDefault="00CE1436" w:rsidP="00444693">
            <w:pPr>
              <w:pStyle w:val="TableText"/>
              <w:widowControl w:val="0"/>
              <w:suppressAutoHyphens w:val="0"/>
              <w:spacing w:before="0" w:after="0" w:line="240" w:lineRule="auto"/>
            </w:pPr>
          </w:p>
        </w:tc>
        <w:tc>
          <w:tcPr>
            <w:tcW w:w="520" w:type="pct"/>
          </w:tcPr>
          <w:p w14:paraId="5E61F3CA"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6ED27D99"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1C294208"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75D6F2A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22841B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D6E014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0345EBB" w14:textId="77777777" w:rsidR="00CE1436" w:rsidRPr="003203B5" w:rsidRDefault="00CE1436" w:rsidP="00444693">
            <w:pPr>
              <w:pStyle w:val="TableText"/>
              <w:widowControl w:val="0"/>
              <w:suppressAutoHyphens w:val="0"/>
              <w:spacing w:before="0" w:after="0" w:line="240" w:lineRule="auto"/>
              <w:jc w:val="center"/>
            </w:pPr>
            <w:r>
              <w:rPr>
                <w:color w:val="1A1B1A"/>
                <w:szCs w:val="17"/>
              </w:rPr>
              <w:t>9.9</w:t>
            </w:r>
          </w:p>
        </w:tc>
        <w:tc>
          <w:tcPr>
            <w:tcW w:w="312" w:type="pct"/>
            <w:vAlign w:val="center"/>
          </w:tcPr>
          <w:p w14:paraId="642306AB"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EC3CD0D"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1.7</w:t>
            </w:r>
          </w:p>
        </w:tc>
        <w:tc>
          <w:tcPr>
            <w:tcW w:w="310" w:type="pct"/>
            <w:vAlign w:val="center"/>
          </w:tcPr>
          <w:p w14:paraId="289E3A06"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5BD1F47B" w14:textId="77777777" w:rsidTr="00444693">
        <w:trPr>
          <w:cantSplit/>
          <w:trHeight w:val="13"/>
        </w:trPr>
        <w:tc>
          <w:tcPr>
            <w:tcW w:w="521" w:type="pct"/>
            <w:vMerge/>
          </w:tcPr>
          <w:p w14:paraId="7388C7C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164D82F"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4C67A95" w14:textId="77777777" w:rsidR="00CE1436" w:rsidRPr="00F33F63" w:rsidRDefault="00CE1436" w:rsidP="00444693">
            <w:pPr>
              <w:pStyle w:val="TableText"/>
              <w:widowControl w:val="0"/>
              <w:suppressAutoHyphens w:val="0"/>
              <w:spacing w:before="0" w:after="0" w:line="240" w:lineRule="auto"/>
            </w:pPr>
          </w:p>
        </w:tc>
        <w:tc>
          <w:tcPr>
            <w:tcW w:w="520" w:type="pct"/>
          </w:tcPr>
          <w:p w14:paraId="7D599B77"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71AE0F73"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3D93AC48" w14:textId="77777777" w:rsidR="00CE1436" w:rsidRDefault="00CE1436" w:rsidP="00444693">
            <w:pPr>
              <w:pStyle w:val="TableText"/>
              <w:widowControl w:val="0"/>
              <w:suppressAutoHyphens w:val="0"/>
              <w:spacing w:before="0" w:after="0" w:line="240" w:lineRule="auto"/>
              <w:jc w:val="center"/>
              <w:rPr>
                <w:szCs w:val="17"/>
              </w:rPr>
            </w:pPr>
            <w:r>
              <w:t>300</w:t>
            </w:r>
          </w:p>
        </w:tc>
        <w:tc>
          <w:tcPr>
            <w:tcW w:w="312" w:type="pct"/>
          </w:tcPr>
          <w:p w14:paraId="6545299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9593AC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F2FE11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ADB2D89" w14:textId="77777777" w:rsidR="00CE1436" w:rsidRPr="003203B5" w:rsidRDefault="00CE1436" w:rsidP="00444693">
            <w:pPr>
              <w:pStyle w:val="TableText"/>
              <w:widowControl w:val="0"/>
              <w:suppressAutoHyphens w:val="0"/>
              <w:spacing w:before="0" w:after="0" w:line="240" w:lineRule="auto"/>
              <w:jc w:val="center"/>
            </w:pPr>
            <w:r>
              <w:rPr>
                <w:color w:val="1A1B1A"/>
                <w:szCs w:val="17"/>
              </w:rPr>
              <w:t>9.2</w:t>
            </w:r>
          </w:p>
        </w:tc>
        <w:tc>
          <w:tcPr>
            <w:tcW w:w="312" w:type="pct"/>
            <w:vAlign w:val="center"/>
          </w:tcPr>
          <w:p w14:paraId="556EB61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34D4C1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10" w:type="pct"/>
            <w:vAlign w:val="center"/>
          </w:tcPr>
          <w:p w14:paraId="176D6BEC"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2556211C" w14:textId="77777777" w:rsidTr="00444693">
        <w:trPr>
          <w:cantSplit/>
          <w:trHeight w:val="13"/>
        </w:trPr>
        <w:tc>
          <w:tcPr>
            <w:tcW w:w="521" w:type="pct"/>
            <w:vMerge/>
          </w:tcPr>
          <w:p w14:paraId="209CF1E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FF9990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570F836" w14:textId="77777777" w:rsidR="00CE1436" w:rsidRPr="00F33F63" w:rsidRDefault="00CE1436" w:rsidP="00444693">
            <w:pPr>
              <w:pStyle w:val="TableText"/>
              <w:widowControl w:val="0"/>
              <w:suppressAutoHyphens w:val="0"/>
              <w:spacing w:before="0" w:after="0" w:line="240" w:lineRule="auto"/>
            </w:pPr>
          </w:p>
        </w:tc>
        <w:tc>
          <w:tcPr>
            <w:tcW w:w="520" w:type="pct"/>
          </w:tcPr>
          <w:p w14:paraId="39EF18D1"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497E4AA"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722C2652" w14:textId="77777777" w:rsidR="00CE1436" w:rsidRDefault="00CE1436" w:rsidP="00444693">
            <w:pPr>
              <w:pStyle w:val="TableText"/>
              <w:widowControl w:val="0"/>
              <w:suppressAutoHyphens w:val="0"/>
              <w:spacing w:before="0" w:after="0" w:line="240" w:lineRule="auto"/>
              <w:jc w:val="center"/>
              <w:rPr>
                <w:szCs w:val="17"/>
              </w:rPr>
            </w:pPr>
            <w:r>
              <w:t>216</w:t>
            </w:r>
          </w:p>
        </w:tc>
        <w:tc>
          <w:tcPr>
            <w:tcW w:w="312" w:type="pct"/>
          </w:tcPr>
          <w:p w14:paraId="22C70C7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93590F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706160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F874E3A" w14:textId="77777777" w:rsidR="00CE1436" w:rsidRPr="003203B5" w:rsidRDefault="00CE1436" w:rsidP="00444693">
            <w:pPr>
              <w:pStyle w:val="TableText"/>
              <w:widowControl w:val="0"/>
              <w:suppressAutoHyphens w:val="0"/>
              <w:spacing w:before="0" w:after="0" w:line="240" w:lineRule="auto"/>
              <w:jc w:val="center"/>
            </w:pPr>
            <w:r>
              <w:rPr>
                <w:color w:val="1A1B1A"/>
                <w:szCs w:val="17"/>
              </w:rPr>
              <w:t>6.6</w:t>
            </w:r>
          </w:p>
        </w:tc>
        <w:tc>
          <w:tcPr>
            <w:tcW w:w="312" w:type="pct"/>
            <w:vAlign w:val="center"/>
          </w:tcPr>
          <w:p w14:paraId="74D0D87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B0C4AEF"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10" w:type="pct"/>
            <w:vAlign w:val="center"/>
          </w:tcPr>
          <w:p w14:paraId="71A36B3E"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37A88603" w14:textId="77777777" w:rsidTr="00444693">
        <w:trPr>
          <w:cantSplit/>
          <w:trHeight w:val="13"/>
        </w:trPr>
        <w:tc>
          <w:tcPr>
            <w:tcW w:w="521" w:type="pct"/>
            <w:vMerge/>
          </w:tcPr>
          <w:p w14:paraId="7441051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D6E107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27B5512" w14:textId="77777777" w:rsidR="00CE1436" w:rsidRPr="00F33F63" w:rsidRDefault="00CE1436" w:rsidP="00444693">
            <w:pPr>
              <w:pStyle w:val="TableText"/>
              <w:widowControl w:val="0"/>
              <w:suppressAutoHyphens w:val="0"/>
              <w:spacing w:before="0" w:after="0" w:line="240" w:lineRule="auto"/>
            </w:pPr>
          </w:p>
        </w:tc>
        <w:tc>
          <w:tcPr>
            <w:tcW w:w="520" w:type="pct"/>
          </w:tcPr>
          <w:p w14:paraId="507B35EE"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1D0D39E"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63530AF2" w14:textId="77777777" w:rsidR="00CE1436" w:rsidRPr="00886278" w:rsidRDefault="00CE1436" w:rsidP="00444693">
            <w:pPr>
              <w:pStyle w:val="TableText"/>
              <w:widowControl w:val="0"/>
              <w:suppressAutoHyphens w:val="0"/>
              <w:spacing w:before="0" w:after="0" w:line="240" w:lineRule="auto"/>
              <w:jc w:val="center"/>
              <w:rPr>
                <w:szCs w:val="17"/>
              </w:rPr>
            </w:pPr>
            <w:r>
              <w:t>203</w:t>
            </w:r>
          </w:p>
        </w:tc>
        <w:tc>
          <w:tcPr>
            <w:tcW w:w="312" w:type="pct"/>
          </w:tcPr>
          <w:p w14:paraId="03D7C8C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83D114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9CC3B4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B0B5AB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6.2</w:t>
            </w:r>
          </w:p>
        </w:tc>
        <w:tc>
          <w:tcPr>
            <w:tcW w:w="312" w:type="pct"/>
            <w:vAlign w:val="center"/>
          </w:tcPr>
          <w:p w14:paraId="1DA3768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307937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10" w:type="pct"/>
            <w:vAlign w:val="center"/>
          </w:tcPr>
          <w:p w14:paraId="74B0A4A0"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22DE95B5" w14:textId="77777777" w:rsidTr="00444693">
        <w:trPr>
          <w:cantSplit/>
          <w:trHeight w:val="13"/>
        </w:trPr>
        <w:tc>
          <w:tcPr>
            <w:tcW w:w="521" w:type="pct"/>
            <w:vMerge/>
          </w:tcPr>
          <w:p w14:paraId="5729EC8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E6466F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CCEDCBB" w14:textId="77777777" w:rsidR="00CE1436" w:rsidRPr="00F33F63" w:rsidRDefault="00CE1436" w:rsidP="00444693">
            <w:pPr>
              <w:pStyle w:val="TableText"/>
              <w:widowControl w:val="0"/>
              <w:suppressAutoHyphens w:val="0"/>
              <w:spacing w:before="0" w:after="0" w:line="240" w:lineRule="auto"/>
            </w:pPr>
          </w:p>
        </w:tc>
        <w:tc>
          <w:tcPr>
            <w:tcW w:w="520" w:type="pct"/>
          </w:tcPr>
          <w:p w14:paraId="56F6EB64"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9B1461A"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00DB2712" w14:textId="77777777" w:rsidR="00CE1436" w:rsidRPr="00886278" w:rsidRDefault="00CE1436" w:rsidP="00444693">
            <w:pPr>
              <w:pStyle w:val="TableText"/>
              <w:widowControl w:val="0"/>
              <w:suppressAutoHyphens w:val="0"/>
              <w:spacing w:before="0" w:after="0" w:line="240" w:lineRule="auto"/>
              <w:jc w:val="center"/>
              <w:rPr>
                <w:szCs w:val="17"/>
              </w:rPr>
            </w:pPr>
            <w:r>
              <w:t>200</w:t>
            </w:r>
          </w:p>
        </w:tc>
        <w:tc>
          <w:tcPr>
            <w:tcW w:w="312" w:type="pct"/>
          </w:tcPr>
          <w:p w14:paraId="727685E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7FCAB4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34330B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3B17EC2"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6.1</w:t>
            </w:r>
          </w:p>
        </w:tc>
        <w:tc>
          <w:tcPr>
            <w:tcW w:w="312" w:type="pct"/>
            <w:vAlign w:val="center"/>
          </w:tcPr>
          <w:p w14:paraId="4B587F8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D20B6C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10" w:type="pct"/>
            <w:vAlign w:val="center"/>
          </w:tcPr>
          <w:p w14:paraId="0B10E99B"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344515F9" w14:textId="77777777" w:rsidTr="00444693">
        <w:trPr>
          <w:cantSplit/>
          <w:trHeight w:val="13"/>
        </w:trPr>
        <w:tc>
          <w:tcPr>
            <w:tcW w:w="521" w:type="pct"/>
            <w:vMerge/>
          </w:tcPr>
          <w:p w14:paraId="502215A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6A5536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F7E596F" w14:textId="77777777" w:rsidR="00CE1436" w:rsidRPr="00F33F63" w:rsidRDefault="00CE1436" w:rsidP="00444693">
            <w:pPr>
              <w:pStyle w:val="TableText"/>
              <w:widowControl w:val="0"/>
              <w:suppressAutoHyphens w:val="0"/>
              <w:spacing w:before="0" w:after="0" w:line="240" w:lineRule="auto"/>
            </w:pPr>
          </w:p>
        </w:tc>
        <w:tc>
          <w:tcPr>
            <w:tcW w:w="520" w:type="pct"/>
          </w:tcPr>
          <w:p w14:paraId="3D39D330"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6E67A66F"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1968F3E7" w14:textId="77777777" w:rsidR="00CE1436" w:rsidRPr="00886278" w:rsidRDefault="00CE1436" w:rsidP="00444693">
            <w:pPr>
              <w:pStyle w:val="TableText"/>
              <w:widowControl w:val="0"/>
              <w:suppressAutoHyphens w:val="0"/>
              <w:spacing w:before="0" w:after="0" w:line="240" w:lineRule="auto"/>
              <w:jc w:val="center"/>
              <w:rPr>
                <w:szCs w:val="17"/>
              </w:rPr>
            </w:pPr>
            <w:r>
              <w:t>173</w:t>
            </w:r>
          </w:p>
        </w:tc>
        <w:tc>
          <w:tcPr>
            <w:tcW w:w="312" w:type="pct"/>
          </w:tcPr>
          <w:p w14:paraId="6A6196E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CE6AEF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8D27F5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E6CD98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5.3</w:t>
            </w:r>
          </w:p>
        </w:tc>
        <w:tc>
          <w:tcPr>
            <w:tcW w:w="312" w:type="pct"/>
            <w:vAlign w:val="center"/>
          </w:tcPr>
          <w:p w14:paraId="70E188C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748FC62" w14:textId="77777777" w:rsidR="00CE1436" w:rsidRPr="00886278" w:rsidRDefault="00CE1436" w:rsidP="00444693">
            <w:pPr>
              <w:pStyle w:val="TableText"/>
              <w:widowControl w:val="0"/>
              <w:suppressAutoHyphens w:val="0"/>
              <w:spacing w:before="0" w:after="0" w:line="240" w:lineRule="auto"/>
              <w:jc w:val="center"/>
            </w:pPr>
            <w:r>
              <w:rPr>
                <w:color w:val="1A1B1A"/>
                <w:szCs w:val="17"/>
              </w:rPr>
              <w:t>0.93</w:t>
            </w:r>
          </w:p>
        </w:tc>
        <w:tc>
          <w:tcPr>
            <w:tcW w:w="310" w:type="pct"/>
            <w:vAlign w:val="center"/>
          </w:tcPr>
          <w:p w14:paraId="6606F72B"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31F41F1F" w14:textId="77777777" w:rsidTr="00444693">
        <w:trPr>
          <w:cantSplit/>
          <w:trHeight w:val="13"/>
        </w:trPr>
        <w:tc>
          <w:tcPr>
            <w:tcW w:w="521" w:type="pct"/>
            <w:vMerge/>
          </w:tcPr>
          <w:p w14:paraId="5968B3C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0C55CE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E8965E0" w14:textId="77777777" w:rsidR="00CE1436" w:rsidRPr="00F33F63" w:rsidRDefault="00CE1436" w:rsidP="00444693">
            <w:pPr>
              <w:pStyle w:val="TableText"/>
              <w:widowControl w:val="0"/>
              <w:suppressAutoHyphens w:val="0"/>
              <w:spacing w:before="0" w:after="0" w:line="240" w:lineRule="auto"/>
            </w:pPr>
          </w:p>
        </w:tc>
        <w:tc>
          <w:tcPr>
            <w:tcW w:w="520" w:type="pct"/>
          </w:tcPr>
          <w:p w14:paraId="0816346B"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6E5B1E1"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44E5E9BE" w14:textId="77777777" w:rsidR="00CE1436" w:rsidRDefault="00CE1436" w:rsidP="00444693">
            <w:pPr>
              <w:pStyle w:val="TableText"/>
              <w:widowControl w:val="0"/>
              <w:suppressAutoHyphens w:val="0"/>
              <w:spacing w:before="0" w:after="0" w:line="240" w:lineRule="auto"/>
              <w:jc w:val="center"/>
              <w:rPr>
                <w:szCs w:val="17"/>
              </w:rPr>
            </w:pPr>
            <w:r>
              <w:t>165</w:t>
            </w:r>
          </w:p>
        </w:tc>
        <w:tc>
          <w:tcPr>
            <w:tcW w:w="312" w:type="pct"/>
          </w:tcPr>
          <w:p w14:paraId="4344F22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70B34C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3F4E2B5"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4A9EB82" w14:textId="77777777" w:rsidR="00CE1436" w:rsidRPr="003203B5" w:rsidRDefault="00CE1436" w:rsidP="00444693">
            <w:pPr>
              <w:pStyle w:val="TableText"/>
              <w:widowControl w:val="0"/>
              <w:suppressAutoHyphens w:val="0"/>
              <w:spacing w:before="0" w:after="0" w:line="240" w:lineRule="auto"/>
              <w:jc w:val="center"/>
            </w:pPr>
            <w:r>
              <w:rPr>
                <w:color w:val="1A1B1A"/>
                <w:szCs w:val="17"/>
              </w:rPr>
              <w:t>5.0</w:t>
            </w:r>
          </w:p>
        </w:tc>
        <w:tc>
          <w:tcPr>
            <w:tcW w:w="312" w:type="pct"/>
            <w:vAlign w:val="center"/>
          </w:tcPr>
          <w:p w14:paraId="75BCA51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115DBB6" w14:textId="77777777" w:rsidR="00CE1436" w:rsidRPr="0023247F" w:rsidRDefault="00CE1436" w:rsidP="00444693">
            <w:pPr>
              <w:pStyle w:val="TableText"/>
              <w:widowControl w:val="0"/>
              <w:suppressAutoHyphens w:val="0"/>
              <w:spacing w:before="0" w:after="0" w:line="240" w:lineRule="auto"/>
              <w:jc w:val="center"/>
            </w:pPr>
            <w:r>
              <w:rPr>
                <w:color w:val="1A1B1A"/>
                <w:szCs w:val="17"/>
              </w:rPr>
              <w:t>0.88</w:t>
            </w:r>
          </w:p>
        </w:tc>
        <w:tc>
          <w:tcPr>
            <w:tcW w:w="310" w:type="pct"/>
            <w:vAlign w:val="center"/>
          </w:tcPr>
          <w:p w14:paraId="1E9AC13E"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6CE9195A" w14:textId="77777777" w:rsidTr="00444693">
        <w:trPr>
          <w:cantSplit/>
          <w:trHeight w:val="13"/>
        </w:trPr>
        <w:tc>
          <w:tcPr>
            <w:tcW w:w="521" w:type="pct"/>
            <w:vMerge/>
          </w:tcPr>
          <w:p w14:paraId="7D5AB98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C8D7FD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B6EFDC0" w14:textId="77777777" w:rsidR="00CE1436" w:rsidRPr="00F33F63" w:rsidRDefault="00CE1436" w:rsidP="00444693">
            <w:pPr>
              <w:pStyle w:val="TableText"/>
              <w:widowControl w:val="0"/>
              <w:suppressAutoHyphens w:val="0"/>
              <w:spacing w:before="0" w:after="0" w:line="240" w:lineRule="auto"/>
            </w:pPr>
          </w:p>
        </w:tc>
        <w:tc>
          <w:tcPr>
            <w:tcW w:w="520" w:type="pct"/>
          </w:tcPr>
          <w:p w14:paraId="6C099EFD"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48255402"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5B14B38E" w14:textId="77777777" w:rsidR="00CE1436" w:rsidRDefault="00CE1436" w:rsidP="00444693">
            <w:pPr>
              <w:pStyle w:val="TableText"/>
              <w:widowControl w:val="0"/>
              <w:suppressAutoHyphens w:val="0"/>
              <w:spacing w:before="0" w:after="0" w:line="240" w:lineRule="auto"/>
              <w:jc w:val="center"/>
              <w:rPr>
                <w:szCs w:val="17"/>
              </w:rPr>
            </w:pPr>
            <w:r>
              <w:t>160</w:t>
            </w:r>
          </w:p>
        </w:tc>
        <w:tc>
          <w:tcPr>
            <w:tcW w:w="312" w:type="pct"/>
          </w:tcPr>
          <w:p w14:paraId="44393ED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32C289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01E70C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AD8DA5C" w14:textId="77777777" w:rsidR="00CE1436" w:rsidRPr="003203B5" w:rsidRDefault="00CE1436" w:rsidP="00444693">
            <w:pPr>
              <w:pStyle w:val="TableText"/>
              <w:widowControl w:val="0"/>
              <w:suppressAutoHyphens w:val="0"/>
              <w:spacing w:before="0" w:after="0" w:line="240" w:lineRule="auto"/>
              <w:jc w:val="center"/>
            </w:pPr>
            <w:r>
              <w:rPr>
                <w:color w:val="1A1B1A"/>
                <w:szCs w:val="17"/>
              </w:rPr>
              <w:t>4.9</w:t>
            </w:r>
          </w:p>
        </w:tc>
        <w:tc>
          <w:tcPr>
            <w:tcW w:w="312" w:type="pct"/>
            <w:vAlign w:val="center"/>
          </w:tcPr>
          <w:p w14:paraId="0C3DB60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67C92F1" w14:textId="77777777" w:rsidR="00CE1436" w:rsidRPr="0023247F" w:rsidRDefault="00CE1436" w:rsidP="00444693">
            <w:pPr>
              <w:pStyle w:val="TableText"/>
              <w:widowControl w:val="0"/>
              <w:suppressAutoHyphens w:val="0"/>
              <w:spacing w:before="0" w:after="0" w:line="240" w:lineRule="auto"/>
              <w:jc w:val="center"/>
            </w:pPr>
            <w:r>
              <w:rPr>
                <w:color w:val="1A1B1A"/>
                <w:szCs w:val="17"/>
              </w:rPr>
              <w:t>0.86</w:t>
            </w:r>
          </w:p>
        </w:tc>
        <w:tc>
          <w:tcPr>
            <w:tcW w:w="310" w:type="pct"/>
            <w:vAlign w:val="center"/>
          </w:tcPr>
          <w:p w14:paraId="641DF912"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71AC3781" w14:textId="77777777" w:rsidTr="00444693">
        <w:trPr>
          <w:cantSplit/>
          <w:trHeight w:val="13"/>
        </w:trPr>
        <w:tc>
          <w:tcPr>
            <w:tcW w:w="521" w:type="pct"/>
            <w:vMerge/>
          </w:tcPr>
          <w:p w14:paraId="457E8E8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32E9C3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E2B0B1F" w14:textId="77777777" w:rsidR="00CE1436" w:rsidRPr="00F33F63" w:rsidRDefault="00CE1436" w:rsidP="00444693">
            <w:pPr>
              <w:pStyle w:val="TableText"/>
              <w:widowControl w:val="0"/>
              <w:suppressAutoHyphens w:val="0"/>
              <w:spacing w:before="0" w:after="0" w:line="240" w:lineRule="auto"/>
            </w:pPr>
          </w:p>
        </w:tc>
        <w:tc>
          <w:tcPr>
            <w:tcW w:w="520" w:type="pct"/>
          </w:tcPr>
          <w:p w14:paraId="64567FBF"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656FBA45"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0A49DAE3" w14:textId="77777777" w:rsidR="00CE1436" w:rsidRPr="00886278" w:rsidRDefault="00CE1436" w:rsidP="00444693">
            <w:pPr>
              <w:pStyle w:val="TableText"/>
              <w:widowControl w:val="0"/>
              <w:suppressAutoHyphens w:val="0"/>
              <w:spacing w:before="0" w:after="0" w:line="240" w:lineRule="auto"/>
              <w:jc w:val="center"/>
              <w:rPr>
                <w:szCs w:val="17"/>
              </w:rPr>
            </w:pPr>
            <w:r>
              <w:t>150</w:t>
            </w:r>
          </w:p>
        </w:tc>
        <w:tc>
          <w:tcPr>
            <w:tcW w:w="312" w:type="pct"/>
          </w:tcPr>
          <w:p w14:paraId="4E5EE69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9C03A0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E7F8B0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E04FC3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4.6</w:t>
            </w:r>
          </w:p>
        </w:tc>
        <w:tc>
          <w:tcPr>
            <w:tcW w:w="312" w:type="pct"/>
            <w:vAlign w:val="center"/>
          </w:tcPr>
          <w:p w14:paraId="704B67D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7DBC255" w14:textId="77777777" w:rsidR="00CE1436" w:rsidRPr="00886278" w:rsidRDefault="00CE1436" w:rsidP="00444693">
            <w:pPr>
              <w:pStyle w:val="TableText"/>
              <w:widowControl w:val="0"/>
              <w:suppressAutoHyphens w:val="0"/>
              <w:spacing w:before="0" w:after="0" w:line="240" w:lineRule="auto"/>
              <w:jc w:val="center"/>
            </w:pPr>
            <w:r>
              <w:rPr>
                <w:color w:val="1A1B1A"/>
                <w:szCs w:val="17"/>
              </w:rPr>
              <w:t>0.80</w:t>
            </w:r>
          </w:p>
        </w:tc>
        <w:tc>
          <w:tcPr>
            <w:tcW w:w="310" w:type="pct"/>
            <w:vAlign w:val="center"/>
          </w:tcPr>
          <w:p w14:paraId="64BAE9E7"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73D683D1" w14:textId="77777777" w:rsidTr="00444693">
        <w:trPr>
          <w:cantSplit/>
          <w:trHeight w:val="13"/>
        </w:trPr>
        <w:tc>
          <w:tcPr>
            <w:tcW w:w="521" w:type="pct"/>
            <w:vMerge/>
          </w:tcPr>
          <w:p w14:paraId="76DA41F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E22063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A5613B8" w14:textId="77777777" w:rsidR="00CE1436" w:rsidRPr="00F33F63" w:rsidRDefault="00CE1436" w:rsidP="00444693">
            <w:pPr>
              <w:pStyle w:val="TableText"/>
              <w:widowControl w:val="0"/>
              <w:suppressAutoHyphens w:val="0"/>
              <w:spacing w:before="0" w:after="0" w:line="240" w:lineRule="auto"/>
            </w:pPr>
          </w:p>
        </w:tc>
        <w:tc>
          <w:tcPr>
            <w:tcW w:w="520" w:type="pct"/>
          </w:tcPr>
          <w:p w14:paraId="033F7794"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34DB144D"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53A695E8" w14:textId="77777777" w:rsidR="00CE1436" w:rsidRDefault="00CE1436" w:rsidP="00444693">
            <w:pPr>
              <w:pStyle w:val="TableText"/>
              <w:widowControl w:val="0"/>
              <w:suppressAutoHyphens w:val="0"/>
              <w:spacing w:before="0" w:after="0" w:line="240" w:lineRule="auto"/>
              <w:jc w:val="center"/>
              <w:rPr>
                <w:szCs w:val="17"/>
              </w:rPr>
            </w:pPr>
            <w:r>
              <w:t>108</w:t>
            </w:r>
          </w:p>
        </w:tc>
        <w:tc>
          <w:tcPr>
            <w:tcW w:w="312" w:type="pct"/>
          </w:tcPr>
          <w:p w14:paraId="38D1BE2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1787B9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62B1EA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F431C92" w14:textId="77777777" w:rsidR="00CE1436" w:rsidRPr="003203B5" w:rsidRDefault="00CE1436" w:rsidP="00444693">
            <w:pPr>
              <w:pStyle w:val="TableText"/>
              <w:widowControl w:val="0"/>
              <w:suppressAutoHyphens w:val="0"/>
              <w:spacing w:before="0" w:after="0" w:line="240" w:lineRule="auto"/>
              <w:jc w:val="center"/>
            </w:pPr>
            <w:r>
              <w:rPr>
                <w:color w:val="1A1B1A"/>
                <w:szCs w:val="17"/>
              </w:rPr>
              <w:t>3.3</w:t>
            </w:r>
          </w:p>
        </w:tc>
        <w:tc>
          <w:tcPr>
            <w:tcW w:w="312" w:type="pct"/>
            <w:vAlign w:val="center"/>
          </w:tcPr>
          <w:p w14:paraId="6CABE03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8C542EC" w14:textId="77777777" w:rsidR="00CE1436" w:rsidRPr="0023247F" w:rsidRDefault="00CE1436" w:rsidP="00444693">
            <w:pPr>
              <w:pStyle w:val="TableText"/>
              <w:widowControl w:val="0"/>
              <w:suppressAutoHyphens w:val="0"/>
              <w:spacing w:before="0" w:after="0" w:line="240" w:lineRule="auto"/>
              <w:jc w:val="center"/>
            </w:pPr>
            <w:r>
              <w:rPr>
                <w:color w:val="1A1B1A"/>
                <w:szCs w:val="17"/>
              </w:rPr>
              <w:t>0.58</w:t>
            </w:r>
          </w:p>
        </w:tc>
        <w:tc>
          <w:tcPr>
            <w:tcW w:w="310" w:type="pct"/>
            <w:vAlign w:val="center"/>
          </w:tcPr>
          <w:p w14:paraId="62A52057"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23247F" w14:paraId="43BEC079" w14:textId="77777777" w:rsidTr="00444693">
        <w:trPr>
          <w:cantSplit/>
          <w:trHeight w:val="13"/>
        </w:trPr>
        <w:tc>
          <w:tcPr>
            <w:tcW w:w="521" w:type="pct"/>
            <w:vMerge/>
          </w:tcPr>
          <w:p w14:paraId="078BDD7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BBAFCE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F854DB5" w14:textId="77777777" w:rsidR="00CE1436" w:rsidRPr="00F33F63" w:rsidRDefault="00CE1436" w:rsidP="00444693">
            <w:pPr>
              <w:pStyle w:val="TableText"/>
              <w:widowControl w:val="0"/>
              <w:suppressAutoHyphens w:val="0"/>
              <w:spacing w:before="0" w:after="0" w:line="240" w:lineRule="auto"/>
            </w:pPr>
          </w:p>
        </w:tc>
        <w:tc>
          <w:tcPr>
            <w:tcW w:w="520" w:type="pct"/>
          </w:tcPr>
          <w:p w14:paraId="68031B80"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A42FC5A"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Pr>
          <w:p w14:paraId="56D7F664" w14:textId="77777777" w:rsidR="00CE1436" w:rsidRDefault="00CE1436" w:rsidP="00444693">
            <w:pPr>
              <w:pStyle w:val="TableText"/>
              <w:widowControl w:val="0"/>
              <w:suppressAutoHyphens w:val="0"/>
              <w:spacing w:before="0" w:after="0" w:line="240" w:lineRule="auto"/>
              <w:jc w:val="center"/>
              <w:rPr>
                <w:szCs w:val="17"/>
              </w:rPr>
            </w:pPr>
            <w:r>
              <w:t>100</w:t>
            </w:r>
          </w:p>
        </w:tc>
        <w:tc>
          <w:tcPr>
            <w:tcW w:w="312" w:type="pct"/>
          </w:tcPr>
          <w:p w14:paraId="3614312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FAF2C7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E49B60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CD85055" w14:textId="77777777" w:rsidR="00CE1436" w:rsidRPr="003203B5"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018E8C0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49F608E" w14:textId="77777777" w:rsidR="00CE1436" w:rsidRPr="0023247F" w:rsidRDefault="00CE1436" w:rsidP="00444693">
            <w:pPr>
              <w:pStyle w:val="TableText"/>
              <w:widowControl w:val="0"/>
              <w:suppressAutoHyphens w:val="0"/>
              <w:spacing w:before="0" w:after="0" w:line="240" w:lineRule="auto"/>
              <w:jc w:val="center"/>
            </w:pPr>
            <w:r>
              <w:rPr>
                <w:color w:val="1A1B1A"/>
                <w:szCs w:val="17"/>
              </w:rPr>
              <w:t>0.54</w:t>
            </w:r>
          </w:p>
        </w:tc>
        <w:tc>
          <w:tcPr>
            <w:tcW w:w="310" w:type="pct"/>
            <w:vAlign w:val="center"/>
          </w:tcPr>
          <w:p w14:paraId="01480A46" w14:textId="77777777" w:rsidR="00CE1436" w:rsidRPr="0023247F"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6FCCC9D4" w14:textId="77777777" w:rsidTr="00444693">
        <w:trPr>
          <w:cantSplit/>
          <w:trHeight w:val="13"/>
        </w:trPr>
        <w:tc>
          <w:tcPr>
            <w:tcW w:w="521" w:type="pct"/>
            <w:vMerge/>
          </w:tcPr>
          <w:p w14:paraId="07EABFC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53CBB764"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49475477" w14:textId="77777777" w:rsidR="00CE1436" w:rsidRPr="00F33F63"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50802A9A"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5FEF39D3" w14:textId="77777777" w:rsidR="00CE1436" w:rsidRPr="00323407" w:rsidRDefault="00CE1436" w:rsidP="00444693">
            <w:pPr>
              <w:pStyle w:val="TableText"/>
              <w:widowControl w:val="0"/>
              <w:suppressAutoHyphens w:val="0"/>
              <w:spacing w:before="0" w:after="0" w:line="240" w:lineRule="auto"/>
              <w:jc w:val="center"/>
            </w:pPr>
            <w:r w:rsidRPr="00CA004D">
              <w:t>30.5</w:t>
            </w:r>
          </w:p>
        </w:tc>
        <w:tc>
          <w:tcPr>
            <w:tcW w:w="296" w:type="pct"/>
            <w:tcBorders>
              <w:bottom w:val="single" w:sz="4" w:space="0" w:color="auto"/>
            </w:tcBorders>
          </w:tcPr>
          <w:p w14:paraId="778A325C" w14:textId="77777777" w:rsidR="00CE1436" w:rsidRPr="00886278" w:rsidRDefault="00CE1436" w:rsidP="00444693">
            <w:pPr>
              <w:pStyle w:val="TableText"/>
              <w:widowControl w:val="0"/>
              <w:suppressAutoHyphens w:val="0"/>
              <w:spacing w:before="0" w:after="0" w:line="240" w:lineRule="auto"/>
              <w:jc w:val="center"/>
              <w:rPr>
                <w:szCs w:val="17"/>
              </w:rPr>
            </w:pPr>
            <w:r>
              <w:t>75</w:t>
            </w:r>
          </w:p>
        </w:tc>
        <w:tc>
          <w:tcPr>
            <w:tcW w:w="312" w:type="pct"/>
            <w:tcBorders>
              <w:bottom w:val="single" w:sz="4" w:space="0" w:color="auto"/>
            </w:tcBorders>
          </w:tcPr>
          <w:p w14:paraId="0BBAE40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1BCB2DC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5CA7CC1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2C4E3D7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2.3</w:t>
            </w:r>
          </w:p>
        </w:tc>
        <w:tc>
          <w:tcPr>
            <w:tcW w:w="312" w:type="pct"/>
            <w:tcBorders>
              <w:bottom w:val="single" w:sz="4" w:space="0" w:color="auto"/>
            </w:tcBorders>
            <w:vAlign w:val="center"/>
          </w:tcPr>
          <w:p w14:paraId="5097E7C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6EA37AF5" w14:textId="77777777" w:rsidR="00CE1436" w:rsidRPr="00886278" w:rsidRDefault="00CE1436" w:rsidP="00444693">
            <w:pPr>
              <w:pStyle w:val="TableText"/>
              <w:widowControl w:val="0"/>
              <w:suppressAutoHyphens w:val="0"/>
              <w:spacing w:before="0" w:after="0" w:line="240" w:lineRule="auto"/>
              <w:jc w:val="center"/>
            </w:pPr>
            <w:r>
              <w:rPr>
                <w:color w:val="1A1B1A"/>
                <w:szCs w:val="17"/>
              </w:rPr>
              <w:t>0.40</w:t>
            </w:r>
          </w:p>
        </w:tc>
        <w:tc>
          <w:tcPr>
            <w:tcW w:w="310" w:type="pct"/>
            <w:tcBorders>
              <w:bottom w:val="single" w:sz="4" w:space="0" w:color="auto"/>
            </w:tcBorders>
            <w:vAlign w:val="center"/>
          </w:tcPr>
          <w:p w14:paraId="10B0F5A7" w14:textId="77777777" w:rsidR="00CE1436" w:rsidRPr="00886278" w:rsidRDefault="00CE1436" w:rsidP="00444693">
            <w:pPr>
              <w:pStyle w:val="TableText"/>
              <w:widowControl w:val="0"/>
              <w:suppressAutoHyphens w:val="0"/>
              <w:spacing w:before="0" w:after="0" w:line="240" w:lineRule="auto"/>
              <w:jc w:val="center"/>
            </w:pPr>
            <w:r>
              <w:rPr>
                <w:color w:val="1A1B1A"/>
                <w:szCs w:val="17"/>
              </w:rPr>
              <w:t>187</w:t>
            </w:r>
          </w:p>
        </w:tc>
      </w:tr>
      <w:tr w:rsidR="00CE1436" w:rsidRPr="00886278" w14:paraId="1D3892C4" w14:textId="77777777" w:rsidTr="00444693">
        <w:trPr>
          <w:cantSplit/>
          <w:trHeight w:val="13"/>
        </w:trPr>
        <w:tc>
          <w:tcPr>
            <w:tcW w:w="521" w:type="pct"/>
            <w:vMerge/>
          </w:tcPr>
          <w:p w14:paraId="1E67B2C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0B41E0A6" w14:textId="77777777" w:rsidR="00CE1436" w:rsidRPr="00886278" w:rsidRDefault="00CE1436" w:rsidP="00444693">
            <w:pPr>
              <w:pStyle w:val="TableText"/>
              <w:widowControl w:val="0"/>
              <w:suppressAutoHyphens w:val="0"/>
              <w:spacing w:before="0" w:after="0" w:line="240" w:lineRule="auto"/>
              <w:rPr>
                <w:szCs w:val="17"/>
              </w:rPr>
            </w:pPr>
            <w:r w:rsidRPr="00C13A11">
              <w:t xml:space="preserve">Small insectivore </w:t>
            </w:r>
          </w:p>
        </w:tc>
        <w:tc>
          <w:tcPr>
            <w:tcW w:w="445" w:type="pct"/>
            <w:vMerge w:val="restart"/>
            <w:tcBorders>
              <w:top w:val="single" w:sz="4" w:space="0" w:color="auto"/>
            </w:tcBorders>
          </w:tcPr>
          <w:p w14:paraId="7953F2CE" w14:textId="77777777" w:rsidR="00CE1436" w:rsidRPr="00886278" w:rsidRDefault="00CE1436" w:rsidP="00444693">
            <w:pPr>
              <w:pStyle w:val="TableText"/>
              <w:widowControl w:val="0"/>
              <w:suppressAutoHyphens w:val="0"/>
              <w:spacing w:before="0" w:after="0" w:line="240" w:lineRule="auto"/>
              <w:rPr>
                <w:szCs w:val="17"/>
              </w:rPr>
            </w:pPr>
            <w:r w:rsidRPr="00F33F63">
              <w:t>Growing shoots</w:t>
            </w:r>
          </w:p>
        </w:tc>
        <w:tc>
          <w:tcPr>
            <w:tcW w:w="520" w:type="pct"/>
            <w:tcBorders>
              <w:top w:val="single" w:sz="4" w:space="0" w:color="auto"/>
            </w:tcBorders>
          </w:tcPr>
          <w:p w14:paraId="2496B303" w14:textId="77777777" w:rsidR="00CE1436" w:rsidRPr="00886278" w:rsidRDefault="00CE1436" w:rsidP="00444693">
            <w:pPr>
              <w:pStyle w:val="TableText"/>
              <w:widowControl w:val="0"/>
              <w:suppressAutoHyphens w:val="0"/>
              <w:spacing w:before="0" w:after="0" w:line="240" w:lineRule="auto"/>
              <w:jc w:val="center"/>
              <w:rPr>
                <w:szCs w:val="17"/>
              </w:rPr>
            </w:pPr>
            <w:r w:rsidRPr="001B5959">
              <w:rPr>
                <w:szCs w:val="17"/>
              </w:rPr>
              <w:t>Acute</w:t>
            </w:r>
          </w:p>
        </w:tc>
        <w:tc>
          <w:tcPr>
            <w:tcW w:w="446" w:type="pct"/>
            <w:tcBorders>
              <w:top w:val="single" w:sz="4" w:space="0" w:color="auto"/>
            </w:tcBorders>
          </w:tcPr>
          <w:p w14:paraId="445E3C67" w14:textId="77777777" w:rsidR="00CE1436" w:rsidRPr="00886278" w:rsidRDefault="00CE1436" w:rsidP="00444693">
            <w:pPr>
              <w:pStyle w:val="TableText"/>
              <w:widowControl w:val="0"/>
              <w:suppressAutoHyphens w:val="0"/>
              <w:spacing w:before="0" w:after="0" w:line="240" w:lineRule="auto"/>
              <w:jc w:val="center"/>
              <w:rPr>
                <w:szCs w:val="17"/>
              </w:rPr>
            </w:pPr>
            <w:r w:rsidRPr="00323407">
              <w:t>26.8</w:t>
            </w:r>
          </w:p>
        </w:tc>
        <w:tc>
          <w:tcPr>
            <w:tcW w:w="296" w:type="pct"/>
            <w:tcBorders>
              <w:top w:val="single" w:sz="4" w:space="0" w:color="auto"/>
            </w:tcBorders>
          </w:tcPr>
          <w:p w14:paraId="6E400BBD" w14:textId="77777777" w:rsidR="00CE1436" w:rsidRPr="00886278" w:rsidRDefault="00CE1436" w:rsidP="00444693">
            <w:pPr>
              <w:pStyle w:val="TableText"/>
              <w:widowControl w:val="0"/>
              <w:suppressAutoHyphens w:val="0"/>
              <w:spacing w:before="0" w:after="0" w:line="240" w:lineRule="auto"/>
              <w:jc w:val="center"/>
              <w:rPr>
                <w:szCs w:val="17"/>
              </w:rPr>
            </w:pPr>
            <w:r>
              <w:t>1140</w:t>
            </w:r>
          </w:p>
        </w:tc>
        <w:tc>
          <w:tcPr>
            <w:tcW w:w="312" w:type="pct"/>
            <w:tcBorders>
              <w:top w:val="single" w:sz="4" w:space="0" w:color="auto"/>
            </w:tcBorders>
          </w:tcPr>
          <w:p w14:paraId="2A0F4713"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27266FA8"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08964C03"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08EEC99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31</w:t>
            </w:r>
          </w:p>
        </w:tc>
        <w:tc>
          <w:tcPr>
            <w:tcW w:w="312" w:type="pct"/>
            <w:tcBorders>
              <w:top w:val="single" w:sz="4" w:space="0" w:color="auto"/>
            </w:tcBorders>
            <w:vAlign w:val="center"/>
          </w:tcPr>
          <w:p w14:paraId="4BB93A31"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1BFA3F7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5.4</w:t>
            </w:r>
          </w:p>
        </w:tc>
        <w:tc>
          <w:tcPr>
            <w:tcW w:w="310" w:type="pct"/>
            <w:tcBorders>
              <w:top w:val="single" w:sz="4" w:space="0" w:color="auto"/>
            </w:tcBorders>
            <w:vAlign w:val="center"/>
          </w:tcPr>
          <w:p w14:paraId="6A60C37D"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4C88EE09" w14:textId="77777777" w:rsidTr="00444693">
        <w:trPr>
          <w:cantSplit/>
          <w:trHeight w:val="13"/>
        </w:trPr>
        <w:tc>
          <w:tcPr>
            <w:tcW w:w="521" w:type="pct"/>
            <w:vMerge/>
          </w:tcPr>
          <w:p w14:paraId="1E63227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C2D66E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4D26112" w14:textId="77777777" w:rsidR="00CE1436" w:rsidRPr="00F33F63" w:rsidRDefault="00CE1436" w:rsidP="00444693">
            <w:pPr>
              <w:pStyle w:val="TableText"/>
              <w:widowControl w:val="0"/>
              <w:suppressAutoHyphens w:val="0"/>
              <w:spacing w:before="0" w:after="0" w:line="240" w:lineRule="auto"/>
            </w:pPr>
          </w:p>
        </w:tc>
        <w:tc>
          <w:tcPr>
            <w:tcW w:w="520" w:type="pct"/>
          </w:tcPr>
          <w:p w14:paraId="25E2DA9D"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0AE9822B"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3B3369E3" w14:textId="77777777" w:rsidR="00CE1436" w:rsidRPr="00886278" w:rsidRDefault="00CE1436" w:rsidP="00444693">
            <w:pPr>
              <w:pStyle w:val="TableText"/>
              <w:widowControl w:val="0"/>
              <w:suppressAutoHyphens w:val="0"/>
              <w:spacing w:before="0" w:after="0" w:line="240" w:lineRule="auto"/>
              <w:jc w:val="center"/>
              <w:rPr>
                <w:szCs w:val="17"/>
              </w:rPr>
            </w:pPr>
            <w:r>
              <w:t>1125</w:t>
            </w:r>
          </w:p>
        </w:tc>
        <w:tc>
          <w:tcPr>
            <w:tcW w:w="312" w:type="pct"/>
          </w:tcPr>
          <w:p w14:paraId="3E72012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6A23CC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901BC4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2A1263F"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30</w:t>
            </w:r>
          </w:p>
        </w:tc>
        <w:tc>
          <w:tcPr>
            <w:tcW w:w="312" w:type="pct"/>
            <w:vAlign w:val="center"/>
          </w:tcPr>
          <w:p w14:paraId="1B44FDAE"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0C4B7EE"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5.3</w:t>
            </w:r>
          </w:p>
        </w:tc>
        <w:tc>
          <w:tcPr>
            <w:tcW w:w="310" w:type="pct"/>
            <w:vAlign w:val="center"/>
          </w:tcPr>
          <w:p w14:paraId="55D0F662"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7D255208" w14:textId="77777777" w:rsidTr="00444693">
        <w:trPr>
          <w:cantSplit/>
          <w:trHeight w:val="13"/>
        </w:trPr>
        <w:tc>
          <w:tcPr>
            <w:tcW w:w="521" w:type="pct"/>
            <w:vMerge/>
          </w:tcPr>
          <w:p w14:paraId="3C20A05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AB417F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A089AA6" w14:textId="77777777" w:rsidR="00CE1436" w:rsidRPr="00F33F63" w:rsidRDefault="00CE1436" w:rsidP="00444693">
            <w:pPr>
              <w:pStyle w:val="TableText"/>
              <w:widowControl w:val="0"/>
              <w:suppressAutoHyphens w:val="0"/>
              <w:spacing w:before="0" w:after="0" w:line="240" w:lineRule="auto"/>
            </w:pPr>
          </w:p>
        </w:tc>
        <w:tc>
          <w:tcPr>
            <w:tcW w:w="520" w:type="pct"/>
          </w:tcPr>
          <w:p w14:paraId="3721C16D"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5063476"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7A175FBE" w14:textId="77777777" w:rsidR="00CE1436" w:rsidRPr="00886278" w:rsidRDefault="00CE1436" w:rsidP="00444693">
            <w:pPr>
              <w:pStyle w:val="TableText"/>
              <w:widowControl w:val="0"/>
              <w:suppressAutoHyphens w:val="0"/>
              <w:spacing w:before="0" w:after="0" w:line="240" w:lineRule="auto"/>
              <w:jc w:val="center"/>
              <w:rPr>
                <w:szCs w:val="17"/>
              </w:rPr>
            </w:pPr>
            <w:r>
              <w:t>1000</w:t>
            </w:r>
          </w:p>
        </w:tc>
        <w:tc>
          <w:tcPr>
            <w:tcW w:w="312" w:type="pct"/>
          </w:tcPr>
          <w:p w14:paraId="6DC0E3C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BEFF8F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02F700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6E8A06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27</w:t>
            </w:r>
          </w:p>
        </w:tc>
        <w:tc>
          <w:tcPr>
            <w:tcW w:w="312" w:type="pct"/>
            <w:vAlign w:val="center"/>
          </w:tcPr>
          <w:p w14:paraId="755E07D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36002C6"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4.7</w:t>
            </w:r>
          </w:p>
        </w:tc>
        <w:tc>
          <w:tcPr>
            <w:tcW w:w="310" w:type="pct"/>
            <w:vAlign w:val="center"/>
          </w:tcPr>
          <w:p w14:paraId="055731FC"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4FC770F2" w14:textId="77777777" w:rsidTr="00444693">
        <w:trPr>
          <w:cantSplit/>
          <w:trHeight w:val="13"/>
        </w:trPr>
        <w:tc>
          <w:tcPr>
            <w:tcW w:w="521" w:type="pct"/>
            <w:vMerge/>
          </w:tcPr>
          <w:p w14:paraId="1BC8F3A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738BD3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6BFB582" w14:textId="77777777" w:rsidR="00CE1436" w:rsidRPr="00F33F63" w:rsidRDefault="00CE1436" w:rsidP="00444693">
            <w:pPr>
              <w:pStyle w:val="TableText"/>
              <w:widowControl w:val="0"/>
              <w:suppressAutoHyphens w:val="0"/>
              <w:spacing w:before="0" w:after="0" w:line="240" w:lineRule="auto"/>
            </w:pPr>
          </w:p>
        </w:tc>
        <w:tc>
          <w:tcPr>
            <w:tcW w:w="520" w:type="pct"/>
          </w:tcPr>
          <w:p w14:paraId="23A2FD7E"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3EE38644"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39A2C116" w14:textId="77777777" w:rsidR="00CE1436" w:rsidRDefault="00CE1436" w:rsidP="00444693">
            <w:pPr>
              <w:pStyle w:val="TableText"/>
              <w:widowControl w:val="0"/>
              <w:suppressAutoHyphens w:val="0"/>
              <w:spacing w:before="0" w:after="0" w:line="240" w:lineRule="auto"/>
              <w:jc w:val="center"/>
              <w:rPr>
                <w:szCs w:val="17"/>
              </w:rPr>
            </w:pPr>
            <w:r>
              <w:t>850</w:t>
            </w:r>
          </w:p>
        </w:tc>
        <w:tc>
          <w:tcPr>
            <w:tcW w:w="312" w:type="pct"/>
          </w:tcPr>
          <w:p w14:paraId="33D62F6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AE6388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D14256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8ECCD3E" w14:textId="77777777" w:rsidR="00CE1436" w:rsidRPr="003203B5"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2F8AAD0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61C8F6D"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4.0</w:t>
            </w:r>
          </w:p>
        </w:tc>
        <w:tc>
          <w:tcPr>
            <w:tcW w:w="310" w:type="pct"/>
            <w:vAlign w:val="center"/>
          </w:tcPr>
          <w:p w14:paraId="40B7370B"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28CD06A0" w14:textId="77777777" w:rsidTr="00444693">
        <w:trPr>
          <w:cantSplit/>
          <w:trHeight w:val="13"/>
        </w:trPr>
        <w:tc>
          <w:tcPr>
            <w:tcW w:w="521" w:type="pct"/>
            <w:vMerge/>
          </w:tcPr>
          <w:p w14:paraId="3144C67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67F635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0127704" w14:textId="77777777" w:rsidR="00CE1436" w:rsidRPr="00F33F63" w:rsidRDefault="00CE1436" w:rsidP="00444693">
            <w:pPr>
              <w:pStyle w:val="TableText"/>
              <w:widowControl w:val="0"/>
              <w:suppressAutoHyphens w:val="0"/>
              <w:spacing w:before="0" w:after="0" w:line="240" w:lineRule="auto"/>
            </w:pPr>
          </w:p>
        </w:tc>
        <w:tc>
          <w:tcPr>
            <w:tcW w:w="520" w:type="pct"/>
          </w:tcPr>
          <w:p w14:paraId="6F6CA4B3"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35F75579"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6C96D2E7" w14:textId="77777777" w:rsidR="00CE1436" w:rsidRDefault="00CE1436" w:rsidP="00444693">
            <w:pPr>
              <w:pStyle w:val="TableText"/>
              <w:widowControl w:val="0"/>
              <w:suppressAutoHyphens w:val="0"/>
              <w:spacing w:before="0" w:after="0" w:line="240" w:lineRule="auto"/>
              <w:jc w:val="center"/>
              <w:rPr>
                <w:szCs w:val="17"/>
              </w:rPr>
            </w:pPr>
            <w:r>
              <w:t>840</w:t>
            </w:r>
          </w:p>
        </w:tc>
        <w:tc>
          <w:tcPr>
            <w:tcW w:w="312" w:type="pct"/>
          </w:tcPr>
          <w:p w14:paraId="7125E0D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52FEBA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A6F50A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B754C31" w14:textId="77777777" w:rsidR="00CE1436" w:rsidRPr="003203B5"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2DF8B88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9CB42B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3.9</w:t>
            </w:r>
          </w:p>
        </w:tc>
        <w:tc>
          <w:tcPr>
            <w:tcW w:w="310" w:type="pct"/>
            <w:vAlign w:val="center"/>
          </w:tcPr>
          <w:p w14:paraId="45CB7179"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3148C445" w14:textId="77777777" w:rsidTr="00444693">
        <w:trPr>
          <w:cantSplit/>
          <w:trHeight w:val="13"/>
        </w:trPr>
        <w:tc>
          <w:tcPr>
            <w:tcW w:w="521" w:type="pct"/>
            <w:vMerge/>
          </w:tcPr>
          <w:p w14:paraId="5C83EF8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C89123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18CB1B4" w14:textId="77777777" w:rsidR="00CE1436" w:rsidRPr="00F33F63" w:rsidRDefault="00CE1436" w:rsidP="00444693">
            <w:pPr>
              <w:pStyle w:val="TableText"/>
              <w:widowControl w:val="0"/>
              <w:suppressAutoHyphens w:val="0"/>
              <w:spacing w:before="0" w:after="0" w:line="240" w:lineRule="auto"/>
            </w:pPr>
          </w:p>
        </w:tc>
        <w:tc>
          <w:tcPr>
            <w:tcW w:w="520" w:type="pct"/>
          </w:tcPr>
          <w:p w14:paraId="4D8A2B8B"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48B55594"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6FA0DFB0" w14:textId="77777777" w:rsidR="00CE1436" w:rsidRDefault="00CE1436" w:rsidP="00444693">
            <w:pPr>
              <w:pStyle w:val="TableText"/>
              <w:widowControl w:val="0"/>
              <w:suppressAutoHyphens w:val="0"/>
              <w:spacing w:before="0" w:after="0" w:line="240" w:lineRule="auto"/>
              <w:jc w:val="center"/>
              <w:rPr>
                <w:szCs w:val="17"/>
              </w:rPr>
            </w:pPr>
            <w:r>
              <w:t>750</w:t>
            </w:r>
          </w:p>
        </w:tc>
        <w:tc>
          <w:tcPr>
            <w:tcW w:w="312" w:type="pct"/>
          </w:tcPr>
          <w:p w14:paraId="09B2436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6CF64A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D55765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2AADF39" w14:textId="77777777" w:rsidR="00CE1436" w:rsidRPr="003203B5" w:rsidRDefault="00CE1436" w:rsidP="00444693">
            <w:pPr>
              <w:pStyle w:val="TableText"/>
              <w:widowControl w:val="0"/>
              <w:suppressAutoHyphens w:val="0"/>
              <w:spacing w:before="0" w:after="0" w:line="240" w:lineRule="auto"/>
              <w:jc w:val="center"/>
            </w:pPr>
            <w:r>
              <w:rPr>
                <w:color w:val="1A1B1A"/>
                <w:szCs w:val="17"/>
              </w:rPr>
              <w:t>20</w:t>
            </w:r>
          </w:p>
        </w:tc>
        <w:tc>
          <w:tcPr>
            <w:tcW w:w="312" w:type="pct"/>
            <w:vAlign w:val="center"/>
          </w:tcPr>
          <w:p w14:paraId="304256D7"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C0A345E"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3.5</w:t>
            </w:r>
          </w:p>
        </w:tc>
        <w:tc>
          <w:tcPr>
            <w:tcW w:w="310" w:type="pct"/>
            <w:vAlign w:val="center"/>
          </w:tcPr>
          <w:p w14:paraId="2E87F82E"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04D4F477" w14:textId="77777777" w:rsidTr="00444693">
        <w:trPr>
          <w:cantSplit/>
          <w:trHeight w:val="13"/>
        </w:trPr>
        <w:tc>
          <w:tcPr>
            <w:tcW w:w="521" w:type="pct"/>
            <w:vMerge/>
          </w:tcPr>
          <w:p w14:paraId="4F9E507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7812D4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1B222E2" w14:textId="77777777" w:rsidR="00CE1436" w:rsidRPr="00F33F63" w:rsidRDefault="00CE1436" w:rsidP="00444693">
            <w:pPr>
              <w:pStyle w:val="TableText"/>
              <w:widowControl w:val="0"/>
              <w:suppressAutoHyphens w:val="0"/>
              <w:spacing w:before="0" w:after="0" w:line="240" w:lineRule="auto"/>
            </w:pPr>
          </w:p>
        </w:tc>
        <w:tc>
          <w:tcPr>
            <w:tcW w:w="520" w:type="pct"/>
          </w:tcPr>
          <w:p w14:paraId="29F0ECC7"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1AB85C60"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2DBC7D55"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3320F10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1CBA0D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BE719C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BD49273" w14:textId="77777777" w:rsidR="00CE1436" w:rsidRPr="003203B5"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2503379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77898C4"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2.8</w:t>
            </w:r>
          </w:p>
        </w:tc>
        <w:tc>
          <w:tcPr>
            <w:tcW w:w="310" w:type="pct"/>
            <w:vAlign w:val="center"/>
          </w:tcPr>
          <w:p w14:paraId="388942D0"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0708717B" w14:textId="77777777" w:rsidTr="00444693">
        <w:trPr>
          <w:cantSplit/>
          <w:trHeight w:val="13"/>
        </w:trPr>
        <w:tc>
          <w:tcPr>
            <w:tcW w:w="521" w:type="pct"/>
            <w:vMerge/>
          </w:tcPr>
          <w:p w14:paraId="78B336F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E50BBB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A3DF315" w14:textId="77777777" w:rsidR="00CE1436" w:rsidRPr="00F33F63" w:rsidRDefault="00CE1436" w:rsidP="00444693">
            <w:pPr>
              <w:pStyle w:val="TableText"/>
              <w:widowControl w:val="0"/>
              <w:suppressAutoHyphens w:val="0"/>
              <w:spacing w:before="0" w:after="0" w:line="240" w:lineRule="auto"/>
            </w:pPr>
          </w:p>
        </w:tc>
        <w:tc>
          <w:tcPr>
            <w:tcW w:w="520" w:type="pct"/>
          </w:tcPr>
          <w:p w14:paraId="45A34EC9"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5124CEA"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4A1D62F5" w14:textId="77777777" w:rsidR="00CE1436" w:rsidRDefault="00CE1436" w:rsidP="00444693">
            <w:pPr>
              <w:pStyle w:val="TableText"/>
              <w:widowControl w:val="0"/>
              <w:suppressAutoHyphens w:val="0"/>
              <w:spacing w:before="0" w:after="0" w:line="240" w:lineRule="auto"/>
              <w:jc w:val="center"/>
              <w:rPr>
                <w:szCs w:val="17"/>
              </w:rPr>
            </w:pPr>
            <w:r>
              <w:t>595</w:t>
            </w:r>
          </w:p>
        </w:tc>
        <w:tc>
          <w:tcPr>
            <w:tcW w:w="312" w:type="pct"/>
          </w:tcPr>
          <w:p w14:paraId="646A227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6B880A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F2B54B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C5DBB1C" w14:textId="77777777" w:rsidR="00CE1436" w:rsidRPr="003203B5"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72DFF7B6"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52EF974"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2.8</w:t>
            </w:r>
          </w:p>
        </w:tc>
        <w:tc>
          <w:tcPr>
            <w:tcW w:w="310" w:type="pct"/>
            <w:vAlign w:val="center"/>
          </w:tcPr>
          <w:p w14:paraId="4624A631"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4105A9BE" w14:textId="77777777" w:rsidTr="00444693">
        <w:trPr>
          <w:cantSplit/>
          <w:trHeight w:val="13"/>
        </w:trPr>
        <w:tc>
          <w:tcPr>
            <w:tcW w:w="521" w:type="pct"/>
            <w:vMerge/>
          </w:tcPr>
          <w:p w14:paraId="69F640B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71CAB4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1E4A37C" w14:textId="77777777" w:rsidR="00CE1436" w:rsidRPr="00F33F63" w:rsidRDefault="00CE1436" w:rsidP="00444693">
            <w:pPr>
              <w:pStyle w:val="TableText"/>
              <w:widowControl w:val="0"/>
              <w:suppressAutoHyphens w:val="0"/>
              <w:spacing w:before="0" w:after="0" w:line="240" w:lineRule="auto"/>
            </w:pPr>
          </w:p>
        </w:tc>
        <w:tc>
          <w:tcPr>
            <w:tcW w:w="520" w:type="pct"/>
          </w:tcPr>
          <w:p w14:paraId="0B607EDA"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0FEF2A85"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653EE211"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3873976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583C2C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AD411E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4BF9AF1"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25A7E918"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5A5F38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2.4</w:t>
            </w:r>
          </w:p>
        </w:tc>
        <w:tc>
          <w:tcPr>
            <w:tcW w:w="310" w:type="pct"/>
            <w:vAlign w:val="center"/>
          </w:tcPr>
          <w:p w14:paraId="3A7BF8D4"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73D88621" w14:textId="77777777" w:rsidTr="00444693">
        <w:trPr>
          <w:cantSplit/>
          <w:trHeight w:val="13"/>
        </w:trPr>
        <w:tc>
          <w:tcPr>
            <w:tcW w:w="521" w:type="pct"/>
            <w:vMerge/>
          </w:tcPr>
          <w:p w14:paraId="114DB7D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D936AF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B7B1265" w14:textId="77777777" w:rsidR="00CE1436" w:rsidRPr="00F33F63" w:rsidRDefault="00CE1436" w:rsidP="00444693">
            <w:pPr>
              <w:pStyle w:val="TableText"/>
              <w:widowControl w:val="0"/>
              <w:suppressAutoHyphens w:val="0"/>
              <w:spacing w:before="0" w:after="0" w:line="240" w:lineRule="auto"/>
            </w:pPr>
          </w:p>
        </w:tc>
        <w:tc>
          <w:tcPr>
            <w:tcW w:w="520" w:type="pct"/>
          </w:tcPr>
          <w:p w14:paraId="4B7D7AFE"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7E434FF"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78D1E27D"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26EADD0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B2E4D0E"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A4EE10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F1CE786"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32EAC8D0"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742691D3"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2.0</w:t>
            </w:r>
          </w:p>
        </w:tc>
        <w:tc>
          <w:tcPr>
            <w:tcW w:w="310" w:type="pct"/>
            <w:vAlign w:val="center"/>
          </w:tcPr>
          <w:p w14:paraId="06B549B0"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634EFC21" w14:textId="77777777" w:rsidTr="00444693">
        <w:trPr>
          <w:cantSplit/>
          <w:trHeight w:val="13"/>
        </w:trPr>
        <w:tc>
          <w:tcPr>
            <w:tcW w:w="521" w:type="pct"/>
            <w:vMerge/>
          </w:tcPr>
          <w:p w14:paraId="549E8BB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1638CE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32253F0" w14:textId="77777777" w:rsidR="00CE1436" w:rsidRPr="00F33F63" w:rsidRDefault="00CE1436" w:rsidP="00444693">
            <w:pPr>
              <w:pStyle w:val="TableText"/>
              <w:widowControl w:val="0"/>
              <w:suppressAutoHyphens w:val="0"/>
              <w:spacing w:before="0" w:after="0" w:line="240" w:lineRule="auto"/>
            </w:pPr>
          </w:p>
        </w:tc>
        <w:tc>
          <w:tcPr>
            <w:tcW w:w="520" w:type="pct"/>
          </w:tcPr>
          <w:p w14:paraId="16FAF0FC"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33FBC25F"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5C5C93A5" w14:textId="77777777" w:rsidR="00CE1436" w:rsidRDefault="00CE1436" w:rsidP="00444693">
            <w:pPr>
              <w:pStyle w:val="TableText"/>
              <w:widowControl w:val="0"/>
              <w:suppressAutoHyphens w:val="0"/>
              <w:spacing w:before="0" w:after="0" w:line="240" w:lineRule="auto"/>
              <w:jc w:val="center"/>
              <w:rPr>
                <w:szCs w:val="17"/>
              </w:rPr>
            </w:pPr>
            <w:r>
              <w:t>400</w:t>
            </w:r>
          </w:p>
        </w:tc>
        <w:tc>
          <w:tcPr>
            <w:tcW w:w="312" w:type="pct"/>
          </w:tcPr>
          <w:p w14:paraId="669918A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A5488B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80E264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1DF626A" w14:textId="77777777" w:rsidR="00CE1436" w:rsidRPr="003203B5" w:rsidRDefault="00CE1436" w:rsidP="00444693">
            <w:pPr>
              <w:pStyle w:val="TableText"/>
              <w:widowControl w:val="0"/>
              <w:suppressAutoHyphens w:val="0"/>
              <w:spacing w:before="0" w:after="0" w:line="240" w:lineRule="auto"/>
              <w:jc w:val="center"/>
            </w:pPr>
            <w:r>
              <w:rPr>
                <w:color w:val="1A1B1A"/>
                <w:szCs w:val="17"/>
              </w:rPr>
              <w:t>11</w:t>
            </w:r>
          </w:p>
        </w:tc>
        <w:tc>
          <w:tcPr>
            <w:tcW w:w="312" w:type="pct"/>
            <w:vAlign w:val="center"/>
          </w:tcPr>
          <w:p w14:paraId="41CF303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447947D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10" w:type="pct"/>
            <w:vAlign w:val="center"/>
          </w:tcPr>
          <w:p w14:paraId="7BC58367"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3131F9D1" w14:textId="77777777" w:rsidTr="00444693">
        <w:trPr>
          <w:cantSplit/>
          <w:trHeight w:val="13"/>
        </w:trPr>
        <w:tc>
          <w:tcPr>
            <w:tcW w:w="521" w:type="pct"/>
            <w:vMerge/>
          </w:tcPr>
          <w:p w14:paraId="682B659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3E619E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D7C2236" w14:textId="77777777" w:rsidR="00CE1436" w:rsidRPr="00F33F63" w:rsidRDefault="00CE1436" w:rsidP="00444693">
            <w:pPr>
              <w:pStyle w:val="TableText"/>
              <w:widowControl w:val="0"/>
              <w:suppressAutoHyphens w:val="0"/>
              <w:spacing w:before="0" w:after="0" w:line="240" w:lineRule="auto"/>
            </w:pPr>
          </w:p>
        </w:tc>
        <w:tc>
          <w:tcPr>
            <w:tcW w:w="520" w:type="pct"/>
          </w:tcPr>
          <w:p w14:paraId="6E39380C"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4281AAC"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31940B22"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177BD83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523818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E2D5BC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D25E609" w14:textId="77777777" w:rsidR="00CE1436" w:rsidRPr="003203B5" w:rsidRDefault="00CE1436" w:rsidP="00444693">
            <w:pPr>
              <w:pStyle w:val="TableText"/>
              <w:widowControl w:val="0"/>
              <w:suppressAutoHyphens w:val="0"/>
              <w:spacing w:before="0" w:after="0" w:line="240" w:lineRule="auto"/>
              <w:jc w:val="center"/>
            </w:pPr>
            <w:r>
              <w:rPr>
                <w:color w:val="1A1B1A"/>
                <w:szCs w:val="17"/>
              </w:rPr>
              <w:t>8.7</w:t>
            </w:r>
          </w:p>
        </w:tc>
        <w:tc>
          <w:tcPr>
            <w:tcW w:w="312" w:type="pct"/>
            <w:vAlign w:val="center"/>
          </w:tcPr>
          <w:p w14:paraId="61F6C8D3"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38333AC"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10" w:type="pct"/>
            <w:vAlign w:val="center"/>
          </w:tcPr>
          <w:p w14:paraId="6B623256"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0FF80D15" w14:textId="77777777" w:rsidTr="00444693">
        <w:trPr>
          <w:cantSplit/>
          <w:trHeight w:val="13"/>
        </w:trPr>
        <w:tc>
          <w:tcPr>
            <w:tcW w:w="521" w:type="pct"/>
            <w:vMerge/>
          </w:tcPr>
          <w:p w14:paraId="6549820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00EC5E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1CAE397" w14:textId="77777777" w:rsidR="00CE1436" w:rsidRPr="00F33F63" w:rsidRDefault="00CE1436" w:rsidP="00444693">
            <w:pPr>
              <w:pStyle w:val="TableText"/>
              <w:widowControl w:val="0"/>
              <w:suppressAutoHyphens w:val="0"/>
              <w:spacing w:before="0" w:after="0" w:line="240" w:lineRule="auto"/>
            </w:pPr>
          </w:p>
        </w:tc>
        <w:tc>
          <w:tcPr>
            <w:tcW w:w="520" w:type="pct"/>
          </w:tcPr>
          <w:p w14:paraId="3F8A0C4B"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2E067D6D"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4A0692D1" w14:textId="77777777" w:rsidR="00CE1436" w:rsidRDefault="00CE1436" w:rsidP="00444693">
            <w:pPr>
              <w:pStyle w:val="TableText"/>
              <w:widowControl w:val="0"/>
              <w:suppressAutoHyphens w:val="0"/>
              <w:spacing w:before="0" w:after="0" w:line="240" w:lineRule="auto"/>
              <w:jc w:val="center"/>
              <w:rPr>
                <w:szCs w:val="17"/>
              </w:rPr>
            </w:pPr>
            <w:r>
              <w:t>300</w:t>
            </w:r>
          </w:p>
        </w:tc>
        <w:tc>
          <w:tcPr>
            <w:tcW w:w="312" w:type="pct"/>
          </w:tcPr>
          <w:p w14:paraId="793B3C0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07BE70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C5A36B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BF27948" w14:textId="77777777" w:rsidR="00CE1436" w:rsidRPr="003203B5" w:rsidRDefault="00CE1436" w:rsidP="00444693">
            <w:pPr>
              <w:pStyle w:val="TableText"/>
              <w:widowControl w:val="0"/>
              <w:suppressAutoHyphens w:val="0"/>
              <w:spacing w:before="0" w:after="0" w:line="240" w:lineRule="auto"/>
              <w:jc w:val="center"/>
            </w:pPr>
            <w:r>
              <w:rPr>
                <w:color w:val="1A1B1A"/>
                <w:szCs w:val="17"/>
              </w:rPr>
              <w:t>8.0</w:t>
            </w:r>
          </w:p>
        </w:tc>
        <w:tc>
          <w:tcPr>
            <w:tcW w:w="312" w:type="pct"/>
            <w:vAlign w:val="center"/>
          </w:tcPr>
          <w:p w14:paraId="70236E5C"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A4DA9E6"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10" w:type="pct"/>
            <w:vAlign w:val="center"/>
          </w:tcPr>
          <w:p w14:paraId="307B9461"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2D0ECDD2" w14:textId="77777777" w:rsidTr="00444693">
        <w:trPr>
          <w:cantSplit/>
          <w:trHeight w:val="13"/>
        </w:trPr>
        <w:tc>
          <w:tcPr>
            <w:tcW w:w="521" w:type="pct"/>
            <w:vMerge/>
          </w:tcPr>
          <w:p w14:paraId="3A1A88D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6FF778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198E8A2" w14:textId="77777777" w:rsidR="00CE1436" w:rsidRPr="00F33F63" w:rsidRDefault="00CE1436" w:rsidP="00444693">
            <w:pPr>
              <w:pStyle w:val="TableText"/>
              <w:widowControl w:val="0"/>
              <w:suppressAutoHyphens w:val="0"/>
              <w:spacing w:before="0" w:after="0" w:line="240" w:lineRule="auto"/>
            </w:pPr>
          </w:p>
        </w:tc>
        <w:tc>
          <w:tcPr>
            <w:tcW w:w="520" w:type="pct"/>
          </w:tcPr>
          <w:p w14:paraId="522154FC"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63C621FC"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4312A39A" w14:textId="77777777" w:rsidR="00CE1436" w:rsidRDefault="00CE1436" w:rsidP="00444693">
            <w:pPr>
              <w:pStyle w:val="TableText"/>
              <w:widowControl w:val="0"/>
              <w:suppressAutoHyphens w:val="0"/>
              <w:spacing w:before="0" w:after="0" w:line="240" w:lineRule="auto"/>
              <w:jc w:val="center"/>
              <w:rPr>
                <w:szCs w:val="17"/>
              </w:rPr>
            </w:pPr>
            <w:r>
              <w:t>216</w:t>
            </w:r>
          </w:p>
        </w:tc>
        <w:tc>
          <w:tcPr>
            <w:tcW w:w="312" w:type="pct"/>
          </w:tcPr>
          <w:p w14:paraId="3D1B29B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61CBC2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76B207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3C9A8E8" w14:textId="77777777" w:rsidR="00CE1436" w:rsidRPr="003203B5" w:rsidRDefault="00CE1436" w:rsidP="00444693">
            <w:pPr>
              <w:pStyle w:val="TableText"/>
              <w:widowControl w:val="0"/>
              <w:suppressAutoHyphens w:val="0"/>
              <w:spacing w:before="0" w:after="0" w:line="240" w:lineRule="auto"/>
              <w:jc w:val="center"/>
            </w:pPr>
            <w:r>
              <w:rPr>
                <w:color w:val="1A1B1A"/>
                <w:szCs w:val="17"/>
              </w:rPr>
              <w:t>5.8</w:t>
            </w:r>
          </w:p>
        </w:tc>
        <w:tc>
          <w:tcPr>
            <w:tcW w:w="312" w:type="pct"/>
            <w:vAlign w:val="center"/>
          </w:tcPr>
          <w:p w14:paraId="7A61BC25"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27BDEE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1.0</w:t>
            </w:r>
          </w:p>
        </w:tc>
        <w:tc>
          <w:tcPr>
            <w:tcW w:w="310" w:type="pct"/>
            <w:vAlign w:val="center"/>
          </w:tcPr>
          <w:p w14:paraId="35237A12"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1A6C5DF4" w14:textId="77777777" w:rsidTr="00444693">
        <w:trPr>
          <w:cantSplit/>
          <w:trHeight w:val="13"/>
        </w:trPr>
        <w:tc>
          <w:tcPr>
            <w:tcW w:w="521" w:type="pct"/>
            <w:vMerge/>
          </w:tcPr>
          <w:p w14:paraId="2BFABD7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D445A3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2451EAF" w14:textId="77777777" w:rsidR="00CE1436" w:rsidRPr="00F33F63" w:rsidRDefault="00CE1436" w:rsidP="00444693">
            <w:pPr>
              <w:pStyle w:val="TableText"/>
              <w:widowControl w:val="0"/>
              <w:suppressAutoHyphens w:val="0"/>
              <w:spacing w:before="0" w:after="0" w:line="240" w:lineRule="auto"/>
            </w:pPr>
          </w:p>
        </w:tc>
        <w:tc>
          <w:tcPr>
            <w:tcW w:w="520" w:type="pct"/>
          </w:tcPr>
          <w:p w14:paraId="40B6F657"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46154E7B"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3A70AD95" w14:textId="77777777" w:rsidR="00CE1436" w:rsidRDefault="00CE1436" w:rsidP="00444693">
            <w:pPr>
              <w:pStyle w:val="TableText"/>
              <w:widowControl w:val="0"/>
              <w:suppressAutoHyphens w:val="0"/>
              <w:spacing w:before="0" w:after="0" w:line="240" w:lineRule="auto"/>
              <w:jc w:val="center"/>
              <w:rPr>
                <w:szCs w:val="17"/>
              </w:rPr>
            </w:pPr>
            <w:r>
              <w:t>203</w:t>
            </w:r>
          </w:p>
        </w:tc>
        <w:tc>
          <w:tcPr>
            <w:tcW w:w="312" w:type="pct"/>
          </w:tcPr>
          <w:p w14:paraId="0FC0125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68D161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D95FCF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E16BD43" w14:textId="77777777" w:rsidR="00CE1436" w:rsidRPr="003203B5" w:rsidRDefault="00CE1436" w:rsidP="00444693">
            <w:pPr>
              <w:pStyle w:val="TableText"/>
              <w:widowControl w:val="0"/>
              <w:suppressAutoHyphens w:val="0"/>
              <w:spacing w:before="0" w:after="0" w:line="240" w:lineRule="auto"/>
              <w:jc w:val="center"/>
            </w:pPr>
            <w:r>
              <w:rPr>
                <w:color w:val="1A1B1A"/>
                <w:szCs w:val="17"/>
              </w:rPr>
              <w:t>5.4</w:t>
            </w:r>
          </w:p>
        </w:tc>
        <w:tc>
          <w:tcPr>
            <w:tcW w:w="312" w:type="pct"/>
            <w:vAlign w:val="center"/>
          </w:tcPr>
          <w:p w14:paraId="4967A741"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28884274"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0.95</w:t>
            </w:r>
          </w:p>
        </w:tc>
        <w:tc>
          <w:tcPr>
            <w:tcW w:w="310" w:type="pct"/>
            <w:vAlign w:val="center"/>
          </w:tcPr>
          <w:p w14:paraId="0E6A2DD1"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2367CC85" w14:textId="77777777" w:rsidTr="00444693">
        <w:trPr>
          <w:cantSplit/>
          <w:trHeight w:val="13"/>
        </w:trPr>
        <w:tc>
          <w:tcPr>
            <w:tcW w:w="521" w:type="pct"/>
            <w:vMerge/>
          </w:tcPr>
          <w:p w14:paraId="4A5D27D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2CF3B6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326AA66" w14:textId="77777777" w:rsidR="00CE1436" w:rsidRPr="00F33F63" w:rsidRDefault="00CE1436" w:rsidP="00444693">
            <w:pPr>
              <w:pStyle w:val="TableText"/>
              <w:widowControl w:val="0"/>
              <w:suppressAutoHyphens w:val="0"/>
              <w:spacing w:before="0" w:after="0" w:line="240" w:lineRule="auto"/>
            </w:pPr>
          </w:p>
        </w:tc>
        <w:tc>
          <w:tcPr>
            <w:tcW w:w="520" w:type="pct"/>
          </w:tcPr>
          <w:p w14:paraId="4D63C5B9"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07A52CAB"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66AF4328"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6CB047B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1BC572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168500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9D2123A" w14:textId="77777777" w:rsidR="00CE1436" w:rsidRPr="003203B5" w:rsidRDefault="00CE1436" w:rsidP="00444693">
            <w:pPr>
              <w:pStyle w:val="TableText"/>
              <w:widowControl w:val="0"/>
              <w:suppressAutoHyphens w:val="0"/>
              <w:spacing w:before="0" w:after="0" w:line="240" w:lineRule="auto"/>
              <w:jc w:val="center"/>
            </w:pPr>
            <w:r>
              <w:rPr>
                <w:color w:val="1A1B1A"/>
                <w:szCs w:val="17"/>
              </w:rPr>
              <w:t>5.4</w:t>
            </w:r>
          </w:p>
        </w:tc>
        <w:tc>
          <w:tcPr>
            <w:tcW w:w="312" w:type="pct"/>
            <w:vAlign w:val="center"/>
          </w:tcPr>
          <w:p w14:paraId="1B120939"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DF8947E"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0.94</w:t>
            </w:r>
          </w:p>
        </w:tc>
        <w:tc>
          <w:tcPr>
            <w:tcW w:w="310" w:type="pct"/>
            <w:vAlign w:val="center"/>
          </w:tcPr>
          <w:p w14:paraId="646575DF"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270A00DF" w14:textId="77777777" w:rsidTr="00444693">
        <w:trPr>
          <w:cantSplit/>
          <w:trHeight w:val="13"/>
        </w:trPr>
        <w:tc>
          <w:tcPr>
            <w:tcW w:w="521" w:type="pct"/>
            <w:vMerge/>
          </w:tcPr>
          <w:p w14:paraId="601DE25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581A74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9FC4AE8" w14:textId="77777777" w:rsidR="00CE1436" w:rsidRPr="00F33F63" w:rsidRDefault="00CE1436" w:rsidP="00444693">
            <w:pPr>
              <w:pStyle w:val="TableText"/>
              <w:widowControl w:val="0"/>
              <w:suppressAutoHyphens w:val="0"/>
              <w:spacing w:before="0" w:after="0" w:line="240" w:lineRule="auto"/>
            </w:pPr>
          </w:p>
        </w:tc>
        <w:tc>
          <w:tcPr>
            <w:tcW w:w="520" w:type="pct"/>
          </w:tcPr>
          <w:p w14:paraId="2ED26B97"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59765A5E" w14:textId="77777777" w:rsidR="00CE1436" w:rsidRPr="00323407" w:rsidRDefault="00CE1436" w:rsidP="00444693">
            <w:pPr>
              <w:pStyle w:val="TableText"/>
              <w:widowControl w:val="0"/>
              <w:suppressAutoHyphens w:val="0"/>
              <w:spacing w:before="0" w:after="0" w:line="240" w:lineRule="auto"/>
              <w:jc w:val="center"/>
            </w:pPr>
            <w:r w:rsidRPr="00E0344D">
              <w:t>26.8</w:t>
            </w:r>
          </w:p>
        </w:tc>
        <w:tc>
          <w:tcPr>
            <w:tcW w:w="296" w:type="pct"/>
          </w:tcPr>
          <w:p w14:paraId="2C75B22C" w14:textId="77777777" w:rsidR="00CE1436" w:rsidRDefault="00CE1436" w:rsidP="00444693">
            <w:pPr>
              <w:pStyle w:val="TableText"/>
              <w:widowControl w:val="0"/>
              <w:suppressAutoHyphens w:val="0"/>
              <w:spacing w:before="0" w:after="0" w:line="240" w:lineRule="auto"/>
              <w:jc w:val="center"/>
              <w:rPr>
                <w:szCs w:val="17"/>
              </w:rPr>
            </w:pPr>
            <w:r>
              <w:t>173</w:t>
            </w:r>
          </w:p>
        </w:tc>
        <w:tc>
          <w:tcPr>
            <w:tcW w:w="312" w:type="pct"/>
          </w:tcPr>
          <w:p w14:paraId="3A411CA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EF4DDE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2F1B95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E6010F3" w14:textId="77777777" w:rsidR="00CE1436" w:rsidRPr="003203B5" w:rsidRDefault="00CE1436" w:rsidP="00444693">
            <w:pPr>
              <w:pStyle w:val="TableText"/>
              <w:widowControl w:val="0"/>
              <w:suppressAutoHyphens w:val="0"/>
              <w:spacing w:before="0" w:after="0" w:line="240" w:lineRule="auto"/>
              <w:jc w:val="center"/>
            </w:pPr>
            <w:r>
              <w:rPr>
                <w:color w:val="1A1B1A"/>
                <w:szCs w:val="17"/>
              </w:rPr>
              <w:t>4.6</w:t>
            </w:r>
          </w:p>
        </w:tc>
        <w:tc>
          <w:tcPr>
            <w:tcW w:w="312" w:type="pct"/>
            <w:vAlign w:val="center"/>
          </w:tcPr>
          <w:p w14:paraId="56772C0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4E08B51"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0.81</w:t>
            </w:r>
          </w:p>
        </w:tc>
        <w:tc>
          <w:tcPr>
            <w:tcW w:w="310" w:type="pct"/>
            <w:vAlign w:val="center"/>
          </w:tcPr>
          <w:p w14:paraId="254D718D"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2FB7750C" w14:textId="77777777" w:rsidTr="00444693">
        <w:trPr>
          <w:cantSplit/>
          <w:trHeight w:val="13"/>
        </w:trPr>
        <w:tc>
          <w:tcPr>
            <w:tcW w:w="521" w:type="pct"/>
            <w:vMerge/>
          </w:tcPr>
          <w:p w14:paraId="45D02BE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E30FBE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83DD073" w14:textId="77777777" w:rsidR="00CE1436" w:rsidRPr="00F33F63" w:rsidRDefault="00CE1436" w:rsidP="00444693">
            <w:pPr>
              <w:pStyle w:val="TableText"/>
              <w:widowControl w:val="0"/>
              <w:suppressAutoHyphens w:val="0"/>
              <w:spacing w:before="0" w:after="0" w:line="240" w:lineRule="auto"/>
            </w:pPr>
          </w:p>
        </w:tc>
        <w:tc>
          <w:tcPr>
            <w:tcW w:w="520" w:type="pct"/>
          </w:tcPr>
          <w:p w14:paraId="16729057"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441814CD"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6AE2C2FA" w14:textId="77777777" w:rsidR="00CE1436" w:rsidRPr="00886278" w:rsidRDefault="00CE1436" w:rsidP="00444693">
            <w:pPr>
              <w:pStyle w:val="TableText"/>
              <w:widowControl w:val="0"/>
              <w:suppressAutoHyphens w:val="0"/>
              <w:spacing w:before="0" w:after="0" w:line="240" w:lineRule="auto"/>
              <w:jc w:val="center"/>
              <w:rPr>
                <w:szCs w:val="17"/>
              </w:rPr>
            </w:pPr>
            <w:r>
              <w:t>165</w:t>
            </w:r>
          </w:p>
        </w:tc>
        <w:tc>
          <w:tcPr>
            <w:tcW w:w="312" w:type="pct"/>
          </w:tcPr>
          <w:p w14:paraId="185EEE1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CE129E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51116D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BA668CF"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4.4</w:t>
            </w:r>
          </w:p>
        </w:tc>
        <w:tc>
          <w:tcPr>
            <w:tcW w:w="312" w:type="pct"/>
            <w:vAlign w:val="center"/>
          </w:tcPr>
          <w:p w14:paraId="6A0FAF34"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6C14E35"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0.78</w:t>
            </w:r>
          </w:p>
        </w:tc>
        <w:tc>
          <w:tcPr>
            <w:tcW w:w="310" w:type="pct"/>
            <w:vAlign w:val="center"/>
          </w:tcPr>
          <w:p w14:paraId="70E22BCE"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4D9BBE40" w14:textId="77777777" w:rsidTr="00444693">
        <w:trPr>
          <w:cantSplit/>
          <w:trHeight w:val="13"/>
        </w:trPr>
        <w:tc>
          <w:tcPr>
            <w:tcW w:w="521" w:type="pct"/>
            <w:vMerge/>
          </w:tcPr>
          <w:p w14:paraId="2C1226E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F6B21B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BF9535A" w14:textId="77777777" w:rsidR="00CE1436" w:rsidRPr="00F33F63" w:rsidRDefault="00CE1436" w:rsidP="00444693">
            <w:pPr>
              <w:pStyle w:val="TableText"/>
              <w:widowControl w:val="0"/>
              <w:suppressAutoHyphens w:val="0"/>
              <w:spacing w:before="0" w:after="0" w:line="240" w:lineRule="auto"/>
            </w:pPr>
          </w:p>
        </w:tc>
        <w:tc>
          <w:tcPr>
            <w:tcW w:w="520" w:type="pct"/>
          </w:tcPr>
          <w:p w14:paraId="06FF96CA"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164876DD"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7504A797" w14:textId="77777777" w:rsidR="00CE1436" w:rsidRPr="00886278" w:rsidRDefault="00CE1436" w:rsidP="00444693">
            <w:pPr>
              <w:pStyle w:val="TableText"/>
              <w:widowControl w:val="0"/>
              <w:suppressAutoHyphens w:val="0"/>
              <w:spacing w:before="0" w:after="0" w:line="240" w:lineRule="auto"/>
              <w:jc w:val="center"/>
              <w:rPr>
                <w:szCs w:val="17"/>
              </w:rPr>
            </w:pPr>
            <w:r>
              <w:t>160</w:t>
            </w:r>
          </w:p>
        </w:tc>
        <w:tc>
          <w:tcPr>
            <w:tcW w:w="312" w:type="pct"/>
          </w:tcPr>
          <w:p w14:paraId="4E9E4B9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9C76DF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2D2BC2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989F89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4.3</w:t>
            </w:r>
          </w:p>
        </w:tc>
        <w:tc>
          <w:tcPr>
            <w:tcW w:w="312" w:type="pct"/>
            <w:vAlign w:val="center"/>
          </w:tcPr>
          <w:p w14:paraId="4D11B3E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B30A8D3" w14:textId="77777777" w:rsidR="00CE1436" w:rsidRPr="00886278" w:rsidRDefault="00CE1436" w:rsidP="00444693">
            <w:pPr>
              <w:pStyle w:val="TableText"/>
              <w:widowControl w:val="0"/>
              <w:suppressAutoHyphens w:val="0"/>
              <w:spacing w:before="0" w:after="0" w:line="240" w:lineRule="auto"/>
              <w:jc w:val="center"/>
            </w:pPr>
            <w:r>
              <w:rPr>
                <w:color w:val="1A1B1A"/>
                <w:szCs w:val="17"/>
              </w:rPr>
              <w:t>0.75</w:t>
            </w:r>
          </w:p>
        </w:tc>
        <w:tc>
          <w:tcPr>
            <w:tcW w:w="310" w:type="pct"/>
            <w:vAlign w:val="center"/>
          </w:tcPr>
          <w:p w14:paraId="54C967B0"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609D0FE6" w14:textId="77777777" w:rsidTr="00444693">
        <w:trPr>
          <w:cantSplit/>
          <w:trHeight w:val="13"/>
        </w:trPr>
        <w:tc>
          <w:tcPr>
            <w:tcW w:w="521" w:type="pct"/>
            <w:vMerge/>
          </w:tcPr>
          <w:p w14:paraId="6ADE8BF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6AD7AF1"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8527080" w14:textId="77777777" w:rsidR="00CE1436" w:rsidRPr="00F33F63" w:rsidRDefault="00CE1436" w:rsidP="00444693">
            <w:pPr>
              <w:pStyle w:val="TableText"/>
              <w:widowControl w:val="0"/>
              <w:suppressAutoHyphens w:val="0"/>
              <w:spacing w:before="0" w:after="0" w:line="240" w:lineRule="auto"/>
            </w:pPr>
          </w:p>
        </w:tc>
        <w:tc>
          <w:tcPr>
            <w:tcW w:w="520" w:type="pct"/>
          </w:tcPr>
          <w:p w14:paraId="0DB2CF92"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1FD1CB43"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4E6F9E28" w14:textId="77777777" w:rsidR="00CE1436" w:rsidRPr="00886278" w:rsidRDefault="00CE1436" w:rsidP="00444693">
            <w:pPr>
              <w:pStyle w:val="TableText"/>
              <w:widowControl w:val="0"/>
              <w:suppressAutoHyphens w:val="0"/>
              <w:spacing w:before="0" w:after="0" w:line="240" w:lineRule="auto"/>
              <w:jc w:val="center"/>
              <w:rPr>
                <w:szCs w:val="17"/>
              </w:rPr>
            </w:pPr>
            <w:r>
              <w:t>150</w:t>
            </w:r>
          </w:p>
        </w:tc>
        <w:tc>
          <w:tcPr>
            <w:tcW w:w="312" w:type="pct"/>
          </w:tcPr>
          <w:p w14:paraId="2B13560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FD8EB5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FC85DE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4C7AB88"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4.0</w:t>
            </w:r>
          </w:p>
        </w:tc>
        <w:tc>
          <w:tcPr>
            <w:tcW w:w="312" w:type="pct"/>
            <w:vAlign w:val="center"/>
          </w:tcPr>
          <w:p w14:paraId="1B0C4BDD"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1C70D64" w14:textId="77777777" w:rsidR="00CE1436" w:rsidRPr="00886278" w:rsidRDefault="00CE1436" w:rsidP="00444693">
            <w:pPr>
              <w:pStyle w:val="TableText"/>
              <w:widowControl w:val="0"/>
              <w:suppressAutoHyphens w:val="0"/>
              <w:spacing w:before="0" w:after="0" w:line="240" w:lineRule="auto"/>
              <w:jc w:val="center"/>
            </w:pPr>
            <w:r>
              <w:rPr>
                <w:color w:val="1A1B1A"/>
                <w:szCs w:val="17"/>
              </w:rPr>
              <w:t>0.71</w:t>
            </w:r>
          </w:p>
        </w:tc>
        <w:tc>
          <w:tcPr>
            <w:tcW w:w="310" w:type="pct"/>
            <w:vAlign w:val="center"/>
          </w:tcPr>
          <w:p w14:paraId="0C598056"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532FE637" w14:textId="77777777" w:rsidTr="00444693">
        <w:trPr>
          <w:cantSplit/>
          <w:trHeight w:val="13"/>
        </w:trPr>
        <w:tc>
          <w:tcPr>
            <w:tcW w:w="521" w:type="pct"/>
            <w:vMerge/>
          </w:tcPr>
          <w:p w14:paraId="0477CE4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331974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085EABF" w14:textId="77777777" w:rsidR="00CE1436" w:rsidRPr="00F33F63" w:rsidRDefault="00CE1436" w:rsidP="00444693">
            <w:pPr>
              <w:pStyle w:val="TableText"/>
              <w:widowControl w:val="0"/>
              <w:suppressAutoHyphens w:val="0"/>
              <w:spacing w:before="0" w:after="0" w:line="240" w:lineRule="auto"/>
            </w:pPr>
          </w:p>
        </w:tc>
        <w:tc>
          <w:tcPr>
            <w:tcW w:w="520" w:type="pct"/>
          </w:tcPr>
          <w:p w14:paraId="4C8B5457"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182F6BDE"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6E49EA74" w14:textId="77777777" w:rsidR="00CE1436" w:rsidRPr="00886278" w:rsidRDefault="00CE1436" w:rsidP="00444693">
            <w:pPr>
              <w:pStyle w:val="TableText"/>
              <w:widowControl w:val="0"/>
              <w:suppressAutoHyphens w:val="0"/>
              <w:spacing w:before="0" w:after="0" w:line="240" w:lineRule="auto"/>
              <w:jc w:val="center"/>
              <w:rPr>
                <w:szCs w:val="17"/>
              </w:rPr>
            </w:pPr>
            <w:r>
              <w:t>108</w:t>
            </w:r>
          </w:p>
        </w:tc>
        <w:tc>
          <w:tcPr>
            <w:tcW w:w="312" w:type="pct"/>
          </w:tcPr>
          <w:p w14:paraId="24B456E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577CCC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FF8438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243DD0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2.9</w:t>
            </w:r>
          </w:p>
        </w:tc>
        <w:tc>
          <w:tcPr>
            <w:tcW w:w="312" w:type="pct"/>
            <w:vAlign w:val="center"/>
          </w:tcPr>
          <w:p w14:paraId="00830B7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E5CB239" w14:textId="77777777" w:rsidR="00CE1436" w:rsidRPr="00886278" w:rsidRDefault="00CE1436" w:rsidP="00444693">
            <w:pPr>
              <w:pStyle w:val="TableText"/>
              <w:widowControl w:val="0"/>
              <w:suppressAutoHyphens w:val="0"/>
              <w:spacing w:before="0" w:after="0" w:line="240" w:lineRule="auto"/>
              <w:jc w:val="center"/>
            </w:pPr>
            <w:r>
              <w:rPr>
                <w:color w:val="1A1B1A"/>
                <w:szCs w:val="17"/>
              </w:rPr>
              <w:t>0.51</w:t>
            </w:r>
          </w:p>
        </w:tc>
        <w:tc>
          <w:tcPr>
            <w:tcW w:w="310" w:type="pct"/>
            <w:vAlign w:val="center"/>
          </w:tcPr>
          <w:p w14:paraId="052E1031"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7EA6612E" w14:textId="77777777" w:rsidTr="00444693">
        <w:trPr>
          <w:cantSplit/>
          <w:trHeight w:val="13"/>
        </w:trPr>
        <w:tc>
          <w:tcPr>
            <w:tcW w:w="521" w:type="pct"/>
            <w:vMerge/>
          </w:tcPr>
          <w:p w14:paraId="6F9FB19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C6C86A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A76B9AA" w14:textId="77777777" w:rsidR="00CE1436" w:rsidRPr="00F33F63" w:rsidRDefault="00CE1436" w:rsidP="00444693">
            <w:pPr>
              <w:pStyle w:val="TableText"/>
              <w:widowControl w:val="0"/>
              <w:suppressAutoHyphens w:val="0"/>
              <w:spacing w:before="0" w:after="0" w:line="240" w:lineRule="auto"/>
            </w:pPr>
          </w:p>
        </w:tc>
        <w:tc>
          <w:tcPr>
            <w:tcW w:w="520" w:type="pct"/>
          </w:tcPr>
          <w:p w14:paraId="47BD9868"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Pr>
          <w:p w14:paraId="4F8CABF7"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Pr>
          <w:p w14:paraId="62AE08EE" w14:textId="77777777" w:rsidR="00CE1436" w:rsidRPr="00886278" w:rsidRDefault="00CE1436" w:rsidP="00444693">
            <w:pPr>
              <w:pStyle w:val="TableText"/>
              <w:widowControl w:val="0"/>
              <w:suppressAutoHyphens w:val="0"/>
              <w:spacing w:before="0" w:after="0" w:line="240" w:lineRule="auto"/>
              <w:jc w:val="center"/>
              <w:rPr>
                <w:szCs w:val="17"/>
              </w:rPr>
            </w:pPr>
            <w:r>
              <w:t>100</w:t>
            </w:r>
          </w:p>
        </w:tc>
        <w:tc>
          <w:tcPr>
            <w:tcW w:w="312" w:type="pct"/>
          </w:tcPr>
          <w:p w14:paraId="4999895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237E57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56AEBE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1E90FC8"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2.7</w:t>
            </w:r>
          </w:p>
        </w:tc>
        <w:tc>
          <w:tcPr>
            <w:tcW w:w="312" w:type="pct"/>
            <w:vAlign w:val="center"/>
          </w:tcPr>
          <w:p w14:paraId="650F1FBB"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0412BFF" w14:textId="77777777" w:rsidR="00CE1436" w:rsidRPr="00886278" w:rsidRDefault="00CE1436" w:rsidP="00444693">
            <w:pPr>
              <w:pStyle w:val="TableText"/>
              <w:widowControl w:val="0"/>
              <w:suppressAutoHyphens w:val="0"/>
              <w:spacing w:before="0" w:after="0" w:line="240" w:lineRule="auto"/>
              <w:jc w:val="center"/>
            </w:pPr>
            <w:r>
              <w:rPr>
                <w:color w:val="1A1B1A"/>
                <w:szCs w:val="17"/>
              </w:rPr>
              <w:t>0.47</w:t>
            </w:r>
          </w:p>
        </w:tc>
        <w:tc>
          <w:tcPr>
            <w:tcW w:w="310" w:type="pct"/>
            <w:vAlign w:val="center"/>
          </w:tcPr>
          <w:p w14:paraId="2F417EB3"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03626AFE" w14:textId="77777777" w:rsidTr="00444693">
        <w:trPr>
          <w:cantSplit/>
          <w:trHeight w:val="13"/>
        </w:trPr>
        <w:tc>
          <w:tcPr>
            <w:tcW w:w="521" w:type="pct"/>
            <w:vMerge/>
          </w:tcPr>
          <w:p w14:paraId="4FEB1ED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A0B0523"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63D0B9D3" w14:textId="77777777" w:rsidR="00CE1436" w:rsidRPr="00F33F63"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5975B0A3" w14:textId="77777777" w:rsidR="00CE1436" w:rsidRPr="001B5959"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13064704" w14:textId="77777777" w:rsidR="00CE1436" w:rsidRPr="00323407" w:rsidRDefault="00CE1436" w:rsidP="00444693">
            <w:pPr>
              <w:pStyle w:val="TableText"/>
              <w:widowControl w:val="0"/>
              <w:suppressAutoHyphens w:val="0"/>
              <w:spacing w:before="0" w:after="0" w:line="240" w:lineRule="auto"/>
              <w:jc w:val="center"/>
            </w:pPr>
            <w:r w:rsidRPr="00323407">
              <w:t>26.8</w:t>
            </w:r>
          </w:p>
        </w:tc>
        <w:tc>
          <w:tcPr>
            <w:tcW w:w="296" w:type="pct"/>
            <w:tcBorders>
              <w:bottom w:val="single" w:sz="4" w:space="0" w:color="auto"/>
            </w:tcBorders>
          </w:tcPr>
          <w:p w14:paraId="72DF2A35" w14:textId="77777777" w:rsidR="00CE1436" w:rsidRPr="00886278" w:rsidRDefault="00CE1436" w:rsidP="00444693">
            <w:pPr>
              <w:pStyle w:val="TableText"/>
              <w:widowControl w:val="0"/>
              <w:suppressAutoHyphens w:val="0"/>
              <w:spacing w:before="0" w:after="0" w:line="240" w:lineRule="auto"/>
              <w:jc w:val="center"/>
              <w:rPr>
                <w:szCs w:val="17"/>
              </w:rPr>
            </w:pPr>
            <w:r>
              <w:t>75</w:t>
            </w:r>
          </w:p>
        </w:tc>
        <w:tc>
          <w:tcPr>
            <w:tcW w:w="312" w:type="pct"/>
            <w:tcBorders>
              <w:bottom w:val="single" w:sz="4" w:space="0" w:color="auto"/>
            </w:tcBorders>
          </w:tcPr>
          <w:p w14:paraId="7663379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5757FA3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6526D48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1DB493B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2.0</w:t>
            </w:r>
          </w:p>
        </w:tc>
        <w:tc>
          <w:tcPr>
            <w:tcW w:w="312" w:type="pct"/>
            <w:tcBorders>
              <w:bottom w:val="single" w:sz="4" w:space="0" w:color="auto"/>
            </w:tcBorders>
            <w:vAlign w:val="center"/>
          </w:tcPr>
          <w:p w14:paraId="3392B3CF" w14:textId="77777777" w:rsidR="00CE1436"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1E08E31E" w14:textId="77777777" w:rsidR="00CE1436" w:rsidRPr="00886278" w:rsidRDefault="00CE1436" w:rsidP="00444693">
            <w:pPr>
              <w:pStyle w:val="TableText"/>
              <w:widowControl w:val="0"/>
              <w:suppressAutoHyphens w:val="0"/>
              <w:spacing w:before="0" w:after="0" w:line="240" w:lineRule="auto"/>
              <w:jc w:val="center"/>
            </w:pPr>
            <w:r>
              <w:rPr>
                <w:color w:val="1A1B1A"/>
                <w:szCs w:val="17"/>
              </w:rPr>
              <w:t>0.35</w:t>
            </w:r>
          </w:p>
        </w:tc>
        <w:tc>
          <w:tcPr>
            <w:tcW w:w="310" w:type="pct"/>
            <w:tcBorders>
              <w:bottom w:val="single" w:sz="4" w:space="0" w:color="auto"/>
            </w:tcBorders>
            <w:vAlign w:val="center"/>
          </w:tcPr>
          <w:p w14:paraId="55FDC459"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36EEA6E8" w14:textId="77777777" w:rsidTr="00444693">
        <w:trPr>
          <w:cantSplit/>
          <w:trHeight w:val="13"/>
        </w:trPr>
        <w:tc>
          <w:tcPr>
            <w:tcW w:w="521" w:type="pct"/>
            <w:vMerge/>
          </w:tcPr>
          <w:p w14:paraId="71AF51E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6DE55378" w14:textId="77777777" w:rsidR="00CE1436" w:rsidRPr="00886278" w:rsidRDefault="00CE1436" w:rsidP="00444693">
            <w:pPr>
              <w:pStyle w:val="TableText"/>
              <w:widowControl w:val="0"/>
              <w:suppressAutoHyphens w:val="0"/>
              <w:spacing w:before="0" w:after="0" w:line="240" w:lineRule="auto"/>
              <w:rPr>
                <w:szCs w:val="17"/>
              </w:rPr>
            </w:pPr>
            <w:r w:rsidRPr="00C13A11">
              <w:t>Small granivore</w:t>
            </w:r>
          </w:p>
        </w:tc>
        <w:tc>
          <w:tcPr>
            <w:tcW w:w="445" w:type="pct"/>
            <w:vMerge w:val="restart"/>
            <w:tcBorders>
              <w:top w:val="single" w:sz="4" w:space="0" w:color="auto"/>
            </w:tcBorders>
          </w:tcPr>
          <w:p w14:paraId="11C012EA" w14:textId="77777777" w:rsidR="00CE1436" w:rsidRPr="00886278" w:rsidRDefault="00CE1436" w:rsidP="00444693">
            <w:pPr>
              <w:pStyle w:val="TableText"/>
              <w:widowControl w:val="0"/>
              <w:suppressAutoHyphens w:val="0"/>
              <w:spacing w:before="0" w:after="0" w:line="240" w:lineRule="auto"/>
              <w:rPr>
                <w:szCs w:val="17"/>
              </w:rPr>
            </w:pPr>
            <w:r w:rsidRPr="00F33F63">
              <w:t>Late season</w:t>
            </w:r>
          </w:p>
        </w:tc>
        <w:tc>
          <w:tcPr>
            <w:tcW w:w="520" w:type="pct"/>
            <w:tcBorders>
              <w:top w:val="single" w:sz="4" w:space="0" w:color="auto"/>
            </w:tcBorders>
          </w:tcPr>
          <w:p w14:paraId="10A25947"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Chronic</w:t>
            </w:r>
          </w:p>
        </w:tc>
        <w:tc>
          <w:tcPr>
            <w:tcW w:w="446" w:type="pct"/>
            <w:tcBorders>
              <w:top w:val="single" w:sz="4" w:space="0" w:color="auto"/>
            </w:tcBorders>
          </w:tcPr>
          <w:p w14:paraId="3F47AA19" w14:textId="77777777" w:rsidR="00CE1436" w:rsidRPr="00886278" w:rsidRDefault="00CE1436" w:rsidP="00444693">
            <w:pPr>
              <w:pStyle w:val="TableText"/>
              <w:widowControl w:val="0"/>
              <w:suppressAutoHyphens w:val="0"/>
              <w:spacing w:before="0" w:after="0" w:line="240" w:lineRule="auto"/>
              <w:jc w:val="center"/>
              <w:rPr>
                <w:szCs w:val="17"/>
              </w:rPr>
            </w:pPr>
            <w:r w:rsidRPr="00E35413">
              <w:t>11.4</w:t>
            </w:r>
          </w:p>
        </w:tc>
        <w:tc>
          <w:tcPr>
            <w:tcW w:w="296" w:type="pct"/>
            <w:tcBorders>
              <w:top w:val="single" w:sz="4" w:space="0" w:color="auto"/>
            </w:tcBorders>
          </w:tcPr>
          <w:p w14:paraId="3B55487D" w14:textId="77777777" w:rsidR="00CE1436" w:rsidRPr="00886278" w:rsidRDefault="00CE1436" w:rsidP="00444693">
            <w:pPr>
              <w:pStyle w:val="TableText"/>
              <w:widowControl w:val="0"/>
              <w:suppressAutoHyphens w:val="0"/>
              <w:spacing w:before="0" w:after="0" w:line="240" w:lineRule="auto"/>
              <w:jc w:val="center"/>
              <w:rPr>
                <w:szCs w:val="17"/>
              </w:rPr>
            </w:pPr>
            <w:r>
              <w:t>1140</w:t>
            </w:r>
          </w:p>
        </w:tc>
        <w:tc>
          <w:tcPr>
            <w:tcW w:w="312" w:type="pct"/>
            <w:tcBorders>
              <w:top w:val="single" w:sz="4" w:space="0" w:color="auto"/>
            </w:tcBorders>
          </w:tcPr>
          <w:p w14:paraId="51CAC138"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6A636B11"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top w:val="single" w:sz="4" w:space="0" w:color="auto"/>
            </w:tcBorders>
          </w:tcPr>
          <w:p w14:paraId="030F5055"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Borders>
              <w:top w:val="single" w:sz="4" w:space="0" w:color="auto"/>
            </w:tcBorders>
            <w:vAlign w:val="center"/>
          </w:tcPr>
          <w:p w14:paraId="7D898898"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3.4</w:t>
            </w:r>
          </w:p>
        </w:tc>
        <w:tc>
          <w:tcPr>
            <w:tcW w:w="312" w:type="pct"/>
            <w:tcBorders>
              <w:top w:val="single" w:sz="4" w:space="0" w:color="auto"/>
            </w:tcBorders>
            <w:vAlign w:val="center"/>
          </w:tcPr>
          <w:p w14:paraId="204A2682" w14:textId="77777777" w:rsidR="00CE1436" w:rsidRPr="00886278"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top w:val="single" w:sz="4" w:space="0" w:color="auto"/>
            </w:tcBorders>
            <w:shd w:val="clear" w:color="auto" w:fill="FF0000"/>
            <w:vAlign w:val="center"/>
          </w:tcPr>
          <w:p w14:paraId="57B41A5F"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10" w:type="pct"/>
            <w:tcBorders>
              <w:top w:val="single" w:sz="4" w:space="0" w:color="auto"/>
            </w:tcBorders>
            <w:vAlign w:val="center"/>
          </w:tcPr>
          <w:p w14:paraId="3364A3DA"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709151F0" w14:textId="77777777" w:rsidTr="00444693">
        <w:trPr>
          <w:cantSplit/>
          <w:trHeight w:val="13"/>
        </w:trPr>
        <w:tc>
          <w:tcPr>
            <w:tcW w:w="521" w:type="pct"/>
            <w:vMerge/>
          </w:tcPr>
          <w:p w14:paraId="7C85DB6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63F2FC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11896AC" w14:textId="77777777" w:rsidR="00CE1436" w:rsidRPr="00F33F63" w:rsidRDefault="00CE1436" w:rsidP="00444693">
            <w:pPr>
              <w:pStyle w:val="TableText"/>
              <w:widowControl w:val="0"/>
              <w:suppressAutoHyphens w:val="0"/>
              <w:spacing w:before="0" w:after="0" w:line="240" w:lineRule="auto"/>
            </w:pPr>
          </w:p>
        </w:tc>
        <w:tc>
          <w:tcPr>
            <w:tcW w:w="520" w:type="pct"/>
          </w:tcPr>
          <w:p w14:paraId="175912D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F355B9C"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4D0859C5" w14:textId="77777777" w:rsidR="00CE1436" w:rsidRPr="00886278" w:rsidRDefault="00CE1436" w:rsidP="00444693">
            <w:pPr>
              <w:pStyle w:val="TableText"/>
              <w:widowControl w:val="0"/>
              <w:suppressAutoHyphens w:val="0"/>
              <w:spacing w:before="0" w:after="0" w:line="240" w:lineRule="auto"/>
              <w:jc w:val="center"/>
              <w:rPr>
                <w:szCs w:val="17"/>
              </w:rPr>
            </w:pPr>
            <w:r>
              <w:t>1125</w:t>
            </w:r>
          </w:p>
        </w:tc>
        <w:tc>
          <w:tcPr>
            <w:tcW w:w="312" w:type="pct"/>
          </w:tcPr>
          <w:p w14:paraId="5468BC3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108BE0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76DFF28"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31E296B8"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3.4</w:t>
            </w:r>
          </w:p>
        </w:tc>
        <w:tc>
          <w:tcPr>
            <w:tcW w:w="312" w:type="pct"/>
            <w:vAlign w:val="center"/>
          </w:tcPr>
          <w:p w14:paraId="5CBCEDFA"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5702878E" w14:textId="77777777" w:rsidR="00CE1436" w:rsidRPr="00886278" w:rsidRDefault="00CE1436" w:rsidP="00444693">
            <w:pPr>
              <w:pStyle w:val="TableText"/>
              <w:widowControl w:val="0"/>
              <w:suppressAutoHyphens w:val="0"/>
              <w:spacing w:before="0" w:after="0" w:line="240" w:lineRule="auto"/>
              <w:jc w:val="center"/>
            </w:pPr>
            <w:r>
              <w:rPr>
                <w:b/>
                <w:bCs/>
                <w:color w:val="1A1B1A"/>
                <w:szCs w:val="17"/>
              </w:rPr>
              <w:t>1.3</w:t>
            </w:r>
          </w:p>
        </w:tc>
        <w:tc>
          <w:tcPr>
            <w:tcW w:w="310" w:type="pct"/>
            <w:vAlign w:val="center"/>
          </w:tcPr>
          <w:p w14:paraId="17173678"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41C5AACC" w14:textId="77777777" w:rsidTr="00444693">
        <w:trPr>
          <w:cantSplit/>
          <w:trHeight w:val="13"/>
        </w:trPr>
        <w:tc>
          <w:tcPr>
            <w:tcW w:w="521" w:type="pct"/>
            <w:vMerge/>
          </w:tcPr>
          <w:p w14:paraId="120154C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81F3CF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1730A01" w14:textId="77777777" w:rsidR="00CE1436" w:rsidRPr="00F33F63" w:rsidRDefault="00CE1436" w:rsidP="00444693">
            <w:pPr>
              <w:pStyle w:val="TableText"/>
              <w:widowControl w:val="0"/>
              <w:suppressAutoHyphens w:val="0"/>
              <w:spacing w:before="0" w:after="0" w:line="240" w:lineRule="auto"/>
            </w:pPr>
          </w:p>
        </w:tc>
        <w:tc>
          <w:tcPr>
            <w:tcW w:w="520" w:type="pct"/>
          </w:tcPr>
          <w:p w14:paraId="75539144"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1F8D3CB"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61E1D069" w14:textId="77777777" w:rsidR="00CE1436" w:rsidRDefault="00CE1436" w:rsidP="00444693">
            <w:pPr>
              <w:pStyle w:val="TableText"/>
              <w:widowControl w:val="0"/>
              <w:suppressAutoHyphens w:val="0"/>
              <w:spacing w:before="0" w:after="0" w:line="240" w:lineRule="auto"/>
              <w:jc w:val="center"/>
              <w:rPr>
                <w:szCs w:val="17"/>
              </w:rPr>
            </w:pPr>
            <w:r>
              <w:t>1000</w:t>
            </w:r>
          </w:p>
        </w:tc>
        <w:tc>
          <w:tcPr>
            <w:tcW w:w="312" w:type="pct"/>
          </w:tcPr>
          <w:p w14:paraId="2F0538C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66085C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6FF83E49"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217A7C6B" w14:textId="77777777" w:rsidR="00CE1436" w:rsidRPr="003203B5" w:rsidRDefault="00CE1436" w:rsidP="00444693">
            <w:pPr>
              <w:pStyle w:val="TableText"/>
              <w:widowControl w:val="0"/>
              <w:suppressAutoHyphens w:val="0"/>
              <w:spacing w:before="0" w:after="0" w:line="240" w:lineRule="auto"/>
              <w:jc w:val="center"/>
            </w:pPr>
            <w:r>
              <w:rPr>
                <w:color w:val="1A1B1A"/>
                <w:szCs w:val="17"/>
              </w:rPr>
              <w:t>3.0</w:t>
            </w:r>
          </w:p>
        </w:tc>
        <w:tc>
          <w:tcPr>
            <w:tcW w:w="312" w:type="pct"/>
            <w:vAlign w:val="center"/>
          </w:tcPr>
          <w:p w14:paraId="7303DF1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7693A8B0" w14:textId="77777777" w:rsidR="00CE1436" w:rsidRPr="0023247F"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19BB4EAB"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30528A6B" w14:textId="77777777" w:rsidTr="00444693">
        <w:trPr>
          <w:cantSplit/>
          <w:trHeight w:val="13"/>
        </w:trPr>
        <w:tc>
          <w:tcPr>
            <w:tcW w:w="521" w:type="pct"/>
            <w:vMerge/>
          </w:tcPr>
          <w:p w14:paraId="5736222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2CA4941"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56916D5" w14:textId="77777777" w:rsidR="00CE1436" w:rsidRPr="00F33F63" w:rsidRDefault="00CE1436" w:rsidP="00444693">
            <w:pPr>
              <w:pStyle w:val="TableText"/>
              <w:widowControl w:val="0"/>
              <w:suppressAutoHyphens w:val="0"/>
              <w:spacing w:before="0" w:after="0" w:line="240" w:lineRule="auto"/>
            </w:pPr>
          </w:p>
        </w:tc>
        <w:tc>
          <w:tcPr>
            <w:tcW w:w="520" w:type="pct"/>
          </w:tcPr>
          <w:p w14:paraId="1B9DC984"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F488228"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6BB5EAA8" w14:textId="77777777" w:rsidR="00CE1436" w:rsidRDefault="00CE1436" w:rsidP="00444693">
            <w:pPr>
              <w:pStyle w:val="TableText"/>
              <w:widowControl w:val="0"/>
              <w:suppressAutoHyphens w:val="0"/>
              <w:spacing w:before="0" w:after="0" w:line="240" w:lineRule="auto"/>
              <w:jc w:val="center"/>
              <w:rPr>
                <w:szCs w:val="17"/>
              </w:rPr>
            </w:pPr>
            <w:r>
              <w:t>850</w:t>
            </w:r>
          </w:p>
        </w:tc>
        <w:tc>
          <w:tcPr>
            <w:tcW w:w="312" w:type="pct"/>
          </w:tcPr>
          <w:p w14:paraId="3CF81CB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572E26A"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364C3FD"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BBFA5AF"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0244369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0DF0119C" w14:textId="77777777" w:rsidR="00CE1436" w:rsidRPr="0023247F" w:rsidRDefault="00CE1436" w:rsidP="00444693">
            <w:pPr>
              <w:pStyle w:val="TableText"/>
              <w:widowControl w:val="0"/>
              <w:suppressAutoHyphens w:val="0"/>
              <w:spacing w:before="0" w:after="0" w:line="240" w:lineRule="auto"/>
              <w:jc w:val="center"/>
            </w:pPr>
            <w:r>
              <w:rPr>
                <w:color w:val="1A1B1A"/>
                <w:szCs w:val="17"/>
              </w:rPr>
              <w:t>0.95</w:t>
            </w:r>
          </w:p>
        </w:tc>
        <w:tc>
          <w:tcPr>
            <w:tcW w:w="310" w:type="pct"/>
            <w:vAlign w:val="center"/>
          </w:tcPr>
          <w:p w14:paraId="4DE048B8"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3E8BC79A" w14:textId="77777777" w:rsidTr="00444693">
        <w:trPr>
          <w:cantSplit/>
          <w:trHeight w:val="13"/>
        </w:trPr>
        <w:tc>
          <w:tcPr>
            <w:tcW w:w="521" w:type="pct"/>
            <w:vMerge/>
          </w:tcPr>
          <w:p w14:paraId="699500F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452D24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858EF3D" w14:textId="77777777" w:rsidR="00CE1436" w:rsidRPr="00F33F63" w:rsidRDefault="00CE1436" w:rsidP="00444693">
            <w:pPr>
              <w:pStyle w:val="TableText"/>
              <w:widowControl w:val="0"/>
              <w:suppressAutoHyphens w:val="0"/>
              <w:spacing w:before="0" w:after="0" w:line="240" w:lineRule="auto"/>
            </w:pPr>
          </w:p>
        </w:tc>
        <w:tc>
          <w:tcPr>
            <w:tcW w:w="520" w:type="pct"/>
          </w:tcPr>
          <w:p w14:paraId="16DED90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E3850D5"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5181E82D" w14:textId="77777777" w:rsidR="00CE1436" w:rsidRDefault="00CE1436" w:rsidP="00444693">
            <w:pPr>
              <w:pStyle w:val="TableText"/>
              <w:widowControl w:val="0"/>
              <w:suppressAutoHyphens w:val="0"/>
              <w:spacing w:before="0" w:after="0" w:line="240" w:lineRule="auto"/>
              <w:jc w:val="center"/>
              <w:rPr>
                <w:szCs w:val="17"/>
              </w:rPr>
            </w:pPr>
            <w:r>
              <w:t>840</w:t>
            </w:r>
          </w:p>
        </w:tc>
        <w:tc>
          <w:tcPr>
            <w:tcW w:w="312" w:type="pct"/>
          </w:tcPr>
          <w:p w14:paraId="7FB4D64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78DF42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BDD6924"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8178183" w14:textId="77777777" w:rsidR="00CE1436" w:rsidRPr="003203B5" w:rsidRDefault="00CE1436" w:rsidP="00444693">
            <w:pPr>
              <w:pStyle w:val="TableText"/>
              <w:widowControl w:val="0"/>
              <w:suppressAutoHyphens w:val="0"/>
              <w:spacing w:before="0" w:after="0" w:line="240" w:lineRule="auto"/>
              <w:jc w:val="center"/>
            </w:pPr>
            <w:r>
              <w:rPr>
                <w:color w:val="1A1B1A"/>
                <w:szCs w:val="17"/>
              </w:rPr>
              <w:t>2.5</w:t>
            </w:r>
          </w:p>
        </w:tc>
        <w:tc>
          <w:tcPr>
            <w:tcW w:w="312" w:type="pct"/>
            <w:vAlign w:val="center"/>
          </w:tcPr>
          <w:p w14:paraId="38D06D1C"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EF6A204" w14:textId="77777777" w:rsidR="00CE1436" w:rsidRPr="0023247F" w:rsidRDefault="00CE1436" w:rsidP="00444693">
            <w:pPr>
              <w:pStyle w:val="TableText"/>
              <w:widowControl w:val="0"/>
              <w:suppressAutoHyphens w:val="0"/>
              <w:spacing w:before="0" w:after="0" w:line="240" w:lineRule="auto"/>
              <w:jc w:val="center"/>
            </w:pPr>
            <w:r>
              <w:rPr>
                <w:color w:val="1A1B1A"/>
                <w:szCs w:val="17"/>
              </w:rPr>
              <w:t>0.94</w:t>
            </w:r>
          </w:p>
        </w:tc>
        <w:tc>
          <w:tcPr>
            <w:tcW w:w="310" w:type="pct"/>
            <w:vAlign w:val="center"/>
          </w:tcPr>
          <w:p w14:paraId="46B23AEF"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53300138" w14:textId="77777777" w:rsidTr="00444693">
        <w:trPr>
          <w:cantSplit/>
          <w:trHeight w:val="13"/>
        </w:trPr>
        <w:tc>
          <w:tcPr>
            <w:tcW w:w="521" w:type="pct"/>
            <w:vMerge/>
          </w:tcPr>
          <w:p w14:paraId="1375448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4D3946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3F07887" w14:textId="77777777" w:rsidR="00CE1436" w:rsidRPr="00F33F63" w:rsidRDefault="00CE1436" w:rsidP="00444693">
            <w:pPr>
              <w:pStyle w:val="TableText"/>
              <w:widowControl w:val="0"/>
              <w:suppressAutoHyphens w:val="0"/>
              <w:spacing w:before="0" w:after="0" w:line="240" w:lineRule="auto"/>
            </w:pPr>
          </w:p>
        </w:tc>
        <w:tc>
          <w:tcPr>
            <w:tcW w:w="520" w:type="pct"/>
          </w:tcPr>
          <w:p w14:paraId="0B4C8F5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3249EBB"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7EEA2B65" w14:textId="77777777" w:rsidR="00CE1436" w:rsidRDefault="00CE1436" w:rsidP="00444693">
            <w:pPr>
              <w:pStyle w:val="TableText"/>
              <w:widowControl w:val="0"/>
              <w:suppressAutoHyphens w:val="0"/>
              <w:spacing w:before="0" w:after="0" w:line="240" w:lineRule="auto"/>
              <w:jc w:val="center"/>
              <w:rPr>
                <w:szCs w:val="17"/>
              </w:rPr>
            </w:pPr>
            <w:r>
              <w:t>750</w:t>
            </w:r>
          </w:p>
        </w:tc>
        <w:tc>
          <w:tcPr>
            <w:tcW w:w="312" w:type="pct"/>
          </w:tcPr>
          <w:p w14:paraId="788FBC1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D30E9F9"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88CC0EA"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6AD1811C" w14:textId="77777777" w:rsidR="00CE1436" w:rsidRPr="003203B5" w:rsidRDefault="00CE1436" w:rsidP="00444693">
            <w:pPr>
              <w:pStyle w:val="TableText"/>
              <w:widowControl w:val="0"/>
              <w:suppressAutoHyphens w:val="0"/>
              <w:spacing w:before="0" w:after="0" w:line="240" w:lineRule="auto"/>
              <w:jc w:val="center"/>
            </w:pPr>
            <w:r>
              <w:rPr>
                <w:color w:val="1A1B1A"/>
                <w:szCs w:val="17"/>
              </w:rPr>
              <w:t>2.3</w:t>
            </w:r>
          </w:p>
        </w:tc>
        <w:tc>
          <w:tcPr>
            <w:tcW w:w="312" w:type="pct"/>
            <w:vAlign w:val="center"/>
          </w:tcPr>
          <w:p w14:paraId="0253008B"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548813A" w14:textId="77777777" w:rsidR="00CE1436" w:rsidRPr="0023247F" w:rsidRDefault="00CE1436" w:rsidP="00444693">
            <w:pPr>
              <w:pStyle w:val="TableText"/>
              <w:widowControl w:val="0"/>
              <w:suppressAutoHyphens w:val="0"/>
              <w:spacing w:before="0" w:after="0" w:line="240" w:lineRule="auto"/>
              <w:jc w:val="center"/>
            </w:pPr>
            <w:r>
              <w:rPr>
                <w:color w:val="1A1B1A"/>
                <w:szCs w:val="17"/>
              </w:rPr>
              <w:t>0.84</w:t>
            </w:r>
          </w:p>
        </w:tc>
        <w:tc>
          <w:tcPr>
            <w:tcW w:w="310" w:type="pct"/>
            <w:vAlign w:val="center"/>
          </w:tcPr>
          <w:p w14:paraId="099278C6"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18209B17" w14:textId="77777777" w:rsidTr="00444693">
        <w:trPr>
          <w:cantSplit/>
          <w:trHeight w:val="13"/>
        </w:trPr>
        <w:tc>
          <w:tcPr>
            <w:tcW w:w="521" w:type="pct"/>
            <w:vMerge/>
          </w:tcPr>
          <w:p w14:paraId="73ABB18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CC5C53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A2B5B31" w14:textId="77777777" w:rsidR="00CE1436" w:rsidRPr="00F33F63" w:rsidRDefault="00CE1436" w:rsidP="00444693">
            <w:pPr>
              <w:pStyle w:val="TableText"/>
              <w:widowControl w:val="0"/>
              <w:suppressAutoHyphens w:val="0"/>
              <w:spacing w:before="0" w:after="0" w:line="240" w:lineRule="auto"/>
            </w:pPr>
          </w:p>
        </w:tc>
        <w:tc>
          <w:tcPr>
            <w:tcW w:w="520" w:type="pct"/>
          </w:tcPr>
          <w:p w14:paraId="1C5657F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7789D08"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292D05A3"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3F3E0DD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AA6B459"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86184BC"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502E084C" w14:textId="77777777" w:rsidR="00CE1436" w:rsidRPr="003203B5"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110129F3"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4B2F6B0" w14:textId="77777777" w:rsidR="00CE1436" w:rsidRPr="0023247F" w:rsidRDefault="00CE1436" w:rsidP="00444693">
            <w:pPr>
              <w:pStyle w:val="TableText"/>
              <w:widowControl w:val="0"/>
              <w:suppressAutoHyphens w:val="0"/>
              <w:spacing w:before="0" w:after="0" w:line="240" w:lineRule="auto"/>
              <w:jc w:val="center"/>
            </w:pPr>
            <w:r>
              <w:rPr>
                <w:color w:val="1A1B1A"/>
                <w:szCs w:val="17"/>
              </w:rPr>
              <w:t>0.67</w:t>
            </w:r>
          </w:p>
        </w:tc>
        <w:tc>
          <w:tcPr>
            <w:tcW w:w="310" w:type="pct"/>
            <w:vAlign w:val="center"/>
          </w:tcPr>
          <w:p w14:paraId="10AEAC9C"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52E4F835" w14:textId="77777777" w:rsidTr="00444693">
        <w:trPr>
          <w:cantSplit/>
          <w:trHeight w:val="13"/>
        </w:trPr>
        <w:tc>
          <w:tcPr>
            <w:tcW w:w="521" w:type="pct"/>
            <w:vMerge/>
          </w:tcPr>
          <w:p w14:paraId="35EA809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0542CC0"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84579F2" w14:textId="77777777" w:rsidR="00CE1436" w:rsidRPr="00F33F63" w:rsidRDefault="00CE1436" w:rsidP="00444693">
            <w:pPr>
              <w:pStyle w:val="TableText"/>
              <w:widowControl w:val="0"/>
              <w:suppressAutoHyphens w:val="0"/>
              <w:spacing w:before="0" w:after="0" w:line="240" w:lineRule="auto"/>
            </w:pPr>
          </w:p>
        </w:tc>
        <w:tc>
          <w:tcPr>
            <w:tcW w:w="520" w:type="pct"/>
          </w:tcPr>
          <w:p w14:paraId="5C641B9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78386EA"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5BDB79AD" w14:textId="77777777" w:rsidR="00CE1436" w:rsidRDefault="00CE1436" w:rsidP="00444693">
            <w:pPr>
              <w:pStyle w:val="TableText"/>
              <w:widowControl w:val="0"/>
              <w:suppressAutoHyphens w:val="0"/>
              <w:spacing w:before="0" w:after="0" w:line="240" w:lineRule="auto"/>
              <w:jc w:val="center"/>
              <w:rPr>
                <w:szCs w:val="17"/>
              </w:rPr>
            </w:pPr>
            <w:r>
              <w:t>595</w:t>
            </w:r>
          </w:p>
        </w:tc>
        <w:tc>
          <w:tcPr>
            <w:tcW w:w="312" w:type="pct"/>
          </w:tcPr>
          <w:p w14:paraId="0DD7C44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992B1BD"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BB96B7C"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135D6D5C" w14:textId="77777777" w:rsidR="00CE1436" w:rsidRPr="003203B5" w:rsidRDefault="00CE1436" w:rsidP="00444693">
            <w:pPr>
              <w:pStyle w:val="TableText"/>
              <w:widowControl w:val="0"/>
              <w:suppressAutoHyphens w:val="0"/>
              <w:spacing w:before="0" w:after="0" w:line="240" w:lineRule="auto"/>
              <w:jc w:val="center"/>
            </w:pPr>
            <w:r>
              <w:rPr>
                <w:color w:val="1A1B1A"/>
                <w:szCs w:val="17"/>
              </w:rPr>
              <w:t>1.8</w:t>
            </w:r>
          </w:p>
        </w:tc>
        <w:tc>
          <w:tcPr>
            <w:tcW w:w="312" w:type="pct"/>
            <w:vAlign w:val="center"/>
          </w:tcPr>
          <w:p w14:paraId="023918E6"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637CE50D" w14:textId="77777777" w:rsidR="00CE1436" w:rsidRPr="0023247F" w:rsidRDefault="00CE1436" w:rsidP="00444693">
            <w:pPr>
              <w:pStyle w:val="TableText"/>
              <w:widowControl w:val="0"/>
              <w:suppressAutoHyphens w:val="0"/>
              <w:spacing w:before="0" w:after="0" w:line="240" w:lineRule="auto"/>
              <w:jc w:val="center"/>
            </w:pPr>
            <w:r>
              <w:rPr>
                <w:color w:val="1A1B1A"/>
                <w:szCs w:val="17"/>
              </w:rPr>
              <w:t>0.67</w:t>
            </w:r>
          </w:p>
        </w:tc>
        <w:tc>
          <w:tcPr>
            <w:tcW w:w="310" w:type="pct"/>
            <w:vAlign w:val="center"/>
          </w:tcPr>
          <w:p w14:paraId="496C1817"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060248D1" w14:textId="77777777" w:rsidTr="00444693">
        <w:trPr>
          <w:cantSplit/>
          <w:trHeight w:val="13"/>
        </w:trPr>
        <w:tc>
          <w:tcPr>
            <w:tcW w:w="521" w:type="pct"/>
            <w:vMerge/>
          </w:tcPr>
          <w:p w14:paraId="3512D88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F0993A0"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D714023" w14:textId="77777777" w:rsidR="00CE1436" w:rsidRPr="00F33F63" w:rsidRDefault="00CE1436" w:rsidP="00444693">
            <w:pPr>
              <w:pStyle w:val="TableText"/>
              <w:widowControl w:val="0"/>
              <w:suppressAutoHyphens w:val="0"/>
              <w:spacing w:before="0" w:after="0" w:line="240" w:lineRule="auto"/>
            </w:pPr>
          </w:p>
        </w:tc>
        <w:tc>
          <w:tcPr>
            <w:tcW w:w="520" w:type="pct"/>
          </w:tcPr>
          <w:p w14:paraId="1CB63E7B"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687BE44"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709AF86A"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0438DFD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4EEF83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EB54507"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B25D85C" w14:textId="77777777" w:rsidR="00CE1436" w:rsidRPr="003203B5"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75EA31D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485E416" w14:textId="77777777" w:rsidR="00CE1436" w:rsidRPr="0023247F" w:rsidRDefault="00CE1436" w:rsidP="00444693">
            <w:pPr>
              <w:pStyle w:val="TableText"/>
              <w:widowControl w:val="0"/>
              <w:suppressAutoHyphens w:val="0"/>
              <w:spacing w:before="0" w:after="0" w:line="240" w:lineRule="auto"/>
              <w:jc w:val="center"/>
            </w:pPr>
            <w:r>
              <w:rPr>
                <w:color w:val="1A1B1A"/>
                <w:szCs w:val="17"/>
              </w:rPr>
              <w:t>0.56</w:t>
            </w:r>
          </w:p>
        </w:tc>
        <w:tc>
          <w:tcPr>
            <w:tcW w:w="310" w:type="pct"/>
            <w:vAlign w:val="center"/>
          </w:tcPr>
          <w:p w14:paraId="0F8BECA6"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69C6658B" w14:textId="77777777" w:rsidTr="00444693">
        <w:trPr>
          <w:cantSplit/>
          <w:trHeight w:val="13"/>
        </w:trPr>
        <w:tc>
          <w:tcPr>
            <w:tcW w:w="521" w:type="pct"/>
            <w:vMerge/>
          </w:tcPr>
          <w:p w14:paraId="20B0295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12F611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1ABE7A6" w14:textId="77777777" w:rsidR="00CE1436" w:rsidRPr="00F33F63" w:rsidRDefault="00CE1436" w:rsidP="00444693">
            <w:pPr>
              <w:pStyle w:val="TableText"/>
              <w:widowControl w:val="0"/>
              <w:suppressAutoHyphens w:val="0"/>
              <w:spacing w:before="0" w:after="0" w:line="240" w:lineRule="auto"/>
            </w:pPr>
          </w:p>
        </w:tc>
        <w:tc>
          <w:tcPr>
            <w:tcW w:w="520" w:type="pct"/>
          </w:tcPr>
          <w:p w14:paraId="2AE2ABA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4E062DC"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3F3D846A"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360D9EF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398360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415CC11E"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1E69864D"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5151E8C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E5AF11B" w14:textId="77777777" w:rsidR="00CE1436" w:rsidRPr="0023247F" w:rsidRDefault="00CE1436" w:rsidP="00444693">
            <w:pPr>
              <w:pStyle w:val="TableText"/>
              <w:widowControl w:val="0"/>
              <w:suppressAutoHyphens w:val="0"/>
              <w:spacing w:before="0" w:after="0" w:line="240" w:lineRule="auto"/>
              <w:jc w:val="center"/>
            </w:pPr>
            <w:r>
              <w:rPr>
                <w:color w:val="1A1B1A"/>
                <w:szCs w:val="17"/>
              </w:rPr>
              <w:t>0.48</w:t>
            </w:r>
          </w:p>
        </w:tc>
        <w:tc>
          <w:tcPr>
            <w:tcW w:w="310" w:type="pct"/>
            <w:vAlign w:val="center"/>
          </w:tcPr>
          <w:p w14:paraId="11E06D1B"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52F7296D" w14:textId="77777777" w:rsidTr="00444693">
        <w:trPr>
          <w:cantSplit/>
          <w:trHeight w:val="13"/>
        </w:trPr>
        <w:tc>
          <w:tcPr>
            <w:tcW w:w="521" w:type="pct"/>
            <w:vMerge/>
          </w:tcPr>
          <w:p w14:paraId="7B32834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BE3F9D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3F47111" w14:textId="77777777" w:rsidR="00CE1436" w:rsidRPr="00F33F63" w:rsidRDefault="00CE1436" w:rsidP="00444693">
            <w:pPr>
              <w:pStyle w:val="TableText"/>
              <w:widowControl w:val="0"/>
              <w:suppressAutoHyphens w:val="0"/>
              <w:spacing w:before="0" w:after="0" w:line="240" w:lineRule="auto"/>
            </w:pPr>
          </w:p>
        </w:tc>
        <w:tc>
          <w:tcPr>
            <w:tcW w:w="520" w:type="pct"/>
          </w:tcPr>
          <w:p w14:paraId="63A26959"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8B062CE"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51CB731E" w14:textId="77777777" w:rsidR="00CE1436" w:rsidRDefault="00CE1436" w:rsidP="00444693">
            <w:pPr>
              <w:pStyle w:val="TableText"/>
              <w:widowControl w:val="0"/>
              <w:suppressAutoHyphens w:val="0"/>
              <w:spacing w:before="0" w:after="0" w:line="240" w:lineRule="auto"/>
              <w:jc w:val="center"/>
              <w:rPr>
                <w:szCs w:val="17"/>
              </w:rPr>
            </w:pPr>
            <w:r>
              <w:t>400</w:t>
            </w:r>
          </w:p>
        </w:tc>
        <w:tc>
          <w:tcPr>
            <w:tcW w:w="312" w:type="pct"/>
          </w:tcPr>
          <w:p w14:paraId="050C308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FAE4A5D"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C67A8C8"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4FC2AFB6" w14:textId="77777777" w:rsidR="00CE1436" w:rsidRPr="003203B5" w:rsidRDefault="00CE1436" w:rsidP="00444693">
            <w:pPr>
              <w:pStyle w:val="TableText"/>
              <w:widowControl w:val="0"/>
              <w:suppressAutoHyphens w:val="0"/>
              <w:spacing w:before="0" w:after="0" w:line="240" w:lineRule="auto"/>
              <w:jc w:val="center"/>
            </w:pPr>
            <w:r>
              <w:rPr>
                <w:color w:val="1A1B1A"/>
                <w:szCs w:val="17"/>
              </w:rPr>
              <w:t>1.2</w:t>
            </w:r>
          </w:p>
        </w:tc>
        <w:tc>
          <w:tcPr>
            <w:tcW w:w="312" w:type="pct"/>
            <w:vAlign w:val="center"/>
          </w:tcPr>
          <w:p w14:paraId="7ADBB5A6"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9D4AE05" w14:textId="77777777" w:rsidR="00CE1436" w:rsidRPr="0023247F" w:rsidRDefault="00CE1436" w:rsidP="00444693">
            <w:pPr>
              <w:pStyle w:val="TableText"/>
              <w:widowControl w:val="0"/>
              <w:suppressAutoHyphens w:val="0"/>
              <w:spacing w:before="0" w:after="0" w:line="240" w:lineRule="auto"/>
              <w:jc w:val="center"/>
            </w:pPr>
            <w:r>
              <w:rPr>
                <w:color w:val="1A1B1A"/>
                <w:szCs w:val="17"/>
              </w:rPr>
              <w:t>0.45</w:t>
            </w:r>
          </w:p>
        </w:tc>
        <w:tc>
          <w:tcPr>
            <w:tcW w:w="310" w:type="pct"/>
            <w:vAlign w:val="center"/>
          </w:tcPr>
          <w:p w14:paraId="4F24D473"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3B237925" w14:textId="77777777" w:rsidTr="00444693">
        <w:trPr>
          <w:cantSplit/>
          <w:trHeight w:val="13"/>
        </w:trPr>
        <w:tc>
          <w:tcPr>
            <w:tcW w:w="521" w:type="pct"/>
            <w:vMerge/>
          </w:tcPr>
          <w:p w14:paraId="6EFD18C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EAC96DB"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E244678" w14:textId="77777777" w:rsidR="00CE1436" w:rsidRPr="00F33F63" w:rsidRDefault="00CE1436" w:rsidP="00444693">
            <w:pPr>
              <w:pStyle w:val="TableText"/>
              <w:widowControl w:val="0"/>
              <w:suppressAutoHyphens w:val="0"/>
              <w:spacing w:before="0" w:after="0" w:line="240" w:lineRule="auto"/>
            </w:pPr>
          </w:p>
        </w:tc>
        <w:tc>
          <w:tcPr>
            <w:tcW w:w="520" w:type="pct"/>
          </w:tcPr>
          <w:p w14:paraId="10B04DA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69EB968"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223BB329"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6754E05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E2F6F8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CD5720B"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6384E317" w14:textId="77777777" w:rsidR="00CE1436" w:rsidRPr="003203B5" w:rsidRDefault="00CE1436" w:rsidP="00444693">
            <w:pPr>
              <w:pStyle w:val="TableText"/>
              <w:widowControl w:val="0"/>
              <w:suppressAutoHyphens w:val="0"/>
              <w:spacing w:before="0" w:after="0" w:line="240" w:lineRule="auto"/>
              <w:jc w:val="center"/>
            </w:pPr>
            <w:r>
              <w:rPr>
                <w:color w:val="1A1B1A"/>
                <w:szCs w:val="17"/>
              </w:rPr>
              <w:t>0.98</w:t>
            </w:r>
          </w:p>
        </w:tc>
        <w:tc>
          <w:tcPr>
            <w:tcW w:w="312" w:type="pct"/>
            <w:vAlign w:val="center"/>
          </w:tcPr>
          <w:p w14:paraId="7C08D40D"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9BBE9BC" w14:textId="77777777" w:rsidR="00CE1436" w:rsidRPr="0023247F" w:rsidRDefault="00CE1436" w:rsidP="00444693">
            <w:pPr>
              <w:pStyle w:val="TableText"/>
              <w:widowControl w:val="0"/>
              <w:suppressAutoHyphens w:val="0"/>
              <w:spacing w:before="0" w:after="0" w:line="240" w:lineRule="auto"/>
              <w:jc w:val="center"/>
            </w:pPr>
            <w:r>
              <w:rPr>
                <w:color w:val="1A1B1A"/>
                <w:szCs w:val="17"/>
              </w:rPr>
              <w:t>0.36</w:t>
            </w:r>
          </w:p>
        </w:tc>
        <w:tc>
          <w:tcPr>
            <w:tcW w:w="310" w:type="pct"/>
            <w:vAlign w:val="center"/>
          </w:tcPr>
          <w:p w14:paraId="3902CA9B"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62C1E8A9" w14:textId="77777777" w:rsidTr="00444693">
        <w:trPr>
          <w:cantSplit/>
          <w:trHeight w:val="13"/>
        </w:trPr>
        <w:tc>
          <w:tcPr>
            <w:tcW w:w="521" w:type="pct"/>
            <w:vMerge/>
          </w:tcPr>
          <w:p w14:paraId="5AEB5C4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240EA5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F6AC274" w14:textId="77777777" w:rsidR="00CE1436" w:rsidRPr="00F33F63" w:rsidRDefault="00CE1436" w:rsidP="00444693">
            <w:pPr>
              <w:pStyle w:val="TableText"/>
              <w:widowControl w:val="0"/>
              <w:suppressAutoHyphens w:val="0"/>
              <w:spacing w:before="0" w:after="0" w:line="240" w:lineRule="auto"/>
            </w:pPr>
          </w:p>
        </w:tc>
        <w:tc>
          <w:tcPr>
            <w:tcW w:w="520" w:type="pct"/>
          </w:tcPr>
          <w:p w14:paraId="1DB2B47C"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BC2B271"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27447823" w14:textId="77777777" w:rsidR="00CE1436" w:rsidRDefault="00CE1436" w:rsidP="00444693">
            <w:pPr>
              <w:pStyle w:val="TableText"/>
              <w:widowControl w:val="0"/>
              <w:suppressAutoHyphens w:val="0"/>
              <w:spacing w:before="0" w:after="0" w:line="240" w:lineRule="auto"/>
              <w:jc w:val="center"/>
              <w:rPr>
                <w:szCs w:val="17"/>
              </w:rPr>
            </w:pPr>
            <w:r>
              <w:t>300</w:t>
            </w:r>
          </w:p>
        </w:tc>
        <w:tc>
          <w:tcPr>
            <w:tcW w:w="312" w:type="pct"/>
          </w:tcPr>
          <w:p w14:paraId="08C19D8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6C4EA1C"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4B55F223"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3B370ADF" w14:textId="77777777" w:rsidR="00CE1436" w:rsidRPr="003203B5" w:rsidRDefault="00CE1436" w:rsidP="00444693">
            <w:pPr>
              <w:pStyle w:val="TableText"/>
              <w:widowControl w:val="0"/>
              <w:suppressAutoHyphens w:val="0"/>
              <w:spacing w:before="0" w:after="0" w:line="240" w:lineRule="auto"/>
              <w:jc w:val="center"/>
            </w:pPr>
            <w:r>
              <w:rPr>
                <w:color w:val="1A1B1A"/>
                <w:szCs w:val="17"/>
              </w:rPr>
              <w:t>0.91</w:t>
            </w:r>
          </w:p>
        </w:tc>
        <w:tc>
          <w:tcPr>
            <w:tcW w:w="312" w:type="pct"/>
            <w:vAlign w:val="center"/>
          </w:tcPr>
          <w:p w14:paraId="49A8E4E7"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6F624E3A" w14:textId="77777777" w:rsidR="00CE1436" w:rsidRPr="0023247F" w:rsidRDefault="00CE1436" w:rsidP="00444693">
            <w:pPr>
              <w:pStyle w:val="TableText"/>
              <w:widowControl w:val="0"/>
              <w:suppressAutoHyphens w:val="0"/>
              <w:spacing w:before="0" w:after="0" w:line="240" w:lineRule="auto"/>
              <w:jc w:val="center"/>
            </w:pPr>
            <w:r>
              <w:rPr>
                <w:color w:val="1A1B1A"/>
                <w:szCs w:val="17"/>
              </w:rPr>
              <w:t>0.34</w:t>
            </w:r>
          </w:p>
        </w:tc>
        <w:tc>
          <w:tcPr>
            <w:tcW w:w="310" w:type="pct"/>
            <w:vAlign w:val="center"/>
          </w:tcPr>
          <w:p w14:paraId="295FFEE2"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2A5780D4" w14:textId="77777777" w:rsidTr="00444693">
        <w:trPr>
          <w:cantSplit/>
          <w:trHeight w:val="13"/>
        </w:trPr>
        <w:tc>
          <w:tcPr>
            <w:tcW w:w="521" w:type="pct"/>
            <w:vMerge/>
          </w:tcPr>
          <w:p w14:paraId="44077CF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E51632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3557FB9" w14:textId="77777777" w:rsidR="00CE1436" w:rsidRPr="00F33F63" w:rsidRDefault="00CE1436" w:rsidP="00444693">
            <w:pPr>
              <w:pStyle w:val="TableText"/>
              <w:widowControl w:val="0"/>
              <w:suppressAutoHyphens w:val="0"/>
              <w:spacing w:before="0" w:after="0" w:line="240" w:lineRule="auto"/>
            </w:pPr>
          </w:p>
        </w:tc>
        <w:tc>
          <w:tcPr>
            <w:tcW w:w="520" w:type="pct"/>
          </w:tcPr>
          <w:p w14:paraId="4211AAA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ACCCFB0"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5E4878EA" w14:textId="77777777" w:rsidR="00CE1436" w:rsidRDefault="00CE1436" w:rsidP="00444693">
            <w:pPr>
              <w:pStyle w:val="TableText"/>
              <w:widowControl w:val="0"/>
              <w:suppressAutoHyphens w:val="0"/>
              <w:spacing w:before="0" w:after="0" w:line="240" w:lineRule="auto"/>
              <w:jc w:val="center"/>
              <w:rPr>
                <w:szCs w:val="17"/>
              </w:rPr>
            </w:pPr>
            <w:r>
              <w:t>216</w:t>
            </w:r>
          </w:p>
        </w:tc>
        <w:tc>
          <w:tcPr>
            <w:tcW w:w="312" w:type="pct"/>
          </w:tcPr>
          <w:p w14:paraId="1D538B0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908E269"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4E2945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136177F1" w14:textId="77777777" w:rsidR="00CE1436" w:rsidRPr="003203B5" w:rsidRDefault="00CE1436" w:rsidP="00444693">
            <w:pPr>
              <w:pStyle w:val="TableText"/>
              <w:widowControl w:val="0"/>
              <w:suppressAutoHyphens w:val="0"/>
              <w:spacing w:before="0" w:after="0" w:line="240" w:lineRule="auto"/>
              <w:jc w:val="center"/>
            </w:pPr>
            <w:r>
              <w:rPr>
                <w:color w:val="1A1B1A"/>
                <w:szCs w:val="17"/>
              </w:rPr>
              <w:t>0.65</w:t>
            </w:r>
          </w:p>
        </w:tc>
        <w:tc>
          <w:tcPr>
            <w:tcW w:w="312" w:type="pct"/>
            <w:vAlign w:val="center"/>
          </w:tcPr>
          <w:p w14:paraId="1D432415"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3CBF0B4" w14:textId="77777777" w:rsidR="00CE1436" w:rsidRPr="0023247F" w:rsidRDefault="00CE1436" w:rsidP="00444693">
            <w:pPr>
              <w:pStyle w:val="TableText"/>
              <w:widowControl w:val="0"/>
              <w:suppressAutoHyphens w:val="0"/>
              <w:spacing w:before="0" w:after="0" w:line="240" w:lineRule="auto"/>
              <w:jc w:val="center"/>
            </w:pPr>
            <w:r>
              <w:rPr>
                <w:color w:val="1A1B1A"/>
                <w:szCs w:val="17"/>
              </w:rPr>
              <w:t>0.24</w:t>
            </w:r>
          </w:p>
        </w:tc>
        <w:tc>
          <w:tcPr>
            <w:tcW w:w="310" w:type="pct"/>
            <w:vAlign w:val="center"/>
          </w:tcPr>
          <w:p w14:paraId="31DDF046"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7D54B887" w14:textId="77777777" w:rsidTr="00444693">
        <w:trPr>
          <w:cantSplit/>
          <w:trHeight w:val="13"/>
        </w:trPr>
        <w:tc>
          <w:tcPr>
            <w:tcW w:w="521" w:type="pct"/>
            <w:vMerge/>
          </w:tcPr>
          <w:p w14:paraId="79F5FED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D3F207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9CCD696" w14:textId="77777777" w:rsidR="00CE1436" w:rsidRPr="00F33F63" w:rsidRDefault="00CE1436" w:rsidP="00444693">
            <w:pPr>
              <w:pStyle w:val="TableText"/>
              <w:widowControl w:val="0"/>
              <w:suppressAutoHyphens w:val="0"/>
              <w:spacing w:before="0" w:after="0" w:line="240" w:lineRule="auto"/>
            </w:pPr>
          </w:p>
        </w:tc>
        <w:tc>
          <w:tcPr>
            <w:tcW w:w="520" w:type="pct"/>
          </w:tcPr>
          <w:p w14:paraId="3251073E"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98FABB0"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47BA7ACB" w14:textId="77777777" w:rsidR="00CE1436" w:rsidRDefault="00CE1436" w:rsidP="00444693">
            <w:pPr>
              <w:pStyle w:val="TableText"/>
              <w:widowControl w:val="0"/>
              <w:suppressAutoHyphens w:val="0"/>
              <w:spacing w:before="0" w:after="0" w:line="240" w:lineRule="auto"/>
              <w:jc w:val="center"/>
              <w:rPr>
                <w:szCs w:val="17"/>
              </w:rPr>
            </w:pPr>
            <w:r>
              <w:t>203</w:t>
            </w:r>
          </w:p>
        </w:tc>
        <w:tc>
          <w:tcPr>
            <w:tcW w:w="312" w:type="pct"/>
          </w:tcPr>
          <w:p w14:paraId="5805A14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B07F67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B87AB8B"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0ECCCBD7" w14:textId="77777777" w:rsidR="00CE1436" w:rsidRPr="003203B5" w:rsidRDefault="00CE1436" w:rsidP="00444693">
            <w:pPr>
              <w:pStyle w:val="TableText"/>
              <w:widowControl w:val="0"/>
              <w:suppressAutoHyphens w:val="0"/>
              <w:spacing w:before="0" w:after="0" w:line="240" w:lineRule="auto"/>
              <w:jc w:val="center"/>
            </w:pPr>
            <w:r>
              <w:rPr>
                <w:color w:val="1A1B1A"/>
                <w:szCs w:val="17"/>
              </w:rPr>
              <w:t>0.61</w:t>
            </w:r>
          </w:p>
        </w:tc>
        <w:tc>
          <w:tcPr>
            <w:tcW w:w="312" w:type="pct"/>
            <w:vAlign w:val="center"/>
          </w:tcPr>
          <w:p w14:paraId="61B4B08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6BE3FD95" w14:textId="77777777" w:rsidR="00CE1436" w:rsidRPr="0023247F" w:rsidRDefault="00CE1436" w:rsidP="00444693">
            <w:pPr>
              <w:pStyle w:val="TableText"/>
              <w:widowControl w:val="0"/>
              <w:suppressAutoHyphens w:val="0"/>
              <w:spacing w:before="0" w:after="0" w:line="240" w:lineRule="auto"/>
              <w:jc w:val="center"/>
            </w:pPr>
            <w:r>
              <w:rPr>
                <w:color w:val="1A1B1A"/>
                <w:szCs w:val="17"/>
              </w:rPr>
              <w:t>0.23</w:t>
            </w:r>
          </w:p>
        </w:tc>
        <w:tc>
          <w:tcPr>
            <w:tcW w:w="310" w:type="pct"/>
            <w:vAlign w:val="center"/>
          </w:tcPr>
          <w:p w14:paraId="24842A3A"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23247F" w14:paraId="143A5E8E" w14:textId="77777777" w:rsidTr="00444693">
        <w:trPr>
          <w:cantSplit/>
          <w:trHeight w:val="13"/>
        </w:trPr>
        <w:tc>
          <w:tcPr>
            <w:tcW w:w="521" w:type="pct"/>
            <w:vMerge/>
          </w:tcPr>
          <w:p w14:paraId="3637FB7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CB7F2B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7E6CCBD" w14:textId="77777777" w:rsidR="00CE1436" w:rsidRPr="00F33F63" w:rsidRDefault="00CE1436" w:rsidP="00444693">
            <w:pPr>
              <w:pStyle w:val="TableText"/>
              <w:widowControl w:val="0"/>
              <w:suppressAutoHyphens w:val="0"/>
              <w:spacing w:before="0" w:after="0" w:line="240" w:lineRule="auto"/>
            </w:pPr>
          </w:p>
        </w:tc>
        <w:tc>
          <w:tcPr>
            <w:tcW w:w="520" w:type="pct"/>
          </w:tcPr>
          <w:p w14:paraId="4C495756"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4A84E91" w14:textId="77777777" w:rsidR="00CE1436" w:rsidRPr="00E35413" w:rsidRDefault="00CE1436" w:rsidP="00444693">
            <w:pPr>
              <w:pStyle w:val="TableText"/>
              <w:widowControl w:val="0"/>
              <w:suppressAutoHyphens w:val="0"/>
              <w:spacing w:before="0" w:after="0" w:line="240" w:lineRule="auto"/>
              <w:jc w:val="center"/>
            </w:pPr>
            <w:r w:rsidRPr="00B54DE2">
              <w:t>11.4</w:t>
            </w:r>
          </w:p>
        </w:tc>
        <w:tc>
          <w:tcPr>
            <w:tcW w:w="296" w:type="pct"/>
          </w:tcPr>
          <w:p w14:paraId="37DADFBA"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62C5AE3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4BA924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489D2FC"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066FBB55" w14:textId="77777777" w:rsidR="00CE1436" w:rsidRPr="003203B5" w:rsidRDefault="00CE1436" w:rsidP="00444693">
            <w:pPr>
              <w:pStyle w:val="TableText"/>
              <w:widowControl w:val="0"/>
              <w:suppressAutoHyphens w:val="0"/>
              <w:spacing w:before="0" w:after="0" w:line="240" w:lineRule="auto"/>
              <w:jc w:val="center"/>
            </w:pPr>
            <w:r>
              <w:rPr>
                <w:color w:val="1A1B1A"/>
                <w:szCs w:val="17"/>
              </w:rPr>
              <w:t>0.60</w:t>
            </w:r>
          </w:p>
        </w:tc>
        <w:tc>
          <w:tcPr>
            <w:tcW w:w="312" w:type="pct"/>
            <w:vAlign w:val="center"/>
          </w:tcPr>
          <w:p w14:paraId="07725EA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9A718E5" w14:textId="77777777" w:rsidR="00CE1436" w:rsidRPr="0023247F" w:rsidRDefault="00CE1436" w:rsidP="00444693">
            <w:pPr>
              <w:pStyle w:val="TableText"/>
              <w:widowControl w:val="0"/>
              <w:suppressAutoHyphens w:val="0"/>
              <w:spacing w:before="0" w:after="0" w:line="240" w:lineRule="auto"/>
              <w:jc w:val="center"/>
            </w:pPr>
            <w:r>
              <w:rPr>
                <w:color w:val="1A1B1A"/>
                <w:szCs w:val="17"/>
              </w:rPr>
              <w:t>0.22</w:t>
            </w:r>
          </w:p>
        </w:tc>
        <w:tc>
          <w:tcPr>
            <w:tcW w:w="310" w:type="pct"/>
            <w:vAlign w:val="center"/>
          </w:tcPr>
          <w:p w14:paraId="2A72E14F" w14:textId="77777777" w:rsidR="00CE1436" w:rsidRPr="0023247F"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56F1B561" w14:textId="77777777" w:rsidTr="00444693">
        <w:trPr>
          <w:cantSplit/>
          <w:trHeight w:val="13"/>
        </w:trPr>
        <w:tc>
          <w:tcPr>
            <w:tcW w:w="521" w:type="pct"/>
            <w:vMerge/>
          </w:tcPr>
          <w:p w14:paraId="1E4A32A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F86B61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E0486BF" w14:textId="77777777" w:rsidR="00CE1436" w:rsidRPr="00F33F63" w:rsidRDefault="00CE1436" w:rsidP="00444693">
            <w:pPr>
              <w:pStyle w:val="TableText"/>
              <w:widowControl w:val="0"/>
              <w:suppressAutoHyphens w:val="0"/>
              <w:spacing w:before="0" w:after="0" w:line="240" w:lineRule="auto"/>
            </w:pPr>
          </w:p>
        </w:tc>
        <w:tc>
          <w:tcPr>
            <w:tcW w:w="520" w:type="pct"/>
          </w:tcPr>
          <w:p w14:paraId="5EB2009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DCC7079"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5703BBD4" w14:textId="77777777" w:rsidR="00CE1436" w:rsidRPr="00886278" w:rsidRDefault="00CE1436" w:rsidP="00444693">
            <w:pPr>
              <w:pStyle w:val="TableText"/>
              <w:widowControl w:val="0"/>
              <w:suppressAutoHyphens w:val="0"/>
              <w:spacing w:before="0" w:after="0" w:line="240" w:lineRule="auto"/>
              <w:jc w:val="center"/>
              <w:rPr>
                <w:szCs w:val="17"/>
              </w:rPr>
            </w:pPr>
            <w:r>
              <w:t>173</w:t>
            </w:r>
          </w:p>
        </w:tc>
        <w:tc>
          <w:tcPr>
            <w:tcW w:w="312" w:type="pct"/>
          </w:tcPr>
          <w:p w14:paraId="4549A72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59F708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40AC6BDE"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31B2FD6A"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0.52</w:t>
            </w:r>
          </w:p>
        </w:tc>
        <w:tc>
          <w:tcPr>
            <w:tcW w:w="312" w:type="pct"/>
            <w:vAlign w:val="center"/>
          </w:tcPr>
          <w:p w14:paraId="3AB09636"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37F7321" w14:textId="77777777" w:rsidR="00CE1436" w:rsidRPr="00886278" w:rsidRDefault="00CE1436" w:rsidP="00444693">
            <w:pPr>
              <w:pStyle w:val="TableText"/>
              <w:widowControl w:val="0"/>
              <w:suppressAutoHyphens w:val="0"/>
              <w:spacing w:before="0" w:after="0" w:line="240" w:lineRule="auto"/>
              <w:jc w:val="center"/>
            </w:pPr>
            <w:r>
              <w:rPr>
                <w:color w:val="1A1B1A"/>
                <w:szCs w:val="17"/>
              </w:rPr>
              <w:t>0.19</w:t>
            </w:r>
          </w:p>
        </w:tc>
        <w:tc>
          <w:tcPr>
            <w:tcW w:w="310" w:type="pct"/>
            <w:vAlign w:val="center"/>
          </w:tcPr>
          <w:p w14:paraId="6B7086D6"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4BE179F4" w14:textId="77777777" w:rsidTr="00444693">
        <w:trPr>
          <w:cantSplit/>
          <w:trHeight w:val="13"/>
        </w:trPr>
        <w:tc>
          <w:tcPr>
            <w:tcW w:w="521" w:type="pct"/>
            <w:vMerge/>
          </w:tcPr>
          <w:p w14:paraId="11C82AF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725590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ED5B284" w14:textId="77777777" w:rsidR="00CE1436" w:rsidRPr="00F33F63" w:rsidRDefault="00CE1436" w:rsidP="00444693">
            <w:pPr>
              <w:pStyle w:val="TableText"/>
              <w:widowControl w:val="0"/>
              <w:suppressAutoHyphens w:val="0"/>
              <w:spacing w:before="0" w:after="0" w:line="240" w:lineRule="auto"/>
            </w:pPr>
          </w:p>
        </w:tc>
        <w:tc>
          <w:tcPr>
            <w:tcW w:w="520" w:type="pct"/>
          </w:tcPr>
          <w:p w14:paraId="672E62A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98B34F8"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6C7C16E9" w14:textId="77777777" w:rsidR="00CE1436" w:rsidRPr="00886278" w:rsidRDefault="00CE1436" w:rsidP="00444693">
            <w:pPr>
              <w:pStyle w:val="TableText"/>
              <w:widowControl w:val="0"/>
              <w:suppressAutoHyphens w:val="0"/>
              <w:spacing w:before="0" w:after="0" w:line="240" w:lineRule="auto"/>
              <w:jc w:val="center"/>
              <w:rPr>
                <w:szCs w:val="17"/>
              </w:rPr>
            </w:pPr>
            <w:r>
              <w:t>165</w:t>
            </w:r>
          </w:p>
        </w:tc>
        <w:tc>
          <w:tcPr>
            <w:tcW w:w="312" w:type="pct"/>
          </w:tcPr>
          <w:p w14:paraId="6F87DC8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A2533CA"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0409E22"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19FF3859"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0.50</w:t>
            </w:r>
          </w:p>
        </w:tc>
        <w:tc>
          <w:tcPr>
            <w:tcW w:w="312" w:type="pct"/>
            <w:vAlign w:val="center"/>
          </w:tcPr>
          <w:p w14:paraId="6F21786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2162CD0" w14:textId="77777777" w:rsidR="00CE1436" w:rsidRPr="00886278" w:rsidRDefault="00CE1436" w:rsidP="00444693">
            <w:pPr>
              <w:pStyle w:val="TableText"/>
              <w:widowControl w:val="0"/>
              <w:suppressAutoHyphens w:val="0"/>
              <w:spacing w:before="0" w:after="0" w:line="240" w:lineRule="auto"/>
              <w:jc w:val="center"/>
            </w:pPr>
            <w:r>
              <w:rPr>
                <w:color w:val="1A1B1A"/>
                <w:szCs w:val="17"/>
              </w:rPr>
              <w:t>0.18</w:t>
            </w:r>
          </w:p>
        </w:tc>
        <w:tc>
          <w:tcPr>
            <w:tcW w:w="310" w:type="pct"/>
            <w:vAlign w:val="center"/>
          </w:tcPr>
          <w:p w14:paraId="57C21661"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27423D23" w14:textId="77777777" w:rsidTr="00444693">
        <w:trPr>
          <w:cantSplit/>
          <w:trHeight w:val="13"/>
        </w:trPr>
        <w:tc>
          <w:tcPr>
            <w:tcW w:w="521" w:type="pct"/>
            <w:vMerge/>
          </w:tcPr>
          <w:p w14:paraId="2410630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3B2DD4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FDFC450" w14:textId="77777777" w:rsidR="00CE1436" w:rsidRPr="00F33F63" w:rsidRDefault="00CE1436" w:rsidP="00444693">
            <w:pPr>
              <w:pStyle w:val="TableText"/>
              <w:widowControl w:val="0"/>
              <w:suppressAutoHyphens w:val="0"/>
              <w:spacing w:before="0" w:after="0" w:line="240" w:lineRule="auto"/>
            </w:pPr>
          </w:p>
        </w:tc>
        <w:tc>
          <w:tcPr>
            <w:tcW w:w="520" w:type="pct"/>
          </w:tcPr>
          <w:p w14:paraId="667AEA8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4844976"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3202F67B" w14:textId="77777777" w:rsidR="00CE1436" w:rsidRPr="00886278" w:rsidRDefault="00CE1436" w:rsidP="00444693">
            <w:pPr>
              <w:pStyle w:val="TableText"/>
              <w:widowControl w:val="0"/>
              <w:suppressAutoHyphens w:val="0"/>
              <w:spacing w:before="0" w:after="0" w:line="240" w:lineRule="auto"/>
              <w:jc w:val="center"/>
              <w:rPr>
                <w:szCs w:val="17"/>
              </w:rPr>
            </w:pPr>
            <w:r>
              <w:t>160</w:t>
            </w:r>
          </w:p>
        </w:tc>
        <w:tc>
          <w:tcPr>
            <w:tcW w:w="312" w:type="pct"/>
          </w:tcPr>
          <w:p w14:paraId="36B6928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51FB6E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CB7C94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31B1861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0.48</w:t>
            </w:r>
          </w:p>
        </w:tc>
        <w:tc>
          <w:tcPr>
            <w:tcW w:w="312" w:type="pct"/>
            <w:vAlign w:val="center"/>
          </w:tcPr>
          <w:p w14:paraId="02718CA7"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92D9EE9" w14:textId="77777777" w:rsidR="00CE1436" w:rsidRPr="00886278" w:rsidRDefault="00CE1436" w:rsidP="00444693">
            <w:pPr>
              <w:pStyle w:val="TableText"/>
              <w:widowControl w:val="0"/>
              <w:suppressAutoHyphens w:val="0"/>
              <w:spacing w:before="0" w:after="0" w:line="240" w:lineRule="auto"/>
              <w:jc w:val="center"/>
            </w:pPr>
            <w:r>
              <w:rPr>
                <w:color w:val="1A1B1A"/>
                <w:szCs w:val="17"/>
              </w:rPr>
              <w:t>0.18</w:t>
            </w:r>
          </w:p>
        </w:tc>
        <w:tc>
          <w:tcPr>
            <w:tcW w:w="310" w:type="pct"/>
            <w:vAlign w:val="center"/>
          </w:tcPr>
          <w:p w14:paraId="46362BFC"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3E9D3752" w14:textId="77777777" w:rsidTr="00444693">
        <w:trPr>
          <w:cantSplit/>
          <w:trHeight w:val="13"/>
        </w:trPr>
        <w:tc>
          <w:tcPr>
            <w:tcW w:w="521" w:type="pct"/>
            <w:vMerge/>
          </w:tcPr>
          <w:p w14:paraId="3330325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B08308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439E38F" w14:textId="77777777" w:rsidR="00CE1436" w:rsidRPr="00F33F63" w:rsidRDefault="00CE1436" w:rsidP="00444693">
            <w:pPr>
              <w:pStyle w:val="TableText"/>
              <w:widowControl w:val="0"/>
              <w:suppressAutoHyphens w:val="0"/>
              <w:spacing w:before="0" w:after="0" w:line="240" w:lineRule="auto"/>
            </w:pPr>
          </w:p>
        </w:tc>
        <w:tc>
          <w:tcPr>
            <w:tcW w:w="520" w:type="pct"/>
          </w:tcPr>
          <w:p w14:paraId="1BDBDA37"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C4F2DB8"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6499DF75" w14:textId="77777777" w:rsidR="00CE1436" w:rsidRPr="00886278" w:rsidRDefault="00CE1436" w:rsidP="00444693">
            <w:pPr>
              <w:pStyle w:val="TableText"/>
              <w:widowControl w:val="0"/>
              <w:suppressAutoHyphens w:val="0"/>
              <w:spacing w:before="0" w:after="0" w:line="240" w:lineRule="auto"/>
              <w:jc w:val="center"/>
              <w:rPr>
                <w:szCs w:val="17"/>
              </w:rPr>
            </w:pPr>
            <w:r>
              <w:t>150</w:t>
            </w:r>
          </w:p>
        </w:tc>
        <w:tc>
          <w:tcPr>
            <w:tcW w:w="312" w:type="pct"/>
          </w:tcPr>
          <w:p w14:paraId="7E1E6FC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0B240A9"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016795D9"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DEC6272"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0.45</w:t>
            </w:r>
          </w:p>
        </w:tc>
        <w:tc>
          <w:tcPr>
            <w:tcW w:w="312" w:type="pct"/>
            <w:vAlign w:val="center"/>
          </w:tcPr>
          <w:p w14:paraId="7089AD98"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6CD58119" w14:textId="77777777" w:rsidR="00CE1436" w:rsidRPr="00886278" w:rsidRDefault="00CE1436" w:rsidP="00444693">
            <w:pPr>
              <w:pStyle w:val="TableText"/>
              <w:widowControl w:val="0"/>
              <w:suppressAutoHyphens w:val="0"/>
              <w:spacing w:before="0" w:after="0" w:line="240" w:lineRule="auto"/>
              <w:jc w:val="center"/>
            </w:pPr>
            <w:r>
              <w:rPr>
                <w:color w:val="1A1B1A"/>
                <w:szCs w:val="17"/>
              </w:rPr>
              <w:t>0.17</w:t>
            </w:r>
          </w:p>
        </w:tc>
        <w:tc>
          <w:tcPr>
            <w:tcW w:w="310" w:type="pct"/>
            <w:vAlign w:val="center"/>
          </w:tcPr>
          <w:p w14:paraId="55C6970A"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2E8E9578" w14:textId="77777777" w:rsidTr="00444693">
        <w:trPr>
          <w:cantSplit/>
          <w:trHeight w:val="13"/>
        </w:trPr>
        <w:tc>
          <w:tcPr>
            <w:tcW w:w="521" w:type="pct"/>
            <w:vMerge/>
          </w:tcPr>
          <w:p w14:paraId="306012B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0BACCB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94CB1AB" w14:textId="77777777" w:rsidR="00CE1436" w:rsidRPr="00F33F63" w:rsidRDefault="00CE1436" w:rsidP="00444693">
            <w:pPr>
              <w:pStyle w:val="TableText"/>
              <w:widowControl w:val="0"/>
              <w:suppressAutoHyphens w:val="0"/>
              <w:spacing w:before="0" w:after="0" w:line="240" w:lineRule="auto"/>
            </w:pPr>
          </w:p>
        </w:tc>
        <w:tc>
          <w:tcPr>
            <w:tcW w:w="520" w:type="pct"/>
          </w:tcPr>
          <w:p w14:paraId="1E48CCA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9E01335"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544DD1B6" w14:textId="77777777" w:rsidR="00CE1436" w:rsidRPr="00886278" w:rsidRDefault="00CE1436" w:rsidP="00444693">
            <w:pPr>
              <w:pStyle w:val="TableText"/>
              <w:widowControl w:val="0"/>
              <w:suppressAutoHyphens w:val="0"/>
              <w:spacing w:before="0" w:after="0" w:line="240" w:lineRule="auto"/>
              <w:jc w:val="center"/>
              <w:rPr>
                <w:szCs w:val="17"/>
              </w:rPr>
            </w:pPr>
            <w:r>
              <w:t>108</w:t>
            </w:r>
          </w:p>
        </w:tc>
        <w:tc>
          <w:tcPr>
            <w:tcW w:w="312" w:type="pct"/>
          </w:tcPr>
          <w:p w14:paraId="48731DD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34BA79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0868ABA4"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328D620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0.33</w:t>
            </w:r>
          </w:p>
        </w:tc>
        <w:tc>
          <w:tcPr>
            <w:tcW w:w="312" w:type="pct"/>
            <w:vAlign w:val="center"/>
          </w:tcPr>
          <w:p w14:paraId="74F5D6BB"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63BCA18" w14:textId="77777777" w:rsidR="00CE1436" w:rsidRPr="00886278" w:rsidRDefault="00CE1436" w:rsidP="00444693">
            <w:pPr>
              <w:pStyle w:val="TableText"/>
              <w:widowControl w:val="0"/>
              <w:suppressAutoHyphens w:val="0"/>
              <w:spacing w:before="0" w:after="0" w:line="240" w:lineRule="auto"/>
              <w:jc w:val="center"/>
            </w:pPr>
            <w:r>
              <w:rPr>
                <w:color w:val="1A1B1A"/>
                <w:szCs w:val="17"/>
              </w:rPr>
              <w:t>0.12</w:t>
            </w:r>
          </w:p>
        </w:tc>
        <w:tc>
          <w:tcPr>
            <w:tcW w:w="310" w:type="pct"/>
            <w:vAlign w:val="center"/>
          </w:tcPr>
          <w:p w14:paraId="0EC4CA39"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52ABDDA2" w14:textId="77777777" w:rsidTr="00444693">
        <w:trPr>
          <w:cantSplit/>
          <w:trHeight w:val="13"/>
        </w:trPr>
        <w:tc>
          <w:tcPr>
            <w:tcW w:w="521" w:type="pct"/>
            <w:vMerge/>
          </w:tcPr>
          <w:p w14:paraId="2F08EF3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4CEDE6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F374787" w14:textId="77777777" w:rsidR="00CE1436" w:rsidRPr="00F33F63" w:rsidRDefault="00CE1436" w:rsidP="00444693">
            <w:pPr>
              <w:pStyle w:val="TableText"/>
              <w:widowControl w:val="0"/>
              <w:suppressAutoHyphens w:val="0"/>
              <w:spacing w:before="0" w:after="0" w:line="240" w:lineRule="auto"/>
            </w:pPr>
          </w:p>
        </w:tc>
        <w:tc>
          <w:tcPr>
            <w:tcW w:w="520" w:type="pct"/>
          </w:tcPr>
          <w:p w14:paraId="56BFB04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2DB64E6"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Pr>
          <w:p w14:paraId="05BA86C0" w14:textId="77777777" w:rsidR="00CE1436" w:rsidRPr="00886278" w:rsidRDefault="00CE1436" w:rsidP="00444693">
            <w:pPr>
              <w:pStyle w:val="TableText"/>
              <w:widowControl w:val="0"/>
              <w:suppressAutoHyphens w:val="0"/>
              <w:spacing w:before="0" w:after="0" w:line="240" w:lineRule="auto"/>
              <w:jc w:val="center"/>
              <w:rPr>
                <w:szCs w:val="17"/>
              </w:rPr>
            </w:pPr>
            <w:r>
              <w:t>100</w:t>
            </w:r>
          </w:p>
        </w:tc>
        <w:tc>
          <w:tcPr>
            <w:tcW w:w="312" w:type="pct"/>
          </w:tcPr>
          <w:p w14:paraId="5FD03A4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257CCE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0D5C3BA5"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2668E33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0.30</w:t>
            </w:r>
          </w:p>
        </w:tc>
        <w:tc>
          <w:tcPr>
            <w:tcW w:w="312" w:type="pct"/>
            <w:vAlign w:val="center"/>
          </w:tcPr>
          <w:p w14:paraId="20E25AC7"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6C13FF0" w14:textId="77777777" w:rsidR="00CE1436" w:rsidRPr="00886278" w:rsidRDefault="00CE1436" w:rsidP="00444693">
            <w:pPr>
              <w:pStyle w:val="TableText"/>
              <w:widowControl w:val="0"/>
              <w:suppressAutoHyphens w:val="0"/>
              <w:spacing w:before="0" w:after="0" w:line="240" w:lineRule="auto"/>
              <w:jc w:val="center"/>
            </w:pPr>
            <w:r>
              <w:rPr>
                <w:color w:val="1A1B1A"/>
                <w:szCs w:val="17"/>
              </w:rPr>
              <w:t>0.11</w:t>
            </w:r>
          </w:p>
        </w:tc>
        <w:tc>
          <w:tcPr>
            <w:tcW w:w="310" w:type="pct"/>
            <w:vAlign w:val="center"/>
          </w:tcPr>
          <w:p w14:paraId="5EBEA424"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48ABB4B5" w14:textId="77777777" w:rsidTr="00444693">
        <w:trPr>
          <w:cantSplit/>
          <w:trHeight w:val="13"/>
        </w:trPr>
        <w:tc>
          <w:tcPr>
            <w:tcW w:w="521" w:type="pct"/>
            <w:vMerge/>
          </w:tcPr>
          <w:p w14:paraId="2662608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271ECCC1"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63A1BF2F" w14:textId="77777777" w:rsidR="00CE1436" w:rsidRPr="00F33F63"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4F305B52" w14:textId="77777777" w:rsidR="00CE1436"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0D2C2C30" w14:textId="77777777" w:rsidR="00CE1436" w:rsidRPr="00E35413" w:rsidRDefault="00CE1436" w:rsidP="00444693">
            <w:pPr>
              <w:pStyle w:val="TableText"/>
              <w:widowControl w:val="0"/>
              <w:suppressAutoHyphens w:val="0"/>
              <w:spacing w:before="0" w:after="0" w:line="240" w:lineRule="auto"/>
              <w:jc w:val="center"/>
            </w:pPr>
            <w:r w:rsidRPr="00E35413">
              <w:t>11.4</w:t>
            </w:r>
          </w:p>
        </w:tc>
        <w:tc>
          <w:tcPr>
            <w:tcW w:w="296" w:type="pct"/>
            <w:tcBorders>
              <w:bottom w:val="single" w:sz="4" w:space="0" w:color="auto"/>
            </w:tcBorders>
          </w:tcPr>
          <w:p w14:paraId="72A7E748" w14:textId="77777777" w:rsidR="00CE1436" w:rsidRPr="00886278" w:rsidRDefault="00CE1436" w:rsidP="00444693">
            <w:pPr>
              <w:pStyle w:val="TableText"/>
              <w:widowControl w:val="0"/>
              <w:suppressAutoHyphens w:val="0"/>
              <w:spacing w:before="0" w:after="0" w:line="240" w:lineRule="auto"/>
              <w:jc w:val="center"/>
              <w:rPr>
                <w:szCs w:val="17"/>
              </w:rPr>
            </w:pPr>
            <w:r>
              <w:t>75</w:t>
            </w:r>
          </w:p>
        </w:tc>
        <w:tc>
          <w:tcPr>
            <w:tcW w:w="312" w:type="pct"/>
            <w:tcBorders>
              <w:bottom w:val="single" w:sz="4" w:space="0" w:color="auto"/>
            </w:tcBorders>
          </w:tcPr>
          <w:p w14:paraId="2E6097B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4AA80F6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bottom w:val="single" w:sz="4" w:space="0" w:color="auto"/>
            </w:tcBorders>
          </w:tcPr>
          <w:p w14:paraId="2C62F147"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Borders>
              <w:bottom w:val="single" w:sz="4" w:space="0" w:color="auto"/>
            </w:tcBorders>
            <w:vAlign w:val="center"/>
          </w:tcPr>
          <w:p w14:paraId="6ACEFFF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0.23</w:t>
            </w:r>
          </w:p>
        </w:tc>
        <w:tc>
          <w:tcPr>
            <w:tcW w:w="312" w:type="pct"/>
            <w:tcBorders>
              <w:bottom w:val="single" w:sz="4" w:space="0" w:color="auto"/>
            </w:tcBorders>
            <w:vAlign w:val="center"/>
          </w:tcPr>
          <w:p w14:paraId="223F8CE4"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bottom w:val="single" w:sz="4" w:space="0" w:color="auto"/>
            </w:tcBorders>
            <w:vAlign w:val="center"/>
          </w:tcPr>
          <w:p w14:paraId="7B0CC397" w14:textId="77777777" w:rsidR="00CE1436" w:rsidRPr="00886278" w:rsidRDefault="00CE1436" w:rsidP="00444693">
            <w:pPr>
              <w:pStyle w:val="TableText"/>
              <w:widowControl w:val="0"/>
              <w:suppressAutoHyphens w:val="0"/>
              <w:spacing w:before="0" w:after="0" w:line="240" w:lineRule="auto"/>
              <w:jc w:val="center"/>
            </w:pPr>
            <w:r>
              <w:rPr>
                <w:color w:val="1A1B1A"/>
                <w:szCs w:val="17"/>
              </w:rPr>
              <w:t>0.08</w:t>
            </w:r>
          </w:p>
        </w:tc>
        <w:tc>
          <w:tcPr>
            <w:tcW w:w="310" w:type="pct"/>
            <w:tcBorders>
              <w:bottom w:val="single" w:sz="4" w:space="0" w:color="auto"/>
            </w:tcBorders>
            <w:vAlign w:val="center"/>
          </w:tcPr>
          <w:p w14:paraId="33B883F9" w14:textId="77777777" w:rsidR="00CE1436" w:rsidRPr="00886278" w:rsidRDefault="00CE1436" w:rsidP="00444693">
            <w:pPr>
              <w:pStyle w:val="TableText"/>
              <w:widowControl w:val="0"/>
              <w:suppressAutoHyphens w:val="0"/>
              <w:spacing w:before="0" w:after="0" w:line="240" w:lineRule="auto"/>
              <w:jc w:val="center"/>
            </w:pPr>
            <w:r>
              <w:rPr>
                <w:color w:val="1A1B1A"/>
                <w:szCs w:val="17"/>
              </w:rPr>
              <w:t>894</w:t>
            </w:r>
          </w:p>
        </w:tc>
      </w:tr>
      <w:tr w:rsidR="00CE1436" w:rsidRPr="00886278" w14:paraId="746AD63B" w14:textId="77777777" w:rsidTr="00444693">
        <w:trPr>
          <w:cantSplit/>
          <w:trHeight w:val="13"/>
        </w:trPr>
        <w:tc>
          <w:tcPr>
            <w:tcW w:w="521" w:type="pct"/>
            <w:vMerge/>
          </w:tcPr>
          <w:p w14:paraId="7E40680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07E2EFEB" w14:textId="77777777" w:rsidR="00CE1436" w:rsidRPr="00886278" w:rsidRDefault="00CE1436" w:rsidP="00444693">
            <w:pPr>
              <w:pStyle w:val="TableText"/>
              <w:widowControl w:val="0"/>
              <w:suppressAutoHyphens w:val="0"/>
              <w:spacing w:before="0" w:after="0" w:line="240" w:lineRule="auto"/>
              <w:rPr>
                <w:szCs w:val="17"/>
              </w:rPr>
            </w:pPr>
            <w:r w:rsidRPr="00C13A11">
              <w:t>Large herbivore</w:t>
            </w:r>
          </w:p>
        </w:tc>
        <w:tc>
          <w:tcPr>
            <w:tcW w:w="445" w:type="pct"/>
            <w:vMerge w:val="restart"/>
            <w:tcBorders>
              <w:top w:val="single" w:sz="4" w:space="0" w:color="auto"/>
            </w:tcBorders>
          </w:tcPr>
          <w:p w14:paraId="281AC019" w14:textId="77777777" w:rsidR="00CE1436" w:rsidRPr="00886278" w:rsidRDefault="00CE1436" w:rsidP="00444693">
            <w:pPr>
              <w:pStyle w:val="TableText"/>
              <w:widowControl w:val="0"/>
              <w:suppressAutoHyphens w:val="0"/>
              <w:spacing w:before="0" w:after="0" w:line="240" w:lineRule="auto"/>
              <w:rPr>
                <w:szCs w:val="17"/>
              </w:rPr>
            </w:pPr>
            <w:r w:rsidRPr="00F33F63">
              <w:t>Growing shoots</w:t>
            </w:r>
          </w:p>
        </w:tc>
        <w:tc>
          <w:tcPr>
            <w:tcW w:w="520" w:type="pct"/>
            <w:tcBorders>
              <w:top w:val="single" w:sz="4" w:space="0" w:color="auto"/>
            </w:tcBorders>
          </w:tcPr>
          <w:p w14:paraId="25483BA0"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Chronic</w:t>
            </w:r>
          </w:p>
        </w:tc>
        <w:tc>
          <w:tcPr>
            <w:tcW w:w="446" w:type="pct"/>
            <w:tcBorders>
              <w:top w:val="single" w:sz="4" w:space="0" w:color="auto"/>
            </w:tcBorders>
          </w:tcPr>
          <w:p w14:paraId="5F2439F9" w14:textId="77777777" w:rsidR="00CE1436" w:rsidRPr="00886278" w:rsidRDefault="00CE1436" w:rsidP="00444693">
            <w:pPr>
              <w:pStyle w:val="TableText"/>
              <w:widowControl w:val="0"/>
              <w:suppressAutoHyphens w:val="0"/>
              <w:spacing w:before="0" w:after="0" w:line="240" w:lineRule="auto"/>
              <w:jc w:val="center"/>
              <w:rPr>
                <w:szCs w:val="17"/>
              </w:rPr>
            </w:pPr>
            <w:r w:rsidRPr="00E35413">
              <w:t>16.2</w:t>
            </w:r>
          </w:p>
        </w:tc>
        <w:tc>
          <w:tcPr>
            <w:tcW w:w="296" w:type="pct"/>
            <w:tcBorders>
              <w:top w:val="single" w:sz="4" w:space="0" w:color="auto"/>
            </w:tcBorders>
          </w:tcPr>
          <w:p w14:paraId="0BD0DEED" w14:textId="77777777" w:rsidR="00CE1436" w:rsidRPr="00886278" w:rsidRDefault="00CE1436" w:rsidP="00444693">
            <w:pPr>
              <w:pStyle w:val="TableText"/>
              <w:widowControl w:val="0"/>
              <w:suppressAutoHyphens w:val="0"/>
              <w:spacing w:before="0" w:after="0" w:line="240" w:lineRule="auto"/>
              <w:jc w:val="center"/>
              <w:rPr>
                <w:szCs w:val="17"/>
              </w:rPr>
            </w:pPr>
            <w:r>
              <w:t>1140</w:t>
            </w:r>
          </w:p>
        </w:tc>
        <w:tc>
          <w:tcPr>
            <w:tcW w:w="312" w:type="pct"/>
            <w:tcBorders>
              <w:top w:val="single" w:sz="4" w:space="0" w:color="auto"/>
            </w:tcBorders>
          </w:tcPr>
          <w:p w14:paraId="6704D8ED"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4002EA18"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top w:val="single" w:sz="4" w:space="0" w:color="auto"/>
            </w:tcBorders>
          </w:tcPr>
          <w:p w14:paraId="4ADB6712"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Borders>
              <w:top w:val="single" w:sz="4" w:space="0" w:color="auto"/>
            </w:tcBorders>
            <w:vAlign w:val="center"/>
          </w:tcPr>
          <w:p w14:paraId="5E0DFAE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4.9</w:t>
            </w:r>
          </w:p>
        </w:tc>
        <w:tc>
          <w:tcPr>
            <w:tcW w:w="312" w:type="pct"/>
            <w:tcBorders>
              <w:top w:val="single" w:sz="4" w:space="0" w:color="auto"/>
            </w:tcBorders>
            <w:vAlign w:val="center"/>
          </w:tcPr>
          <w:p w14:paraId="595F2FD5" w14:textId="77777777" w:rsidR="00CE1436" w:rsidRPr="00886278"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top w:val="single" w:sz="4" w:space="0" w:color="auto"/>
            </w:tcBorders>
            <w:shd w:val="clear" w:color="auto" w:fill="FF0000"/>
            <w:vAlign w:val="center"/>
          </w:tcPr>
          <w:p w14:paraId="33BAD5E5"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10" w:type="pct"/>
            <w:tcBorders>
              <w:top w:val="single" w:sz="4" w:space="0" w:color="auto"/>
            </w:tcBorders>
            <w:vAlign w:val="center"/>
          </w:tcPr>
          <w:p w14:paraId="21AC9207"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6B1CA99F" w14:textId="77777777" w:rsidTr="00444693">
        <w:trPr>
          <w:cantSplit/>
          <w:trHeight w:val="13"/>
        </w:trPr>
        <w:tc>
          <w:tcPr>
            <w:tcW w:w="521" w:type="pct"/>
            <w:vMerge/>
          </w:tcPr>
          <w:p w14:paraId="41A97E6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E63480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1D0069E" w14:textId="77777777" w:rsidR="00CE1436" w:rsidRPr="00F33F63" w:rsidRDefault="00CE1436" w:rsidP="00444693">
            <w:pPr>
              <w:pStyle w:val="TableText"/>
              <w:widowControl w:val="0"/>
              <w:suppressAutoHyphens w:val="0"/>
              <w:spacing w:before="0" w:after="0" w:line="240" w:lineRule="auto"/>
            </w:pPr>
          </w:p>
        </w:tc>
        <w:tc>
          <w:tcPr>
            <w:tcW w:w="520" w:type="pct"/>
          </w:tcPr>
          <w:p w14:paraId="049ACAD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1639196"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23D50348" w14:textId="77777777" w:rsidR="00CE1436" w:rsidRPr="00886278" w:rsidRDefault="00CE1436" w:rsidP="00444693">
            <w:pPr>
              <w:pStyle w:val="TableText"/>
              <w:widowControl w:val="0"/>
              <w:suppressAutoHyphens w:val="0"/>
              <w:spacing w:before="0" w:after="0" w:line="240" w:lineRule="auto"/>
              <w:jc w:val="center"/>
              <w:rPr>
                <w:szCs w:val="17"/>
              </w:rPr>
            </w:pPr>
            <w:r>
              <w:t>1125</w:t>
            </w:r>
          </w:p>
        </w:tc>
        <w:tc>
          <w:tcPr>
            <w:tcW w:w="312" w:type="pct"/>
          </w:tcPr>
          <w:p w14:paraId="3DEBA83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4A01AC6"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D2FCF88"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0E3977B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4.8</w:t>
            </w:r>
          </w:p>
        </w:tc>
        <w:tc>
          <w:tcPr>
            <w:tcW w:w="312" w:type="pct"/>
            <w:vAlign w:val="center"/>
          </w:tcPr>
          <w:p w14:paraId="4DB16843"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29F9BD90"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10" w:type="pct"/>
            <w:vAlign w:val="center"/>
          </w:tcPr>
          <w:p w14:paraId="6CEA1460"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1FB8A53B" w14:textId="77777777" w:rsidTr="00444693">
        <w:trPr>
          <w:cantSplit/>
          <w:trHeight w:val="13"/>
        </w:trPr>
        <w:tc>
          <w:tcPr>
            <w:tcW w:w="521" w:type="pct"/>
            <w:vMerge/>
          </w:tcPr>
          <w:p w14:paraId="45A4379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7F66FC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42C0FA5" w14:textId="77777777" w:rsidR="00CE1436" w:rsidRPr="00F33F63" w:rsidRDefault="00CE1436" w:rsidP="00444693">
            <w:pPr>
              <w:pStyle w:val="TableText"/>
              <w:widowControl w:val="0"/>
              <w:suppressAutoHyphens w:val="0"/>
              <w:spacing w:before="0" w:after="0" w:line="240" w:lineRule="auto"/>
            </w:pPr>
          </w:p>
        </w:tc>
        <w:tc>
          <w:tcPr>
            <w:tcW w:w="520" w:type="pct"/>
          </w:tcPr>
          <w:p w14:paraId="396116A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CAF5CE9"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4E8C38BA" w14:textId="77777777" w:rsidR="00CE1436" w:rsidRDefault="00CE1436" w:rsidP="00444693">
            <w:pPr>
              <w:pStyle w:val="TableText"/>
              <w:widowControl w:val="0"/>
              <w:suppressAutoHyphens w:val="0"/>
              <w:spacing w:before="0" w:after="0" w:line="240" w:lineRule="auto"/>
              <w:jc w:val="center"/>
              <w:rPr>
                <w:szCs w:val="17"/>
              </w:rPr>
            </w:pPr>
            <w:r>
              <w:t>1000</w:t>
            </w:r>
          </w:p>
        </w:tc>
        <w:tc>
          <w:tcPr>
            <w:tcW w:w="312" w:type="pct"/>
          </w:tcPr>
          <w:p w14:paraId="7469087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C77AA34"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5C98467"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6EE93277" w14:textId="77777777" w:rsidR="00CE1436" w:rsidRPr="003203B5" w:rsidRDefault="00CE1436" w:rsidP="00444693">
            <w:pPr>
              <w:pStyle w:val="TableText"/>
              <w:widowControl w:val="0"/>
              <w:suppressAutoHyphens w:val="0"/>
              <w:spacing w:before="0" w:after="0" w:line="240" w:lineRule="auto"/>
              <w:jc w:val="center"/>
            </w:pPr>
            <w:r>
              <w:rPr>
                <w:color w:val="1A1B1A"/>
                <w:szCs w:val="17"/>
              </w:rPr>
              <w:t>4.3</w:t>
            </w:r>
          </w:p>
        </w:tc>
        <w:tc>
          <w:tcPr>
            <w:tcW w:w="312" w:type="pct"/>
            <w:vAlign w:val="center"/>
          </w:tcPr>
          <w:p w14:paraId="0341F146"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13D1CF97"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1.6</w:t>
            </w:r>
          </w:p>
        </w:tc>
        <w:tc>
          <w:tcPr>
            <w:tcW w:w="310" w:type="pct"/>
            <w:vAlign w:val="center"/>
          </w:tcPr>
          <w:p w14:paraId="7315A06F"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377C3951" w14:textId="77777777" w:rsidTr="00444693">
        <w:trPr>
          <w:cantSplit/>
          <w:trHeight w:val="13"/>
        </w:trPr>
        <w:tc>
          <w:tcPr>
            <w:tcW w:w="521" w:type="pct"/>
            <w:vMerge/>
          </w:tcPr>
          <w:p w14:paraId="09A7994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DB0389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C7900F4" w14:textId="77777777" w:rsidR="00CE1436" w:rsidRPr="00F33F63" w:rsidRDefault="00CE1436" w:rsidP="00444693">
            <w:pPr>
              <w:pStyle w:val="TableText"/>
              <w:widowControl w:val="0"/>
              <w:suppressAutoHyphens w:val="0"/>
              <w:spacing w:before="0" w:after="0" w:line="240" w:lineRule="auto"/>
            </w:pPr>
          </w:p>
        </w:tc>
        <w:tc>
          <w:tcPr>
            <w:tcW w:w="520" w:type="pct"/>
          </w:tcPr>
          <w:p w14:paraId="79267EB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4D7DF83"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78A684DF" w14:textId="77777777" w:rsidR="00CE1436" w:rsidRDefault="00CE1436" w:rsidP="00444693">
            <w:pPr>
              <w:pStyle w:val="TableText"/>
              <w:widowControl w:val="0"/>
              <w:suppressAutoHyphens w:val="0"/>
              <w:spacing w:before="0" w:after="0" w:line="240" w:lineRule="auto"/>
              <w:jc w:val="center"/>
              <w:rPr>
                <w:szCs w:val="17"/>
              </w:rPr>
            </w:pPr>
            <w:r>
              <w:t>850</w:t>
            </w:r>
          </w:p>
        </w:tc>
        <w:tc>
          <w:tcPr>
            <w:tcW w:w="312" w:type="pct"/>
          </w:tcPr>
          <w:p w14:paraId="2744488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19E99D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C809530"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2BE8223D" w14:textId="77777777" w:rsidR="00CE1436" w:rsidRPr="003203B5" w:rsidRDefault="00CE1436" w:rsidP="00444693">
            <w:pPr>
              <w:pStyle w:val="TableText"/>
              <w:widowControl w:val="0"/>
              <w:suppressAutoHyphens w:val="0"/>
              <w:spacing w:before="0" w:after="0" w:line="240" w:lineRule="auto"/>
              <w:jc w:val="center"/>
            </w:pPr>
            <w:r>
              <w:rPr>
                <w:color w:val="1A1B1A"/>
                <w:szCs w:val="17"/>
              </w:rPr>
              <w:t>3.6</w:t>
            </w:r>
          </w:p>
        </w:tc>
        <w:tc>
          <w:tcPr>
            <w:tcW w:w="312" w:type="pct"/>
            <w:vAlign w:val="center"/>
          </w:tcPr>
          <w:p w14:paraId="03764E43"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6CA51A7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10" w:type="pct"/>
            <w:vAlign w:val="center"/>
          </w:tcPr>
          <w:p w14:paraId="14F5DF17"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206B2C5E" w14:textId="77777777" w:rsidTr="00444693">
        <w:trPr>
          <w:cantSplit/>
          <w:trHeight w:val="13"/>
        </w:trPr>
        <w:tc>
          <w:tcPr>
            <w:tcW w:w="521" w:type="pct"/>
            <w:vMerge/>
          </w:tcPr>
          <w:p w14:paraId="33AFA89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4E3DD0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4A45C5E" w14:textId="77777777" w:rsidR="00CE1436" w:rsidRPr="00F33F63" w:rsidRDefault="00CE1436" w:rsidP="00444693">
            <w:pPr>
              <w:pStyle w:val="TableText"/>
              <w:widowControl w:val="0"/>
              <w:suppressAutoHyphens w:val="0"/>
              <w:spacing w:before="0" w:after="0" w:line="240" w:lineRule="auto"/>
            </w:pPr>
          </w:p>
        </w:tc>
        <w:tc>
          <w:tcPr>
            <w:tcW w:w="520" w:type="pct"/>
          </w:tcPr>
          <w:p w14:paraId="10786CC6"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6F1AD9C"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309E3707" w14:textId="77777777" w:rsidR="00CE1436" w:rsidRDefault="00CE1436" w:rsidP="00444693">
            <w:pPr>
              <w:pStyle w:val="TableText"/>
              <w:widowControl w:val="0"/>
              <w:suppressAutoHyphens w:val="0"/>
              <w:spacing w:before="0" w:after="0" w:line="240" w:lineRule="auto"/>
              <w:jc w:val="center"/>
              <w:rPr>
                <w:szCs w:val="17"/>
              </w:rPr>
            </w:pPr>
            <w:r>
              <w:t>840</w:t>
            </w:r>
          </w:p>
        </w:tc>
        <w:tc>
          <w:tcPr>
            <w:tcW w:w="312" w:type="pct"/>
          </w:tcPr>
          <w:p w14:paraId="40B1DD0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27985C7"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0B0DDF2A"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2E3706C2" w14:textId="77777777" w:rsidR="00CE1436" w:rsidRPr="003203B5" w:rsidRDefault="00CE1436" w:rsidP="00444693">
            <w:pPr>
              <w:pStyle w:val="TableText"/>
              <w:widowControl w:val="0"/>
              <w:suppressAutoHyphens w:val="0"/>
              <w:spacing w:before="0" w:after="0" w:line="240" w:lineRule="auto"/>
              <w:jc w:val="center"/>
            </w:pPr>
            <w:r>
              <w:rPr>
                <w:color w:val="1A1B1A"/>
                <w:szCs w:val="17"/>
              </w:rPr>
              <w:t>3.6</w:t>
            </w:r>
          </w:p>
        </w:tc>
        <w:tc>
          <w:tcPr>
            <w:tcW w:w="312" w:type="pct"/>
            <w:vAlign w:val="center"/>
          </w:tcPr>
          <w:p w14:paraId="100B094D"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1270887C"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10" w:type="pct"/>
            <w:vAlign w:val="center"/>
          </w:tcPr>
          <w:p w14:paraId="0230AD0B"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34D4ECD0" w14:textId="77777777" w:rsidTr="00444693">
        <w:trPr>
          <w:cantSplit/>
          <w:trHeight w:val="13"/>
        </w:trPr>
        <w:tc>
          <w:tcPr>
            <w:tcW w:w="521" w:type="pct"/>
            <w:vMerge/>
          </w:tcPr>
          <w:p w14:paraId="4A91D82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81EE3C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415AFC6" w14:textId="77777777" w:rsidR="00CE1436" w:rsidRPr="00F33F63" w:rsidRDefault="00CE1436" w:rsidP="00444693">
            <w:pPr>
              <w:pStyle w:val="TableText"/>
              <w:widowControl w:val="0"/>
              <w:suppressAutoHyphens w:val="0"/>
              <w:spacing w:before="0" w:after="0" w:line="240" w:lineRule="auto"/>
            </w:pPr>
          </w:p>
        </w:tc>
        <w:tc>
          <w:tcPr>
            <w:tcW w:w="520" w:type="pct"/>
          </w:tcPr>
          <w:p w14:paraId="3F050E47"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001A158"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199787DC" w14:textId="77777777" w:rsidR="00CE1436" w:rsidRDefault="00CE1436" w:rsidP="00444693">
            <w:pPr>
              <w:pStyle w:val="TableText"/>
              <w:widowControl w:val="0"/>
              <w:suppressAutoHyphens w:val="0"/>
              <w:spacing w:before="0" w:after="0" w:line="240" w:lineRule="auto"/>
              <w:jc w:val="center"/>
              <w:rPr>
                <w:szCs w:val="17"/>
              </w:rPr>
            </w:pPr>
            <w:r>
              <w:t>750</w:t>
            </w:r>
          </w:p>
        </w:tc>
        <w:tc>
          <w:tcPr>
            <w:tcW w:w="312" w:type="pct"/>
          </w:tcPr>
          <w:p w14:paraId="6543C30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39F02D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63DF87C"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02726E04" w14:textId="77777777" w:rsidR="00CE1436" w:rsidRPr="003203B5"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7AF32F12"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shd w:val="clear" w:color="auto" w:fill="FF0000"/>
            <w:vAlign w:val="center"/>
          </w:tcPr>
          <w:p w14:paraId="5E61B868"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10" w:type="pct"/>
            <w:vAlign w:val="center"/>
          </w:tcPr>
          <w:p w14:paraId="65EC49B7"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4E1E5CD6" w14:textId="77777777" w:rsidTr="00444693">
        <w:trPr>
          <w:cantSplit/>
          <w:trHeight w:val="13"/>
        </w:trPr>
        <w:tc>
          <w:tcPr>
            <w:tcW w:w="521" w:type="pct"/>
            <w:vMerge/>
          </w:tcPr>
          <w:p w14:paraId="678DC0A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4249F6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C034ED6" w14:textId="77777777" w:rsidR="00CE1436" w:rsidRPr="00F33F63" w:rsidRDefault="00CE1436" w:rsidP="00444693">
            <w:pPr>
              <w:pStyle w:val="TableText"/>
              <w:widowControl w:val="0"/>
              <w:suppressAutoHyphens w:val="0"/>
              <w:spacing w:before="0" w:after="0" w:line="240" w:lineRule="auto"/>
            </w:pPr>
          </w:p>
        </w:tc>
        <w:tc>
          <w:tcPr>
            <w:tcW w:w="520" w:type="pct"/>
          </w:tcPr>
          <w:p w14:paraId="35F45896"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9F73B18"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1CA3084C"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358219C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B23129F"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6B8E5439"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4E41EF37"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5282E905"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03324F12"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0.95</w:t>
            </w:r>
          </w:p>
        </w:tc>
        <w:tc>
          <w:tcPr>
            <w:tcW w:w="310" w:type="pct"/>
            <w:vAlign w:val="center"/>
          </w:tcPr>
          <w:p w14:paraId="3C100862"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585D27A0" w14:textId="77777777" w:rsidTr="00444693">
        <w:trPr>
          <w:cantSplit/>
          <w:trHeight w:val="13"/>
        </w:trPr>
        <w:tc>
          <w:tcPr>
            <w:tcW w:w="521" w:type="pct"/>
            <w:vMerge/>
          </w:tcPr>
          <w:p w14:paraId="7DDC684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B99C3F7"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4FF8F8F" w14:textId="77777777" w:rsidR="00CE1436" w:rsidRPr="00F33F63" w:rsidRDefault="00CE1436" w:rsidP="00444693">
            <w:pPr>
              <w:pStyle w:val="TableText"/>
              <w:widowControl w:val="0"/>
              <w:suppressAutoHyphens w:val="0"/>
              <w:spacing w:before="0" w:after="0" w:line="240" w:lineRule="auto"/>
            </w:pPr>
          </w:p>
        </w:tc>
        <w:tc>
          <w:tcPr>
            <w:tcW w:w="520" w:type="pct"/>
          </w:tcPr>
          <w:p w14:paraId="7B33169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1F6C784"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23510E5D" w14:textId="77777777" w:rsidR="00CE1436" w:rsidRDefault="00CE1436" w:rsidP="00444693">
            <w:pPr>
              <w:pStyle w:val="TableText"/>
              <w:widowControl w:val="0"/>
              <w:suppressAutoHyphens w:val="0"/>
              <w:spacing w:before="0" w:after="0" w:line="240" w:lineRule="auto"/>
              <w:jc w:val="center"/>
              <w:rPr>
                <w:szCs w:val="17"/>
              </w:rPr>
            </w:pPr>
            <w:r>
              <w:t>595</w:t>
            </w:r>
          </w:p>
        </w:tc>
        <w:tc>
          <w:tcPr>
            <w:tcW w:w="312" w:type="pct"/>
          </w:tcPr>
          <w:p w14:paraId="77A0BF8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CE1862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2E43872"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285642C2"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104BE20C"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A2BAA78"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0.95</w:t>
            </w:r>
          </w:p>
        </w:tc>
        <w:tc>
          <w:tcPr>
            <w:tcW w:w="310" w:type="pct"/>
            <w:vAlign w:val="center"/>
          </w:tcPr>
          <w:p w14:paraId="08379BB5"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3A42600B" w14:textId="77777777" w:rsidTr="00444693">
        <w:trPr>
          <w:cantSplit/>
          <w:trHeight w:val="13"/>
        </w:trPr>
        <w:tc>
          <w:tcPr>
            <w:tcW w:w="521" w:type="pct"/>
            <w:vMerge/>
          </w:tcPr>
          <w:p w14:paraId="08C5F9C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E0CC45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AD48D5A" w14:textId="77777777" w:rsidR="00CE1436" w:rsidRPr="00F33F63" w:rsidRDefault="00CE1436" w:rsidP="00444693">
            <w:pPr>
              <w:pStyle w:val="TableText"/>
              <w:widowControl w:val="0"/>
              <w:suppressAutoHyphens w:val="0"/>
              <w:spacing w:before="0" w:after="0" w:line="240" w:lineRule="auto"/>
            </w:pPr>
          </w:p>
        </w:tc>
        <w:tc>
          <w:tcPr>
            <w:tcW w:w="520" w:type="pct"/>
          </w:tcPr>
          <w:p w14:paraId="073F907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C94CAE4"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63385B20"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040CD3B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B22B4F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D8595B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08CD5EA2" w14:textId="77777777" w:rsidR="00CE1436" w:rsidRPr="003203B5" w:rsidRDefault="00CE1436" w:rsidP="00444693">
            <w:pPr>
              <w:pStyle w:val="TableText"/>
              <w:widowControl w:val="0"/>
              <w:suppressAutoHyphens w:val="0"/>
              <w:spacing w:before="0" w:after="0" w:line="240" w:lineRule="auto"/>
              <w:jc w:val="center"/>
            </w:pPr>
            <w:r>
              <w:rPr>
                <w:color w:val="1A1B1A"/>
                <w:szCs w:val="17"/>
              </w:rPr>
              <w:t>2.1</w:t>
            </w:r>
          </w:p>
        </w:tc>
        <w:tc>
          <w:tcPr>
            <w:tcW w:w="312" w:type="pct"/>
            <w:vAlign w:val="center"/>
          </w:tcPr>
          <w:p w14:paraId="49B4158A"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CAB1AD0"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0.80</w:t>
            </w:r>
          </w:p>
        </w:tc>
        <w:tc>
          <w:tcPr>
            <w:tcW w:w="310" w:type="pct"/>
            <w:vAlign w:val="center"/>
          </w:tcPr>
          <w:p w14:paraId="6B306292"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20DE901E" w14:textId="77777777" w:rsidTr="00444693">
        <w:trPr>
          <w:cantSplit/>
          <w:trHeight w:val="13"/>
        </w:trPr>
        <w:tc>
          <w:tcPr>
            <w:tcW w:w="521" w:type="pct"/>
            <w:vMerge/>
          </w:tcPr>
          <w:p w14:paraId="1F6B5A2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46DF03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8A65A35" w14:textId="77777777" w:rsidR="00CE1436" w:rsidRPr="00F33F63" w:rsidRDefault="00CE1436" w:rsidP="00444693">
            <w:pPr>
              <w:pStyle w:val="TableText"/>
              <w:widowControl w:val="0"/>
              <w:suppressAutoHyphens w:val="0"/>
              <w:spacing w:before="0" w:after="0" w:line="240" w:lineRule="auto"/>
            </w:pPr>
          </w:p>
        </w:tc>
        <w:tc>
          <w:tcPr>
            <w:tcW w:w="520" w:type="pct"/>
          </w:tcPr>
          <w:p w14:paraId="60DF7B71"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88F963C"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37836320"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467E88A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F4E750A"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FED0E2B"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44458C78" w14:textId="77777777" w:rsidR="00CE1436" w:rsidRPr="003203B5" w:rsidRDefault="00CE1436" w:rsidP="00444693">
            <w:pPr>
              <w:pStyle w:val="TableText"/>
              <w:widowControl w:val="0"/>
              <w:suppressAutoHyphens w:val="0"/>
              <w:spacing w:before="0" w:after="0" w:line="240" w:lineRule="auto"/>
              <w:jc w:val="center"/>
            </w:pPr>
            <w:r>
              <w:rPr>
                <w:color w:val="1A1B1A"/>
                <w:szCs w:val="17"/>
              </w:rPr>
              <w:t>1.9</w:t>
            </w:r>
          </w:p>
        </w:tc>
        <w:tc>
          <w:tcPr>
            <w:tcW w:w="312" w:type="pct"/>
            <w:vAlign w:val="center"/>
          </w:tcPr>
          <w:p w14:paraId="3B2AB362"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0307DA2"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0.69</w:t>
            </w:r>
          </w:p>
        </w:tc>
        <w:tc>
          <w:tcPr>
            <w:tcW w:w="310" w:type="pct"/>
            <w:vAlign w:val="center"/>
          </w:tcPr>
          <w:p w14:paraId="0F509130"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257059C8" w14:textId="77777777" w:rsidTr="00444693">
        <w:trPr>
          <w:cantSplit/>
          <w:trHeight w:val="13"/>
        </w:trPr>
        <w:tc>
          <w:tcPr>
            <w:tcW w:w="521" w:type="pct"/>
            <w:vMerge/>
          </w:tcPr>
          <w:p w14:paraId="154B92C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F4AF23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93B604E" w14:textId="77777777" w:rsidR="00CE1436" w:rsidRPr="00F33F63" w:rsidRDefault="00CE1436" w:rsidP="00444693">
            <w:pPr>
              <w:pStyle w:val="TableText"/>
              <w:widowControl w:val="0"/>
              <w:suppressAutoHyphens w:val="0"/>
              <w:spacing w:before="0" w:after="0" w:line="240" w:lineRule="auto"/>
            </w:pPr>
          </w:p>
        </w:tc>
        <w:tc>
          <w:tcPr>
            <w:tcW w:w="520" w:type="pct"/>
          </w:tcPr>
          <w:p w14:paraId="05EA63E3"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C069CE3"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74BD6463" w14:textId="77777777" w:rsidR="00CE1436" w:rsidRDefault="00CE1436" w:rsidP="00444693">
            <w:pPr>
              <w:pStyle w:val="TableText"/>
              <w:widowControl w:val="0"/>
              <w:suppressAutoHyphens w:val="0"/>
              <w:spacing w:before="0" w:after="0" w:line="240" w:lineRule="auto"/>
              <w:jc w:val="center"/>
              <w:rPr>
                <w:szCs w:val="17"/>
              </w:rPr>
            </w:pPr>
            <w:r>
              <w:t>400</w:t>
            </w:r>
          </w:p>
        </w:tc>
        <w:tc>
          <w:tcPr>
            <w:tcW w:w="312" w:type="pct"/>
          </w:tcPr>
          <w:p w14:paraId="20C1257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CC66D7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361588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588DE9AA" w14:textId="77777777" w:rsidR="00CE1436" w:rsidRPr="003203B5"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574A088E"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E371BB5"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0.64</w:t>
            </w:r>
          </w:p>
        </w:tc>
        <w:tc>
          <w:tcPr>
            <w:tcW w:w="310" w:type="pct"/>
            <w:vAlign w:val="center"/>
          </w:tcPr>
          <w:p w14:paraId="332ECCB7"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326D7D22" w14:textId="77777777" w:rsidTr="00444693">
        <w:trPr>
          <w:cantSplit/>
          <w:trHeight w:val="13"/>
        </w:trPr>
        <w:tc>
          <w:tcPr>
            <w:tcW w:w="521" w:type="pct"/>
            <w:vMerge/>
          </w:tcPr>
          <w:p w14:paraId="6231043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D7B21B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7C98016" w14:textId="77777777" w:rsidR="00CE1436" w:rsidRPr="00F33F63" w:rsidRDefault="00CE1436" w:rsidP="00444693">
            <w:pPr>
              <w:pStyle w:val="TableText"/>
              <w:widowControl w:val="0"/>
              <w:suppressAutoHyphens w:val="0"/>
              <w:spacing w:before="0" w:after="0" w:line="240" w:lineRule="auto"/>
            </w:pPr>
          </w:p>
        </w:tc>
        <w:tc>
          <w:tcPr>
            <w:tcW w:w="520" w:type="pct"/>
          </w:tcPr>
          <w:p w14:paraId="1843A99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6CD6795"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410BB0A5"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78848AF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FD454E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FCA628F"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233E1B6" w14:textId="77777777" w:rsidR="00CE1436" w:rsidRPr="003203B5" w:rsidRDefault="00CE1436" w:rsidP="00444693">
            <w:pPr>
              <w:pStyle w:val="TableText"/>
              <w:widowControl w:val="0"/>
              <w:suppressAutoHyphens w:val="0"/>
              <w:spacing w:before="0" w:after="0" w:line="240" w:lineRule="auto"/>
              <w:jc w:val="center"/>
            </w:pPr>
            <w:r>
              <w:rPr>
                <w:color w:val="1A1B1A"/>
                <w:szCs w:val="17"/>
              </w:rPr>
              <w:t>1.4</w:t>
            </w:r>
          </w:p>
        </w:tc>
        <w:tc>
          <w:tcPr>
            <w:tcW w:w="312" w:type="pct"/>
            <w:vAlign w:val="center"/>
          </w:tcPr>
          <w:p w14:paraId="4B66F42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7B28CA9"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0.52</w:t>
            </w:r>
          </w:p>
        </w:tc>
        <w:tc>
          <w:tcPr>
            <w:tcW w:w="310" w:type="pct"/>
            <w:vAlign w:val="center"/>
          </w:tcPr>
          <w:p w14:paraId="27CB0437"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7119D13C" w14:textId="77777777" w:rsidTr="00444693">
        <w:trPr>
          <w:cantSplit/>
          <w:trHeight w:val="13"/>
        </w:trPr>
        <w:tc>
          <w:tcPr>
            <w:tcW w:w="521" w:type="pct"/>
            <w:vMerge/>
          </w:tcPr>
          <w:p w14:paraId="2D66624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BD64C30"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7359EF5" w14:textId="77777777" w:rsidR="00CE1436" w:rsidRPr="00F33F63" w:rsidRDefault="00CE1436" w:rsidP="00444693">
            <w:pPr>
              <w:pStyle w:val="TableText"/>
              <w:widowControl w:val="0"/>
              <w:suppressAutoHyphens w:val="0"/>
              <w:spacing w:before="0" w:after="0" w:line="240" w:lineRule="auto"/>
            </w:pPr>
          </w:p>
        </w:tc>
        <w:tc>
          <w:tcPr>
            <w:tcW w:w="520" w:type="pct"/>
          </w:tcPr>
          <w:p w14:paraId="5F200ED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BE564D4"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5A5A1159" w14:textId="77777777" w:rsidR="00CE1436" w:rsidRDefault="00CE1436" w:rsidP="00444693">
            <w:pPr>
              <w:pStyle w:val="TableText"/>
              <w:widowControl w:val="0"/>
              <w:suppressAutoHyphens w:val="0"/>
              <w:spacing w:before="0" w:after="0" w:line="240" w:lineRule="auto"/>
              <w:jc w:val="center"/>
              <w:rPr>
                <w:szCs w:val="17"/>
              </w:rPr>
            </w:pPr>
            <w:r>
              <w:t>300</w:t>
            </w:r>
          </w:p>
        </w:tc>
        <w:tc>
          <w:tcPr>
            <w:tcW w:w="312" w:type="pct"/>
          </w:tcPr>
          <w:p w14:paraId="4C5878BF"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91D0310"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690B682F"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5A8B826"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64AD8B47"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0C51E32"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0.48</w:t>
            </w:r>
          </w:p>
        </w:tc>
        <w:tc>
          <w:tcPr>
            <w:tcW w:w="310" w:type="pct"/>
            <w:vAlign w:val="center"/>
          </w:tcPr>
          <w:p w14:paraId="55246A96"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317B5E64" w14:textId="77777777" w:rsidTr="00444693">
        <w:trPr>
          <w:cantSplit/>
          <w:trHeight w:val="13"/>
        </w:trPr>
        <w:tc>
          <w:tcPr>
            <w:tcW w:w="521" w:type="pct"/>
            <w:vMerge/>
          </w:tcPr>
          <w:p w14:paraId="067CD55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E11763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EF04536" w14:textId="77777777" w:rsidR="00CE1436" w:rsidRPr="00F33F63" w:rsidRDefault="00CE1436" w:rsidP="00444693">
            <w:pPr>
              <w:pStyle w:val="TableText"/>
              <w:widowControl w:val="0"/>
              <w:suppressAutoHyphens w:val="0"/>
              <w:spacing w:before="0" w:after="0" w:line="240" w:lineRule="auto"/>
            </w:pPr>
          </w:p>
        </w:tc>
        <w:tc>
          <w:tcPr>
            <w:tcW w:w="520" w:type="pct"/>
          </w:tcPr>
          <w:p w14:paraId="629C1BEE"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9E86848"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03F55E70" w14:textId="77777777" w:rsidR="00CE1436" w:rsidRDefault="00CE1436" w:rsidP="00444693">
            <w:pPr>
              <w:pStyle w:val="TableText"/>
              <w:widowControl w:val="0"/>
              <w:suppressAutoHyphens w:val="0"/>
              <w:spacing w:before="0" w:after="0" w:line="240" w:lineRule="auto"/>
              <w:jc w:val="center"/>
              <w:rPr>
                <w:szCs w:val="17"/>
              </w:rPr>
            </w:pPr>
            <w:r>
              <w:t>216</w:t>
            </w:r>
          </w:p>
        </w:tc>
        <w:tc>
          <w:tcPr>
            <w:tcW w:w="312" w:type="pct"/>
          </w:tcPr>
          <w:p w14:paraId="77349EB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8B9BCE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488FDAE1"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51CCCD18" w14:textId="77777777" w:rsidR="00CE1436" w:rsidRPr="003203B5" w:rsidRDefault="00CE1436" w:rsidP="00444693">
            <w:pPr>
              <w:pStyle w:val="TableText"/>
              <w:widowControl w:val="0"/>
              <w:suppressAutoHyphens w:val="0"/>
              <w:spacing w:before="0" w:after="0" w:line="240" w:lineRule="auto"/>
              <w:jc w:val="center"/>
            </w:pPr>
            <w:r>
              <w:rPr>
                <w:color w:val="1A1B1A"/>
                <w:szCs w:val="17"/>
              </w:rPr>
              <w:t>0.93</w:t>
            </w:r>
          </w:p>
        </w:tc>
        <w:tc>
          <w:tcPr>
            <w:tcW w:w="312" w:type="pct"/>
            <w:vAlign w:val="center"/>
          </w:tcPr>
          <w:p w14:paraId="38E4E604"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058E831"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0.34</w:t>
            </w:r>
          </w:p>
        </w:tc>
        <w:tc>
          <w:tcPr>
            <w:tcW w:w="310" w:type="pct"/>
            <w:vAlign w:val="center"/>
          </w:tcPr>
          <w:p w14:paraId="2DD0773E"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259F4039" w14:textId="77777777" w:rsidTr="00444693">
        <w:trPr>
          <w:cantSplit/>
          <w:trHeight w:val="13"/>
        </w:trPr>
        <w:tc>
          <w:tcPr>
            <w:tcW w:w="521" w:type="pct"/>
            <w:vMerge/>
          </w:tcPr>
          <w:p w14:paraId="64E0E62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2E9B551"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ADDADC7" w14:textId="77777777" w:rsidR="00CE1436" w:rsidRPr="00F33F63" w:rsidRDefault="00CE1436" w:rsidP="00444693">
            <w:pPr>
              <w:pStyle w:val="TableText"/>
              <w:widowControl w:val="0"/>
              <w:suppressAutoHyphens w:val="0"/>
              <w:spacing w:before="0" w:after="0" w:line="240" w:lineRule="auto"/>
            </w:pPr>
          </w:p>
        </w:tc>
        <w:tc>
          <w:tcPr>
            <w:tcW w:w="520" w:type="pct"/>
          </w:tcPr>
          <w:p w14:paraId="2560A4D4"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7A02479"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25A3E610" w14:textId="77777777" w:rsidR="00CE1436" w:rsidRDefault="00CE1436" w:rsidP="00444693">
            <w:pPr>
              <w:pStyle w:val="TableText"/>
              <w:widowControl w:val="0"/>
              <w:suppressAutoHyphens w:val="0"/>
              <w:spacing w:before="0" w:after="0" w:line="240" w:lineRule="auto"/>
              <w:jc w:val="center"/>
              <w:rPr>
                <w:szCs w:val="17"/>
              </w:rPr>
            </w:pPr>
            <w:r>
              <w:t>203</w:t>
            </w:r>
          </w:p>
        </w:tc>
        <w:tc>
          <w:tcPr>
            <w:tcW w:w="312" w:type="pct"/>
          </w:tcPr>
          <w:p w14:paraId="1BBDBED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94E2AF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6D269A5"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712BAFB6" w14:textId="77777777" w:rsidR="00CE1436" w:rsidRPr="003203B5" w:rsidRDefault="00CE1436" w:rsidP="00444693">
            <w:pPr>
              <w:pStyle w:val="TableText"/>
              <w:widowControl w:val="0"/>
              <w:suppressAutoHyphens w:val="0"/>
              <w:spacing w:before="0" w:after="0" w:line="240" w:lineRule="auto"/>
              <w:jc w:val="center"/>
            </w:pPr>
            <w:r>
              <w:rPr>
                <w:color w:val="1A1B1A"/>
                <w:szCs w:val="17"/>
              </w:rPr>
              <w:t>0.87</w:t>
            </w:r>
          </w:p>
        </w:tc>
        <w:tc>
          <w:tcPr>
            <w:tcW w:w="312" w:type="pct"/>
            <w:vAlign w:val="center"/>
          </w:tcPr>
          <w:p w14:paraId="3400D1FA"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E843D36"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0.32</w:t>
            </w:r>
          </w:p>
        </w:tc>
        <w:tc>
          <w:tcPr>
            <w:tcW w:w="310" w:type="pct"/>
            <w:vAlign w:val="center"/>
          </w:tcPr>
          <w:p w14:paraId="522D0ED7"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23247F" w14:paraId="02A3A825" w14:textId="77777777" w:rsidTr="00444693">
        <w:trPr>
          <w:cantSplit/>
          <w:trHeight w:val="13"/>
        </w:trPr>
        <w:tc>
          <w:tcPr>
            <w:tcW w:w="521" w:type="pct"/>
            <w:vMerge/>
          </w:tcPr>
          <w:p w14:paraId="696F96A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8F49874"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A899506" w14:textId="77777777" w:rsidR="00CE1436" w:rsidRPr="00F33F63" w:rsidRDefault="00CE1436" w:rsidP="00444693">
            <w:pPr>
              <w:pStyle w:val="TableText"/>
              <w:widowControl w:val="0"/>
              <w:suppressAutoHyphens w:val="0"/>
              <w:spacing w:before="0" w:after="0" w:line="240" w:lineRule="auto"/>
            </w:pPr>
          </w:p>
        </w:tc>
        <w:tc>
          <w:tcPr>
            <w:tcW w:w="520" w:type="pct"/>
          </w:tcPr>
          <w:p w14:paraId="6B26DCD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CF255BB" w14:textId="77777777" w:rsidR="00CE1436" w:rsidRPr="00E35413" w:rsidRDefault="00CE1436" w:rsidP="00444693">
            <w:pPr>
              <w:pStyle w:val="TableText"/>
              <w:widowControl w:val="0"/>
              <w:suppressAutoHyphens w:val="0"/>
              <w:spacing w:before="0" w:after="0" w:line="240" w:lineRule="auto"/>
              <w:jc w:val="center"/>
            </w:pPr>
            <w:r w:rsidRPr="00E7475C">
              <w:t>16.2</w:t>
            </w:r>
          </w:p>
        </w:tc>
        <w:tc>
          <w:tcPr>
            <w:tcW w:w="296" w:type="pct"/>
          </w:tcPr>
          <w:p w14:paraId="07CFC113"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482EBD1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4418BDE6"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0439F048"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3DC3B7D3" w14:textId="77777777" w:rsidR="00CE1436" w:rsidRPr="003203B5" w:rsidRDefault="00CE1436" w:rsidP="00444693">
            <w:pPr>
              <w:pStyle w:val="TableText"/>
              <w:widowControl w:val="0"/>
              <w:suppressAutoHyphens w:val="0"/>
              <w:spacing w:before="0" w:after="0" w:line="240" w:lineRule="auto"/>
              <w:jc w:val="center"/>
            </w:pPr>
            <w:r>
              <w:rPr>
                <w:color w:val="1A1B1A"/>
                <w:szCs w:val="17"/>
              </w:rPr>
              <w:t>0.86</w:t>
            </w:r>
          </w:p>
        </w:tc>
        <w:tc>
          <w:tcPr>
            <w:tcW w:w="312" w:type="pct"/>
            <w:vAlign w:val="center"/>
          </w:tcPr>
          <w:p w14:paraId="186FDFF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6EEBC34"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0.32</w:t>
            </w:r>
          </w:p>
        </w:tc>
        <w:tc>
          <w:tcPr>
            <w:tcW w:w="310" w:type="pct"/>
            <w:vAlign w:val="center"/>
          </w:tcPr>
          <w:p w14:paraId="5FB6CB57" w14:textId="77777777" w:rsidR="00CE1436" w:rsidRPr="0023247F"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2B45D200" w14:textId="77777777" w:rsidTr="00444693">
        <w:trPr>
          <w:cantSplit/>
          <w:trHeight w:val="13"/>
        </w:trPr>
        <w:tc>
          <w:tcPr>
            <w:tcW w:w="521" w:type="pct"/>
            <w:vMerge/>
          </w:tcPr>
          <w:p w14:paraId="5B76374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132B21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0E65E3D" w14:textId="77777777" w:rsidR="00CE1436" w:rsidRPr="00F33F63" w:rsidRDefault="00CE1436" w:rsidP="00444693">
            <w:pPr>
              <w:pStyle w:val="TableText"/>
              <w:widowControl w:val="0"/>
              <w:suppressAutoHyphens w:val="0"/>
              <w:spacing w:before="0" w:after="0" w:line="240" w:lineRule="auto"/>
            </w:pPr>
          </w:p>
        </w:tc>
        <w:tc>
          <w:tcPr>
            <w:tcW w:w="520" w:type="pct"/>
          </w:tcPr>
          <w:p w14:paraId="50BA341C"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26DEA05"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1DB77F1C" w14:textId="77777777" w:rsidR="00CE1436" w:rsidRPr="00886278" w:rsidRDefault="00CE1436" w:rsidP="00444693">
            <w:pPr>
              <w:pStyle w:val="TableText"/>
              <w:widowControl w:val="0"/>
              <w:suppressAutoHyphens w:val="0"/>
              <w:spacing w:before="0" w:after="0" w:line="240" w:lineRule="auto"/>
              <w:jc w:val="center"/>
              <w:rPr>
                <w:szCs w:val="17"/>
              </w:rPr>
            </w:pPr>
            <w:r>
              <w:t>173</w:t>
            </w:r>
          </w:p>
        </w:tc>
        <w:tc>
          <w:tcPr>
            <w:tcW w:w="312" w:type="pct"/>
          </w:tcPr>
          <w:p w14:paraId="23941EF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475337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F4328A1"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6E7A734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0.74</w:t>
            </w:r>
          </w:p>
        </w:tc>
        <w:tc>
          <w:tcPr>
            <w:tcW w:w="312" w:type="pct"/>
            <w:vAlign w:val="center"/>
          </w:tcPr>
          <w:p w14:paraId="6AA4DC2E"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19FC0E1" w14:textId="77777777" w:rsidR="00CE1436" w:rsidRPr="00886278" w:rsidRDefault="00CE1436" w:rsidP="00444693">
            <w:pPr>
              <w:pStyle w:val="TableText"/>
              <w:widowControl w:val="0"/>
              <w:suppressAutoHyphens w:val="0"/>
              <w:spacing w:before="0" w:after="0" w:line="240" w:lineRule="auto"/>
              <w:jc w:val="center"/>
            </w:pPr>
            <w:r>
              <w:rPr>
                <w:color w:val="1A1B1A"/>
                <w:szCs w:val="17"/>
              </w:rPr>
              <w:t>0.28</w:t>
            </w:r>
          </w:p>
        </w:tc>
        <w:tc>
          <w:tcPr>
            <w:tcW w:w="310" w:type="pct"/>
            <w:vAlign w:val="center"/>
          </w:tcPr>
          <w:p w14:paraId="78B74E5A"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3C783DC0" w14:textId="77777777" w:rsidTr="00444693">
        <w:trPr>
          <w:cantSplit/>
          <w:trHeight w:val="13"/>
        </w:trPr>
        <w:tc>
          <w:tcPr>
            <w:tcW w:w="521" w:type="pct"/>
            <w:vMerge/>
          </w:tcPr>
          <w:p w14:paraId="309614D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8AADAA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D92B18D" w14:textId="77777777" w:rsidR="00CE1436" w:rsidRPr="00F33F63" w:rsidRDefault="00CE1436" w:rsidP="00444693">
            <w:pPr>
              <w:pStyle w:val="TableText"/>
              <w:widowControl w:val="0"/>
              <w:suppressAutoHyphens w:val="0"/>
              <w:spacing w:before="0" w:after="0" w:line="240" w:lineRule="auto"/>
            </w:pPr>
          </w:p>
        </w:tc>
        <w:tc>
          <w:tcPr>
            <w:tcW w:w="520" w:type="pct"/>
          </w:tcPr>
          <w:p w14:paraId="1FB23E4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40AD06E"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7DEAC1C2" w14:textId="77777777" w:rsidR="00CE1436" w:rsidRPr="00886278" w:rsidRDefault="00CE1436" w:rsidP="00444693">
            <w:pPr>
              <w:pStyle w:val="TableText"/>
              <w:widowControl w:val="0"/>
              <w:suppressAutoHyphens w:val="0"/>
              <w:spacing w:before="0" w:after="0" w:line="240" w:lineRule="auto"/>
              <w:jc w:val="center"/>
              <w:rPr>
                <w:szCs w:val="17"/>
              </w:rPr>
            </w:pPr>
            <w:r>
              <w:t>165</w:t>
            </w:r>
          </w:p>
        </w:tc>
        <w:tc>
          <w:tcPr>
            <w:tcW w:w="312" w:type="pct"/>
          </w:tcPr>
          <w:p w14:paraId="3218195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1915E7F"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0E30EF2"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41C1277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0.71</w:t>
            </w:r>
          </w:p>
        </w:tc>
        <w:tc>
          <w:tcPr>
            <w:tcW w:w="312" w:type="pct"/>
            <w:vAlign w:val="center"/>
          </w:tcPr>
          <w:p w14:paraId="2A13D9F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69ED657" w14:textId="77777777" w:rsidR="00CE1436" w:rsidRPr="00886278" w:rsidRDefault="00CE1436" w:rsidP="00444693">
            <w:pPr>
              <w:pStyle w:val="TableText"/>
              <w:widowControl w:val="0"/>
              <w:suppressAutoHyphens w:val="0"/>
              <w:spacing w:before="0" w:after="0" w:line="240" w:lineRule="auto"/>
              <w:jc w:val="center"/>
            </w:pPr>
            <w:r>
              <w:rPr>
                <w:color w:val="1A1B1A"/>
                <w:szCs w:val="17"/>
              </w:rPr>
              <w:t>0.26</w:t>
            </w:r>
          </w:p>
        </w:tc>
        <w:tc>
          <w:tcPr>
            <w:tcW w:w="310" w:type="pct"/>
            <w:vAlign w:val="center"/>
          </w:tcPr>
          <w:p w14:paraId="2691A51E"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65B1B2A1" w14:textId="77777777" w:rsidTr="00444693">
        <w:trPr>
          <w:cantSplit/>
          <w:trHeight w:val="13"/>
        </w:trPr>
        <w:tc>
          <w:tcPr>
            <w:tcW w:w="521" w:type="pct"/>
            <w:vMerge/>
          </w:tcPr>
          <w:p w14:paraId="6BE5BE0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7B7CCC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13733ED" w14:textId="77777777" w:rsidR="00CE1436" w:rsidRPr="00F33F63" w:rsidRDefault="00CE1436" w:rsidP="00444693">
            <w:pPr>
              <w:pStyle w:val="TableText"/>
              <w:widowControl w:val="0"/>
              <w:suppressAutoHyphens w:val="0"/>
              <w:spacing w:before="0" w:after="0" w:line="240" w:lineRule="auto"/>
            </w:pPr>
          </w:p>
        </w:tc>
        <w:tc>
          <w:tcPr>
            <w:tcW w:w="520" w:type="pct"/>
          </w:tcPr>
          <w:p w14:paraId="0DCFD1D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8B19DD6"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51010331" w14:textId="77777777" w:rsidR="00CE1436" w:rsidRPr="00886278" w:rsidRDefault="00CE1436" w:rsidP="00444693">
            <w:pPr>
              <w:pStyle w:val="TableText"/>
              <w:widowControl w:val="0"/>
              <w:suppressAutoHyphens w:val="0"/>
              <w:spacing w:before="0" w:after="0" w:line="240" w:lineRule="auto"/>
              <w:jc w:val="center"/>
              <w:rPr>
                <w:szCs w:val="17"/>
              </w:rPr>
            </w:pPr>
            <w:r>
              <w:t>160</w:t>
            </w:r>
          </w:p>
        </w:tc>
        <w:tc>
          <w:tcPr>
            <w:tcW w:w="312" w:type="pct"/>
          </w:tcPr>
          <w:p w14:paraId="2EE450B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7F9FF49"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CC355D5"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0CC09CB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0.69</w:t>
            </w:r>
          </w:p>
        </w:tc>
        <w:tc>
          <w:tcPr>
            <w:tcW w:w="312" w:type="pct"/>
            <w:vAlign w:val="center"/>
          </w:tcPr>
          <w:p w14:paraId="5448747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AA7DEBA" w14:textId="77777777" w:rsidR="00CE1436" w:rsidRPr="00886278" w:rsidRDefault="00CE1436" w:rsidP="00444693">
            <w:pPr>
              <w:pStyle w:val="TableText"/>
              <w:widowControl w:val="0"/>
              <w:suppressAutoHyphens w:val="0"/>
              <w:spacing w:before="0" w:after="0" w:line="240" w:lineRule="auto"/>
              <w:jc w:val="center"/>
            </w:pPr>
            <w:r>
              <w:rPr>
                <w:color w:val="1A1B1A"/>
                <w:szCs w:val="17"/>
              </w:rPr>
              <w:t>0.25</w:t>
            </w:r>
          </w:p>
        </w:tc>
        <w:tc>
          <w:tcPr>
            <w:tcW w:w="310" w:type="pct"/>
            <w:vAlign w:val="center"/>
          </w:tcPr>
          <w:p w14:paraId="151870F2"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7482E75F" w14:textId="77777777" w:rsidTr="00444693">
        <w:trPr>
          <w:cantSplit/>
          <w:trHeight w:val="13"/>
        </w:trPr>
        <w:tc>
          <w:tcPr>
            <w:tcW w:w="521" w:type="pct"/>
            <w:vMerge/>
          </w:tcPr>
          <w:p w14:paraId="6D1EA59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BC3D9F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38E9F0B" w14:textId="77777777" w:rsidR="00CE1436" w:rsidRPr="00F33F63" w:rsidRDefault="00CE1436" w:rsidP="00444693">
            <w:pPr>
              <w:pStyle w:val="TableText"/>
              <w:widowControl w:val="0"/>
              <w:suppressAutoHyphens w:val="0"/>
              <w:spacing w:before="0" w:after="0" w:line="240" w:lineRule="auto"/>
            </w:pPr>
          </w:p>
        </w:tc>
        <w:tc>
          <w:tcPr>
            <w:tcW w:w="520" w:type="pct"/>
          </w:tcPr>
          <w:p w14:paraId="01784490"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DEAFA70"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3A968862" w14:textId="77777777" w:rsidR="00CE1436" w:rsidRPr="00886278" w:rsidRDefault="00CE1436" w:rsidP="00444693">
            <w:pPr>
              <w:pStyle w:val="TableText"/>
              <w:widowControl w:val="0"/>
              <w:suppressAutoHyphens w:val="0"/>
              <w:spacing w:before="0" w:after="0" w:line="240" w:lineRule="auto"/>
              <w:jc w:val="center"/>
              <w:rPr>
                <w:szCs w:val="17"/>
              </w:rPr>
            </w:pPr>
            <w:r>
              <w:t>150</w:t>
            </w:r>
          </w:p>
        </w:tc>
        <w:tc>
          <w:tcPr>
            <w:tcW w:w="312" w:type="pct"/>
          </w:tcPr>
          <w:p w14:paraId="3BFAF9F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654FEF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5C6B322"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52D2F1EC"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0.64</w:t>
            </w:r>
          </w:p>
        </w:tc>
        <w:tc>
          <w:tcPr>
            <w:tcW w:w="312" w:type="pct"/>
            <w:vAlign w:val="center"/>
          </w:tcPr>
          <w:p w14:paraId="0197CB05"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75441F4" w14:textId="77777777" w:rsidR="00CE1436" w:rsidRPr="00886278" w:rsidRDefault="00CE1436" w:rsidP="00444693">
            <w:pPr>
              <w:pStyle w:val="TableText"/>
              <w:widowControl w:val="0"/>
              <w:suppressAutoHyphens w:val="0"/>
              <w:spacing w:before="0" w:after="0" w:line="240" w:lineRule="auto"/>
              <w:jc w:val="center"/>
            </w:pPr>
            <w:r>
              <w:rPr>
                <w:color w:val="1A1B1A"/>
                <w:szCs w:val="17"/>
              </w:rPr>
              <w:t>0.24</w:t>
            </w:r>
          </w:p>
        </w:tc>
        <w:tc>
          <w:tcPr>
            <w:tcW w:w="310" w:type="pct"/>
            <w:vAlign w:val="center"/>
          </w:tcPr>
          <w:p w14:paraId="3672FDE4"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30EBE856" w14:textId="77777777" w:rsidTr="00444693">
        <w:trPr>
          <w:cantSplit/>
          <w:trHeight w:val="13"/>
        </w:trPr>
        <w:tc>
          <w:tcPr>
            <w:tcW w:w="521" w:type="pct"/>
            <w:vMerge/>
          </w:tcPr>
          <w:p w14:paraId="5CF315A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492A87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955E6A6" w14:textId="77777777" w:rsidR="00CE1436" w:rsidRPr="00F33F63" w:rsidRDefault="00CE1436" w:rsidP="00444693">
            <w:pPr>
              <w:pStyle w:val="TableText"/>
              <w:widowControl w:val="0"/>
              <w:suppressAutoHyphens w:val="0"/>
              <w:spacing w:before="0" w:after="0" w:line="240" w:lineRule="auto"/>
            </w:pPr>
          </w:p>
        </w:tc>
        <w:tc>
          <w:tcPr>
            <w:tcW w:w="520" w:type="pct"/>
          </w:tcPr>
          <w:p w14:paraId="2F7E4D3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B65FC52"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328DA37E" w14:textId="77777777" w:rsidR="00CE1436" w:rsidRPr="00886278" w:rsidRDefault="00CE1436" w:rsidP="00444693">
            <w:pPr>
              <w:pStyle w:val="TableText"/>
              <w:widowControl w:val="0"/>
              <w:suppressAutoHyphens w:val="0"/>
              <w:spacing w:before="0" w:after="0" w:line="240" w:lineRule="auto"/>
              <w:jc w:val="center"/>
              <w:rPr>
                <w:szCs w:val="17"/>
              </w:rPr>
            </w:pPr>
            <w:r>
              <w:t>108</w:t>
            </w:r>
          </w:p>
        </w:tc>
        <w:tc>
          <w:tcPr>
            <w:tcW w:w="312" w:type="pct"/>
          </w:tcPr>
          <w:p w14:paraId="7EC5DA1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74D4D00"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B8FB0F9"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12850E3C"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0.46</w:t>
            </w:r>
          </w:p>
        </w:tc>
        <w:tc>
          <w:tcPr>
            <w:tcW w:w="312" w:type="pct"/>
            <w:vAlign w:val="center"/>
          </w:tcPr>
          <w:p w14:paraId="157FDC1B"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652BB626" w14:textId="77777777" w:rsidR="00CE1436" w:rsidRPr="00886278" w:rsidRDefault="00CE1436" w:rsidP="00444693">
            <w:pPr>
              <w:pStyle w:val="TableText"/>
              <w:widowControl w:val="0"/>
              <w:suppressAutoHyphens w:val="0"/>
              <w:spacing w:before="0" w:after="0" w:line="240" w:lineRule="auto"/>
              <w:jc w:val="center"/>
            </w:pPr>
            <w:r>
              <w:rPr>
                <w:color w:val="1A1B1A"/>
                <w:szCs w:val="17"/>
              </w:rPr>
              <w:t>0.17</w:t>
            </w:r>
          </w:p>
        </w:tc>
        <w:tc>
          <w:tcPr>
            <w:tcW w:w="310" w:type="pct"/>
            <w:vAlign w:val="center"/>
          </w:tcPr>
          <w:p w14:paraId="58F7AE70"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1F16E2DF" w14:textId="77777777" w:rsidTr="00444693">
        <w:trPr>
          <w:cantSplit/>
          <w:trHeight w:val="13"/>
        </w:trPr>
        <w:tc>
          <w:tcPr>
            <w:tcW w:w="521" w:type="pct"/>
            <w:vMerge/>
          </w:tcPr>
          <w:p w14:paraId="653D096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19F80C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F1D0906" w14:textId="77777777" w:rsidR="00CE1436" w:rsidRPr="00F33F63" w:rsidRDefault="00CE1436" w:rsidP="00444693">
            <w:pPr>
              <w:pStyle w:val="TableText"/>
              <w:widowControl w:val="0"/>
              <w:suppressAutoHyphens w:val="0"/>
              <w:spacing w:before="0" w:after="0" w:line="240" w:lineRule="auto"/>
            </w:pPr>
          </w:p>
        </w:tc>
        <w:tc>
          <w:tcPr>
            <w:tcW w:w="520" w:type="pct"/>
          </w:tcPr>
          <w:p w14:paraId="67EFE8D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9C4931D"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Pr>
          <w:p w14:paraId="054CA7EA" w14:textId="77777777" w:rsidR="00CE1436" w:rsidRPr="00886278" w:rsidRDefault="00CE1436" w:rsidP="00444693">
            <w:pPr>
              <w:pStyle w:val="TableText"/>
              <w:widowControl w:val="0"/>
              <w:suppressAutoHyphens w:val="0"/>
              <w:spacing w:before="0" w:after="0" w:line="240" w:lineRule="auto"/>
              <w:jc w:val="center"/>
              <w:rPr>
                <w:szCs w:val="17"/>
              </w:rPr>
            </w:pPr>
            <w:r>
              <w:t>100</w:t>
            </w:r>
          </w:p>
        </w:tc>
        <w:tc>
          <w:tcPr>
            <w:tcW w:w="312" w:type="pct"/>
          </w:tcPr>
          <w:p w14:paraId="68D2708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C33F7E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0BA6BB4"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vAlign w:val="center"/>
          </w:tcPr>
          <w:p w14:paraId="2AC2ABF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0.43</w:t>
            </w:r>
          </w:p>
        </w:tc>
        <w:tc>
          <w:tcPr>
            <w:tcW w:w="312" w:type="pct"/>
            <w:vAlign w:val="center"/>
          </w:tcPr>
          <w:p w14:paraId="094ADDF9"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8324D63" w14:textId="77777777" w:rsidR="00CE1436" w:rsidRPr="00886278" w:rsidRDefault="00CE1436" w:rsidP="00444693">
            <w:pPr>
              <w:pStyle w:val="TableText"/>
              <w:widowControl w:val="0"/>
              <w:suppressAutoHyphens w:val="0"/>
              <w:spacing w:before="0" w:after="0" w:line="240" w:lineRule="auto"/>
              <w:jc w:val="center"/>
            </w:pPr>
            <w:r>
              <w:rPr>
                <w:color w:val="1A1B1A"/>
                <w:szCs w:val="17"/>
              </w:rPr>
              <w:t>0.16</w:t>
            </w:r>
          </w:p>
        </w:tc>
        <w:tc>
          <w:tcPr>
            <w:tcW w:w="310" w:type="pct"/>
            <w:vAlign w:val="center"/>
          </w:tcPr>
          <w:p w14:paraId="5CCF7DB8"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616CDE03" w14:textId="77777777" w:rsidTr="00444693">
        <w:trPr>
          <w:cantSplit/>
          <w:trHeight w:val="13"/>
        </w:trPr>
        <w:tc>
          <w:tcPr>
            <w:tcW w:w="521" w:type="pct"/>
            <w:vMerge/>
          </w:tcPr>
          <w:p w14:paraId="4C0A557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437E5308"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604443B4" w14:textId="77777777" w:rsidR="00CE1436" w:rsidRPr="00F33F63"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35E63C83" w14:textId="77777777" w:rsidR="00CE1436"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5CAC4B8C" w14:textId="77777777" w:rsidR="00CE1436" w:rsidRPr="00E35413" w:rsidRDefault="00CE1436" w:rsidP="00444693">
            <w:pPr>
              <w:pStyle w:val="TableText"/>
              <w:widowControl w:val="0"/>
              <w:suppressAutoHyphens w:val="0"/>
              <w:spacing w:before="0" w:after="0" w:line="240" w:lineRule="auto"/>
              <w:jc w:val="center"/>
            </w:pPr>
            <w:r w:rsidRPr="00E35413">
              <w:t>16.2</w:t>
            </w:r>
          </w:p>
        </w:tc>
        <w:tc>
          <w:tcPr>
            <w:tcW w:w="296" w:type="pct"/>
            <w:tcBorders>
              <w:bottom w:val="single" w:sz="4" w:space="0" w:color="auto"/>
            </w:tcBorders>
          </w:tcPr>
          <w:p w14:paraId="58DB3185" w14:textId="77777777" w:rsidR="00CE1436" w:rsidRPr="00886278" w:rsidRDefault="00CE1436" w:rsidP="00444693">
            <w:pPr>
              <w:pStyle w:val="TableText"/>
              <w:widowControl w:val="0"/>
              <w:suppressAutoHyphens w:val="0"/>
              <w:spacing w:before="0" w:after="0" w:line="240" w:lineRule="auto"/>
              <w:jc w:val="center"/>
              <w:rPr>
                <w:szCs w:val="17"/>
              </w:rPr>
            </w:pPr>
            <w:r>
              <w:t>75</w:t>
            </w:r>
          </w:p>
        </w:tc>
        <w:tc>
          <w:tcPr>
            <w:tcW w:w="312" w:type="pct"/>
            <w:tcBorders>
              <w:bottom w:val="single" w:sz="4" w:space="0" w:color="auto"/>
            </w:tcBorders>
          </w:tcPr>
          <w:p w14:paraId="6C07983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7A67CBE6"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bottom w:val="single" w:sz="4" w:space="0" w:color="auto"/>
            </w:tcBorders>
          </w:tcPr>
          <w:p w14:paraId="7B0626DE"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Borders>
              <w:bottom w:val="single" w:sz="4" w:space="0" w:color="auto"/>
            </w:tcBorders>
            <w:vAlign w:val="center"/>
          </w:tcPr>
          <w:p w14:paraId="360E1DA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0.32</w:t>
            </w:r>
          </w:p>
        </w:tc>
        <w:tc>
          <w:tcPr>
            <w:tcW w:w="312" w:type="pct"/>
            <w:tcBorders>
              <w:bottom w:val="single" w:sz="4" w:space="0" w:color="auto"/>
            </w:tcBorders>
            <w:vAlign w:val="center"/>
          </w:tcPr>
          <w:p w14:paraId="5693F451"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bottom w:val="single" w:sz="4" w:space="0" w:color="auto"/>
            </w:tcBorders>
            <w:vAlign w:val="center"/>
          </w:tcPr>
          <w:p w14:paraId="0510BC2B" w14:textId="77777777" w:rsidR="00CE1436" w:rsidRPr="00886278" w:rsidRDefault="00CE1436" w:rsidP="00444693">
            <w:pPr>
              <w:pStyle w:val="TableText"/>
              <w:widowControl w:val="0"/>
              <w:suppressAutoHyphens w:val="0"/>
              <w:spacing w:before="0" w:after="0" w:line="240" w:lineRule="auto"/>
              <w:jc w:val="center"/>
            </w:pPr>
            <w:r>
              <w:rPr>
                <w:color w:val="1A1B1A"/>
                <w:szCs w:val="17"/>
              </w:rPr>
              <w:t>0.12</w:t>
            </w:r>
          </w:p>
        </w:tc>
        <w:tc>
          <w:tcPr>
            <w:tcW w:w="310" w:type="pct"/>
            <w:tcBorders>
              <w:bottom w:val="single" w:sz="4" w:space="0" w:color="auto"/>
            </w:tcBorders>
            <w:vAlign w:val="center"/>
          </w:tcPr>
          <w:p w14:paraId="6E0F70F2" w14:textId="77777777" w:rsidR="00CE1436" w:rsidRPr="00886278" w:rsidRDefault="00CE1436" w:rsidP="00444693">
            <w:pPr>
              <w:pStyle w:val="TableText"/>
              <w:widowControl w:val="0"/>
              <w:suppressAutoHyphens w:val="0"/>
              <w:spacing w:before="0" w:after="0" w:line="240" w:lineRule="auto"/>
              <w:jc w:val="center"/>
            </w:pPr>
            <w:r>
              <w:rPr>
                <w:color w:val="1A1B1A"/>
                <w:szCs w:val="17"/>
              </w:rPr>
              <w:t>629</w:t>
            </w:r>
          </w:p>
        </w:tc>
      </w:tr>
      <w:tr w:rsidR="00CE1436" w:rsidRPr="00886278" w14:paraId="4228C5BD" w14:textId="77777777" w:rsidTr="00444693">
        <w:trPr>
          <w:cantSplit/>
          <w:trHeight w:val="13"/>
        </w:trPr>
        <w:tc>
          <w:tcPr>
            <w:tcW w:w="521" w:type="pct"/>
            <w:vMerge/>
          </w:tcPr>
          <w:p w14:paraId="288DFAB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69D858AE" w14:textId="77777777" w:rsidR="00CE1436" w:rsidRPr="00886278" w:rsidRDefault="00CE1436" w:rsidP="00444693">
            <w:pPr>
              <w:pStyle w:val="TableText"/>
              <w:widowControl w:val="0"/>
              <w:suppressAutoHyphens w:val="0"/>
              <w:spacing w:before="0" w:after="0" w:line="240" w:lineRule="auto"/>
              <w:rPr>
                <w:szCs w:val="17"/>
              </w:rPr>
            </w:pPr>
            <w:r w:rsidRPr="00C13A11">
              <w:t xml:space="preserve">Small insectivore </w:t>
            </w:r>
          </w:p>
        </w:tc>
        <w:tc>
          <w:tcPr>
            <w:tcW w:w="445" w:type="pct"/>
            <w:vMerge w:val="restart"/>
            <w:tcBorders>
              <w:top w:val="single" w:sz="4" w:space="0" w:color="auto"/>
            </w:tcBorders>
          </w:tcPr>
          <w:p w14:paraId="2BCF045F" w14:textId="77777777" w:rsidR="00CE1436" w:rsidRPr="00886278" w:rsidRDefault="00CE1436" w:rsidP="00444693">
            <w:pPr>
              <w:pStyle w:val="TableText"/>
              <w:widowControl w:val="0"/>
              <w:suppressAutoHyphens w:val="0"/>
              <w:spacing w:before="0" w:after="0" w:line="240" w:lineRule="auto"/>
              <w:rPr>
                <w:szCs w:val="17"/>
              </w:rPr>
            </w:pPr>
            <w:r w:rsidRPr="00F33F63">
              <w:t>Growing shoots</w:t>
            </w:r>
          </w:p>
        </w:tc>
        <w:tc>
          <w:tcPr>
            <w:tcW w:w="520" w:type="pct"/>
            <w:tcBorders>
              <w:top w:val="single" w:sz="4" w:space="0" w:color="auto"/>
            </w:tcBorders>
          </w:tcPr>
          <w:p w14:paraId="3FE77F56"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Chronic</w:t>
            </w:r>
          </w:p>
        </w:tc>
        <w:tc>
          <w:tcPr>
            <w:tcW w:w="446" w:type="pct"/>
            <w:tcBorders>
              <w:top w:val="single" w:sz="4" w:space="0" w:color="auto"/>
            </w:tcBorders>
          </w:tcPr>
          <w:p w14:paraId="2F0CE361" w14:textId="77777777" w:rsidR="00CE1436" w:rsidRPr="00886278" w:rsidRDefault="00CE1436" w:rsidP="00444693">
            <w:pPr>
              <w:pStyle w:val="TableText"/>
              <w:widowControl w:val="0"/>
              <w:suppressAutoHyphens w:val="0"/>
              <w:spacing w:before="0" w:after="0" w:line="240" w:lineRule="auto"/>
              <w:jc w:val="center"/>
              <w:rPr>
                <w:szCs w:val="17"/>
              </w:rPr>
            </w:pPr>
            <w:r w:rsidRPr="00E35413">
              <w:t>11.3</w:t>
            </w:r>
          </w:p>
        </w:tc>
        <w:tc>
          <w:tcPr>
            <w:tcW w:w="296" w:type="pct"/>
            <w:tcBorders>
              <w:top w:val="single" w:sz="4" w:space="0" w:color="auto"/>
            </w:tcBorders>
          </w:tcPr>
          <w:p w14:paraId="1C7BD19D" w14:textId="77777777" w:rsidR="00CE1436" w:rsidRPr="00886278" w:rsidRDefault="00CE1436" w:rsidP="00444693">
            <w:pPr>
              <w:pStyle w:val="TableText"/>
              <w:widowControl w:val="0"/>
              <w:suppressAutoHyphens w:val="0"/>
              <w:spacing w:before="0" w:after="0" w:line="240" w:lineRule="auto"/>
              <w:jc w:val="center"/>
              <w:rPr>
                <w:szCs w:val="17"/>
              </w:rPr>
            </w:pPr>
            <w:r>
              <w:t>1140</w:t>
            </w:r>
          </w:p>
        </w:tc>
        <w:tc>
          <w:tcPr>
            <w:tcW w:w="312" w:type="pct"/>
            <w:tcBorders>
              <w:top w:val="single" w:sz="4" w:space="0" w:color="auto"/>
            </w:tcBorders>
          </w:tcPr>
          <w:p w14:paraId="5525318D"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0EEACCEF"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top w:val="single" w:sz="4" w:space="0" w:color="auto"/>
            </w:tcBorders>
            <w:shd w:val="clear" w:color="auto" w:fill="D5D7D5" w:themeFill="text1" w:themeFillTint="33"/>
          </w:tcPr>
          <w:p w14:paraId="60C4B714"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0.30</w:t>
            </w:r>
            <w:r>
              <w:rPr>
                <w:szCs w:val="17"/>
                <w:vertAlign w:val="superscript"/>
              </w:rPr>
              <w:t>a</w:t>
            </w:r>
          </w:p>
        </w:tc>
        <w:tc>
          <w:tcPr>
            <w:tcW w:w="312" w:type="pct"/>
            <w:tcBorders>
              <w:top w:val="single" w:sz="4" w:space="0" w:color="auto"/>
            </w:tcBorders>
            <w:vAlign w:val="center"/>
          </w:tcPr>
          <w:p w14:paraId="75B0545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1.9</w:t>
            </w:r>
          </w:p>
        </w:tc>
        <w:tc>
          <w:tcPr>
            <w:tcW w:w="312" w:type="pct"/>
            <w:tcBorders>
              <w:top w:val="single" w:sz="4" w:space="0" w:color="auto"/>
            </w:tcBorders>
            <w:vAlign w:val="center"/>
          </w:tcPr>
          <w:p w14:paraId="08A00119" w14:textId="77777777" w:rsidR="00CE1436" w:rsidRPr="00886278"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top w:val="single" w:sz="4" w:space="0" w:color="auto"/>
            </w:tcBorders>
            <w:vAlign w:val="center"/>
          </w:tcPr>
          <w:p w14:paraId="7D56C2D1" w14:textId="77777777" w:rsidR="00CE1436" w:rsidRPr="00886278" w:rsidRDefault="00CE1436" w:rsidP="00444693">
            <w:pPr>
              <w:pStyle w:val="TableText"/>
              <w:widowControl w:val="0"/>
              <w:suppressAutoHyphens w:val="0"/>
              <w:spacing w:before="0" w:after="0" w:line="240" w:lineRule="auto"/>
              <w:jc w:val="center"/>
            </w:pPr>
            <w:r>
              <w:rPr>
                <w:color w:val="1A1B1A"/>
                <w:szCs w:val="17"/>
              </w:rPr>
              <w:t>0.72</w:t>
            </w:r>
          </w:p>
        </w:tc>
        <w:tc>
          <w:tcPr>
            <w:tcW w:w="310" w:type="pct"/>
            <w:tcBorders>
              <w:top w:val="single" w:sz="4" w:space="0" w:color="auto"/>
            </w:tcBorders>
            <w:vAlign w:val="center"/>
          </w:tcPr>
          <w:p w14:paraId="047CC89C"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7F6CE4B4" w14:textId="77777777" w:rsidTr="00444693">
        <w:trPr>
          <w:cantSplit/>
          <w:trHeight w:val="13"/>
        </w:trPr>
        <w:tc>
          <w:tcPr>
            <w:tcW w:w="521" w:type="pct"/>
            <w:vMerge/>
          </w:tcPr>
          <w:p w14:paraId="3136BEE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C4746B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570B24B" w14:textId="77777777" w:rsidR="00CE1436" w:rsidRPr="00F33F63" w:rsidRDefault="00CE1436" w:rsidP="00444693">
            <w:pPr>
              <w:pStyle w:val="TableText"/>
              <w:widowControl w:val="0"/>
              <w:suppressAutoHyphens w:val="0"/>
              <w:spacing w:before="0" w:after="0" w:line="240" w:lineRule="auto"/>
            </w:pPr>
          </w:p>
        </w:tc>
        <w:tc>
          <w:tcPr>
            <w:tcW w:w="520" w:type="pct"/>
          </w:tcPr>
          <w:p w14:paraId="7F74E2F3"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2338049"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Pr>
          <w:p w14:paraId="4CCD3BAC" w14:textId="77777777" w:rsidR="00CE1436" w:rsidRPr="00886278" w:rsidRDefault="00CE1436" w:rsidP="00444693">
            <w:pPr>
              <w:pStyle w:val="TableText"/>
              <w:widowControl w:val="0"/>
              <w:suppressAutoHyphens w:val="0"/>
              <w:spacing w:before="0" w:after="0" w:line="240" w:lineRule="auto"/>
              <w:jc w:val="center"/>
              <w:rPr>
                <w:szCs w:val="17"/>
              </w:rPr>
            </w:pPr>
            <w:r>
              <w:t>1125</w:t>
            </w:r>
          </w:p>
        </w:tc>
        <w:tc>
          <w:tcPr>
            <w:tcW w:w="312" w:type="pct"/>
          </w:tcPr>
          <w:p w14:paraId="7877167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BA4C88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4BAE27BB"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7337035A"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1.9</w:t>
            </w:r>
          </w:p>
        </w:tc>
        <w:tc>
          <w:tcPr>
            <w:tcW w:w="312" w:type="pct"/>
            <w:vAlign w:val="center"/>
          </w:tcPr>
          <w:p w14:paraId="20888C68"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17F3D3C" w14:textId="77777777" w:rsidR="00CE1436" w:rsidRPr="00886278" w:rsidRDefault="00CE1436" w:rsidP="00444693">
            <w:pPr>
              <w:pStyle w:val="TableText"/>
              <w:widowControl w:val="0"/>
              <w:suppressAutoHyphens w:val="0"/>
              <w:spacing w:before="0" w:after="0" w:line="240" w:lineRule="auto"/>
              <w:jc w:val="center"/>
            </w:pPr>
            <w:r>
              <w:rPr>
                <w:color w:val="1A1B1A"/>
                <w:szCs w:val="17"/>
              </w:rPr>
              <w:t>0.71</w:t>
            </w:r>
          </w:p>
        </w:tc>
        <w:tc>
          <w:tcPr>
            <w:tcW w:w="310" w:type="pct"/>
            <w:vAlign w:val="center"/>
          </w:tcPr>
          <w:p w14:paraId="795CFD43"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1354A108" w14:textId="77777777" w:rsidTr="00444693">
        <w:trPr>
          <w:cantSplit/>
          <w:trHeight w:val="13"/>
        </w:trPr>
        <w:tc>
          <w:tcPr>
            <w:tcW w:w="521" w:type="pct"/>
            <w:vMerge/>
          </w:tcPr>
          <w:p w14:paraId="0F8EC6D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36F5D9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266D6EF" w14:textId="77777777" w:rsidR="00CE1436" w:rsidRPr="00F33F63" w:rsidRDefault="00CE1436" w:rsidP="00444693">
            <w:pPr>
              <w:pStyle w:val="TableText"/>
              <w:widowControl w:val="0"/>
              <w:suppressAutoHyphens w:val="0"/>
              <w:spacing w:before="0" w:after="0" w:line="240" w:lineRule="auto"/>
            </w:pPr>
          </w:p>
        </w:tc>
        <w:tc>
          <w:tcPr>
            <w:tcW w:w="520" w:type="pct"/>
          </w:tcPr>
          <w:p w14:paraId="0E503737"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662E8C9"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0B893C84" w14:textId="77777777" w:rsidR="00CE1436" w:rsidRDefault="00CE1436" w:rsidP="00444693">
            <w:pPr>
              <w:pStyle w:val="TableText"/>
              <w:widowControl w:val="0"/>
              <w:suppressAutoHyphens w:val="0"/>
              <w:spacing w:before="0" w:after="0" w:line="240" w:lineRule="auto"/>
              <w:jc w:val="center"/>
              <w:rPr>
                <w:szCs w:val="17"/>
              </w:rPr>
            </w:pPr>
            <w:r>
              <w:t>1000</w:t>
            </w:r>
          </w:p>
        </w:tc>
        <w:tc>
          <w:tcPr>
            <w:tcW w:w="312" w:type="pct"/>
          </w:tcPr>
          <w:p w14:paraId="2AE3511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DAAE7F3"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50913423"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6D89FB0E" w14:textId="77777777" w:rsidR="00CE1436" w:rsidRPr="003203B5"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617127D8"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D1268B4" w14:textId="77777777" w:rsidR="00CE1436" w:rsidRPr="0023247F" w:rsidRDefault="00CE1436" w:rsidP="00444693">
            <w:pPr>
              <w:pStyle w:val="TableText"/>
              <w:widowControl w:val="0"/>
              <w:suppressAutoHyphens w:val="0"/>
              <w:spacing w:before="0" w:after="0" w:line="240" w:lineRule="auto"/>
              <w:jc w:val="center"/>
            </w:pPr>
            <w:r>
              <w:rPr>
                <w:color w:val="1A1B1A"/>
                <w:szCs w:val="17"/>
              </w:rPr>
              <w:t>0.63</w:t>
            </w:r>
          </w:p>
        </w:tc>
        <w:tc>
          <w:tcPr>
            <w:tcW w:w="310" w:type="pct"/>
            <w:vAlign w:val="center"/>
          </w:tcPr>
          <w:p w14:paraId="5647960F"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24AEA74F" w14:textId="77777777" w:rsidTr="00444693">
        <w:trPr>
          <w:cantSplit/>
          <w:trHeight w:val="13"/>
        </w:trPr>
        <w:tc>
          <w:tcPr>
            <w:tcW w:w="521" w:type="pct"/>
            <w:vMerge/>
          </w:tcPr>
          <w:p w14:paraId="30B272B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8E8BDC3"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3C4BA68" w14:textId="77777777" w:rsidR="00CE1436" w:rsidRPr="00F33F63" w:rsidRDefault="00CE1436" w:rsidP="00444693">
            <w:pPr>
              <w:pStyle w:val="TableText"/>
              <w:widowControl w:val="0"/>
              <w:suppressAutoHyphens w:val="0"/>
              <w:spacing w:before="0" w:after="0" w:line="240" w:lineRule="auto"/>
            </w:pPr>
          </w:p>
        </w:tc>
        <w:tc>
          <w:tcPr>
            <w:tcW w:w="520" w:type="pct"/>
          </w:tcPr>
          <w:p w14:paraId="4D2FF61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400565A"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5BFD828D" w14:textId="77777777" w:rsidR="00CE1436" w:rsidRDefault="00CE1436" w:rsidP="00444693">
            <w:pPr>
              <w:pStyle w:val="TableText"/>
              <w:widowControl w:val="0"/>
              <w:suppressAutoHyphens w:val="0"/>
              <w:spacing w:before="0" w:after="0" w:line="240" w:lineRule="auto"/>
              <w:jc w:val="center"/>
              <w:rPr>
                <w:szCs w:val="17"/>
              </w:rPr>
            </w:pPr>
            <w:r>
              <w:t>850</w:t>
            </w:r>
          </w:p>
        </w:tc>
        <w:tc>
          <w:tcPr>
            <w:tcW w:w="312" w:type="pct"/>
          </w:tcPr>
          <w:p w14:paraId="27863C7B"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3CB0BA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7F8BF99C"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37F3C8FD" w14:textId="77777777" w:rsidR="00CE1436" w:rsidRPr="003203B5" w:rsidRDefault="00CE1436" w:rsidP="00444693">
            <w:pPr>
              <w:pStyle w:val="TableText"/>
              <w:widowControl w:val="0"/>
              <w:suppressAutoHyphens w:val="0"/>
              <w:spacing w:before="0" w:after="0" w:line="240" w:lineRule="auto"/>
              <w:jc w:val="center"/>
            </w:pPr>
            <w:r>
              <w:rPr>
                <w:color w:val="1A1B1A"/>
                <w:szCs w:val="17"/>
              </w:rPr>
              <w:t>1.4</w:t>
            </w:r>
          </w:p>
        </w:tc>
        <w:tc>
          <w:tcPr>
            <w:tcW w:w="312" w:type="pct"/>
            <w:vAlign w:val="center"/>
          </w:tcPr>
          <w:p w14:paraId="1E725A5E"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401946D" w14:textId="77777777" w:rsidR="00CE1436" w:rsidRPr="0023247F" w:rsidRDefault="00CE1436" w:rsidP="00444693">
            <w:pPr>
              <w:pStyle w:val="TableText"/>
              <w:widowControl w:val="0"/>
              <w:suppressAutoHyphens w:val="0"/>
              <w:spacing w:before="0" w:after="0" w:line="240" w:lineRule="auto"/>
              <w:jc w:val="center"/>
            </w:pPr>
            <w:r>
              <w:rPr>
                <w:color w:val="1A1B1A"/>
                <w:szCs w:val="17"/>
              </w:rPr>
              <w:t>0.53</w:t>
            </w:r>
          </w:p>
        </w:tc>
        <w:tc>
          <w:tcPr>
            <w:tcW w:w="310" w:type="pct"/>
            <w:vAlign w:val="center"/>
          </w:tcPr>
          <w:p w14:paraId="6BA7EFFD"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5EEC6F0A" w14:textId="77777777" w:rsidTr="00444693">
        <w:trPr>
          <w:cantSplit/>
          <w:trHeight w:val="13"/>
        </w:trPr>
        <w:tc>
          <w:tcPr>
            <w:tcW w:w="521" w:type="pct"/>
            <w:vMerge/>
          </w:tcPr>
          <w:p w14:paraId="5B5558D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43E137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0C7D6A2A" w14:textId="77777777" w:rsidR="00CE1436" w:rsidRPr="00F33F63" w:rsidRDefault="00CE1436" w:rsidP="00444693">
            <w:pPr>
              <w:pStyle w:val="TableText"/>
              <w:widowControl w:val="0"/>
              <w:suppressAutoHyphens w:val="0"/>
              <w:spacing w:before="0" w:after="0" w:line="240" w:lineRule="auto"/>
            </w:pPr>
          </w:p>
        </w:tc>
        <w:tc>
          <w:tcPr>
            <w:tcW w:w="520" w:type="pct"/>
          </w:tcPr>
          <w:p w14:paraId="425E8E1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07D26F3"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1C4C0D06" w14:textId="77777777" w:rsidR="00CE1436" w:rsidRDefault="00CE1436" w:rsidP="00444693">
            <w:pPr>
              <w:pStyle w:val="TableText"/>
              <w:widowControl w:val="0"/>
              <w:suppressAutoHyphens w:val="0"/>
              <w:spacing w:before="0" w:after="0" w:line="240" w:lineRule="auto"/>
              <w:jc w:val="center"/>
              <w:rPr>
                <w:szCs w:val="17"/>
              </w:rPr>
            </w:pPr>
            <w:r>
              <w:t>840</w:t>
            </w:r>
          </w:p>
        </w:tc>
        <w:tc>
          <w:tcPr>
            <w:tcW w:w="312" w:type="pct"/>
          </w:tcPr>
          <w:p w14:paraId="2C9C635E"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69CCBD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4845B866"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35BFF619" w14:textId="77777777" w:rsidR="00CE1436" w:rsidRPr="003203B5" w:rsidRDefault="00CE1436" w:rsidP="00444693">
            <w:pPr>
              <w:pStyle w:val="TableText"/>
              <w:widowControl w:val="0"/>
              <w:suppressAutoHyphens w:val="0"/>
              <w:spacing w:before="0" w:after="0" w:line="240" w:lineRule="auto"/>
              <w:jc w:val="center"/>
            </w:pPr>
            <w:r>
              <w:rPr>
                <w:color w:val="1A1B1A"/>
                <w:szCs w:val="17"/>
              </w:rPr>
              <w:t>1.4</w:t>
            </w:r>
          </w:p>
        </w:tc>
        <w:tc>
          <w:tcPr>
            <w:tcW w:w="312" w:type="pct"/>
            <w:vAlign w:val="center"/>
          </w:tcPr>
          <w:p w14:paraId="2050FD24"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E0C22AC" w14:textId="77777777" w:rsidR="00CE1436" w:rsidRPr="0023247F" w:rsidRDefault="00CE1436" w:rsidP="00444693">
            <w:pPr>
              <w:pStyle w:val="TableText"/>
              <w:widowControl w:val="0"/>
              <w:suppressAutoHyphens w:val="0"/>
              <w:spacing w:before="0" w:after="0" w:line="240" w:lineRule="auto"/>
              <w:jc w:val="center"/>
            </w:pPr>
            <w:r>
              <w:rPr>
                <w:color w:val="1A1B1A"/>
                <w:szCs w:val="17"/>
              </w:rPr>
              <w:t>0.53</w:t>
            </w:r>
          </w:p>
        </w:tc>
        <w:tc>
          <w:tcPr>
            <w:tcW w:w="310" w:type="pct"/>
            <w:vAlign w:val="center"/>
          </w:tcPr>
          <w:p w14:paraId="129AFD19"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0C2DEF58" w14:textId="77777777" w:rsidTr="00444693">
        <w:trPr>
          <w:cantSplit/>
          <w:trHeight w:val="13"/>
        </w:trPr>
        <w:tc>
          <w:tcPr>
            <w:tcW w:w="521" w:type="pct"/>
            <w:vMerge/>
          </w:tcPr>
          <w:p w14:paraId="2F6CACF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7358EB8"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CB1321C" w14:textId="77777777" w:rsidR="00CE1436" w:rsidRPr="00F33F63" w:rsidRDefault="00CE1436" w:rsidP="00444693">
            <w:pPr>
              <w:pStyle w:val="TableText"/>
              <w:widowControl w:val="0"/>
              <w:suppressAutoHyphens w:val="0"/>
              <w:spacing w:before="0" w:after="0" w:line="240" w:lineRule="auto"/>
            </w:pPr>
          </w:p>
        </w:tc>
        <w:tc>
          <w:tcPr>
            <w:tcW w:w="520" w:type="pct"/>
          </w:tcPr>
          <w:p w14:paraId="14DC5363"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377B010"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01AA5160" w14:textId="77777777" w:rsidR="00CE1436" w:rsidRDefault="00CE1436" w:rsidP="00444693">
            <w:pPr>
              <w:pStyle w:val="TableText"/>
              <w:widowControl w:val="0"/>
              <w:suppressAutoHyphens w:val="0"/>
              <w:spacing w:before="0" w:after="0" w:line="240" w:lineRule="auto"/>
              <w:jc w:val="center"/>
              <w:rPr>
                <w:szCs w:val="17"/>
              </w:rPr>
            </w:pPr>
            <w:r>
              <w:t>750</w:t>
            </w:r>
          </w:p>
        </w:tc>
        <w:tc>
          <w:tcPr>
            <w:tcW w:w="312" w:type="pct"/>
          </w:tcPr>
          <w:p w14:paraId="7E00712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20164C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3A84A8B9"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0E49871E" w14:textId="77777777" w:rsidR="00CE1436" w:rsidRPr="003203B5" w:rsidRDefault="00CE1436" w:rsidP="00444693">
            <w:pPr>
              <w:pStyle w:val="TableText"/>
              <w:widowControl w:val="0"/>
              <w:suppressAutoHyphens w:val="0"/>
              <w:spacing w:before="0" w:after="0" w:line="240" w:lineRule="auto"/>
              <w:jc w:val="center"/>
            </w:pPr>
            <w:r>
              <w:rPr>
                <w:color w:val="1A1B1A"/>
                <w:szCs w:val="17"/>
              </w:rPr>
              <w:t>1.3</w:t>
            </w:r>
          </w:p>
        </w:tc>
        <w:tc>
          <w:tcPr>
            <w:tcW w:w="312" w:type="pct"/>
            <w:vAlign w:val="center"/>
          </w:tcPr>
          <w:p w14:paraId="35D14F6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9E11E61" w14:textId="77777777" w:rsidR="00CE1436" w:rsidRPr="0023247F" w:rsidRDefault="00CE1436" w:rsidP="00444693">
            <w:pPr>
              <w:pStyle w:val="TableText"/>
              <w:widowControl w:val="0"/>
              <w:suppressAutoHyphens w:val="0"/>
              <w:spacing w:before="0" w:after="0" w:line="240" w:lineRule="auto"/>
              <w:jc w:val="center"/>
            </w:pPr>
            <w:r>
              <w:rPr>
                <w:color w:val="1A1B1A"/>
                <w:szCs w:val="17"/>
              </w:rPr>
              <w:t>0.47</w:t>
            </w:r>
          </w:p>
        </w:tc>
        <w:tc>
          <w:tcPr>
            <w:tcW w:w="310" w:type="pct"/>
            <w:vAlign w:val="center"/>
          </w:tcPr>
          <w:p w14:paraId="0C574CE7"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1C84A653" w14:textId="77777777" w:rsidTr="00444693">
        <w:trPr>
          <w:cantSplit/>
          <w:trHeight w:val="13"/>
        </w:trPr>
        <w:tc>
          <w:tcPr>
            <w:tcW w:w="521" w:type="pct"/>
            <w:vMerge/>
          </w:tcPr>
          <w:p w14:paraId="5943CA0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8A94356"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088EBD9" w14:textId="77777777" w:rsidR="00CE1436" w:rsidRPr="00F33F63" w:rsidRDefault="00CE1436" w:rsidP="00444693">
            <w:pPr>
              <w:pStyle w:val="TableText"/>
              <w:widowControl w:val="0"/>
              <w:suppressAutoHyphens w:val="0"/>
              <w:spacing w:before="0" w:after="0" w:line="240" w:lineRule="auto"/>
            </w:pPr>
          </w:p>
        </w:tc>
        <w:tc>
          <w:tcPr>
            <w:tcW w:w="520" w:type="pct"/>
          </w:tcPr>
          <w:p w14:paraId="0FCCA0C1"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83FB314"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7EC5CB1F"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050E61B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3C69FD7"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45EEBB18"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728C6633" w14:textId="77777777" w:rsidR="00CE1436" w:rsidRPr="003203B5" w:rsidRDefault="00CE1436" w:rsidP="00444693">
            <w:pPr>
              <w:pStyle w:val="TableText"/>
              <w:widowControl w:val="0"/>
              <w:suppressAutoHyphens w:val="0"/>
              <w:spacing w:before="0" w:after="0" w:line="240" w:lineRule="auto"/>
              <w:jc w:val="center"/>
            </w:pPr>
            <w:r>
              <w:rPr>
                <w:color w:val="1A1B1A"/>
                <w:szCs w:val="17"/>
              </w:rPr>
              <w:t>1.0</w:t>
            </w:r>
          </w:p>
        </w:tc>
        <w:tc>
          <w:tcPr>
            <w:tcW w:w="312" w:type="pct"/>
            <w:vAlign w:val="center"/>
          </w:tcPr>
          <w:p w14:paraId="0F39B49B"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33D25E60" w14:textId="77777777" w:rsidR="00CE1436" w:rsidRPr="0023247F" w:rsidRDefault="00CE1436" w:rsidP="00444693">
            <w:pPr>
              <w:pStyle w:val="TableText"/>
              <w:widowControl w:val="0"/>
              <w:suppressAutoHyphens w:val="0"/>
              <w:spacing w:before="0" w:after="0" w:line="240" w:lineRule="auto"/>
              <w:jc w:val="center"/>
            </w:pPr>
            <w:r>
              <w:rPr>
                <w:color w:val="1A1B1A"/>
                <w:szCs w:val="17"/>
              </w:rPr>
              <w:t>0.38</w:t>
            </w:r>
          </w:p>
        </w:tc>
        <w:tc>
          <w:tcPr>
            <w:tcW w:w="310" w:type="pct"/>
            <w:vAlign w:val="center"/>
          </w:tcPr>
          <w:p w14:paraId="287B47F7"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3E51FA1C" w14:textId="77777777" w:rsidTr="00444693">
        <w:trPr>
          <w:cantSplit/>
          <w:trHeight w:val="13"/>
        </w:trPr>
        <w:tc>
          <w:tcPr>
            <w:tcW w:w="521" w:type="pct"/>
            <w:vMerge/>
          </w:tcPr>
          <w:p w14:paraId="27ED7E9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D1E48C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DDB305E" w14:textId="77777777" w:rsidR="00CE1436" w:rsidRPr="00F33F63" w:rsidRDefault="00CE1436" w:rsidP="00444693">
            <w:pPr>
              <w:pStyle w:val="TableText"/>
              <w:widowControl w:val="0"/>
              <w:suppressAutoHyphens w:val="0"/>
              <w:spacing w:before="0" w:after="0" w:line="240" w:lineRule="auto"/>
            </w:pPr>
          </w:p>
        </w:tc>
        <w:tc>
          <w:tcPr>
            <w:tcW w:w="520" w:type="pct"/>
          </w:tcPr>
          <w:p w14:paraId="0CDB6ED4"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5937650D"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3D2C79BE" w14:textId="77777777" w:rsidR="00CE1436" w:rsidRDefault="00CE1436" w:rsidP="00444693">
            <w:pPr>
              <w:pStyle w:val="TableText"/>
              <w:widowControl w:val="0"/>
              <w:suppressAutoHyphens w:val="0"/>
              <w:spacing w:before="0" w:after="0" w:line="240" w:lineRule="auto"/>
              <w:jc w:val="center"/>
              <w:rPr>
                <w:szCs w:val="17"/>
              </w:rPr>
            </w:pPr>
            <w:r>
              <w:t>595</w:t>
            </w:r>
          </w:p>
        </w:tc>
        <w:tc>
          <w:tcPr>
            <w:tcW w:w="312" w:type="pct"/>
          </w:tcPr>
          <w:p w14:paraId="6E47359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CDF5A83"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5FA03538"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2026992F" w14:textId="77777777" w:rsidR="00CE1436" w:rsidRPr="003203B5" w:rsidRDefault="00CE1436" w:rsidP="00444693">
            <w:pPr>
              <w:pStyle w:val="TableText"/>
              <w:widowControl w:val="0"/>
              <w:suppressAutoHyphens w:val="0"/>
              <w:spacing w:before="0" w:after="0" w:line="240" w:lineRule="auto"/>
              <w:jc w:val="center"/>
            </w:pPr>
            <w:r>
              <w:rPr>
                <w:color w:val="1A1B1A"/>
                <w:szCs w:val="17"/>
              </w:rPr>
              <w:t>1.0</w:t>
            </w:r>
          </w:p>
        </w:tc>
        <w:tc>
          <w:tcPr>
            <w:tcW w:w="312" w:type="pct"/>
            <w:vAlign w:val="center"/>
          </w:tcPr>
          <w:p w14:paraId="03CF72E0"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4876A3D6" w14:textId="77777777" w:rsidR="00CE1436" w:rsidRPr="0023247F" w:rsidRDefault="00CE1436" w:rsidP="00444693">
            <w:pPr>
              <w:pStyle w:val="TableText"/>
              <w:widowControl w:val="0"/>
              <w:suppressAutoHyphens w:val="0"/>
              <w:spacing w:before="0" w:after="0" w:line="240" w:lineRule="auto"/>
              <w:jc w:val="center"/>
            </w:pPr>
            <w:r>
              <w:rPr>
                <w:color w:val="1A1B1A"/>
                <w:szCs w:val="17"/>
              </w:rPr>
              <w:t>0.37</w:t>
            </w:r>
          </w:p>
        </w:tc>
        <w:tc>
          <w:tcPr>
            <w:tcW w:w="310" w:type="pct"/>
            <w:vAlign w:val="center"/>
          </w:tcPr>
          <w:p w14:paraId="0A7825E2"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2EF79396" w14:textId="77777777" w:rsidTr="00444693">
        <w:trPr>
          <w:cantSplit/>
          <w:trHeight w:val="13"/>
        </w:trPr>
        <w:tc>
          <w:tcPr>
            <w:tcW w:w="521" w:type="pct"/>
            <w:vMerge/>
          </w:tcPr>
          <w:p w14:paraId="69F4E80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377196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B178194" w14:textId="77777777" w:rsidR="00CE1436" w:rsidRPr="00F33F63" w:rsidRDefault="00CE1436" w:rsidP="00444693">
            <w:pPr>
              <w:pStyle w:val="TableText"/>
              <w:widowControl w:val="0"/>
              <w:suppressAutoHyphens w:val="0"/>
              <w:spacing w:before="0" w:after="0" w:line="240" w:lineRule="auto"/>
            </w:pPr>
          </w:p>
        </w:tc>
        <w:tc>
          <w:tcPr>
            <w:tcW w:w="520" w:type="pct"/>
          </w:tcPr>
          <w:p w14:paraId="0FD2E4E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8A45F77"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44EF2123"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24D70B7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8DEABB7"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416E7820"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46034C00" w14:textId="77777777" w:rsidR="00CE1436" w:rsidRPr="003203B5" w:rsidRDefault="00CE1436" w:rsidP="00444693">
            <w:pPr>
              <w:pStyle w:val="TableText"/>
              <w:widowControl w:val="0"/>
              <w:suppressAutoHyphens w:val="0"/>
              <w:spacing w:before="0" w:after="0" w:line="240" w:lineRule="auto"/>
              <w:jc w:val="center"/>
            </w:pPr>
            <w:r>
              <w:rPr>
                <w:color w:val="1A1B1A"/>
                <w:szCs w:val="17"/>
              </w:rPr>
              <w:t>0.85</w:t>
            </w:r>
          </w:p>
        </w:tc>
        <w:tc>
          <w:tcPr>
            <w:tcW w:w="312" w:type="pct"/>
            <w:vAlign w:val="center"/>
          </w:tcPr>
          <w:p w14:paraId="078776D1"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2E5E918" w14:textId="77777777" w:rsidR="00CE1436" w:rsidRPr="0023247F" w:rsidRDefault="00CE1436" w:rsidP="00444693">
            <w:pPr>
              <w:pStyle w:val="TableText"/>
              <w:widowControl w:val="0"/>
              <w:suppressAutoHyphens w:val="0"/>
              <w:spacing w:before="0" w:after="0" w:line="240" w:lineRule="auto"/>
              <w:jc w:val="center"/>
            </w:pPr>
            <w:r>
              <w:rPr>
                <w:color w:val="1A1B1A"/>
                <w:szCs w:val="17"/>
              </w:rPr>
              <w:t>0.31</w:t>
            </w:r>
          </w:p>
        </w:tc>
        <w:tc>
          <w:tcPr>
            <w:tcW w:w="310" w:type="pct"/>
            <w:vAlign w:val="center"/>
          </w:tcPr>
          <w:p w14:paraId="792C2E42"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362E6B3F" w14:textId="77777777" w:rsidTr="00444693">
        <w:trPr>
          <w:cantSplit/>
          <w:trHeight w:val="13"/>
        </w:trPr>
        <w:tc>
          <w:tcPr>
            <w:tcW w:w="521" w:type="pct"/>
            <w:vMerge/>
          </w:tcPr>
          <w:p w14:paraId="6AE5B3D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9310A7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396C06B2" w14:textId="77777777" w:rsidR="00CE1436" w:rsidRPr="00F33F63" w:rsidRDefault="00CE1436" w:rsidP="00444693">
            <w:pPr>
              <w:pStyle w:val="TableText"/>
              <w:widowControl w:val="0"/>
              <w:suppressAutoHyphens w:val="0"/>
              <w:spacing w:before="0" w:after="0" w:line="240" w:lineRule="auto"/>
            </w:pPr>
          </w:p>
        </w:tc>
        <w:tc>
          <w:tcPr>
            <w:tcW w:w="520" w:type="pct"/>
          </w:tcPr>
          <w:p w14:paraId="0049B7BB"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71A24FA"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31094C76"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4CC7113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BECA70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10D1746B"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4E6BE66A" w14:textId="77777777" w:rsidR="00CE1436" w:rsidRPr="003203B5" w:rsidRDefault="00CE1436" w:rsidP="00444693">
            <w:pPr>
              <w:pStyle w:val="TableText"/>
              <w:widowControl w:val="0"/>
              <w:suppressAutoHyphens w:val="0"/>
              <w:spacing w:before="0" w:after="0" w:line="240" w:lineRule="auto"/>
              <w:jc w:val="center"/>
            </w:pPr>
            <w:r>
              <w:rPr>
                <w:color w:val="1A1B1A"/>
                <w:szCs w:val="17"/>
              </w:rPr>
              <w:t>0.73</w:t>
            </w:r>
          </w:p>
        </w:tc>
        <w:tc>
          <w:tcPr>
            <w:tcW w:w="312" w:type="pct"/>
            <w:vAlign w:val="center"/>
          </w:tcPr>
          <w:p w14:paraId="1C735D88"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0D7E8E6" w14:textId="77777777" w:rsidR="00CE1436" w:rsidRPr="0023247F" w:rsidRDefault="00CE1436" w:rsidP="00444693">
            <w:pPr>
              <w:pStyle w:val="TableText"/>
              <w:widowControl w:val="0"/>
              <w:suppressAutoHyphens w:val="0"/>
              <w:spacing w:before="0" w:after="0" w:line="240" w:lineRule="auto"/>
              <w:jc w:val="center"/>
            </w:pPr>
            <w:r>
              <w:rPr>
                <w:color w:val="1A1B1A"/>
                <w:szCs w:val="17"/>
              </w:rPr>
              <w:t>0.27</w:t>
            </w:r>
          </w:p>
        </w:tc>
        <w:tc>
          <w:tcPr>
            <w:tcW w:w="310" w:type="pct"/>
            <w:vAlign w:val="center"/>
          </w:tcPr>
          <w:p w14:paraId="460E85C3"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21ED6C29" w14:textId="77777777" w:rsidTr="00444693">
        <w:trPr>
          <w:cantSplit/>
          <w:trHeight w:val="13"/>
        </w:trPr>
        <w:tc>
          <w:tcPr>
            <w:tcW w:w="521" w:type="pct"/>
            <w:vMerge/>
          </w:tcPr>
          <w:p w14:paraId="2DD52ED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6720D72"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07AC27A" w14:textId="77777777" w:rsidR="00CE1436" w:rsidRPr="00F33F63" w:rsidRDefault="00CE1436" w:rsidP="00444693">
            <w:pPr>
              <w:pStyle w:val="TableText"/>
              <w:widowControl w:val="0"/>
              <w:suppressAutoHyphens w:val="0"/>
              <w:spacing w:before="0" w:after="0" w:line="240" w:lineRule="auto"/>
            </w:pPr>
          </w:p>
        </w:tc>
        <w:tc>
          <w:tcPr>
            <w:tcW w:w="520" w:type="pct"/>
          </w:tcPr>
          <w:p w14:paraId="4083AA05"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61E6AA5"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27EDF3D7" w14:textId="77777777" w:rsidR="00CE1436" w:rsidRDefault="00CE1436" w:rsidP="00444693">
            <w:pPr>
              <w:pStyle w:val="TableText"/>
              <w:widowControl w:val="0"/>
              <w:suppressAutoHyphens w:val="0"/>
              <w:spacing w:before="0" w:after="0" w:line="240" w:lineRule="auto"/>
              <w:jc w:val="center"/>
              <w:rPr>
                <w:szCs w:val="17"/>
              </w:rPr>
            </w:pPr>
            <w:r>
              <w:t>400</w:t>
            </w:r>
          </w:p>
        </w:tc>
        <w:tc>
          <w:tcPr>
            <w:tcW w:w="312" w:type="pct"/>
          </w:tcPr>
          <w:p w14:paraId="6EB045E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7B76EE6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1CA5FCA8"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26DA74E7" w14:textId="77777777" w:rsidR="00CE1436" w:rsidRPr="003203B5" w:rsidRDefault="00CE1436" w:rsidP="00444693">
            <w:pPr>
              <w:pStyle w:val="TableText"/>
              <w:widowControl w:val="0"/>
              <w:suppressAutoHyphens w:val="0"/>
              <w:spacing w:before="0" w:after="0" w:line="240" w:lineRule="auto"/>
              <w:jc w:val="center"/>
            </w:pPr>
            <w:r>
              <w:rPr>
                <w:color w:val="1A1B1A"/>
                <w:szCs w:val="17"/>
              </w:rPr>
              <w:t>0.68</w:t>
            </w:r>
          </w:p>
        </w:tc>
        <w:tc>
          <w:tcPr>
            <w:tcW w:w="312" w:type="pct"/>
            <w:vAlign w:val="center"/>
          </w:tcPr>
          <w:p w14:paraId="25C37A6A"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73C0CB3" w14:textId="77777777" w:rsidR="00CE1436" w:rsidRPr="0023247F" w:rsidRDefault="00CE1436" w:rsidP="00444693">
            <w:pPr>
              <w:pStyle w:val="TableText"/>
              <w:widowControl w:val="0"/>
              <w:suppressAutoHyphens w:val="0"/>
              <w:spacing w:before="0" w:after="0" w:line="240" w:lineRule="auto"/>
              <w:jc w:val="center"/>
            </w:pPr>
            <w:r>
              <w:rPr>
                <w:color w:val="1A1B1A"/>
                <w:szCs w:val="17"/>
              </w:rPr>
              <w:t>0.25</w:t>
            </w:r>
          </w:p>
        </w:tc>
        <w:tc>
          <w:tcPr>
            <w:tcW w:w="310" w:type="pct"/>
            <w:vAlign w:val="center"/>
          </w:tcPr>
          <w:p w14:paraId="35C000DA"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6914AD03" w14:textId="77777777" w:rsidTr="00444693">
        <w:trPr>
          <w:cantSplit/>
          <w:trHeight w:val="13"/>
        </w:trPr>
        <w:tc>
          <w:tcPr>
            <w:tcW w:w="521" w:type="pct"/>
            <w:vMerge/>
          </w:tcPr>
          <w:p w14:paraId="2C5B26E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FEF523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B32D975" w14:textId="77777777" w:rsidR="00CE1436" w:rsidRPr="00F33F63" w:rsidRDefault="00CE1436" w:rsidP="00444693">
            <w:pPr>
              <w:pStyle w:val="TableText"/>
              <w:widowControl w:val="0"/>
              <w:suppressAutoHyphens w:val="0"/>
              <w:spacing w:before="0" w:after="0" w:line="240" w:lineRule="auto"/>
            </w:pPr>
          </w:p>
        </w:tc>
        <w:tc>
          <w:tcPr>
            <w:tcW w:w="520" w:type="pct"/>
          </w:tcPr>
          <w:p w14:paraId="48CD3B8A"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471F567"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22E022D9"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0BA59BAD"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B520234"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442B743C"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5216F8A3" w14:textId="77777777" w:rsidR="00CE1436" w:rsidRPr="003203B5" w:rsidRDefault="00CE1436" w:rsidP="00444693">
            <w:pPr>
              <w:pStyle w:val="TableText"/>
              <w:widowControl w:val="0"/>
              <w:suppressAutoHyphens w:val="0"/>
              <w:spacing w:before="0" w:after="0" w:line="240" w:lineRule="auto"/>
              <w:jc w:val="center"/>
            </w:pPr>
            <w:r>
              <w:rPr>
                <w:color w:val="1A1B1A"/>
                <w:szCs w:val="17"/>
              </w:rPr>
              <w:t>0.55</w:t>
            </w:r>
          </w:p>
        </w:tc>
        <w:tc>
          <w:tcPr>
            <w:tcW w:w="312" w:type="pct"/>
            <w:vAlign w:val="center"/>
          </w:tcPr>
          <w:p w14:paraId="564D730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7443EB3A" w14:textId="77777777" w:rsidR="00CE1436" w:rsidRPr="0023247F" w:rsidRDefault="00CE1436" w:rsidP="00444693">
            <w:pPr>
              <w:pStyle w:val="TableText"/>
              <w:widowControl w:val="0"/>
              <w:suppressAutoHyphens w:val="0"/>
              <w:spacing w:before="0" w:after="0" w:line="240" w:lineRule="auto"/>
              <w:jc w:val="center"/>
            </w:pPr>
            <w:r>
              <w:rPr>
                <w:color w:val="1A1B1A"/>
                <w:szCs w:val="17"/>
              </w:rPr>
              <w:t>0.20</w:t>
            </w:r>
          </w:p>
        </w:tc>
        <w:tc>
          <w:tcPr>
            <w:tcW w:w="310" w:type="pct"/>
            <w:vAlign w:val="center"/>
          </w:tcPr>
          <w:p w14:paraId="6CA3F5AC"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64E2FB85" w14:textId="77777777" w:rsidTr="00444693">
        <w:trPr>
          <w:cantSplit/>
          <w:trHeight w:val="13"/>
        </w:trPr>
        <w:tc>
          <w:tcPr>
            <w:tcW w:w="521" w:type="pct"/>
            <w:vMerge/>
          </w:tcPr>
          <w:p w14:paraId="593E2AB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0F9E4DB"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DCD83BE" w14:textId="77777777" w:rsidR="00CE1436" w:rsidRPr="00F33F63" w:rsidRDefault="00CE1436" w:rsidP="00444693">
            <w:pPr>
              <w:pStyle w:val="TableText"/>
              <w:widowControl w:val="0"/>
              <w:suppressAutoHyphens w:val="0"/>
              <w:spacing w:before="0" w:after="0" w:line="240" w:lineRule="auto"/>
            </w:pPr>
          </w:p>
        </w:tc>
        <w:tc>
          <w:tcPr>
            <w:tcW w:w="520" w:type="pct"/>
          </w:tcPr>
          <w:p w14:paraId="6043F639"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2A49DF9F"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6F14945A" w14:textId="77777777" w:rsidR="00CE1436" w:rsidRDefault="00CE1436" w:rsidP="00444693">
            <w:pPr>
              <w:pStyle w:val="TableText"/>
              <w:widowControl w:val="0"/>
              <w:suppressAutoHyphens w:val="0"/>
              <w:spacing w:before="0" w:after="0" w:line="240" w:lineRule="auto"/>
              <w:jc w:val="center"/>
              <w:rPr>
                <w:szCs w:val="17"/>
              </w:rPr>
            </w:pPr>
            <w:r>
              <w:t>300</w:t>
            </w:r>
          </w:p>
        </w:tc>
        <w:tc>
          <w:tcPr>
            <w:tcW w:w="312" w:type="pct"/>
          </w:tcPr>
          <w:p w14:paraId="038C2661"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2A8F71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171BC20A"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1EEFB235" w14:textId="77777777" w:rsidR="00CE1436" w:rsidRPr="003203B5" w:rsidRDefault="00CE1436" w:rsidP="00444693">
            <w:pPr>
              <w:pStyle w:val="TableText"/>
              <w:widowControl w:val="0"/>
              <w:suppressAutoHyphens w:val="0"/>
              <w:spacing w:before="0" w:after="0" w:line="240" w:lineRule="auto"/>
              <w:jc w:val="center"/>
            </w:pPr>
            <w:r>
              <w:rPr>
                <w:color w:val="1A1B1A"/>
                <w:szCs w:val="17"/>
              </w:rPr>
              <w:t>0.51</w:t>
            </w:r>
          </w:p>
        </w:tc>
        <w:tc>
          <w:tcPr>
            <w:tcW w:w="312" w:type="pct"/>
            <w:vAlign w:val="center"/>
          </w:tcPr>
          <w:p w14:paraId="6C94540C"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169446D" w14:textId="77777777" w:rsidR="00CE1436" w:rsidRPr="0023247F" w:rsidRDefault="00CE1436" w:rsidP="00444693">
            <w:pPr>
              <w:pStyle w:val="TableText"/>
              <w:widowControl w:val="0"/>
              <w:suppressAutoHyphens w:val="0"/>
              <w:spacing w:before="0" w:after="0" w:line="240" w:lineRule="auto"/>
              <w:jc w:val="center"/>
            </w:pPr>
            <w:r>
              <w:rPr>
                <w:color w:val="1A1B1A"/>
                <w:szCs w:val="17"/>
              </w:rPr>
              <w:t>0.19</w:t>
            </w:r>
          </w:p>
        </w:tc>
        <w:tc>
          <w:tcPr>
            <w:tcW w:w="310" w:type="pct"/>
            <w:vAlign w:val="center"/>
          </w:tcPr>
          <w:p w14:paraId="0E72CB03"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51A2B7E9" w14:textId="77777777" w:rsidTr="00444693">
        <w:trPr>
          <w:cantSplit/>
          <w:trHeight w:val="13"/>
        </w:trPr>
        <w:tc>
          <w:tcPr>
            <w:tcW w:w="521" w:type="pct"/>
            <w:vMerge/>
          </w:tcPr>
          <w:p w14:paraId="72D7F77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23D0AAF"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ACFCAFE" w14:textId="77777777" w:rsidR="00CE1436" w:rsidRPr="00F33F63" w:rsidRDefault="00CE1436" w:rsidP="00444693">
            <w:pPr>
              <w:pStyle w:val="TableText"/>
              <w:widowControl w:val="0"/>
              <w:suppressAutoHyphens w:val="0"/>
              <w:spacing w:before="0" w:after="0" w:line="240" w:lineRule="auto"/>
            </w:pPr>
          </w:p>
        </w:tc>
        <w:tc>
          <w:tcPr>
            <w:tcW w:w="520" w:type="pct"/>
          </w:tcPr>
          <w:p w14:paraId="70AB4FEE"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7265F9C"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162ED125" w14:textId="77777777" w:rsidR="00CE1436" w:rsidRDefault="00CE1436" w:rsidP="00444693">
            <w:pPr>
              <w:pStyle w:val="TableText"/>
              <w:widowControl w:val="0"/>
              <w:suppressAutoHyphens w:val="0"/>
              <w:spacing w:before="0" w:after="0" w:line="240" w:lineRule="auto"/>
              <w:jc w:val="center"/>
              <w:rPr>
                <w:szCs w:val="17"/>
              </w:rPr>
            </w:pPr>
            <w:r>
              <w:t>216</w:t>
            </w:r>
          </w:p>
        </w:tc>
        <w:tc>
          <w:tcPr>
            <w:tcW w:w="312" w:type="pct"/>
          </w:tcPr>
          <w:p w14:paraId="1D1A3A7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2414EF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6E7EC62C"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10857688" w14:textId="77777777" w:rsidR="00CE1436" w:rsidRPr="003203B5" w:rsidRDefault="00CE1436" w:rsidP="00444693">
            <w:pPr>
              <w:pStyle w:val="TableText"/>
              <w:widowControl w:val="0"/>
              <w:suppressAutoHyphens w:val="0"/>
              <w:spacing w:before="0" w:after="0" w:line="240" w:lineRule="auto"/>
              <w:jc w:val="center"/>
            </w:pPr>
            <w:r>
              <w:rPr>
                <w:color w:val="1A1B1A"/>
                <w:szCs w:val="17"/>
              </w:rPr>
              <w:t>0.37</w:t>
            </w:r>
          </w:p>
        </w:tc>
        <w:tc>
          <w:tcPr>
            <w:tcW w:w="312" w:type="pct"/>
            <w:vAlign w:val="center"/>
          </w:tcPr>
          <w:p w14:paraId="6B20EC49"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6915A527" w14:textId="77777777" w:rsidR="00CE1436" w:rsidRPr="0023247F" w:rsidRDefault="00CE1436" w:rsidP="00444693">
            <w:pPr>
              <w:pStyle w:val="TableText"/>
              <w:widowControl w:val="0"/>
              <w:suppressAutoHyphens w:val="0"/>
              <w:spacing w:before="0" w:after="0" w:line="240" w:lineRule="auto"/>
              <w:jc w:val="center"/>
            </w:pPr>
            <w:r>
              <w:rPr>
                <w:color w:val="1A1B1A"/>
                <w:szCs w:val="17"/>
              </w:rPr>
              <w:t>0.14</w:t>
            </w:r>
          </w:p>
        </w:tc>
        <w:tc>
          <w:tcPr>
            <w:tcW w:w="310" w:type="pct"/>
            <w:vAlign w:val="center"/>
          </w:tcPr>
          <w:p w14:paraId="7E6DB416"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29AC629A" w14:textId="77777777" w:rsidTr="00444693">
        <w:trPr>
          <w:cantSplit/>
          <w:trHeight w:val="13"/>
        </w:trPr>
        <w:tc>
          <w:tcPr>
            <w:tcW w:w="521" w:type="pct"/>
            <w:vMerge/>
          </w:tcPr>
          <w:p w14:paraId="6A7652A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84E289C" w14:textId="77777777" w:rsidR="00CE1436" w:rsidRPr="00C13A11" w:rsidRDefault="00CE1436" w:rsidP="00444693">
            <w:pPr>
              <w:pStyle w:val="TableText"/>
              <w:widowControl w:val="0"/>
              <w:suppressAutoHyphens w:val="0"/>
              <w:spacing w:before="0" w:after="0" w:line="240" w:lineRule="auto"/>
            </w:pPr>
          </w:p>
        </w:tc>
        <w:tc>
          <w:tcPr>
            <w:tcW w:w="445" w:type="pct"/>
            <w:vMerge/>
          </w:tcPr>
          <w:p w14:paraId="4978D53E" w14:textId="77777777" w:rsidR="00CE1436" w:rsidRPr="00F33F63" w:rsidRDefault="00CE1436" w:rsidP="00444693">
            <w:pPr>
              <w:pStyle w:val="TableText"/>
              <w:widowControl w:val="0"/>
              <w:suppressAutoHyphens w:val="0"/>
              <w:spacing w:before="0" w:after="0" w:line="240" w:lineRule="auto"/>
            </w:pPr>
          </w:p>
        </w:tc>
        <w:tc>
          <w:tcPr>
            <w:tcW w:w="520" w:type="pct"/>
          </w:tcPr>
          <w:p w14:paraId="3B998CEE"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CC06566"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4BFEB2DA" w14:textId="77777777" w:rsidR="00CE1436" w:rsidRDefault="00CE1436" w:rsidP="00444693">
            <w:pPr>
              <w:pStyle w:val="TableText"/>
              <w:widowControl w:val="0"/>
              <w:suppressAutoHyphens w:val="0"/>
              <w:spacing w:before="0" w:after="0" w:line="240" w:lineRule="auto"/>
              <w:jc w:val="center"/>
              <w:rPr>
                <w:szCs w:val="17"/>
              </w:rPr>
            </w:pPr>
            <w:r>
              <w:t>203</w:t>
            </w:r>
          </w:p>
        </w:tc>
        <w:tc>
          <w:tcPr>
            <w:tcW w:w="312" w:type="pct"/>
          </w:tcPr>
          <w:p w14:paraId="052022E6"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CE792E5"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1AFB1DA8"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2EAD6DEE" w14:textId="77777777" w:rsidR="00CE1436" w:rsidRPr="003203B5" w:rsidRDefault="00CE1436" w:rsidP="00444693">
            <w:pPr>
              <w:pStyle w:val="TableText"/>
              <w:widowControl w:val="0"/>
              <w:suppressAutoHyphens w:val="0"/>
              <w:spacing w:before="0" w:after="0" w:line="240" w:lineRule="auto"/>
              <w:jc w:val="center"/>
            </w:pPr>
            <w:r>
              <w:rPr>
                <w:color w:val="1A1B1A"/>
                <w:szCs w:val="17"/>
              </w:rPr>
              <w:t>0.34</w:t>
            </w:r>
          </w:p>
        </w:tc>
        <w:tc>
          <w:tcPr>
            <w:tcW w:w="312" w:type="pct"/>
            <w:vAlign w:val="center"/>
          </w:tcPr>
          <w:p w14:paraId="4E5F0A45"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F19C57F" w14:textId="77777777" w:rsidR="00CE1436" w:rsidRPr="0023247F" w:rsidRDefault="00CE1436" w:rsidP="00444693">
            <w:pPr>
              <w:pStyle w:val="TableText"/>
              <w:widowControl w:val="0"/>
              <w:suppressAutoHyphens w:val="0"/>
              <w:spacing w:before="0" w:after="0" w:line="240" w:lineRule="auto"/>
              <w:jc w:val="center"/>
            </w:pPr>
            <w:r>
              <w:rPr>
                <w:color w:val="1A1B1A"/>
                <w:szCs w:val="17"/>
              </w:rPr>
              <w:t>0.13</w:t>
            </w:r>
          </w:p>
        </w:tc>
        <w:tc>
          <w:tcPr>
            <w:tcW w:w="310" w:type="pct"/>
            <w:vAlign w:val="center"/>
          </w:tcPr>
          <w:p w14:paraId="0ABA571B"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0E3EF213" w14:textId="77777777" w:rsidTr="00444693">
        <w:trPr>
          <w:cantSplit/>
          <w:trHeight w:val="13"/>
        </w:trPr>
        <w:tc>
          <w:tcPr>
            <w:tcW w:w="521" w:type="pct"/>
            <w:vMerge/>
          </w:tcPr>
          <w:p w14:paraId="554F85D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6CE3F0D" w14:textId="77777777" w:rsidR="00CE1436" w:rsidRPr="00C13A11" w:rsidRDefault="00CE1436" w:rsidP="00444693">
            <w:pPr>
              <w:pStyle w:val="TableText"/>
              <w:widowControl w:val="0"/>
              <w:suppressAutoHyphens w:val="0"/>
              <w:spacing w:before="0" w:after="0" w:line="240" w:lineRule="auto"/>
            </w:pPr>
          </w:p>
        </w:tc>
        <w:tc>
          <w:tcPr>
            <w:tcW w:w="445" w:type="pct"/>
            <w:vMerge/>
          </w:tcPr>
          <w:p w14:paraId="1155CD89" w14:textId="77777777" w:rsidR="00CE1436" w:rsidRPr="00F33F63" w:rsidRDefault="00CE1436" w:rsidP="00444693">
            <w:pPr>
              <w:pStyle w:val="TableText"/>
              <w:widowControl w:val="0"/>
              <w:suppressAutoHyphens w:val="0"/>
              <w:spacing w:before="0" w:after="0" w:line="240" w:lineRule="auto"/>
            </w:pPr>
          </w:p>
        </w:tc>
        <w:tc>
          <w:tcPr>
            <w:tcW w:w="520" w:type="pct"/>
          </w:tcPr>
          <w:p w14:paraId="23BAC54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F2E2933"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38EF7A85"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563C16D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A45C7E4"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42126B17" w14:textId="77777777" w:rsidR="00CE1436" w:rsidRPr="0075407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57A33575" w14:textId="77777777" w:rsidR="00CE1436" w:rsidRPr="003203B5" w:rsidRDefault="00CE1436" w:rsidP="00444693">
            <w:pPr>
              <w:pStyle w:val="TableText"/>
              <w:widowControl w:val="0"/>
              <w:suppressAutoHyphens w:val="0"/>
              <w:spacing w:before="0" w:after="0" w:line="240" w:lineRule="auto"/>
              <w:jc w:val="center"/>
            </w:pPr>
            <w:r>
              <w:rPr>
                <w:color w:val="1A1B1A"/>
                <w:szCs w:val="17"/>
              </w:rPr>
              <w:t>0.34</w:t>
            </w:r>
          </w:p>
        </w:tc>
        <w:tc>
          <w:tcPr>
            <w:tcW w:w="312" w:type="pct"/>
            <w:vAlign w:val="center"/>
          </w:tcPr>
          <w:p w14:paraId="2B46BD1F"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3D20C27" w14:textId="77777777" w:rsidR="00CE1436" w:rsidRPr="0023247F" w:rsidRDefault="00CE1436" w:rsidP="00444693">
            <w:pPr>
              <w:pStyle w:val="TableText"/>
              <w:widowControl w:val="0"/>
              <w:suppressAutoHyphens w:val="0"/>
              <w:spacing w:before="0" w:after="0" w:line="240" w:lineRule="auto"/>
              <w:jc w:val="center"/>
            </w:pPr>
            <w:r>
              <w:rPr>
                <w:color w:val="1A1B1A"/>
                <w:szCs w:val="17"/>
              </w:rPr>
              <w:t>0.13</w:t>
            </w:r>
          </w:p>
        </w:tc>
        <w:tc>
          <w:tcPr>
            <w:tcW w:w="310" w:type="pct"/>
            <w:vAlign w:val="center"/>
          </w:tcPr>
          <w:p w14:paraId="3C290F5B" w14:textId="77777777" w:rsidR="00CE1436" w:rsidRPr="0023247F"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6D6DC6FF" w14:textId="77777777" w:rsidTr="00444693">
        <w:trPr>
          <w:cantSplit/>
          <w:trHeight w:val="13"/>
        </w:trPr>
        <w:tc>
          <w:tcPr>
            <w:tcW w:w="521" w:type="pct"/>
            <w:vMerge/>
          </w:tcPr>
          <w:p w14:paraId="1FD9787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4EFB549"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B0AB0F9" w14:textId="77777777" w:rsidR="00CE1436" w:rsidRPr="00F33F63" w:rsidRDefault="00CE1436" w:rsidP="00444693">
            <w:pPr>
              <w:pStyle w:val="TableText"/>
              <w:widowControl w:val="0"/>
              <w:suppressAutoHyphens w:val="0"/>
              <w:spacing w:before="0" w:after="0" w:line="240" w:lineRule="auto"/>
            </w:pPr>
          </w:p>
        </w:tc>
        <w:tc>
          <w:tcPr>
            <w:tcW w:w="520" w:type="pct"/>
          </w:tcPr>
          <w:p w14:paraId="5434193F"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DB96917" w14:textId="77777777" w:rsidR="00CE1436" w:rsidRPr="00E35413" w:rsidRDefault="00CE1436" w:rsidP="00444693">
            <w:pPr>
              <w:pStyle w:val="TableText"/>
              <w:widowControl w:val="0"/>
              <w:suppressAutoHyphens w:val="0"/>
              <w:spacing w:before="0" w:after="0" w:line="240" w:lineRule="auto"/>
              <w:jc w:val="center"/>
            </w:pPr>
            <w:r w:rsidRPr="00C342E6">
              <w:t>11.3</w:t>
            </w:r>
          </w:p>
        </w:tc>
        <w:tc>
          <w:tcPr>
            <w:tcW w:w="296" w:type="pct"/>
          </w:tcPr>
          <w:p w14:paraId="7D018413" w14:textId="77777777" w:rsidR="00CE1436" w:rsidRPr="00886278" w:rsidRDefault="00CE1436" w:rsidP="00444693">
            <w:pPr>
              <w:pStyle w:val="TableText"/>
              <w:widowControl w:val="0"/>
              <w:suppressAutoHyphens w:val="0"/>
              <w:spacing w:before="0" w:after="0" w:line="240" w:lineRule="auto"/>
              <w:jc w:val="center"/>
              <w:rPr>
                <w:szCs w:val="17"/>
              </w:rPr>
            </w:pPr>
            <w:r>
              <w:t>173</w:t>
            </w:r>
          </w:p>
        </w:tc>
        <w:tc>
          <w:tcPr>
            <w:tcW w:w="312" w:type="pct"/>
          </w:tcPr>
          <w:p w14:paraId="3E34BC52"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8297387"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3941BE70"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2A33919A"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0.29</w:t>
            </w:r>
          </w:p>
        </w:tc>
        <w:tc>
          <w:tcPr>
            <w:tcW w:w="312" w:type="pct"/>
            <w:vAlign w:val="center"/>
          </w:tcPr>
          <w:p w14:paraId="17657C4B"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B5DF754" w14:textId="77777777" w:rsidR="00CE1436" w:rsidRPr="00886278" w:rsidRDefault="00CE1436" w:rsidP="00444693">
            <w:pPr>
              <w:pStyle w:val="TableText"/>
              <w:widowControl w:val="0"/>
              <w:suppressAutoHyphens w:val="0"/>
              <w:spacing w:before="0" w:after="0" w:line="240" w:lineRule="auto"/>
              <w:jc w:val="center"/>
            </w:pPr>
            <w:r>
              <w:rPr>
                <w:color w:val="1A1B1A"/>
                <w:szCs w:val="17"/>
              </w:rPr>
              <w:t>0.11</w:t>
            </w:r>
          </w:p>
        </w:tc>
        <w:tc>
          <w:tcPr>
            <w:tcW w:w="310" w:type="pct"/>
            <w:vAlign w:val="center"/>
          </w:tcPr>
          <w:p w14:paraId="4EE62031"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090E26E4" w14:textId="77777777" w:rsidTr="00444693">
        <w:trPr>
          <w:cantSplit/>
          <w:trHeight w:val="13"/>
        </w:trPr>
        <w:tc>
          <w:tcPr>
            <w:tcW w:w="521" w:type="pct"/>
            <w:vMerge/>
          </w:tcPr>
          <w:p w14:paraId="2778249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7217E2A"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AF1F702" w14:textId="77777777" w:rsidR="00CE1436" w:rsidRPr="00F33F63" w:rsidRDefault="00CE1436" w:rsidP="00444693">
            <w:pPr>
              <w:pStyle w:val="TableText"/>
              <w:widowControl w:val="0"/>
              <w:suppressAutoHyphens w:val="0"/>
              <w:spacing w:before="0" w:after="0" w:line="240" w:lineRule="auto"/>
            </w:pPr>
          </w:p>
        </w:tc>
        <w:tc>
          <w:tcPr>
            <w:tcW w:w="520" w:type="pct"/>
          </w:tcPr>
          <w:p w14:paraId="5F9DFB31"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4ABA5D31"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Pr>
          <w:p w14:paraId="6A960B32" w14:textId="77777777" w:rsidR="00CE1436" w:rsidRPr="00886278" w:rsidRDefault="00CE1436" w:rsidP="00444693">
            <w:pPr>
              <w:pStyle w:val="TableText"/>
              <w:widowControl w:val="0"/>
              <w:suppressAutoHyphens w:val="0"/>
              <w:spacing w:before="0" w:after="0" w:line="240" w:lineRule="auto"/>
              <w:jc w:val="center"/>
              <w:rPr>
                <w:szCs w:val="17"/>
              </w:rPr>
            </w:pPr>
            <w:r>
              <w:t>165</w:t>
            </w:r>
          </w:p>
        </w:tc>
        <w:tc>
          <w:tcPr>
            <w:tcW w:w="312" w:type="pct"/>
          </w:tcPr>
          <w:p w14:paraId="19387AA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26C6D57A"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34F87D9E"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3BF7D72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0.28</w:t>
            </w:r>
          </w:p>
        </w:tc>
        <w:tc>
          <w:tcPr>
            <w:tcW w:w="312" w:type="pct"/>
            <w:vAlign w:val="center"/>
          </w:tcPr>
          <w:p w14:paraId="2E053128"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83BA466" w14:textId="77777777" w:rsidR="00CE1436" w:rsidRPr="00886278" w:rsidRDefault="00CE1436" w:rsidP="00444693">
            <w:pPr>
              <w:pStyle w:val="TableText"/>
              <w:widowControl w:val="0"/>
              <w:suppressAutoHyphens w:val="0"/>
              <w:spacing w:before="0" w:after="0" w:line="240" w:lineRule="auto"/>
              <w:jc w:val="center"/>
            </w:pPr>
            <w:r>
              <w:rPr>
                <w:color w:val="1A1B1A"/>
                <w:szCs w:val="17"/>
              </w:rPr>
              <w:t>0.10</w:t>
            </w:r>
          </w:p>
        </w:tc>
        <w:tc>
          <w:tcPr>
            <w:tcW w:w="310" w:type="pct"/>
            <w:vAlign w:val="center"/>
          </w:tcPr>
          <w:p w14:paraId="431EA0DD"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3B65B470" w14:textId="77777777" w:rsidTr="00444693">
        <w:trPr>
          <w:cantSplit/>
          <w:trHeight w:val="13"/>
        </w:trPr>
        <w:tc>
          <w:tcPr>
            <w:tcW w:w="521" w:type="pct"/>
            <w:vMerge/>
          </w:tcPr>
          <w:p w14:paraId="7EF69BD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5C49A7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72666C51" w14:textId="77777777" w:rsidR="00CE1436" w:rsidRPr="00F33F63" w:rsidRDefault="00CE1436" w:rsidP="00444693">
            <w:pPr>
              <w:pStyle w:val="TableText"/>
              <w:widowControl w:val="0"/>
              <w:suppressAutoHyphens w:val="0"/>
              <w:spacing w:before="0" w:after="0" w:line="240" w:lineRule="auto"/>
            </w:pPr>
          </w:p>
        </w:tc>
        <w:tc>
          <w:tcPr>
            <w:tcW w:w="520" w:type="pct"/>
          </w:tcPr>
          <w:p w14:paraId="5E565C41"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21E1B21"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Pr>
          <w:p w14:paraId="4803A1F2" w14:textId="77777777" w:rsidR="00CE1436" w:rsidRPr="00886278" w:rsidRDefault="00CE1436" w:rsidP="00444693">
            <w:pPr>
              <w:pStyle w:val="TableText"/>
              <w:widowControl w:val="0"/>
              <w:suppressAutoHyphens w:val="0"/>
              <w:spacing w:before="0" w:after="0" w:line="240" w:lineRule="auto"/>
              <w:jc w:val="center"/>
              <w:rPr>
                <w:szCs w:val="17"/>
              </w:rPr>
            </w:pPr>
            <w:r>
              <w:t>160</w:t>
            </w:r>
          </w:p>
        </w:tc>
        <w:tc>
          <w:tcPr>
            <w:tcW w:w="312" w:type="pct"/>
          </w:tcPr>
          <w:p w14:paraId="4E689C6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E44ECF1"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5542A501"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78C0EDD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0.27</w:t>
            </w:r>
          </w:p>
        </w:tc>
        <w:tc>
          <w:tcPr>
            <w:tcW w:w="312" w:type="pct"/>
            <w:vAlign w:val="center"/>
          </w:tcPr>
          <w:p w14:paraId="1C70CF62"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2ED0B5B3" w14:textId="77777777" w:rsidR="00CE1436" w:rsidRPr="00886278" w:rsidRDefault="00CE1436" w:rsidP="00444693">
            <w:pPr>
              <w:pStyle w:val="TableText"/>
              <w:widowControl w:val="0"/>
              <w:suppressAutoHyphens w:val="0"/>
              <w:spacing w:before="0" w:after="0" w:line="240" w:lineRule="auto"/>
              <w:jc w:val="center"/>
            </w:pPr>
            <w:r>
              <w:rPr>
                <w:color w:val="1A1B1A"/>
                <w:szCs w:val="17"/>
              </w:rPr>
              <w:t>0.10</w:t>
            </w:r>
          </w:p>
        </w:tc>
        <w:tc>
          <w:tcPr>
            <w:tcW w:w="310" w:type="pct"/>
            <w:vAlign w:val="center"/>
          </w:tcPr>
          <w:p w14:paraId="17D7585D"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68DBEEB5" w14:textId="77777777" w:rsidTr="00444693">
        <w:trPr>
          <w:cantSplit/>
          <w:trHeight w:val="13"/>
        </w:trPr>
        <w:tc>
          <w:tcPr>
            <w:tcW w:w="521" w:type="pct"/>
            <w:vMerge/>
          </w:tcPr>
          <w:p w14:paraId="47C7FF8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EA3E6BE" w14:textId="77777777" w:rsidR="00CE1436" w:rsidRPr="00C13A11" w:rsidRDefault="00CE1436" w:rsidP="00444693">
            <w:pPr>
              <w:pStyle w:val="TableText"/>
              <w:widowControl w:val="0"/>
              <w:suppressAutoHyphens w:val="0"/>
              <w:spacing w:before="0" w:after="0" w:line="240" w:lineRule="auto"/>
            </w:pPr>
          </w:p>
        </w:tc>
        <w:tc>
          <w:tcPr>
            <w:tcW w:w="445" w:type="pct"/>
            <w:vMerge/>
          </w:tcPr>
          <w:p w14:paraId="50D7E00A" w14:textId="77777777" w:rsidR="00CE1436" w:rsidRPr="00F33F63" w:rsidRDefault="00CE1436" w:rsidP="00444693">
            <w:pPr>
              <w:pStyle w:val="TableText"/>
              <w:widowControl w:val="0"/>
              <w:suppressAutoHyphens w:val="0"/>
              <w:spacing w:before="0" w:after="0" w:line="240" w:lineRule="auto"/>
            </w:pPr>
          </w:p>
        </w:tc>
        <w:tc>
          <w:tcPr>
            <w:tcW w:w="520" w:type="pct"/>
          </w:tcPr>
          <w:p w14:paraId="04BAB16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933B69A"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Pr>
          <w:p w14:paraId="1FF0D5B0" w14:textId="77777777" w:rsidR="00CE1436" w:rsidRPr="00886278" w:rsidRDefault="00CE1436" w:rsidP="00444693">
            <w:pPr>
              <w:pStyle w:val="TableText"/>
              <w:widowControl w:val="0"/>
              <w:suppressAutoHyphens w:val="0"/>
              <w:spacing w:before="0" w:after="0" w:line="240" w:lineRule="auto"/>
              <w:jc w:val="center"/>
              <w:rPr>
                <w:szCs w:val="17"/>
              </w:rPr>
            </w:pPr>
            <w:r>
              <w:t>150</w:t>
            </w:r>
          </w:p>
        </w:tc>
        <w:tc>
          <w:tcPr>
            <w:tcW w:w="312" w:type="pct"/>
          </w:tcPr>
          <w:p w14:paraId="75428D10"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52A8DA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1C884C35"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33E0444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0.25</w:t>
            </w:r>
          </w:p>
        </w:tc>
        <w:tc>
          <w:tcPr>
            <w:tcW w:w="312" w:type="pct"/>
            <w:vAlign w:val="center"/>
          </w:tcPr>
          <w:p w14:paraId="3DA73187"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223DF8F" w14:textId="77777777" w:rsidR="00CE1436" w:rsidRPr="00886278" w:rsidRDefault="00CE1436" w:rsidP="00444693">
            <w:pPr>
              <w:pStyle w:val="TableText"/>
              <w:widowControl w:val="0"/>
              <w:suppressAutoHyphens w:val="0"/>
              <w:spacing w:before="0" w:after="0" w:line="240" w:lineRule="auto"/>
              <w:jc w:val="center"/>
            </w:pPr>
            <w:r>
              <w:rPr>
                <w:color w:val="1A1B1A"/>
                <w:szCs w:val="17"/>
              </w:rPr>
              <w:t>0.09</w:t>
            </w:r>
          </w:p>
        </w:tc>
        <w:tc>
          <w:tcPr>
            <w:tcW w:w="310" w:type="pct"/>
            <w:vAlign w:val="center"/>
          </w:tcPr>
          <w:p w14:paraId="454450C8"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115CF6A4" w14:textId="77777777" w:rsidTr="00444693">
        <w:trPr>
          <w:cantSplit/>
          <w:trHeight w:val="13"/>
        </w:trPr>
        <w:tc>
          <w:tcPr>
            <w:tcW w:w="521" w:type="pct"/>
            <w:vMerge/>
          </w:tcPr>
          <w:p w14:paraId="58617EB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F4791C5" w14:textId="77777777" w:rsidR="00CE1436" w:rsidRPr="00C13A11" w:rsidRDefault="00CE1436" w:rsidP="00444693">
            <w:pPr>
              <w:pStyle w:val="TableText"/>
              <w:widowControl w:val="0"/>
              <w:suppressAutoHyphens w:val="0"/>
              <w:spacing w:before="0" w:after="0" w:line="240" w:lineRule="auto"/>
            </w:pPr>
          </w:p>
        </w:tc>
        <w:tc>
          <w:tcPr>
            <w:tcW w:w="445" w:type="pct"/>
            <w:vMerge/>
          </w:tcPr>
          <w:p w14:paraId="67AFF121" w14:textId="77777777" w:rsidR="00CE1436" w:rsidRPr="00F33F63" w:rsidRDefault="00CE1436" w:rsidP="00444693">
            <w:pPr>
              <w:pStyle w:val="TableText"/>
              <w:widowControl w:val="0"/>
              <w:suppressAutoHyphens w:val="0"/>
              <w:spacing w:before="0" w:after="0" w:line="240" w:lineRule="auto"/>
            </w:pPr>
          </w:p>
        </w:tc>
        <w:tc>
          <w:tcPr>
            <w:tcW w:w="520" w:type="pct"/>
          </w:tcPr>
          <w:p w14:paraId="63C27287"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35B08254"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Pr>
          <w:p w14:paraId="4F84AFD3" w14:textId="77777777" w:rsidR="00CE1436" w:rsidRPr="00886278" w:rsidRDefault="00CE1436" w:rsidP="00444693">
            <w:pPr>
              <w:pStyle w:val="TableText"/>
              <w:widowControl w:val="0"/>
              <w:suppressAutoHyphens w:val="0"/>
              <w:spacing w:before="0" w:after="0" w:line="240" w:lineRule="auto"/>
              <w:jc w:val="center"/>
              <w:rPr>
                <w:szCs w:val="17"/>
              </w:rPr>
            </w:pPr>
            <w:r>
              <w:t>108</w:t>
            </w:r>
          </w:p>
        </w:tc>
        <w:tc>
          <w:tcPr>
            <w:tcW w:w="312" w:type="pct"/>
          </w:tcPr>
          <w:p w14:paraId="305A0D4A"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9BCAF5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269F862E"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50EB69E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0.18</w:t>
            </w:r>
          </w:p>
        </w:tc>
        <w:tc>
          <w:tcPr>
            <w:tcW w:w="312" w:type="pct"/>
            <w:vAlign w:val="center"/>
          </w:tcPr>
          <w:p w14:paraId="724B936B"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58636668" w14:textId="77777777" w:rsidR="00CE1436" w:rsidRPr="00886278" w:rsidRDefault="00CE1436" w:rsidP="00444693">
            <w:pPr>
              <w:pStyle w:val="TableText"/>
              <w:widowControl w:val="0"/>
              <w:suppressAutoHyphens w:val="0"/>
              <w:spacing w:before="0" w:after="0" w:line="240" w:lineRule="auto"/>
              <w:jc w:val="center"/>
            </w:pPr>
            <w:r>
              <w:rPr>
                <w:color w:val="1A1B1A"/>
                <w:szCs w:val="17"/>
              </w:rPr>
              <w:t>0.07</w:t>
            </w:r>
          </w:p>
        </w:tc>
        <w:tc>
          <w:tcPr>
            <w:tcW w:w="310" w:type="pct"/>
            <w:vAlign w:val="center"/>
          </w:tcPr>
          <w:p w14:paraId="785C8B67"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7BB31B47" w14:textId="77777777" w:rsidTr="00444693">
        <w:trPr>
          <w:cantSplit/>
          <w:trHeight w:val="13"/>
        </w:trPr>
        <w:tc>
          <w:tcPr>
            <w:tcW w:w="521" w:type="pct"/>
            <w:vMerge/>
          </w:tcPr>
          <w:p w14:paraId="366EADB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F0C4CC1" w14:textId="77777777" w:rsidR="00CE1436" w:rsidRPr="00C13A11" w:rsidRDefault="00CE1436" w:rsidP="00444693">
            <w:pPr>
              <w:pStyle w:val="TableText"/>
              <w:widowControl w:val="0"/>
              <w:suppressAutoHyphens w:val="0"/>
              <w:spacing w:before="0" w:after="0" w:line="240" w:lineRule="auto"/>
            </w:pPr>
          </w:p>
        </w:tc>
        <w:tc>
          <w:tcPr>
            <w:tcW w:w="445" w:type="pct"/>
            <w:vMerge/>
          </w:tcPr>
          <w:p w14:paraId="25E9762F" w14:textId="77777777" w:rsidR="00CE1436" w:rsidRPr="00F33F63" w:rsidRDefault="00CE1436" w:rsidP="00444693">
            <w:pPr>
              <w:pStyle w:val="TableText"/>
              <w:widowControl w:val="0"/>
              <w:suppressAutoHyphens w:val="0"/>
              <w:spacing w:before="0" w:after="0" w:line="240" w:lineRule="auto"/>
            </w:pPr>
          </w:p>
        </w:tc>
        <w:tc>
          <w:tcPr>
            <w:tcW w:w="520" w:type="pct"/>
          </w:tcPr>
          <w:p w14:paraId="0867BC66"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EB347EF"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Pr>
          <w:p w14:paraId="0EDB5C1E" w14:textId="77777777" w:rsidR="00CE1436" w:rsidRPr="00886278" w:rsidRDefault="00CE1436" w:rsidP="00444693">
            <w:pPr>
              <w:pStyle w:val="TableText"/>
              <w:widowControl w:val="0"/>
              <w:suppressAutoHyphens w:val="0"/>
              <w:spacing w:before="0" w:after="0" w:line="240" w:lineRule="auto"/>
              <w:jc w:val="center"/>
              <w:rPr>
                <w:szCs w:val="17"/>
              </w:rPr>
            </w:pPr>
            <w:r>
              <w:t>100</w:t>
            </w:r>
          </w:p>
        </w:tc>
        <w:tc>
          <w:tcPr>
            <w:tcW w:w="312" w:type="pct"/>
          </w:tcPr>
          <w:p w14:paraId="10699888"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E0D64A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shd w:val="clear" w:color="auto" w:fill="D5D7D5" w:themeFill="text1" w:themeFillTint="33"/>
          </w:tcPr>
          <w:p w14:paraId="22DA82C7"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vAlign w:val="center"/>
          </w:tcPr>
          <w:p w14:paraId="33D7E3A9"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0.17</w:t>
            </w:r>
          </w:p>
        </w:tc>
        <w:tc>
          <w:tcPr>
            <w:tcW w:w="312" w:type="pct"/>
            <w:vAlign w:val="center"/>
          </w:tcPr>
          <w:p w14:paraId="7C459C4A"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vAlign w:val="center"/>
          </w:tcPr>
          <w:p w14:paraId="1589B12E" w14:textId="77777777" w:rsidR="00CE1436" w:rsidRPr="00886278" w:rsidRDefault="00CE1436" w:rsidP="00444693">
            <w:pPr>
              <w:pStyle w:val="TableText"/>
              <w:widowControl w:val="0"/>
              <w:suppressAutoHyphens w:val="0"/>
              <w:spacing w:before="0" w:after="0" w:line="240" w:lineRule="auto"/>
              <w:jc w:val="center"/>
            </w:pPr>
            <w:r>
              <w:rPr>
                <w:color w:val="1A1B1A"/>
                <w:szCs w:val="17"/>
              </w:rPr>
              <w:t>0.06</w:t>
            </w:r>
          </w:p>
        </w:tc>
        <w:tc>
          <w:tcPr>
            <w:tcW w:w="310" w:type="pct"/>
            <w:vAlign w:val="center"/>
          </w:tcPr>
          <w:p w14:paraId="5E5EF392"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886278" w14:paraId="23D5B38F" w14:textId="77777777" w:rsidTr="00444693">
        <w:trPr>
          <w:cantSplit/>
          <w:trHeight w:val="13"/>
        </w:trPr>
        <w:tc>
          <w:tcPr>
            <w:tcW w:w="521" w:type="pct"/>
            <w:vMerge/>
            <w:tcBorders>
              <w:bottom w:val="single" w:sz="4" w:space="0" w:color="auto"/>
            </w:tcBorders>
          </w:tcPr>
          <w:p w14:paraId="212A5A9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70E15C8B"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10A8219B" w14:textId="77777777" w:rsidR="00CE1436" w:rsidRPr="00F33F63"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1D1DFA5F" w14:textId="77777777" w:rsidR="00CE1436"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221AD7CB" w14:textId="77777777" w:rsidR="00CE1436" w:rsidRPr="00E35413" w:rsidRDefault="00CE1436" w:rsidP="00444693">
            <w:pPr>
              <w:pStyle w:val="TableText"/>
              <w:widowControl w:val="0"/>
              <w:suppressAutoHyphens w:val="0"/>
              <w:spacing w:before="0" w:after="0" w:line="240" w:lineRule="auto"/>
              <w:jc w:val="center"/>
            </w:pPr>
            <w:r w:rsidRPr="00E35413">
              <w:t>11.3</w:t>
            </w:r>
          </w:p>
        </w:tc>
        <w:tc>
          <w:tcPr>
            <w:tcW w:w="296" w:type="pct"/>
            <w:tcBorders>
              <w:bottom w:val="single" w:sz="4" w:space="0" w:color="auto"/>
            </w:tcBorders>
          </w:tcPr>
          <w:p w14:paraId="7AD552F2" w14:textId="77777777" w:rsidR="00CE1436" w:rsidRPr="00886278" w:rsidRDefault="00CE1436" w:rsidP="00444693">
            <w:pPr>
              <w:pStyle w:val="TableText"/>
              <w:widowControl w:val="0"/>
              <w:suppressAutoHyphens w:val="0"/>
              <w:spacing w:before="0" w:after="0" w:line="240" w:lineRule="auto"/>
              <w:jc w:val="center"/>
              <w:rPr>
                <w:szCs w:val="17"/>
              </w:rPr>
            </w:pPr>
            <w:r>
              <w:t>75</w:t>
            </w:r>
          </w:p>
        </w:tc>
        <w:tc>
          <w:tcPr>
            <w:tcW w:w="312" w:type="pct"/>
            <w:tcBorders>
              <w:bottom w:val="single" w:sz="4" w:space="0" w:color="auto"/>
            </w:tcBorders>
          </w:tcPr>
          <w:p w14:paraId="64DC03B3"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6786D88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bottom w:val="single" w:sz="4" w:space="0" w:color="auto"/>
            </w:tcBorders>
            <w:shd w:val="clear" w:color="auto" w:fill="D5D7D5" w:themeFill="text1" w:themeFillTint="33"/>
          </w:tcPr>
          <w:p w14:paraId="3B2E49A1" w14:textId="77777777" w:rsidR="00CE1436" w:rsidRDefault="00CE1436" w:rsidP="00444693">
            <w:pPr>
              <w:pStyle w:val="TableText"/>
              <w:widowControl w:val="0"/>
              <w:suppressAutoHyphens w:val="0"/>
              <w:spacing w:before="0" w:after="0" w:line="240" w:lineRule="auto"/>
              <w:jc w:val="center"/>
              <w:rPr>
                <w:szCs w:val="17"/>
              </w:rPr>
            </w:pPr>
            <w:r w:rsidRPr="00C911F9">
              <w:rPr>
                <w:szCs w:val="17"/>
              </w:rPr>
              <w:t>0.30</w:t>
            </w:r>
            <w:r w:rsidRPr="00C911F9">
              <w:rPr>
                <w:szCs w:val="17"/>
                <w:vertAlign w:val="superscript"/>
              </w:rPr>
              <w:t>a</w:t>
            </w:r>
          </w:p>
        </w:tc>
        <w:tc>
          <w:tcPr>
            <w:tcW w:w="312" w:type="pct"/>
            <w:tcBorders>
              <w:bottom w:val="single" w:sz="4" w:space="0" w:color="auto"/>
            </w:tcBorders>
            <w:vAlign w:val="center"/>
          </w:tcPr>
          <w:p w14:paraId="79CB660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0.13</w:t>
            </w:r>
          </w:p>
        </w:tc>
        <w:tc>
          <w:tcPr>
            <w:tcW w:w="312" w:type="pct"/>
            <w:tcBorders>
              <w:bottom w:val="single" w:sz="4" w:space="0" w:color="auto"/>
            </w:tcBorders>
            <w:vAlign w:val="center"/>
          </w:tcPr>
          <w:p w14:paraId="0B14F6E7" w14:textId="77777777" w:rsidR="00CE1436" w:rsidRDefault="00CE1436" w:rsidP="00444693">
            <w:pPr>
              <w:pStyle w:val="TableText"/>
              <w:widowControl w:val="0"/>
              <w:suppressAutoHyphens w:val="0"/>
              <w:spacing w:before="0" w:after="0" w:line="240" w:lineRule="auto"/>
              <w:jc w:val="center"/>
            </w:pPr>
            <w:r>
              <w:rPr>
                <w:color w:val="1A1B1A"/>
                <w:szCs w:val="17"/>
              </w:rPr>
              <w:t>2.7</w:t>
            </w:r>
          </w:p>
        </w:tc>
        <w:tc>
          <w:tcPr>
            <w:tcW w:w="312" w:type="pct"/>
            <w:tcBorders>
              <w:bottom w:val="single" w:sz="4" w:space="0" w:color="auto"/>
            </w:tcBorders>
            <w:vAlign w:val="center"/>
          </w:tcPr>
          <w:p w14:paraId="3E50BAC9" w14:textId="77777777" w:rsidR="00CE1436" w:rsidRPr="00886278" w:rsidRDefault="00CE1436" w:rsidP="00444693">
            <w:pPr>
              <w:pStyle w:val="TableText"/>
              <w:widowControl w:val="0"/>
              <w:suppressAutoHyphens w:val="0"/>
              <w:spacing w:before="0" w:after="0" w:line="240" w:lineRule="auto"/>
              <w:jc w:val="center"/>
            </w:pPr>
            <w:r>
              <w:rPr>
                <w:color w:val="1A1B1A"/>
                <w:szCs w:val="17"/>
              </w:rPr>
              <w:t>0.05</w:t>
            </w:r>
          </w:p>
        </w:tc>
        <w:tc>
          <w:tcPr>
            <w:tcW w:w="310" w:type="pct"/>
            <w:tcBorders>
              <w:bottom w:val="single" w:sz="4" w:space="0" w:color="auto"/>
            </w:tcBorders>
            <w:vAlign w:val="center"/>
          </w:tcPr>
          <w:p w14:paraId="3A1A73B5" w14:textId="77777777" w:rsidR="00CE1436" w:rsidRPr="00886278" w:rsidRDefault="00CE1436" w:rsidP="00444693">
            <w:pPr>
              <w:pStyle w:val="TableText"/>
              <w:widowControl w:val="0"/>
              <w:suppressAutoHyphens w:val="0"/>
              <w:spacing w:before="0" w:after="0" w:line="240" w:lineRule="auto"/>
              <w:jc w:val="center"/>
            </w:pPr>
            <w:r>
              <w:rPr>
                <w:color w:val="1A1B1A"/>
                <w:szCs w:val="17"/>
              </w:rPr>
              <w:t>1593</w:t>
            </w:r>
          </w:p>
        </w:tc>
      </w:tr>
      <w:tr w:rsidR="00CE1436" w:rsidRPr="0023247F" w14:paraId="7D65033D" w14:textId="77777777" w:rsidTr="00444693">
        <w:trPr>
          <w:cantSplit/>
          <w:trHeight w:val="13"/>
        </w:trPr>
        <w:tc>
          <w:tcPr>
            <w:tcW w:w="5000" w:type="pct"/>
            <w:gridSpan w:val="13"/>
            <w:tcBorders>
              <w:top w:val="single" w:sz="4" w:space="0" w:color="auto"/>
              <w:bottom w:val="single" w:sz="4" w:space="0" w:color="auto"/>
            </w:tcBorders>
          </w:tcPr>
          <w:p w14:paraId="58562F64" w14:textId="77777777" w:rsidR="00CE1436" w:rsidRPr="0023247F" w:rsidRDefault="00CE1436" w:rsidP="00AC06D7">
            <w:pPr>
              <w:pStyle w:val="TableSubHead0"/>
            </w:pPr>
            <w:r>
              <w:lastRenderedPageBreak/>
              <w:t>General weed control in lucerne (ungrazed before application)</w:t>
            </w:r>
          </w:p>
        </w:tc>
      </w:tr>
      <w:tr w:rsidR="00CE1436" w:rsidRPr="00886278" w14:paraId="3C4098EB" w14:textId="77777777" w:rsidTr="00444693">
        <w:trPr>
          <w:cantSplit/>
          <w:trHeight w:val="13"/>
        </w:trPr>
        <w:tc>
          <w:tcPr>
            <w:tcW w:w="521" w:type="pct"/>
            <w:vMerge w:val="restart"/>
            <w:tcBorders>
              <w:top w:val="single" w:sz="4" w:space="0" w:color="auto"/>
            </w:tcBorders>
          </w:tcPr>
          <w:p w14:paraId="273A3B4A" w14:textId="77777777" w:rsidR="00CE1436" w:rsidRPr="00886278" w:rsidRDefault="00CE1436" w:rsidP="00444693">
            <w:pPr>
              <w:pStyle w:val="TableText"/>
              <w:widowControl w:val="0"/>
              <w:suppressAutoHyphens w:val="0"/>
              <w:spacing w:before="0" w:after="0" w:line="240" w:lineRule="auto"/>
              <w:rPr>
                <w:szCs w:val="17"/>
              </w:rPr>
            </w:pPr>
            <w:r>
              <w:rPr>
                <w:szCs w:val="17"/>
              </w:rPr>
              <w:t>Legume forage</w:t>
            </w:r>
          </w:p>
        </w:tc>
        <w:tc>
          <w:tcPr>
            <w:tcW w:w="589" w:type="pct"/>
            <w:vMerge w:val="restart"/>
            <w:tcBorders>
              <w:top w:val="single" w:sz="4" w:space="0" w:color="auto"/>
            </w:tcBorders>
          </w:tcPr>
          <w:p w14:paraId="000150BE" w14:textId="77777777" w:rsidR="00CE1436" w:rsidRPr="00886278" w:rsidRDefault="00CE1436" w:rsidP="00444693">
            <w:pPr>
              <w:pStyle w:val="TableText"/>
              <w:widowControl w:val="0"/>
              <w:suppressAutoHyphens w:val="0"/>
              <w:spacing w:before="0" w:after="0" w:line="240" w:lineRule="auto"/>
              <w:rPr>
                <w:szCs w:val="17"/>
              </w:rPr>
            </w:pPr>
            <w:r w:rsidRPr="00C13A11">
              <w:t>Small insectivore</w:t>
            </w:r>
          </w:p>
        </w:tc>
        <w:tc>
          <w:tcPr>
            <w:tcW w:w="445" w:type="pct"/>
            <w:vMerge w:val="restart"/>
            <w:tcBorders>
              <w:top w:val="single" w:sz="4" w:space="0" w:color="auto"/>
            </w:tcBorders>
          </w:tcPr>
          <w:p w14:paraId="4D8327BE" w14:textId="77777777" w:rsidR="00CE1436" w:rsidRPr="00886278" w:rsidRDefault="00CE1436" w:rsidP="00444693">
            <w:pPr>
              <w:pStyle w:val="TableText"/>
              <w:widowControl w:val="0"/>
              <w:suppressAutoHyphens w:val="0"/>
              <w:spacing w:before="0" w:after="0" w:line="240" w:lineRule="auto"/>
              <w:rPr>
                <w:szCs w:val="17"/>
              </w:rPr>
            </w:pPr>
            <w:r>
              <w:rPr>
                <w:szCs w:val="17"/>
              </w:rPr>
              <w:t>BBCH ≥20</w:t>
            </w:r>
          </w:p>
        </w:tc>
        <w:tc>
          <w:tcPr>
            <w:tcW w:w="520" w:type="pct"/>
            <w:tcBorders>
              <w:top w:val="single" w:sz="4" w:space="0" w:color="auto"/>
            </w:tcBorders>
          </w:tcPr>
          <w:p w14:paraId="3B988FFF"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Acute</w:t>
            </w:r>
          </w:p>
        </w:tc>
        <w:tc>
          <w:tcPr>
            <w:tcW w:w="446" w:type="pct"/>
            <w:tcBorders>
              <w:top w:val="single" w:sz="4" w:space="0" w:color="auto"/>
            </w:tcBorders>
          </w:tcPr>
          <w:p w14:paraId="66D90785"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25.2</w:t>
            </w:r>
          </w:p>
        </w:tc>
        <w:tc>
          <w:tcPr>
            <w:tcW w:w="296" w:type="pct"/>
            <w:tcBorders>
              <w:top w:val="single" w:sz="4" w:space="0" w:color="auto"/>
            </w:tcBorders>
          </w:tcPr>
          <w:p w14:paraId="2F026A03"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600</w:t>
            </w:r>
          </w:p>
        </w:tc>
        <w:tc>
          <w:tcPr>
            <w:tcW w:w="312" w:type="pct"/>
            <w:tcBorders>
              <w:top w:val="single" w:sz="4" w:space="0" w:color="auto"/>
            </w:tcBorders>
          </w:tcPr>
          <w:p w14:paraId="0AA9AFC3"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2AC887EF"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6A13A939"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0F4FE1E7"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15</w:t>
            </w:r>
          </w:p>
        </w:tc>
        <w:tc>
          <w:tcPr>
            <w:tcW w:w="312" w:type="pct"/>
            <w:tcBorders>
              <w:top w:val="single" w:sz="4" w:space="0" w:color="auto"/>
            </w:tcBorders>
            <w:vAlign w:val="center"/>
          </w:tcPr>
          <w:p w14:paraId="069A0781"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5E1E9642"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2.7</w:t>
            </w:r>
          </w:p>
        </w:tc>
        <w:tc>
          <w:tcPr>
            <w:tcW w:w="310" w:type="pct"/>
            <w:tcBorders>
              <w:top w:val="single" w:sz="4" w:space="0" w:color="auto"/>
            </w:tcBorders>
            <w:vAlign w:val="center"/>
          </w:tcPr>
          <w:p w14:paraId="56775D3C" w14:textId="77777777" w:rsidR="00CE1436" w:rsidRPr="00886278" w:rsidRDefault="00CE1436" w:rsidP="00444693">
            <w:pPr>
              <w:pStyle w:val="TableText"/>
              <w:widowControl w:val="0"/>
              <w:suppressAutoHyphens w:val="0"/>
              <w:spacing w:before="0" w:after="0" w:line="240" w:lineRule="auto"/>
              <w:jc w:val="center"/>
            </w:pPr>
            <w:r>
              <w:rPr>
                <w:color w:val="1A1B1A"/>
                <w:szCs w:val="17"/>
              </w:rPr>
              <w:t>226</w:t>
            </w:r>
          </w:p>
        </w:tc>
      </w:tr>
      <w:tr w:rsidR="00CE1436" w:rsidRPr="0023247F" w14:paraId="3014868A" w14:textId="77777777" w:rsidTr="00444693">
        <w:trPr>
          <w:cantSplit/>
          <w:trHeight w:val="13"/>
        </w:trPr>
        <w:tc>
          <w:tcPr>
            <w:tcW w:w="521" w:type="pct"/>
            <w:vMerge/>
            <w:tcBorders>
              <w:bottom w:val="single" w:sz="4" w:space="0" w:color="auto"/>
            </w:tcBorders>
          </w:tcPr>
          <w:p w14:paraId="15374C36"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573691F"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379471E6" w14:textId="77777777" w:rsidR="00CE1436" w:rsidRDefault="00CE1436" w:rsidP="00444693">
            <w:pPr>
              <w:pStyle w:val="TableText"/>
              <w:widowControl w:val="0"/>
              <w:suppressAutoHyphens w:val="0"/>
              <w:spacing w:before="0" w:after="0" w:line="240" w:lineRule="auto"/>
              <w:rPr>
                <w:szCs w:val="17"/>
              </w:rPr>
            </w:pPr>
          </w:p>
        </w:tc>
        <w:tc>
          <w:tcPr>
            <w:tcW w:w="520" w:type="pct"/>
          </w:tcPr>
          <w:p w14:paraId="54E261C4"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BCD748C" w14:textId="77777777" w:rsidR="00CE1436" w:rsidRDefault="00CE1436" w:rsidP="00444693">
            <w:pPr>
              <w:pStyle w:val="TableText"/>
              <w:widowControl w:val="0"/>
              <w:suppressAutoHyphens w:val="0"/>
              <w:spacing w:before="0" w:after="0" w:line="240" w:lineRule="auto"/>
              <w:jc w:val="center"/>
              <w:rPr>
                <w:szCs w:val="17"/>
              </w:rPr>
            </w:pPr>
            <w:r>
              <w:rPr>
                <w:szCs w:val="17"/>
              </w:rPr>
              <w:t>25.2</w:t>
            </w:r>
          </w:p>
        </w:tc>
        <w:tc>
          <w:tcPr>
            <w:tcW w:w="296" w:type="pct"/>
          </w:tcPr>
          <w:p w14:paraId="63FCD841" w14:textId="77777777" w:rsidR="00CE1436" w:rsidRDefault="00CE1436" w:rsidP="00444693">
            <w:pPr>
              <w:pStyle w:val="TableText"/>
              <w:widowControl w:val="0"/>
              <w:suppressAutoHyphens w:val="0"/>
              <w:spacing w:before="0" w:after="0" w:line="240" w:lineRule="auto"/>
              <w:jc w:val="center"/>
              <w:rPr>
                <w:szCs w:val="17"/>
              </w:rPr>
            </w:pPr>
            <w:r>
              <w:rPr>
                <w:szCs w:val="17"/>
              </w:rPr>
              <w:t>595</w:t>
            </w:r>
          </w:p>
        </w:tc>
        <w:tc>
          <w:tcPr>
            <w:tcW w:w="312" w:type="pct"/>
          </w:tcPr>
          <w:p w14:paraId="760114B2"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283DDC3" w14:textId="77777777" w:rsidR="00CE1436" w:rsidRPr="00C44CF4"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7DF474D" w14:textId="77777777" w:rsidR="00CE1436" w:rsidRPr="00D4112C"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vAlign w:val="center"/>
          </w:tcPr>
          <w:p w14:paraId="0BBF1710" w14:textId="77777777" w:rsidR="00CE1436" w:rsidRPr="003203B5"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3CE47C3B"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47EBED9"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2.6</w:t>
            </w:r>
          </w:p>
        </w:tc>
        <w:tc>
          <w:tcPr>
            <w:tcW w:w="310" w:type="pct"/>
            <w:vAlign w:val="center"/>
          </w:tcPr>
          <w:p w14:paraId="2D6C5563" w14:textId="77777777" w:rsidR="00CE1436" w:rsidRPr="0023247F" w:rsidRDefault="00CE1436" w:rsidP="00444693">
            <w:pPr>
              <w:pStyle w:val="TableText"/>
              <w:widowControl w:val="0"/>
              <w:suppressAutoHyphens w:val="0"/>
              <w:spacing w:before="0" w:after="0" w:line="240" w:lineRule="auto"/>
              <w:jc w:val="center"/>
            </w:pPr>
            <w:r>
              <w:rPr>
                <w:color w:val="1A1B1A"/>
                <w:szCs w:val="17"/>
              </w:rPr>
              <w:t>226</w:t>
            </w:r>
          </w:p>
        </w:tc>
      </w:tr>
      <w:tr w:rsidR="00CE1436" w:rsidRPr="0023247F" w14:paraId="6BF0E59D" w14:textId="77777777" w:rsidTr="00444693">
        <w:trPr>
          <w:cantSplit/>
          <w:trHeight w:val="13"/>
        </w:trPr>
        <w:tc>
          <w:tcPr>
            <w:tcW w:w="521" w:type="pct"/>
            <w:vMerge/>
            <w:tcBorders>
              <w:bottom w:val="single" w:sz="4" w:space="0" w:color="auto"/>
            </w:tcBorders>
          </w:tcPr>
          <w:p w14:paraId="1E7A323A"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50E5A998"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15A813D9" w14:textId="77777777" w:rsidR="00CE1436" w:rsidRDefault="00CE1436" w:rsidP="00444693">
            <w:pPr>
              <w:pStyle w:val="TableText"/>
              <w:widowControl w:val="0"/>
              <w:suppressAutoHyphens w:val="0"/>
              <w:spacing w:before="0" w:after="0" w:line="240" w:lineRule="auto"/>
              <w:rPr>
                <w:szCs w:val="17"/>
              </w:rPr>
            </w:pPr>
          </w:p>
        </w:tc>
        <w:tc>
          <w:tcPr>
            <w:tcW w:w="520" w:type="pct"/>
          </w:tcPr>
          <w:p w14:paraId="6C0E2753"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76077D88" w14:textId="77777777" w:rsidR="00CE1436" w:rsidRDefault="00CE1436" w:rsidP="00444693">
            <w:pPr>
              <w:pStyle w:val="TableText"/>
              <w:widowControl w:val="0"/>
              <w:suppressAutoHyphens w:val="0"/>
              <w:spacing w:before="0" w:after="0" w:line="240" w:lineRule="auto"/>
              <w:jc w:val="center"/>
              <w:rPr>
                <w:szCs w:val="17"/>
              </w:rPr>
            </w:pPr>
            <w:r>
              <w:rPr>
                <w:szCs w:val="17"/>
              </w:rPr>
              <w:t>25.2</w:t>
            </w:r>
          </w:p>
        </w:tc>
        <w:tc>
          <w:tcPr>
            <w:tcW w:w="296" w:type="pct"/>
          </w:tcPr>
          <w:p w14:paraId="1867B748" w14:textId="77777777" w:rsidR="00CE1436"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Pr>
          <w:p w14:paraId="5DEEF5C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357F570" w14:textId="77777777" w:rsidR="00CE1436" w:rsidRPr="00C44CF4"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06FA639" w14:textId="77777777" w:rsidR="00CE1436" w:rsidRPr="00D4112C"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vAlign w:val="center"/>
          </w:tcPr>
          <w:p w14:paraId="6648BF0F" w14:textId="77777777" w:rsidR="00CE1436" w:rsidRPr="003203B5" w:rsidRDefault="00CE1436" w:rsidP="00444693">
            <w:pPr>
              <w:pStyle w:val="TableText"/>
              <w:widowControl w:val="0"/>
              <w:suppressAutoHyphens w:val="0"/>
              <w:spacing w:before="0" w:after="0" w:line="240" w:lineRule="auto"/>
              <w:jc w:val="center"/>
            </w:pPr>
            <w:r>
              <w:rPr>
                <w:color w:val="1A1B1A"/>
                <w:szCs w:val="17"/>
              </w:rPr>
              <w:t>10</w:t>
            </w:r>
          </w:p>
        </w:tc>
        <w:tc>
          <w:tcPr>
            <w:tcW w:w="312" w:type="pct"/>
            <w:vAlign w:val="center"/>
          </w:tcPr>
          <w:p w14:paraId="0FD680F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31D2C8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1.8</w:t>
            </w:r>
          </w:p>
        </w:tc>
        <w:tc>
          <w:tcPr>
            <w:tcW w:w="310" w:type="pct"/>
            <w:vAlign w:val="center"/>
          </w:tcPr>
          <w:p w14:paraId="01426A33" w14:textId="77777777" w:rsidR="00CE1436" w:rsidRPr="0023247F" w:rsidRDefault="00CE1436" w:rsidP="00444693">
            <w:pPr>
              <w:pStyle w:val="TableText"/>
              <w:widowControl w:val="0"/>
              <w:suppressAutoHyphens w:val="0"/>
              <w:spacing w:before="0" w:after="0" w:line="240" w:lineRule="auto"/>
              <w:jc w:val="center"/>
            </w:pPr>
            <w:r>
              <w:rPr>
                <w:color w:val="1A1B1A"/>
                <w:szCs w:val="17"/>
              </w:rPr>
              <w:t>226</w:t>
            </w:r>
          </w:p>
        </w:tc>
      </w:tr>
      <w:tr w:rsidR="00CE1436" w:rsidRPr="0023247F" w14:paraId="6932A25F" w14:textId="77777777" w:rsidTr="00444693">
        <w:trPr>
          <w:cantSplit/>
          <w:trHeight w:val="13"/>
        </w:trPr>
        <w:tc>
          <w:tcPr>
            <w:tcW w:w="521" w:type="pct"/>
            <w:vMerge/>
            <w:tcBorders>
              <w:bottom w:val="single" w:sz="4" w:space="0" w:color="auto"/>
            </w:tcBorders>
          </w:tcPr>
          <w:p w14:paraId="13A5B5FE"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57439D53" w14:textId="77777777" w:rsidR="00CE1436" w:rsidRPr="00C13A11"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57F76100" w14:textId="77777777" w:rsidR="00CE1436" w:rsidRDefault="00CE1436" w:rsidP="00444693">
            <w:pPr>
              <w:pStyle w:val="TableText"/>
              <w:widowControl w:val="0"/>
              <w:suppressAutoHyphens w:val="0"/>
              <w:spacing w:before="0" w:after="0" w:line="240" w:lineRule="auto"/>
              <w:rPr>
                <w:szCs w:val="17"/>
              </w:rPr>
            </w:pPr>
          </w:p>
        </w:tc>
        <w:tc>
          <w:tcPr>
            <w:tcW w:w="520" w:type="pct"/>
          </w:tcPr>
          <w:p w14:paraId="485133C3"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6E3B95DB" w14:textId="77777777" w:rsidR="00CE1436" w:rsidRDefault="00CE1436" w:rsidP="00444693">
            <w:pPr>
              <w:pStyle w:val="TableText"/>
              <w:widowControl w:val="0"/>
              <w:suppressAutoHyphens w:val="0"/>
              <w:spacing w:before="0" w:after="0" w:line="240" w:lineRule="auto"/>
              <w:jc w:val="center"/>
              <w:rPr>
                <w:szCs w:val="17"/>
              </w:rPr>
            </w:pPr>
            <w:r>
              <w:rPr>
                <w:szCs w:val="17"/>
              </w:rPr>
              <w:t>25.2</w:t>
            </w:r>
          </w:p>
        </w:tc>
        <w:tc>
          <w:tcPr>
            <w:tcW w:w="296" w:type="pct"/>
          </w:tcPr>
          <w:p w14:paraId="7EF0E07A" w14:textId="77777777" w:rsidR="00CE1436" w:rsidRDefault="00CE1436" w:rsidP="00444693">
            <w:pPr>
              <w:pStyle w:val="TableText"/>
              <w:widowControl w:val="0"/>
              <w:suppressAutoHyphens w:val="0"/>
              <w:spacing w:before="0" w:after="0" w:line="240" w:lineRule="auto"/>
              <w:jc w:val="center"/>
              <w:rPr>
                <w:szCs w:val="17"/>
              </w:rPr>
            </w:pPr>
            <w:r>
              <w:rPr>
                <w:szCs w:val="17"/>
              </w:rPr>
              <w:t>300</w:t>
            </w:r>
          </w:p>
        </w:tc>
        <w:tc>
          <w:tcPr>
            <w:tcW w:w="312" w:type="pct"/>
          </w:tcPr>
          <w:p w14:paraId="79E0942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7A0119B" w14:textId="77777777" w:rsidR="00CE1436" w:rsidRPr="00C44CF4"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2D029C6" w14:textId="77777777" w:rsidR="00CE1436" w:rsidRPr="00D4112C"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vAlign w:val="center"/>
          </w:tcPr>
          <w:p w14:paraId="56DF48D3" w14:textId="77777777" w:rsidR="00CE1436" w:rsidRPr="003203B5" w:rsidRDefault="00CE1436" w:rsidP="00444693">
            <w:pPr>
              <w:pStyle w:val="TableText"/>
              <w:widowControl w:val="0"/>
              <w:suppressAutoHyphens w:val="0"/>
              <w:spacing w:before="0" w:after="0" w:line="240" w:lineRule="auto"/>
              <w:jc w:val="center"/>
            </w:pPr>
            <w:r>
              <w:rPr>
                <w:color w:val="1A1B1A"/>
                <w:szCs w:val="17"/>
              </w:rPr>
              <w:t>7.6</w:t>
            </w:r>
          </w:p>
        </w:tc>
        <w:tc>
          <w:tcPr>
            <w:tcW w:w="312" w:type="pct"/>
            <w:vAlign w:val="center"/>
          </w:tcPr>
          <w:p w14:paraId="4EF9B3D3"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C747214"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1.3</w:t>
            </w:r>
          </w:p>
        </w:tc>
        <w:tc>
          <w:tcPr>
            <w:tcW w:w="310" w:type="pct"/>
            <w:vAlign w:val="center"/>
          </w:tcPr>
          <w:p w14:paraId="7A494D97" w14:textId="77777777" w:rsidR="00CE1436" w:rsidRPr="0023247F" w:rsidRDefault="00CE1436" w:rsidP="00444693">
            <w:pPr>
              <w:pStyle w:val="TableText"/>
              <w:widowControl w:val="0"/>
              <w:suppressAutoHyphens w:val="0"/>
              <w:spacing w:before="0" w:after="0" w:line="240" w:lineRule="auto"/>
              <w:jc w:val="center"/>
            </w:pPr>
            <w:r>
              <w:rPr>
                <w:color w:val="1A1B1A"/>
                <w:szCs w:val="17"/>
              </w:rPr>
              <w:t>226</w:t>
            </w:r>
          </w:p>
        </w:tc>
      </w:tr>
      <w:tr w:rsidR="00CE1436" w:rsidRPr="0023247F" w14:paraId="570B3F41" w14:textId="77777777" w:rsidTr="00444693">
        <w:trPr>
          <w:cantSplit/>
          <w:trHeight w:val="13"/>
        </w:trPr>
        <w:tc>
          <w:tcPr>
            <w:tcW w:w="5000" w:type="pct"/>
            <w:gridSpan w:val="13"/>
            <w:tcBorders>
              <w:top w:val="single" w:sz="4" w:space="0" w:color="auto"/>
              <w:bottom w:val="single" w:sz="4" w:space="0" w:color="auto"/>
            </w:tcBorders>
          </w:tcPr>
          <w:p w14:paraId="568C14EA" w14:textId="77777777" w:rsidR="00CE1436" w:rsidRPr="0023247F" w:rsidRDefault="00CE1436" w:rsidP="00AC06D7">
            <w:pPr>
              <w:pStyle w:val="TableSubHead0"/>
            </w:pPr>
            <w:r w:rsidRPr="001B1B9E">
              <w:t>General weed control in peanuts (BBCH 10-19), lucerne (grazed before application)</w:t>
            </w:r>
          </w:p>
        </w:tc>
      </w:tr>
      <w:tr w:rsidR="00CE1436" w:rsidRPr="00886278" w14:paraId="4B8F8B3F" w14:textId="77777777" w:rsidTr="00444693">
        <w:trPr>
          <w:cantSplit/>
          <w:trHeight w:val="13"/>
        </w:trPr>
        <w:tc>
          <w:tcPr>
            <w:tcW w:w="521" w:type="pct"/>
            <w:vMerge w:val="restart"/>
            <w:tcBorders>
              <w:top w:val="single" w:sz="4" w:space="0" w:color="auto"/>
            </w:tcBorders>
          </w:tcPr>
          <w:p w14:paraId="6586902E" w14:textId="77777777" w:rsidR="00CE1436" w:rsidRPr="00886278" w:rsidRDefault="00CE1436" w:rsidP="00444693">
            <w:pPr>
              <w:pStyle w:val="TableText"/>
              <w:widowControl w:val="0"/>
              <w:suppressAutoHyphens w:val="0"/>
              <w:spacing w:before="0" w:after="0" w:line="240" w:lineRule="auto"/>
              <w:rPr>
                <w:szCs w:val="17"/>
              </w:rPr>
            </w:pPr>
            <w:r>
              <w:rPr>
                <w:szCs w:val="17"/>
              </w:rPr>
              <w:t>Legume forage</w:t>
            </w:r>
          </w:p>
        </w:tc>
        <w:tc>
          <w:tcPr>
            <w:tcW w:w="589" w:type="pct"/>
            <w:vMerge w:val="restart"/>
            <w:tcBorders>
              <w:top w:val="single" w:sz="4" w:space="0" w:color="auto"/>
            </w:tcBorders>
          </w:tcPr>
          <w:p w14:paraId="7656204E" w14:textId="77777777" w:rsidR="00CE1436" w:rsidRPr="00886278" w:rsidRDefault="00CE1436" w:rsidP="00444693">
            <w:pPr>
              <w:pStyle w:val="TableText"/>
              <w:widowControl w:val="0"/>
              <w:suppressAutoHyphens w:val="0"/>
              <w:spacing w:before="0" w:after="0" w:line="240" w:lineRule="auto"/>
              <w:rPr>
                <w:szCs w:val="17"/>
              </w:rPr>
            </w:pPr>
            <w:r>
              <w:rPr>
                <w:szCs w:val="17"/>
              </w:rPr>
              <w:t>Small granivore</w:t>
            </w:r>
          </w:p>
        </w:tc>
        <w:tc>
          <w:tcPr>
            <w:tcW w:w="445" w:type="pct"/>
            <w:vMerge w:val="restart"/>
            <w:tcBorders>
              <w:top w:val="single" w:sz="4" w:space="0" w:color="auto"/>
            </w:tcBorders>
          </w:tcPr>
          <w:p w14:paraId="61224A3E" w14:textId="77777777" w:rsidR="00CE1436" w:rsidRPr="00886278" w:rsidRDefault="00CE1436" w:rsidP="00444693">
            <w:pPr>
              <w:pStyle w:val="TableText"/>
              <w:widowControl w:val="0"/>
              <w:suppressAutoHyphens w:val="0"/>
              <w:spacing w:before="0" w:after="0" w:line="240" w:lineRule="auto"/>
              <w:rPr>
                <w:szCs w:val="17"/>
              </w:rPr>
            </w:pPr>
            <w:r>
              <w:rPr>
                <w:szCs w:val="17"/>
              </w:rPr>
              <w:t>BBCH 10-49</w:t>
            </w:r>
          </w:p>
        </w:tc>
        <w:tc>
          <w:tcPr>
            <w:tcW w:w="520" w:type="pct"/>
            <w:tcBorders>
              <w:top w:val="single" w:sz="4" w:space="0" w:color="auto"/>
            </w:tcBorders>
          </w:tcPr>
          <w:p w14:paraId="7B871ABD" w14:textId="77777777" w:rsidR="00CE1436" w:rsidRPr="00886278" w:rsidRDefault="00CE1436" w:rsidP="00444693">
            <w:pPr>
              <w:pStyle w:val="TableText"/>
              <w:widowControl w:val="0"/>
              <w:suppressAutoHyphens w:val="0"/>
              <w:spacing w:before="0" w:after="0" w:line="240" w:lineRule="auto"/>
              <w:jc w:val="center"/>
              <w:rPr>
                <w:szCs w:val="17"/>
              </w:rPr>
            </w:pPr>
            <w:r w:rsidRPr="00C61F1B">
              <w:rPr>
                <w:szCs w:val="17"/>
              </w:rPr>
              <w:t>Acute</w:t>
            </w:r>
          </w:p>
        </w:tc>
        <w:tc>
          <w:tcPr>
            <w:tcW w:w="446" w:type="pct"/>
            <w:tcBorders>
              <w:top w:val="single" w:sz="4" w:space="0" w:color="auto"/>
            </w:tcBorders>
          </w:tcPr>
          <w:p w14:paraId="0919CC49" w14:textId="77777777" w:rsidR="00CE1436" w:rsidRPr="00886278" w:rsidRDefault="00CE1436" w:rsidP="00444693">
            <w:pPr>
              <w:pStyle w:val="TableText"/>
              <w:widowControl w:val="0"/>
              <w:suppressAutoHyphens w:val="0"/>
              <w:spacing w:before="0" w:after="0" w:line="240" w:lineRule="auto"/>
              <w:jc w:val="center"/>
              <w:rPr>
                <w:szCs w:val="17"/>
              </w:rPr>
            </w:pPr>
            <w:r>
              <w:t>24.7</w:t>
            </w:r>
          </w:p>
        </w:tc>
        <w:tc>
          <w:tcPr>
            <w:tcW w:w="296" w:type="pct"/>
            <w:tcBorders>
              <w:top w:val="single" w:sz="4" w:space="0" w:color="auto"/>
            </w:tcBorders>
          </w:tcPr>
          <w:p w14:paraId="3DBEB74E"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Borders>
              <w:top w:val="single" w:sz="4" w:space="0" w:color="auto"/>
            </w:tcBorders>
          </w:tcPr>
          <w:p w14:paraId="588AFA4F"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66B193C5"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457EDC0F"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2ECD101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8.0</w:t>
            </w:r>
          </w:p>
        </w:tc>
        <w:tc>
          <w:tcPr>
            <w:tcW w:w="312" w:type="pct"/>
            <w:tcBorders>
              <w:top w:val="single" w:sz="4" w:space="0" w:color="auto"/>
            </w:tcBorders>
            <w:vAlign w:val="center"/>
          </w:tcPr>
          <w:p w14:paraId="0BEEA6EF"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5D86E63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10" w:type="pct"/>
            <w:tcBorders>
              <w:top w:val="single" w:sz="4" w:space="0" w:color="auto"/>
            </w:tcBorders>
            <w:vAlign w:val="center"/>
          </w:tcPr>
          <w:p w14:paraId="1B3B433F"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63AD58A6" w14:textId="77777777" w:rsidTr="00444693">
        <w:trPr>
          <w:cantSplit/>
          <w:trHeight w:val="13"/>
        </w:trPr>
        <w:tc>
          <w:tcPr>
            <w:tcW w:w="521" w:type="pct"/>
            <w:vMerge/>
          </w:tcPr>
          <w:p w14:paraId="5CDDD50A"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542C2B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2D34B768" w14:textId="77777777" w:rsidR="00CE1436" w:rsidRDefault="00CE1436" w:rsidP="00444693">
            <w:pPr>
              <w:pStyle w:val="TableText"/>
              <w:widowControl w:val="0"/>
              <w:suppressAutoHyphens w:val="0"/>
              <w:spacing w:before="0" w:after="0" w:line="240" w:lineRule="auto"/>
              <w:rPr>
                <w:szCs w:val="17"/>
              </w:rPr>
            </w:pPr>
          </w:p>
        </w:tc>
        <w:tc>
          <w:tcPr>
            <w:tcW w:w="520" w:type="pct"/>
          </w:tcPr>
          <w:p w14:paraId="5A6CCAD9"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1AAEDE45" w14:textId="77777777" w:rsidR="00CE1436" w:rsidRDefault="00CE1436" w:rsidP="00444693">
            <w:pPr>
              <w:pStyle w:val="TableText"/>
              <w:widowControl w:val="0"/>
              <w:suppressAutoHyphens w:val="0"/>
              <w:spacing w:before="0" w:after="0" w:line="240" w:lineRule="auto"/>
              <w:jc w:val="center"/>
            </w:pPr>
            <w:r>
              <w:t>24.7</w:t>
            </w:r>
          </w:p>
        </w:tc>
        <w:tc>
          <w:tcPr>
            <w:tcW w:w="296" w:type="pct"/>
          </w:tcPr>
          <w:p w14:paraId="4191C513" w14:textId="77777777" w:rsidR="00CE1436" w:rsidRDefault="00CE1436" w:rsidP="00444693">
            <w:pPr>
              <w:pStyle w:val="TableText"/>
              <w:widowControl w:val="0"/>
              <w:suppressAutoHyphens w:val="0"/>
              <w:spacing w:before="0" w:after="0" w:line="240" w:lineRule="auto"/>
              <w:jc w:val="center"/>
              <w:rPr>
                <w:szCs w:val="17"/>
              </w:rPr>
            </w:pPr>
            <w:r>
              <w:rPr>
                <w:szCs w:val="17"/>
              </w:rPr>
              <w:t>250</w:t>
            </w:r>
          </w:p>
        </w:tc>
        <w:tc>
          <w:tcPr>
            <w:tcW w:w="312" w:type="pct"/>
          </w:tcPr>
          <w:p w14:paraId="104232BC"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6A11F0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E311DD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D53E049"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6.2</w:t>
            </w:r>
          </w:p>
        </w:tc>
        <w:tc>
          <w:tcPr>
            <w:tcW w:w="312" w:type="pct"/>
            <w:vAlign w:val="center"/>
          </w:tcPr>
          <w:p w14:paraId="55D0162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AEDC003"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10" w:type="pct"/>
            <w:vAlign w:val="center"/>
          </w:tcPr>
          <w:p w14:paraId="7DEC0CA0" w14:textId="77777777" w:rsidR="00CE1436" w:rsidRPr="00886278"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0F322826" w14:textId="77777777" w:rsidTr="00444693">
        <w:trPr>
          <w:cantSplit/>
          <w:trHeight w:val="13"/>
        </w:trPr>
        <w:tc>
          <w:tcPr>
            <w:tcW w:w="521" w:type="pct"/>
            <w:vMerge/>
          </w:tcPr>
          <w:p w14:paraId="0C2EC255"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8E1EB2D"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E081550" w14:textId="77777777" w:rsidR="00CE1436" w:rsidRDefault="00CE1436" w:rsidP="00444693">
            <w:pPr>
              <w:pStyle w:val="TableText"/>
              <w:widowControl w:val="0"/>
              <w:suppressAutoHyphens w:val="0"/>
              <w:spacing w:before="0" w:after="0" w:line="240" w:lineRule="auto"/>
              <w:rPr>
                <w:szCs w:val="17"/>
              </w:rPr>
            </w:pPr>
          </w:p>
        </w:tc>
        <w:tc>
          <w:tcPr>
            <w:tcW w:w="520" w:type="pct"/>
          </w:tcPr>
          <w:p w14:paraId="67264A31"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42F9397B" w14:textId="77777777" w:rsidR="00CE1436" w:rsidRDefault="00CE1436" w:rsidP="00444693">
            <w:pPr>
              <w:pStyle w:val="TableText"/>
              <w:widowControl w:val="0"/>
              <w:suppressAutoHyphens w:val="0"/>
              <w:spacing w:before="0" w:after="0" w:line="240" w:lineRule="auto"/>
              <w:jc w:val="center"/>
            </w:pPr>
            <w:r w:rsidRPr="00801AC8">
              <w:t>24.7</w:t>
            </w:r>
          </w:p>
        </w:tc>
        <w:tc>
          <w:tcPr>
            <w:tcW w:w="296" w:type="pct"/>
          </w:tcPr>
          <w:p w14:paraId="6E1EEAF0"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3327EF6D"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E18F45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E62ECA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41E635D" w14:textId="77777777" w:rsidR="00CE1436" w:rsidRPr="003203B5" w:rsidRDefault="00CE1436" w:rsidP="00444693">
            <w:pPr>
              <w:pStyle w:val="TableText"/>
              <w:widowControl w:val="0"/>
              <w:suppressAutoHyphens w:val="0"/>
              <w:spacing w:before="0" w:after="0" w:line="240" w:lineRule="auto"/>
              <w:jc w:val="center"/>
            </w:pPr>
            <w:r>
              <w:rPr>
                <w:color w:val="1A1B1A"/>
                <w:szCs w:val="17"/>
              </w:rPr>
              <w:t>5.3</w:t>
            </w:r>
          </w:p>
        </w:tc>
        <w:tc>
          <w:tcPr>
            <w:tcW w:w="312" w:type="pct"/>
            <w:vAlign w:val="center"/>
          </w:tcPr>
          <w:p w14:paraId="4CD6E1AB"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A9C32C3"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0.94</w:t>
            </w:r>
          </w:p>
        </w:tc>
        <w:tc>
          <w:tcPr>
            <w:tcW w:w="310" w:type="pct"/>
            <w:vAlign w:val="center"/>
          </w:tcPr>
          <w:p w14:paraId="05545449"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51E14703" w14:textId="77777777" w:rsidTr="00444693">
        <w:trPr>
          <w:cantSplit/>
          <w:trHeight w:val="13"/>
        </w:trPr>
        <w:tc>
          <w:tcPr>
            <w:tcW w:w="521" w:type="pct"/>
            <w:vMerge/>
          </w:tcPr>
          <w:p w14:paraId="123AF30E"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A8B0AD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32CDBFC" w14:textId="77777777" w:rsidR="00CE1436" w:rsidRDefault="00CE1436" w:rsidP="00444693">
            <w:pPr>
              <w:pStyle w:val="TableText"/>
              <w:widowControl w:val="0"/>
              <w:suppressAutoHyphens w:val="0"/>
              <w:spacing w:before="0" w:after="0" w:line="240" w:lineRule="auto"/>
              <w:rPr>
                <w:szCs w:val="17"/>
              </w:rPr>
            </w:pPr>
          </w:p>
        </w:tc>
        <w:tc>
          <w:tcPr>
            <w:tcW w:w="520" w:type="pct"/>
          </w:tcPr>
          <w:p w14:paraId="2B003DC5"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434E85A2" w14:textId="77777777" w:rsidR="00CE1436" w:rsidRDefault="00CE1436" w:rsidP="00444693">
            <w:pPr>
              <w:pStyle w:val="TableText"/>
              <w:widowControl w:val="0"/>
              <w:suppressAutoHyphens w:val="0"/>
              <w:spacing w:before="0" w:after="0" w:line="240" w:lineRule="auto"/>
              <w:jc w:val="center"/>
            </w:pPr>
            <w:r w:rsidRPr="00801AC8">
              <w:t>24.7</w:t>
            </w:r>
          </w:p>
        </w:tc>
        <w:tc>
          <w:tcPr>
            <w:tcW w:w="296" w:type="pct"/>
          </w:tcPr>
          <w:p w14:paraId="3669743D" w14:textId="77777777" w:rsidR="00CE1436"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069D209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4F78E2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81462F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124F1C0" w14:textId="77777777" w:rsidR="00CE1436" w:rsidRPr="003203B5" w:rsidRDefault="00CE1436" w:rsidP="00444693">
            <w:pPr>
              <w:pStyle w:val="TableText"/>
              <w:widowControl w:val="0"/>
              <w:suppressAutoHyphens w:val="0"/>
              <w:spacing w:before="0" w:after="0" w:line="240" w:lineRule="auto"/>
              <w:jc w:val="center"/>
            </w:pPr>
            <w:r>
              <w:rPr>
                <w:color w:val="1A1B1A"/>
                <w:szCs w:val="17"/>
              </w:rPr>
              <w:t>4.9</w:t>
            </w:r>
          </w:p>
        </w:tc>
        <w:tc>
          <w:tcPr>
            <w:tcW w:w="312" w:type="pct"/>
            <w:vAlign w:val="center"/>
          </w:tcPr>
          <w:p w14:paraId="015B14B1"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E3577C9"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0.87</w:t>
            </w:r>
          </w:p>
        </w:tc>
        <w:tc>
          <w:tcPr>
            <w:tcW w:w="310" w:type="pct"/>
            <w:vAlign w:val="center"/>
          </w:tcPr>
          <w:p w14:paraId="044122D0"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4B0C8961" w14:textId="77777777" w:rsidTr="00444693">
        <w:trPr>
          <w:cantSplit/>
          <w:trHeight w:val="13"/>
        </w:trPr>
        <w:tc>
          <w:tcPr>
            <w:tcW w:w="521" w:type="pct"/>
            <w:vMerge/>
          </w:tcPr>
          <w:p w14:paraId="4A6E1E2F"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D88DC5E"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67B068D" w14:textId="77777777" w:rsidR="00CE1436" w:rsidRDefault="00CE1436" w:rsidP="00444693">
            <w:pPr>
              <w:pStyle w:val="TableText"/>
              <w:widowControl w:val="0"/>
              <w:suppressAutoHyphens w:val="0"/>
              <w:spacing w:before="0" w:after="0" w:line="240" w:lineRule="auto"/>
              <w:rPr>
                <w:szCs w:val="17"/>
              </w:rPr>
            </w:pPr>
          </w:p>
        </w:tc>
        <w:tc>
          <w:tcPr>
            <w:tcW w:w="520" w:type="pct"/>
          </w:tcPr>
          <w:p w14:paraId="38B70133"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5FB5E149" w14:textId="77777777" w:rsidR="00CE1436" w:rsidRDefault="00CE1436" w:rsidP="00444693">
            <w:pPr>
              <w:pStyle w:val="TableText"/>
              <w:widowControl w:val="0"/>
              <w:suppressAutoHyphens w:val="0"/>
              <w:spacing w:before="0" w:after="0" w:line="240" w:lineRule="auto"/>
              <w:jc w:val="center"/>
            </w:pPr>
            <w:r w:rsidRPr="00801AC8">
              <w:t>24.7</w:t>
            </w:r>
          </w:p>
        </w:tc>
        <w:tc>
          <w:tcPr>
            <w:tcW w:w="296" w:type="pct"/>
          </w:tcPr>
          <w:p w14:paraId="5F908C9A"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476EDD0A"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322B47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571AE9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543B8A3" w14:textId="77777777" w:rsidR="00CE1436" w:rsidRPr="003203B5"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220F37A2"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CD60357"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0.65</w:t>
            </w:r>
          </w:p>
        </w:tc>
        <w:tc>
          <w:tcPr>
            <w:tcW w:w="310" w:type="pct"/>
            <w:vAlign w:val="center"/>
          </w:tcPr>
          <w:p w14:paraId="794AF100"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23247F" w14:paraId="2243C756" w14:textId="77777777" w:rsidTr="00444693">
        <w:trPr>
          <w:cantSplit/>
          <w:trHeight w:val="13"/>
        </w:trPr>
        <w:tc>
          <w:tcPr>
            <w:tcW w:w="521" w:type="pct"/>
            <w:vMerge/>
          </w:tcPr>
          <w:p w14:paraId="3AFF3C29"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6CB3B647"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4564A346" w14:textId="77777777" w:rsidR="00CE1436"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40D89A68"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50A869C9" w14:textId="77777777" w:rsidR="00CE1436" w:rsidRDefault="00CE1436" w:rsidP="00444693">
            <w:pPr>
              <w:pStyle w:val="TableText"/>
              <w:widowControl w:val="0"/>
              <w:suppressAutoHyphens w:val="0"/>
              <w:spacing w:before="0" w:after="0" w:line="240" w:lineRule="auto"/>
              <w:jc w:val="center"/>
            </w:pPr>
            <w:r w:rsidRPr="00801AC8">
              <w:t>24.7</w:t>
            </w:r>
          </w:p>
        </w:tc>
        <w:tc>
          <w:tcPr>
            <w:tcW w:w="296" w:type="pct"/>
            <w:tcBorders>
              <w:bottom w:val="single" w:sz="4" w:space="0" w:color="auto"/>
            </w:tcBorders>
          </w:tcPr>
          <w:p w14:paraId="67EF3456" w14:textId="77777777" w:rsidR="00CE1436" w:rsidRDefault="00CE1436" w:rsidP="00444693">
            <w:pPr>
              <w:pStyle w:val="TableText"/>
              <w:widowControl w:val="0"/>
              <w:suppressAutoHyphens w:val="0"/>
              <w:spacing w:before="0" w:after="0" w:line="240" w:lineRule="auto"/>
              <w:jc w:val="center"/>
              <w:rPr>
                <w:szCs w:val="17"/>
              </w:rPr>
            </w:pPr>
            <w:r>
              <w:rPr>
                <w:szCs w:val="17"/>
              </w:rPr>
              <w:t>100</w:t>
            </w:r>
          </w:p>
        </w:tc>
        <w:tc>
          <w:tcPr>
            <w:tcW w:w="312" w:type="pct"/>
            <w:tcBorders>
              <w:bottom w:val="single" w:sz="4" w:space="0" w:color="auto"/>
            </w:tcBorders>
          </w:tcPr>
          <w:p w14:paraId="5EB7ABC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474681C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76EEADB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3D8B9602" w14:textId="77777777" w:rsidR="00CE1436" w:rsidRPr="003203B5" w:rsidRDefault="00CE1436" w:rsidP="00444693">
            <w:pPr>
              <w:pStyle w:val="TableText"/>
              <w:widowControl w:val="0"/>
              <w:suppressAutoHyphens w:val="0"/>
              <w:spacing w:before="0" w:after="0" w:line="240" w:lineRule="auto"/>
              <w:jc w:val="center"/>
            </w:pPr>
            <w:r>
              <w:rPr>
                <w:color w:val="1A1B1A"/>
                <w:szCs w:val="17"/>
              </w:rPr>
              <w:t>2.5</w:t>
            </w:r>
          </w:p>
        </w:tc>
        <w:tc>
          <w:tcPr>
            <w:tcW w:w="312" w:type="pct"/>
            <w:tcBorders>
              <w:bottom w:val="single" w:sz="4" w:space="0" w:color="auto"/>
            </w:tcBorders>
            <w:vAlign w:val="center"/>
          </w:tcPr>
          <w:p w14:paraId="2F0691AF"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2A0FC0F0"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0.43</w:t>
            </w:r>
          </w:p>
        </w:tc>
        <w:tc>
          <w:tcPr>
            <w:tcW w:w="310" w:type="pct"/>
            <w:tcBorders>
              <w:bottom w:val="single" w:sz="4" w:space="0" w:color="auto"/>
            </w:tcBorders>
            <w:vAlign w:val="center"/>
          </w:tcPr>
          <w:p w14:paraId="39699346" w14:textId="77777777" w:rsidR="00CE1436" w:rsidRPr="0023247F" w:rsidRDefault="00CE1436" w:rsidP="00444693">
            <w:pPr>
              <w:pStyle w:val="TableText"/>
              <w:widowControl w:val="0"/>
              <w:suppressAutoHyphens w:val="0"/>
              <w:spacing w:before="0" w:after="0" w:line="240" w:lineRule="auto"/>
              <w:jc w:val="center"/>
            </w:pPr>
            <w:r>
              <w:rPr>
                <w:color w:val="1A1B1A"/>
                <w:szCs w:val="17"/>
              </w:rPr>
              <w:t>231</w:t>
            </w:r>
          </w:p>
        </w:tc>
      </w:tr>
      <w:tr w:rsidR="00CE1436" w:rsidRPr="00886278" w14:paraId="5266F186" w14:textId="77777777" w:rsidTr="00444693">
        <w:trPr>
          <w:cantSplit/>
          <w:trHeight w:val="13"/>
        </w:trPr>
        <w:tc>
          <w:tcPr>
            <w:tcW w:w="521" w:type="pct"/>
            <w:vMerge/>
          </w:tcPr>
          <w:p w14:paraId="1D42FF1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2E40EED2" w14:textId="77777777" w:rsidR="00CE1436" w:rsidRPr="00886278" w:rsidRDefault="00CE1436" w:rsidP="00444693">
            <w:pPr>
              <w:pStyle w:val="TableText"/>
              <w:widowControl w:val="0"/>
              <w:suppressAutoHyphens w:val="0"/>
              <w:spacing w:before="0" w:after="0" w:line="240" w:lineRule="auto"/>
              <w:rPr>
                <w:szCs w:val="17"/>
              </w:rPr>
            </w:pPr>
            <w:r>
              <w:rPr>
                <w:szCs w:val="17"/>
              </w:rPr>
              <w:t>Small omnivore</w:t>
            </w:r>
          </w:p>
        </w:tc>
        <w:tc>
          <w:tcPr>
            <w:tcW w:w="445" w:type="pct"/>
            <w:vMerge w:val="restart"/>
            <w:tcBorders>
              <w:top w:val="single" w:sz="4" w:space="0" w:color="auto"/>
            </w:tcBorders>
          </w:tcPr>
          <w:p w14:paraId="0C16C37C" w14:textId="77777777" w:rsidR="00CE1436" w:rsidRPr="00886278" w:rsidRDefault="00CE1436" w:rsidP="00444693">
            <w:pPr>
              <w:pStyle w:val="TableText"/>
              <w:widowControl w:val="0"/>
              <w:suppressAutoHyphens w:val="0"/>
              <w:spacing w:before="0" w:after="0" w:line="240" w:lineRule="auto"/>
              <w:rPr>
                <w:szCs w:val="17"/>
              </w:rPr>
            </w:pPr>
            <w:r>
              <w:rPr>
                <w:szCs w:val="17"/>
              </w:rPr>
              <w:t>BBCH 10-49</w:t>
            </w:r>
          </w:p>
        </w:tc>
        <w:tc>
          <w:tcPr>
            <w:tcW w:w="520" w:type="pct"/>
            <w:tcBorders>
              <w:top w:val="single" w:sz="4" w:space="0" w:color="auto"/>
            </w:tcBorders>
          </w:tcPr>
          <w:p w14:paraId="605633AD" w14:textId="77777777" w:rsidR="00CE1436" w:rsidRPr="00886278" w:rsidRDefault="00CE1436" w:rsidP="00444693">
            <w:pPr>
              <w:pStyle w:val="TableText"/>
              <w:widowControl w:val="0"/>
              <w:suppressAutoHyphens w:val="0"/>
              <w:spacing w:before="0" w:after="0" w:line="240" w:lineRule="auto"/>
              <w:jc w:val="center"/>
              <w:rPr>
                <w:szCs w:val="17"/>
              </w:rPr>
            </w:pPr>
            <w:r w:rsidRPr="00C61F1B">
              <w:rPr>
                <w:szCs w:val="17"/>
              </w:rPr>
              <w:t>Acute</w:t>
            </w:r>
          </w:p>
        </w:tc>
        <w:tc>
          <w:tcPr>
            <w:tcW w:w="446" w:type="pct"/>
            <w:tcBorders>
              <w:top w:val="single" w:sz="4" w:space="0" w:color="auto"/>
            </w:tcBorders>
          </w:tcPr>
          <w:p w14:paraId="66096690" w14:textId="77777777" w:rsidR="00CE1436" w:rsidRPr="00886278" w:rsidRDefault="00CE1436" w:rsidP="00444693">
            <w:pPr>
              <w:pStyle w:val="TableText"/>
              <w:widowControl w:val="0"/>
              <w:suppressAutoHyphens w:val="0"/>
              <w:spacing w:before="0" w:after="0" w:line="240" w:lineRule="auto"/>
              <w:jc w:val="center"/>
              <w:rPr>
                <w:szCs w:val="17"/>
              </w:rPr>
            </w:pPr>
            <w:r>
              <w:t>24.0</w:t>
            </w:r>
          </w:p>
        </w:tc>
        <w:tc>
          <w:tcPr>
            <w:tcW w:w="296" w:type="pct"/>
            <w:tcBorders>
              <w:top w:val="single" w:sz="4" w:space="0" w:color="auto"/>
            </w:tcBorders>
          </w:tcPr>
          <w:p w14:paraId="11B07FAD"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Borders>
              <w:top w:val="single" w:sz="4" w:space="0" w:color="auto"/>
            </w:tcBorders>
          </w:tcPr>
          <w:p w14:paraId="3B1ECFC3"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2815435C"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52C5D9E4"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0B44E5E2"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7.8</w:t>
            </w:r>
          </w:p>
        </w:tc>
        <w:tc>
          <w:tcPr>
            <w:tcW w:w="312" w:type="pct"/>
            <w:tcBorders>
              <w:top w:val="single" w:sz="4" w:space="0" w:color="auto"/>
            </w:tcBorders>
            <w:vAlign w:val="center"/>
          </w:tcPr>
          <w:p w14:paraId="6D33D1B6"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78011F4F"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1.4</w:t>
            </w:r>
          </w:p>
        </w:tc>
        <w:tc>
          <w:tcPr>
            <w:tcW w:w="310" w:type="pct"/>
            <w:tcBorders>
              <w:top w:val="single" w:sz="4" w:space="0" w:color="auto"/>
            </w:tcBorders>
            <w:vAlign w:val="center"/>
          </w:tcPr>
          <w:p w14:paraId="5E1B24FD" w14:textId="77777777" w:rsidR="00CE1436" w:rsidRPr="00886278" w:rsidRDefault="00CE1436" w:rsidP="00444693">
            <w:pPr>
              <w:pStyle w:val="TableText"/>
              <w:widowControl w:val="0"/>
              <w:suppressAutoHyphens w:val="0"/>
              <w:spacing w:before="0" w:after="0" w:line="240" w:lineRule="auto"/>
              <w:jc w:val="center"/>
            </w:pPr>
            <w:r>
              <w:rPr>
                <w:color w:val="1A1B1A"/>
                <w:szCs w:val="17"/>
              </w:rPr>
              <w:t>238</w:t>
            </w:r>
          </w:p>
        </w:tc>
      </w:tr>
      <w:tr w:rsidR="00CE1436" w:rsidRPr="00886278" w14:paraId="46D32F27" w14:textId="77777777" w:rsidTr="00444693">
        <w:trPr>
          <w:cantSplit/>
          <w:trHeight w:val="13"/>
        </w:trPr>
        <w:tc>
          <w:tcPr>
            <w:tcW w:w="521" w:type="pct"/>
            <w:vMerge/>
          </w:tcPr>
          <w:p w14:paraId="524C85E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CBAFD03"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C89381B" w14:textId="77777777" w:rsidR="00CE1436" w:rsidRDefault="00CE1436" w:rsidP="00444693">
            <w:pPr>
              <w:pStyle w:val="TableText"/>
              <w:widowControl w:val="0"/>
              <w:suppressAutoHyphens w:val="0"/>
              <w:spacing w:before="0" w:after="0" w:line="240" w:lineRule="auto"/>
              <w:rPr>
                <w:szCs w:val="17"/>
              </w:rPr>
            </w:pPr>
          </w:p>
        </w:tc>
        <w:tc>
          <w:tcPr>
            <w:tcW w:w="520" w:type="pct"/>
          </w:tcPr>
          <w:p w14:paraId="073A1963"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5AEC9992" w14:textId="77777777" w:rsidR="00CE1436" w:rsidRDefault="00CE1436" w:rsidP="00444693">
            <w:pPr>
              <w:pStyle w:val="TableText"/>
              <w:widowControl w:val="0"/>
              <w:suppressAutoHyphens w:val="0"/>
              <w:spacing w:before="0" w:after="0" w:line="240" w:lineRule="auto"/>
              <w:jc w:val="center"/>
            </w:pPr>
            <w:r>
              <w:t>24.0</w:t>
            </w:r>
          </w:p>
        </w:tc>
        <w:tc>
          <w:tcPr>
            <w:tcW w:w="296" w:type="pct"/>
          </w:tcPr>
          <w:p w14:paraId="41CC4F21"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250</w:t>
            </w:r>
          </w:p>
        </w:tc>
        <w:tc>
          <w:tcPr>
            <w:tcW w:w="312" w:type="pct"/>
          </w:tcPr>
          <w:p w14:paraId="56047DB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5573EA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F0A70F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E9CA2B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6.0</w:t>
            </w:r>
          </w:p>
        </w:tc>
        <w:tc>
          <w:tcPr>
            <w:tcW w:w="312" w:type="pct"/>
            <w:vAlign w:val="center"/>
          </w:tcPr>
          <w:p w14:paraId="6A1A875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16C6038C"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1.1</w:t>
            </w:r>
          </w:p>
        </w:tc>
        <w:tc>
          <w:tcPr>
            <w:tcW w:w="310" w:type="pct"/>
            <w:vAlign w:val="center"/>
          </w:tcPr>
          <w:p w14:paraId="4582D286" w14:textId="77777777" w:rsidR="00CE1436" w:rsidRPr="00886278" w:rsidRDefault="00CE1436" w:rsidP="00444693">
            <w:pPr>
              <w:pStyle w:val="TableText"/>
              <w:widowControl w:val="0"/>
              <w:suppressAutoHyphens w:val="0"/>
              <w:spacing w:before="0" w:after="0" w:line="240" w:lineRule="auto"/>
              <w:jc w:val="center"/>
            </w:pPr>
            <w:r>
              <w:rPr>
                <w:color w:val="1A1B1A"/>
                <w:szCs w:val="17"/>
              </w:rPr>
              <w:t>238</w:t>
            </w:r>
          </w:p>
        </w:tc>
      </w:tr>
      <w:tr w:rsidR="00CE1436" w:rsidRPr="0023247F" w14:paraId="37CD0AD8" w14:textId="77777777" w:rsidTr="00444693">
        <w:trPr>
          <w:cantSplit/>
          <w:trHeight w:val="13"/>
        </w:trPr>
        <w:tc>
          <w:tcPr>
            <w:tcW w:w="521" w:type="pct"/>
            <w:vMerge/>
          </w:tcPr>
          <w:p w14:paraId="2EC4C82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E3F69F7"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1D114D9" w14:textId="77777777" w:rsidR="00CE1436" w:rsidRDefault="00CE1436" w:rsidP="00444693">
            <w:pPr>
              <w:pStyle w:val="TableText"/>
              <w:widowControl w:val="0"/>
              <w:suppressAutoHyphens w:val="0"/>
              <w:spacing w:before="0" w:after="0" w:line="240" w:lineRule="auto"/>
              <w:rPr>
                <w:szCs w:val="17"/>
              </w:rPr>
            </w:pPr>
          </w:p>
        </w:tc>
        <w:tc>
          <w:tcPr>
            <w:tcW w:w="520" w:type="pct"/>
          </w:tcPr>
          <w:p w14:paraId="7D19CD27"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61E048FA" w14:textId="77777777" w:rsidR="00CE1436" w:rsidRDefault="00CE1436" w:rsidP="00444693">
            <w:pPr>
              <w:pStyle w:val="TableText"/>
              <w:widowControl w:val="0"/>
              <w:suppressAutoHyphens w:val="0"/>
              <w:spacing w:before="0" w:after="0" w:line="240" w:lineRule="auto"/>
              <w:jc w:val="center"/>
            </w:pPr>
            <w:r w:rsidRPr="00A800DB">
              <w:t>24.0</w:t>
            </w:r>
          </w:p>
        </w:tc>
        <w:tc>
          <w:tcPr>
            <w:tcW w:w="296" w:type="pct"/>
          </w:tcPr>
          <w:p w14:paraId="745C89BD"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1D1D1F95"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1515DC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987CCE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9CB7395" w14:textId="77777777" w:rsidR="00CE1436" w:rsidRPr="003203B5" w:rsidRDefault="00CE1436" w:rsidP="00444693">
            <w:pPr>
              <w:pStyle w:val="TableText"/>
              <w:widowControl w:val="0"/>
              <w:suppressAutoHyphens w:val="0"/>
              <w:spacing w:before="0" w:after="0" w:line="240" w:lineRule="auto"/>
              <w:jc w:val="center"/>
            </w:pPr>
            <w:r>
              <w:rPr>
                <w:color w:val="1A1B1A"/>
                <w:szCs w:val="17"/>
              </w:rPr>
              <w:t>5.2</w:t>
            </w:r>
          </w:p>
        </w:tc>
        <w:tc>
          <w:tcPr>
            <w:tcW w:w="312" w:type="pct"/>
            <w:vAlign w:val="center"/>
          </w:tcPr>
          <w:p w14:paraId="6D1E080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4272ED1"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0.91</w:t>
            </w:r>
          </w:p>
        </w:tc>
        <w:tc>
          <w:tcPr>
            <w:tcW w:w="310" w:type="pct"/>
            <w:vAlign w:val="center"/>
          </w:tcPr>
          <w:p w14:paraId="5E3BD0FB" w14:textId="77777777" w:rsidR="00CE1436" w:rsidRPr="0023247F" w:rsidRDefault="00CE1436" w:rsidP="00444693">
            <w:pPr>
              <w:pStyle w:val="TableText"/>
              <w:widowControl w:val="0"/>
              <w:suppressAutoHyphens w:val="0"/>
              <w:spacing w:before="0" w:after="0" w:line="240" w:lineRule="auto"/>
              <w:jc w:val="center"/>
            </w:pPr>
            <w:r>
              <w:rPr>
                <w:color w:val="1A1B1A"/>
                <w:szCs w:val="17"/>
              </w:rPr>
              <w:t>238</w:t>
            </w:r>
          </w:p>
        </w:tc>
      </w:tr>
      <w:tr w:rsidR="00CE1436" w:rsidRPr="0023247F" w14:paraId="7DB21891" w14:textId="77777777" w:rsidTr="00444693">
        <w:trPr>
          <w:cantSplit/>
          <w:trHeight w:val="13"/>
        </w:trPr>
        <w:tc>
          <w:tcPr>
            <w:tcW w:w="521" w:type="pct"/>
            <w:vMerge/>
          </w:tcPr>
          <w:p w14:paraId="5025DC4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77F9702"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54D1090F" w14:textId="77777777" w:rsidR="00CE1436" w:rsidRDefault="00CE1436" w:rsidP="00444693">
            <w:pPr>
              <w:pStyle w:val="TableText"/>
              <w:widowControl w:val="0"/>
              <w:suppressAutoHyphens w:val="0"/>
              <w:spacing w:before="0" w:after="0" w:line="240" w:lineRule="auto"/>
              <w:rPr>
                <w:szCs w:val="17"/>
              </w:rPr>
            </w:pPr>
          </w:p>
        </w:tc>
        <w:tc>
          <w:tcPr>
            <w:tcW w:w="520" w:type="pct"/>
          </w:tcPr>
          <w:p w14:paraId="72555C6A"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4FC731CA" w14:textId="77777777" w:rsidR="00CE1436" w:rsidRDefault="00CE1436" w:rsidP="00444693">
            <w:pPr>
              <w:pStyle w:val="TableText"/>
              <w:widowControl w:val="0"/>
              <w:suppressAutoHyphens w:val="0"/>
              <w:spacing w:before="0" w:after="0" w:line="240" w:lineRule="auto"/>
              <w:jc w:val="center"/>
            </w:pPr>
            <w:r w:rsidRPr="00A800DB">
              <w:t>24.0</w:t>
            </w:r>
          </w:p>
        </w:tc>
        <w:tc>
          <w:tcPr>
            <w:tcW w:w="296" w:type="pct"/>
          </w:tcPr>
          <w:p w14:paraId="27CDDFC9" w14:textId="77777777" w:rsidR="00CE1436"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200EEDD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7C770C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93E5F0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8D17122" w14:textId="77777777" w:rsidR="00CE1436" w:rsidRPr="003203B5" w:rsidRDefault="00CE1436" w:rsidP="00444693">
            <w:pPr>
              <w:pStyle w:val="TableText"/>
              <w:widowControl w:val="0"/>
              <w:suppressAutoHyphens w:val="0"/>
              <w:spacing w:before="0" w:after="0" w:line="240" w:lineRule="auto"/>
              <w:jc w:val="center"/>
            </w:pPr>
            <w:r>
              <w:rPr>
                <w:color w:val="1A1B1A"/>
                <w:szCs w:val="17"/>
              </w:rPr>
              <w:t>4.8</w:t>
            </w:r>
          </w:p>
        </w:tc>
        <w:tc>
          <w:tcPr>
            <w:tcW w:w="312" w:type="pct"/>
            <w:vAlign w:val="center"/>
          </w:tcPr>
          <w:p w14:paraId="05EDDF0D"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192A3F5"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0.84</w:t>
            </w:r>
          </w:p>
        </w:tc>
        <w:tc>
          <w:tcPr>
            <w:tcW w:w="310" w:type="pct"/>
            <w:vAlign w:val="center"/>
          </w:tcPr>
          <w:p w14:paraId="41A8A441" w14:textId="77777777" w:rsidR="00CE1436" w:rsidRPr="0023247F" w:rsidRDefault="00CE1436" w:rsidP="00444693">
            <w:pPr>
              <w:pStyle w:val="TableText"/>
              <w:widowControl w:val="0"/>
              <w:suppressAutoHyphens w:val="0"/>
              <w:spacing w:before="0" w:after="0" w:line="240" w:lineRule="auto"/>
              <w:jc w:val="center"/>
            </w:pPr>
            <w:r>
              <w:rPr>
                <w:color w:val="1A1B1A"/>
                <w:szCs w:val="17"/>
              </w:rPr>
              <w:t>238</w:t>
            </w:r>
          </w:p>
        </w:tc>
      </w:tr>
      <w:tr w:rsidR="00CE1436" w:rsidRPr="0023247F" w14:paraId="77DCF696" w14:textId="77777777" w:rsidTr="00444693">
        <w:trPr>
          <w:cantSplit/>
          <w:trHeight w:val="13"/>
        </w:trPr>
        <w:tc>
          <w:tcPr>
            <w:tcW w:w="521" w:type="pct"/>
            <w:vMerge/>
          </w:tcPr>
          <w:p w14:paraId="3465736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30912A8"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7E1D8182" w14:textId="77777777" w:rsidR="00CE1436" w:rsidRDefault="00CE1436" w:rsidP="00444693">
            <w:pPr>
              <w:pStyle w:val="TableText"/>
              <w:widowControl w:val="0"/>
              <w:suppressAutoHyphens w:val="0"/>
              <w:spacing w:before="0" w:after="0" w:line="240" w:lineRule="auto"/>
              <w:rPr>
                <w:szCs w:val="17"/>
              </w:rPr>
            </w:pPr>
          </w:p>
        </w:tc>
        <w:tc>
          <w:tcPr>
            <w:tcW w:w="520" w:type="pct"/>
          </w:tcPr>
          <w:p w14:paraId="4CFE4732"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51FE2374" w14:textId="77777777" w:rsidR="00CE1436" w:rsidRDefault="00CE1436" w:rsidP="00444693">
            <w:pPr>
              <w:pStyle w:val="TableText"/>
              <w:widowControl w:val="0"/>
              <w:suppressAutoHyphens w:val="0"/>
              <w:spacing w:before="0" w:after="0" w:line="240" w:lineRule="auto"/>
              <w:jc w:val="center"/>
            </w:pPr>
            <w:r w:rsidRPr="00A800DB">
              <w:t>24.0</w:t>
            </w:r>
          </w:p>
        </w:tc>
        <w:tc>
          <w:tcPr>
            <w:tcW w:w="296" w:type="pct"/>
          </w:tcPr>
          <w:p w14:paraId="1DA2EE43"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0E9B4102"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51993D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14955B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56AAA72" w14:textId="77777777" w:rsidR="00CE1436" w:rsidRPr="003203B5" w:rsidRDefault="00CE1436" w:rsidP="00444693">
            <w:pPr>
              <w:pStyle w:val="TableText"/>
              <w:widowControl w:val="0"/>
              <w:suppressAutoHyphens w:val="0"/>
              <w:spacing w:before="0" w:after="0" w:line="240" w:lineRule="auto"/>
              <w:jc w:val="center"/>
            </w:pPr>
            <w:r>
              <w:rPr>
                <w:color w:val="1A1B1A"/>
                <w:szCs w:val="17"/>
              </w:rPr>
              <w:t>3.6</w:t>
            </w:r>
          </w:p>
        </w:tc>
        <w:tc>
          <w:tcPr>
            <w:tcW w:w="312" w:type="pct"/>
            <w:vAlign w:val="center"/>
          </w:tcPr>
          <w:p w14:paraId="0819A438"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ABDB2C9"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0.63</w:t>
            </w:r>
          </w:p>
        </w:tc>
        <w:tc>
          <w:tcPr>
            <w:tcW w:w="310" w:type="pct"/>
            <w:vAlign w:val="center"/>
          </w:tcPr>
          <w:p w14:paraId="3A80BCEF" w14:textId="77777777" w:rsidR="00CE1436" w:rsidRPr="0023247F" w:rsidRDefault="00CE1436" w:rsidP="00444693">
            <w:pPr>
              <w:pStyle w:val="TableText"/>
              <w:widowControl w:val="0"/>
              <w:suppressAutoHyphens w:val="0"/>
              <w:spacing w:before="0" w:after="0" w:line="240" w:lineRule="auto"/>
              <w:jc w:val="center"/>
            </w:pPr>
            <w:r>
              <w:rPr>
                <w:color w:val="1A1B1A"/>
                <w:szCs w:val="17"/>
              </w:rPr>
              <w:t>238</w:t>
            </w:r>
          </w:p>
        </w:tc>
      </w:tr>
      <w:tr w:rsidR="00CE1436" w:rsidRPr="0023247F" w14:paraId="0DB529E9" w14:textId="77777777" w:rsidTr="00444693">
        <w:trPr>
          <w:cantSplit/>
          <w:trHeight w:val="13"/>
        </w:trPr>
        <w:tc>
          <w:tcPr>
            <w:tcW w:w="521" w:type="pct"/>
            <w:vMerge/>
          </w:tcPr>
          <w:p w14:paraId="72ECC98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0FD508A"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11076CAB" w14:textId="77777777" w:rsidR="00CE1436"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64E087E1"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14C9AB14" w14:textId="77777777" w:rsidR="00CE1436" w:rsidRDefault="00CE1436" w:rsidP="00444693">
            <w:pPr>
              <w:pStyle w:val="TableText"/>
              <w:widowControl w:val="0"/>
              <w:suppressAutoHyphens w:val="0"/>
              <w:spacing w:before="0" w:after="0" w:line="240" w:lineRule="auto"/>
              <w:jc w:val="center"/>
            </w:pPr>
            <w:r w:rsidRPr="00A800DB">
              <w:t>24.0</w:t>
            </w:r>
          </w:p>
        </w:tc>
        <w:tc>
          <w:tcPr>
            <w:tcW w:w="296" w:type="pct"/>
            <w:tcBorders>
              <w:bottom w:val="single" w:sz="4" w:space="0" w:color="auto"/>
            </w:tcBorders>
          </w:tcPr>
          <w:p w14:paraId="17B4E274" w14:textId="77777777" w:rsidR="00CE1436" w:rsidRDefault="00CE1436" w:rsidP="00444693">
            <w:pPr>
              <w:pStyle w:val="TableText"/>
              <w:widowControl w:val="0"/>
              <w:suppressAutoHyphens w:val="0"/>
              <w:spacing w:before="0" w:after="0" w:line="240" w:lineRule="auto"/>
              <w:jc w:val="center"/>
              <w:rPr>
                <w:szCs w:val="17"/>
              </w:rPr>
            </w:pPr>
            <w:r>
              <w:rPr>
                <w:szCs w:val="17"/>
              </w:rPr>
              <w:t>100</w:t>
            </w:r>
          </w:p>
        </w:tc>
        <w:tc>
          <w:tcPr>
            <w:tcW w:w="312" w:type="pct"/>
            <w:tcBorders>
              <w:bottom w:val="single" w:sz="4" w:space="0" w:color="auto"/>
            </w:tcBorders>
          </w:tcPr>
          <w:p w14:paraId="11603ADC"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33BEBEA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37A5A18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68329819" w14:textId="77777777" w:rsidR="00CE1436" w:rsidRPr="003203B5" w:rsidRDefault="00CE1436" w:rsidP="00444693">
            <w:pPr>
              <w:pStyle w:val="TableText"/>
              <w:widowControl w:val="0"/>
              <w:suppressAutoHyphens w:val="0"/>
              <w:spacing w:before="0" w:after="0" w:line="240" w:lineRule="auto"/>
              <w:jc w:val="center"/>
            </w:pPr>
            <w:r>
              <w:rPr>
                <w:color w:val="1A1B1A"/>
                <w:szCs w:val="17"/>
              </w:rPr>
              <w:t>2.4</w:t>
            </w:r>
          </w:p>
        </w:tc>
        <w:tc>
          <w:tcPr>
            <w:tcW w:w="312" w:type="pct"/>
            <w:tcBorders>
              <w:bottom w:val="single" w:sz="4" w:space="0" w:color="auto"/>
            </w:tcBorders>
            <w:vAlign w:val="center"/>
          </w:tcPr>
          <w:p w14:paraId="7801F20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7DAF463E"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0.42</w:t>
            </w:r>
          </w:p>
        </w:tc>
        <w:tc>
          <w:tcPr>
            <w:tcW w:w="310" w:type="pct"/>
            <w:tcBorders>
              <w:bottom w:val="single" w:sz="4" w:space="0" w:color="auto"/>
            </w:tcBorders>
            <w:vAlign w:val="center"/>
          </w:tcPr>
          <w:p w14:paraId="4826A5D8" w14:textId="77777777" w:rsidR="00CE1436" w:rsidRPr="0023247F" w:rsidRDefault="00CE1436" w:rsidP="00444693">
            <w:pPr>
              <w:pStyle w:val="TableText"/>
              <w:widowControl w:val="0"/>
              <w:suppressAutoHyphens w:val="0"/>
              <w:spacing w:before="0" w:after="0" w:line="240" w:lineRule="auto"/>
              <w:jc w:val="center"/>
            </w:pPr>
            <w:r>
              <w:rPr>
                <w:color w:val="1A1B1A"/>
                <w:szCs w:val="17"/>
              </w:rPr>
              <w:t>238</w:t>
            </w:r>
          </w:p>
        </w:tc>
      </w:tr>
      <w:tr w:rsidR="00CE1436" w:rsidRPr="00886278" w14:paraId="76046758" w14:textId="77777777" w:rsidTr="00444693">
        <w:trPr>
          <w:cantSplit/>
          <w:trHeight w:val="13"/>
        </w:trPr>
        <w:tc>
          <w:tcPr>
            <w:tcW w:w="521" w:type="pct"/>
            <w:vMerge/>
          </w:tcPr>
          <w:p w14:paraId="7A158C5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27B59E07" w14:textId="77777777" w:rsidR="00CE1436" w:rsidRPr="00886278" w:rsidRDefault="00CE1436" w:rsidP="00444693">
            <w:pPr>
              <w:pStyle w:val="TableText"/>
              <w:widowControl w:val="0"/>
              <w:suppressAutoHyphens w:val="0"/>
              <w:spacing w:before="0" w:after="0" w:line="240" w:lineRule="auto"/>
              <w:rPr>
                <w:szCs w:val="17"/>
              </w:rPr>
            </w:pPr>
            <w:r>
              <w:rPr>
                <w:szCs w:val="17"/>
              </w:rPr>
              <w:t>Small insectivore</w:t>
            </w:r>
          </w:p>
        </w:tc>
        <w:tc>
          <w:tcPr>
            <w:tcW w:w="445" w:type="pct"/>
            <w:vMerge w:val="restart"/>
            <w:tcBorders>
              <w:top w:val="single" w:sz="4" w:space="0" w:color="auto"/>
            </w:tcBorders>
          </w:tcPr>
          <w:p w14:paraId="7D7C43D6" w14:textId="77777777" w:rsidR="00CE1436" w:rsidRPr="00886278" w:rsidRDefault="00CE1436" w:rsidP="00444693">
            <w:pPr>
              <w:pStyle w:val="TableText"/>
              <w:widowControl w:val="0"/>
              <w:suppressAutoHyphens w:val="0"/>
              <w:spacing w:before="0" w:after="0" w:line="240" w:lineRule="auto"/>
              <w:rPr>
                <w:szCs w:val="17"/>
              </w:rPr>
            </w:pPr>
            <w:r>
              <w:rPr>
                <w:szCs w:val="17"/>
              </w:rPr>
              <w:t>BBCH 10-19</w:t>
            </w:r>
          </w:p>
        </w:tc>
        <w:tc>
          <w:tcPr>
            <w:tcW w:w="520" w:type="pct"/>
            <w:tcBorders>
              <w:top w:val="single" w:sz="4" w:space="0" w:color="auto"/>
            </w:tcBorders>
          </w:tcPr>
          <w:p w14:paraId="23436C05" w14:textId="77777777" w:rsidR="00CE1436" w:rsidRPr="00886278" w:rsidRDefault="00CE1436" w:rsidP="00444693">
            <w:pPr>
              <w:pStyle w:val="TableText"/>
              <w:widowControl w:val="0"/>
              <w:suppressAutoHyphens w:val="0"/>
              <w:spacing w:before="0" w:after="0" w:line="240" w:lineRule="auto"/>
              <w:jc w:val="center"/>
              <w:rPr>
                <w:szCs w:val="17"/>
              </w:rPr>
            </w:pPr>
            <w:r w:rsidRPr="00C61F1B">
              <w:rPr>
                <w:szCs w:val="17"/>
              </w:rPr>
              <w:t>Acute</w:t>
            </w:r>
          </w:p>
        </w:tc>
        <w:tc>
          <w:tcPr>
            <w:tcW w:w="446" w:type="pct"/>
            <w:tcBorders>
              <w:top w:val="single" w:sz="4" w:space="0" w:color="auto"/>
            </w:tcBorders>
          </w:tcPr>
          <w:p w14:paraId="6C93B848" w14:textId="77777777" w:rsidR="00CE1436" w:rsidRPr="00886278" w:rsidRDefault="00CE1436" w:rsidP="00444693">
            <w:pPr>
              <w:pStyle w:val="TableText"/>
              <w:widowControl w:val="0"/>
              <w:suppressAutoHyphens w:val="0"/>
              <w:spacing w:before="0" w:after="0" w:line="240" w:lineRule="auto"/>
              <w:jc w:val="center"/>
              <w:rPr>
                <w:szCs w:val="17"/>
              </w:rPr>
            </w:pPr>
            <w:r>
              <w:t>26.8</w:t>
            </w:r>
          </w:p>
        </w:tc>
        <w:tc>
          <w:tcPr>
            <w:tcW w:w="296" w:type="pct"/>
            <w:tcBorders>
              <w:top w:val="single" w:sz="4" w:space="0" w:color="auto"/>
            </w:tcBorders>
          </w:tcPr>
          <w:p w14:paraId="7A119265"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324</w:t>
            </w:r>
          </w:p>
        </w:tc>
        <w:tc>
          <w:tcPr>
            <w:tcW w:w="312" w:type="pct"/>
            <w:tcBorders>
              <w:top w:val="single" w:sz="4" w:space="0" w:color="auto"/>
            </w:tcBorders>
          </w:tcPr>
          <w:p w14:paraId="0F2A30CB"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609E9836"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3F423FDC"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6B98B88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8.7</w:t>
            </w:r>
          </w:p>
        </w:tc>
        <w:tc>
          <w:tcPr>
            <w:tcW w:w="312" w:type="pct"/>
            <w:tcBorders>
              <w:top w:val="single" w:sz="4" w:space="0" w:color="auto"/>
            </w:tcBorders>
            <w:vAlign w:val="center"/>
          </w:tcPr>
          <w:p w14:paraId="5CEB280B"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446C1F83"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10" w:type="pct"/>
            <w:tcBorders>
              <w:top w:val="single" w:sz="4" w:space="0" w:color="auto"/>
            </w:tcBorders>
            <w:vAlign w:val="center"/>
          </w:tcPr>
          <w:p w14:paraId="0301C58D"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52938737" w14:textId="77777777" w:rsidTr="00444693">
        <w:trPr>
          <w:cantSplit/>
          <w:trHeight w:val="13"/>
        </w:trPr>
        <w:tc>
          <w:tcPr>
            <w:tcW w:w="521" w:type="pct"/>
            <w:vMerge/>
          </w:tcPr>
          <w:p w14:paraId="21FD92D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top w:val="single" w:sz="4" w:space="0" w:color="auto"/>
            </w:tcBorders>
          </w:tcPr>
          <w:p w14:paraId="17F7BE18" w14:textId="77777777" w:rsidR="00CE1436" w:rsidRDefault="00CE1436" w:rsidP="00444693">
            <w:pPr>
              <w:pStyle w:val="TableText"/>
              <w:widowControl w:val="0"/>
              <w:suppressAutoHyphens w:val="0"/>
              <w:spacing w:before="0" w:after="0" w:line="240" w:lineRule="auto"/>
              <w:rPr>
                <w:szCs w:val="17"/>
              </w:rPr>
            </w:pPr>
          </w:p>
        </w:tc>
        <w:tc>
          <w:tcPr>
            <w:tcW w:w="445" w:type="pct"/>
            <w:vMerge/>
            <w:tcBorders>
              <w:top w:val="single" w:sz="4" w:space="0" w:color="auto"/>
            </w:tcBorders>
          </w:tcPr>
          <w:p w14:paraId="16444CBA" w14:textId="77777777" w:rsidR="00CE1436" w:rsidRDefault="00CE1436" w:rsidP="00444693">
            <w:pPr>
              <w:pStyle w:val="TableText"/>
              <w:widowControl w:val="0"/>
              <w:suppressAutoHyphens w:val="0"/>
              <w:spacing w:before="0" w:after="0" w:line="240" w:lineRule="auto"/>
              <w:rPr>
                <w:szCs w:val="17"/>
              </w:rPr>
            </w:pPr>
          </w:p>
        </w:tc>
        <w:tc>
          <w:tcPr>
            <w:tcW w:w="520" w:type="pct"/>
          </w:tcPr>
          <w:p w14:paraId="55404347"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1D61CE1E" w14:textId="77777777" w:rsidR="00CE1436" w:rsidRDefault="00CE1436" w:rsidP="00444693">
            <w:pPr>
              <w:pStyle w:val="TableText"/>
              <w:widowControl w:val="0"/>
              <w:suppressAutoHyphens w:val="0"/>
              <w:spacing w:before="0" w:after="0" w:line="240" w:lineRule="auto"/>
              <w:jc w:val="center"/>
            </w:pPr>
            <w:r>
              <w:t>26.8</w:t>
            </w:r>
          </w:p>
        </w:tc>
        <w:tc>
          <w:tcPr>
            <w:tcW w:w="296" w:type="pct"/>
          </w:tcPr>
          <w:p w14:paraId="4C2D07C6" w14:textId="77777777" w:rsidR="00CE1436" w:rsidRDefault="00CE1436" w:rsidP="00444693">
            <w:pPr>
              <w:pStyle w:val="TableText"/>
              <w:widowControl w:val="0"/>
              <w:suppressAutoHyphens w:val="0"/>
              <w:spacing w:before="0" w:after="0" w:line="240" w:lineRule="auto"/>
              <w:jc w:val="center"/>
              <w:rPr>
                <w:szCs w:val="17"/>
              </w:rPr>
            </w:pPr>
            <w:r>
              <w:rPr>
                <w:szCs w:val="17"/>
              </w:rPr>
              <w:t>250</w:t>
            </w:r>
          </w:p>
        </w:tc>
        <w:tc>
          <w:tcPr>
            <w:tcW w:w="312" w:type="pct"/>
          </w:tcPr>
          <w:p w14:paraId="76901D9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1CBB12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E56E3E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672E9FD" w14:textId="77777777" w:rsidR="00CE1436" w:rsidRPr="003203B5" w:rsidRDefault="00CE1436" w:rsidP="00444693">
            <w:pPr>
              <w:pStyle w:val="TableText"/>
              <w:widowControl w:val="0"/>
              <w:suppressAutoHyphens w:val="0"/>
              <w:spacing w:before="0" w:after="0" w:line="240" w:lineRule="auto"/>
              <w:jc w:val="center"/>
            </w:pPr>
            <w:r>
              <w:rPr>
                <w:color w:val="1A1B1A"/>
                <w:szCs w:val="17"/>
              </w:rPr>
              <w:t>6.7</w:t>
            </w:r>
          </w:p>
        </w:tc>
        <w:tc>
          <w:tcPr>
            <w:tcW w:w="312" w:type="pct"/>
            <w:vAlign w:val="center"/>
          </w:tcPr>
          <w:p w14:paraId="31878885"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378D28AA"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1.2</w:t>
            </w:r>
          </w:p>
        </w:tc>
        <w:tc>
          <w:tcPr>
            <w:tcW w:w="310" w:type="pct"/>
            <w:vAlign w:val="center"/>
          </w:tcPr>
          <w:p w14:paraId="3D5DCD23"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56F58438" w14:textId="77777777" w:rsidTr="00444693">
        <w:trPr>
          <w:cantSplit/>
          <w:trHeight w:val="13"/>
        </w:trPr>
        <w:tc>
          <w:tcPr>
            <w:tcW w:w="521" w:type="pct"/>
            <w:vMerge/>
          </w:tcPr>
          <w:p w14:paraId="00B7181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top w:val="single" w:sz="4" w:space="0" w:color="auto"/>
            </w:tcBorders>
          </w:tcPr>
          <w:p w14:paraId="0B249675" w14:textId="77777777" w:rsidR="00CE1436" w:rsidRDefault="00CE1436" w:rsidP="00444693">
            <w:pPr>
              <w:pStyle w:val="TableText"/>
              <w:widowControl w:val="0"/>
              <w:suppressAutoHyphens w:val="0"/>
              <w:spacing w:before="0" w:after="0" w:line="240" w:lineRule="auto"/>
              <w:rPr>
                <w:szCs w:val="17"/>
              </w:rPr>
            </w:pPr>
          </w:p>
        </w:tc>
        <w:tc>
          <w:tcPr>
            <w:tcW w:w="445" w:type="pct"/>
            <w:vMerge/>
            <w:tcBorders>
              <w:top w:val="single" w:sz="4" w:space="0" w:color="auto"/>
            </w:tcBorders>
          </w:tcPr>
          <w:p w14:paraId="15ACC765" w14:textId="77777777" w:rsidR="00CE1436" w:rsidRDefault="00CE1436" w:rsidP="00444693">
            <w:pPr>
              <w:pStyle w:val="TableText"/>
              <w:widowControl w:val="0"/>
              <w:suppressAutoHyphens w:val="0"/>
              <w:spacing w:before="0" w:after="0" w:line="240" w:lineRule="auto"/>
              <w:rPr>
                <w:szCs w:val="17"/>
              </w:rPr>
            </w:pPr>
          </w:p>
        </w:tc>
        <w:tc>
          <w:tcPr>
            <w:tcW w:w="520" w:type="pct"/>
          </w:tcPr>
          <w:p w14:paraId="206A3836"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25FB2887" w14:textId="77777777" w:rsidR="00CE1436" w:rsidRDefault="00CE1436" w:rsidP="00444693">
            <w:pPr>
              <w:pStyle w:val="TableText"/>
              <w:widowControl w:val="0"/>
              <w:suppressAutoHyphens w:val="0"/>
              <w:spacing w:before="0" w:after="0" w:line="240" w:lineRule="auto"/>
              <w:jc w:val="center"/>
            </w:pPr>
            <w:r w:rsidRPr="00BE0E4F">
              <w:t>26.8</w:t>
            </w:r>
          </w:p>
        </w:tc>
        <w:tc>
          <w:tcPr>
            <w:tcW w:w="296" w:type="pct"/>
          </w:tcPr>
          <w:p w14:paraId="2F4E8804"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Pr>
          <w:p w14:paraId="72C4CFCA"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36461C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D079BA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7EB54BF" w14:textId="77777777" w:rsidR="00CE1436" w:rsidRPr="003203B5" w:rsidRDefault="00CE1436" w:rsidP="00444693">
            <w:pPr>
              <w:pStyle w:val="TableText"/>
              <w:widowControl w:val="0"/>
              <w:suppressAutoHyphens w:val="0"/>
              <w:spacing w:before="0" w:after="0" w:line="240" w:lineRule="auto"/>
              <w:jc w:val="center"/>
            </w:pPr>
            <w:r>
              <w:rPr>
                <w:color w:val="1A1B1A"/>
                <w:szCs w:val="17"/>
              </w:rPr>
              <w:t>5.8</w:t>
            </w:r>
          </w:p>
        </w:tc>
        <w:tc>
          <w:tcPr>
            <w:tcW w:w="312" w:type="pct"/>
            <w:vAlign w:val="center"/>
          </w:tcPr>
          <w:p w14:paraId="4A1EFFA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241679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1.0</w:t>
            </w:r>
          </w:p>
        </w:tc>
        <w:tc>
          <w:tcPr>
            <w:tcW w:w="310" w:type="pct"/>
            <w:vAlign w:val="center"/>
          </w:tcPr>
          <w:p w14:paraId="42306DEA"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25D9CB6F" w14:textId="77777777" w:rsidTr="00444693">
        <w:trPr>
          <w:cantSplit/>
          <w:trHeight w:val="13"/>
        </w:trPr>
        <w:tc>
          <w:tcPr>
            <w:tcW w:w="521" w:type="pct"/>
            <w:vMerge/>
          </w:tcPr>
          <w:p w14:paraId="23DE4CD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top w:val="single" w:sz="4" w:space="0" w:color="auto"/>
            </w:tcBorders>
          </w:tcPr>
          <w:p w14:paraId="223758B5" w14:textId="77777777" w:rsidR="00CE1436" w:rsidRDefault="00CE1436" w:rsidP="00444693">
            <w:pPr>
              <w:pStyle w:val="TableText"/>
              <w:widowControl w:val="0"/>
              <w:suppressAutoHyphens w:val="0"/>
              <w:spacing w:before="0" w:after="0" w:line="240" w:lineRule="auto"/>
              <w:rPr>
                <w:szCs w:val="17"/>
              </w:rPr>
            </w:pPr>
          </w:p>
        </w:tc>
        <w:tc>
          <w:tcPr>
            <w:tcW w:w="445" w:type="pct"/>
            <w:vMerge/>
            <w:tcBorders>
              <w:top w:val="single" w:sz="4" w:space="0" w:color="auto"/>
            </w:tcBorders>
          </w:tcPr>
          <w:p w14:paraId="4052E7DA" w14:textId="77777777" w:rsidR="00CE1436" w:rsidRDefault="00CE1436" w:rsidP="00444693">
            <w:pPr>
              <w:pStyle w:val="TableText"/>
              <w:widowControl w:val="0"/>
              <w:suppressAutoHyphens w:val="0"/>
              <w:spacing w:before="0" w:after="0" w:line="240" w:lineRule="auto"/>
              <w:rPr>
                <w:szCs w:val="17"/>
              </w:rPr>
            </w:pPr>
          </w:p>
        </w:tc>
        <w:tc>
          <w:tcPr>
            <w:tcW w:w="520" w:type="pct"/>
          </w:tcPr>
          <w:p w14:paraId="479576B4"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4BF7AF6E" w14:textId="77777777" w:rsidR="00CE1436" w:rsidRDefault="00CE1436" w:rsidP="00444693">
            <w:pPr>
              <w:pStyle w:val="TableText"/>
              <w:widowControl w:val="0"/>
              <w:suppressAutoHyphens w:val="0"/>
              <w:spacing w:before="0" w:after="0" w:line="240" w:lineRule="auto"/>
              <w:jc w:val="center"/>
            </w:pPr>
            <w:r w:rsidRPr="00BE0E4F">
              <w:t>26.8</w:t>
            </w:r>
          </w:p>
        </w:tc>
        <w:tc>
          <w:tcPr>
            <w:tcW w:w="296" w:type="pct"/>
          </w:tcPr>
          <w:p w14:paraId="7811F935" w14:textId="77777777" w:rsidR="00CE1436" w:rsidRDefault="00CE1436" w:rsidP="00444693">
            <w:pPr>
              <w:pStyle w:val="TableText"/>
              <w:widowControl w:val="0"/>
              <w:suppressAutoHyphens w:val="0"/>
              <w:spacing w:before="0" w:after="0" w:line="240" w:lineRule="auto"/>
              <w:jc w:val="center"/>
              <w:rPr>
                <w:szCs w:val="17"/>
              </w:rPr>
            </w:pPr>
            <w:r>
              <w:rPr>
                <w:szCs w:val="17"/>
              </w:rPr>
              <w:t>200</w:t>
            </w:r>
          </w:p>
        </w:tc>
        <w:tc>
          <w:tcPr>
            <w:tcW w:w="312" w:type="pct"/>
          </w:tcPr>
          <w:p w14:paraId="649255D2"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CF344F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BA96BE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2D9C80C3" w14:textId="77777777" w:rsidR="00CE1436" w:rsidRPr="003203B5" w:rsidRDefault="00CE1436" w:rsidP="00444693">
            <w:pPr>
              <w:pStyle w:val="TableText"/>
              <w:widowControl w:val="0"/>
              <w:suppressAutoHyphens w:val="0"/>
              <w:spacing w:before="0" w:after="0" w:line="240" w:lineRule="auto"/>
              <w:jc w:val="center"/>
            </w:pPr>
            <w:r>
              <w:rPr>
                <w:color w:val="1A1B1A"/>
                <w:szCs w:val="17"/>
              </w:rPr>
              <w:t>5.4</w:t>
            </w:r>
          </w:p>
        </w:tc>
        <w:tc>
          <w:tcPr>
            <w:tcW w:w="312" w:type="pct"/>
            <w:vAlign w:val="center"/>
          </w:tcPr>
          <w:p w14:paraId="68049393"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29E6D55"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0.94</w:t>
            </w:r>
          </w:p>
        </w:tc>
        <w:tc>
          <w:tcPr>
            <w:tcW w:w="310" w:type="pct"/>
            <w:vAlign w:val="center"/>
          </w:tcPr>
          <w:p w14:paraId="62D5242D"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7640009C" w14:textId="77777777" w:rsidTr="00444693">
        <w:trPr>
          <w:cantSplit/>
          <w:trHeight w:val="13"/>
        </w:trPr>
        <w:tc>
          <w:tcPr>
            <w:tcW w:w="521" w:type="pct"/>
            <w:vMerge/>
          </w:tcPr>
          <w:p w14:paraId="2F5E292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top w:val="single" w:sz="4" w:space="0" w:color="auto"/>
            </w:tcBorders>
          </w:tcPr>
          <w:p w14:paraId="4A5EAAF8" w14:textId="77777777" w:rsidR="00CE1436" w:rsidRDefault="00CE1436" w:rsidP="00444693">
            <w:pPr>
              <w:pStyle w:val="TableText"/>
              <w:widowControl w:val="0"/>
              <w:suppressAutoHyphens w:val="0"/>
              <w:spacing w:before="0" w:after="0" w:line="240" w:lineRule="auto"/>
              <w:rPr>
                <w:szCs w:val="17"/>
              </w:rPr>
            </w:pPr>
          </w:p>
        </w:tc>
        <w:tc>
          <w:tcPr>
            <w:tcW w:w="445" w:type="pct"/>
            <w:vMerge/>
            <w:tcBorders>
              <w:top w:val="single" w:sz="4" w:space="0" w:color="auto"/>
            </w:tcBorders>
          </w:tcPr>
          <w:p w14:paraId="2CD1BD18" w14:textId="77777777" w:rsidR="00CE1436" w:rsidRDefault="00CE1436" w:rsidP="00444693">
            <w:pPr>
              <w:pStyle w:val="TableText"/>
              <w:widowControl w:val="0"/>
              <w:suppressAutoHyphens w:val="0"/>
              <w:spacing w:before="0" w:after="0" w:line="240" w:lineRule="auto"/>
              <w:rPr>
                <w:szCs w:val="17"/>
              </w:rPr>
            </w:pPr>
          </w:p>
        </w:tc>
        <w:tc>
          <w:tcPr>
            <w:tcW w:w="520" w:type="pct"/>
          </w:tcPr>
          <w:p w14:paraId="055002C3"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Pr>
          <w:p w14:paraId="6986996D" w14:textId="77777777" w:rsidR="00CE1436" w:rsidRDefault="00CE1436" w:rsidP="00444693">
            <w:pPr>
              <w:pStyle w:val="TableText"/>
              <w:widowControl w:val="0"/>
              <w:suppressAutoHyphens w:val="0"/>
              <w:spacing w:before="0" w:after="0" w:line="240" w:lineRule="auto"/>
              <w:jc w:val="center"/>
            </w:pPr>
            <w:r w:rsidRPr="00BE0E4F">
              <w:t>26.8</w:t>
            </w:r>
          </w:p>
        </w:tc>
        <w:tc>
          <w:tcPr>
            <w:tcW w:w="296" w:type="pct"/>
          </w:tcPr>
          <w:p w14:paraId="6BB8D957" w14:textId="77777777" w:rsidR="00CE1436" w:rsidRDefault="00CE1436" w:rsidP="00444693">
            <w:pPr>
              <w:pStyle w:val="TableText"/>
              <w:widowControl w:val="0"/>
              <w:suppressAutoHyphens w:val="0"/>
              <w:spacing w:before="0" w:after="0" w:line="240" w:lineRule="auto"/>
              <w:jc w:val="center"/>
              <w:rPr>
                <w:szCs w:val="17"/>
              </w:rPr>
            </w:pPr>
            <w:r>
              <w:rPr>
                <w:szCs w:val="17"/>
              </w:rPr>
              <w:t>150</w:t>
            </w:r>
          </w:p>
        </w:tc>
        <w:tc>
          <w:tcPr>
            <w:tcW w:w="312" w:type="pct"/>
          </w:tcPr>
          <w:p w14:paraId="2D76CA47"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13AE06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ABEDA3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6C6DFFA" w14:textId="77777777" w:rsidR="00CE1436" w:rsidRPr="003203B5" w:rsidRDefault="00CE1436" w:rsidP="00444693">
            <w:pPr>
              <w:pStyle w:val="TableText"/>
              <w:widowControl w:val="0"/>
              <w:suppressAutoHyphens w:val="0"/>
              <w:spacing w:before="0" w:after="0" w:line="240" w:lineRule="auto"/>
              <w:jc w:val="center"/>
            </w:pPr>
            <w:r>
              <w:rPr>
                <w:color w:val="1A1B1A"/>
                <w:szCs w:val="17"/>
              </w:rPr>
              <w:t>4.0</w:t>
            </w:r>
          </w:p>
        </w:tc>
        <w:tc>
          <w:tcPr>
            <w:tcW w:w="312" w:type="pct"/>
            <w:vAlign w:val="center"/>
          </w:tcPr>
          <w:p w14:paraId="268B4BCB"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8E779A5"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0.71</w:t>
            </w:r>
          </w:p>
        </w:tc>
        <w:tc>
          <w:tcPr>
            <w:tcW w:w="310" w:type="pct"/>
            <w:vAlign w:val="center"/>
          </w:tcPr>
          <w:p w14:paraId="7332930B" w14:textId="77777777" w:rsidR="00CE1436" w:rsidRPr="0023247F" w:rsidRDefault="00CE1436" w:rsidP="00444693">
            <w:pPr>
              <w:pStyle w:val="TableText"/>
              <w:widowControl w:val="0"/>
              <w:suppressAutoHyphens w:val="0"/>
              <w:spacing w:before="0" w:after="0" w:line="240" w:lineRule="auto"/>
              <w:jc w:val="center"/>
            </w:pPr>
            <w:r>
              <w:rPr>
                <w:color w:val="1A1B1A"/>
                <w:szCs w:val="17"/>
              </w:rPr>
              <w:t>213</w:t>
            </w:r>
          </w:p>
        </w:tc>
      </w:tr>
      <w:tr w:rsidR="00CE1436" w:rsidRPr="00886278" w14:paraId="3787C442" w14:textId="77777777" w:rsidTr="00444693">
        <w:trPr>
          <w:cantSplit/>
          <w:trHeight w:val="13"/>
        </w:trPr>
        <w:tc>
          <w:tcPr>
            <w:tcW w:w="521" w:type="pct"/>
            <w:vMerge/>
            <w:tcBorders>
              <w:bottom w:val="single" w:sz="4" w:space="0" w:color="auto"/>
            </w:tcBorders>
          </w:tcPr>
          <w:p w14:paraId="1064450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71B7F33A"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38FAFD4B" w14:textId="77777777" w:rsidR="00CE1436"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0FD3FE97" w14:textId="77777777" w:rsidR="00CE1436" w:rsidRPr="00C61F1B"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52DAA040" w14:textId="77777777" w:rsidR="00CE1436" w:rsidRDefault="00CE1436" w:rsidP="00444693">
            <w:pPr>
              <w:pStyle w:val="TableText"/>
              <w:widowControl w:val="0"/>
              <w:suppressAutoHyphens w:val="0"/>
              <w:spacing w:before="0" w:after="0" w:line="240" w:lineRule="auto"/>
              <w:jc w:val="center"/>
            </w:pPr>
            <w:r w:rsidRPr="00BE0E4F">
              <w:t>26.8</w:t>
            </w:r>
          </w:p>
        </w:tc>
        <w:tc>
          <w:tcPr>
            <w:tcW w:w="296" w:type="pct"/>
            <w:tcBorders>
              <w:bottom w:val="single" w:sz="4" w:space="0" w:color="auto"/>
            </w:tcBorders>
          </w:tcPr>
          <w:p w14:paraId="28429656"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100</w:t>
            </w:r>
          </w:p>
        </w:tc>
        <w:tc>
          <w:tcPr>
            <w:tcW w:w="312" w:type="pct"/>
            <w:tcBorders>
              <w:bottom w:val="single" w:sz="4" w:space="0" w:color="auto"/>
            </w:tcBorders>
          </w:tcPr>
          <w:p w14:paraId="1D8E27FA"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71A0674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31A6F73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6D67E77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2.7</w:t>
            </w:r>
          </w:p>
        </w:tc>
        <w:tc>
          <w:tcPr>
            <w:tcW w:w="312" w:type="pct"/>
            <w:tcBorders>
              <w:bottom w:val="single" w:sz="4" w:space="0" w:color="auto"/>
            </w:tcBorders>
            <w:vAlign w:val="center"/>
          </w:tcPr>
          <w:p w14:paraId="4627367D"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6962423C" w14:textId="77777777" w:rsidR="00CE1436" w:rsidRPr="00B927D6" w:rsidRDefault="00CE1436" w:rsidP="00444693">
            <w:pPr>
              <w:pStyle w:val="TableText"/>
              <w:widowControl w:val="0"/>
              <w:suppressAutoHyphens w:val="0"/>
              <w:spacing w:before="0" w:after="0" w:line="240" w:lineRule="auto"/>
              <w:jc w:val="center"/>
              <w:rPr>
                <w:b/>
                <w:bCs/>
              </w:rPr>
            </w:pPr>
            <w:r>
              <w:rPr>
                <w:color w:val="1A1B1A"/>
                <w:szCs w:val="17"/>
              </w:rPr>
              <w:t>0.47</w:t>
            </w:r>
          </w:p>
        </w:tc>
        <w:tc>
          <w:tcPr>
            <w:tcW w:w="310" w:type="pct"/>
            <w:tcBorders>
              <w:bottom w:val="single" w:sz="4" w:space="0" w:color="auto"/>
            </w:tcBorders>
            <w:vAlign w:val="center"/>
          </w:tcPr>
          <w:p w14:paraId="7993D60E" w14:textId="77777777" w:rsidR="00CE1436" w:rsidRPr="00886278" w:rsidRDefault="00CE1436" w:rsidP="00444693">
            <w:pPr>
              <w:pStyle w:val="TableText"/>
              <w:widowControl w:val="0"/>
              <w:suppressAutoHyphens w:val="0"/>
              <w:spacing w:before="0" w:after="0" w:line="240" w:lineRule="auto"/>
              <w:jc w:val="center"/>
            </w:pPr>
            <w:r>
              <w:rPr>
                <w:color w:val="1A1B1A"/>
                <w:szCs w:val="17"/>
              </w:rPr>
              <w:t>213</w:t>
            </w:r>
          </w:p>
        </w:tc>
      </w:tr>
      <w:tr w:rsidR="00CE1436" w:rsidRPr="0023247F" w14:paraId="61CA079E" w14:textId="77777777" w:rsidTr="00444693">
        <w:trPr>
          <w:cantSplit/>
          <w:trHeight w:val="13"/>
        </w:trPr>
        <w:tc>
          <w:tcPr>
            <w:tcW w:w="5000" w:type="pct"/>
            <w:gridSpan w:val="13"/>
            <w:tcBorders>
              <w:top w:val="single" w:sz="4" w:space="0" w:color="auto"/>
              <w:bottom w:val="single" w:sz="4" w:space="0" w:color="auto"/>
            </w:tcBorders>
          </w:tcPr>
          <w:p w14:paraId="6E80E47A" w14:textId="77777777" w:rsidR="00CE1436" w:rsidRPr="0023247F" w:rsidRDefault="00CE1436" w:rsidP="00AC06D7">
            <w:pPr>
              <w:pStyle w:val="TableSubHead0"/>
            </w:pPr>
            <w:r w:rsidRPr="001B1B9E">
              <w:t>General weed control in sugarcane (over the top spray)</w:t>
            </w:r>
          </w:p>
        </w:tc>
      </w:tr>
      <w:tr w:rsidR="00CE1436" w:rsidRPr="00886278" w14:paraId="2903906F" w14:textId="77777777" w:rsidTr="00444693">
        <w:trPr>
          <w:cantSplit/>
          <w:trHeight w:val="13"/>
        </w:trPr>
        <w:tc>
          <w:tcPr>
            <w:tcW w:w="521" w:type="pct"/>
            <w:vMerge w:val="restart"/>
            <w:tcBorders>
              <w:top w:val="single" w:sz="4" w:space="0" w:color="auto"/>
            </w:tcBorders>
          </w:tcPr>
          <w:p w14:paraId="1E931670" w14:textId="77777777" w:rsidR="00CE1436" w:rsidRPr="00886278" w:rsidRDefault="00CE1436" w:rsidP="00444693">
            <w:pPr>
              <w:pStyle w:val="TableText"/>
              <w:widowControl w:val="0"/>
              <w:suppressAutoHyphens w:val="0"/>
              <w:spacing w:before="0" w:after="0" w:line="240" w:lineRule="auto"/>
              <w:rPr>
                <w:szCs w:val="17"/>
              </w:rPr>
            </w:pPr>
            <w:r>
              <w:rPr>
                <w:szCs w:val="17"/>
              </w:rPr>
              <w:t>Maize</w:t>
            </w:r>
          </w:p>
        </w:tc>
        <w:tc>
          <w:tcPr>
            <w:tcW w:w="589" w:type="pct"/>
            <w:vMerge w:val="restart"/>
            <w:tcBorders>
              <w:top w:val="single" w:sz="4" w:space="0" w:color="auto"/>
            </w:tcBorders>
          </w:tcPr>
          <w:p w14:paraId="0BD07898" w14:textId="77777777" w:rsidR="00CE1436" w:rsidRPr="00886278" w:rsidRDefault="00CE1436" w:rsidP="00444693">
            <w:pPr>
              <w:pStyle w:val="TableText"/>
              <w:widowControl w:val="0"/>
              <w:suppressAutoHyphens w:val="0"/>
              <w:spacing w:before="0" w:after="0" w:line="240" w:lineRule="auto"/>
              <w:rPr>
                <w:szCs w:val="17"/>
              </w:rPr>
            </w:pPr>
            <w:r w:rsidRPr="00051DDD">
              <w:t>Medium herbivore/ granivore</w:t>
            </w:r>
          </w:p>
        </w:tc>
        <w:tc>
          <w:tcPr>
            <w:tcW w:w="445" w:type="pct"/>
            <w:vMerge w:val="restart"/>
            <w:tcBorders>
              <w:top w:val="single" w:sz="4" w:space="0" w:color="auto"/>
            </w:tcBorders>
          </w:tcPr>
          <w:p w14:paraId="57AF11A5" w14:textId="77777777" w:rsidR="00CE1436" w:rsidRPr="00886278" w:rsidRDefault="00CE1436" w:rsidP="00444693">
            <w:pPr>
              <w:pStyle w:val="TableText"/>
              <w:widowControl w:val="0"/>
              <w:suppressAutoHyphens w:val="0"/>
              <w:spacing w:before="0" w:after="0" w:line="240" w:lineRule="auto"/>
              <w:rPr>
                <w:szCs w:val="17"/>
              </w:rPr>
            </w:pPr>
            <w:r w:rsidRPr="00051DDD">
              <w:t>BBCH 10-29</w:t>
            </w:r>
          </w:p>
        </w:tc>
        <w:tc>
          <w:tcPr>
            <w:tcW w:w="520" w:type="pct"/>
            <w:tcBorders>
              <w:top w:val="single" w:sz="4" w:space="0" w:color="auto"/>
            </w:tcBorders>
          </w:tcPr>
          <w:p w14:paraId="7244CA25" w14:textId="77777777" w:rsidR="00CE1436" w:rsidRPr="00886278" w:rsidRDefault="00CE1436" w:rsidP="00444693">
            <w:pPr>
              <w:pStyle w:val="TableText"/>
              <w:widowControl w:val="0"/>
              <w:suppressAutoHyphens w:val="0"/>
              <w:spacing w:before="0" w:after="0" w:line="240" w:lineRule="auto"/>
              <w:jc w:val="center"/>
              <w:rPr>
                <w:szCs w:val="17"/>
              </w:rPr>
            </w:pPr>
            <w:r w:rsidRPr="00BB21ED">
              <w:rPr>
                <w:szCs w:val="17"/>
              </w:rPr>
              <w:t>Acute</w:t>
            </w:r>
          </w:p>
        </w:tc>
        <w:tc>
          <w:tcPr>
            <w:tcW w:w="446" w:type="pct"/>
            <w:tcBorders>
              <w:top w:val="single" w:sz="4" w:space="0" w:color="auto"/>
            </w:tcBorders>
            <w:shd w:val="clear" w:color="auto" w:fill="D5D7D5" w:themeFill="text1" w:themeFillTint="33"/>
          </w:tcPr>
          <w:p w14:paraId="540BDA29" w14:textId="77777777" w:rsidR="00CE1436" w:rsidRPr="00886278" w:rsidRDefault="00CE1436" w:rsidP="00444693">
            <w:pPr>
              <w:pStyle w:val="TableText"/>
              <w:widowControl w:val="0"/>
              <w:suppressAutoHyphens w:val="0"/>
              <w:spacing w:before="0" w:after="0" w:line="240" w:lineRule="auto"/>
              <w:jc w:val="center"/>
              <w:rPr>
                <w:szCs w:val="17"/>
              </w:rPr>
            </w:pPr>
            <w:r>
              <w:t>41.7</w:t>
            </w:r>
            <w:r w:rsidRPr="00880493">
              <w:rPr>
                <w:vertAlign w:val="superscript"/>
              </w:rPr>
              <w:t>b</w:t>
            </w:r>
          </w:p>
        </w:tc>
        <w:tc>
          <w:tcPr>
            <w:tcW w:w="296" w:type="pct"/>
            <w:tcBorders>
              <w:top w:val="single" w:sz="4" w:space="0" w:color="auto"/>
            </w:tcBorders>
          </w:tcPr>
          <w:p w14:paraId="65BD4650"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Borders>
              <w:top w:val="single" w:sz="4" w:space="0" w:color="auto"/>
            </w:tcBorders>
          </w:tcPr>
          <w:p w14:paraId="293F48B9"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7BD5BCFE"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51C049AB"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tcPr>
          <w:p w14:paraId="58D70674" w14:textId="77777777" w:rsidR="00CE1436" w:rsidRPr="00886278" w:rsidRDefault="00CE1436" w:rsidP="00444693">
            <w:pPr>
              <w:pStyle w:val="TableText"/>
              <w:widowControl w:val="0"/>
              <w:suppressAutoHyphens w:val="0"/>
              <w:spacing w:before="0" w:after="0" w:line="240" w:lineRule="auto"/>
              <w:jc w:val="center"/>
              <w:rPr>
                <w:szCs w:val="17"/>
              </w:rPr>
            </w:pPr>
            <w:r w:rsidRPr="008628E1">
              <w:t>17</w:t>
            </w:r>
          </w:p>
        </w:tc>
        <w:tc>
          <w:tcPr>
            <w:tcW w:w="312" w:type="pct"/>
            <w:tcBorders>
              <w:top w:val="single" w:sz="4" w:space="0" w:color="auto"/>
            </w:tcBorders>
          </w:tcPr>
          <w:p w14:paraId="4C1F681B" w14:textId="77777777" w:rsidR="00CE1436" w:rsidRPr="00886278" w:rsidRDefault="00CE1436" w:rsidP="00444693">
            <w:pPr>
              <w:pStyle w:val="TableText"/>
              <w:widowControl w:val="0"/>
              <w:suppressAutoHyphens w:val="0"/>
              <w:spacing w:before="0" w:after="0" w:line="240" w:lineRule="auto"/>
              <w:jc w:val="center"/>
            </w:pPr>
            <w:r w:rsidRPr="008628E1">
              <w:t>5.7</w:t>
            </w:r>
          </w:p>
        </w:tc>
        <w:tc>
          <w:tcPr>
            <w:tcW w:w="312" w:type="pct"/>
            <w:tcBorders>
              <w:top w:val="single" w:sz="4" w:space="0" w:color="auto"/>
            </w:tcBorders>
            <w:shd w:val="clear" w:color="auto" w:fill="FF0000"/>
          </w:tcPr>
          <w:p w14:paraId="6BE9B716" w14:textId="77777777" w:rsidR="00CE1436" w:rsidRPr="00215228" w:rsidRDefault="00CE1436" w:rsidP="00444693">
            <w:pPr>
              <w:pStyle w:val="TableText"/>
              <w:widowControl w:val="0"/>
              <w:suppressAutoHyphens w:val="0"/>
              <w:spacing w:before="0" w:after="0" w:line="240" w:lineRule="auto"/>
              <w:jc w:val="center"/>
              <w:rPr>
                <w:b/>
                <w:bCs/>
              </w:rPr>
            </w:pPr>
            <w:r w:rsidRPr="00215228">
              <w:rPr>
                <w:b/>
                <w:bCs/>
              </w:rPr>
              <w:t>2.9</w:t>
            </w:r>
          </w:p>
        </w:tc>
        <w:tc>
          <w:tcPr>
            <w:tcW w:w="310" w:type="pct"/>
            <w:tcBorders>
              <w:top w:val="single" w:sz="4" w:space="0" w:color="auto"/>
            </w:tcBorders>
          </w:tcPr>
          <w:p w14:paraId="0021BAB0" w14:textId="77777777" w:rsidR="00CE1436" w:rsidRPr="00886278" w:rsidRDefault="00CE1436" w:rsidP="00444693">
            <w:pPr>
              <w:pStyle w:val="TableText"/>
              <w:widowControl w:val="0"/>
              <w:suppressAutoHyphens w:val="0"/>
              <w:spacing w:before="0" w:after="0" w:line="240" w:lineRule="auto"/>
              <w:jc w:val="center"/>
            </w:pPr>
            <w:r w:rsidRPr="008628E1">
              <w:t>137</w:t>
            </w:r>
          </w:p>
        </w:tc>
      </w:tr>
      <w:tr w:rsidR="00CE1436" w:rsidRPr="00886278" w14:paraId="74926291" w14:textId="77777777" w:rsidTr="00444693">
        <w:trPr>
          <w:cantSplit/>
          <w:trHeight w:val="13"/>
        </w:trPr>
        <w:tc>
          <w:tcPr>
            <w:tcW w:w="521" w:type="pct"/>
            <w:vMerge/>
          </w:tcPr>
          <w:p w14:paraId="08C8C965"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19E2EC1B" w14:textId="77777777" w:rsidR="00CE1436" w:rsidRPr="00051DDD" w:rsidRDefault="00CE1436" w:rsidP="00444693">
            <w:pPr>
              <w:pStyle w:val="TableText"/>
              <w:widowControl w:val="0"/>
              <w:suppressAutoHyphens w:val="0"/>
              <w:spacing w:before="0" w:after="0" w:line="240" w:lineRule="auto"/>
            </w:pPr>
          </w:p>
        </w:tc>
        <w:tc>
          <w:tcPr>
            <w:tcW w:w="445" w:type="pct"/>
            <w:vMerge/>
          </w:tcPr>
          <w:p w14:paraId="31887511" w14:textId="77777777" w:rsidR="00CE1436" w:rsidRPr="00051DDD" w:rsidRDefault="00CE1436" w:rsidP="00444693">
            <w:pPr>
              <w:pStyle w:val="TableText"/>
              <w:widowControl w:val="0"/>
              <w:suppressAutoHyphens w:val="0"/>
              <w:spacing w:before="0" w:after="0" w:line="240" w:lineRule="auto"/>
            </w:pPr>
          </w:p>
        </w:tc>
        <w:tc>
          <w:tcPr>
            <w:tcW w:w="520" w:type="pct"/>
          </w:tcPr>
          <w:p w14:paraId="5AFFDBED"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24A4E944" w14:textId="77777777" w:rsidR="00CE1436" w:rsidRPr="00430946" w:rsidRDefault="00CE1436" w:rsidP="00444693">
            <w:pPr>
              <w:pStyle w:val="TableText"/>
              <w:widowControl w:val="0"/>
              <w:suppressAutoHyphens w:val="0"/>
              <w:spacing w:before="0" w:after="0" w:line="240" w:lineRule="auto"/>
              <w:jc w:val="center"/>
            </w:pPr>
            <w:r w:rsidRPr="005300F4">
              <w:t>41.7</w:t>
            </w:r>
            <w:r w:rsidRPr="005300F4">
              <w:rPr>
                <w:vertAlign w:val="superscript"/>
              </w:rPr>
              <w:t>b</w:t>
            </w:r>
          </w:p>
        </w:tc>
        <w:tc>
          <w:tcPr>
            <w:tcW w:w="296" w:type="pct"/>
          </w:tcPr>
          <w:p w14:paraId="6595AB32" w14:textId="77777777" w:rsidR="00CE1436" w:rsidRDefault="00CE1436" w:rsidP="00444693">
            <w:pPr>
              <w:pStyle w:val="TableText"/>
              <w:widowControl w:val="0"/>
              <w:suppressAutoHyphens w:val="0"/>
              <w:spacing w:before="0" w:after="0" w:line="240" w:lineRule="auto"/>
              <w:jc w:val="center"/>
              <w:rPr>
                <w:szCs w:val="17"/>
              </w:rPr>
            </w:pPr>
            <w:r>
              <w:rPr>
                <w:szCs w:val="17"/>
              </w:rPr>
              <w:t>270</w:t>
            </w:r>
          </w:p>
        </w:tc>
        <w:tc>
          <w:tcPr>
            <w:tcW w:w="312" w:type="pct"/>
          </w:tcPr>
          <w:p w14:paraId="39D580A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EB6025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785158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0798C0C8" w14:textId="77777777" w:rsidR="00CE1436" w:rsidRPr="00886278" w:rsidRDefault="00CE1436" w:rsidP="00444693">
            <w:pPr>
              <w:pStyle w:val="TableText"/>
              <w:widowControl w:val="0"/>
              <w:suppressAutoHyphens w:val="0"/>
              <w:spacing w:before="0" w:after="0" w:line="240" w:lineRule="auto"/>
              <w:jc w:val="center"/>
              <w:rPr>
                <w:szCs w:val="17"/>
              </w:rPr>
            </w:pPr>
            <w:r w:rsidRPr="008628E1">
              <w:t>11</w:t>
            </w:r>
          </w:p>
        </w:tc>
        <w:tc>
          <w:tcPr>
            <w:tcW w:w="312" w:type="pct"/>
          </w:tcPr>
          <w:p w14:paraId="0A28641E" w14:textId="77777777" w:rsidR="00CE1436" w:rsidRPr="007F412F" w:rsidRDefault="00CE1436" w:rsidP="00444693">
            <w:pPr>
              <w:pStyle w:val="TableText"/>
              <w:widowControl w:val="0"/>
              <w:suppressAutoHyphens w:val="0"/>
              <w:spacing w:before="0" w:after="0" w:line="240" w:lineRule="auto"/>
              <w:jc w:val="center"/>
            </w:pPr>
            <w:r w:rsidRPr="008628E1">
              <w:t>5.7</w:t>
            </w:r>
          </w:p>
        </w:tc>
        <w:tc>
          <w:tcPr>
            <w:tcW w:w="312" w:type="pct"/>
            <w:shd w:val="clear" w:color="auto" w:fill="FF0000"/>
          </w:tcPr>
          <w:p w14:paraId="4A9593DC" w14:textId="77777777" w:rsidR="00CE1436" w:rsidRPr="00215228" w:rsidRDefault="00CE1436" w:rsidP="00444693">
            <w:pPr>
              <w:pStyle w:val="TableText"/>
              <w:widowControl w:val="0"/>
              <w:suppressAutoHyphens w:val="0"/>
              <w:spacing w:before="0" w:after="0" w:line="240" w:lineRule="auto"/>
              <w:jc w:val="center"/>
              <w:rPr>
                <w:b/>
                <w:bCs/>
              </w:rPr>
            </w:pPr>
            <w:r w:rsidRPr="00215228">
              <w:rPr>
                <w:b/>
                <w:bCs/>
              </w:rPr>
              <w:t>2.0</w:t>
            </w:r>
          </w:p>
        </w:tc>
        <w:tc>
          <w:tcPr>
            <w:tcW w:w="310" w:type="pct"/>
          </w:tcPr>
          <w:p w14:paraId="67564B44" w14:textId="77777777" w:rsidR="00CE1436" w:rsidRPr="00886278" w:rsidRDefault="00CE1436" w:rsidP="00444693">
            <w:pPr>
              <w:pStyle w:val="TableText"/>
              <w:widowControl w:val="0"/>
              <w:suppressAutoHyphens w:val="0"/>
              <w:spacing w:before="0" w:after="0" w:line="240" w:lineRule="auto"/>
              <w:jc w:val="center"/>
            </w:pPr>
            <w:r w:rsidRPr="008628E1">
              <w:t>137</w:t>
            </w:r>
          </w:p>
        </w:tc>
      </w:tr>
      <w:tr w:rsidR="00CE1436" w:rsidRPr="0023247F" w14:paraId="329A1AA9" w14:textId="77777777" w:rsidTr="00444693">
        <w:trPr>
          <w:cantSplit/>
          <w:trHeight w:val="13"/>
        </w:trPr>
        <w:tc>
          <w:tcPr>
            <w:tcW w:w="521" w:type="pct"/>
            <w:vMerge/>
          </w:tcPr>
          <w:p w14:paraId="2EDC3FF9"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528F117E" w14:textId="77777777" w:rsidR="00CE1436" w:rsidRPr="00051DDD"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559EE70A" w14:textId="77777777" w:rsidR="00CE1436" w:rsidRPr="00051DDD"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4C12436C"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shd w:val="clear" w:color="auto" w:fill="D5D7D5" w:themeFill="text1" w:themeFillTint="33"/>
          </w:tcPr>
          <w:p w14:paraId="73B16970" w14:textId="77777777" w:rsidR="00CE1436" w:rsidRPr="00430946" w:rsidRDefault="00CE1436" w:rsidP="00444693">
            <w:pPr>
              <w:pStyle w:val="TableText"/>
              <w:widowControl w:val="0"/>
              <w:suppressAutoHyphens w:val="0"/>
              <w:spacing w:before="0" w:after="0" w:line="240" w:lineRule="auto"/>
              <w:jc w:val="center"/>
            </w:pPr>
            <w:r w:rsidRPr="005300F4">
              <w:t>41.7</w:t>
            </w:r>
            <w:r w:rsidRPr="005300F4">
              <w:rPr>
                <w:vertAlign w:val="superscript"/>
              </w:rPr>
              <w:t>b</w:t>
            </w:r>
          </w:p>
        </w:tc>
        <w:tc>
          <w:tcPr>
            <w:tcW w:w="296" w:type="pct"/>
            <w:tcBorders>
              <w:bottom w:val="single" w:sz="4" w:space="0" w:color="auto"/>
            </w:tcBorders>
          </w:tcPr>
          <w:p w14:paraId="7826DA68"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Borders>
              <w:bottom w:val="single" w:sz="4" w:space="0" w:color="auto"/>
            </w:tcBorders>
          </w:tcPr>
          <w:p w14:paraId="0595B73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5BA1FD4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707DD61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tcPr>
          <w:p w14:paraId="268B3FFF" w14:textId="77777777" w:rsidR="00CE1436" w:rsidRPr="003203B5" w:rsidRDefault="00CE1436" w:rsidP="00444693">
            <w:pPr>
              <w:pStyle w:val="TableText"/>
              <w:widowControl w:val="0"/>
              <w:suppressAutoHyphens w:val="0"/>
              <w:spacing w:before="0" w:after="0" w:line="240" w:lineRule="auto"/>
              <w:jc w:val="center"/>
            </w:pPr>
            <w:r w:rsidRPr="008628E1">
              <w:t>9.0</w:t>
            </w:r>
          </w:p>
        </w:tc>
        <w:tc>
          <w:tcPr>
            <w:tcW w:w="312" w:type="pct"/>
            <w:tcBorders>
              <w:bottom w:val="single" w:sz="4" w:space="0" w:color="auto"/>
            </w:tcBorders>
          </w:tcPr>
          <w:p w14:paraId="4722D50E" w14:textId="77777777" w:rsidR="00CE1436" w:rsidRPr="007F412F" w:rsidRDefault="00CE1436" w:rsidP="00444693">
            <w:pPr>
              <w:pStyle w:val="TableText"/>
              <w:widowControl w:val="0"/>
              <w:suppressAutoHyphens w:val="0"/>
              <w:spacing w:before="0" w:after="0" w:line="240" w:lineRule="auto"/>
              <w:jc w:val="center"/>
            </w:pPr>
            <w:r w:rsidRPr="008628E1">
              <w:t>5.7</w:t>
            </w:r>
          </w:p>
        </w:tc>
        <w:tc>
          <w:tcPr>
            <w:tcW w:w="312" w:type="pct"/>
            <w:tcBorders>
              <w:bottom w:val="single" w:sz="4" w:space="0" w:color="auto"/>
            </w:tcBorders>
            <w:shd w:val="clear" w:color="auto" w:fill="FF0000"/>
          </w:tcPr>
          <w:p w14:paraId="1E545580" w14:textId="77777777" w:rsidR="00CE1436" w:rsidRPr="00215228" w:rsidRDefault="00CE1436" w:rsidP="00444693">
            <w:pPr>
              <w:pStyle w:val="TableText"/>
              <w:widowControl w:val="0"/>
              <w:suppressAutoHyphens w:val="0"/>
              <w:spacing w:before="0" w:after="0" w:line="240" w:lineRule="auto"/>
              <w:jc w:val="center"/>
              <w:rPr>
                <w:b/>
                <w:bCs/>
              </w:rPr>
            </w:pPr>
            <w:r w:rsidRPr="00215228">
              <w:rPr>
                <w:b/>
                <w:bCs/>
              </w:rPr>
              <w:t>1.6</w:t>
            </w:r>
          </w:p>
        </w:tc>
        <w:tc>
          <w:tcPr>
            <w:tcW w:w="310" w:type="pct"/>
            <w:tcBorders>
              <w:bottom w:val="single" w:sz="4" w:space="0" w:color="auto"/>
            </w:tcBorders>
          </w:tcPr>
          <w:p w14:paraId="2460DA0E" w14:textId="77777777" w:rsidR="00CE1436" w:rsidRPr="0023247F" w:rsidRDefault="00CE1436" w:rsidP="00444693">
            <w:pPr>
              <w:pStyle w:val="TableText"/>
              <w:widowControl w:val="0"/>
              <w:suppressAutoHyphens w:val="0"/>
              <w:spacing w:before="0" w:after="0" w:line="240" w:lineRule="auto"/>
              <w:jc w:val="center"/>
            </w:pPr>
            <w:r w:rsidRPr="008628E1">
              <w:t>137</w:t>
            </w:r>
          </w:p>
        </w:tc>
      </w:tr>
      <w:tr w:rsidR="00CE1436" w:rsidRPr="00886278" w14:paraId="4729464C" w14:textId="77777777" w:rsidTr="00444693">
        <w:trPr>
          <w:cantSplit/>
          <w:trHeight w:val="13"/>
        </w:trPr>
        <w:tc>
          <w:tcPr>
            <w:tcW w:w="521" w:type="pct"/>
            <w:vMerge/>
          </w:tcPr>
          <w:p w14:paraId="5CFD9B7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0842D8F0" w14:textId="77777777" w:rsidR="00CE1436" w:rsidRPr="00886278" w:rsidRDefault="00CE1436" w:rsidP="00444693">
            <w:pPr>
              <w:pStyle w:val="TableText"/>
              <w:widowControl w:val="0"/>
              <w:suppressAutoHyphens w:val="0"/>
              <w:spacing w:before="0" w:after="0" w:line="240" w:lineRule="auto"/>
              <w:rPr>
                <w:szCs w:val="17"/>
              </w:rPr>
            </w:pPr>
            <w:r w:rsidRPr="00051DDD">
              <w:t xml:space="preserve">Small omnivore </w:t>
            </w:r>
          </w:p>
        </w:tc>
        <w:tc>
          <w:tcPr>
            <w:tcW w:w="445" w:type="pct"/>
            <w:vMerge w:val="restart"/>
            <w:tcBorders>
              <w:top w:val="single" w:sz="4" w:space="0" w:color="auto"/>
            </w:tcBorders>
          </w:tcPr>
          <w:p w14:paraId="07893074" w14:textId="77777777" w:rsidR="00CE1436" w:rsidRPr="00886278" w:rsidRDefault="00CE1436" w:rsidP="00444693">
            <w:pPr>
              <w:pStyle w:val="TableText"/>
              <w:widowControl w:val="0"/>
              <w:suppressAutoHyphens w:val="0"/>
              <w:spacing w:before="0" w:after="0" w:line="240" w:lineRule="auto"/>
              <w:rPr>
                <w:szCs w:val="17"/>
              </w:rPr>
            </w:pPr>
            <w:r w:rsidRPr="00051DDD">
              <w:t>BBCH 10-29</w:t>
            </w:r>
          </w:p>
        </w:tc>
        <w:tc>
          <w:tcPr>
            <w:tcW w:w="520" w:type="pct"/>
            <w:tcBorders>
              <w:top w:val="single" w:sz="4" w:space="0" w:color="auto"/>
            </w:tcBorders>
          </w:tcPr>
          <w:p w14:paraId="35148DA2" w14:textId="77777777" w:rsidR="00CE1436" w:rsidRPr="00886278" w:rsidRDefault="00CE1436" w:rsidP="00444693">
            <w:pPr>
              <w:pStyle w:val="TableText"/>
              <w:widowControl w:val="0"/>
              <w:suppressAutoHyphens w:val="0"/>
              <w:spacing w:before="0" w:after="0" w:line="240" w:lineRule="auto"/>
              <w:jc w:val="center"/>
              <w:rPr>
                <w:szCs w:val="17"/>
              </w:rPr>
            </w:pPr>
            <w:r w:rsidRPr="00BB21ED">
              <w:rPr>
                <w:szCs w:val="17"/>
              </w:rPr>
              <w:t>Acute</w:t>
            </w:r>
          </w:p>
        </w:tc>
        <w:tc>
          <w:tcPr>
            <w:tcW w:w="446" w:type="pct"/>
            <w:tcBorders>
              <w:top w:val="single" w:sz="4" w:space="0" w:color="auto"/>
            </w:tcBorders>
            <w:shd w:val="clear" w:color="auto" w:fill="D5D7D5" w:themeFill="text1" w:themeFillTint="33"/>
          </w:tcPr>
          <w:p w14:paraId="708A623B" w14:textId="77777777" w:rsidR="00CE1436" w:rsidRPr="00886278" w:rsidRDefault="00CE1436" w:rsidP="00444693">
            <w:pPr>
              <w:pStyle w:val="TableText"/>
              <w:widowControl w:val="0"/>
              <w:suppressAutoHyphens w:val="0"/>
              <w:spacing w:before="0" w:after="0" w:line="240" w:lineRule="auto"/>
              <w:jc w:val="center"/>
              <w:rPr>
                <w:szCs w:val="17"/>
              </w:rPr>
            </w:pPr>
            <w:r>
              <w:t>18.1</w:t>
            </w:r>
            <w:r w:rsidRPr="00215228">
              <w:rPr>
                <w:vertAlign w:val="superscript"/>
              </w:rPr>
              <w:t>b</w:t>
            </w:r>
          </w:p>
        </w:tc>
        <w:tc>
          <w:tcPr>
            <w:tcW w:w="296" w:type="pct"/>
            <w:tcBorders>
              <w:top w:val="single" w:sz="4" w:space="0" w:color="auto"/>
            </w:tcBorders>
          </w:tcPr>
          <w:p w14:paraId="07E75E3C"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Borders>
              <w:top w:val="single" w:sz="4" w:space="0" w:color="auto"/>
            </w:tcBorders>
          </w:tcPr>
          <w:p w14:paraId="5216CD62"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4FD1FB2C"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459DA744"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tcPr>
          <w:p w14:paraId="4C26C534" w14:textId="77777777" w:rsidR="00CE1436" w:rsidRPr="00886278" w:rsidRDefault="00CE1436" w:rsidP="00444693">
            <w:pPr>
              <w:pStyle w:val="TableText"/>
              <w:widowControl w:val="0"/>
              <w:suppressAutoHyphens w:val="0"/>
              <w:spacing w:before="0" w:after="0" w:line="240" w:lineRule="auto"/>
              <w:jc w:val="center"/>
              <w:rPr>
                <w:szCs w:val="17"/>
              </w:rPr>
            </w:pPr>
            <w:r w:rsidRPr="008628E1">
              <w:t>7.2</w:t>
            </w:r>
          </w:p>
        </w:tc>
        <w:tc>
          <w:tcPr>
            <w:tcW w:w="312" w:type="pct"/>
            <w:tcBorders>
              <w:top w:val="single" w:sz="4" w:space="0" w:color="auto"/>
            </w:tcBorders>
          </w:tcPr>
          <w:p w14:paraId="06682C25" w14:textId="77777777" w:rsidR="00CE1436" w:rsidRPr="00886278" w:rsidRDefault="00CE1436" w:rsidP="00444693">
            <w:pPr>
              <w:pStyle w:val="TableText"/>
              <w:widowControl w:val="0"/>
              <w:suppressAutoHyphens w:val="0"/>
              <w:spacing w:before="0" w:after="0" w:line="240" w:lineRule="auto"/>
              <w:jc w:val="center"/>
            </w:pPr>
            <w:r w:rsidRPr="008628E1">
              <w:t>5.7</w:t>
            </w:r>
          </w:p>
        </w:tc>
        <w:tc>
          <w:tcPr>
            <w:tcW w:w="312" w:type="pct"/>
            <w:tcBorders>
              <w:top w:val="single" w:sz="4" w:space="0" w:color="auto"/>
            </w:tcBorders>
            <w:shd w:val="clear" w:color="auto" w:fill="FF0000"/>
          </w:tcPr>
          <w:p w14:paraId="65722928" w14:textId="77777777" w:rsidR="00CE1436" w:rsidRPr="00215228" w:rsidRDefault="00CE1436" w:rsidP="00444693">
            <w:pPr>
              <w:pStyle w:val="TableText"/>
              <w:widowControl w:val="0"/>
              <w:suppressAutoHyphens w:val="0"/>
              <w:spacing w:before="0" w:after="0" w:line="240" w:lineRule="auto"/>
              <w:jc w:val="center"/>
              <w:rPr>
                <w:b/>
                <w:bCs/>
              </w:rPr>
            </w:pPr>
            <w:r w:rsidRPr="00215228">
              <w:rPr>
                <w:b/>
                <w:bCs/>
              </w:rPr>
              <w:t>1.3</w:t>
            </w:r>
          </w:p>
        </w:tc>
        <w:tc>
          <w:tcPr>
            <w:tcW w:w="310" w:type="pct"/>
            <w:tcBorders>
              <w:top w:val="single" w:sz="4" w:space="0" w:color="auto"/>
            </w:tcBorders>
          </w:tcPr>
          <w:p w14:paraId="67A1D9B1" w14:textId="77777777" w:rsidR="00CE1436" w:rsidRPr="00886278" w:rsidRDefault="00CE1436" w:rsidP="00444693">
            <w:pPr>
              <w:pStyle w:val="TableText"/>
              <w:widowControl w:val="0"/>
              <w:suppressAutoHyphens w:val="0"/>
              <w:spacing w:before="0" w:after="0" w:line="240" w:lineRule="auto"/>
              <w:jc w:val="center"/>
            </w:pPr>
            <w:r w:rsidRPr="008628E1">
              <w:t>315</w:t>
            </w:r>
          </w:p>
        </w:tc>
      </w:tr>
      <w:tr w:rsidR="00CE1436" w:rsidRPr="00886278" w14:paraId="3AF47E0D" w14:textId="77777777" w:rsidTr="00444693">
        <w:trPr>
          <w:cantSplit/>
          <w:trHeight w:val="13"/>
        </w:trPr>
        <w:tc>
          <w:tcPr>
            <w:tcW w:w="521" w:type="pct"/>
            <w:vMerge/>
          </w:tcPr>
          <w:p w14:paraId="157ABA2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043931B" w14:textId="77777777" w:rsidR="00CE1436" w:rsidRPr="00051DDD" w:rsidRDefault="00CE1436" w:rsidP="00444693">
            <w:pPr>
              <w:pStyle w:val="TableText"/>
              <w:widowControl w:val="0"/>
              <w:suppressAutoHyphens w:val="0"/>
              <w:spacing w:before="0" w:after="0" w:line="240" w:lineRule="auto"/>
            </w:pPr>
          </w:p>
        </w:tc>
        <w:tc>
          <w:tcPr>
            <w:tcW w:w="445" w:type="pct"/>
            <w:vMerge/>
          </w:tcPr>
          <w:p w14:paraId="5B6F23BC" w14:textId="77777777" w:rsidR="00CE1436" w:rsidRPr="00051DDD" w:rsidRDefault="00CE1436" w:rsidP="00444693">
            <w:pPr>
              <w:pStyle w:val="TableText"/>
              <w:widowControl w:val="0"/>
              <w:suppressAutoHyphens w:val="0"/>
              <w:spacing w:before="0" w:after="0" w:line="240" w:lineRule="auto"/>
            </w:pPr>
          </w:p>
        </w:tc>
        <w:tc>
          <w:tcPr>
            <w:tcW w:w="520" w:type="pct"/>
          </w:tcPr>
          <w:p w14:paraId="51BAD496"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077A70E9" w14:textId="77777777" w:rsidR="00CE1436" w:rsidRPr="00430946" w:rsidRDefault="00CE1436" w:rsidP="00444693">
            <w:pPr>
              <w:pStyle w:val="TableText"/>
              <w:widowControl w:val="0"/>
              <w:suppressAutoHyphens w:val="0"/>
              <w:spacing w:before="0" w:after="0" w:line="240" w:lineRule="auto"/>
              <w:jc w:val="center"/>
            </w:pPr>
            <w:r w:rsidRPr="00F81247">
              <w:t>18.1</w:t>
            </w:r>
            <w:r w:rsidRPr="00F81247">
              <w:rPr>
                <w:vertAlign w:val="superscript"/>
              </w:rPr>
              <w:t>b</w:t>
            </w:r>
          </w:p>
        </w:tc>
        <w:tc>
          <w:tcPr>
            <w:tcW w:w="296" w:type="pct"/>
          </w:tcPr>
          <w:p w14:paraId="7F4A5C21"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270</w:t>
            </w:r>
          </w:p>
        </w:tc>
        <w:tc>
          <w:tcPr>
            <w:tcW w:w="312" w:type="pct"/>
          </w:tcPr>
          <w:p w14:paraId="62BD54BF"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4691FD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FF76FFF"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72904AE6" w14:textId="77777777" w:rsidR="00CE1436" w:rsidRPr="00886278" w:rsidRDefault="00CE1436" w:rsidP="00444693">
            <w:pPr>
              <w:pStyle w:val="TableText"/>
              <w:widowControl w:val="0"/>
              <w:suppressAutoHyphens w:val="0"/>
              <w:spacing w:before="0" w:after="0" w:line="240" w:lineRule="auto"/>
              <w:jc w:val="center"/>
              <w:rPr>
                <w:szCs w:val="17"/>
              </w:rPr>
            </w:pPr>
            <w:r w:rsidRPr="008628E1">
              <w:t>4.9</w:t>
            </w:r>
          </w:p>
        </w:tc>
        <w:tc>
          <w:tcPr>
            <w:tcW w:w="312" w:type="pct"/>
          </w:tcPr>
          <w:p w14:paraId="24963B6A" w14:textId="77777777" w:rsidR="00CE1436" w:rsidRPr="007F412F" w:rsidRDefault="00CE1436" w:rsidP="00444693">
            <w:pPr>
              <w:pStyle w:val="TableText"/>
              <w:widowControl w:val="0"/>
              <w:suppressAutoHyphens w:val="0"/>
              <w:spacing w:before="0" w:after="0" w:line="240" w:lineRule="auto"/>
              <w:jc w:val="center"/>
            </w:pPr>
            <w:r w:rsidRPr="008628E1">
              <w:t>5.7</w:t>
            </w:r>
          </w:p>
        </w:tc>
        <w:tc>
          <w:tcPr>
            <w:tcW w:w="312" w:type="pct"/>
          </w:tcPr>
          <w:p w14:paraId="32720DAD" w14:textId="77777777" w:rsidR="00CE1436" w:rsidRPr="00B927D6" w:rsidRDefault="00CE1436" w:rsidP="00444693">
            <w:pPr>
              <w:pStyle w:val="TableText"/>
              <w:widowControl w:val="0"/>
              <w:suppressAutoHyphens w:val="0"/>
              <w:spacing w:before="0" w:after="0" w:line="240" w:lineRule="auto"/>
              <w:jc w:val="center"/>
              <w:rPr>
                <w:b/>
                <w:bCs/>
              </w:rPr>
            </w:pPr>
            <w:r w:rsidRPr="008628E1">
              <w:t>0.86</w:t>
            </w:r>
          </w:p>
        </w:tc>
        <w:tc>
          <w:tcPr>
            <w:tcW w:w="310" w:type="pct"/>
          </w:tcPr>
          <w:p w14:paraId="5C837A37" w14:textId="77777777" w:rsidR="00CE1436" w:rsidRPr="00886278" w:rsidRDefault="00CE1436" w:rsidP="00444693">
            <w:pPr>
              <w:pStyle w:val="TableText"/>
              <w:widowControl w:val="0"/>
              <w:suppressAutoHyphens w:val="0"/>
              <w:spacing w:before="0" w:after="0" w:line="240" w:lineRule="auto"/>
              <w:jc w:val="center"/>
            </w:pPr>
            <w:r w:rsidRPr="008628E1">
              <w:t>315</w:t>
            </w:r>
          </w:p>
        </w:tc>
      </w:tr>
      <w:tr w:rsidR="00CE1436" w:rsidRPr="0023247F" w14:paraId="5A9FDDED" w14:textId="77777777" w:rsidTr="00444693">
        <w:trPr>
          <w:cantSplit/>
          <w:trHeight w:val="13"/>
        </w:trPr>
        <w:tc>
          <w:tcPr>
            <w:tcW w:w="521" w:type="pct"/>
            <w:vMerge/>
          </w:tcPr>
          <w:p w14:paraId="50948C0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6DCD5B3C" w14:textId="77777777" w:rsidR="00CE1436" w:rsidRPr="00051DDD"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7A31F372" w14:textId="77777777" w:rsidR="00CE1436" w:rsidRPr="00051DDD"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695556EB"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shd w:val="clear" w:color="auto" w:fill="D5D7D5" w:themeFill="text1" w:themeFillTint="33"/>
          </w:tcPr>
          <w:p w14:paraId="09F474FA" w14:textId="77777777" w:rsidR="00CE1436" w:rsidRPr="00430946" w:rsidRDefault="00CE1436" w:rsidP="00444693">
            <w:pPr>
              <w:pStyle w:val="TableText"/>
              <w:widowControl w:val="0"/>
              <w:suppressAutoHyphens w:val="0"/>
              <w:spacing w:before="0" w:after="0" w:line="240" w:lineRule="auto"/>
              <w:jc w:val="center"/>
            </w:pPr>
            <w:r w:rsidRPr="00F81247">
              <w:t>18.1</w:t>
            </w:r>
            <w:r w:rsidRPr="00F81247">
              <w:rPr>
                <w:vertAlign w:val="superscript"/>
              </w:rPr>
              <w:t>b</w:t>
            </w:r>
          </w:p>
        </w:tc>
        <w:tc>
          <w:tcPr>
            <w:tcW w:w="296" w:type="pct"/>
            <w:tcBorders>
              <w:bottom w:val="single" w:sz="4" w:space="0" w:color="auto"/>
            </w:tcBorders>
          </w:tcPr>
          <w:p w14:paraId="02385B1D"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Borders>
              <w:bottom w:val="single" w:sz="4" w:space="0" w:color="auto"/>
            </w:tcBorders>
          </w:tcPr>
          <w:p w14:paraId="470C152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3594DDD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2B0FCCC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tcPr>
          <w:p w14:paraId="182F2325" w14:textId="77777777" w:rsidR="00CE1436" w:rsidRPr="003203B5" w:rsidRDefault="00CE1436" w:rsidP="00444693">
            <w:pPr>
              <w:pStyle w:val="TableText"/>
              <w:widowControl w:val="0"/>
              <w:suppressAutoHyphens w:val="0"/>
              <w:spacing w:before="0" w:after="0" w:line="240" w:lineRule="auto"/>
              <w:jc w:val="center"/>
            </w:pPr>
            <w:r w:rsidRPr="008628E1">
              <w:t>3.9</w:t>
            </w:r>
          </w:p>
        </w:tc>
        <w:tc>
          <w:tcPr>
            <w:tcW w:w="312" w:type="pct"/>
            <w:tcBorders>
              <w:bottom w:val="single" w:sz="4" w:space="0" w:color="auto"/>
            </w:tcBorders>
          </w:tcPr>
          <w:p w14:paraId="6363EECC" w14:textId="77777777" w:rsidR="00CE1436" w:rsidRPr="007F412F" w:rsidRDefault="00CE1436" w:rsidP="00444693">
            <w:pPr>
              <w:pStyle w:val="TableText"/>
              <w:widowControl w:val="0"/>
              <w:suppressAutoHyphens w:val="0"/>
              <w:spacing w:before="0" w:after="0" w:line="240" w:lineRule="auto"/>
              <w:jc w:val="center"/>
            </w:pPr>
            <w:r w:rsidRPr="008628E1">
              <w:t>5.7</w:t>
            </w:r>
          </w:p>
        </w:tc>
        <w:tc>
          <w:tcPr>
            <w:tcW w:w="312" w:type="pct"/>
            <w:tcBorders>
              <w:bottom w:val="single" w:sz="4" w:space="0" w:color="auto"/>
            </w:tcBorders>
          </w:tcPr>
          <w:p w14:paraId="0BCCF655" w14:textId="77777777" w:rsidR="00CE1436" w:rsidRPr="00B927D6" w:rsidRDefault="00CE1436" w:rsidP="00444693">
            <w:pPr>
              <w:pStyle w:val="TableText"/>
              <w:widowControl w:val="0"/>
              <w:suppressAutoHyphens w:val="0"/>
              <w:spacing w:before="0" w:after="0" w:line="240" w:lineRule="auto"/>
              <w:jc w:val="center"/>
              <w:rPr>
                <w:b/>
                <w:bCs/>
              </w:rPr>
            </w:pPr>
            <w:r w:rsidRPr="008628E1">
              <w:t>0.69</w:t>
            </w:r>
          </w:p>
        </w:tc>
        <w:tc>
          <w:tcPr>
            <w:tcW w:w="310" w:type="pct"/>
            <w:tcBorders>
              <w:bottom w:val="single" w:sz="4" w:space="0" w:color="auto"/>
            </w:tcBorders>
          </w:tcPr>
          <w:p w14:paraId="5112D5C6" w14:textId="77777777" w:rsidR="00CE1436" w:rsidRPr="0023247F" w:rsidRDefault="00CE1436" w:rsidP="00444693">
            <w:pPr>
              <w:pStyle w:val="TableText"/>
              <w:widowControl w:val="0"/>
              <w:suppressAutoHyphens w:val="0"/>
              <w:spacing w:before="0" w:after="0" w:line="240" w:lineRule="auto"/>
              <w:jc w:val="center"/>
            </w:pPr>
            <w:r w:rsidRPr="008628E1">
              <w:t>315</w:t>
            </w:r>
          </w:p>
        </w:tc>
      </w:tr>
      <w:tr w:rsidR="00CE1436" w:rsidRPr="00886278" w14:paraId="5B73E82E" w14:textId="77777777" w:rsidTr="00444693">
        <w:trPr>
          <w:cantSplit/>
          <w:trHeight w:val="13"/>
        </w:trPr>
        <w:tc>
          <w:tcPr>
            <w:tcW w:w="521" w:type="pct"/>
            <w:vMerge/>
          </w:tcPr>
          <w:p w14:paraId="4211B48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3C465F74" w14:textId="77777777" w:rsidR="00CE1436" w:rsidRPr="00886278" w:rsidRDefault="00CE1436" w:rsidP="00444693">
            <w:pPr>
              <w:pStyle w:val="TableText"/>
              <w:widowControl w:val="0"/>
              <w:suppressAutoHyphens w:val="0"/>
              <w:spacing w:before="0" w:after="0" w:line="240" w:lineRule="auto"/>
              <w:rPr>
                <w:szCs w:val="17"/>
              </w:rPr>
            </w:pPr>
            <w:r w:rsidRPr="00051DDD">
              <w:t>Small insectivore</w:t>
            </w:r>
          </w:p>
        </w:tc>
        <w:tc>
          <w:tcPr>
            <w:tcW w:w="445" w:type="pct"/>
            <w:vMerge w:val="restart"/>
            <w:tcBorders>
              <w:top w:val="single" w:sz="4" w:space="0" w:color="auto"/>
            </w:tcBorders>
          </w:tcPr>
          <w:p w14:paraId="72C8AD85" w14:textId="77777777" w:rsidR="00CE1436" w:rsidRPr="00886278" w:rsidRDefault="00CE1436" w:rsidP="00444693">
            <w:pPr>
              <w:pStyle w:val="TableText"/>
              <w:widowControl w:val="0"/>
              <w:suppressAutoHyphens w:val="0"/>
              <w:spacing w:before="0" w:after="0" w:line="240" w:lineRule="auto"/>
              <w:rPr>
                <w:szCs w:val="17"/>
              </w:rPr>
            </w:pPr>
            <w:r w:rsidRPr="00051DDD">
              <w:t>BBCH 10-19</w:t>
            </w:r>
          </w:p>
        </w:tc>
        <w:tc>
          <w:tcPr>
            <w:tcW w:w="520" w:type="pct"/>
            <w:tcBorders>
              <w:top w:val="single" w:sz="4" w:space="0" w:color="auto"/>
            </w:tcBorders>
          </w:tcPr>
          <w:p w14:paraId="17B5B2FE" w14:textId="77777777" w:rsidR="00CE1436" w:rsidRPr="00886278" w:rsidRDefault="00CE1436" w:rsidP="00444693">
            <w:pPr>
              <w:pStyle w:val="TableText"/>
              <w:widowControl w:val="0"/>
              <w:suppressAutoHyphens w:val="0"/>
              <w:spacing w:before="0" w:after="0" w:line="240" w:lineRule="auto"/>
              <w:jc w:val="center"/>
              <w:rPr>
                <w:szCs w:val="17"/>
              </w:rPr>
            </w:pPr>
            <w:r w:rsidRPr="00BB21ED">
              <w:rPr>
                <w:szCs w:val="17"/>
              </w:rPr>
              <w:t>Acute</w:t>
            </w:r>
          </w:p>
        </w:tc>
        <w:tc>
          <w:tcPr>
            <w:tcW w:w="446" w:type="pct"/>
            <w:tcBorders>
              <w:top w:val="single" w:sz="4" w:space="0" w:color="auto"/>
            </w:tcBorders>
            <w:shd w:val="clear" w:color="auto" w:fill="D5D7D5" w:themeFill="text1" w:themeFillTint="33"/>
          </w:tcPr>
          <w:p w14:paraId="30A06E80" w14:textId="77777777" w:rsidR="00CE1436" w:rsidRPr="00886278" w:rsidRDefault="00CE1436" w:rsidP="00444693">
            <w:pPr>
              <w:pStyle w:val="TableText"/>
              <w:widowControl w:val="0"/>
              <w:suppressAutoHyphens w:val="0"/>
              <w:spacing w:before="0" w:after="0" w:line="240" w:lineRule="auto"/>
              <w:jc w:val="center"/>
              <w:rPr>
                <w:szCs w:val="17"/>
              </w:rPr>
            </w:pPr>
            <w:r>
              <w:t>18.9</w:t>
            </w:r>
            <w:r w:rsidRPr="00923A9B">
              <w:rPr>
                <w:vertAlign w:val="superscript"/>
              </w:rPr>
              <w:t>b</w:t>
            </w:r>
          </w:p>
        </w:tc>
        <w:tc>
          <w:tcPr>
            <w:tcW w:w="296" w:type="pct"/>
            <w:tcBorders>
              <w:top w:val="single" w:sz="4" w:space="0" w:color="auto"/>
            </w:tcBorders>
          </w:tcPr>
          <w:p w14:paraId="15BBEF22"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Borders>
              <w:top w:val="single" w:sz="4" w:space="0" w:color="auto"/>
            </w:tcBorders>
          </w:tcPr>
          <w:p w14:paraId="65D19B87"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35488261"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39BE9223"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tcPr>
          <w:p w14:paraId="5EF92CD1" w14:textId="77777777" w:rsidR="00CE1436" w:rsidRPr="00886278" w:rsidRDefault="00CE1436" w:rsidP="00444693">
            <w:pPr>
              <w:pStyle w:val="TableText"/>
              <w:widowControl w:val="0"/>
              <w:suppressAutoHyphens w:val="0"/>
              <w:spacing w:before="0" w:after="0" w:line="240" w:lineRule="auto"/>
              <w:jc w:val="center"/>
              <w:rPr>
                <w:szCs w:val="17"/>
              </w:rPr>
            </w:pPr>
            <w:r w:rsidRPr="008628E1">
              <w:t>7.6</w:t>
            </w:r>
          </w:p>
        </w:tc>
        <w:tc>
          <w:tcPr>
            <w:tcW w:w="312" w:type="pct"/>
            <w:tcBorders>
              <w:top w:val="single" w:sz="4" w:space="0" w:color="auto"/>
            </w:tcBorders>
          </w:tcPr>
          <w:p w14:paraId="1839418B" w14:textId="77777777" w:rsidR="00CE1436" w:rsidRPr="00886278" w:rsidRDefault="00CE1436" w:rsidP="00444693">
            <w:pPr>
              <w:pStyle w:val="TableText"/>
              <w:widowControl w:val="0"/>
              <w:suppressAutoHyphens w:val="0"/>
              <w:spacing w:before="0" w:after="0" w:line="240" w:lineRule="auto"/>
              <w:jc w:val="center"/>
            </w:pPr>
            <w:r w:rsidRPr="008628E1">
              <w:t>5.7</w:t>
            </w:r>
          </w:p>
        </w:tc>
        <w:tc>
          <w:tcPr>
            <w:tcW w:w="312" w:type="pct"/>
            <w:tcBorders>
              <w:top w:val="single" w:sz="4" w:space="0" w:color="auto"/>
            </w:tcBorders>
            <w:shd w:val="clear" w:color="auto" w:fill="FF0000"/>
          </w:tcPr>
          <w:p w14:paraId="67942F63" w14:textId="77777777" w:rsidR="00CE1436" w:rsidRPr="00215228" w:rsidRDefault="00CE1436" w:rsidP="00444693">
            <w:pPr>
              <w:pStyle w:val="TableText"/>
              <w:widowControl w:val="0"/>
              <w:suppressAutoHyphens w:val="0"/>
              <w:spacing w:before="0" w:after="0" w:line="240" w:lineRule="auto"/>
              <w:jc w:val="center"/>
              <w:rPr>
                <w:b/>
                <w:bCs/>
              </w:rPr>
            </w:pPr>
            <w:r w:rsidRPr="00215228">
              <w:rPr>
                <w:b/>
                <w:bCs/>
              </w:rPr>
              <w:t>1.3</w:t>
            </w:r>
          </w:p>
        </w:tc>
        <w:tc>
          <w:tcPr>
            <w:tcW w:w="310" w:type="pct"/>
            <w:tcBorders>
              <w:top w:val="single" w:sz="4" w:space="0" w:color="auto"/>
            </w:tcBorders>
          </w:tcPr>
          <w:p w14:paraId="3AEAC427" w14:textId="77777777" w:rsidR="00CE1436" w:rsidRPr="00886278" w:rsidRDefault="00CE1436" w:rsidP="00444693">
            <w:pPr>
              <w:pStyle w:val="TableText"/>
              <w:widowControl w:val="0"/>
              <w:suppressAutoHyphens w:val="0"/>
              <w:spacing w:before="0" w:after="0" w:line="240" w:lineRule="auto"/>
              <w:jc w:val="center"/>
            </w:pPr>
            <w:r w:rsidRPr="008628E1">
              <w:t>302</w:t>
            </w:r>
          </w:p>
        </w:tc>
      </w:tr>
      <w:tr w:rsidR="00CE1436" w:rsidRPr="00886278" w14:paraId="72BCDF39" w14:textId="77777777" w:rsidTr="00444693">
        <w:trPr>
          <w:cantSplit/>
          <w:trHeight w:val="13"/>
        </w:trPr>
        <w:tc>
          <w:tcPr>
            <w:tcW w:w="521" w:type="pct"/>
            <w:vMerge/>
          </w:tcPr>
          <w:p w14:paraId="089F08A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81B9D46" w14:textId="77777777" w:rsidR="00CE1436" w:rsidRPr="00051DDD" w:rsidRDefault="00CE1436" w:rsidP="00444693">
            <w:pPr>
              <w:pStyle w:val="TableText"/>
              <w:widowControl w:val="0"/>
              <w:suppressAutoHyphens w:val="0"/>
              <w:spacing w:before="0" w:after="0" w:line="240" w:lineRule="auto"/>
            </w:pPr>
          </w:p>
        </w:tc>
        <w:tc>
          <w:tcPr>
            <w:tcW w:w="445" w:type="pct"/>
            <w:vMerge/>
          </w:tcPr>
          <w:p w14:paraId="366D5F85" w14:textId="77777777" w:rsidR="00CE1436" w:rsidRPr="00051DDD" w:rsidRDefault="00CE1436" w:rsidP="00444693">
            <w:pPr>
              <w:pStyle w:val="TableText"/>
              <w:widowControl w:val="0"/>
              <w:suppressAutoHyphens w:val="0"/>
              <w:spacing w:before="0" w:after="0" w:line="240" w:lineRule="auto"/>
            </w:pPr>
          </w:p>
        </w:tc>
        <w:tc>
          <w:tcPr>
            <w:tcW w:w="520" w:type="pct"/>
          </w:tcPr>
          <w:p w14:paraId="1CF64A09"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2F82F125" w14:textId="77777777" w:rsidR="00CE1436" w:rsidRPr="00430946" w:rsidRDefault="00CE1436" w:rsidP="00444693">
            <w:pPr>
              <w:pStyle w:val="TableText"/>
              <w:widowControl w:val="0"/>
              <w:suppressAutoHyphens w:val="0"/>
              <w:spacing w:before="0" w:after="0" w:line="240" w:lineRule="auto"/>
              <w:jc w:val="center"/>
            </w:pPr>
            <w:r w:rsidRPr="00295E6A">
              <w:t>18.9</w:t>
            </w:r>
            <w:r w:rsidRPr="00295E6A">
              <w:rPr>
                <w:vertAlign w:val="superscript"/>
              </w:rPr>
              <w:t>b</w:t>
            </w:r>
          </w:p>
        </w:tc>
        <w:tc>
          <w:tcPr>
            <w:tcW w:w="296" w:type="pct"/>
          </w:tcPr>
          <w:p w14:paraId="4D69E2EB"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270</w:t>
            </w:r>
          </w:p>
        </w:tc>
        <w:tc>
          <w:tcPr>
            <w:tcW w:w="312" w:type="pct"/>
          </w:tcPr>
          <w:p w14:paraId="7233405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33823D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BC2FD7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52819CD6" w14:textId="77777777" w:rsidR="00CE1436" w:rsidRPr="00886278" w:rsidRDefault="00CE1436" w:rsidP="00444693">
            <w:pPr>
              <w:pStyle w:val="TableText"/>
              <w:widowControl w:val="0"/>
              <w:suppressAutoHyphens w:val="0"/>
              <w:spacing w:before="0" w:after="0" w:line="240" w:lineRule="auto"/>
              <w:jc w:val="center"/>
              <w:rPr>
                <w:szCs w:val="17"/>
              </w:rPr>
            </w:pPr>
            <w:r w:rsidRPr="008628E1">
              <w:t>5.1</w:t>
            </w:r>
          </w:p>
        </w:tc>
        <w:tc>
          <w:tcPr>
            <w:tcW w:w="312" w:type="pct"/>
          </w:tcPr>
          <w:p w14:paraId="516A8DD7" w14:textId="77777777" w:rsidR="00CE1436" w:rsidRPr="007F412F" w:rsidRDefault="00CE1436" w:rsidP="00444693">
            <w:pPr>
              <w:pStyle w:val="TableText"/>
              <w:widowControl w:val="0"/>
              <w:suppressAutoHyphens w:val="0"/>
              <w:spacing w:before="0" w:after="0" w:line="240" w:lineRule="auto"/>
              <w:jc w:val="center"/>
            </w:pPr>
            <w:r w:rsidRPr="008628E1">
              <w:t>5.7</w:t>
            </w:r>
          </w:p>
        </w:tc>
        <w:tc>
          <w:tcPr>
            <w:tcW w:w="312" w:type="pct"/>
          </w:tcPr>
          <w:p w14:paraId="7FD0519C" w14:textId="77777777" w:rsidR="00CE1436" w:rsidRPr="00B927D6" w:rsidRDefault="00CE1436" w:rsidP="00444693">
            <w:pPr>
              <w:pStyle w:val="TableText"/>
              <w:widowControl w:val="0"/>
              <w:suppressAutoHyphens w:val="0"/>
              <w:spacing w:before="0" w:after="0" w:line="240" w:lineRule="auto"/>
              <w:jc w:val="center"/>
              <w:rPr>
                <w:b/>
                <w:bCs/>
              </w:rPr>
            </w:pPr>
            <w:r w:rsidRPr="008628E1">
              <w:t>0.90</w:t>
            </w:r>
          </w:p>
        </w:tc>
        <w:tc>
          <w:tcPr>
            <w:tcW w:w="310" w:type="pct"/>
          </w:tcPr>
          <w:p w14:paraId="75D7CC13" w14:textId="77777777" w:rsidR="00CE1436" w:rsidRPr="00886278" w:rsidRDefault="00CE1436" w:rsidP="00444693">
            <w:pPr>
              <w:pStyle w:val="TableText"/>
              <w:widowControl w:val="0"/>
              <w:suppressAutoHyphens w:val="0"/>
              <w:spacing w:before="0" w:after="0" w:line="240" w:lineRule="auto"/>
              <w:jc w:val="center"/>
            </w:pPr>
            <w:r w:rsidRPr="008628E1">
              <w:t>302</w:t>
            </w:r>
          </w:p>
        </w:tc>
      </w:tr>
      <w:tr w:rsidR="00CE1436" w:rsidRPr="0023247F" w14:paraId="587C523C" w14:textId="77777777" w:rsidTr="00444693">
        <w:trPr>
          <w:cantSplit/>
          <w:trHeight w:val="13"/>
        </w:trPr>
        <w:tc>
          <w:tcPr>
            <w:tcW w:w="521" w:type="pct"/>
            <w:vMerge/>
            <w:tcBorders>
              <w:bottom w:val="single" w:sz="4" w:space="0" w:color="auto"/>
            </w:tcBorders>
          </w:tcPr>
          <w:p w14:paraId="52CC8451"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AFD05F3" w14:textId="77777777" w:rsidR="00CE1436" w:rsidRPr="00051DDD"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27D9EBAF" w14:textId="77777777" w:rsidR="00CE1436" w:rsidRPr="00051DDD"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6E335916"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shd w:val="clear" w:color="auto" w:fill="D5D7D5" w:themeFill="text1" w:themeFillTint="33"/>
          </w:tcPr>
          <w:p w14:paraId="42ED89E4" w14:textId="77777777" w:rsidR="00CE1436" w:rsidRPr="00430946" w:rsidRDefault="00CE1436" w:rsidP="00444693">
            <w:pPr>
              <w:pStyle w:val="TableText"/>
              <w:widowControl w:val="0"/>
              <w:suppressAutoHyphens w:val="0"/>
              <w:spacing w:before="0" w:after="0" w:line="240" w:lineRule="auto"/>
              <w:jc w:val="center"/>
            </w:pPr>
            <w:r w:rsidRPr="00295E6A">
              <w:t>18.9</w:t>
            </w:r>
            <w:r w:rsidRPr="00295E6A">
              <w:rPr>
                <w:vertAlign w:val="superscript"/>
              </w:rPr>
              <w:t>b</w:t>
            </w:r>
          </w:p>
        </w:tc>
        <w:tc>
          <w:tcPr>
            <w:tcW w:w="296" w:type="pct"/>
            <w:tcBorders>
              <w:bottom w:val="single" w:sz="4" w:space="0" w:color="auto"/>
            </w:tcBorders>
          </w:tcPr>
          <w:p w14:paraId="2DCFD50F"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Borders>
              <w:bottom w:val="single" w:sz="4" w:space="0" w:color="auto"/>
            </w:tcBorders>
          </w:tcPr>
          <w:p w14:paraId="192D6323"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7D41028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420A62C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tcPr>
          <w:p w14:paraId="237BA065" w14:textId="77777777" w:rsidR="00CE1436" w:rsidRPr="003203B5" w:rsidRDefault="00CE1436" w:rsidP="00444693">
            <w:pPr>
              <w:pStyle w:val="TableText"/>
              <w:widowControl w:val="0"/>
              <w:suppressAutoHyphens w:val="0"/>
              <w:spacing w:before="0" w:after="0" w:line="240" w:lineRule="auto"/>
              <w:jc w:val="center"/>
            </w:pPr>
            <w:r w:rsidRPr="008628E1">
              <w:t>4.1</w:t>
            </w:r>
          </w:p>
        </w:tc>
        <w:tc>
          <w:tcPr>
            <w:tcW w:w="312" w:type="pct"/>
            <w:tcBorders>
              <w:bottom w:val="single" w:sz="4" w:space="0" w:color="auto"/>
            </w:tcBorders>
          </w:tcPr>
          <w:p w14:paraId="58C4F617" w14:textId="77777777" w:rsidR="00CE1436" w:rsidRPr="007F412F" w:rsidRDefault="00CE1436" w:rsidP="00444693">
            <w:pPr>
              <w:pStyle w:val="TableText"/>
              <w:widowControl w:val="0"/>
              <w:suppressAutoHyphens w:val="0"/>
              <w:spacing w:before="0" w:after="0" w:line="240" w:lineRule="auto"/>
              <w:jc w:val="center"/>
            </w:pPr>
            <w:r w:rsidRPr="008628E1">
              <w:t>5.7</w:t>
            </w:r>
          </w:p>
        </w:tc>
        <w:tc>
          <w:tcPr>
            <w:tcW w:w="312" w:type="pct"/>
            <w:tcBorders>
              <w:bottom w:val="single" w:sz="4" w:space="0" w:color="auto"/>
            </w:tcBorders>
          </w:tcPr>
          <w:p w14:paraId="1721C16D" w14:textId="77777777" w:rsidR="00CE1436" w:rsidRPr="00B927D6" w:rsidRDefault="00CE1436" w:rsidP="00444693">
            <w:pPr>
              <w:pStyle w:val="TableText"/>
              <w:widowControl w:val="0"/>
              <w:suppressAutoHyphens w:val="0"/>
              <w:spacing w:before="0" w:after="0" w:line="240" w:lineRule="auto"/>
              <w:jc w:val="center"/>
              <w:rPr>
                <w:b/>
                <w:bCs/>
              </w:rPr>
            </w:pPr>
            <w:r w:rsidRPr="008628E1">
              <w:t>0.72</w:t>
            </w:r>
          </w:p>
        </w:tc>
        <w:tc>
          <w:tcPr>
            <w:tcW w:w="310" w:type="pct"/>
            <w:tcBorders>
              <w:bottom w:val="single" w:sz="4" w:space="0" w:color="auto"/>
            </w:tcBorders>
          </w:tcPr>
          <w:p w14:paraId="050629C0" w14:textId="77777777" w:rsidR="00CE1436" w:rsidRPr="0023247F" w:rsidRDefault="00CE1436" w:rsidP="00444693">
            <w:pPr>
              <w:pStyle w:val="TableText"/>
              <w:widowControl w:val="0"/>
              <w:suppressAutoHyphens w:val="0"/>
              <w:spacing w:before="0" w:after="0" w:line="240" w:lineRule="auto"/>
              <w:jc w:val="center"/>
            </w:pPr>
            <w:r w:rsidRPr="008628E1">
              <w:t>302</w:t>
            </w:r>
          </w:p>
        </w:tc>
      </w:tr>
      <w:tr w:rsidR="00CE1436" w14:paraId="244F2BE9" w14:textId="77777777" w:rsidTr="00444693">
        <w:trPr>
          <w:cantSplit/>
          <w:trHeight w:val="13"/>
        </w:trPr>
        <w:tc>
          <w:tcPr>
            <w:tcW w:w="5000" w:type="pct"/>
            <w:gridSpan w:val="13"/>
            <w:tcBorders>
              <w:bottom w:val="single" w:sz="4" w:space="0" w:color="auto"/>
            </w:tcBorders>
          </w:tcPr>
          <w:p w14:paraId="346BBD6F" w14:textId="77777777" w:rsidR="00CE1436" w:rsidRDefault="00CE1436" w:rsidP="00AC06D7">
            <w:pPr>
              <w:pStyle w:val="TableSubHead0"/>
              <w:rPr>
                <w:color w:val="1A1B1A"/>
                <w:szCs w:val="17"/>
              </w:rPr>
            </w:pPr>
            <w:r w:rsidRPr="001B1B9E">
              <w:lastRenderedPageBreak/>
              <w:t>General weed control in sugarcane (inter-row spray)</w:t>
            </w:r>
          </w:p>
        </w:tc>
      </w:tr>
      <w:tr w:rsidR="00CE1436" w14:paraId="2D9FC7B7" w14:textId="77777777" w:rsidTr="00444693">
        <w:trPr>
          <w:cantSplit/>
          <w:trHeight w:val="13"/>
        </w:trPr>
        <w:tc>
          <w:tcPr>
            <w:tcW w:w="521" w:type="pct"/>
            <w:vMerge w:val="restart"/>
          </w:tcPr>
          <w:p w14:paraId="0C54424B" w14:textId="77777777" w:rsidR="00CE1436" w:rsidRPr="00886278" w:rsidRDefault="00CE1436" w:rsidP="00444693">
            <w:pPr>
              <w:pStyle w:val="TableText"/>
              <w:widowControl w:val="0"/>
              <w:suppressAutoHyphens w:val="0"/>
              <w:spacing w:before="0" w:after="0" w:line="240" w:lineRule="auto"/>
              <w:rPr>
                <w:szCs w:val="17"/>
              </w:rPr>
            </w:pPr>
            <w:r>
              <w:rPr>
                <w:szCs w:val="17"/>
              </w:rPr>
              <w:t>Maize</w:t>
            </w:r>
          </w:p>
        </w:tc>
        <w:tc>
          <w:tcPr>
            <w:tcW w:w="589" w:type="pct"/>
            <w:vMerge w:val="restart"/>
          </w:tcPr>
          <w:p w14:paraId="177FF703" w14:textId="77777777" w:rsidR="00CE1436" w:rsidRPr="00051DDD" w:rsidRDefault="00CE1436" w:rsidP="00444693">
            <w:pPr>
              <w:pStyle w:val="TableText"/>
              <w:widowControl w:val="0"/>
              <w:suppressAutoHyphens w:val="0"/>
              <w:spacing w:before="0" w:after="0" w:line="240" w:lineRule="auto"/>
            </w:pPr>
            <w:r w:rsidRPr="00051DDD">
              <w:t>Medium herbivore/ granivore</w:t>
            </w:r>
          </w:p>
        </w:tc>
        <w:tc>
          <w:tcPr>
            <w:tcW w:w="445" w:type="pct"/>
            <w:vMerge w:val="restart"/>
          </w:tcPr>
          <w:p w14:paraId="2333F7AC" w14:textId="77777777" w:rsidR="00CE1436" w:rsidRPr="00051DDD" w:rsidRDefault="00CE1436" w:rsidP="00444693">
            <w:pPr>
              <w:pStyle w:val="TableText"/>
              <w:widowControl w:val="0"/>
              <w:suppressAutoHyphens w:val="0"/>
              <w:spacing w:before="0" w:after="0" w:line="240" w:lineRule="auto"/>
            </w:pPr>
            <w:r w:rsidRPr="00051DDD">
              <w:t>BBCH 10-29</w:t>
            </w:r>
          </w:p>
        </w:tc>
        <w:tc>
          <w:tcPr>
            <w:tcW w:w="520" w:type="pct"/>
          </w:tcPr>
          <w:p w14:paraId="1BB14333" w14:textId="77777777" w:rsidR="00CE1436" w:rsidRPr="00BB21ED" w:rsidRDefault="00CE1436" w:rsidP="00444693">
            <w:pPr>
              <w:pStyle w:val="TableText"/>
              <w:widowControl w:val="0"/>
              <w:suppressAutoHyphens w:val="0"/>
              <w:spacing w:before="0" w:after="0" w:line="240" w:lineRule="auto"/>
              <w:jc w:val="center"/>
              <w:rPr>
                <w:szCs w:val="17"/>
              </w:rPr>
            </w:pPr>
            <w:r w:rsidRPr="00BB21ED">
              <w:rPr>
                <w:szCs w:val="17"/>
              </w:rPr>
              <w:t>Acute</w:t>
            </w:r>
          </w:p>
        </w:tc>
        <w:tc>
          <w:tcPr>
            <w:tcW w:w="446" w:type="pct"/>
          </w:tcPr>
          <w:p w14:paraId="7A6BBA77" w14:textId="77777777" w:rsidR="00CE1436" w:rsidRDefault="00CE1436" w:rsidP="00444693">
            <w:pPr>
              <w:pStyle w:val="TableText"/>
              <w:widowControl w:val="0"/>
              <w:suppressAutoHyphens w:val="0"/>
              <w:spacing w:before="0" w:after="0" w:line="240" w:lineRule="auto"/>
              <w:jc w:val="center"/>
            </w:pPr>
            <w:r w:rsidRPr="00430946">
              <w:t>55.6</w:t>
            </w:r>
          </w:p>
        </w:tc>
        <w:tc>
          <w:tcPr>
            <w:tcW w:w="296" w:type="pct"/>
          </w:tcPr>
          <w:p w14:paraId="11DD5740" w14:textId="77777777" w:rsidR="00CE1436"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Pr>
          <w:p w14:paraId="7368FB01"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D723D8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2AEB70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3AFC18F"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22</w:t>
            </w:r>
          </w:p>
        </w:tc>
        <w:tc>
          <w:tcPr>
            <w:tcW w:w="312" w:type="pct"/>
            <w:vAlign w:val="center"/>
          </w:tcPr>
          <w:p w14:paraId="48A17220"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shd w:val="clear" w:color="auto" w:fill="FF0000"/>
            <w:vAlign w:val="center"/>
          </w:tcPr>
          <w:p w14:paraId="74A41408"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3.9</w:t>
            </w:r>
          </w:p>
        </w:tc>
        <w:tc>
          <w:tcPr>
            <w:tcW w:w="310" w:type="pct"/>
            <w:vAlign w:val="center"/>
          </w:tcPr>
          <w:p w14:paraId="55A17203"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103</w:t>
            </w:r>
          </w:p>
        </w:tc>
      </w:tr>
      <w:tr w:rsidR="00CE1436" w14:paraId="0BDD2745" w14:textId="77777777" w:rsidTr="00444693">
        <w:trPr>
          <w:cantSplit/>
          <w:trHeight w:val="13"/>
        </w:trPr>
        <w:tc>
          <w:tcPr>
            <w:tcW w:w="521" w:type="pct"/>
            <w:vMerge/>
          </w:tcPr>
          <w:p w14:paraId="65BD7D29"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1778B40" w14:textId="77777777" w:rsidR="00CE1436" w:rsidRPr="00051DDD" w:rsidRDefault="00CE1436" w:rsidP="00444693">
            <w:pPr>
              <w:pStyle w:val="TableText"/>
              <w:widowControl w:val="0"/>
              <w:suppressAutoHyphens w:val="0"/>
              <w:spacing w:before="0" w:after="0" w:line="240" w:lineRule="auto"/>
            </w:pPr>
          </w:p>
        </w:tc>
        <w:tc>
          <w:tcPr>
            <w:tcW w:w="445" w:type="pct"/>
            <w:vMerge/>
          </w:tcPr>
          <w:p w14:paraId="5225EBAB" w14:textId="77777777" w:rsidR="00CE1436" w:rsidRPr="00051DDD" w:rsidRDefault="00CE1436" w:rsidP="00444693">
            <w:pPr>
              <w:pStyle w:val="TableText"/>
              <w:widowControl w:val="0"/>
              <w:suppressAutoHyphens w:val="0"/>
              <w:spacing w:before="0" w:after="0" w:line="240" w:lineRule="auto"/>
            </w:pPr>
          </w:p>
        </w:tc>
        <w:tc>
          <w:tcPr>
            <w:tcW w:w="520" w:type="pct"/>
          </w:tcPr>
          <w:p w14:paraId="13CEDBA9"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Pr>
          <w:p w14:paraId="01CDA263" w14:textId="77777777" w:rsidR="00CE1436" w:rsidRDefault="00CE1436" w:rsidP="00444693">
            <w:pPr>
              <w:pStyle w:val="TableText"/>
              <w:widowControl w:val="0"/>
              <w:suppressAutoHyphens w:val="0"/>
              <w:spacing w:before="0" w:after="0" w:line="240" w:lineRule="auto"/>
              <w:jc w:val="center"/>
            </w:pPr>
            <w:r w:rsidRPr="00430946">
              <w:t>55.6</w:t>
            </w:r>
          </w:p>
        </w:tc>
        <w:tc>
          <w:tcPr>
            <w:tcW w:w="296" w:type="pct"/>
          </w:tcPr>
          <w:p w14:paraId="48DB6816" w14:textId="77777777" w:rsidR="00CE1436" w:rsidRDefault="00CE1436" w:rsidP="00444693">
            <w:pPr>
              <w:pStyle w:val="TableText"/>
              <w:widowControl w:val="0"/>
              <w:suppressAutoHyphens w:val="0"/>
              <w:spacing w:before="0" w:after="0" w:line="240" w:lineRule="auto"/>
              <w:jc w:val="center"/>
              <w:rPr>
                <w:szCs w:val="17"/>
              </w:rPr>
            </w:pPr>
            <w:r>
              <w:rPr>
                <w:szCs w:val="17"/>
              </w:rPr>
              <w:t>270</w:t>
            </w:r>
          </w:p>
        </w:tc>
        <w:tc>
          <w:tcPr>
            <w:tcW w:w="312" w:type="pct"/>
          </w:tcPr>
          <w:p w14:paraId="2434EFB5"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DDCC9D3"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A3759A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8781A43"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15</w:t>
            </w:r>
          </w:p>
        </w:tc>
        <w:tc>
          <w:tcPr>
            <w:tcW w:w="312" w:type="pct"/>
            <w:vAlign w:val="center"/>
          </w:tcPr>
          <w:p w14:paraId="32946311"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shd w:val="clear" w:color="auto" w:fill="FF0000"/>
            <w:vAlign w:val="center"/>
          </w:tcPr>
          <w:p w14:paraId="01A95E38"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2.6</w:t>
            </w:r>
          </w:p>
        </w:tc>
        <w:tc>
          <w:tcPr>
            <w:tcW w:w="310" w:type="pct"/>
            <w:vAlign w:val="center"/>
          </w:tcPr>
          <w:p w14:paraId="5990320E"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103</w:t>
            </w:r>
          </w:p>
        </w:tc>
      </w:tr>
      <w:tr w:rsidR="00CE1436" w14:paraId="716DC658" w14:textId="77777777" w:rsidTr="00444693">
        <w:trPr>
          <w:cantSplit/>
          <w:trHeight w:val="13"/>
        </w:trPr>
        <w:tc>
          <w:tcPr>
            <w:tcW w:w="521" w:type="pct"/>
            <w:vMerge/>
          </w:tcPr>
          <w:p w14:paraId="3E383B6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E4B1D15" w14:textId="77777777" w:rsidR="00CE1436" w:rsidRPr="00051DDD"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72A7797B" w14:textId="77777777" w:rsidR="00CE1436" w:rsidRPr="00051DDD"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1DEC4F22"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0DA4911D" w14:textId="77777777" w:rsidR="00CE1436" w:rsidRDefault="00CE1436" w:rsidP="00444693">
            <w:pPr>
              <w:pStyle w:val="TableText"/>
              <w:widowControl w:val="0"/>
              <w:suppressAutoHyphens w:val="0"/>
              <w:spacing w:before="0" w:after="0" w:line="240" w:lineRule="auto"/>
              <w:jc w:val="center"/>
            </w:pPr>
            <w:r>
              <w:t>55.6</w:t>
            </w:r>
          </w:p>
        </w:tc>
        <w:tc>
          <w:tcPr>
            <w:tcW w:w="296" w:type="pct"/>
            <w:tcBorders>
              <w:bottom w:val="single" w:sz="4" w:space="0" w:color="auto"/>
            </w:tcBorders>
          </w:tcPr>
          <w:p w14:paraId="7D5FBD21"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Borders>
              <w:bottom w:val="single" w:sz="4" w:space="0" w:color="auto"/>
            </w:tcBorders>
          </w:tcPr>
          <w:p w14:paraId="5CE792A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3AF1C74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68774BA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439F3E55"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12</w:t>
            </w:r>
          </w:p>
        </w:tc>
        <w:tc>
          <w:tcPr>
            <w:tcW w:w="312" w:type="pct"/>
            <w:tcBorders>
              <w:bottom w:val="single" w:sz="4" w:space="0" w:color="auto"/>
            </w:tcBorders>
            <w:vAlign w:val="center"/>
          </w:tcPr>
          <w:p w14:paraId="4F2720D7"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tcBorders>
              <w:bottom w:val="single" w:sz="4" w:space="0" w:color="auto"/>
            </w:tcBorders>
            <w:shd w:val="clear" w:color="auto" w:fill="FF0000"/>
            <w:vAlign w:val="center"/>
          </w:tcPr>
          <w:p w14:paraId="2B23A967"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2.1</w:t>
            </w:r>
          </w:p>
        </w:tc>
        <w:tc>
          <w:tcPr>
            <w:tcW w:w="310" w:type="pct"/>
            <w:tcBorders>
              <w:bottom w:val="single" w:sz="4" w:space="0" w:color="auto"/>
            </w:tcBorders>
            <w:vAlign w:val="center"/>
          </w:tcPr>
          <w:p w14:paraId="1226B155"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103</w:t>
            </w:r>
          </w:p>
        </w:tc>
      </w:tr>
      <w:tr w:rsidR="00CE1436" w14:paraId="1AA957E9" w14:textId="77777777" w:rsidTr="00444693">
        <w:trPr>
          <w:cantSplit/>
          <w:trHeight w:val="13"/>
        </w:trPr>
        <w:tc>
          <w:tcPr>
            <w:tcW w:w="521" w:type="pct"/>
            <w:vMerge/>
          </w:tcPr>
          <w:p w14:paraId="1B5F0E3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Pr>
          <w:p w14:paraId="28B10B5B" w14:textId="77777777" w:rsidR="00CE1436" w:rsidRPr="00051DDD" w:rsidRDefault="00CE1436" w:rsidP="00444693">
            <w:pPr>
              <w:pStyle w:val="TableText"/>
              <w:widowControl w:val="0"/>
              <w:suppressAutoHyphens w:val="0"/>
              <w:spacing w:before="0" w:after="0" w:line="240" w:lineRule="auto"/>
            </w:pPr>
            <w:r w:rsidRPr="00051DDD">
              <w:t xml:space="preserve">Small omnivore </w:t>
            </w:r>
          </w:p>
        </w:tc>
        <w:tc>
          <w:tcPr>
            <w:tcW w:w="445" w:type="pct"/>
            <w:vMerge w:val="restart"/>
          </w:tcPr>
          <w:p w14:paraId="2B0D5E74" w14:textId="77777777" w:rsidR="00CE1436" w:rsidRPr="00051DDD" w:rsidRDefault="00CE1436" w:rsidP="00444693">
            <w:pPr>
              <w:pStyle w:val="TableText"/>
              <w:widowControl w:val="0"/>
              <w:suppressAutoHyphens w:val="0"/>
              <w:spacing w:before="0" w:after="0" w:line="240" w:lineRule="auto"/>
            </w:pPr>
            <w:r w:rsidRPr="00051DDD">
              <w:t>BBCH 10-29</w:t>
            </w:r>
          </w:p>
        </w:tc>
        <w:tc>
          <w:tcPr>
            <w:tcW w:w="520" w:type="pct"/>
            <w:tcBorders>
              <w:top w:val="single" w:sz="4" w:space="0" w:color="auto"/>
            </w:tcBorders>
          </w:tcPr>
          <w:p w14:paraId="3AED4B0D" w14:textId="77777777" w:rsidR="00CE1436" w:rsidRPr="00BB21ED" w:rsidRDefault="00CE1436" w:rsidP="00444693">
            <w:pPr>
              <w:pStyle w:val="TableText"/>
              <w:widowControl w:val="0"/>
              <w:suppressAutoHyphens w:val="0"/>
              <w:spacing w:before="0" w:after="0" w:line="240" w:lineRule="auto"/>
              <w:jc w:val="center"/>
              <w:rPr>
                <w:szCs w:val="17"/>
              </w:rPr>
            </w:pPr>
            <w:r w:rsidRPr="00BB21ED">
              <w:rPr>
                <w:szCs w:val="17"/>
              </w:rPr>
              <w:t>Acute</w:t>
            </w:r>
          </w:p>
        </w:tc>
        <w:tc>
          <w:tcPr>
            <w:tcW w:w="446" w:type="pct"/>
            <w:tcBorders>
              <w:top w:val="single" w:sz="4" w:space="0" w:color="auto"/>
            </w:tcBorders>
          </w:tcPr>
          <w:p w14:paraId="3C65136E" w14:textId="77777777" w:rsidR="00CE1436" w:rsidRDefault="00CE1436" w:rsidP="00444693">
            <w:pPr>
              <w:pStyle w:val="TableText"/>
              <w:widowControl w:val="0"/>
              <w:suppressAutoHyphens w:val="0"/>
              <w:spacing w:before="0" w:after="0" w:line="240" w:lineRule="auto"/>
              <w:jc w:val="center"/>
            </w:pPr>
            <w:r w:rsidRPr="00430946">
              <w:t>24.0</w:t>
            </w:r>
          </w:p>
        </w:tc>
        <w:tc>
          <w:tcPr>
            <w:tcW w:w="296" w:type="pct"/>
            <w:tcBorders>
              <w:top w:val="single" w:sz="4" w:space="0" w:color="auto"/>
            </w:tcBorders>
          </w:tcPr>
          <w:p w14:paraId="0CA73769" w14:textId="77777777" w:rsidR="00CE1436"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Borders>
              <w:top w:val="single" w:sz="4" w:space="0" w:color="auto"/>
            </w:tcBorders>
          </w:tcPr>
          <w:p w14:paraId="06055F7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172BDAB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0872050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1936DA7F"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9.6</w:t>
            </w:r>
          </w:p>
        </w:tc>
        <w:tc>
          <w:tcPr>
            <w:tcW w:w="312" w:type="pct"/>
            <w:tcBorders>
              <w:top w:val="single" w:sz="4" w:space="0" w:color="auto"/>
            </w:tcBorders>
            <w:vAlign w:val="center"/>
          </w:tcPr>
          <w:p w14:paraId="6868F986"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tcBorders>
              <w:top w:val="single" w:sz="4" w:space="0" w:color="auto"/>
            </w:tcBorders>
            <w:shd w:val="clear" w:color="auto" w:fill="FF0000"/>
            <w:vAlign w:val="center"/>
          </w:tcPr>
          <w:p w14:paraId="1E397D26"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1.7</w:t>
            </w:r>
          </w:p>
        </w:tc>
        <w:tc>
          <w:tcPr>
            <w:tcW w:w="310" w:type="pct"/>
            <w:tcBorders>
              <w:top w:val="single" w:sz="4" w:space="0" w:color="auto"/>
            </w:tcBorders>
            <w:vAlign w:val="center"/>
          </w:tcPr>
          <w:p w14:paraId="1E82CAC3"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238</w:t>
            </w:r>
          </w:p>
        </w:tc>
      </w:tr>
      <w:tr w:rsidR="00CE1436" w14:paraId="74A53506" w14:textId="77777777" w:rsidTr="00444693">
        <w:trPr>
          <w:cantSplit/>
          <w:trHeight w:val="13"/>
        </w:trPr>
        <w:tc>
          <w:tcPr>
            <w:tcW w:w="521" w:type="pct"/>
            <w:vMerge/>
          </w:tcPr>
          <w:p w14:paraId="6D9E3A8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A38C979" w14:textId="77777777" w:rsidR="00CE1436" w:rsidRPr="00051DDD" w:rsidRDefault="00CE1436" w:rsidP="00444693">
            <w:pPr>
              <w:pStyle w:val="TableText"/>
              <w:widowControl w:val="0"/>
              <w:suppressAutoHyphens w:val="0"/>
              <w:spacing w:before="0" w:after="0" w:line="240" w:lineRule="auto"/>
            </w:pPr>
          </w:p>
        </w:tc>
        <w:tc>
          <w:tcPr>
            <w:tcW w:w="445" w:type="pct"/>
            <w:vMerge/>
          </w:tcPr>
          <w:p w14:paraId="1F962537" w14:textId="77777777" w:rsidR="00CE1436" w:rsidRPr="00051DDD" w:rsidRDefault="00CE1436" w:rsidP="00444693">
            <w:pPr>
              <w:pStyle w:val="TableText"/>
              <w:widowControl w:val="0"/>
              <w:suppressAutoHyphens w:val="0"/>
              <w:spacing w:before="0" w:after="0" w:line="240" w:lineRule="auto"/>
            </w:pPr>
          </w:p>
        </w:tc>
        <w:tc>
          <w:tcPr>
            <w:tcW w:w="520" w:type="pct"/>
          </w:tcPr>
          <w:p w14:paraId="5E1E64ED"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Pr>
          <w:p w14:paraId="4F12CFE8" w14:textId="77777777" w:rsidR="00CE1436" w:rsidRDefault="00CE1436" w:rsidP="00444693">
            <w:pPr>
              <w:pStyle w:val="TableText"/>
              <w:widowControl w:val="0"/>
              <w:suppressAutoHyphens w:val="0"/>
              <w:spacing w:before="0" w:after="0" w:line="240" w:lineRule="auto"/>
              <w:jc w:val="center"/>
            </w:pPr>
            <w:r w:rsidRPr="00430946">
              <w:t>24.0</w:t>
            </w:r>
          </w:p>
        </w:tc>
        <w:tc>
          <w:tcPr>
            <w:tcW w:w="296" w:type="pct"/>
          </w:tcPr>
          <w:p w14:paraId="1FBEE222" w14:textId="77777777" w:rsidR="00CE1436" w:rsidRDefault="00CE1436" w:rsidP="00444693">
            <w:pPr>
              <w:pStyle w:val="TableText"/>
              <w:widowControl w:val="0"/>
              <w:suppressAutoHyphens w:val="0"/>
              <w:spacing w:before="0" w:after="0" w:line="240" w:lineRule="auto"/>
              <w:jc w:val="center"/>
              <w:rPr>
                <w:szCs w:val="17"/>
              </w:rPr>
            </w:pPr>
            <w:r>
              <w:rPr>
                <w:szCs w:val="17"/>
              </w:rPr>
              <w:t>270</w:t>
            </w:r>
          </w:p>
        </w:tc>
        <w:tc>
          <w:tcPr>
            <w:tcW w:w="312" w:type="pct"/>
          </w:tcPr>
          <w:p w14:paraId="78F5E693"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C9B866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57FA73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D3F7AC5"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6.5</w:t>
            </w:r>
          </w:p>
        </w:tc>
        <w:tc>
          <w:tcPr>
            <w:tcW w:w="312" w:type="pct"/>
            <w:vAlign w:val="center"/>
          </w:tcPr>
          <w:p w14:paraId="1755A678"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shd w:val="clear" w:color="auto" w:fill="FF0000"/>
            <w:vAlign w:val="center"/>
          </w:tcPr>
          <w:p w14:paraId="4BE00756"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1.1</w:t>
            </w:r>
          </w:p>
        </w:tc>
        <w:tc>
          <w:tcPr>
            <w:tcW w:w="310" w:type="pct"/>
            <w:vAlign w:val="center"/>
          </w:tcPr>
          <w:p w14:paraId="6C863B7E"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238</w:t>
            </w:r>
          </w:p>
        </w:tc>
      </w:tr>
      <w:tr w:rsidR="00CE1436" w14:paraId="2CCDD39A" w14:textId="77777777" w:rsidTr="00444693">
        <w:trPr>
          <w:cantSplit/>
          <w:trHeight w:val="13"/>
        </w:trPr>
        <w:tc>
          <w:tcPr>
            <w:tcW w:w="521" w:type="pct"/>
            <w:vMerge/>
          </w:tcPr>
          <w:p w14:paraId="00F028E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185D29C4" w14:textId="77777777" w:rsidR="00CE1436" w:rsidRPr="00051DDD"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4917F881" w14:textId="77777777" w:rsidR="00CE1436" w:rsidRPr="00051DDD"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37A549F6"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5B134379" w14:textId="77777777" w:rsidR="00CE1436" w:rsidRDefault="00CE1436" w:rsidP="00444693">
            <w:pPr>
              <w:pStyle w:val="TableText"/>
              <w:widowControl w:val="0"/>
              <w:suppressAutoHyphens w:val="0"/>
              <w:spacing w:before="0" w:after="0" w:line="240" w:lineRule="auto"/>
              <w:jc w:val="center"/>
            </w:pPr>
            <w:r>
              <w:t>24.0</w:t>
            </w:r>
          </w:p>
        </w:tc>
        <w:tc>
          <w:tcPr>
            <w:tcW w:w="296" w:type="pct"/>
            <w:tcBorders>
              <w:bottom w:val="single" w:sz="4" w:space="0" w:color="auto"/>
            </w:tcBorders>
          </w:tcPr>
          <w:p w14:paraId="0D106262"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Borders>
              <w:bottom w:val="single" w:sz="4" w:space="0" w:color="auto"/>
            </w:tcBorders>
          </w:tcPr>
          <w:p w14:paraId="489B12E2"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0030344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545363C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1E26F800"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5.2</w:t>
            </w:r>
          </w:p>
        </w:tc>
        <w:tc>
          <w:tcPr>
            <w:tcW w:w="312" w:type="pct"/>
            <w:tcBorders>
              <w:bottom w:val="single" w:sz="4" w:space="0" w:color="auto"/>
            </w:tcBorders>
            <w:vAlign w:val="center"/>
          </w:tcPr>
          <w:p w14:paraId="5804D6CA"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tcBorders>
              <w:bottom w:val="single" w:sz="4" w:space="0" w:color="auto"/>
            </w:tcBorders>
            <w:vAlign w:val="center"/>
          </w:tcPr>
          <w:p w14:paraId="4CB0E577" w14:textId="77777777" w:rsidR="00CE1436" w:rsidRDefault="00CE1436" w:rsidP="00444693">
            <w:pPr>
              <w:pStyle w:val="TableText"/>
              <w:widowControl w:val="0"/>
              <w:suppressAutoHyphens w:val="0"/>
              <w:spacing w:before="0" w:after="0" w:line="240" w:lineRule="auto"/>
              <w:jc w:val="center"/>
              <w:rPr>
                <w:b/>
                <w:bCs/>
                <w:color w:val="1A1B1A"/>
                <w:szCs w:val="17"/>
              </w:rPr>
            </w:pPr>
            <w:r>
              <w:rPr>
                <w:color w:val="1A1B1A"/>
                <w:szCs w:val="17"/>
              </w:rPr>
              <w:t>0.91</w:t>
            </w:r>
          </w:p>
        </w:tc>
        <w:tc>
          <w:tcPr>
            <w:tcW w:w="310" w:type="pct"/>
            <w:tcBorders>
              <w:bottom w:val="single" w:sz="4" w:space="0" w:color="auto"/>
            </w:tcBorders>
            <w:vAlign w:val="center"/>
          </w:tcPr>
          <w:p w14:paraId="395FD727"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238</w:t>
            </w:r>
          </w:p>
        </w:tc>
      </w:tr>
      <w:tr w:rsidR="00CE1436" w14:paraId="1DBF709A" w14:textId="77777777" w:rsidTr="00444693">
        <w:trPr>
          <w:cantSplit/>
          <w:trHeight w:val="13"/>
        </w:trPr>
        <w:tc>
          <w:tcPr>
            <w:tcW w:w="521" w:type="pct"/>
            <w:vMerge/>
          </w:tcPr>
          <w:p w14:paraId="6F3B8C0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Pr>
          <w:p w14:paraId="5A7763D2" w14:textId="77777777" w:rsidR="00CE1436" w:rsidRPr="00051DDD" w:rsidRDefault="00CE1436" w:rsidP="00444693">
            <w:pPr>
              <w:pStyle w:val="TableText"/>
              <w:widowControl w:val="0"/>
              <w:suppressAutoHyphens w:val="0"/>
              <w:spacing w:before="0" w:after="0" w:line="240" w:lineRule="auto"/>
            </w:pPr>
            <w:r w:rsidRPr="00051DDD">
              <w:t>Small insectivore</w:t>
            </w:r>
          </w:p>
        </w:tc>
        <w:tc>
          <w:tcPr>
            <w:tcW w:w="445" w:type="pct"/>
            <w:vMerge w:val="restart"/>
          </w:tcPr>
          <w:p w14:paraId="313D5E8F" w14:textId="77777777" w:rsidR="00CE1436" w:rsidRPr="00051DDD" w:rsidRDefault="00CE1436" w:rsidP="00444693">
            <w:pPr>
              <w:pStyle w:val="TableText"/>
              <w:widowControl w:val="0"/>
              <w:suppressAutoHyphens w:val="0"/>
              <w:spacing w:before="0" w:after="0" w:line="240" w:lineRule="auto"/>
            </w:pPr>
            <w:r w:rsidRPr="00051DDD">
              <w:t>BBCH 10-19</w:t>
            </w:r>
          </w:p>
        </w:tc>
        <w:tc>
          <w:tcPr>
            <w:tcW w:w="520" w:type="pct"/>
            <w:tcBorders>
              <w:top w:val="single" w:sz="4" w:space="0" w:color="auto"/>
            </w:tcBorders>
          </w:tcPr>
          <w:p w14:paraId="1A6163AD" w14:textId="77777777" w:rsidR="00CE1436" w:rsidRPr="00BB21ED" w:rsidRDefault="00CE1436" w:rsidP="00444693">
            <w:pPr>
              <w:pStyle w:val="TableText"/>
              <w:widowControl w:val="0"/>
              <w:suppressAutoHyphens w:val="0"/>
              <w:spacing w:before="0" w:after="0" w:line="240" w:lineRule="auto"/>
              <w:jc w:val="center"/>
              <w:rPr>
                <w:szCs w:val="17"/>
              </w:rPr>
            </w:pPr>
            <w:r w:rsidRPr="00BB21ED">
              <w:rPr>
                <w:szCs w:val="17"/>
              </w:rPr>
              <w:t>Acute</w:t>
            </w:r>
          </w:p>
        </w:tc>
        <w:tc>
          <w:tcPr>
            <w:tcW w:w="446" w:type="pct"/>
            <w:tcBorders>
              <w:top w:val="single" w:sz="4" w:space="0" w:color="auto"/>
            </w:tcBorders>
          </w:tcPr>
          <w:p w14:paraId="2539A184" w14:textId="77777777" w:rsidR="00CE1436" w:rsidRDefault="00CE1436" w:rsidP="00444693">
            <w:pPr>
              <w:pStyle w:val="TableText"/>
              <w:widowControl w:val="0"/>
              <w:suppressAutoHyphens w:val="0"/>
              <w:spacing w:before="0" w:after="0" w:line="240" w:lineRule="auto"/>
              <w:jc w:val="center"/>
            </w:pPr>
            <w:r w:rsidRPr="00430946">
              <w:t>26.8</w:t>
            </w:r>
          </w:p>
        </w:tc>
        <w:tc>
          <w:tcPr>
            <w:tcW w:w="296" w:type="pct"/>
            <w:tcBorders>
              <w:top w:val="single" w:sz="4" w:space="0" w:color="auto"/>
            </w:tcBorders>
          </w:tcPr>
          <w:p w14:paraId="2EF60B3D" w14:textId="77777777" w:rsidR="00CE1436" w:rsidRDefault="00CE1436" w:rsidP="00444693">
            <w:pPr>
              <w:pStyle w:val="TableText"/>
              <w:widowControl w:val="0"/>
              <w:suppressAutoHyphens w:val="0"/>
              <w:spacing w:before="0" w:after="0" w:line="240" w:lineRule="auto"/>
              <w:jc w:val="center"/>
              <w:rPr>
                <w:szCs w:val="17"/>
              </w:rPr>
            </w:pPr>
            <w:r>
              <w:rPr>
                <w:szCs w:val="17"/>
              </w:rPr>
              <w:t>400</w:t>
            </w:r>
          </w:p>
        </w:tc>
        <w:tc>
          <w:tcPr>
            <w:tcW w:w="312" w:type="pct"/>
            <w:tcBorders>
              <w:top w:val="single" w:sz="4" w:space="0" w:color="auto"/>
            </w:tcBorders>
          </w:tcPr>
          <w:p w14:paraId="3019E52C"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6C79A3C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118DA8A5"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028B8C33"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11</w:t>
            </w:r>
          </w:p>
        </w:tc>
        <w:tc>
          <w:tcPr>
            <w:tcW w:w="312" w:type="pct"/>
            <w:tcBorders>
              <w:top w:val="single" w:sz="4" w:space="0" w:color="auto"/>
            </w:tcBorders>
            <w:vAlign w:val="center"/>
          </w:tcPr>
          <w:p w14:paraId="3E8E343A"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tcBorders>
              <w:top w:val="single" w:sz="4" w:space="0" w:color="auto"/>
            </w:tcBorders>
            <w:shd w:val="clear" w:color="auto" w:fill="FF0000"/>
            <w:vAlign w:val="center"/>
          </w:tcPr>
          <w:p w14:paraId="70767BA6"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1.9</w:t>
            </w:r>
          </w:p>
        </w:tc>
        <w:tc>
          <w:tcPr>
            <w:tcW w:w="310" w:type="pct"/>
            <w:tcBorders>
              <w:top w:val="single" w:sz="4" w:space="0" w:color="auto"/>
            </w:tcBorders>
            <w:vAlign w:val="center"/>
          </w:tcPr>
          <w:p w14:paraId="0C727356"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213</w:t>
            </w:r>
          </w:p>
        </w:tc>
      </w:tr>
      <w:tr w:rsidR="00CE1436" w14:paraId="3BE434AE" w14:textId="77777777" w:rsidTr="00444693">
        <w:trPr>
          <w:cantSplit/>
          <w:trHeight w:val="13"/>
        </w:trPr>
        <w:tc>
          <w:tcPr>
            <w:tcW w:w="521" w:type="pct"/>
            <w:vMerge/>
          </w:tcPr>
          <w:p w14:paraId="544F8CE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ADE36CB" w14:textId="77777777" w:rsidR="00CE1436" w:rsidRPr="00051DDD" w:rsidRDefault="00CE1436" w:rsidP="00444693">
            <w:pPr>
              <w:pStyle w:val="TableText"/>
              <w:widowControl w:val="0"/>
              <w:suppressAutoHyphens w:val="0"/>
              <w:spacing w:before="0" w:after="0" w:line="240" w:lineRule="auto"/>
            </w:pPr>
          </w:p>
        </w:tc>
        <w:tc>
          <w:tcPr>
            <w:tcW w:w="445" w:type="pct"/>
            <w:vMerge/>
          </w:tcPr>
          <w:p w14:paraId="09E8C34B" w14:textId="77777777" w:rsidR="00CE1436" w:rsidRPr="00051DDD" w:rsidRDefault="00CE1436" w:rsidP="00444693">
            <w:pPr>
              <w:pStyle w:val="TableText"/>
              <w:widowControl w:val="0"/>
              <w:suppressAutoHyphens w:val="0"/>
              <w:spacing w:before="0" w:after="0" w:line="240" w:lineRule="auto"/>
            </w:pPr>
          </w:p>
        </w:tc>
        <w:tc>
          <w:tcPr>
            <w:tcW w:w="520" w:type="pct"/>
          </w:tcPr>
          <w:p w14:paraId="4198DAE7"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Pr>
          <w:p w14:paraId="2012B4C6" w14:textId="77777777" w:rsidR="00CE1436" w:rsidRDefault="00CE1436" w:rsidP="00444693">
            <w:pPr>
              <w:pStyle w:val="TableText"/>
              <w:widowControl w:val="0"/>
              <w:suppressAutoHyphens w:val="0"/>
              <w:spacing w:before="0" w:after="0" w:line="240" w:lineRule="auto"/>
              <w:jc w:val="center"/>
            </w:pPr>
            <w:r w:rsidRPr="00430946">
              <w:t>26.8</w:t>
            </w:r>
          </w:p>
        </w:tc>
        <w:tc>
          <w:tcPr>
            <w:tcW w:w="296" w:type="pct"/>
          </w:tcPr>
          <w:p w14:paraId="08ADD624" w14:textId="77777777" w:rsidR="00CE1436" w:rsidRDefault="00CE1436" w:rsidP="00444693">
            <w:pPr>
              <w:pStyle w:val="TableText"/>
              <w:widowControl w:val="0"/>
              <w:suppressAutoHyphens w:val="0"/>
              <w:spacing w:before="0" w:after="0" w:line="240" w:lineRule="auto"/>
              <w:jc w:val="center"/>
              <w:rPr>
                <w:szCs w:val="17"/>
              </w:rPr>
            </w:pPr>
            <w:r>
              <w:rPr>
                <w:szCs w:val="17"/>
              </w:rPr>
              <w:t>270</w:t>
            </w:r>
          </w:p>
        </w:tc>
        <w:tc>
          <w:tcPr>
            <w:tcW w:w="312" w:type="pct"/>
          </w:tcPr>
          <w:p w14:paraId="0FFCDE20"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2E22A3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9799F52"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79E20100"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7.2</w:t>
            </w:r>
          </w:p>
        </w:tc>
        <w:tc>
          <w:tcPr>
            <w:tcW w:w="312" w:type="pct"/>
            <w:vAlign w:val="center"/>
          </w:tcPr>
          <w:p w14:paraId="6E4D52A3"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shd w:val="clear" w:color="auto" w:fill="FF0000"/>
            <w:vAlign w:val="center"/>
          </w:tcPr>
          <w:p w14:paraId="276817F3"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1.3</w:t>
            </w:r>
          </w:p>
        </w:tc>
        <w:tc>
          <w:tcPr>
            <w:tcW w:w="310" w:type="pct"/>
            <w:vAlign w:val="center"/>
          </w:tcPr>
          <w:p w14:paraId="5F6B8BEF"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213</w:t>
            </w:r>
          </w:p>
        </w:tc>
      </w:tr>
      <w:tr w:rsidR="00CE1436" w14:paraId="7BF55122" w14:textId="77777777" w:rsidTr="00444693">
        <w:trPr>
          <w:cantSplit/>
          <w:trHeight w:val="13"/>
        </w:trPr>
        <w:tc>
          <w:tcPr>
            <w:tcW w:w="521" w:type="pct"/>
            <w:vMerge/>
            <w:tcBorders>
              <w:bottom w:val="single" w:sz="4" w:space="0" w:color="auto"/>
            </w:tcBorders>
          </w:tcPr>
          <w:p w14:paraId="3CC5BD6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9009348" w14:textId="77777777" w:rsidR="00CE1436" w:rsidRPr="00051DDD"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761EE9B9" w14:textId="77777777" w:rsidR="00CE1436" w:rsidRPr="00051DDD"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1AF963BB" w14:textId="77777777" w:rsidR="00CE1436" w:rsidRPr="00BB21ED"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6C73CAC8" w14:textId="77777777" w:rsidR="00CE1436" w:rsidRDefault="00CE1436" w:rsidP="00444693">
            <w:pPr>
              <w:pStyle w:val="TableText"/>
              <w:widowControl w:val="0"/>
              <w:suppressAutoHyphens w:val="0"/>
              <w:spacing w:before="0" w:after="0" w:line="240" w:lineRule="auto"/>
              <w:jc w:val="center"/>
            </w:pPr>
            <w:r>
              <w:t>26.8</w:t>
            </w:r>
          </w:p>
        </w:tc>
        <w:tc>
          <w:tcPr>
            <w:tcW w:w="296" w:type="pct"/>
            <w:tcBorders>
              <w:bottom w:val="single" w:sz="4" w:space="0" w:color="auto"/>
            </w:tcBorders>
          </w:tcPr>
          <w:p w14:paraId="3137504B" w14:textId="77777777" w:rsidR="00CE1436" w:rsidRDefault="00CE1436" w:rsidP="00444693">
            <w:pPr>
              <w:pStyle w:val="TableText"/>
              <w:widowControl w:val="0"/>
              <w:suppressAutoHyphens w:val="0"/>
              <w:spacing w:before="0" w:after="0" w:line="240" w:lineRule="auto"/>
              <w:jc w:val="center"/>
              <w:rPr>
                <w:szCs w:val="17"/>
              </w:rPr>
            </w:pPr>
            <w:r>
              <w:rPr>
                <w:szCs w:val="17"/>
              </w:rPr>
              <w:t>216</w:t>
            </w:r>
          </w:p>
        </w:tc>
        <w:tc>
          <w:tcPr>
            <w:tcW w:w="312" w:type="pct"/>
            <w:tcBorders>
              <w:bottom w:val="single" w:sz="4" w:space="0" w:color="auto"/>
            </w:tcBorders>
          </w:tcPr>
          <w:p w14:paraId="32102DF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31C0BCC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4A16891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5D9601AF"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5.8</w:t>
            </w:r>
          </w:p>
        </w:tc>
        <w:tc>
          <w:tcPr>
            <w:tcW w:w="312" w:type="pct"/>
            <w:tcBorders>
              <w:bottom w:val="single" w:sz="4" w:space="0" w:color="auto"/>
            </w:tcBorders>
            <w:vAlign w:val="center"/>
          </w:tcPr>
          <w:p w14:paraId="5ECB779B"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tcBorders>
              <w:bottom w:val="single" w:sz="4" w:space="0" w:color="auto"/>
            </w:tcBorders>
            <w:shd w:val="clear" w:color="auto" w:fill="FF0000"/>
            <w:vAlign w:val="center"/>
          </w:tcPr>
          <w:p w14:paraId="3EB857C4" w14:textId="77777777" w:rsidR="00CE1436" w:rsidRDefault="00CE1436" w:rsidP="00444693">
            <w:pPr>
              <w:pStyle w:val="TableText"/>
              <w:widowControl w:val="0"/>
              <w:suppressAutoHyphens w:val="0"/>
              <w:spacing w:before="0" w:after="0" w:line="240" w:lineRule="auto"/>
              <w:jc w:val="center"/>
              <w:rPr>
                <w:b/>
                <w:bCs/>
                <w:color w:val="1A1B1A"/>
                <w:szCs w:val="17"/>
              </w:rPr>
            </w:pPr>
            <w:r>
              <w:rPr>
                <w:b/>
                <w:bCs/>
                <w:color w:val="1A1B1A"/>
                <w:szCs w:val="17"/>
              </w:rPr>
              <w:t>1.0</w:t>
            </w:r>
          </w:p>
        </w:tc>
        <w:tc>
          <w:tcPr>
            <w:tcW w:w="310" w:type="pct"/>
            <w:tcBorders>
              <w:bottom w:val="single" w:sz="4" w:space="0" w:color="auto"/>
            </w:tcBorders>
            <w:vAlign w:val="center"/>
          </w:tcPr>
          <w:p w14:paraId="410BC79B"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213</w:t>
            </w:r>
          </w:p>
        </w:tc>
      </w:tr>
      <w:tr w:rsidR="00CE1436" w:rsidRPr="0023247F" w14:paraId="7EA5F63A" w14:textId="77777777" w:rsidTr="00444693">
        <w:trPr>
          <w:cantSplit/>
          <w:trHeight w:val="13"/>
        </w:trPr>
        <w:tc>
          <w:tcPr>
            <w:tcW w:w="5000" w:type="pct"/>
            <w:gridSpan w:val="13"/>
            <w:tcBorders>
              <w:top w:val="single" w:sz="4" w:space="0" w:color="auto"/>
              <w:bottom w:val="single" w:sz="4" w:space="0" w:color="auto"/>
            </w:tcBorders>
          </w:tcPr>
          <w:p w14:paraId="0D367EAA" w14:textId="77777777" w:rsidR="00CE1436" w:rsidRPr="0023247F" w:rsidRDefault="00CE1436" w:rsidP="00AC06D7">
            <w:pPr>
              <w:pStyle w:val="TableSubHead0"/>
            </w:pPr>
            <w:r w:rsidRPr="001B1B9E">
              <w:t>General weed control in bananas, dubosia, forests, orchards, plantations, tea tree</w:t>
            </w:r>
            <w:r>
              <w:t>, vineyards</w:t>
            </w:r>
          </w:p>
        </w:tc>
      </w:tr>
      <w:tr w:rsidR="00CE1436" w:rsidRPr="00886278" w14:paraId="5ADC1903" w14:textId="77777777" w:rsidTr="00444693">
        <w:trPr>
          <w:cantSplit/>
          <w:trHeight w:val="13"/>
        </w:trPr>
        <w:tc>
          <w:tcPr>
            <w:tcW w:w="521" w:type="pct"/>
            <w:vMerge w:val="restart"/>
            <w:tcBorders>
              <w:top w:val="single" w:sz="4" w:space="0" w:color="auto"/>
            </w:tcBorders>
          </w:tcPr>
          <w:p w14:paraId="3FE4114C" w14:textId="77777777" w:rsidR="00CE1436" w:rsidRPr="00886278" w:rsidRDefault="00CE1436" w:rsidP="00444693">
            <w:pPr>
              <w:pStyle w:val="TableText"/>
              <w:widowControl w:val="0"/>
              <w:suppressAutoHyphens w:val="0"/>
              <w:spacing w:before="0" w:after="0" w:line="240" w:lineRule="auto"/>
              <w:rPr>
                <w:szCs w:val="17"/>
              </w:rPr>
            </w:pPr>
            <w:r>
              <w:rPr>
                <w:szCs w:val="17"/>
              </w:rPr>
              <w:t>Orchards</w:t>
            </w:r>
          </w:p>
        </w:tc>
        <w:tc>
          <w:tcPr>
            <w:tcW w:w="589" w:type="pct"/>
            <w:vMerge w:val="restart"/>
            <w:tcBorders>
              <w:top w:val="single" w:sz="4" w:space="0" w:color="auto"/>
            </w:tcBorders>
          </w:tcPr>
          <w:p w14:paraId="2B785EC3" w14:textId="77777777" w:rsidR="00CE1436" w:rsidRPr="00886278" w:rsidRDefault="00CE1436" w:rsidP="00444693">
            <w:pPr>
              <w:pStyle w:val="TableText"/>
              <w:widowControl w:val="0"/>
              <w:suppressAutoHyphens w:val="0"/>
              <w:spacing w:before="0" w:after="0" w:line="240" w:lineRule="auto"/>
              <w:rPr>
                <w:szCs w:val="17"/>
              </w:rPr>
            </w:pPr>
            <w:r w:rsidRPr="00425098">
              <w:t>Small granivore</w:t>
            </w:r>
          </w:p>
        </w:tc>
        <w:tc>
          <w:tcPr>
            <w:tcW w:w="445" w:type="pct"/>
            <w:vMerge w:val="restart"/>
            <w:tcBorders>
              <w:top w:val="single" w:sz="4" w:space="0" w:color="auto"/>
            </w:tcBorders>
          </w:tcPr>
          <w:p w14:paraId="43D823A0" w14:textId="77777777" w:rsidR="00CE1436" w:rsidRPr="00886278" w:rsidRDefault="00CE1436" w:rsidP="00444693">
            <w:pPr>
              <w:pStyle w:val="TableText"/>
              <w:widowControl w:val="0"/>
              <w:suppressAutoHyphens w:val="0"/>
              <w:spacing w:before="0" w:after="0" w:line="240" w:lineRule="auto"/>
              <w:rPr>
                <w:szCs w:val="17"/>
              </w:rPr>
            </w:pPr>
            <w:r w:rsidRPr="00425098">
              <w:t>Ground directed</w:t>
            </w:r>
          </w:p>
        </w:tc>
        <w:tc>
          <w:tcPr>
            <w:tcW w:w="520" w:type="pct"/>
            <w:tcBorders>
              <w:top w:val="single" w:sz="4" w:space="0" w:color="auto"/>
            </w:tcBorders>
          </w:tcPr>
          <w:p w14:paraId="55DB8139" w14:textId="77777777" w:rsidR="00CE1436" w:rsidRPr="00886278" w:rsidRDefault="00CE1436" w:rsidP="00444693">
            <w:pPr>
              <w:pStyle w:val="TableText"/>
              <w:widowControl w:val="0"/>
              <w:suppressAutoHyphens w:val="0"/>
              <w:spacing w:before="0" w:after="0" w:line="240" w:lineRule="auto"/>
              <w:jc w:val="center"/>
              <w:rPr>
                <w:szCs w:val="17"/>
              </w:rPr>
            </w:pPr>
            <w:r w:rsidRPr="009B4E64">
              <w:rPr>
                <w:szCs w:val="17"/>
              </w:rPr>
              <w:t>Acute</w:t>
            </w:r>
          </w:p>
        </w:tc>
        <w:tc>
          <w:tcPr>
            <w:tcW w:w="446" w:type="pct"/>
            <w:tcBorders>
              <w:top w:val="single" w:sz="4" w:space="0" w:color="auto"/>
            </w:tcBorders>
            <w:shd w:val="clear" w:color="auto" w:fill="D5D7D5" w:themeFill="text1" w:themeFillTint="33"/>
          </w:tcPr>
          <w:p w14:paraId="60F94837"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15.1</w:t>
            </w:r>
            <w:r w:rsidRPr="00785E25">
              <w:rPr>
                <w:szCs w:val="17"/>
                <w:vertAlign w:val="superscript"/>
              </w:rPr>
              <w:t>b</w:t>
            </w:r>
          </w:p>
        </w:tc>
        <w:tc>
          <w:tcPr>
            <w:tcW w:w="296" w:type="pct"/>
            <w:tcBorders>
              <w:top w:val="single" w:sz="4" w:space="0" w:color="auto"/>
            </w:tcBorders>
          </w:tcPr>
          <w:p w14:paraId="56543E05" w14:textId="77777777" w:rsidR="00CE1436" w:rsidRPr="00886278" w:rsidRDefault="00CE1436" w:rsidP="00444693">
            <w:pPr>
              <w:pStyle w:val="TableText"/>
              <w:widowControl w:val="0"/>
              <w:suppressAutoHyphens w:val="0"/>
              <w:spacing w:before="0" w:after="0" w:line="240" w:lineRule="auto"/>
              <w:jc w:val="center"/>
              <w:rPr>
                <w:szCs w:val="17"/>
              </w:rPr>
            </w:pPr>
            <w:r>
              <w:t>1120</w:t>
            </w:r>
          </w:p>
        </w:tc>
        <w:tc>
          <w:tcPr>
            <w:tcW w:w="312" w:type="pct"/>
            <w:tcBorders>
              <w:top w:val="single" w:sz="4" w:space="0" w:color="auto"/>
            </w:tcBorders>
          </w:tcPr>
          <w:p w14:paraId="78DC3010"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322CC562"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7A9D05E8"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tcPr>
          <w:p w14:paraId="74F89628" w14:textId="77777777" w:rsidR="00CE1436" w:rsidRPr="00886278" w:rsidRDefault="00CE1436" w:rsidP="00444693">
            <w:pPr>
              <w:pStyle w:val="TableText"/>
              <w:widowControl w:val="0"/>
              <w:suppressAutoHyphens w:val="0"/>
              <w:spacing w:before="0" w:after="0" w:line="240" w:lineRule="auto"/>
              <w:jc w:val="center"/>
              <w:rPr>
                <w:szCs w:val="17"/>
              </w:rPr>
            </w:pPr>
            <w:r w:rsidRPr="003E7B07">
              <w:t>17</w:t>
            </w:r>
          </w:p>
        </w:tc>
        <w:tc>
          <w:tcPr>
            <w:tcW w:w="312" w:type="pct"/>
            <w:tcBorders>
              <w:top w:val="single" w:sz="4" w:space="0" w:color="auto"/>
            </w:tcBorders>
          </w:tcPr>
          <w:p w14:paraId="7FA5668D" w14:textId="77777777" w:rsidR="00CE1436" w:rsidRPr="00886278" w:rsidRDefault="00CE1436" w:rsidP="00444693">
            <w:pPr>
              <w:pStyle w:val="TableText"/>
              <w:widowControl w:val="0"/>
              <w:suppressAutoHyphens w:val="0"/>
              <w:spacing w:before="0" w:after="0" w:line="240" w:lineRule="auto"/>
              <w:jc w:val="center"/>
            </w:pPr>
            <w:r w:rsidRPr="003E7B07">
              <w:t>5.7</w:t>
            </w:r>
          </w:p>
        </w:tc>
        <w:tc>
          <w:tcPr>
            <w:tcW w:w="312" w:type="pct"/>
            <w:tcBorders>
              <w:top w:val="single" w:sz="4" w:space="0" w:color="auto"/>
            </w:tcBorders>
            <w:shd w:val="clear" w:color="auto" w:fill="FF0000"/>
          </w:tcPr>
          <w:p w14:paraId="075C3054"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3.0</w:t>
            </w:r>
          </w:p>
        </w:tc>
        <w:tc>
          <w:tcPr>
            <w:tcW w:w="310" w:type="pct"/>
            <w:tcBorders>
              <w:top w:val="single" w:sz="4" w:space="0" w:color="auto"/>
            </w:tcBorders>
          </w:tcPr>
          <w:p w14:paraId="76B6B8CA" w14:textId="77777777" w:rsidR="00CE1436" w:rsidRPr="00886278" w:rsidRDefault="00CE1436" w:rsidP="00444693">
            <w:pPr>
              <w:pStyle w:val="TableText"/>
              <w:widowControl w:val="0"/>
              <w:suppressAutoHyphens w:val="0"/>
              <w:spacing w:before="0" w:after="0" w:line="240" w:lineRule="auto"/>
              <w:jc w:val="center"/>
            </w:pPr>
            <w:r w:rsidRPr="003E7B07">
              <w:t>377</w:t>
            </w:r>
          </w:p>
        </w:tc>
      </w:tr>
      <w:tr w:rsidR="00CE1436" w:rsidRPr="00886278" w14:paraId="79B6D6A4" w14:textId="77777777" w:rsidTr="00444693">
        <w:trPr>
          <w:cantSplit/>
          <w:trHeight w:val="13"/>
        </w:trPr>
        <w:tc>
          <w:tcPr>
            <w:tcW w:w="521" w:type="pct"/>
            <w:vMerge/>
          </w:tcPr>
          <w:p w14:paraId="48B87D34"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68A80A0E"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196B6F2" w14:textId="77777777" w:rsidR="00CE1436" w:rsidRPr="00425098" w:rsidRDefault="00CE1436" w:rsidP="00444693">
            <w:pPr>
              <w:pStyle w:val="TableText"/>
              <w:widowControl w:val="0"/>
              <w:suppressAutoHyphens w:val="0"/>
              <w:spacing w:before="0" w:after="0" w:line="240" w:lineRule="auto"/>
            </w:pPr>
          </w:p>
        </w:tc>
        <w:tc>
          <w:tcPr>
            <w:tcW w:w="520" w:type="pct"/>
          </w:tcPr>
          <w:p w14:paraId="5DF51F0E"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1FB53E52" w14:textId="77777777" w:rsidR="00CE143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0724884A" w14:textId="77777777" w:rsidR="00CE1436" w:rsidRDefault="00CE1436" w:rsidP="00444693">
            <w:pPr>
              <w:pStyle w:val="TableText"/>
              <w:widowControl w:val="0"/>
              <w:suppressAutoHyphens w:val="0"/>
              <w:spacing w:before="0" w:after="0" w:line="240" w:lineRule="auto"/>
              <w:jc w:val="center"/>
              <w:rPr>
                <w:szCs w:val="17"/>
              </w:rPr>
            </w:pPr>
            <w:r>
              <w:t>810</w:t>
            </w:r>
          </w:p>
        </w:tc>
        <w:tc>
          <w:tcPr>
            <w:tcW w:w="312" w:type="pct"/>
          </w:tcPr>
          <w:p w14:paraId="1F8D30B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69287F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E75E98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C8C32F0" w14:textId="77777777" w:rsidR="00CE1436" w:rsidRPr="00886278" w:rsidRDefault="00CE1436" w:rsidP="00444693">
            <w:pPr>
              <w:pStyle w:val="TableText"/>
              <w:widowControl w:val="0"/>
              <w:suppressAutoHyphens w:val="0"/>
              <w:spacing w:before="0" w:after="0" w:line="240" w:lineRule="auto"/>
              <w:jc w:val="center"/>
              <w:rPr>
                <w:szCs w:val="17"/>
              </w:rPr>
            </w:pPr>
            <w:r w:rsidRPr="003E7B07">
              <w:t>12</w:t>
            </w:r>
          </w:p>
        </w:tc>
        <w:tc>
          <w:tcPr>
            <w:tcW w:w="312" w:type="pct"/>
          </w:tcPr>
          <w:p w14:paraId="398AEDB1"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21CD643D"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2.1</w:t>
            </w:r>
          </w:p>
        </w:tc>
        <w:tc>
          <w:tcPr>
            <w:tcW w:w="310" w:type="pct"/>
          </w:tcPr>
          <w:p w14:paraId="5F8B2FD5" w14:textId="77777777" w:rsidR="00CE1436" w:rsidRPr="00886278" w:rsidRDefault="00CE1436" w:rsidP="00444693">
            <w:pPr>
              <w:pStyle w:val="TableText"/>
              <w:widowControl w:val="0"/>
              <w:suppressAutoHyphens w:val="0"/>
              <w:spacing w:before="0" w:after="0" w:line="240" w:lineRule="auto"/>
              <w:jc w:val="center"/>
            </w:pPr>
            <w:r w:rsidRPr="003E7B07">
              <w:t>377</w:t>
            </w:r>
          </w:p>
        </w:tc>
      </w:tr>
      <w:tr w:rsidR="00CE1436" w:rsidRPr="00886278" w14:paraId="6F7951E5" w14:textId="77777777" w:rsidTr="00444693">
        <w:trPr>
          <w:cantSplit/>
          <w:trHeight w:val="13"/>
        </w:trPr>
        <w:tc>
          <w:tcPr>
            <w:tcW w:w="521" w:type="pct"/>
            <w:vMerge/>
          </w:tcPr>
          <w:p w14:paraId="765550BA"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206F937"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0938062" w14:textId="77777777" w:rsidR="00CE1436" w:rsidRPr="00425098" w:rsidRDefault="00CE1436" w:rsidP="00444693">
            <w:pPr>
              <w:pStyle w:val="TableText"/>
              <w:widowControl w:val="0"/>
              <w:suppressAutoHyphens w:val="0"/>
              <w:spacing w:before="0" w:after="0" w:line="240" w:lineRule="auto"/>
            </w:pPr>
          </w:p>
        </w:tc>
        <w:tc>
          <w:tcPr>
            <w:tcW w:w="520" w:type="pct"/>
          </w:tcPr>
          <w:p w14:paraId="55B0FB6E"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01AA7DE9" w14:textId="77777777" w:rsidR="00CE143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04AD0A0C"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7D671CE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7CC3FF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1BDEB7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1DFF6297" w14:textId="77777777" w:rsidR="00CE1436" w:rsidRPr="00886278" w:rsidRDefault="00CE1436" w:rsidP="00444693">
            <w:pPr>
              <w:pStyle w:val="TableText"/>
              <w:widowControl w:val="0"/>
              <w:suppressAutoHyphens w:val="0"/>
              <w:spacing w:before="0" w:after="0" w:line="240" w:lineRule="auto"/>
              <w:jc w:val="center"/>
              <w:rPr>
                <w:szCs w:val="17"/>
              </w:rPr>
            </w:pPr>
            <w:r w:rsidRPr="003E7B07">
              <w:t>9.1</w:t>
            </w:r>
          </w:p>
        </w:tc>
        <w:tc>
          <w:tcPr>
            <w:tcW w:w="312" w:type="pct"/>
          </w:tcPr>
          <w:p w14:paraId="69760867"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702D578B"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1.6</w:t>
            </w:r>
          </w:p>
        </w:tc>
        <w:tc>
          <w:tcPr>
            <w:tcW w:w="310" w:type="pct"/>
          </w:tcPr>
          <w:p w14:paraId="16846091" w14:textId="77777777" w:rsidR="00CE1436" w:rsidRPr="00886278" w:rsidRDefault="00CE1436" w:rsidP="00444693">
            <w:pPr>
              <w:pStyle w:val="TableText"/>
              <w:widowControl w:val="0"/>
              <w:suppressAutoHyphens w:val="0"/>
              <w:spacing w:before="0" w:after="0" w:line="240" w:lineRule="auto"/>
              <w:jc w:val="center"/>
            </w:pPr>
            <w:r w:rsidRPr="003E7B07">
              <w:t>377</w:t>
            </w:r>
          </w:p>
        </w:tc>
      </w:tr>
      <w:tr w:rsidR="00CE1436" w:rsidRPr="0023247F" w14:paraId="338DE5A8" w14:textId="77777777" w:rsidTr="00444693">
        <w:trPr>
          <w:cantSplit/>
          <w:trHeight w:val="13"/>
        </w:trPr>
        <w:tc>
          <w:tcPr>
            <w:tcW w:w="521" w:type="pct"/>
            <w:vMerge/>
          </w:tcPr>
          <w:p w14:paraId="1C47B960"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069F6308"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BA6E480" w14:textId="77777777" w:rsidR="00CE1436" w:rsidRPr="00425098" w:rsidRDefault="00CE1436" w:rsidP="00444693">
            <w:pPr>
              <w:pStyle w:val="TableText"/>
              <w:widowControl w:val="0"/>
              <w:suppressAutoHyphens w:val="0"/>
              <w:spacing w:before="0" w:after="0" w:line="240" w:lineRule="auto"/>
            </w:pPr>
          </w:p>
        </w:tc>
        <w:tc>
          <w:tcPr>
            <w:tcW w:w="520" w:type="pct"/>
          </w:tcPr>
          <w:p w14:paraId="3C98DDFD"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4F89046E"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567BE1C7"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699165C2"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9F9B4D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B9B957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2AC2C024" w14:textId="77777777" w:rsidR="00CE1436" w:rsidRPr="003203B5" w:rsidRDefault="00CE1436" w:rsidP="00444693">
            <w:pPr>
              <w:pStyle w:val="TableText"/>
              <w:widowControl w:val="0"/>
              <w:suppressAutoHyphens w:val="0"/>
              <w:spacing w:before="0" w:after="0" w:line="240" w:lineRule="auto"/>
              <w:jc w:val="center"/>
            </w:pPr>
            <w:r w:rsidRPr="003E7B07">
              <w:t>7.6</w:t>
            </w:r>
          </w:p>
        </w:tc>
        <w:tc>
          <w:tcPr>
            <w:tcW w:w="312" w:type="pct"/>
          </w:tcPr>
          <w:p w14:paraId="0C51F5DB"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3F517EB1"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1.3</w:t>
            </w:r>
          </w:p>
        </w:tc>
        <w:tc>
          <w:tcPr>
            <w:tcW w:w="310" w:type="pct"/>
          </w:tcPr>
          <w:p w14:paraId="3476259E"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23247F" w14:paraId="06D15AEB" w14:textId="77777777" w:rsidTr="00444693">
        <w:trPr>
          <w:cantSplit/>
          <w:trHeight w:val="13"/>
        </w:trPr>
        <w:tc>
          <w:tcPr>
            <w:tcW w:w="521" w:type="pct"/>
            <w:vMerge/>
          </w:tcPr>
          <w:p w14:paraId="65B02DE7"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32DDE8E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063C0A82" w14:textId="77777777" w:rsidR="00CE1436" w:rsidRPr="00425098" w:rsidRDefault="00CE1436" w:rsidP="00444693">
            <w:pPr>
              <w:pStyle w:val="TableText"/>
              <w:widowControl w:val="0"/>
              <w:suppressAutoHyphens w:val="0"/>
              <w:spacing w:before="0" w:after="0" w:line="240" w:lineRule="auto"/>
            </w:pPr>
          </w:p>
        </w:tc>
        <w:tc>
          <w:tcPr>
            <w:tcW w:w="520" w:type="pct"/>
          </w:tcPr>
          <w:p w14:paraId="486BDFFD"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6D7CC0AD"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65F8AFE5" w14:textId="77777777" w:rsidR="00CE1436" w:rsidRDefault="00CE1436" w:rsidP="00444693">
            <w:pPr>
              <w:pStyle w:val="TableText"/>
              <w:widowControl w:val="0"/>
              <w:suppressAutoHyphens w:val="0"/>
              <w:spacing w:before="0" w:after="0" w:line="240" w:lineRule="auto"/>
              <w:jc w:val="center"/>
              <w:rPr>
                <w:szCs w:val="17"/>
              </w:rPr>
            </w:pPr>
            <w:r>
              <w:t>448</w:t>
            </w:r>
          </w:p>
        </w:tc>
        <w:tc>
          <w:tcPr>
            <w:tcW w:w="312" w:type="pct"/>
          </w:tcPr>
          <w:p w14:paraId="1080D88F"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A009CC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48C167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D461989" w14:textId="77777777" w:rsidR="00CE1436" w:rsidRPr="003203B5" w:rsidRDefault="00CE1436" w:rsidP="00444693">
            <w:pPr>
              <w:pStyle w:val="TableText"/>
              <w:widowControl w:val="0"/>
              <w:suppressAutoHyphens w:val="0"/>
              <w:spacing w:before="0" w:after="0" w:line="240" w:lineRule="auto"/>
              <w:jc w:val="center"/>
            </w:pPr>
            <w:r w:rsidRPr="003E7B07">
              <w:t>6.8</w:t>
            </w:r>
          </w:p>
        </w:tc>
        <w:tc>
          <w:tcPr>
            <w:tcW w:w="312" w:type="pct"/>
          </w:tcPr>
          <w:p w14:paraId="154E7BDB"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7EF2474A"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1.2</w:t>
            </w:r>
          </w:p>
        </w:tc>
        <w:tc>
          <w:tcPr>
            <w:tcW w:w="310" w:type="pct"/>
          </w:tcPr>
          <w:p w14:paraId="2FA5CDB5"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23247F" w14:paraId="68CF673E" w14:textId="77777777" w:rsidTr="00444693">
        <w:trPr>
          <w:cantSplit/>
          <w:trHeight w:val="13"/>
        </w:trPr>
        <w:tc>
          <w:tcPr>
            <w:tcW w:w="521" w:type="pct"/>
            <w:vMerge/>
          </w:tcPr>
          <w:p w14:paraId="2899ABC2"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2A5F08C5"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AE0387F" w14:textId="77777777" w:rsidR="00CE1436" w:rsidRPr="00425098" w:rsidRDefault="00CE1436" w:rsidP="00444693">
            <w:pPr>
              <w:pStyle w:val="TableText"/>
              <w:widowControl w:val="0"/>
              <w:suppressAutoHyphens w:val="0"/>
              <w:spacing w:before="0" w:after="0" w:line="240" w:lineRule="auto"/>
            </w:pPr>
          </w:p>
        </w:tc>
        <w:tc>
          <w:tcPr>
            <w:tcW w:w="520" w:type="pct"/>
          </w:tcPr>
          <w:p w14:paraId="26E42C31"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1A80154A"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3EBD8848"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0822082D"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CA06DE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1A522AA"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72FB53D" w14:textId="77777777" w:rsidR="00CE1436" w:rsidRPr="003203B5" w:rsidRDefault="00CE1436" w:rsidP="00444693">
            <w:pPr>
              <w:pStyle w:val="TableText"/>
              <w:widowControl w:val="0"/>
              <w:suppressAutoHyphens w:val="0"/>
              <w:spacing w:before="0" w:after="0" w:line="240" w:lineRule="auto"/>
              <w:jc w:val="center"/>
            </w:pPr>
            <w:r w:rsidRPr="003E7B07">
              <w:t>6.5</w:t>
            </w:r>
          </w:p>
        </w:tc>
        <w:tc>
          <w:tcPr>
            <w:tcW w:w="312" w:type="pct"/>
          </w:tcPr>
          <w:p w14:paraId="0C48CB11"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5FA2FFD9"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1.1</w:t>
            </w:r>
          </w:p>
        </w:tc>
        <w:tc>
          <w:tcPr>
            <w:tcW w:w="310" w:type="pct"/>
          </w:tcPr>
          <w:p w14:paraId="0B3E1C46"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23247F" w14:paraId="11A41527" w14:textId="77777777" w:rsidTr="00444693">
        <w:trPr>
          <w:cantSplit/>
          <w:trHeight w:val="13"/>
        </w:trPr>
        <w:tc>
          <w:tcPr>
            <w:tcW w:w="521" w:type="pct"/>
            <w:vMerge/>
          </w:tcPr>
          <w:p w14:paraId="77B8B01A"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0348DBF2"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D2A8831" w14:textId="77777777" w:rsidR="00CE1436" w:rsidRPr="00425098" w:rsidRDefault="00CE1436" w:rsidP="00444693">
            <w:pPr>
              <w:pStyle w:val="TableText"/>
              <w:widowControl w:val="0"/>
              <w:suppressAutoHyphens w:val="0"/>
              <w:spacing w:before="0" w:after="0" w:line="240" w:lineRule="auto"/>
            </w:pPr>
          </w:p>
        </w:tc>
        <w:tc>
          <w:tcPr>
            <w:tcW w:w="520" w:type="pct"/>
          </w:tcPr>
          <w:p w14:paraId="03B778E7"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30A5E9C5"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6805F8B7" w14:textId="77777777" w:rsidR="00CE1436" w:rsidRDefault="00CE1436" w:rsidP="00444693">
            <w:pPr>
              <w:pStyle w:val="TableText"/>
              <w:widowControl w:val="0"/>
              <w:suppressAutoHyphens w:val="0"/>
              <w:spacing w:before="0" w:after="0" w:line="240" w:lineRule="auto"/>
              <w:jc w:val="center"/>
              <w:rPr>
                <w:szCs w:val="17"/>
              </w:rPr>
            </w:pPr>
            <w:r>
              <w:t>425</w:t>
            </w:r>
          </w:p>
        </w:tc>
        <w:tc>
          <w:tcPr>
            <w:tcW w:w="312" w:type="pct"/>
          </w:tcPr>
          <w:p w14:paraId="48236FA1"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27E439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0F3B20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7000820A" w14:textId="77777777" w:rsidR="00CE1436" w:rsidRPr="003203B5" w:rsidRDefault="00CE1436" w:rsidP="00444693">
            <w:pPr>
              <w:pStyle w:val="TableText"/>
              <w:widowControl w:val="0"/>
              <w:suppressAutoHyphens w:val="0"/>
              <w:spacing w:before="0" w:after="0" w:line="240" w:lineRule="auto"/>
              <w:jc w:val="center"/>
            </w:pPr>
            <w:r w:rsidRPr="003E7B07">
              <w:t>6.4</w:t>
            </w:r>
          </w:p>
        </w:tc>
        <w:tc>
          <w:tcPr>
            <w:tcW w:w="312" w:type="pct"/>
          </w:tcPr>
          <w:p w14:paraId="5E89A3E1"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6160DE74"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1.1</w:t>
            </w:r>
          </w:p>
        </w:tc>
        <w:tc>
          <w:tcPr>
            <w:tcW w:w="310" w:type="pct"/>
          </w:tcPr>
          <w:p w14:paraId="5C4301AC"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14:paraId="78647D47" w14:textId="77777777" w:rsidTr="00444693">
        <w:trPr>
          <w:cantSplit/>
          <w:trHeight w:val="13"/>
        </w:trPr>
        <w:tc>
          <w:tcPr>
            <w:tcW w:w="521" w:type="pct"/>
            <w:vMerge/>
          </w:tcPr>
          <w:p w14:paraId="5ECC41B2"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5D014345"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47EA6B4" w14:textId="77777777" w:rsidR="00CE1436" w:rsidRPr="00425098" w:rsidRDefault="00CE1436" w:rsidP="00444693">
            <w:pPr>
              <w:pStyle w:val="TableText"/>
              <w:widowControl w:val="0"/>
              <w:suppressAutoHyphens w:val="0"/>
              <w:spacing w:before="0" w:after="0" w:line="240" w:lineRule="auto"/>
            </w:pPr>
          </w:p>
        </w:tc>
        <w:tc>
          <w:tcPr>
            <w:tcW w:w="520" w:type="pct"/>
          </w:tcPr>
          <w:p w14:paraId="59CE0BCD"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50A78B18" w14:textId="77777777" w:rsidR="00CE1436" w:rsidRPr="008F77BC"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468FE678"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19895FC4"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62B9155"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0734D6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326C8AD5" w14:textId="77777777" w:rsidR="00CE1436" w:rsidRDefault="00CE1436" w:rsidP="00444693">
            <w:pPr>
              <w:pStyle w:val="TableText"/>
              <w:widowControl w:val="0"/>
              <w:suppressAutoHyphens w:val="0"/>
              <w:spacing w:before="0" w:after="0" w:line="240" w:lineRule="auto"/>
              <w:jc w:val="center"/>
              <w:rPr>
                <w:color w:val="1A1B1A"/>
                <w:szCs w:val="17"/>
              </w:rPr>
            </w:pPr>
            <w:r w:rsidRPr="003E7B07">
              <w:t>6.3</w:t>
            </w:r>
          </w:p>
        </w:tc>
        <w:tc>
          <w:tcPr>
            <w:tcW w:w="312" w:type="pct"/>
          </w:tcPr>
          <w:p w14:paraId="0916EC3E" w14:textId="77777777" w:rsidR="00CE1436" w:rsidRDefault="00CE1436" w:rsidP="00444693">
            <w:pPr>
              <w:pStyle w:val="TableText"/>
              <w:widowControl w:val="0"/>
              <w:suppressAutoHyphens w:val="0"/>
              <w:spacing w:before="0" w:after="0" w:line="240" w:lineRule="auto"/>
              <w:jc w:val="center"/>
              <w:rPr>
                <w:color w:val="1A1B1A"/>
                <w:szCs w:val="17"/>
              </w:rPr>
            </w:pPr>
            <w:r w:rsidRPr="003E7B07">
              <w:t>5.7</w:t>
            </w:r>
          </w:p>
        </w:tc>
        <w:tc>
          <w:tcPr>
            <w:tcW w:w="312" w:type="pct"/>
            <w:shd w:val="clear" w:color="auto" w:fill="FF0000"/>
          </w:tcPr>
          <w:p w14:paraId="4F71B85A" w14:textId="77777777" w:rsidR="00CE1436" w:rsidRPr="00785E25" w:rsidRDefault="00CE1436" w:rsidP="00444693">
            <w:pPr>
              <w:pStyle w:val="TableText"/>
              <w:widowControl w:val="0"/>
              <w:suppressAutoHyphens w:val="0"/>
              <w:spacing w:before="0" w:after="0" w:line="240" w:lineRule="auto"/>
              <w:jc w:val="center"/>
              <w:rPr>
                <w:b/>
                <w:bCs/>
                <w:color w:val="1A1B1A"/>
                <w:szCs w:val="17"/>
              </w:rPr>
            </w:pPr>
            <w:r w:rsidRPr="00785E25">
              <w:rPr>
                <w:b/>
                <w:bCs/>
              </w:rPr>
              <w:t>1.1</w:t>
            </w:r>
          </w:p>
        </w:tc>
        <w:tc>
          <w:tcPr>
            <w:tcW w:w="310" w:type="pct"/>
          </w:tcPr>
          <w:p w14:paraId="58BA2684" w14:textId="77777777" w:rsidR="00CE1436" w:rsidRDefault="00CE1436" w:rsidP="00444693">
            <w:pPr>
              <w:pStyle w:val="TableText"/>
              <w:widowControl w:val="0"/>
              <w:suppressAutoHyphens w:val="0"/>
              <w:spacing w:before="0" w:after="0" w:line="240" w:lineRule="auto"/>
              <w:jc w:val="center"/>
              <w:rPr>
                <w:color w:val="1A1B1A"/>
                <w:szCs w:val="17"/>
              </w:rPr>
            </w:pPr>
            <w:r w:rsidRPr="003E7B07">
              <w:t>377</w:t>
            </w:r>
          </w:p>
        </w:tc>
      </w:tr>
      <w:tr w:rsidR="00CE1436" w:rsidRPr="0023247F" w14:paraId="5A23C4C0" w14:textId="77777777" w:rsidTr="00444693">
        <w:trPr>
          <w:cantSplit/>
          <w:trHeight w:val="13"/>
        </w:trPr>
        <w:tc>
          <w:tcPr>
            <w:tcW w:w="521" w:type="pct"/>
            <w:vMerge/>
          </w:tcPr>
          <w:p w14:paraId="4226F924"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6C30A6BA"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17926CE" w14:textId="77777777" w:rsidR="00CE1436" w:rsidRPr="00425098" w:rsidRDefault="00CE1436" w:rsidP="00444693">
            <w:pPr>
              <w:pStyle w:val="TableText"/>
              <w:widowControl w:val="0"/>
              <w:suppressAutoHyphens w:val="0"/>
              <w:spacing w:before="0" w:after="0" w:line="240" w:lineRule="auto"/>
            </w:pPr>
          </w:p>
        </w:tc>
        <w:tc>
          <w:tcPr>
            <w:tcW w:w="520" w:type="pct"/>
          </w:tcPr>
          <w:p w14:paraId="3FD282C7"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09EFF340"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55538164" w14:textId="77777777" w:rsidR="00CE1436" w:rsidRDefault="00CE1436" w:rsidP="00444693">
            <w:pPr>
              <w:pStyle w:val="TableText"/>
              <w:widowControl w:val="0"/>
              <w:suppressAutoHyphens w:val="0"/>
              <w:spacing w:before="0" w:after="0" w:line="240" w:lineRule="auto"/>
              <w:jc w:val="center"/>
              <w:rPr>
                <w:szCs w:val="17"/>
              </w:rPr>
            </w:pPr>
            <w:r>
              <w:t>330</w:t>
            </w:r>
          </w:p>
        </w:tc>
        <w:tc>
          <w:tcPr>
            <w:tcW w:w="312" w:type="pct"/>
          </w:tcPr>
          <w:p w14:paraId="7F97BA6E"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AD81DB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FFA181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87B970E" w14:textId="77777777" w:rsidR="00CE1436" w:rsidRPr="003203B5" w:rsidRDefault="00CE1436" w:rsidP="00444693">
            <w:pPr>
              <w:pStyle w:val="TableText"/>
              <w:widowControl w:val="0"/>
              <w:suppressAutoHyphens w:val="0"/>
              <w:spacing w:before="0" w:after="0" w:line="240" w:lineRule="auto"/>
              <w:jc w:val="center"/>
            </w:pPr>
            <w:r w:rsidRPr="003E7B07">
              <w:t>5.0</w:t>
            </w:r>
          </w:p>
        </w:tc>
        <w:tc>
          <w:tcPr>
            <w:tcW w:w="312" w:type="pct"/>
          </w:tcPr>
          <w:p w14:paraId="485EC65B"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Pr>
          <w:p w14:paraId="76EC7BD4" w14:textId="77777777" w:rsidR="00CE1436" w:rsidRPr="00B927D6" w:rsidRDefault="00CE1436" w:rsidP="00444693">
            <w:pPr>
              <w:pStyle w:val="TableText"/>
              <w:widowControl w:val="0"/>
              <w:suppressAutoHyphens w:val="0"/>
              <w:spacing w:before="0" w:after="0" w:line="240" w:lineRule="auto"/>
              <w:jc w:val="center"/>
              <w:rPr>
                <w:b/>
                <w:bCs/>
              </w:rPr>
            </w:pPr>
            <w:r w:rsidRPr="003E7B07">
              <w:t>0.87</w:t>
            </w:r>
          </w:p>
        </w:tc>
        <w:tc>
          <w:tcPr>
            <w:tcW w:w="310" w:type="pct"/>
          </w:tcPr>
          <w:p w14:paraId="69576DFF"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23247F" w14:paraId="5982F8C6" w14:textId="77777777" w:rsidTr="00444693">
        <w:trPr>
          <w:cantSplit/>
          <w:trHeight w:val="13"/>
        </w:trPr>
        <w:tc>
          <w:tcPr>
            <w:tcW w:w="521" w:type="pct"/>
            <w:vMerge/>
          </w:tcPr>
          <w:p w14:paraId="293FCFEB"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10183FDE" w14:textId="77777777" w:rsidR="00CE1436" w:rsidRPr="00425098" w:rsidRDefault="00CE1436" w:rsidP="00444693">
            <w:pPr>
              <w:pStyle w:val="TableText"/>
              <w:widowControl w:val="0"/>
              <w:suppressAutoHyphens w:val="0"/>
              <w:spacing w:before="0" w:after="0" w:line="240" w:lineRule="auto"/>
            </w:pPr>
          </w:p>
        </w:tc>
        <w:tc>
          <w:tcPr>
            <w:tcW w:w="445" w:type="pct"/>
            <w:vMerge/>
          </w:tcPr>
          <w:p w14:paraId="0D56E4CB" w14:textId="77777777" w:rsidR="00CE1436" w:rsidRPr="00425098" w:rsidRDefault="00CE1436" w:rsidP="00444693">
            <w:pPr>
              <w:pStyle w:val="TableText"/>
              <w:widowControl w:val="0"/>
              <w:suppressAutoHyphens w:val="0"/>
              <w:spacing w:before="0" w:after="0" w:line="240" w:lineRule="auto"/>
            </w:pPr>
          </w:p>
        </w:tc>
        <w:tc>
          <w:tcPr>
            <w:tcW w:w="520" w:type="pct"/>
          </w:tcPr>
          <w:p w14:paraId="5993FB9D"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1D2894E6"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38E4ED62"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41739A6C" w14:textId="77777777" w:rsidR="00CE1436" w:rsidRPr="00736A0E" w:rsidRDefault="00CE1436" w:rsidP="00444693">
            <w:pPr>
              <w:pStyle w:val="TableText"/>
              <w:widowControl w:val="0"/>
              <w:suppressAutoHyphens w:val="0"/>
              <w:spacing w:before="0" w:after="0" w:line="240" w:lineRule="auto"/>
              <w:jc w:val="center"/>
              <w:rPr>
                <w:szCs w:val="17"/>
              </w:rPr>
            </w:pPr>
            <w:r>
              <w:rPr>
                <w:szCs w:val="17"/>
              </w:rPr>
              <w:t>1.4</w:t>
            </w:r>
          </w:p>
        </w:tc>
        <w:tc>
          <w:tcPr>
            <w:tcW w:w="312" w:type="pct"/>
          </w:tcPr>
          <w:p w14:paraId="0AF8089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86D424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2952A1D" w14:textId="77777777" w:rsidR="00CE1436" w:rsidRPr="003203B5" w:rsidRDefault="00CE1436" w:rsidP="00444693">
            <w:pPr>
              <w:pStyle w:val="TableText"/>
              <w:widowControl w:val="0"/>
              <w:suppressAutoHyphens w:val="0"/>
              <w:spacing w:before="0" w:after="0" w:line="240" w:lineRule="auto"/>
              <w:jc w:val="center"/>
            </w:pPr>
            <w:r w:rsidRPr="003E7B07">
              <w:t>6.8</w:t>
            </w:r>
          </w:p>
        </w:tc>
        <w:tc>
          <w:tcPr>
            <w:tcW w:w="312" w:type="pct"/>
          </w:tcPr>
          <w:p w14:paraId="6F7D5F77"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shd w:val="clear" w:color="auto" w:fill="FF0000"/>
          </w:tcPr>
          <w:p w14:paraId="37C45CA1" w14:textId="77777777" w:rsidR="00CE1436" w:rsidRPr="00785E25" w:rsidRDefault="00CE1436" w:rsidP="00444693">
            <w:pPr>
              <w:pStyle w:val="TableText"/>
              <w:widowControl w:val="0"/>
              <w:suppressAutoHyphens w:val="0"/>
              <w:spacing w:before="0" w:after="0" w:line="240" w:lineRule="auto"/>
              <w:jc w:val="center"/>
              <w:rPr>
                <w:b/>
                <w:bCs/>
              </w:rPr>
            </w:pPr>
            <w:r w:rsidRPr="00785E25">
              <w:rPr>
                <w:b/>
                <w:bCs/>
              </w:rPr>
              <w:t>1.2</w:t>
            </w:r>
          </w:p>
        </w:tc>
        <w:tc>
          <w:tcPr>
            <w:tcW w:w="310" w:type="pct"/>
          </w:tcPr>
          <w:p w14:paraId="032264D5" w14:textId="77777777" w:rsidR="00CE1436" w:rsidRPr="0023247F" w:rsidRDefault="00CE1436" w:rsidP="00444693">
            <w:pPr>
              <w:pStyle w:val="TableText"/>
              <w:widowControl w:val="0"/>
              <w:suppressAutoHyphens w:val="0"/>
              <w:spacing w:before="0" w:after="0" w:line="240" w:lineRule="auto"/>
              <w:jc w:val="center"/>
            </w:pPr>
            <w:r w:rsidRPr="003E7B07">
              <w:t>270</w:t>
            </w:r>
          </w:p>
        </w:tc>
      </w:tr>
      <w:tr w:rsidR="00CE1436" w:rsidRPr="0023247F" w14:paraId="348124AD" w14:textId="77777777" w:rsidTr="00444693">
        <w:trPr>
          <w:cantSplit/>
          <w:trHeight w:val="13"/>
        </w:trPr>
        <w:tc>
          <w:tcPr>
            <w:tcW w:w="521" w:type="pct"/>
            <w:vMerge/>
          </w:tcPr>
          <w:p w14:paraId="108EA305"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B10AE30" w14:textId="77777777" w:rsidR="00CE1436" w:rsidRPr="00425098" w:rsidRDefault="00CE1436" w:rsidP="00444693">
            <w:pPr>
              <w:pStyle w:val="TableText"/>
              <w:widowControl w:val="0"/>
              <w:suppressAutoHyphens w:val="0"/>
              <w:spacing w:before="0" w:after="0" w:line="240" w:lineRule="auto"/>
            </w:pPr>
          </w:p>
        </w:tc>
        <w:tc>
          <w:tcPr>
            <w:tcW w:w="445" w:type="pct"/>
            <w:vMerge/>
          </w:tcPr>
          <w:p w14:paraId="59F74A31" w14:textId="77777777" w:rsidR="00CE1436" w:rsidRPr="00425098" w:rsidRDefault="00CE1436" w:rsidP="00444693">
            <w:pPr>
              <w:pStyle w:val="TableText"/>
              <w:widowControl w:val="0"/>
              <w:suppressAutoHyphens w:val="0"/>
              <w:spacing w:before="0" w:after="0" w:line="240" w:lineRule="auto"/>
            </w:pPr>
          </w:p>
        </w:tc>
        <w:tc>
          <w:tcPr>
            <w:tcW w:w="520" w:type="pct"/>
          </w:tcPr>
          <w:p w14:paraId="7EE62312"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5DDC719B"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6CFF421D"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17984793"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7FEA1C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E902A4E"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BB3A6DC" w14:textId="77777777" w:rsidR="00CE1436" w:rsidRPr="003203B5" w:rsidRDefault="00CE1436" w:rsidP="00444693">
            <w:pPr>
              <w:pStyle w:val="TableText"/>
              <w:widowControl w:val="0"/>
              <w:suppressAutoHyphens w:val="0"/>
              <w:spacing w:before="0" w:after="0" w:line="240" w:lineRule="auto"/>
              <w:jc w:val="center"/>
            </w:pPr>
            <w:r w:rsidRPr="003E7B07">
              <w:t>4.9</w:t>
            </w:r>
          </w:p>
        </w:tc>
        <w:tc>
          <w:tcPr>
            <w:tcW w:w="312" w:type="pct"/>
          </w:tcPr>
          <w:p w14:paraId="46152C6C"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Pr>
          <w:p w14:paraId="355617A8" w14:textId="77777777" w:rsidR="00CE1436" w:rsidRPr="00B927D6" w:rsidRDefault="00CE1436" w:rsidP="00444693">
            <w:pPr>
              <w:pStyle w:val="TableText"/>
              <w:widowControl w:val="0"/>
              <w:suppressAutoHyphens w:val="0"/>
              <w:spacing w:before="0" w:after="0" w:line="240" w:lineRule="auto"/>
              <w:jc w:val="center"/>
              <w:rPr>
                <w:b/>
                <w:bCs/>
              </w:rPr>
            </w:pPr>
            <w:r w:rsidRPr="003E7B07">
              <w:t>0.86</w:t>
            </w:r>
          </w:p>
        </w:tc>
        <w:tc>
          <w:tcPr>
            <w:tcW w:w="310" w:type="pct"/>
          </w:tcPr>
          <w:p w14:paraId="42D65B80"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23247F" w14:paraId="6C29B664" w14:textId="77777777" w:rsidTr="00444693">
        <w:trPr>
          <w:cantSplit/>
          <w:trHeight w:val="13"/>
        </w:trPr>
        <w:tc>
          <w:tcPr>
            <w:tcW w:w="521" w:type="pct"/>
            <w:vMerge/>
          </w:tcPr>
          <w:p w14:paraId="5968DF42"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2749BBB9" w14:textId="77777777" w:rsidR="00CE1436" w:rsidRPr="00425098" w:rsidRDefault="00CE1436" w:rsidP="00444693">
            <w:pPr>
              <w:pStyle w:val="TableText"/>
              <w:widowControl w:val="0"/>
              <w:suppressAutoHyphens w:val="0"/>
              <w:spacing w:before="0" w:after="0" w:line="240" w:lineRule="auto"/>
            </w:pPr>
          </w:p>
        </w:tc>
        <w:tc>
          <w:tcPr>
            <w:tcW w:w="445" w:type="pct"/>
            <w:vMerge/>
          </w:tcPr>
          <w:p w14:paraId="52B36C64" w14:textId="77777777" w:rsidR="00CE1436" w:rsidRPr="00425098" w:rsidRDefault="00CE1436" w:rsidP="00444693">
            <w:pPr>
              <w:pStyle w:val="TableText"/>
              <w:widowControl w:val="0"/>
              <w:suppressAutoHyphens w:val="0"/>
              <w:spacing w:before="0" w:after="0" w:line="240" w:lineRule="auto"/>
            </w:pPr>
          </w:p>
        </w:tc>
        <w:tc>
          <w:tcPr>
            <w:tcW w:w="520" w:type="pct"/>
          </w:tcPr>
          <w:p w14:paraId="48521D68"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113EF9E6"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38059B3C"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4A212CD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5C2A22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6D38EC7"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3D19559D" w14:textId="77777777" w:rsidR="00CE1436" w:rsidRPr="003203B5" w:rsidRDefault="00CE1436" w:rsidP="00444693">
            <w:pPr>
              <w:pStyle w:val="TableText"/>
              <w:widowControl w:val="0"/>
              <w:suppressAutoHyphens w:val="0"/>
              <w:spacing w:before="0" w:after="0" w:line="240" w:lineRule="auto"/>
              <w:jc w:val="center"/>
            </w:pPr>
            <w:r w:rsidRPr="003E7B07">
              <w:t>3.0</w:t>
            </w:r>
          </w:p>
        </w:tc>
        <w:tc>
          <w:tcPr>
            <w:tcW w:w="312" w:type="pct"/>
          </w:tcPr>
          <w:p w14:paraId="0FF64267"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Pr>
          <w:p w14:paraId="755E1F23" w14:textId="77777777" w:rsidR="00CE1436" w:rsidRPr="00B927D6" w:rsidRDefault="00CE1436" w:rsidP="00444693">
            <w:pPr>
              <w:pStyle w:val="TableText"/>
              <w:widowControl w:val="0"/>
              <w:suppressAutoHyphens w:val="0"/>
              <w:spacing w:before="0" w:after="0" w:line="240" w:lineRule="auto"/>
              <w:jc w:val="center"/>
              <w:rPr>
                <w:b/>
                <w:bCs/>
              </w:rPr>
            </w:pPr>
            <w:r w:rsidRPr="003E7B07">
              <w:t>0.53</w:t>
            </w:r>
          </w:p>
        </w:tc>
        <w:tc>
          <w:tcPr>
            <w:tcW w:w="310" w:type="pct"/>
          </w:tcPr>
          <w:p w14:paraId="36DD8AFC"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23247F" w14:paraId="6B45BE23" w14:textId="77777777" w:rsidTr="00444693">
        <w:trPr>
          <w:cantSplit/>
          <w:trHeight w:val="13"/>
        </w:trPr>
        <w:tc>
          <w:tcPr>
            <w:tcW w:w="521" w:type="pct"/>
            <w:vMerge/>
          </w:tcPr>
          <w:p w14:paraId="17471A29"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1DC345E1" w14:textId="77777777" w:rsidR="00CE1436" w:rsidRPr="00425098" w:rsidRDefault="00CE1436" w:rsidP="00444693">
            <w:pPr>
              <w:pStyle w:val="TableText"/>
              <w:widowControl w:val="0"/>
              <w:suppressAutoHyphens w:val="0"/>
              <w:spacing w:before="0" w:after="0" w:line="240" w:lineRule="auto"/>
            </w:pPr>
          </w:p>
        </w:tc>
        <w:tc>
          <w:tcPr>
            <w:tcW w:w="445" w:type="pct"/>
            <w:vMerge/>
          </w:tcPr>
          <w:p w14:paraId="675C77F1" w14:textId="77777777" w:rsidR="00CE1436" w:rsidRPr="00425098" w:rsidRDefault="00CE1436" w:rsidP="00444693">
            <w:pPr>
              <w:pStyle w:val="TableText"/>
              <w:widowControl w:val="0"/>
              <w:suppressAutoHyphens w:val="0"/>
              <w:spacing w:before="0" w:after="0" w:line="240" w:lineRule="auto"/>
            </w:pPr>
          </w:p>
        </w:tc>
        <w:tc>
          <w:tcPr>
            <w:tcW w:w="520" w:type="pct"/>
          </w:tcPr>
          <w:p w14:paraId="61724306"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77821B49" w14:textId="77777777" w:rsidR="00CE1436" w:rsidRPr="00FB446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555DC51E" w14:textId="77777777" w:rsidR="00CE1436" w:rsidRDefault="00CE1436" w:rsidP="00444693">
            <w:pPr>
              <w:pStyle w:val="TableText"/>
              <w:widowControl w:val="0"/>
              <w:suppressAutoHyphens w:val="0"/>
              <w:spacing w:before="0" w:after="0" w:line="240" w:lineRule="auto"/>
              <w:jc w:val="center"/>
              <w:rPr>
                <w:szCs w:val="17"/>
              </w:rPr>
            </w:pPr>
            <w:r>
              <w:t>175</w:t>
            </w:r>
          </w:p>
        </w:tc>
        <w:tc>
          <w:tcPr>
            <w:tcW w:w="312" w:type="pct"/>
          </w:tcPr>
          <w:p w14:paraId="095FE4A5"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ED3522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C027AB4"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162A2682" w14:textId="77777777" w:rsidR="00CE1436" w:rsidRPr="003203B5" w:rsidRDefault="00CE1436" w:rsidP="00444693">
            <w:pPr>
              <w:pStyle w:val="TableText"/>
              <w:widowControl w:val="0"/>
              <w:suppressAutoHyphens w:val="0"/>
              <w:spacing w:before="0" w:after="0" w:line="240" w:lineRule="auto"/>
              <w:jc w:val="center"/>
            </w:pPr>
            <w:r w:rsidRPr="003E7B07">
              <w:t>2.6</w:t>
            </w:r>
          </w:p>
        </w:tc>
        <w:tc>
          <w:tcPr>
            <w:tcW w:w="312" w:type="pct"/>
          </w:tcPr>
          <w:p w14:paraId="6A13F7E8"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Pr>
          <w:p w14:paraId="1B1A5F58" w14:textId="77777777" w:rsidR="00CE1436" w:rsidRPr="00B927D6" w:rsidRDefault="00CE1436" w:rsidP="00444693">
            <w:pPr>
              <w:pStyle w:val="TableText"/>
              <w:widowControl w:val="0"/>
              <w:suppressAutoHyphens w:val="0"/>
              <w:spacing w:before="0" w:after="0" w:line="240" w:lineRule="auto"/>
              <w:jc w:val="center"/>
              <w:rPr>
                <w:b/>
                <w:bCs/>
              </w:rPr>
            </w:pPr>
            <w:r w:rsidRPr="003E7B07">
              <w:t>0.46</w:t>
            </w:r>
          </w:p>
        </w:tc>
        <w:tc>
          <w:tcPr>
            <w:tcW w:w="310" w:type="pct"/>
          </w:tcPr>
          <w:p w14:paraId="5DC86133" w14:textId="77777777" w:rsidR="00CE1436" w:rsidRPr="0023247F" w:rsidRDefault="00CE1436" w:rsidP="00444693">
            <w:pPr>
              <w:pStyle w:val="TableText"/>
              <w:widowControl w:val="0"/>
              <w:suppressAutoHyphens w:val="0"/>
              <w:spacing w:before="0" w:after="0" w:line="240" w:lineRule="auto"/>
              <w:jc w:val="center"/>
            </w:pPr>
            <w:r w:rsidRPr="003E7B07">
              <w:t>377</w:t>
            </w:r>
          </w:p>
        </w:tc>
      </w:tr>
      <w:tr w:rsidR="00CE1436" w:rsidRPr="00886278" w14:paraId="121ADE49" w14:textId="77777777" w:rsidTr="00444693">
        <w:trPr>
          <w:cantSplit/>
          <w:trHeight w:val="13"/>
        </w:trPr>
        <w:tc>
          <w:tcPr>
            <w:tcW w:w="521" w:type="pct"/>
            <w:vMerge/>
          </w:tcPr>
          <w:p w14:paraId="6D9C3208"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1C385DB6"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96FCBE2" w14:textId="77777777" w:rsidR="00CE1436" w:rsidRPr="00425098" w:rsidRDefault="00CE1436" w:rsidP="00444693">
            <w:pPr>
              <w:pStyle w:val="TableText"/>
              <w:widowControl w:val="0"/>
              <w:suppressAutoHyphens w:val="0"/>
              <w:spacing w:before="0" w:after="0" w:line="240" w:lineRule="auto"/>
            </w:pPr>
          </w:p>
        </w:tc>
        <w:tc>
          <w:tcPr>
            <w:tcW w:w="520" w:type="pct"/>
          </w:tcPr>
          <w:p w14:paraId="10ED82DB"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02C1D8AA" w14:textId="77777777" w:rsidR="00CE143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61A1A1B6" w14:textId="77777777" w:rsidR="00CE1436" w:rsidRDefault="00CE1436" w:rsidP="00444693">
            <w:pPr>
              <w:pStyle w:val="TableText"/>
              <w:widowControl w:val="0"/>
              <w:suppressAutoHyphens w:val="0"/>
              <w:spacing w:before="0" w:after="0" w:line="240" w:lineRule="auto"/>
              <w:jc w:val="center"/>
              <w:rPr>
                <w:szCs w:val="17"/>
              </w:rPr>
            </w:pPr>
            <w:r>
              <w:t>173</w:t>
            </w:r>
          </w:p>
        </w:tc>
        <w:tc>
          <w:tcPr>
            <w:tcW w:w="312" w:type="pct"/>
          </w:tcPr>
          <w:p w14:paraId="10C5A68D"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9933B2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050148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4B30CAC6" w14:textId="77777777" w:rsidR="00CE1436" w:rsidRPr="00886278" w:rsidRDefault="00CE1436" w:rsidP="00444693">
            <w:pPr>
              <w:pStyle w:val="TableText"/>
              <w:widowControl w:val="0"/>
              <w:suppressAutoHyphens w:val="0"/>
              <w:spacing w:before="0" w:after="0" w:line="240" w:lineRule="auto"/>
              <w:jc w:val="center"/>
              <w:rPr>
                <w:szCs w:val="17"/>
              </w:rPr>
            </w:pPr>
            <w:r w:rsidRPr="003E7B07">
              <w:t>2.6</w:t>
            </w:r>
          </w:p>
        </w:tc>
        <w:tc>
          <w:tcPr>
            <w:tcW w:w="312" w:type="pct"/>
          </w:tcPr>
          <w:p w14:paraId="29DFE346"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Pr>
          <w:p w14:paraId="0D1ECA00" w14:textId="77777777" w:rsidR="00CE1436" w:rsidRPr="00B927D6" w:rsidRDefault="00CE1436" w:rsidP="00444693">
            <w:pPr>
              <w:pStyle w:val="TableText"/>
              <w:widowControl w:val="0"/>
              <w:suppressAutoHyphens w:val="0"/>
              <w:spacing w:before="0" w:after="0" w:line="240" w:lineRule="auto"/>
              <w:jc w:val="center"/>
              <w:rPr>
                <w:b/>
                <w:bCs/>
              </w:rPr>
            </w:pPr>
            <w:r w:rsidRPr="003E7B07">
              <w:t>0.46</w:t>
            </w:r>
          </w:p>
        </w:tc>
        <w:tc>
          <w:tcPr>
            <w:tcW w:w="310" w:type="pct"/>
          </w:tcPr>
          <w:p w14:paraId="7138261B" w14:textId="77777777" w:rsidR="00CE1436" w:rsidRPr="00886278" w:rsidRDefault="00CE1436" w:rsidP="00444693">
            <w:pPr>
              <w:pStyle w:val="TableText"/>
              <w:widowControl w:val="0"/>
              <w:suppressAutoHyphens w:val="0"/>
              <w:spacing w:before="0" w:after="0" w:line="240" w:lineRule="auto"/>
              <w:jc w:val="center"/>
            </w:pPr>
            <w:r w:rsidRPr="003E7B07">
              <w:t>377</w:t>
            </w:r>
          </w:p>
        </w:tc>
      </w:tr>
      <w:tr w:rsidR="00CE1436" w14:paraId="4C65E1B5" w14:textId="77777777" w:rsidTr="00444693">
        <w:trPr>
          <w:cantSplit/>
          <w:trHeight w:val="13"/>
        </w:trPr>
        <w:tc>
          <w:tcPr>
            <w:tcW w:w="521" w:type="pct"/>
            <w:vMerge/>
          </w:tcPr>
          <w:p w14:paraId="2BCE4F64"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24C88400"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B7CB138" w14:textId="77777777" w:rsidR="00CE1436" w:rsidRPr="00425098" w:rsidRDefault="00CE1436" w:rsidP="00444693">
            <w:pPr>
              <w:pStyle w:val="TableText"/>
              <w:widowControl w:val="0"/>
              <w:suppressAutoHyphens w:val="0"/>
              <w:spacing w:before="0" w:after="0" w:line="240" w:lineRule="auto"/>
            </w:pPr>
          </w:p>
        </w:tc>
        <w:tc>
          <w:tcPr>
            <w:tcW w:w="520" w:type="pct"/>
          </w:tcPr>
          <w:p w14:paraId="39A7742E"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6820E372" w14:textId="77777777" w:rsidR="00CE1436" w:rsidRPr="008F77BC"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50C28B58" w14:textId="77777777" w:rsidR="00CE1436" w:rsidRDefault="00CE1436" w:rsidP="00444693">
            <w:pPr>
              <w:pStyle w:val="TableText"/>
              <w:widowControl w:val="0"/>
              <w:suppressAutoHyphens w:val="0"/>
              <w:spacing w:before="0" w:after="0" w:line="240" w:lineRule="auto"/>
              <w:jc w:val="center"/>
            </w:pPr>
            <w:r>
              <w:t>170</w:t>
            </w:r>
          </w:p>
        </w:tc>
        <w:tc>
          <w:tcPr>
            <w:tcW w:w="312" w:type="pct"/>
          </w:tcPr>
          <w:p w14:paraId="52687D45"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D9A92C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DFE173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17CE606B" w14:textId="77777777" w:rsidR="00CE1436" w:rsidRDefault="00CE1436" w:rsidP="00444693">
            <w:pPr>
              <w:pStyle w:val="TableText"/>
              <w:widowControl w:val="0"/>
              <w:suppressAutoHyphens w:val="0"/>
              <w:spacing w:before="0" w:after="0" w:line="240" w:lineRule="auto"/>
              <w:jc w:val="center"/>
              <w:rPr>
                <w:color w:val="1A1B1A"/>
                <w:szCs w:val="17"/>
              </w:rPr>
            </w:pPr>
            <w:r w:rsidRPr="003E7B07">
              <w:t>2.6</w:t>
            </w:r>
          </w:p>
        </w:tc>
        <w:tc>
          <w:tcPr>
            <w:tcW w:w="312" w:type="pct"/>
          </w:tcPr>
          <w:p w14:paraId="6355BA04" w14:textId="77777777" w:rsidR="00CE1436" w:rsidRDefault="00CE1436" w:rsidP="00444693">
            <w:pPr>
              <w:pStyle w:val="TableText"/>
              <w:widowControl w:val="0"/>
              <w:suppressAutoHyphens w:val="0"/>
              <w:spacing w:before="0" w:after="0" w:line="240" w:lineRule="auto"/>
              <w:jc w:val="center"/>
              <w:rPr>
                <w:color w:val="1A1B1A"/>
                <w:szCs w:val="17"/>
              </w:rPr>
            </w:pPr>
            <w:r w:rsidRPr="003E7B07">
              <w:t>5.7</w:t>
            </w:r>
          </w:p>
        </w:tc>
        <w:tc>
          <w:tcPr>
            <w:tcW w:w="312" w:type="pct"/>
          </w:tcPr>
          <w:p w14:paraId="6ACE20CA" w14:textId="77777777" w:rsidR="00CE1436" w:rsidRDefault="00CE1436" w:rsidP="00444693">
            <w:pPr>
              <w:pStyle w:val="TableText"/>
              <w:widowControl w:val="0"/>
              <w:suppressAutoHyphens w:val="0"/>
              <w:spacing w:before="0" w:after="0" w:line="240" w:lineRule="auto"/>
              <w:jc w:val="center"/>
              <w:rPr>
                <w:color w:val="1A1B1A"/>
                <w:szCs w:val="17"/>
              </w:rPr>
            </w:pPr>
            <w:r w:rsidRPr="003E7B07">
              <w:t>0.45</w:t>
            </w:r>
          </w:p>
        </w:tc>
        <w:tc>
          <w:tcPr>
            <w:tcW w:w="310" w:type="pct"/>
          </w:tcPr>
          <w:p w14:paraId="00CCD076" w14:textId="77777777" w:rsidR="00CE1436" w:rsidRDefault="00CE1436" w:rsidP="00444693">
            <w:pPr>
              <w:pStyle w:val="TableText"/>
              <w:widowControl w:val="0"/>
              <w:suppressAutoHyphens w:val="0"/>
              <w:spacing w:before="0" w:after="0" w:line="240" w:lineRule="auto"/>
              <w:jc w:val="center"/>
              <w:rPr>
                <w:color w:val="1A1B1A"/>
                <w:szCs w:val="17"/>
              </w:rPr>
            </w:pPr>
            <w:r w:rsidRPr="003E7B07">
              <w:t>377</w:t>
            </w:r>
          </w:p>
        </w:tc>
      </w:tr>
      <w:tr w:rsidR="00CE1436" w:rsidRPr="00886278" w14:paraId="03569C65" w14:textId="77777777" w:rsidTr="00444693">
        <w:trPr>
          <w:cantSplit/>
          <w:trHeight w:val="13"/>
        </w:trPr>
        <w:tc>
          <w:tcPr>
            <w:tcW w:w="521" w:type="pct"/>
            <w:vMerge/>
          </w:tcPr>
          <w:p w14:paraId="7B90C859"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7C6303B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D91F684" w14:textId="77777777" w:rsidR="00CE1436" w:rsidRPr="00425098" w:rsidRDefault="00CE1436" w:rsidP="00444693">
            <w:pPr>
              <w:pStyle w:val="TableText"/>
              <w:widowControl w:val="0"/>
              <w:suppressAutoHyphens w:val="0"/>
              <w:spacing w:before="0" w:after="0" w:line="240" w:lineRule="auto"/>
            </w:pPr>
          </w:p>
        </w:tc>
        <w:tc>
          <w:tcPr>
            <w:tcW w:w="520" w:type="pct"/>
          </w:tcPr>
          <w:p w14:paraId="63AB15F8"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3576BA37" w14:textId="77777777" w:rsidR="00CE143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Pr>
          <w:p w14:paraId="26D291C5" w14:textId="77777777" w:rsidR="00CE1436" w:rsidRDefault="00CE1436" w:rsidP="00444693">
            <w:pPr>
              <w:pStyle w:val="TableText"/>
              <w:widowControl w:val="0"/>
              <w:suppressAutoHyphens w:val="0"/>
              <w:spacing w:before="0" w:after="0" w:line="240" w:lineRule="auto"/>
              <w:jc w:val="center"/>
              <w:rPr>
                <w:szCs w:val="17"/>
              </w:rPr>
            </w:pPr>
            <w:r>
              <w:t>168</w:t>
            </w:r>
          </w:p>
        </w:tc>
        <w:tc>
          <w:tcPr>
            <w:tcW w:w="312" w:type="pct"/>
          </w:tcPr>
          <w:p w14:paraId="772EF87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w:t>
            </w:r>
            <w:r>
              <w:rPr>
                <w:szCs w:val="17"/>
              </w:rPr>
              <w:t>0</w:t>
            </w:r>
          </w:p>
        </w:tc>
        <w:tc>
          <w:tcPr>
            <w:tcW w:w="312" w:type="pct"/>
          </w:tcPr>
          <w:p w14:paraId="5FFF25D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A5C0B9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Pr>
          <w:p w14:paraId="183663B3" w14:textId="77777777" w:rsidR="00CE1436" w:rsidRPr="00886278" w:rsidRDefault="00CE1436" w:rsidP="00444693">
            <w:pPr>
              <w:pStyle w:val="TableText"/>
              <w:widowControl w:val="0"/>
              <w:suppressAutoHyphens w:val="0"/>
              <w:spacing w:before="0" w:after="0" w:line="240" w:lineRule="auto"/>
              <w:jc w:val="center"/>
              <w:rPr>
                <w:szCs w:val="17"/>
              </w:rPr>
            </w:pPr>
            <w:r w:rsidRPr="003E7B07">
              <w:t>2.5</w:t>
            </w:r>
          </w:p>
        </w:tc>
        <w:tc>
          <w:tcPr>
            <w:tcW w:w="312" w:type="pct"/>
          </w:tcPr>
          <w:p w14:paraId="799B7F73"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Pr>
          <w:p w14:paraId="5D754C2C" w14:textId="77777777" w:rsidR="00CE1436" w:rsidRPr="00B927D6" w:rsidRDefault="00CE1436" w:rsidP="00444693">
            <w:pPr>
              <w:pStyle w:val="TableText"/>
              <w:widowControl w:val="0"/>
              <w:suppressAutoHyphens w:val="0"/>
              <w:spacing w:before="0" w:after="0" w:line="240" w:lineRule="auto"/>
              <w:jc w:val="center"/>
              <w:rPr>
                <w:b/>
                <w:bCs/>
              </w:rPr>
            </w:pPr>
            <w:r w:rsidRPr="003E7B07">
              <w:t>0.45</w:t>
            </w:r>
          </w:p>
        </w:tc>
        <w:tc>
          <w:tcPr>
            <w:tcW w:w="310" w:type="pct"/>
          </w:tcPr>
          <w:p w14:paraId="77F81550" w14:textId="77777777" w:rsidR="00CE1436" w:rsidRPr="00886278" w:rsidRDefault="00CE1436" w:rsidP="00444693">
            <w:pPr>
              <w:pStyle w:val="TableText"/>
              <w:widowControl w:val="0"/>
              <w:suppressAutoHyphens w:val="0"/>
              <w:spacing w:before="0" w:after="0" w:line="240" w:lineRule="auto"/>
              <w:jc w:val="center"/>
            </w:pPr>
            <w:r w:rsidRPr="003E7B07">
              <w:t>377</w:t>
            </w:r>
          </w:p>
        </w:tc>
      </w:tr>
      <w:tr w:rsidR="00CE1436" w:rsidRPr="00886278" w14:paraId="6484F4FD" w14:textId="77777777" w:rsidTr="00444693">
        <w:trPr>
          <w:cantSplit/>
          <w:trHeight w:val="13"/>
        </w:trPr>
        <w:tc>
          <w:tcPr>
            <w:tcW w:w="521" w:type="pct"/>
            <w:vMerge/>
          </w:tcPr>
          <w:p w14:paraId="2CBA8BC2"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0B906CBE" w14:textId="77777777" w:rsidR="00CE1436" w:rsidRPr="00425098"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3EA871A4" w14:textId="77777777" w:rsidR="00CE1436" w:rsidRPr="00425098"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5F1C7864"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shd w:val="clear" w:color="auto" w:fill="D5D7D5" w:themeFill="text1" w:themeFillTint="33"/>
          </w:tcPr>
          <w:p w14:paraId="62439008" w14:textId="77777777" w:rsidR="00CE1436" w:rsidRDefault="00CE1436" w:rsidP="00444693">
            <w:pPr>
              <w:pStyle w:val="TableText"/>
              <w:widowControl w:val="0"/>
              <w:suppressAutoHyphens w:val="0"/>
              <w:spacing w:before="0" w:after="0" w:line="240" w:lineRule="auto"/>
              <w:jc w:val="center"/>
              <w:rPr>
                <w:szCs w:val="17"/>
              </w:rPr>
            </w:pPr>
            <w:r w:rsidRPr="00E64670">
              <w:rPr>
                <w:szCs w:val="17"/>
              </w:rPr>
              <w:t>15.1</w:t>
            </w:r>
            <w:r w:rsidRPr="00E64670">
              <w:rPr>
                <w:szCs w:val="17"/>
                <w:vertAlign w:val="superscript"/>
              </w:rPr>
              <w:t>b</w:t>
            </w:r>
          </w:p>
        </w:tc>
        <w:tc>
          <w:tcPr>
            <w:tcW w:w="296" w:type="pct"/>
            <w:tcBorders>
              <w:bottom w:val="single" w:sz="4" w:space="0" w:color="auto"/>
            </w:tcBorders>
          </w:tcPr>
          <w:p w14:paraId="54F97ED6" w14:textId="77777777" w:rsidR="00CE1436" w:rsidRDefault="00CE1436" w:rsidP="00444693">
            <w:pPr>
              <w:pStyle w:val="TableText"/>
              <w:widowControl w:val="0"/>
              <w:suppressAutoHyphens w:val="0"/>
              <w:spacing w:before="0" w:after="0" w:line="240" w:lineRule="auto"/>
              <w:jc w:val="center"/>
              <w:rPr>
                <w:szCs w:val="17"/>
              </w:rPr>
            </w:pPr>
            <w:r>
              <w:t>130</w:t>
            </w:r>
          </w:p>
        </w:tc>
        <w:tc>
          <w:tcPr>
            <w:tcW w:w="312" w:type="pct"/>
            <w:tcBorders>
              <w:bottom w:val="single" w:sz="4" w:space="0" w:color="auto"/>
            </w:tcBorders>
          </w:tcPr>
          <w:p w14:paraId="0283C238"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13BE961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1190CF9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tcPr>
          <w:p w14:paraId="7B78BF86" w14:textId="77777777" w:rsidR="00CE1436" w:rsidRPr="00886278" w:rsidRDefault="00CE1436" w:rsidP="00444693">
            <w:pPr>
              <w:pStyle w:val="TableText"/>
              <w:widowControl w:val="0"/>
              <w:suppressAutoHyphens w:val="0"/>
              <w:spacing w:before="0" w:after="0" w:line="240" w:lineRule="auto"/>
              <w:jc w:val="center"/>
              <w:rPr>
                <w:szCs w:val="17"/>
              </w:rPr>
            </w:pPr>
            <w:r w:rsidRPr="003E7B07">
              <w:t>2.0</w:t>
            </w:r>
          </w:p>
        </w:tc>
        <w:tc>
          <w:tcPr>
            <w:tcW w:w="312" w:type="pct"/>
            <w:tcBorders>
              <w:bottom w:val="single" w:sz="4" w:space="0" w:color="auto"/>
            </w:tcBorders>
          </w:tcPr>
          <w:p w14:paraId="6258788E" w14:textId="77777777" w:rsidR="00CE1436" w:rsidRPr="007F412F" w:rsidRDefault="00CE1436" w:rsidP="00444693">
            <w:pPr>
              <w:pStyle w:val="TableText"/>
              <w:widowControl w:val="0"/>
              <w:suppressAutoHyphens w:val="0"/>
              <w:spacing w:before="0" w:after="0" w:line="240" w:lineRule="auto"/>
              <w:jc w:val="center"/>
            </w:pPr>
            <w:r w:rsidRPr="003E7B07">
              <w:t>5.7</w:t>
            </w:r>
          </w:p>
        </w:tc>
        <w:tc>
          <w:tcPr>
            <w:tcW w:w="312" w:type="pct"/>
            <w:tcBorders>
              <w:bottom w:val="single" w:sz="4" w:space="0" w:color="auto"/>
            </w:tcBorders>
          </w:tcPr>
          <w:p w14:paraId="7715C99B" w14:textId="77777777" w:rsidR="00CE1436" w:rsidRPr="00886278" w:rsidRDefault="00CE1436" w:rsidP="00444693">
            <w:pPr>
              <w:pStyle w:val="TableText"/>
              <w:widowControl w:val="0"/>
              <w:suppressAutoHyphens w:val="0"/>
              <w:spacing w:before="0" w:after="0" w:line="240" w:lineRule="auto"/>
              <w:jc w:val="center"/>
            </w:pPr>
            <w:r w:rsidRPr="003E7B07">
              <w:t>0.34</w:t>
            </w:r>
          </w:p>
        </w:tc>
        <w:tc>
          <w:tcPr>
            <w:tcW w:w="310" w:type="pct"/>
            <w:tcBorders>
              <w:bottom w:val="single" w:sz="4" w:space="0" w:color="auto"/>
            </w:tcBorders>
          </w:tcPr>
          <w:p w14:paraId="19E44056" w14:textId="77777777" w:rsidR="00CE1436" w:rsidRPr="00886278" w:rsidRDefault="00CE1436" w:rsidP="00444693">
            <w:pPr>
              <w:pStyle w:val="TableText"/>
              <w:widowControl w:val="0"/>
              <w:suppressAutoHyphens w:val="0"/>
              <w:spacing w:before="0" w:after="0" w:line="240" w:lineRule="auto"/>
              <w:jc w:val="center"/>
            </w:pPr>
            <w:r w:rsidRPr="003E7B07">
              <w:t>377</w:t>
            </w:r>
          </w:p>
        </w:tc>
      </w:tr>
      <w:tr w:rsidR="00CE1436" w:rsidRPr="00886278" w14:paraId="310555FE" w14:textId="77777777" w:rsidTr="00444693">
        <w:trPr>
          <w:cantSplit/>
          <w:trHeight w:val="13"/>
        </w:trPr>
        <w:tc>
          <w:tcPr>
            <w:tcW w:w="521" w:type="pct"/>
            <w:vMerge/>
          </w:tcPr>
          <w:p w14:paraId="5BB76E4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270E172C" w14:textId="77777777" w:rsidR="00CE1436" w:rsidRPr="00886278" w:rsidRDefault="00CE1436" w:rsidP="00444693">
            <w:pPr>
              <w:pStyle w:val="TableText"/>
              <w:widowControl w:val="0"/>
              <w:suppressAutoHyphens w:val="0"/>
              <w:spacing w:before="0" w:after="0" w:line="240" w:lineRule="auto"/>
              <w:rPr>
                <w:szCs w:val="17"/>
              </w:rPr>
            </w:pPr>
            <w:r w:rsidRPr="00425098">
              <w:t>Small insectivore/</w:t>
            </w:r>
            <w:r>
              <w:t xml:space="preserve"> </w:t>
            </w:r>
            <w:r w:rsidRPr="00425098">
              <w:t>worm feeding</w:t>
            </w:r>
          </w:p>
        </w:tc>
        <w:tc>
          <w:tcPr>
            <w:tcW w:w="445" w:type="pct"/>
            <w:vMerge w:val="restart"/>
            <w:tcBorders>
              <w:top w:val="single" w:sz="4" w:space="0" w:color="auto"/>
            </w:tcBorders>
          </w:tcPr>
          <w:p w14:paraId="629BBF1C" w14:textId="77777777" w:rsidR="00CE1436" w:rsidRPr="00886278" w:rsidRDefault="00CE1436" w:rsidP="00444693">
            <w:pPr>
              <w:pStyle w:val="TableText"/>
              <w:widowControl w:val="0"/>
              <w:suppressAutoHyphens w:val="0"/>
              <w:spacing w:before="0" w:after="0" w:line="240" w:lineRule="auto"/>
              <w:rPr>
                <w:szCs w:val="17"/>
              </w:rPr>
            </w:pPr>
            <w:r w:rsidRPr="00425098">
              <w:t>Ground directed</w:t>
            </w:r>
          </w:p>
        </w:tc>
        <w:tc>
          <w:tcPr>
            <w:tcW w:w="520" w:type="pct"/>
            <w:tcBorders>
              <w:top w:val="single" w:sz="4" w:space="0" w:color="auto"/>
            </w:tcBorders>
          </w:tcPr>
          <w:p w14:paraId="0BFF83FF" w14:textId="77777777" w:rsidR="00CE1436" w:rsidRPr="00886278" w:rsidRDefault="00CE1436" w:rsidP="00444693">
            <w:pPr>
              <w:pStyle w:val="TableText"/>
              <w:widowControl w:val="0"/>
              <w:suppressAutoHyphens w:val="0"/>
              <w:spacing w:before="0" w:after="0" w:line="240" w:lineRule="auto"/>
              <w:jc w:val="center"/>
              <w:rPr>
                <w:szCs w:val="17"/>
              </w:rPr>
            </w:pPr>
            <w:r w:rsidRPr="009B4E64">
              <w:rPr>
                <w:szCs w:val="17"/>
              </w:rPr>
              <w:t>Acute</w:t>
            </w:r>
          </w:p>
        </w:tc>
        <w:tc>
          <w:tcPr>
            <w:tcW w:w="446" w:type="pct"/>
            <w:tcBorders>
              <w:top w:val="single" w:sz="4" w:space="0" w:color="auto"/>
            </w:tcBorders>
          </w:tcPr>
          <w:p w14:paraId="6477738C"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7.4</w:t>
            </w:r>
          </w:p>
        </w:tc>
        <w:tc>
          <w:tcPr>
            <w:tcW w:w="296" w:type="pct"/>
            <w:tcBorders>
              <w:top w:val="single" w:sz="4" w:space="0" w:color="auto"/>
            </w:tcBorders>
          </w:tcPr>
          <w:p w14:paraId="5598BE9D" w14:textId="77777777" w:rsidR="00CE1436" w:rsidRPr="00886278" w:rsidRDefault="00CE1436" w:rsidP="00444693">
            <w:pPr>
              <w:pStyle w:val="TableText"/>
              <w:widowControl w:val="0"/>
              <w:suppressAutoHyphens w:val="0"/>
              <w:spacing w:before="0" w:after="0" w:line="240" w:lineRule="auto"/>
              <w:jc w:val="center"/>
              <w:rPr>
                <w:szCs w:val="17"/>
              </w:rPr>
            </w:pPr>
            <w:r>
              <w:t>1120</w:t>
            </w:r>
          </w:p>
        </w:tc>
        <w:tc>
          <w:tcPr>
            <w:tcW w:w="312" w:type="pct"/>
            <w:tcBorders>
              <w:top w:val="single" w:sz="4" w:space="0" w:color="auto"/>
            </w:tcBorders>
          </w:tcPr>
          <w:p w14:paraId="5FD5776F"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1B53B478"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753F1C95"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11387ACA"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8.3</w:t>
            </w:r>
          </w:p>
        </w:tc>
        <w:tc>
          <w:tcPr>
            <w:tcW w:w="312" w:type="pct"/>
            <w:tcBorders>
              <w:top w:val="single" w:sz="4" w:space="0" w:color="auto"/>
            </w:tcBorders>
            <w:vAlign w:val="center"/>
          </w:tcPr>
          <w:p w14:paraId="3ECB5832"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1A035494"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1.5</w:t>
            </w:r>
          </w:p>
        </w:tc>
        <w:tc>
          <w:tcPr>
            <w:tcW w:w="310" w:type="pct"/>
            <w:tcBorders>
              <w:top w:val="single" w:sz="4" w:space="0" w:color="auto"/>
            </w:tcBorders>
            <w:vAlign w:val="center"/>
          </w:tcPr>
          <w:p w14:paraId="0CD06026" w14:textId="77777777" w:rsidR="00CE1436" w:rsidRPr="00886278" w:rsidRDefault="00CE1436" w:rsidP="00444693">
            <w:pPr>
              <w:pStyle w:val="TableText"/>
              <w:widowControl w:val="0"/>
              <w:suppressAutoHyphens w:val="0"/>
              <w:spacing w:before="0" w:after="0" w:line="240" w:lineRule="auto"/>
              <w:jc w:val="center"/>
            </w:pPr>
            <w:r>
              <w:rPr>
                <w:color w:val="1A1B1A"/>
                <w:szCs w:val="17"/>
              </w:rPr>
              <w:t>770</w:t>
            </w:r>
          </w:p>
        </w:tc>
      </w:tr>
      <w:tr w:rsidR="00CE1436" w:rsidRPr="00886278" w14:paraId="1E1026C5" w14:textId="77777777" w:rsidTr="00444693">
        <w:trPr>
          <w:cantSplit/>
          <w:trHeight w:val="13"/>
        </w:trPr>
        <w:tc>
          <w:tcPr>
            <w:tcW w:w="521" w:type="pct"/>
            <w:vMerge/>
          </w:tcPr>
          <w:p w14:paraId="34C0AFF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F2C5805" w14:textId="77777777" w:rsidR="00CE1436" w:rsidRPr="00425098" w:rsidRDefault="00CE1436" w:rsidP="00444693">
            <w:pPr>
              <w:pStyle w:val="TableText"/>
              <w:widowControl w:val="0"/>
              <w:suppressAutoHyphens w:val="0"/>
              <w:spacing w:before="0" w:after="0" w:line="240" w:lineRule="auto"/>
            </w:pPr>
          </w:p>
        </w:tc>
        <w:tc>
          <w:tcPr>
            <w:tcW w:w="445" w:type="pct"/>
            <w:vMerge/>
          </w:tcPr>
          <w:p w14:paraId="4339B339" w14:textId="77777777" w:rsidR="00CE1436" w:rsidRPr="00425098" w:rsidRDefault="00CE1436" w:rsidP="00444693">
            <w:pPr>
              <w:pStyle w:val="TableText"/>
              <w:widowControl w:val="0"/>
              <w:suppressAutoHyphens w:val="0"/>
              <w:spacing w:before="0" w:after="0" w:line="240" w:lineRule="auto"/>
            </w:pPr>
          </w:p>
        </w:tc>
        <w:tc>
          <w:tcPr>
            <w:tcW w:w="520" w:type="pct"/>
          </w:tcPr>
          <w:p w14:paraId="179D71C5"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0E2240CD" w14:textId="77777777" w:rsidR="00CE1436" w:rsidRDefault="00CE1436" w:rsidP="00444693">
            <w:pPr>
              <w:pStyle w:val="TableText"/>
              <w:widowControl w:val="0"/>
              <w:suppressAutoHyphens w:val="0"/>
              <w:spacing w:before="0" w:after="0" w:line="240" w:lineRule="auto"/>
              <w:jc w:val="center"/>
              <w:rPr>
                <w:szCs w:val="17"/>
              </w:rPr>
            </w:pPr>
            <w:r>
              <w:rPr>
                <w:szCs w:val="17"/>
              </w:rPr>
              <w:t>7.4</w:t>
            </w:r>
          </w:p>
        </w:tc>
        <w:tc>
          <w:tcPr>
            <w:tcW w:w="296" w:type="pct"/>
          </w:tcPr>
          <w:p w14:paraId="531CAEB8" w14:textId="77777777" w:rsidR="00CE1436" w:rsidRPr="00886278" w:rsidRDefault="00CE1436" w:rsidP="00444693">
            <w:pPr>
              <w:pStyle w:val="TableText"/>
              <w:widowControl w:val="0"/>
              <w:suppressAutoHyphens w:val="0"/>
              <w:spacing w:before="0" w:after="0" w:line="240" w:lineRule="auto"/>
              <w:jc w:val="center"/>
              <w:rPr>
                <w:szCs w:val="17"/>
              </w:rPr>
            </w:pPr>
            <w:r>
              <w:t>810</w:t>
            </w:r>
          </w:p>
        </w:tc>
        <w:tc>
          <w:tcPr>
            <w:tcW w:w="312" w:type="pct"/>
          </w:tcPr>
          <w:p w14:paraId="0E67B62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BC4439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736306D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390A95BD"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6.0</w:t>
            </w:r>
          </w:p>
        </w:tc>
        <w:tc>
          <w:tcPr>
            <w:tcW w:w="312" w:type="pct"/>
            <w:vAlign w:val="center"/>
          </w:tcPr>
          <w:p w14:paraId="661F4481"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589408B1" w14:textId="77777777" w:rsidR="00CE1436" w:rsidRPr="00886278" w:rsidRDefault="00CE1436" w:rsidP="00444693">
            <w:pPr>
              <w:pStyle w:val="TableText"/>
              <w:widowControl w:val="0"/>
              <w:suppressAutoHyphens w:val="0"/>
              <w:spacing w:before="0" w:after="0" w:line="240" w:lineRule="auto"/>
              <w:jc w:val="center"/>
            </w:pPr>
            <w:r>
              <w:rPr>
                <w:b/>
                <w:bCs/>
                <w:color w:val="1A1B1A"/>
                <w:szCs w:val="17"/>
              </w:rPr>
              <w:t>1.1</w:t>
            </w:r>
          </w:p>
        </w:tc>
        <w:tc>
          <w:tcPr>
            <w:tcW w:w="310" w:type="pct"/>
            <w:vAlign w:val="center"/>
          </w:tcPr>
          <w:p w14:paraId="421E437F" w14:textId="77777777" w:rsidR="00CE1436" w:rsidRPr="00886278"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6B18AB5B" w14:textId="77777777" w:rsidTr="00444693">
        <w:trPr>
          <w:cantSplit/>
          <w:trHeight w:val="13"/>
        </w:trPr>
        <w:tc>
          <w:tcPr>
            <w:tcW w:w="521" w:type="pct"/>
            <w:vMerge/>
          </w:tcPr>
          <w:p w14:paraId="6CAC1FE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25157BC"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59F875D" w14:textId="77777777" w:rsidR="00CE1436" w:rsidRPr="00425098" w:rsidRDefault="00CE1436" w:rsidP="00444693">
            <w:pPr>
              <w:pStyle w:val="TableText"/>
              <w:widowControl w:val="0"/>
              <w:suppressAutoHyphens w:val="0"/>
              <w:spacing w:before="0" w:after="0" w:line="240" w:lineRule="auto"/>
            </w:pPr>
          </w:p>
        </w:tc>
        <w:tc>
          <w:tcPr>
            <w:tcW w:w="520" w:type="pct"/>
          </w:tcPr>
          <w:p w14:paraId="7418B9DF"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739F9DF7"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4D7BF39B"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273D6A4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A233859"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435B9A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C1EFC61" w14:textId="77777777" w:rsidR="00CE1436" w:rsidRPr="003203B5" w:rsidRDefault="00CE1436" w:rsidP="00444693">
            <w:pPr>
              <w:pStyle w:val="TableText"/>
              <w:widowControl w:val="0"/>
              <w:suppressAutoHyphens w:val="0"/>
              <w:spacing w:before="0" w:after="0" w:line="240" w:lineRule="auto"/>
              <w:jc w:val="center"/>
            </w:pPr>
            <w:r>
              <w:rPr>
                <w:color w:val="1A1B1A"/>
                <w:szCs w:val="17"/>
              </w:rPr>
              <w:t>4.4</w:t>
            </w:r>
          </w:p>
        </w:tc>
        <w:tc>
          <w:tcPr>
            <w:tcW w:w="312" w:type="pct"/>
            <w:vAlign w:val="center"/>
          </w:tcPr>
          <w:p w14:paraId="1BC4D322"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8E4742D" w14:textId="77777777" w:rsidR="00CE1436" w:rsidRPr="0023247F" w:rsidRDefault="00CE1436" w:rsidP="00444693">
            <w:pPr>
              <w:pStyle w:val="TableText"/>
              <w:widowControl w:val="0"/>
              <w:suppressAutoHyphens w:val="0"/>
              <w:spacing w:before="0" w:after="0" w:line="240" w:lineRule="auto"/>
              <w:jc w:val="center"/>
            </w:pPr>
            <w:r>
              <w:rPr>
                <w:color w:val="1A1B1A"/>
                <w:szCs w:val="17"/>
              </w:rPr>
              <w:t>0.78</w:t>
            </w:r>
          </w:p>
        </w:tc>
        <w:tc>
          <w:tcPr>
            <w:tcW w:w="310" w:type="pct"/>
            <w:vAlign w:val="center"/>
          </w:tcPr>
          <w:p w14:paraId="1F49BE5D"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6CEDC1F5" w14:textId="77777777" w:rsidTr="00444693">
        <w:trPr>
          <w:cantSplit/>
          <w:trHeight w:val="13"/>
        </w:trPr>
        <w:tc>
          <w:tcPr>
            <w:tcW w:w="521" w:type="pct"/>
            <w:vMerge/>
          </w:tcPr>
          <w:p w14:paraId="2C72BD6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8D87E91"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47C6754" w14:textId="77777777" w:rsidR="00CE1436" w:rsidRPr="00425098" w:rsidRDefault="00CE1436" w:rsidP="00444693">
            <w:pPr>
              <w:pStyle w:val="TableText"/>
              <w:widowControl w:val="0"/>
              <w:suppressAutoHyphens w:val="0"/>
              <w:spacing w:before="0" w:after="0" w:line="240" w:lineRule="auto"/>
            </w:pPr>
          </w:p>
        </w:tc>
        <w:tc>
          <w:tcPr>
            <w:tcW w:w="520" w:type="pct"/>
          </w:tcPr>
          <w:p w14:paraId="2394D583"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1FCFCDD2"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0217B2DB"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62352C8F"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CFB623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2F3908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4FD5062" w14:textId="77777777" w:rsidR="00CE1436" w:rsidRPr="003203B5" w:rsidRDefault="00CE1436" w:rsidP="00444693">
            <w:pPr>
              <w:pStyle w:val="TableText"/>
              <w:widowControl w:val="0"/>
              <w:suppressAutoHyphens w:val="0"/>
              <w:spacing w:before="0" w:after="0" w:line="240" w:lineRule="auto"/>
              <w:jc w:val="center"/>
            </w:pPr>
            <w:r>
              <w:rPr>
                <w:color w:val="1A1B1A"/>
                <w:szCs w:val="17"/>
              </w:rPr>
              <w:t>3.7</w:t>
            </w:r>
          </w:p>
        </w:tc>
        <w:tc>
          <w:tcPr>
            <w:tcW w:w="312" w:type="pct"/>
            <w:vAlign w:val="center"/>
          </w:tcPr>
          <w:p w14:paraId="55018D4D"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3796AAAD" w14:textId="77777777" w:rsidR="00CE1436" w:rsidRPr="0023247F" w:rsidRDefault="00CE1436" w:rsidP="00444693">
            <w:pPr>
              <w:pStyle w:val="TableText"/>
              <w:widowControl w:val="0"/>
              <w:suppressAutoHyphens w:val="0"/>
              <w:spacing w:before="0" w:after="0" w:line="240" w:lineRule="auto"/>
              <w:jc w:val="center"/>
            </w:pPr>
            <w:r>
              <w:rPr>
                <w:color w:val="1A1B1A"/>
                <w:szCs w:val="17"/>
              </w:rPr>
              <w:t>0.65</w:t>
            </w:r>
          </w:p>
        </w:tc>
        <w:tc>
          <w:tcPr>
            <w:tcW w:w="310" w:type="pct"/>
            <w:vAlign w:val="center"/>
          </w:tcPr>
          <w:p w14:paraId="2A1E7150"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61891173" w14:textId="77777777" w:rsidTr="00444693">
        <w:trPr>
          <w:cantSplit/>
          <w:trHeight w:val="13"/>
        </w:trPr>
        <w:tc>
          <w:tcPr>
            <w:tcW w:w="521" w:type="pct"/>
            <w:vMerge/>
          </w:tcPr>
          <w:p w14:paraId="7836C12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79DA7D9"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63D1B35" w14:textId="77777777" w:rsidR="00CE1436" w:rsidRPr="00425098" w:rsidRDefault="00CE1436" w:rsidP="00444693">
            <w:pPr>
              <w:pStyle w:val="TableText"/>
              <w:widowControl w:val="0"/>
              <w:suppressAutoHyphens w:val="0"/>
              <w:spacing w:before="0" w:after="0" w:line="240" w:lineRule="auto"/>
            </w:pPr>
          </w:p>
        </w:tc>
        <w:tc>
          <w:tcPr>
            <w:tcW w:w="520" w:type="pct"/>
          </w:tcPr>
          <w:p w14:paraId="11497EE6"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4B95EB56"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51721B68" w14:textId="77777777" w:rsidR="00CE1436" w:rsidRDefault="00CE1436" w:rsidP="00444693">
            <w:pPr>
              <w:pStyle w:val="TableText"/>
              <w:widowControl w:val="0"/>
              <w:suppressAutoHyphens w:val="0"/>
              <w:spacing w:before="0" w:after="0" w:line="240" w:lineRule="auto"/>
              <w:jc w:val="center"/>
              <w:rPr>
                <w:szCs w:val="17"/>
              </w:rPr>
            </w:pPr>
            <w:r>
              <w:t>448</w:t>
            </w:r>
          </w:p>
        </w:tc>
        <w:tc>
          <w:tcPr>
            <w:tcW w:w="312" w:type="pct"/>
          </w:tcPr>
          <w:p w14:paraId="21924478"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359615A"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6F85E3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1421C85" w14:textId="77777777" w:rsidR="00CE1436" w:rsidRPr="003203B5" w:rsidRDefault="00CE1436" w:rsidP="00444693">
            <w:pPr>
              <w:pStyle w:val="TableText"/>
              <w:widowControl w:val="0"/>
              <w:suppressAutoHyphens w:val="0"/>
              <w:spacing w:before="0" w:after="0" w:line="240" w:lineRule="auto"/>
              <w:jc w:val="center"/>
            </w:pPr>
            <w:r>
              <w:rPr>
                <w:color w:val="1A1B1A"/>
                <w:szCs w:val="17"/>
              </w:rPr>
              <w:t>3.3</w:t>
            </w:r>
          </w:p>
        </w:tc>
        <w:tc>
          <w:tcPr>
            <w:tcW w:w="312" w:type="pct"/>
            <w:vAlign w:val="center"/>
          </w:tcPr>
          <w:p w14:paraId="704D064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5F714E8" w14:textId="77777777" w:rsidR="00CE1436" w:rsidRPr="0023247F" w:rsidRDefault="00CE1436" w:rsidP="00444693">
            <w:pPr>
              <w:pStyle w:val="TableText"/>
              <w:widowControl w:val="0"/>
              <w:suppressAutoHyphens w:val="0"/>
              <w:spacing w:before="0" w:after="0" w:line="240" w:lineRule="auto"/>
              <w:jc w:val="center"/>
            </w:pPr>
            <w:r>
              <w:rPr>
                <w:color w:val="1A1B1A"/>
                <w:szCs w:val="17"/>
              </w:rPr>
              <w:t>0.58</w:t>
            </w:r>
          </w:p>
        </w:tc>
        <w:tc>
          <w:tcPr>
            <w:tcW w:w="310" w:type="pct"/>
            <w:vAlign w:val="center"/>
          </w:tcPr>
          <w:p w14:paraId="02E9E1D3"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04078E40" w14:textId="77777777" w:rsidTr="00444693">
        <w:trPr>
          <w:cantSplit/>
          <w:trHeight w:val="13"/>
        </w:trPr>
        <w:tc>
          <w:tcPr>
            <w:tcW w:w="521" w:type="pct"/>
            <w:vMerge/>
          </w:tcPr>
          <w:p w14:paraId="626F52A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3C2B465"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F8F7DD4" w14:textId="77777777" w:rsidR="00CE1436" w:rsidRPr="00425098" w:rsidRDefault="00CE1436" w:rsidP="00444693">
            <w:pPr>
              <w:pStyle w:val="TableText"/>
              <w:widowControl w:val="0"/>
              <w:suppressAutoHyphens w:val="0"/>
              <w:spacing w:before="0" w:after="0" w:line="240" w:lineRule="auto"/>
            </w:pPr>
          </w:p>
        </w:tc>
        <w:tc>
          <w:tcPr>
            <w:tcW w:w="520" w:type="pct"/>
          </w:tcPr>
          <w:p w14:paraId="7EDB0082"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32AF7AE8"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110ADD8B"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68E1C701"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89C635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29B71EB"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06E2D80" w14:textId="77777777" w:rsidR="00CE1436" w:rsidRPr="003203B5" w:rsidRDefault="00CE1436" w:rsidP="00444693">
            <w:pPr>
              <w:pStyle w:val="TableText"/>
              <w:widowControl w:val="0"/>
              <w:suppressAutoHyphens w:val="0"/>
              <w:spacing w:before="0" w:after="0" w:line="240" w:lineRule="auto"/>
              <w:jc w:val="center"/>
            </w:pPr>
            <w:r>
              <w:rPr>
                <w:color w:val="1A1B1A"/>
                <w:szCs w:val="17"/>
              </w:rPr>
              <w:t>3.2</w:t>
            </w:r>
          </w:p>
        </w:tc>
        <w:tc>
          <w:tcPr>
            <w:tcW w:w="312" w:type="pct"/>
            <w:vAlign w:val="center"/>
          </w:tcPr>
          <w:p w14:paraId="1DD434E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70FE84F7" w14:textId="77777777" w:rsidR="00CE1436" w:rsidRPr="0023247F" w:rsidRDefault="00CE1436" w:rsidP="00444693">
            <w:pPr>
              <w:pStyle w:val="TableText"/>
              <w:widowControl w:val="0"/>
              <w:suppressAutoHyphens w:val="0"/>
              <w:spacing w:before="0" w:after="0" w:line="240" w:lineRule="auto"/>
              <w:jc w:val="center"/>
            </w:pPr>
            <w:r>
              <w:rPr>
                <w:color w:val="1A1B1A"/>
                <w:szCs w:val="17"/>
              </w:rPr>
              <w:t>0.56</w:t>
            </w:r>
          </w:p>
        </w:tc>
        <w:tc>
          <w:tcPr>
            <w:tcW w:w="310" w:type="pct"/>
            <w:vAlign w:val="center"/>
          </w:tcPr>
          <w:p w14:paraId="6F3FF785"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53E0E1D8" w14:textId="77777777" w:rsidTr="00444693">
        <w:trPr>
          <w:cantSplit/>
          <w:trHeight w:val="13"/>
        </w:trPr>
        <w:tc>
          <w:tcPr>
            <w:tcW w:w="521" w:type="pct"/>
            <w:vMerge/>
          </w:tcPr>
          <w:p w14:paraId="30E8D424"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F1F26F7"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926D349" w14:textId="77777777" w:rsidR="00CE1436" w:rsidRPr="00425098" w:rsidRDefault="00CE1436" w:rsidP="00444693">
            <w:pPr>
              <w:pStyle w:val="TableText"/>
              <w:widowControl w:val="0"/>
              <w:suppressAutoHyphens w:val="0"/>
              <w:spacing w:before="0" w:after="0" w:line="240" w:lineRule="auto"/>
            </w:pPr>
          </w:p>
        </w:tc>
        <w:tc>
          <w:tcPr>
            <w:tcW w:w="520" w:type="pct"/>
          </w:tcPr>
          <w:p w14:paraId="01844D3F"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4B94266E"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0D931AD0" w14:textId="77777777" w:rsidR="00CE1436" w:rsidRDefault="00CE1436" w:rsidP="00444693">
            <w:pPr>
              <w:pStyle w:val="TableText"/>
              <w:widowControl w:val="0"/>
              <w:suppressAutoHyphens w:val="0"/>
              <w:spacing w:before="0" w:after="0" w:line="240" w:lineRule="auto"/>
              <w:jc w:val="center"/>
              <w:rPr>
                <w:szCs w:val="17"/>
              </w:rPr>
            </w:pPr>
            <w:r>
              <w:t>425</w:t>
            </w:r>
          </w:p>
        </w:tc>
        <w:tc>
          <w:tcPr>
            <w:tcW w:w="312" w:type="pct"/>
          </w:tcPr>
          <w:p w14:paraId="5F785C20"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7732B2B"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84BC78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E32FECE" w14:textId="77777777" w:rsidR="00CE1436" w:rsidRPr="003203B5" w:rsidRDefault="00CE1436" w:rsidP="00444693">
            <w:pPr>
              <w:pStyle w:val="TableText"/>
              <w:widowControl w:val="0"/>
              <w:suppressAutoHyphens w:val="0"/>
              <w:spacing w:before="0" w:after="0" w:line="240" w:lineRule="auto"/>
              <w:jc w:val="center"/>
            </w:pPr>
            <w:r>
              <w:rPr>
                <w:color w:val="1A1B1A"/>
                <w:szCs w:val="17"/>
              </w:rPr>
              <w:t>3.1</w:t>
            </w:r>
          </w:p>
        </w:tc>
        <w:tc>
          <w:tcPr>
            <w:tcW w:w="312" w:type="pct"/>
            <w:vAlign w:val="center"/>
          </w:tcPr>
          <w:p w14:paraId="6566007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52D016B" w14:textId="77777777" w:rsidR="00CE1436" w:rsidRPr="0023247F" w:rsidRDefault="00CE1436" w:rsidP="00444693">
            <w:pPr>
              <w:pStyle w:val="TableText"/>
              <w:widowControl w:val="0"/>
              <w:suppressAutoHyphens w:val="0"/>
              <w:spacing w:before="0" w:after="0" w:line="240" w:lineRule="auto"/>
              <w:jc w:val="center"/>
            </w:pPr>
            <w:r>
              <w:rPr>
                <w:color w:val="1A1B1A"/>
                <w:szCs w:val="17"/>
              </w:rPr>
              <w:t>0.55</w:t>
            </w:r>
          </w:p>
        </w:tc>
        <w:tc>
          <w:tcPr>
            <w:tcW w:w="310" w:type="pct"/>
            <w:vAlign w:val="center"/>
          </w:tcPr>
          <w:p w14:paraId="7A9C2914"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14:paraId="297A09B1" w14:textId="77777777" w:rsidTr="00444693">
        <w:trPr>
          <w:cantSplit/>
          <w:trHeight w:val="13"/>
        </w:trPr>
        <w:tc>
          <w:tcPr>
            <w:tcW w:w="521" w:type="pct"/>
            <w:vMerge/>
          </w:tcPr>
          <w:p w14:paraId="754505C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3FC0CEB"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7887B00" w14:textId="77777777" w:rsidR="00CE1436" w:rsidRPr="00425098" w:rsidRDefault="00CE1436" w:rsidP="00444693">
            <w:pPr>
              <w:pStyle w:val="TableText"/>
              <w:widowControl w:val="0"/>
              <w:suppressAutoHyphens w:val="0"/>
              <w:spacing w:before="0" w:after="0" w:line="240" w:lineRule="auto"/>
            </w:pPr>
          </w:p>
        </w:tc>
        <w:tc>
          <w:tcPr>
            <w:tcW w:w="520" w:type="pct"/>
          </w:tcPr>
          <w:p w14:paraId="39E36A92"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647C2606" w14:textId="77777777" w:rsidR="00CE1436" w:rsidRPr="00F74008"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09CB9CDC"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634D4DE1"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7B1A62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53FF1D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12DD6D7"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3.1</w:t>
            </w:r>
          </w:p>
        </w:tc>
        <w:tc>
          <w:tcPr>
            <w:tcW w:w="312" w:type="pct"/>
            <w:vAlign w:val="center"/>
          </w:tcPr>
          <w:p w14:paraId="3697DB1C"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vAlign w:val="center"/>
          </w:tcPr>
          <w:p w14:paraId="7ABD9550"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0.55</w:t>
            </w:r>
          </w:p>
        </w:tc>
        <w:tc>
          <w:tcPr>
            <w:tcW w:w="310" w:type="pct"/>
            <w:vAlign w:val="center"/>
          </w:tcPr>
          <w:p w14:paraId="56161D97"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770</w:t>
            </w:r>
          </w:p>
        </w:tc>
      </w:tr>
      <w:tr w:rsidR="00CE1436" w:rsidRPr="0023247F" w14:paraId="58A39185" w14:textId="77777777" w:rsidTr="00444693">
        <w:trPr>
          <w:cantSplit/>
          <w:trHeight w:val="13"/>
        </w:trPr>
        <w:tc>
          <w:tcPr>
            <w:tcW w:w="521" w:type="pct"/>
            <w:vMerge/>
          </w:tcPr>
          <w:p w14:paraId="49D28AF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D2AF4E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64016E4C" w14:textId="77777777" w:rsidR="00CE1436" w:rsidRPr="00425098" w:rsidRDefault="00CE1436" w:rsidP="00444693">
            <w:pPr>
              <w:pStyle w:val="TableText"/>
              <w:widowControl w:val="0"/>
              <w:suppressAutoHyphens w:val="0"/>
              <w:spacing w:before="0" w:after="0" w:line="240" w:lineRule="auto"/>
            </w:pPr>
          </w:p>
        </w:tc>
        <w:tc>
          <w:tcPr>
            <w:tcW w:w="520" w:type="pct"/>
          </w:tcPr>
          <w:p w14:paraId="25F13E8A"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32F9014F"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15B410FD" w14:textId="77777777" w:rsidR="00CE1436" w:rsidRDefault="00CE1436" w:rsidP="00444693">
            <w:pPr>
              <w:pStyle w:val="TableText"/>
              <w:widowControl w:val="0"/>
              <w:suppressAutoHyphens w:val="0"/>
              <w:spacing w:before="0" w:after="0" w:line="240" w:lineRule="auto"/>
              <w:jc w:val="center"/>
              <w:rPr>
                <w:szCs w:val="17"/>
              </w:rPr>
            </w:pPr>
            <w:r>
              <w:t>330</w:t>
            </w:r>
          </w:p>
        </w:tc>
        <w:tc>
          <w:tcPr>
            <w:tcW w:w="312" w:type="pct"/>
          </w:tcPr>
          <w:p w14:paraId="37FC72DB"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ACF173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5B9B8A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0EC957C" w14:textId="77777777" w:rsidR="00CE1436" w:rsidRPr="003203B5" w:rsidRDefault="00CE1436" w:rsidP="00444693">
            <w:pPr>
              <w:pStyle w:val="TableText"/>
              <w:widowControl w:val="0"/>
              <w:suppressAutoHyphens w:val="0"/>
              <w:spacing w:before="0" w:after="0" w:line="240" w:lineRule="auto"/>
              <w:jc w:val="center"/>
            </w:pPr>
            <w:r>
              <w:rPr>
                <w:color w:val="1A1B1A"/>
                <w:szCs w:val="17"/>
              </w:rPr>
              <w:t>2.4</w:t>
            </w:r>
          </w:p>
        </w:tc>
        <w:tc>
          <w:tcPr>
            <w:tcW w:w="312" w:type="pct"/>
            <w:vAlign w:val="center"/>
          </w:tcPr>
          <w:p w14:paraId="6F2F9B33"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061D59D" w14:textId="77777777" w:rsidR="00CE1436" w:rsidRPr="0023247F" w:rsidRDefault="00CE1436" w:rsidP="00444693">
            <w:pPr>
              <w:pStyle w:val="TableText"/>
              <w:widowControl w:val="0"/>
              <w:suppressAutoHyphens w:val="0"/>
              <w:spacing w:before="0" w:after="0" w:line="240" w:lineRule="auto"/>
              <w:jc w:val="center"/>
            </w:pPr>
            <w:r>
              <w:rPr>
                <w:color w:val="1A1B1A"/>
                <w:szCs w:val="17"/>
              </w:rPr>
              <w:t>0.43</w:t>
            </w:r>
          </w:p>
        </w:tc>
        <w:tc>
          <w:tcPr>
            <w:tcW w:w="310" w:type="pct"/>
            <w:vAlign w:val="center"/>
          </w:tcPr>
          <w:p w14:paraId="144C92AC"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4F018C36" w14:textId="77777777" w:rsidTr="00444693">
        <w:trPr>
          <w:cantSplit/>
          <w:trHeight w:val="13"/>
        </w:trPr>
        <w:tc>
          <w:tcPr>
            <w:tcW w:w="521" w:type="pct"/>
            <w:vMerge/>
          </w:tcPr>
          <w:p w14:paraId="16128EA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0F6A53B"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12DB41A" w14:textId="77777777" w:rsidR="00CE1436" w:rsidRPr="00425098" w:rsidRDefault="00CE1436" w:rsidP="00444693">
            <w:pPr>
              <w:pStyle w:val="TableText"/>
              <w:widowControl w:val="0"/>
              <w:suppressAutoHyphens w:val="0"/>
              <w:spacing w:before="0" w:after="0" w:line="240" w:lineRule="auto"/>
            </w:pPr>
          </w:p>
        </w:tc>
        <w:tc>
          <w:tcPr>
            <w:tcW w:w="520" w:type="pct"/>
          </w:tcPr>
          <w:p w14:paraId="01634A53"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592715D0"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4B7CA73A"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shd w:val="clear" w:color="auto" w:fill="D5D7D5" w:themeFill="text1" w:themeFillTint="33"/>
          </w:tcPr>
          <w:p w14:paraId="08283923"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w:t>
            </w:r>
            <w:r>
              <w:rPr>
                <w:szCs w:val="17"/>
              </w:rPr>
              <w:t>1</w:t>
            </w:r>
            <w:r>
              <w:rPr>
                <w:szCs w:val="17"/>
                <w:vertAlign w:val="superscript"/>
              </w:rPr>
              <w:t>a</w:t>
            </w:r>
          </w:p>
        </w:tc>
        <w:tc>
          <w:tcPr>
            <w:tcW w:w="312" w:type="pct"/>
          </w:tcPr>
          <w:p w14:paraId="0A2497C2"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8DEAF1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1F0C9DE" w14:textId="77777777" w:rsidR="00CE1436" w:rsidRPr="003203B5" w:rsidRDefault="00CE1436" w:rsidP="00444693">
            <w:pPr>
              <w:pStyle w:val="TableText"/>
              <w:widowControl w:val="0"/>
              <w:suppressAutoHyphens w:val="0"/>
              <w:spacing w:before="0" w:after="0" w:line="240" w:lineRule="auto"/>
              <w:jc w:val="center"/>
            </w:pPr>
            <w:r>
              <w:rPr>
                <w:color w:val="1A1B1A"/>
                <w:szCs w:val="17"/>
              </w:rPr>
              <w:t>2.6</w:t>
            </w:r>
          </w:p>
        </w:tc>
        <w:tc>
          <w:tcPr>
            <w:tcW w:w="312" w:type="pct"/>
            <w:vAlign w:val="center"/>
          </w:tcPr>
          <w:p w14:paraId="1D7D3DCA"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68B836B0" w14:textId="77777777" w:rsidR="00CE1436" w:rsidRPr="0023247F" w:rsidRDefault="00CE1436" w:rsidP="00444693">
            <w:pPr>
              <w:pStyle w:val="TableText"/>
              <w:widowControl w:val="0"/>
              <w:suppressAutoHyphens w:val="0"/>
              <w:spacing w:before="0" w:after="0" w:line="240" w:lineRule="auto"/>
              <w:jc w:val="center"/>
            </w:pPr>
            <w:r>
              <w:rPr>
                <w:color w:val="1A1B1A"/>
                <w:szCs w:val="17"/>
              </w:rPr>
              <w:t>0.46</w:t>
            </w:r>
          </w:p>
        </w:tc>
        <w:tc>
          <w:tcPr>
            <w:tcW w:w="310" w:type="pct"/>
            <w:vAlign w:val="center"/>
          </w:tcPr>
          <w:p w14:paraId="7E16E2A3" w14:textId="77777777" w:rsidR="00CE1436" w:rsidRPr="0023247F" w:rsidRDefault="00CE1436" w:rsidP="00444693">
            <w:pPr>
              <w:pStyle w:val="TableText"/>
              <w:widowControl w:val="0"/>
              <w:suppressAutoHyphens w:val="0"/>
              <w:spacing w:before="0" w:after="0" w:line="240" w:lineRule="auto"/>
              <w:jc w:val="center"/>
            </w:pPr>
            <w:r>
              <w:rPr>
                <w:color w:val="1A1B1A"/>
                <w:szCs w:val="17"/>
              </w:rPr>
              <w:t>700</w:t>
            </w:r>
          </w:p>
        </w:tc>
      </w:tr>
      <w:tr w:rsidR="00CE1436" w:rsidRPr="0023247F" w14:paraId="3A0EFFCE" w14:textId="77777777" w:rsidTr="00444693">
        <w:trPr>
          <w:cantSplit/>
          <w:trHeight w:val="13"/>
        </w:trPr>
        <w:tc>
          <w:tcPr>
            <w:tcW w:w="521" w:type="pct"/>
            <w:vMerge/>
          </w:tcPr>
          <w:p w14:paraId="096CDD5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07437C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58BEF8E" w14:textId="77777777" w:rsidR="00CE1436" w:rsidRPr="00425098" w:rsidRDefault="00CE1436" w:rsidP="00444693">
            <w:pPr>
              <w:pStyle w:val="TableText"/>
              <w:widowControl w:val="0"/>
              <w:suppressAutoHyphens w:val="0"/>
              <w:spacing w:before="0" w:after="0" w:line="240" w:lineRule="auto"/>
            </w:pPr>
          </w:p>
        </w:tc>
        <w:tc>
          <w:tcPr>
            <w:tcW w:w="520" w:type="pct"/>
          </w:tcPr>
          <w:p w14:paraId="147211E0"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77247871"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4D2D7E7C"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655A4990"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3C51671"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AFAD3E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3A11400" w14:textId="77777777" w:rsidR="00CE1436" w:rsidRPr="003203B5" w:rsidRDefault="00CE1436" w:rsidP="00444693">
            <w:pPr>
              <w:pStyle w:val="TableText"/>
              <w:widowControl w:val="0"/>
              <w:suppressAutoHyphens w:val="0"/>
              <w:spacing w:before="0" w:after="0" w:line="240" w:lineRule="auto"/>
              <w:jc w:val="center"/>
            </w:pPr>
            <w:r>
              <w:rPr>
                <w:color w:val="1A1B1A"/>
                <w:szCs w:val="17"/>
              </w:rPr>
              <w:t>2.4</w:t>
            </w:r>
          </w:p>
        </w:tc>
        <w:tc>
          <w:tcPr>
            <w:tcW w:w="312" w:type="pct"/>
            <w:vAlign w:val="center"/>
          </w:tcPr>
          <w:p w14:paraId="258902DE"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43FC156" w14:textId="77777777" w:rsidR="00CE1436" w:rsidRPr="0023247F" w:rsidRDefault="00CE1436" w:rsidP="00444693">
            <w:pPr>
              <w:pStyle w:val="TableText"/>
              <w:widowControl w:val="0"/>
              <w:suppressAutoHyphens w:val="0"/>
              <w:spacing w:before="0" w:after="0" w:line="240" w:lineRule="auto"/>
              <w:jc w:val="center"/>
            </w:pPr>
            <w:r>
              <w:rPr>
                <w:color w:val="1A1B1A"/>
                <w:szCs w:val="17"/>
              </w:rPr>
              <w:t>0.42</w:t>
            </w:r>
          </w:p>
        </w:tc>
        <w:tc>
          <w:tcPr>
            <w:tcW w:w="310" w:type="pct"/>
            <w:vAlign w:val="center"/>
          </w:tcPr>
          <w:p w14:paraId="6CE8CD0B"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23247F" w14:paraId="7A0AC43F" w14:textId="77777777" w:rsidTr="00444693">
        <w:trPr>
          <w:cantSplit/>
          <w:trHeight w:val="13"/>
        </w:trPr>
        <w:tc>
          <w:tcPr>
            <w:tcW w:w="521" w:type="pct"/>
            <w:vMerge/>
          </w:tcPr>
          <w:p w14:paraId="6C784F6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E8A62BA"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DFA6AC9" w14:textId="77777777" w:rsidR="00CE1436" w:rsidRPr="00425098" w:rsidRDefault="00CE1436" w:rsidP="00444693">
            <w:pPr>
              <w:pStyle w:val="TableText"/>
              <w:widowControl w:val="0"/>
              <w:suppressAutoHyphens w:val="0"/>
              <w:spacing w:before="0" w:after="0" w:line="240" w:lineRule="auto"/>
            </w:pPr>
          </w:p>
        </w:tc>
        <w:tc>
          <w:tcPr>
            <w:tcW w:w="520" w:type="pct"/>
          </w:tcPr>
          <w:p w14:paraId="0ADF8C78"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3D1C9D5A"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0DCD63A9"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1B74F555"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0F4746D"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6D235C6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09DB1EB" w14:textId="77777777" w:rsidR="00CE1436" w:rsidRPr="003203B5" w:rsidRDefault="00CE1436" w:rsidP="00444693">
            <w:pPr>
              <w:pStyle w:val="TableText"/>
              <w:widowControl w:val="0"/>
              <w:suppressAutoHyphens w:val="0"/>
              <w:spacing w:before="0" w:after="0" w:line="240" w:lineRule="auto"/>
              <w:jc w:val="center"/>
            </w:pPr>
            <w:r>
              <w:rPr>
                <w:color w:val="1A1B1A"/>
                <w:szCs w:val="17"/>
              </w:rPr>
              <w:t>1.5</w:t>
            </w:r>
          </w:p>
        </w:tc>
        <w:tc>
          <w:tcPr>
            <w:tcW w:w="312" w:type="pct"/>
            <w:vAlign w:val="center"/>
          </w:tcPr>
          <w:p w14:paraId="3CBF42A3"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06C3EE3" w14:textId="77777777" w:rsidR="00CE1436" w:rsidRPr="0023247F" w:rsidRDefault="00CE1436" w:rsidP="00444693">
            <w:pPr>
              <w:pStyle w:val="TableText"/>
              <w:widowControl w:val="0"/>
              <w:suppressAutoHyphens w:val="0"/>
              <w:spacing w:before="0" w:after="0" w:line="240" w:lineRule="auto"/>
              <w:jc w:val="center"/>
            </w:pPr>
            <w:r>
              <w:rPr>
                <w:color w:val="1A1B1A"/>
                <w:szCs w:val="17"/>
              </w:rPr>
              <w:t>0.26</w:t>
            </w:r>
          </w:p>
        </w:tc>
        <w:tc>
          <w:tcPr>
            <w:tcW w:w="310" w:type="pct"/>
            <w:vAlign w:val="center"/>
          </w:tcPr>
          <w:p w14:paraId="23B536F9" w14:textId="77777777" w:rsidR="00CE1436" w:rsidRPr="0023247F" w:rsidRDefault="00CE1436" w:rsidP="00444693">
            <w:pPr>
              <w:pStyle w:val="TableText"/>
              <w:widowControl w:val="0"/>
              <w:suppressAutoHyphens w:val="0"/>
              <w:spacing w:before="0" w:after="0" w:line="240" w:lineRule="auto"/>
              <w:jc w:val="center"/>
            </w:pPr>
            <w:r>
              <w:rPr>
                <w:color w:val="1A1B1A"/>
                <w:szCs w:val="17"/>
              </w:rPr>
              <w:t>770</w:t>
            </w:r>
          </w:p>
        </w:tc>
      </w:tr>
      <w:tr w:rsidR="00CE1436" w:rsidRPr="00886278" w14:paraId="73539011" w14:textId="77777777" w:rsidTr="00444693">
        <w:trPr>
          <w:cantSplit/>
          <w:trHeight w:val="13"/>
        </w:trPr>
        <w:tc>
          <w:tcPr>
            <w:tcW w:w="521" w:type="pct"/>
            <w:vMerge/>
          </w:tcPr>
          <w:p w14:paraId="0A17A44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805967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9699A23" w14:textId="77777777" w:rsidR="00CE1436" w:rsidRPr="00425098" w:rsidRDefault="00CE1436" w:rsidP="00444693">
            <w:pPr>
              <w:pStyle w:val="TableText"/>
              <w:widowControl w:val="0"/>
              <w:suppressAutoHyphens w:val="0"/>
              <w:spacing w:before="0" w:after="0" w:line="240" w:lineRule="auto"/>
            </w:pPr>
          </w:p>
        </w:tc>
        <w:tc>
          <w:tcPr>
            <w:tcW w:w="520" w:type="pct"/>
          </w:tcPr>
          <w:p w14:paraId="034AFAD3"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6E85166A" w14:textId="77777777" w:rsidR="00CE1436" w:rsidRDefault="00CE1436" w:rsidP="00444693">
            <w:pPr>
              <w:pStyle w:val="TableText"/>
              <w:widowControl w:val="0"/>
              <w:suppressAutoHyphens w:val="0"/>
              <w:spacing w:before="0" w:after="0" w:line="240" w:lineRule="auto"/>
              <w:jc w:val="center"/>
              <w:rPr>
                <w:szCs w:val="17"/>
              </w:rPr>
            </w:pPr>
            <w:r>
              <w:rPr>
                <w:szCs w:val="17"/>
              </w:rPr>
              <w:t>7.4</w:t>
            </w:r>
          </w:p>
        </w:tc>
        <w:tc>
          <w:tcPr>
            <w:tcW w:w="296" w:type="pct"/>
          </w:tcPr>
          <w:p w14:paraId="02B9CF55" w14:textId="77777777" w:rsidR="00CE1436" w:rsidRPr="00886278" w:rsidRDefault="00CE1436" w:rsidP="00444693">
            <w:pPr>
              <w:pStyle w:val="TableText"/>
              <w:widowControl w:val="0"/>
              <w:suppressAutoHyphens w:val="0"/>
              <w:spacing w:before="0" w:after="0" w:line="240" w:lineRule="auto"/>
              <w:jc w:val="center"/>
              <w:rPr>
                <w:szCs w:val="17"/>
              </w:rPr>
            </w:pPr>
            <w:r>
              <w:t>175</w:t>
            </w:r>
          </w:p>
        </w:tc>
        <w:tc>
          <w:tcPr>
            <w:tcW w:w="312" w:type="pct"/>
          </w:tcPr>
          <w:p w14:paraId="2D53ACCC"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E18DB6F"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1AA7338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1B717660"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1.3</w:t>
            </w:r>
          </w:p>
        </w:tc>
        <w:tc>
          <w:tcPr>
            <w:tcW w:w="312" w:type="pct"/>
            <w:vAlign w:val="center"/>
          </w:tcPr>
          <w:p w14:paraId="6AD705A8"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5600F47E" w14:textId="77777777" w:rsidR="00CE1436" w:rsidRPr="00886278" w:rsidRDefault="00CE1436" w:rsidP="00444693">
            <w:pPr>
              <w:pStyle w:val="TableText"/>
              <w:widowControl w:val="0"/>
              <w:suppressAutoHyphens w:val="0"/>
              <w:spacing w:before="0" w:after="0" w:line="240" w:lineRule="auto"/>
              <w:jc w:val="center"/>
            </w:pPr>
            <w:r>
              <w:rPr>
                <w:color w:val="1A1B1A"/>
                <w:szCs w:val="17"/>
              </w:rPr>
              <w:t>0.23</w:t>
            </w:r>
          </w:p>
        </w:tc>
        <w:tc>
          <w:tcPr>
            <w:tcW w:w="310" w:type="pct"/>
            <w:vAlign w:val="center"/>
          </w:tcPr>
          <w:p w14:paraId="7DB0665A" w14:textId="77777777" w:rsidR="00CE1436" w:rsidRPr="00886278" w:rsidRDefault="00CE1436" w:rsidP="00444693">
            <w:pPr>
              <w:pStyle w:val="TableText"/>
              <w:widowControl w:val="0"/>
              <w:suppressAutoHyphens w:val="0"/>
              <w:spacing w:before="0" w:after="0" w:line="240" w:lineRule="auto"/>
              <w:jc w:val="center"/>
            </w:pPr>
            <w:r>
              <w:rPr>
                <w:color w:val="1A1B1A"/>
                <w:szCs w:val="17"/>
              </w:rPr>
              <w:t>770</w:t>
            </w:r>
          </w:p>
        </w:tc>
      </w:tr>
      <w:tr w:rsidR="00CE1436" w:rsidRPr="00886278" w14:paraId="2E773FEE" w14:textId="77777777" w:rsidTr="00444693">
        <w:trPr>
          <w:cantSplit/>
          <w:trHeight w:val="13"/>
        </w:trPr>
        <w:tc>
          <w:tcPr>
            <w:tcW w:w="521" w:type="pct"/>
            <w:vMerge/>
          </w:tcPr>
          <w:p w14:paraId="67CAC24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88CF3FD" w14:textId="77777777" w:rsidR="00CE1436" w:rsidRPr="00425098" w:rsidRDefault="00CE1436" w:rsidP="00444693">
            <w:pPr>
              <w:pStyle w:val="TableText"/>
              <w:widowControl w:val="0"/>
              <w:suppressAutoHyphens w:val="0"/>
              <w:spacing w:before="0" w:after="0" w:line="240" w:lineRule="auto"/>
            </w:pPr>
          </w:p>
        </w:tc>
        <w:tc>
          <w:tcPr>
            <w:tcW w:w="445" w:type="pct"/>
            <w:vMerge/>
          </w:tcPr>
          <w:p w14:paraId="02791FF5" w14:textId="77777777" w:rsidR="00CE1436" w:rsidRPr="00425098" w:rsidRDefault="00CE1436" w:rsidP="00444693">
            <w:pPr>
              <w:pStyle w:val="TableText"/>
              <w:widowControl w:val="0"/>
              <w:suppressAutoHyphens w:val="0"/>
              <w:spacing w:before="0" w:after="0" w:line="240" w:lineRule="auto"/>
            </w:pPr>
          </w:p>
        </w:tc>
        <w:tc>
          <w:tcPr>
            <w:tcW w:w="520" w:type="pct"/>
          </w:tcPr>
          <w:p w14:paraId="7BCBB4D2"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50E4CCAF" w14:textId="77777777" w:rsidR="00CE1436" w:rsidRDefault="00CE1436" w:rsidP="00444693">
            <w:pPr>
              <w:pStyle w:val="TableText"/>
              <w:widowControl w:val="0"/>
              <w:suppressAutoHyphens w:val="0"/>
              <w:spacing w:before="0" w:after="0" w:line="240" w:lineRule="auto"/>
              <w:jc w:val="center"/>
              <w:rPr>
                <w:szCs w:val="17"/>
              </w:rPr>
            </w:pPr>
            <w:r>
              <w:rPr>
                <w:szCs w:val="17"/>
              </w:rPr>
              <w:t>7.4</w:t>
            </w:r>
          </w:p>
        </w:tc>
        <w:tc>
          <w:tcPr>
            <w:tcW w:w="296" w:type="pct"/>
          </w:tcPr>
          <w:p w14:paraId="748D31CF" w14:textId="77777777" w:rsidR="00CE1436" w:rsidRPr="00886278" w:rsidRDefault="00CE1436" w:rsidP="00444693">
            <w:pPr>
              <w:pStyle w:val="TableText"/>
              <w:widowControl w:val="0"/>
              <w:suppressAutoHyphens w:val="0"/>
              <w:spacing w:before="0" w:after="0" w:line="240" w:lineRule="auto"/>
              <w:jc w:val="center"/>
              <w:rPr>
                <w:szCs w:val="17"/>
              </w:rPr>
            </w:pPr>
            <w:r>
              <w:t>173</w:t>
            </w:r>
          </w:p>
        </w:tc>
        <w:tc>
          <w:tcPr>
            <w:tcW w:w="312" w:type="pct"/>
          </w:tcPr>
          <w:p w14:paraId="67BCC30A"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F9345C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FE7BEE6"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89369D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1.3</w:t>
            </w:r>
          </w:p>
        </w:tc>
        <w:tc>
          <w:tcPr>
            <w:tcW w:w="312" w:type="pct"/>
            <w:vAlign w:val="center"/>
          </w:tcPr>
          <w:p w14:paraId="2A4FAF8D"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4E0E7D47" w14:textId="77777777" w:rsidR="00CE1436" w:rsidRPr="00886278" w:rsidRDefault="00CE1436" w:rsidP="00444693">
            <w:pPr>
              <w:pStyle w:val="TableText"/>
              <w:widowControl w:val="0"/>
              <w:suppressAutoHyphens w:val="0"/>
              <w:spacing w:before="0" w:after="0" w:line="240" w:lineRule="auto"/>
              <w:jc w:val="center"/>
            </w:pPr>
            <w:r>
              <w:rPr>
                <w:color w:val="1A1B1A"/>
                <w:szCs w:val="17"/>
              </w:rPr>
              <w:t>0.22</w:t>
            </w:r>
          </w:p>
        </w:tc>
        <w:tc>
          <w:tcPr>
            <w:tcW w:w="310" w:type="pct"/>
            <w:vAlign w:val="center"/>
          </w:tcPr>
          <w:p w14:paraId="1CE8EA75" w14:textId="77777777" w:rsidR="00CE1436" w:rsidRPr="00886278" w:rsidRDefault="00CE1436" w:rsidP="00444693">
            <w:pPr>
              <w:pStyle w:val="TableText"/>
              <w:widowControl w:val="0"/>
              <w:suppressAutoHyphens w:val="0"/>
              <w:spacing w:before="0" w:after="0" w:line="240" w:lineRule="auto"/>
              <w:jc w:val="center"/>
            </w:pPr>
            <w:r>
              <w:rPr>
                <w:color w:val="1A1B1A"/>
                <w:szCs w:val="17"/>
              </w:rPr>
              <w:t>770</w:t>
            </w:r>
          </w:p>
        </w:tc>
      </w:tr>
      <w:tr w:rsidR="00CE1436" w14:paraId="53F51C69" w14:textId="77777777" w:rsidTr="00444693">
        <w:trPr>
          <w:cantSplit/>
          <w:trHeight w:val="13"/>
        </w:trPr>
        <w:tc>
          <w:tcPr>
            <w:tcW w:w="521" w:type="pct"/>
            <w:vMerge/>
          </w:tcPr>
          <w:p w14:paraId="2FDC547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2A2471B"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68EAEC7" w14:textId="77777777" w:rsidR="00CE1436" w:rsidRPr="00425098" w:rsidRDefault="00CE1436" w:rsidP="00444693">
            <w:pPr>
              <w:pStyle w:val="TableText"/>
              <w:widowControl w:val="0"/>
              <w:suppressAutoHyphens w:val="0"/>
              <w:spacing w:before="0" w:after="0" w:line="240" w:lineRule="auto"/>
            </w:pPr>
          </w:p>
        </w:tc>
        <w:tc>
          <w:tcPr>
            <w:tcW w:w="520" w:type="pct"/>
          </w:tcPr>
          <w:p w14:paraId="7AD3C535"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294175F2" w14:textId="77777777" w:rsidR="00CE1436" w:rsidRDefault="00CE1436" w:rsidP="00444693">
            <w:pPr>
              <w:pStyle w:val="TableText"/>
              <w:widowControl w:val="0"/>
              <w:suppressAutoHyphens w:val="0"/>
              <w:spacing w:before="0" w:after="0" w:line="240" w:lineRule="auto"/>
              <w:jc w:val="center"/>
              <w:rPr>
                <w:szCs w:val="17"/>
              </w:rPr>
            </w:pPr>
            <w:r w:rsidRPr="00F74008">
              <w:rPr>
                <w:szCs w:val="17"/>
              </w:rPr>
              <w:t>7.4</w:t>
            </w:r>
          </w:p>
        </w:tc>
        <w:tc>
          <w:tcPr>
            <w:tcW w:w="296" w:type="pct"/>
          </w:tcPr>
          <w:p w14:paraId="4F5689C6" w14:textId="77777777" w:rsidR="00CE1436" w:rsidRDefault="00CE1436" w:rsidP="00444693">
            <w:pPr>
              <w:pStyle w:val="TableText"/>
              <w:widowControl w:val="0"/>
              <w:suppressAutoHyphens w:val="0"/>
              <w:spacing w:before="0" w:after="0" w:line="240" w:lineRule="auto"/>
              <w:jc w:val="center"/>
            </w:pPr>
            <w:r>
              <w:t>170</w:t>
            </w:r>
          </w:p>
        </w:tc>
        <w:tc>
          <w:tcPr>
            <w:tcW w:w="312" w:type="pct"/>
          </w:tcPr>
          <w:p w14:paraId="45F047FF"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E06DE06"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58806498"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0A001F2"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1.3</w:t>
            </w:r>
          </w:p>
        </w:tc>
        <w:tc>
          <w:tcPr>
            <w:tcW w:w="312" w:type="pct"/>
            <w:vAlign w:val="center"/>
          </w:tcPr>
          <w:p w14:paraId="25777BE1"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5.7</w:t>
            </w:r>
          </w:p>
        </w:tc>
        <w:tc>
          <w:tcPr>
            <w:tcW w:w="312" w:type="pct"/>
            <w:vAlign w:val="center"/>
          </w:tcPr>
          <w:p w14:paraId="73D82DD8"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0.22</w:t>
            </w:r>
          </w:p>
        </w:tc>
        <w:tc>
          <w:tcPr>
            <w:tcW w:w="310" w:type="pct"/>
            <w:vAlign w:val="center"/>
          </w:tcPr>
          <w:p w14:paraId="47639FC5" w14:textId="77777777" w:rsidR="00CE1436" w:rsidRDefault="00CE1436" w:rsidP="00444693">
            <w:pPr>
              <w:pStyle w:val="TableText"/>
              <w:widowControl w:val="0"/>
              <w:suppressAutoHyphens w:val="0"/>
              <w:spacing w:before="0" w:after="0" w:line="240" w:lineRule="auto"/>
              <w:jc w:val="center"/>
              <w:rPr>
                <w:color w:val="1A1B1A"/>
                <w:szCs w:val="17"/>
              </w:rPr>
            </w:pPr>
            <w:r>
              <w:rPr>
                <w:color w:val="1A1B1A"/>
                <w:szCs w:val="17"/>
              </w:rPr>
              <w:t>770</w:t>
            </w:r>
          </w:p>
        </w:tc>
      </w:tr>
      <w:tr w:rsidR="00CE1436" w:rsidRPr="00886278" w14:paraId="2ABF1472" w14:textId="77777777" w:rsidTr="00444693">
        <w:trPr>
          <w:cantSplit/>
          <w:trHeight w:val="13"/>
        </w:trPr>
        <w:tc>
          <w:tcPr>
            <w:tcW w:w="521" w:type="pct"/>
            <w:vMerge/>
          </w:tcPr>
          <w:p w14:paraId="7D4FCBCC"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94A4146"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0B7177C" w14:textId="77777777" w:rsidR="00CE1436" w:rsidRPr="00425098" w:rsidRDefault="00CE1436" w:rsidP="00444693">
            <w:pPr>
              <w:pStyle w:val="TableText"/>
              <w:widowControl w:val="0"/>
              <w:suppressAutoHyphens w:val="0"/>
              <w:spacing w:before="0" w:after="0" w:line="240" w:lineRule="auto"/>
            </w:pPr>
          </w:p>
        </w:tc>
        <w:tc>
          <w:tcPr>
            <w:tcW w:w="520" w:type="pct"/>
          </w:tcPr>
          <w:p w14:paraId="7B0CD007"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Pr>
          <w:p w14:paraId="35959088" w14:textId="77777777" w:rsidR="00CE1436" w:rsidRDefault="00CE1436" w:rsidP="00444693">
            <w:pPr>
              <w:pStyle w:val="TableText"/>
              <w:widowControl w:val="0"/>
              <w:suppressAutoHyphens w:val="0"/>
              <w:spacing w:before="0" w:after="0" w:line="240" w:lineRule="auto"/>
              <w:jc w:val="center"/>
              <w:rPr>
                <w:szCs w:val="17"/>
              </w:rPr>
            </w:pPr>
            <w:r>
              <w:rPr>
                <w:szCs w:val="17"/>
              </w:rPr>
              <w:t>7.4</w:t>
            </w:r>
          </w:p>
        </w:tc>
        <w:tc>
          <w:tcPr>
            <w:tcW w:w="296" w:type="pct"/>
          </w:tcPr>
          <w:p w14:paraId="45D69223" w14:textId="77777777" w:rsidR="00CE1436" w:rsidRPr="00886278" w:rsidRDefault="00CE1436" w:rsidP="00444693">
            <w:pPr>
              <w:pStyle w:val="TableText"/>
              <w:widowControl w:val="0"/>
              <w:suppressAutoHyphens w:val="0"/>
              <w:spacing w:before="0" w:after="0" w:line="240" w:lineRule="auto"/>
              <w:jc w:val="center"/>
              <w:rPr>
                <w:szCs w:val="17"/>
              </w:rPr>
            </w:pPr>
            <w:r>
              <w:t>168</w:t>
            </w:r>
          </w:p>
        </w:tc>
        <w:tc>
          <w:tcPr>
            <w:tcW w:w="312" w:type="pct"/>
          </w:tcPr>
          <w:p w14:paraId="53B135A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5064724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3880FE7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7AFBC14"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1.2</w:t>
            </w:r>
          </w:p>
        </w:tc>
        <w:tc>
          <w:tcPr>
            <w:tcW w:w="312" w:type="pct"/>
            <w:vAlign w:val="center"/>
          </w:tcPr>
          <w:p w14:paraId="3BCF2DB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vAlign w:val="center"/>
          </w:tcPr>
          <w:p w14:paraId="1619DF9C" w14:textId="77777777" w:rsidR="00CE1436" w:rsidRPr="00886278" w:rsidRDefault="00CE1436" w:rsidP="00444693">
            <w:pPr>
              <w:pStyle w:val="TableText"/>
              <w:widowControl w:val="0"/>
              <w:suppressAutoHyphens w:val="0"/>
              <w:spacing w:before="0" w:after="0" w:line="240" w:lineRule="auto"/>
              <w:jc w:val="center"/>
            </w:pPr>
            <w:r>
              <w:rPr>
                <w:color w:val="1A1B1A"/>
                <w:szCs w:val="17"/>
              </w:rPr>
              <w:t>0.22</w:t>
            </w:r>
          </w:p>
        </w:tc>
        <w:tc>
          <w:tcPr>
            <w:tcW w:w="310" w:type="pct"/>
            <w:vAlign w:val="center"/>
          </w:tcPr>
          <w:p w14:paraId="79A42F7F" w14:textId="77777777" w:rsidR="00CE1436" w:rsidRPr="00886278" w:rsidRDefault="00CE1436" w:rsidP="00444693">
            <w:pPr>
              <w:pStyle w:val="TableText"/>
              <w:widowControl w:val="0"/>
              <w:suppressAutoHyphens w:val="0"/>
              <w:spacing w:before="0" w:after="0" w:line="240" w:lineRule="auto"/>
              <w:jc w:val="center"/>
            </w:pPr>
            <w:r>
              <w:rPr>
                <w:color w:val="1A1B1A"/>
                <w:szCs w:val="17"/>
              </w:rPr>
              <w:t>770</w:t>
            </w:r>
          </w:p>
        </w:tc>
      </w:tr>
      <w:tr w:rsidR="00CE1436" w:rsidRPr="00886278" w14:paraId="53353F32" w14:textId="77777777" w:rsidTr="00444693">
        <w:trPr>
          <w:cantSplit/>
          <w:trHeight w:val="13"/>
        </w:trPr>
        <w:tc>
          <w:tcPr>
            <w:tcW w:w="521" w:type="pct"/>
            <w:vMerge/>
          </w:tcPr>
          <w:p w14:paraId="7F80363F"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74AE111C" w14:textId="77777777" w:rsidR="00CE1436" w:rsidRPr="00425098"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54D353AF" w14:textId="77777777" w:rsidR="00CE1436" w:rsidRPr="00425098"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4A3E4BCC" w14:textId="77777777" w:rsidR="00CE1436" w:rsidRPr="009B4E64"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52EEA82D" w14:textId="77777777" w:rsidR="00CE1436" w:rsidRDefault="00CE1436" w:rsidP="00444693">
            <w:pPr>
              <w:pStyle w:val="TableText"/>
              <w:widowControl w:val="0"/>
              <w:suppressAutoHyphens w:val="0"/>
              <w:spacing w:before="0" w:after="0" w:line="240" w:lineRule="auto"/>
              <w:jc w:val="center"/>
              <w:rPr>
                <w:szCs w:val="17"/>
              </w:rPr>
            </w:pPr>
            <w:r>
              <w:rPr>
                <w:szCs w:val="17"/>
              </w:rPr>
              <w:t>7.4</w:t>
            </w:r>
          </w:p>
        </w:tc>
        <w:tc>
          <w:tcPr>
            <w:tcW w:w="296" w:type="pct"/>
            <w:tcBorders>
              <w:bottom w:val="single" w:sz="4" w:space="0" w:color="auto"/>
            </w:tcBorders>
          </w:tcPr>
          <w:p w14:paraId="28B6A2BC" w14:textId="77777777" w:rsidR="00CE1436" w:rsidRPr="00886278" w:rsidRDefault="00CE1436" w:rsidP="00444693">
            <w:pPr>
              <w:pStyle w:val="TableText"/>
              <w:widowControl w:val="0"/>
              <w:suppressAutoHyphens w:val="0"/>
              <w:spacing w:before="0" w:after="0" w:line="240" w:lineRule="auto"/>
              <w:jc w:val="center"/>
              <w:rPr>
                <w:szCs w:val="17"/>
              </w:rPr>
            </w:pPr>
            <w:r>
              <w:t>130</w:t>
            </w:r>
          </w:p>
        </w:tc>
        <w:tc>
          <w:tcPr>
            <w:tcW w:w="312" w:type="pct"/>
            <w:tcBorders>
              <w:bottom w:val="single" w:sz="4" w:space="0" w:color="auto"/>
            </w:tcBorders>
          </w:tcPr>
          <w:p w14:paraId="018DDEB7"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3AA5D2D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06968370"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573D0BE5"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0.96</w:t>
            </w:r>
          </w:p>
        </w:tc>
        <w:tc>
          <w:tcPr>
            <w:tcW w:w="312" w:type="pct"/>
            <w:tcBorders>
              <w:bottom w:val="single" w:sz="4" w:space="0" w:color="auto"/>
            </w:tcBorders>
            <w:vAlign w:val="center"/>
          </w:tcPr>
          <w:p w14:paraId="5BFE307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41967B75" w14:textId="77777777" w:rsidR="00CE1436" w:rsidRPr="00886278" w:rsidRDefault="00CE1436" w:rsidP="00444693">
            <w:pPr>
              <w:pStyle w:val="TableText"/>
              <w:widowControl w:val="0"/>
              <w:suppressAutoHyphens w:val="0"/>
              <w:spacing w:before="0" w:after="0" w:line="240" w:lineRule="auto"/>
              <w:jc w:val="center"/>
            </w:pPr>
            <w:r>
              <w:rPr>
                <w:color w:val="1A1B1A"/>
                <w:szCs w:val="17"/>
              </w:rPr>
              <w:t>0.17</w:t>
            </w:r>
          </w:p>
        </w:tc>
        <w:tc>
          <w:tcPr>
            <w:tcW w:w="310" w:type="pct"/>
            <w:tcBorders>
              <w:bottom w:val="single" w:sz="4" w:space="0" w:color="auto"/>
            </w:tcBorders>
            <w:vAlign w:val="center"/>
          </w:tcPr>
          <w:p w14:paraId="450B07C1" w14:textId="77777777" w:rsidR="00CE1436" w:rsidRPr="00886278" w:rsidRDefault="00CE1436" w:rsidP="00444693">
            <w:pPr>
              <w:pStyle w:val="TableText"/>
              <w:widowControl w:val="0"/>
              <w:suppressAutoHyphens w:val="0"/>
              <w:spacing w:before="0" w:after="0" w:line="240" w:lineRule="auto"/>
              <w:jc w:val="center"/>
            </w:pPr>
            <w:r>
              <w:rPr>
                <w:color w:val="1A1B1A"/>
                <w:szCs w:val="17"/>
              </w:rPr>
              <w:t>770</w:t>
            </w:r>
          </w:p>
        </w:tc>
      </w:tr>
      <w:tr w:rsidR="00CE1436" w:rsidRPr="00886278" w14:paraId="0A2D2B81" w14:textId="77777777" w:rsidTr="00444693">
        <w:trPr>
          <w:cantSplit/>
          <w:trHeight w:val="13"/>
        </w:trPr>
        <w:tc>
          <w:tcPr>
            <w:tcW w:w="521" w:type="pct"/>
            <w:vMerge/>
          </w:tcPr>
          <w:p w14:paraId="3CC630F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val="restart"/>
            <w:tcBorders>
              <w:top w:val="single" w:sz="4" w:space="0" w:color="auto"/>
            </w:tcBorders>
          </w:tcPr>
          <w:p w14:paraId="1A51385E" w14:textId="77777777" w:rsidR="00CE1436" w:rsidRPr="00886278" w:rsidRDefault="00CE1436" w:rsidP="00444693">
            <w:pPr>
              <w:pStyle w:val="TableText"/>
              <w:widowControl w:val="0"/>
              <w:suppressAutoHyphens w:val="0"/>
              <w:spacing w:before="0" w:after="0" w:line="240" w:lineRule="auto"/>
              <w:rPr>
                <w:szCs w:val="17"/>
              </w:rPr>
            </w:pPr>
            <w:r w:rsidRPr="00425098">
              <w:t>Small granivore</w:t>
            </w:r>
          </w:p>
        </w:tc>
        <w:tc>
          <w:tcPr>
            <w:tcW w:w="445" w:type="pct"/>
            <w:vMerge w:val="restart"/>
            <w:tcBorders>
              <w:top w:val="single" w:sz="4" w:space="0" w:color="auto"/>
            </w:tcBorders>
          </w:tcPr>
          <w:p w14:paraId="38EC3050" w14:textId="77777777" w:rsidR="00CE1436" w:rsidRPr="00886278" w:rsidRDefault="00CE1436" w:rsidP="00444693">
            <w:pPr>
              <w:pStyle w:val="TableText"/>
              <w:widowControl w:val="0"/>
              <w:suppressAutoHyphens w:val="0"/>
              <w:spacing w:before="0" w:after="0" w:line="240" w:lineRule="auto"/>
              <w:rPr>
                <w:szCs w:val="17"/>
              </w:rPr>
            </w:pPr>
            <w:r w:rsidRPr="00425098">
              <w:t>Ground directed</w:t>
            </w:r>
          </w:p>
        </w:tc>
        <w:tc>
          <w:tcPr>
            <w:tcW w:w="520" w:type="pct"/>
            <w:tcBorders>
              <w:top w:val="single" w:sz="4" w:space="0" w:color="auto"/>
            </w:tcBorders>
          </w:tcPr>
          <w:p w14:paraId="58062F73"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Chronic</w:t>
            </w:r>
          </w:p>
        </w:tc>
        <w:tc>
          <w:tcPr>
            <w:tcW w:w="446" w:type="pct"/>
            <w:tcBorders>
              <w:top w:val="single" w:sz="4" w:space="0" w:color="auto"/>
            </w:tcBorders>
            <w:shd w:val="clear" w:color="auto" w:fill="D5D7D5" w:themeFill="text1" w:themeFillTint="33"/>
          </w:tcPr>
          <w:p w14:paraId="00572613"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7.0</w:t>
            </w:r>
            <w:r w:rsidRPr="00785E25">
              <w:rPr>
                <w:szCs w:val="17"/>
                <w:vertAlign w:val="superscript"/>
              </w:rPr>
              <w:t>b</w:t>
            </w:r>
          </w:p>
        </w:tc>
        <w:tc>
          <w:tcPr>
            <w:tcW w:w="296" w:type="pct"/>
            <w:tcBorders>
              <w:top w:val="single" w:sz="4" w:space="0" w:color="auto"/>
            </w:tcBorders>
          </w:tcPr>
          <w:p w14:paraId="2A5C4B78" w14:textId="77777777" w:rsidR="00CE1436" w:rsidRPr="00886278" w:rsidRDefault="00CE1436" w:rsidP="00444693">
            <w:pPr>
              <w:pStyle w:val="TableText"/>
              <w:widowControl w:val="0"/>
              <w:suppressAutoHyphens w:val="0"/>
              <w:spacing w:before="0" w:after="0" w:line="240" w:lineRule="auto"/>
              <w:jc w:val="center"/>
              <w:rPr>
                <w:szCs w:val="17"/>
              </w:rPr>
            </w:pPr>
            <w:r>
              <w:t>1120</w:t>
            </w:r>
          </w:p>
        </w:tc>
        <w:tc>
          <w:tcPr>
            <w:tcW w:w="312" w:type="pct"/>
            <w:tcBorders>
              <w:top w:val="single" w:sz="4" w:space="0" w:color="auto"/>
            </w:tcBorders>
          </w:tcPr>
          <w:p w14:paraId="31C806A6"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top w:val="single" w:sz="4" w:space="0" w:color="auto"/>
            </w:tcBorders>
          </w:tcPr>
          <w:p w14:paraId="61B3DE2D"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top w:val="single" w:sz="4" w:space="0" w:color="auto"/>
            </w:tcBorders>
          </w:tcPr>
          <w:p w14:paraId="4C5F5650"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Borders>
              <w:top w:val="single" w:sz="4" w:space="0" w:color="auto"/>
            </w:tcBorders>
          </w:tcPr>
          <w:p w14:paraId="007F1F78" w14:textId="77777777" w:rsidR="00CE1436" w:rsidRPr="00886278" w:rsidRDefault="00CE1436" w:rsidP="00444693">
            <w:pPr>
              <w:pStyle w:val="TableText"/>
              <w:widowControl w:val="0"/>
              <w:suppressAutoHyphens w:val="0"/>
              <w:spacing w:before="0" w:after="0" w:line="240" w:lineRule="auto"/>
              <w:jc w:val="center"/>
              <w:rPr>
                <w:szCs w:val="17"/>
              </w:rPr>
            </w:pPr>
            <w:r w:rsidRPr="00C42125">
              <w:t>2.1</w:t>
            </w:r>
          </w:p>
        </w:tc>
        <w:tc>
          <w:tcPr>
            <w:tcW w:w="312" w:type="pct"/>
            <w:tcBorders>
              <w:top w:val="single" w:sz="4" w:space="0" w:color="auto"/>
            </w:tcBorders>
          </w:tcPr>
          <w:p w14:paraId="27E7015B" w14:textId="77777777" w:rsidR="00CE1436" w:rsidRPr="00886278" w:rsidRDefault="00CE1436" w:rsidP="00444693">
            <w:pPr>
              <w:pStyle w:val="TableText"/>
              <w:widowControl w:val="0"/>
              <w:suppressAutoHyphens w:val="0"/>
              <w:spacing w:before="0" w:after="0" w:line="240" w:lineRule="auto"/>
              <w:jc w:val="center"/>
            </w:pPr>
            <w:r w:rsidRPr="00C42125">
              <w:t>2.7</w:t>
            </w:r>
          </w:p>
        </w:tc>
        <w:tc>
          <w:tcPr>
            <w:tcW w:w="312" w:type="pct"/>
            <w:tcBorders>
              <w:top w:val="single" w:sz="4" w:space="0" w:color="auto"/>
            </w:tcBorders>
          </w:tcPr>
          <w:p w14:paraId="642BD3D4" w14:textId="77777777" w:rsidR="00CE1436" w:rsidRPr="00B927D6" w:rsidRDefault="00CE1436" w:rsidP="00444693">
            <w:pPr>
              <w:pStyle w:val="TableText"/>
              <w:widowControl w:val="0"/>
              <w:suppressAutoHyphens w:val="0"/>
              <w:spacing w:before="0" w:after="0" w:line="240" w:lineRule="auto"/>
              <w:jc w:val="center"/>
              <w:rPr>
                <w:b/>
                <w:bCs/>
              </w:rPr>
            </w:pPr>
            <w:r w:rsidRPr="00C42125">
              <w:t>0.77</w:t>
            </w:r>
          </w:p>
        </w:tc>
        <w:tc>
          <w:tcPr>
            <w:tcW w:w="310" w:type="pct"/>
            <w:tcBorders>
              <w:top w:val="single" w:sz="4" w:space="0" w:color="auto"/>
            </w:tcBorders>
          </w:tcPr>
          <w:p w14:paraId="006A5435" w14:textId="77777777" w:rsidR="00CE1436" w:rsidRPr="00886278" w:rsidRDefault="00CE1436" w:rsidP="00444693">
            <w:pPr>
              <w:pStyle w:val="TableText"/>
              <w:widowControl w:val="0"/>
              <w:suppressAutoHyphens w:val="0"/>
              <w:spacing w:before="0" w:after="0" w:line="240" w:lineRule="auto"/>
              <w:jc w:val="center"/>
            </w:pPr>
            <w:r w:rsidRPr="00C42125">
              <w:t>1456</w:t>
            </w:r>
          </w:p>
        </w:tc>
      </w:tr>
      <w:tr w:rsidR="00CE1436" w:rsidRPr="00886278" w14:paraId="297AC648" w14:textId="77777777" w:rsidTr="00444693">
        <w:trPr>
          <w:cantSplit/>
          <w:trHeight w:val="13"/>
        </w:trPr>
        <w:tc>
          <w:tcPr>
            <w:tcW w:w="521" w:type="pct"/>
            <w:vMerge/>
          </w:tcPr>
          <w:p w14:paraId="01EABAD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50DF028"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2C2F2E8" w14:textId="77777777" w:rsidR="00CE1436" w:rsidRPr="00425098" w:rsidRDefault="00CE1436" w:rsidP="00444693">
            <w:pPr>
              <w:pStyle w:val="TableText"/>
              <w:widowControl w:val="0"/>
              <w:suppressAutoHyphens w:val="0"/>
              <w:spacing w:before="0" w:after="0" w:line="240" w:lineRule="auto"/>
            </w:pPr>
          </w:p>
        </w:tc>
        <w:tc>
          <w:tcPr>
            <w:tcW w:w="520" w:type="pct"/>
          </w:tcPr>
          <w:p w14:paraId="2BED823D"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51AA3916"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0A5CD7CD" w14:textId="77777777" w:rsidR="00CE1436" w:rsidRPr="00886278" w:rsidRDefault="00CE1436" w:rsidP="00444693">
            <w:pPr>
              <w:pStyle w:val="TableText"/>
              <w:widowControl w:val="0"/>
              <w:suppressAutoHyphens w:val="0"/>
              <w:spacing w:before="0" w:after="0" w:line="240" w:lineRule="auto"/>
              <w:jc w:val="center"/>
              <w:rPr>
                <w:szCs w:val="17"/>
              </w:rPr>
            </w:pPr>
            <w:r>
              <w:t>810</w:t>
            </w:r>
          </w:p>
        </w:tc>
        <w:tc>
          <w:tcPr>
            <w:tcW w:w="312" w:type="pct"/>
          </w:tcPr>
          <w:p w14:paraId="26CF8454"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02144E7B"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60136E7E"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6482BF40" w14:textId="77777777" w:rsidR="00CE1436" w:rsidRPr="00886278" w:rsidRDefault="00CE1436" w:rsidP="00444693">
            <w:pPr>
              <w:pStyle w:val="TableText"/>
              <w:widowControl w:val="0"/>
              <w:suppressAutoHyphens w:val="0"/>
              <w:spacing w:before="0" w:after="0" w:line="240" w:lineRule="auto"/>
              <w:jc w:val="center"/>
              <w:rPr>
                <w:szCs w:val="17"/>
              </w:rPr>
            </w:pPr>
            <w:r w:rsidRPr="00C42125">
              <w:t>1.5</w:t>
            </w:r>
          </w:p>
        </w:tc>
        <w:tc>
          <w:tcPr>
            <w:tcW w:w="312" w:type="pct"/>
          </w:tcPr>
          <w:p w14:paraId="06EFE52D"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3C37AA8B" w14:textId="77777777" w:rsidR="00CE1436" w:rsidRPr="00886278" w:rsidRDefault="00CE1436" w:rsidP="00444693">
            <w:pPr>
              <w:pStyle w:val="TableText"/>
              <w:widowControl w:val="0"/>
              <w:suppressAutoHyphens w:val="0"/>
              <w:spacing w:before="0" w:after="0" w:line="240" w:lineRule="auto"/>
              <w:jc w:val="center"/>
            </w:pPr>
            <w:r w:rsidRPr="00C42125">
              <w:t>0.56</w:t>
            </w:r>
          </w:p>
        </w:tc>
        <w:tc>
          <w:tcPr>
            <w:tcW w:w="310" w:type="pct"/>
          </w:tcPr>
          <w:p w14:paraId="3E965D01" w14:textId="77777777" w:rsidR="00CE1436" w:rsidRPr="00886278" w:rsidRDefault="00CE1436" w:rsidP="00444693">
            <w:pPr>
              <w:pStyle w:val="TableText"/>
              <w:widowControl w:val="0"/>
              <w:suppressAutoHyphens w:val="0"/>
              <w:spacing w:before="0" w:after="0" w:line="240" w:lineRule="auto"/>
              <w:jc w:val="center"/>
            </w:pPr>
            <w:r w:rsidRPr="00C42125">
              <w:t>1456</w:t>
            </w:r>
          </w:p>
        </w:tc>
      </w:tr>
      <w:tr w:rsidR="00CE1436" w:rsidRPr="0023247F" w14:paraId="09802C3F" w14:textId="77777777" w:rsidTr="00444693">
        <w:trPr>
          <w:cantSplit/>
          <w:trHeight w:val="13"/>
        </w:trPr>
        <w:tc>
          <w:tcPr>
            <w:tcW w:w="521" w:type="pct"/>
            <w:vMerge/>
          </w:tcPr>
          <w:p w14:paraId="6615869B"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2D9C8F7" w14:textId="77777777" w:rsidR="00CE1436" w:rsidRPr="00425098" w:rsidRDefault="00CE1436" w:rsidP="00444693">
            <w:pPr>
              <w:pStyle w:val="TableText"/>
              <w:widowControl w:val="0"/>
              <w:suppressAutoHyphens w:val="0"/>
              <w:spacing w:before="0" w:after="0" w:line="240" w:lineRule="auto"/>
            </w:pPr>
          </w:p>
        </w:tc>
        <w:tc>
          <w:tcPr>
            <w:tcW w:w="445" w:type="pct"/>
            <w:vMerge/>
          </w:tcPr>
          <w:p w14:paraId="57FF91B5" w14:textId="77777777" w:rsidR="00CE1436" w:rsidRPr="00425098" w:rsidRDefault="00CE1436" w:rsidP="00444693">
            <w:pPr>
              <w:pStyle w:val="TableText"/>
              <w:widowControl w:val="0"/>
              <w:suppressAutoHyphens w:val="0"/>
              <w:spacing w:before="0" w:after="0" w:line="240" w:lineRule="auto"/>
            </w:pPr>
          </w:p>
        </w:tc>
        <w:tc>
          <w:tcPr>
            <w:tcW w:w="520" w:type="pct"/>
          </w:tcPr>
          <w:p w14:paraId="0285AEC4"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5D8E38CB"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3425A84E" w14:textId="77777777" w:rsidR="00CE1436" w:rsidRDefault="00CE1436" w:rsidP="00444693">
            <w:pPr>
              <w:pStyle w:val="TableText"/>
              <w:widowControl w:val="0"/>
              <w:suppressAutoHyphens w:val="0"/>
              <w:spacing w:before="0" w:after="0" w:line="240" w:lineRule="auto"/>
              <w:jc w:val="center"/>
              <w:rPr>
                <w:szCs w:val="17"/>
              </w:rPr>
            </w:pPr>
            <w:r>
              <w:t>600</w:t>
            </w:r>
          </w:p>
        </w:tc>
        <w:tc>
          <w:tcPr>
            <w:tcW w:w="312" w:type="pct"/>
          </w:tcPr>
          <w:p w14:paraId="23B679AD"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A66A450"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EBA48F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0B8DCC2E" w14:textId="77777777" w:rsidR="00CE1436" w:rsidRPr="003203B5" w:rsidRDefault="00CE1436" w:rsidP="00444693">
            <w:pPr>
              <w:pStyle w:val="TableText"/>
              <w:widowControl w:val="0"/>
              <w:suppressAutoHyphens w:val="0"/>
              <w:spacing w:before="0" w:after="0" w:line="240" w:lineRule="auto"/>
              <w:jc w:val="center"/>
            </w:pPr>
            <w:r w:rsidRPr="00C42125">
              <w:t>1.1</w:t>
            </w:r>
          </w:p>
        </w:tc>
        <w:tc>
          <w:tcPr>
            <w:tcW w:w="312" w:type="pct"/>
          </w:tcPr>
          <w:p w14:paraId="59DEA6C6"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4DB0DE42" w14:textId="77777777" w:rsidR="00CE1436" w:rsidRPr="0023247F" w:rsidRDefault="00CE1436" w:rsidP="00444693">
            <w:pPr>
              <w:pStyle w:val="TableText"/>
              <w:widowControl w:val="0"/>
              <w:suppressAutoHyphens w:val="0"/>
              <w:spacing w:before="0" w:after="0" w:line="240" w:lineRule="auto"/>
              <w:jc w:val="center"/>
            </w:pPr>
            <w:r w:rsidRPr="00C42125">
              <w:t>0.41</w:t>
            </w:r>
          </w:p>
        </w:tc>
        <w:tc>
          <w:tcPr>
            <w:tcW w:w="310" w:type="pct"/>
          </w:tcPr>
          <w:p w14:paraId="154B6C23"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23247F" w14:paraId="34EF5CE0" w14:textId="77777777" w:rsidTr="00444693">
        <w:trPr>
          <w:cantSplit/>
          <w:trHeight w:val="13"/>
        </w:trPr>
        <w:tc>
          <w:tcPr>
            <w:tcW w:w="521" w:type="pct"/>
            <w:vMerge/>
          </w:tcPr>
          <w:p w14:paraId="152E22D7"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25FB3D31"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2674549" w14:textId="77777777" w:rsidR="00CE1436" w:rsidRPr="00425098" w:rsidRDefault="00CE1436" w:rsidP="00444693">
            <w:pPr>
              <w:pStyle w:val="TableText"/>
              <w:widowControl w:val="0"/>
              <w:suppressAutoHyphens w:val="0"/>
              <w:spacing w:before="0" w:after="0" w:line="240" w:lineRule="auto"/>
            </w:pPr>
          </w:p>
        </w:tc>
        <w:tc>
          <w:tcPr>
            <w:tcW w:w="520" w:type="pct"/>
          </w:tcPr>
          <w:p w14:paraId="3ED9DC1C"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46DDE8CD"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4A38D704" w14:textId="77777777" w:rsidR="00CE1436" w:rsidRDefault="00CE1436" w:rsidP="00444693">
            <w:pPr>
              <w:pStyle w:val="TableText"/>
              <w:widowControl w:val="0"/>
              <w:suppressAutoHyphens w:val="0"/>
              <w:spacing w:before="0" w:after="0" w:line="240" w:lineRule="auto"/>
              <w:jc w:val="center"/>
              <w:rPr>
                <w:szCs w:val="17"/>
              </w:rPr>
            </w:pPr>
            <w:r>
              <w:t>500</w:t>
            </w:r>
          </w:p>
        </w:tc>
        <w:tc>
          <w:tcPr>
            <w:tcW w:w="312" w:type="pct"/>
          </w:tcPr>
          <w:p w14:paraId="019D866E"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33AD280"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2AA363E"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66EFC146" w14:textId="77777777" w:rsidR="00CE1436" w:rsidRPr="003203B5" w:rsidRDefault="00CE1436" w:rsidP="00444693">
            <w:pPr>
              <w:pStyle w:val="TableText"/>
              <w:widowControl w:val="0"/>
              <w:suppressAutoHyphens w:val="0"/>
              <w:spacing w:before="0" w:after="0" w:line="240" w:lineRule="auto"/>
              <w:jc w:val="center"/>
            </w:pPr>
            <w:r w:rsidRPr="00C42125">
              <w:t>0.93</w:t>
            </w:r>
          </w:p>
        </w:tc>
        <w:tc>
          <w:tcPr>
            <w:tcW w:w="312" w:type="pct"/>
          </w:tcPr>
          <w:p w14:paraId="16D68D5F"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3FFA416A" w14:textId="77777777" w:rsidR="00CE1436" w:rsidRPr="0023247F" w:rsidRDefault="00CE1436" w:rsidP="00444693">
            <w:pPr>
              <w:pStyle w:val="TableText"/>
              <w:widowControl w:val="0"/>
              <w:suppressAutoHyphens w:val="0"/>
              <w:spacing w:before="0" w:after="0" w:line="240" w:lineRule="auto"/>
              <w:jc w:val="center"/>
            </w:pPr>
            <w:r w:rsidRPr="00C42125">
              <w:t>0.34</w:t>
            </w:r>
          </w:p>
        </w:tc>
        <w:tc>
          <w:tcPr>
            <w:tcW w:w="310" w:type="pct"/>
          </w:tcPr>
          <w:p w14:paraId="7EAC596B"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23247F" w14:paraId="6CCA3F7B" w14:textId="77777777" w:rsidTr="00444693">
        <w:trPr>
          <w:cantSplit/>
          <w:trHeight w:val="13"/>
        </w:trPr>
        <w:tc>
          <w:tcPr>
            <w:tcW w:w="521" w:type="pct"/>
            <w:vMerge/>
          </w:tcPr>
          <w:p w14:paraId="5DCAD2B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902B269" w14:textId="77777777" w:rsidR="00CE1436" w:rsidRPr="00425098" w:rsidRDefault="00CE1436" w:rsidP="00444693">
            <w:pPr>
              <w:pStyle w:val="TableText"/>
              <w:widowControl w:val="0"/>
              <w:suppressAutoHyphens w:val="0"/>
              <w:spacing w:before="0" w:after="0" w:line="240" w:lineRule="auto"/>
            </w:pPr>
          </w:p>
        </w:tc>
        <w:tc>
          <w:tcPr>
            <w:tcW w:w="445" w:type="pct"/>
            <w:vMerge/>
          </w:tcPr>
          <w:p w14:paraId="0783509F" w14:textId="77777777" w:rsidR="00CE1436" w:rsidRPr="00425098" w:rsidRDefault="00CE1436" w:rsidP="00444693">
            <w:pPr>
              <w:pStyle w:val="TableText"/>
              <w:widowControl w:val="0"/>
              <w:suppressAutoHyphens w:val="0"/>
              <w:spacing w:before="0" w:after="0" w:line="240" w:lineRule="auto"/>
            </w:pPr>
          </w:p>
        </w:tc>
        <w:tc>
          <w:tcPr>
            <w:tcW w:w="520" w:type="pct"/>
          </w:tcPr>
          <w:p w14:paraId="53B89B82"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6C32A975"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6E9BE889" w14:textId="77777777" w:rsidR="00CE1436" w:rsidRDefault="00CE1436" w:rsidP="00444693">
            <w:pPr>
              <w:pStyle w:val="TableText"/>
              <w:widowControl w:val="0"/>
              <w:suppressAutoHyphens w:val="0"/>
              <w:spacing w:before="0" w:after="0" w:line="240" w:lineRule="auto"/>
              <w:jc w:val="center"/>
              <w:rPr>
                <w:szCs w:val="17"/>
              </w:rPr>
            </w:pPr>
            <w:r>
              <w:t>448</w:t>
            </w:r>
          </w:p>
        </w:tc>
        <w:tc>
          <w:tcPr>
            <w:tcW w:w="312" w:type="pct"/>
          </w:tcPr>
          <w:p w14:paraId="6E34B37F"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6D7065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21B5DDF"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5EED103F" w14:textId="77777777" w:rsidR="00CE1436" w:rsidRPr="003203B5" w:rsidRDefault="00CE1436" w:rsidP="00444693">
            <w:pPr>
              <w:pStyle w:val="TableText"/>
              <w:widowControl w:val="0"/>
              <w:suppressAutoHyphens w:val="0"/>
              <w:spacing w:before="0" w:after="0" w:line="240" w:lineRule="auto"/>
              <w:jc w:val="center"/>
            </w:pPr>
            <w:r w:rsidRPr="00C42125">
              <w:t>0.83</w:t>
            </w:r>
          </w:p>
        </w:tc>
        <w:tc>
          <w:tcPr>
            <w:tcW w:w="312" w:type="pct"/>
          </w:tcPr>
          <w:p w14:paraId="479531BB"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41A19B8A" w14:textId="77777777" w:rsidR="00CE1436" w:rsidRPr="0023247F" w:rsidRDefault="00CE1436" w:rsidP="00444693">
            <w:pPr>
              <w:pStyle w:val="TableText"/>
              <w:widowControl w:val="0"/>
              <w:suppressAutoHyphens w:val="0"/>
              <w:spacing w:before="0" w:after="0" w:line="240" w:lineRule="auto"/>
              <w:jc w:val="center"/>
            </w:pPr>
            <w:r w:rsidRPr="00C42125">
              <w:t>0.31</w:t>
            </w:r>
          </w:p>
        </w:tc>
        <w:tc>
          <w:tcPr>
            <w:tcW w:w="310" w:type="pct"/>
          </w:tcPr>
          <w:p w14:paraId="6FD8D758"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23247F" w14:paraId="2FE88E3D" w14:textId="77777777" w:rsidTr="00444693">
        <w:trPr>
          <w:cantSplit/>
          <w:trHeight w:val="13"/>
        </w:trPr>
        <w:tc>
          <w:tcPr>
            <w:tcW w:w="521" w:type="pct"/>
            <w:vMerge/>
          </w:tcPr>
          <w:p w14:paraId="25F23CE8"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5917676C"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1E77D96" w14:textId="77777777" w:rsidR="00CE1436" w:rsidRPr="00425098" w:rsidRDefault="00CE1436" w:rsidP="00444693">
            <w:pPr>
              <w:pStyle w:val="TableText"/>
              <w:widowControl w:val="0"/>
              <w:suppressAutoHyphens w:val="0"/>
              <w:spacing w:before="0" w:after="0" w:line="240" w:lineRule="auto"/>
            </w:pPr>
          </w:p>
        </w:tc>
        <w:tc>
          <w:tcPr>
            <w:tcW w:w="520" w:type="pct"/>
          </w:tcPr>
          <w:p w14:paraId="58C9DE26"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535C3EFB"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14E90199" w14:textId="77777777" w:rsidR="00CE1436" w:rsidRDefault="00CE1436" w:rsidP="00444693">
            <w:pPr>
              <w:pStyle w:val="TableText"/>
              <w:widowControl w:val="0"/>
              <w:suppressAutoHyphens w:val="0"/>
              <w:spacing w:before="0" w:after="0" w:line="240" w:lineRule="auto"/>
              <w:jc w:val="center"/>
              <w:rPr>
                <w:szCs w:val="17"/>
              </w:rPr>
            </w:pPr>
            <w:r>
              <w:t>432</w:t>
            </w:r>
          </w:p>
        </w:tc>
        <w:tc>
          <w:tcPr>
            <w:tcW w:w="312" w:type="pct"/>
          </w:tcPr>
          <w:p w14:paraId="49EEF8F6"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FD1DFEA"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6187F91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386B9C2E" w14:textId="77777777" w:rsidR="00CE1436" w:rsidRPr="003203B5" w:rsidRDefault="00CE1436" w:rsidP="00444693">
            <w:pPr>
              <w:pStyle w:val="TableText"/>
              <w:widowControl w:val="0"/>
              <w:suppressAutoHyphens w:val="0"/>
              <w:spacing w:before="0" w:after="0" w:line="240" w:lineRule="auto"/>
              <w:jc w:val="center"/>
            </w:pPr>
            <w:r w:rsidRPr="00C42125">
              <w:t>0.80</w:t>
            </w:r>
          </w:p>
        </w:tc>
        <w:tc>
          <w:tcPr>
            <w:tcW w:w="312" w:type="pct"/>
          </w:tcPr>
          <w:p w14:paraId="13536CBA"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027ED126" w14:textId="77777777" w:rsidR="00CE1436" w:rsidRPr="0023247F" w:rsidRDefault="00CE1436" w:rsidP="00444693">
            <w:pPr>
              <w:pStyle w:val="TableText"/>
              <w:widowControl w:val="0"/>
              <w:suppressAutoHyphens w:val="0"/>
              <w:spacing w:before="0" w:after="0" w:line="240" w:lineRule="auto"/>
              <w:jc w:val="center"/>
            </w:pPr>
            <w:r w:rsidRPr="00C42125">
              <w:t>0.30</w:t>
            </w:r>
          </w:p>
        </w:tc>
        <w:tc>
          <w:tcPr>
            <w:tcW w:w="310" w:type="pct"/>
          </w:tcPr>
          <w:p w14:paraId="562A4D69"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23247F" w14:paraId="77BE6E01" w14:textId="77777777" w:rsidTr="00444693">
        <w:trPr>
          <w:cantSplit/>
          <w:trHeight w:val="13"/>
        </w:trPr>
        <w:tc>
          <w:tcPr>
            <w:tcW w:w="521" w:type="pct"/>
            <w:vMerge/>
          </w:tcPr>
          <w:p w14:paraId="07A5838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3B3321F" w14:textId="77777777" w:rsidR="00CE1436" w:rsidRPr="00425098" w:rsidRDefault="00CE1436" w:rsidP="00444693">
            <w:pPr>
              <w:pStyle w:val="TableText"/>
              <w:widowControl w:val="0"/>
              <w:suppressAutoHyphens w:val="0"/>
              <w:spacing w:before="0" w:after="0" w:line="240" w:lineRule="auto"/>
            </w:pPr>
          </w:p>
        </w:tc>
        <w:tc>
          <w:tcPr>
            <w:tcW w:w="445" w:type="pct"/>
            <w:vMerge/>
          </w:tcPr>
          <w:p w14:paraId="3C96C0EE" w14:textId="77777777" w:rsidR="00CE1436" w:rsidRPr="00425098" w:rsidRDefault="00CE1436" w:rsidP="00444693">
            <w:pPr>
              <w:pStyle w:val="TableText"/>
              <w:widowControl w:val="0"/>
              <w:suppressAutoHyphens w:val="0"/>
              <w:spacing w:before="0" w:after="0" w:line="240" w:lineRule="auto"/>
            </w:pPr>
          </w:p>
        </w:tc>
        <w:tc>
          <w:tcPr>
            <w:tcW w:w="520" w:type="pct"/>
          </w:tcPr>
          <w:p w14:paraId="7E743310"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4AD7ED64"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58BAE37A" w14:textId="77777777" w:rsidR="00CE1436" w:rsidRDefault="00CE1436" w:rsidP="00444693">
            <w:pPr>
              <w:pStyle w:val="TableText"/>
              <w:widowControl w:val="0"/>
              <w:suppressAutoHyphens w:val="0"/>
              <w:spacing w:before="0" w:after="0" w:line="240" w:lineRule="auto"/>
              <w:jc w:val="center"/>
              <w:rPr>
                <w:szCs w:val="17"/>
              </w:rPr>
            </w:pPr>
            <w:r>
              <w:t>425</w:t>
            </w:r>
          </w:p>
        </w:tc>
        <w:tc>
          <w:tcPr>
            <w:tcW w:w="312" w:type="pct"/>
          </w:tcPr>
          <w:p w14:paraId="14B5AA79"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18598DB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E9D9FCF"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4008A03E" w14:textId="77777777" w:rsidR="00CE1436" w:rsidRPr="003203B5" w:rsidRDefault="00CE1436" w:rsidP="00444693">
            <w:pPr>
              <w:pStyle w:val="TableText"/>
              <w:widowControl w:val="0"/>
              <w:suppressAutoHyphens w:val="0"/>
              <w:spacing w:before="0" w:after="0" w:line="240" w:lineRule="auto"/>
              <w:jc w:val="center"/>
            </w:pPr>
            <w:r w:rsidRPr="00C42125">
              <w:t>0.79</w:t>
            </w:r>
          </w:p>
        </w:tc>
        <w:tc>
          <w:tcPr>
            <w:tcW w:w="312" w:type="pct"/>
          </w:tcPr>
          <w:p w14:paraId="25F82E69"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3D193B5A" w14:textId="77777777" w:rsidR="00CE1436" w:rsidRPr="0023247F" w:rsidRDefault="00CE1436" w:rsidP="00444693">
            <w:pPr>
              <w:pStyle w:val="TableText"/>
              <w:widowControl w:val="0"/>
              <w:suppressAutoHyphens w:val="0"/>
              <w:spacing w:before="0" w:after="0" w:line="240" w:lineRule="auto"/>
              <w:jc w:val="center"/>
            </w:pPr>
            <w:r w:rsidRPr="00C42125">
              <w:t>0.29</w:t>
            </w:r>
          </w:p>
        </w:tc>
        <w:tc>
          <w:tcPr>
            <w:tcW w:w="310" w:type="pct"/>
          </w:tcPr>
          <w:p w14:paraId="0C06B0EF"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14:paraId="2B13396A" w14:textId="77777777" w:rsidTr="00444693">
        <w:trPr>
          <w:cantSplit/>
          <w:trHeight w:val="13"/>
        </w:trPr>
        <w:tc>
          <w:tcPr>
            <w:tcW w:w="521" w:type="pct"/>
            <w:vMerge/>
          </w:tcPr>
          <w:p w14:paraId="5F8F0A82"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0D92F7AB" w14:textId="77777777" w:rsidR="00CE1436" w:rsidRPr="00425098" w:rsidRDefault="00CE1436" w:rsidP="00444693">
            <w:pPr>
              <w:pStyle w:val="TableText"/>
              <w:widowControl w:val="0"/>
              <w:suppressAutoHyphens w:val="0"/>
              <w:spacing w:before="0" w:after="0" w:line="240" w:lineRule="auto"/>
            </w:pPr>
          </w:p>
        </w:tc>
        <w:tc>
          <w:tcPr>
            <w:tcW w:w="445" w:type="pct"/>
            <w:vMerge/>
          </w:tcPr>
          <w:p w14:paraId="5A3417D0" w14:textId="77777777" w:rsidR="00CE1436" w:rsidRPr="00425098" w:rsidRDefault="00CE1436" w:rsidP="00444693">
            <w:pPr>
              <w:pStyle w:val="TableText"/>
              <w:widowControl w:val="0"/>
              <w:suppressAutoHyphens w:val="0"/>
              <w:spacing w:before="0" w:after="0" w:line="240" w:lineRule="auto"/>
            </w:pPr>
          </w:p>
        </w:tc>
        <w:tc>
          <w:tcPr>
            <w:tcW w:w="520" w:type="pct"/>
          </w:tcPr>
          <w:p w14:paraId="1B826559"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7476D88D" w14:textId="77777777" w:rsidR="00CE1436" w:rsidRPr="00F43F67"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0E5E9588" w14:textId="77777777" w:rsidR="00CE1436" w:rsidRDefault="00CE1436" w:rsidP="00444693">
            <w:pPr>
              <w:pStyle w:val="TableText"/>
              <w:widowControl w:val="0"/>
              <w:suppressAutoHyphens w:val="0"/>
              <w:spacing w:before="0" w:after="0" w:line="240" w:lineRule="auto"/>
              <w:jc w:val="center"/>
            </w:pPr>
            <w:r>
              <w:t>420</w:t>
            </w:r>
          </w:p>
        </w:tc>
        <w:tc>
          <w:tcPr>
            <w:tcW w:w="312" w:type="pct"/>
          </w:tcPr>
          <w:p w14:paraId="5D9B4311"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868DA04"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59808213"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320AFCB4" w14:textId="77777777" w:rsidR="00CE1436" w:rsidRDefault="00CE1436" w:rsidP="00444693">
            <w:pPr>
              <w:pStyle w:val="TableText"/>
              <w:widowControl w:val="0"/>
              <w:suppressAutoHyphens w:val="0"/>
              <w:spacing w:before="0" w:after="0" w:line="240" w:lineRule="auto"/>
              <w:jc w:val="center"/>
              <w:rPr>
                <w:color w:val="1A1B1A"/>
                <w:szCs w:val="17"/>
              </w:rPr>
            </w:pPr>
            <w:r w:rsidRPr="00C42125">
              <w:t>0.78</w:t>
            </w:r>
          </w:p>
        </w:tc>
        <w:tc>
          <w:tcPr>
            <w:tcW w:w="312" w:type="pct"/>
          </w:tcPr>
          <w:p w14:paraId="6A8D4B26" w14:textId="77777777" w:rsidR="00CE1436" w:rsidRDefault="00CE1436" w:rsidP="00444693">
            <w:pPr>
              <w:pStyle w:val="TableText"/>
              <w:widowControl w:val="0"/>
              <w:suppressAutoHyphens w:val="0"/>
              <w:spacing w:before="0" w:after="0" w:line="240" w:lineRule="auto"/>
              <w:jc w:val="center"/>
              <w:rPr>
                <w:color w:val="1A1B1A"/>
                <w:szCs w:val="17"/>
              </w:rPr>
            </w:pPr>
            <w:r w:rsidRPr="00C42125">
              <w:t>2.7</w:t>
            </w:r>
          </w:p>
        </w:tc>
        <w:tc>
          <w:tcPr>
            <w:tcW w:w="312" w:type="pct"/>
          </w:tcPr>
          <w:p w14:paraId="4988CEC4" w14:textId="77777777" w:rsidR="00CE1436" w:rsidRDefault="00CE1436" w:rsidP="00444693">
            <w:pPr>
              <w:pStyle w:val="TableText"/>
              <w:widowControl w:val="0"/>
              <w:suppressAutoHyphens w:val="0"/>
              <w:spacing w:before="0" w:after="0" w:line="240" w:lineRule="auto"/>
              <w:jc w:val="center"/>
              <w:rPr>
                <w:color w:val="1A1B1A"/>
                <w:szCs w:val="17"/>
              </w:rPr>
            </w:pPr>
            <w:r w:rsidRPr="00C42125">
              <w:t>0.29</w:t>
            </w:r>
          </w:p>
        </w:tc>
        <w:tc>
          <w:tcPr>
            <w:tcW w:w="310" w:type="pct"/>
          </w:tcPr>
          <w:p w14:paraId="20710681" w14:textId="77777777" w:rsidR="00CE1436" w:rsidRDefault="00CE1436" w:rsidP="00444693">
            <w:pPr>
              <w:pStyle w:val="TableText"/>
              <w:widowControl w:val="0"/>
              <w:suppressAutoHyphens w:val="0"/>
              <w:spacing w:before="0" w:after="0" w:line="240" w:lineRule="auto"/>
              <w:jc w:val="center"/>
              <w:rPr>
                <w:color w:val="1A1B1A"/>
                <w:szCs w:val="17"/>
              </w:rPr>
            </w:pPr>
            <w:r w:rsidRPr="00C42125">
              <w:t>1456</w:t>
            </w:r>
          </w:p>
        </w:tc>
      </w:tr>
      <w:tr w:rsidR="00CE1436" w:rsidRPr="0023247F" w14:paraId="29DF21F6" w14:textId="77777777" w:rsidTr="00444693">
        <w:trPr>
          <w:cantSplit/>
          <w:trHeight w:val="13"/>
        </w:trPr>
        <w:tc>
          <w:tcPr>
            <w:tcW w:w="521" w:type="pct"/>
            <w:vMerge/>
          </w:tcPr>
          <w:p w14:paraId="1B8E53FA"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3E3867B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4EF1B9E" w14:textId="77777777" w:rsidR="00CE1436" w:rsidRPr="00425098" w:rsidRDefault="00CE1436" w:rsidP="00444693">
            <w:pPr>
              <w:pStyle w:val="TableText"/>
              <w:widowControl w:val="0"/>
              <w:suppressAutoHyphens w:val="0"/>
              <w:spacing w:before="0" w:after="0" w:line="240" w:lineRule="auto"/>
            </w:pPr>
          </w:p>
        </w:tc>
        <w:tc>
          <w:tcPr>
            <w:tcW w:w="520" w:type="pct"/>
          </w:tcPr>
          <w:p w14:paraId="34032ADB"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788FDEB5"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425FCD13" w14:textId="77777777" w:rsidR="00CE1436" w:rsidRDefault="00CE1436" w:rsidP="00444693">
            <w:pPr>
              <w:pStyle w:val="TableText"/>
              <w:widowControl w:val="0"/>
              <w:suppressAutoHyphens w:val="0"/>
              <w:spacing w:before="0" w:after="0" w:line="240" w:lineRule="auto"/>
              <w:jc w:val="center"/>
              <w:rPr>
                <w:szCs w:val="17"/>
              </w:rPr>
            </w:pPr>
            <w:r>
              <w:t>330</w:t>
            </w:r>
          </w:p>
        </w:tc>
        <w:tc>
          <w:tcPr>
            <w:tcW w:w="312" w:type="pct"/>
          </w:tcPr>
          <w:p w14:paraId="704B2D89"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F1EE69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F811895"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0698CAEC" w14:textId="77777777" w:rsidR="00CE1436" w:rsidRPr="003203B5" w:rsidRDefault="00CE1436" w:rsidP="00444693">
            <w:pPr>
              <w:pStyle w:val="TableText"/>
              <w:widowControl w:val="0"/>
              <w:suppressAutoHyphens w:val="0"/>
              <w:spacing w:before="0" w:after="0" w:line="240" w:lineRule="auto"/>
              <w:jc w:val="center"/>
            </w:pPr>
            <w:r w:rsidRPr="00C42125">
              <w:t>0.61</w:t>
            </w:r>
          </w:p>
        </w:tc>
        <w:tc>
          <w:tcPr>
            <w:tcW w:w="312" w:type="pct"/>
          </w:tcPr>
          <w:p w14:paraId="2EAD7B74"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5065E210" w14:textId="77777777" w:rsidR="00CE1436" w:rsidRPr="0023247F" w:rsidRDefault="00CE1436" w:rsidP="00444693">
            <w:pPr>
              <w:pStyle w:val="TableText"/>
              <w:widowControl w:val="0"/>
              <w:suppressAutoHyphens w:val="0"/>
              <w:spacing w:before="0" w:after="0" w:line="240" w:lineRule="auto"/>
              <w:jc w:val="center"/>
            </w:pPr>
            <w:r w:rsidRPr="00C42125">
              <w:t>0.23</w:t>
            </w:r>
          </w:p>
        </w:tc>
        <w:tc>
          <w:tcPr>
            <w:tcW w:w="310" w:type="pct"/>
          </w:tcPr>
          <w:p w14:paraId="6F9E603E"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23247F" w14:paraId="7228DEF3" w14:textId="77777777" w:rsidTr="00444693">
        <w:trPr>
          <w:cantSplit/>
          <w:trHeight w:val="13"/>
        </w:trPr>
        <w:tc>
          <w:tcPr>
            <w:tcW w:w="521" w:type="pct"/>
            <w:vMerge/>
          </w:tcPr>
          <w:p w14:paraId="7026A285"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1535C573" w14:textId="77777777" w:rsidR="00CE1436" w:rsidRPr="00425098" w:rsidRDefault="00CE1436" w:rsidP="00444693">
            <w:pPr>
              <w:pStyle w:val="TableText"/>
              <w:widowControl w:val="0"/>
              <w:suppressAutoHyphens w:val="0"/>
              <w:spacing w:before="0" w:after="0" w:line="240" w:lineRule="auto"/>
            </w:pPr>
          </w:p>
        </w:tc>
        <w:tc>
          <w:tcPr>
            <w:tcW w:w="445" w:type="pct"/>
            <w:vMerge/>
          </w:tcPr>
          <w:p w14:paraId="4AE48D71" w14:textId="77777777" w:rsidR="00CE1436" w:rsidRPr="00425098" w:rsidRDefault="00CE1436" w:rsidP="00444693">
            <w:pPr>
              <w:pStyle w:val="TableText"/>
              <w:widowControl w:val="0"/>
              <w:suppressAutoHyphens w:val="0"/>
              <w:spacing w:before="0" w:after="0" w:line="240" w:lineRule="auto"/>
            </w:pPr>
          </w:p>
        </w:tc>
        <w:tc>
          <w:tcPr>
            <w:tcW w:w="520" w:type="pct"/>
          </w:tcPr>
          <w:p w14:paraId="3D12F886"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1BD509AB"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56E0A88E"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03AF3BB6" w14:textId="77777777" w:rsidR="00CE1436" w:rsidRDefault="00CE1436" w:rsidP="00444693">
            <w:pPr>
              <w:pStyle w:val="TableText"/>
              <w:widowControl w:val="0"/>
              <w:suppressAutoHyphens w:val="0"/>
              <w:spacing w:before="0" w:after="0" w:line="240" w:lineRule="auto"/>
              <w:jc w:val="center"/>
              <w:rPr>
                <w:szCs w:val="17"/>
              </w:rPr>
            </w:pPr>
            <w:r>
              <w:rPr>
                <w:szCs w:val="17"/>
              </w:rPr>
              <w:t>1.4</w:t>
            </w:r>
          </w:p>
        </w:tc>
        <w:tc>
          <w:tcPr>
            <w:tcW w:w="312" w:type="pct"/>
          </w:tcPr>
          <w:p w14:paraId="74926CB6"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06179C7"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2689A448" w14:textId="77777777" w:rsidR="00CE1436" w:rsidRPr="003203B5" w:rsidRDefault="00CE1436" w:rsidP="00444693">
            <w:pPr>
              <w:pStyle w:val="TableText"/>
              <w:widowControl w:val="0"/>
              <w:suppressAutoHyphens w:val="0"/>
              <w:spacing w:before="0" w:after="0" w:line="240" w:lineRule="auto"/>
              <w:jc w:val="center"/>
            </w:pPr>
            <w:r w:rsidRPr="00C42125">
              <w:t>0.84</w:t>
            </w:r>
          </w:p>
        </w:tc>
        <w:tc>
          <w:tcPr>
            <w:tcW w:w="312" w:type="pct"/>
          </w:tcPr>
          <w:p w14:paraId="09702198"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2DC589FA" w14:textId="77777777" w:rsidR="00CE1436" w:rsidRPr="0023247F" w:rsidRDefault="00CE1436" w:rsidP="00444693">
            <w:pPr>
              <w:pStyle w:val="TableText"/>
              <w:widowControl w:val="0"/>
              <w:suppressAutoHyphens w:val="0"/>
              <w:spacing w:before="0" w:after="0" w:line="240" w:lineRule="auto"/>
              <w:jc w:val="center"/>
            </w:pPr>
            <w:r w:rsidRPr="00C42125">
              <w:t>0.31</w:t>
            </w:r>
          </w:p>
        </w:tc>
        <w:tc>
          <w:tcPr>
            <w:tcW w:w="310" w:type="pct"/>
          </w:tcPr>
          <w:p w14:paraId="0E4B19C9" w14:textId="77777777" w:rsidR="00CE1436" w:rsidRPr="0023247F" w:rsidRDefault="00CE1436" w:rsidP="00444693">
            <w:pPr>
              <w:pStyle w:val="TableText"/>
              <w:widowControl w:val="0"/>
              <w:suppressAutoHyphens w:val="0"/>
              <w:spacing w:before="0" w:after="0" w:line="240" w:lineRule="auto"/>
              <w:jc w:val="center"/>
            </w:pPr>
            <w:r w:rsidRPr="00C42125">
              <w:t>1040</w:t>
            </w:r>
          </w:p>
        </w:tc>
      </w:tr>
      <w:tr w:rsidR="00CE1436" w:rsidRPr="0023247F" w14:paraId="74FBBCCB" w14:textId="77777777" w:rsidTr="00444693">
        <w:trPr>
          <w:cantSplit/>
          <w:trHeight w:val="13"/>
        </w:trPr>
        <w:tc>
          <w:tcPr>
            <w:tcW w:w="521" w:type="pct"/>
            <w:vMerge/>
          </w:tcPr>
          <w:p w14:paraId="24FE138E"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240EB0E" w14:textId="77777777" w:rsidR="00CE1436" w:rsidRPr="00425098" w:rsidRDefault="00CE1436" w:rsidP="00444693">
            <w:pPr>
              <w:pStyle w:val="TableText"/>
              <w:widowControl w:val="0"/>
              <w:suppressAutoHyphens w:val="0"/>
              <w:spacing w:before="0" w:after="0" w:line="240" w:lineRule="auto"/>
            </w:pPr>
          </w:p>
        </w:tc>
        <w:tc>
          <w:tcPr>
            <w:tcW w:w="445" w:type="pct"/>
            <w:vMerge/>
          </w:tcPr>
          <w:p w14:paraId="4F8641F7" w14:textId="77777777" w:rsidR="00CE1436" w:rsidRPr="00425098" w:rsidRDefault="00CE1436" w:rsidP="00444693">
            <w:pPr>
              <w:pStyle w:val="TableText"/>
              <w:widowControl w:val="0"/>
              <w:suppressAutoHyphens w:val="0"/>
              <w:spacing w:before="0" w:after="0" w:line="240" w:lineRule="auto"/>
            </w:pPr>
          </w:p>
        </w:tc>
        <w:tc>
          <w:tcPr>
            <w:tcW w:w="520" w:type="pct"/>
          </w:tcPr>
          <w:p w14:paraId="6C9D7E50"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7103BE3E"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37A6420A" w14:textId="77777777" w:rsidR="00CE1436" w:rsidRDefault="00CE1436" w:rsidP="00444693">
            <w:pPr>
              <w:pStyle w:val="TableText"/>
              <w:widowControl w:val="0"/>
              <w:suppressAutoHyphens w:val="0"/>
              <w:spacing w:before="0" w:after="0" w:line="240" w:lineRule="auto"/>
              <w:jc w:val="center"/>
              <w:rPr>
                <w:szCs w:val="17"/>
              </w:rPr>
            </w:pPr>
            <w:r>
              <w:t>324</w:t>
            </w:r>
          </w:p>
        </w:tc>
        <w:tc>
          <w:tcPr>
            <w:tcW w:w="312" w:type="pct"/>
          </w:tcPr>
          <w:p w14:paraId="00405AAB"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3FE30E37"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04A52163"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4DFE86D1" w14:textId="77777777" w:rsidR="00CE1436" w:rsidRPr="003203B5" w:rsidRDefault="00CE1436" w:rsidP="00444693">
            <w:pPr>
              <w:pStyle w:val="TableText"/>
              <w:widowControl w:val="0"/>
              <w:suppressAutoHyphens w:val="0"/>
              <w:spacing w:before="0" w:after="0" w:line="240" w:lineRule="auto"/>
              <w:jc w:val="center"/>
            </w:pPr>
            <w:r w:rsidRPr="00C42125">
              <w:t>0.60</w:t>
            </w:r>
          </w:p>
        </w:tc>
        <w:tc>
          <w:tcPr>
            <w:tcW w:w="312" w:type="pct"/>
          </w:tcPr>
          <w:p w14:paraId="3886CE14"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269C9A0D" w14:textId="77777777" w:rsidR="00CE1436" w:rsidRPr="0023247F" w:rsidRDefault="00CE1436" w:rsidP="00444693">
            <w:pPr>
              <w:pStyle w:val="TableText"/>
              <w:widowControl w:val="0"/>
              <w:suppressAutoHyphens w:val="0"/>
              <w:spacing w:before="0" w:after="0" w:line="240" w:lineRule="auto"/>
              <w:jc w:val="center"/>
            </w:pPr>
            <w:r w:rsidRPr="00C42125">
              <w:t>0.22</w:t>
            </w:r>
          </w:p>
        </w:tc>
        <w:tc>
          <w:tcPr>
            <w:tcW w:w="310" w:type="pct"/>
          </w:tcPr>
          <w:p w14:paraId="60CEB4D2"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23247F" w14:paraId="135D0DC1" w14:textId="77777777" w:rsidTr="00444693">
        <w:trPr>
          <w:cantSplit/>
          <w:trHeight w:val="13"/>
        </w:trPr>
        <w:tc>
          <w:tcPr>
            <w:tcW w:w="521" w:type="pct"/>
            <w:vMerge/>
          </w:tcPr>
          <w:p w14:paraId="7886B62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306BA20" w14:textId="77777777" w:rsidR="00CE1436" w:rsidRPr="00425098" w:rsidRDefault="00CE1436" w:rsidP="00444693">
            <w:pPr>
              <w:pStyle w:val="TableText"/>
              <w:widowControl w:val="0"/>
              <w:suppressAutoHyphens w:val="0"/>
              <w:spacing w:before="0" w:after="0" w:line="240" w:lineRule="auto"/>
            </w:pPr>
          </w:p>
        </w:tc>
        <w:tc>
          <w:tcPr>
            <w:tcW w:w="445" w:type="pct"/>
            <w:vMerge/>
          </w:tcPr>
          <w:p w14:paraId="141F543D" w14:textId="77777777" w:rsidR="00CE1436" w:rsidRPr="00425098" w:rsidRDefault="00CE1436" w:rsidP="00444693">
            <w:pPr>
              <w:pStyle w:val="TableText"/>
              <w:widowControl w:val="0"/>
              <w:suppressAutoHyphens w:val="0"/>
              <w:spacing w:before="0" w:after="0" w:line="240" w:lineRule="auto"/>
            </w:pPr>
          </w:p>
        </w:tc>
        <w:tc>
          <w:tcPr>
            <w:tcW w:w="520" w:type="pct"/>
          </w:tcPr>
          <w:p w14:paraId="10EF703F"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4CB1CA52"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5BAB96C9" w14:textId="77777777" w:rsidR="00CE1436" w:rsidRDefault="00CE1436" w:rsidP="00444693">
            <w:pPr>
              <w:pStyle w:val="TableText"/>
              <w:widowControl w:val="0"/>
              <w:suppressAutoHyphens w:val="0"/>
              <w:spacing w:before="0" w:after="0" w:line="240" w:lineRule="auto"/>
              <w:jc w:val="center"/>
              <w:rPr>
                <w:szCs w:val="17"/>
              </w:rPr>
            </w:pPr>
            <w:r>
              <w:t>200</w:t>
            </w:r>
          </w:p>
        </w:tc>
        <w:tc>
          <w:tcPr>
            <w:tcW w:w="312" w:type="pct"/>
          </w:tcPr>
          <w:p w14:paraId="60C4858B" w14:textId="77777777" w:rsidR="00CE1436"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6E440E3E"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43E35E2E"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04A0D5B8" w14:textId="77777777" w:rsidR="00CE1436" w:rsidRPr="003203B5" w:rsidRDefault="00CE1436" w:rsidP="00444693">
            <w:pPr>
              <w:pStyle w:val="TableText"/>
              <w:widowControl w:val="0"/>
              <w:suppressAutoHyphens w:val="0"/>
              <w:spacing w:before="0" w:after="0" w:line="240" w:lineRule="auto"/>
              <w:jc w:val="center"/>
            </w:pPr>
            <w:r w:rsidRPr="00C42125">
              <w:t>0.37</w:t>
            </w:r>
          </w:p>
        </w:tc>
        <w:tc>
          <w:tcPr>
            <w:tcW w:w="312" w:type="pct"/>
          </w:tcPr>
          <w:p w14:paraId="2933A081"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3CA1323B" w14:textId="77777777" w:rsidR="00CE1436" w:rsidRPr="0023247F" w:rsidRDefault="00CE1436" w:rsidP="00444693">
            <w:pPr>
              <w:pStyle w:val="TableText"/>
              <w:widowControl w:val="0"/>
              <w:suppressAutoHyphens w:val="0"/>
              <w:spacing w:before="0" w:after="0" w:line="240" w:lineRule="auto"/>
              <w:jc w:val="center"/>
            </w:pPr>
            <w:r w:rsidRPr="00C42125">
              <w:t>0.14</w:t>
            </w:r>
          </w:p>
        </w:tc>
        <w:tc>
          <w:tcPr>
            <w:tcW w:w="310" w:type="pct"/>
          </w:tcPr>
          <w:p w14:paraId="0F10D236" w14:textId="77777777" w:rsidR="00CE1436" w:rsidRPr="0023247F" w:rsidRDefault="00CE1436" w:rsidP="00444693">
            <w:pPr>
              <w:pStyle w:val="TableText"/>
              <w:widowControl w:val="0"/>
              <w:suppressAutoHyphens w:val="0"/>
              <w:spacing w:before="0" w:after="0" w:line="240" w:lineRule="auto"/>
              <w:jc w:val="center"/>
            </w:pPr>
            <w:r w:rsidRPr="00C42125">
              <w:t>1456</w:t>
            </w:r>
          </w:p>
        </w:tc>
      </w:tr>
      <w:tr w:rsidR="00CE1436" w:rsidRPr="00886278" w14:paraId="692E708A" w14:textId="77777777" w:rsidTr="00444693">
        <w:trPr>
          <w:cantSplit/>
          <w:trHeight w:val="13"/>
        </w:trPr>
        <w:tc>
          <w:tcPr>
            <w:tcW w:w="521" w:type="pct"/>
            <w:vMerge/>
          </w:tcPr>
          <w:p w14:paraId="73E55810"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0704B6F"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F0AB146" w14:textId="77777777" w:rsidR="00CE1436" w:rsidRPr="00425098" w:rsidRDefault="00CE1436" w:rsidP="00444693">
            <w:pPr>
              <w:pStyle w:val="TableText"/>
              <w:widowControl w:val="0"/>
              <w:suppressAutoHyphens w:val="0"/>
              <w:spacing w:before="0" w:after="0" w:line="240" w:lineRule="auto"/>
            </w:pPr>
          </w:p>
        </w:tc>
        <w:tc>
          <w:tcPr>
            <w:tcW w:w="520" w:type="pct"/>
          </w:tcPr>
          <w:p w14:paraId="483F9D00"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4B76E948"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2BE058A8" w14:textId="77777777" w:rsidR="00CE1436" w:rsidRPr="00886278" w:rsidRDefault="00CE1436" w:rsidP="00444693">
            <w:pPr>
              <w:pStyle w:val="TableText"/>
              <w:widowControl w:val="0"/>
              <w:suppressAutoHyphens w:val="0"/>
              <w:spacing w:before="0" w:after="0" w:line="240" w:lineRule="auto"/>
              <w:jc w:val="center"/>
              <w:rPr>
                <w:szCs w:val="17"/>
              </w:rPr>
            </w:pPr>
            <w:r>
              <w:t>175</w:t>
            </w:r>
          </w:p>
        </w:tc>
        <w:tc>
          <w:tcPr>
            <w:tcW w:w="312" w:type="pct"/>
          </w:tcPr>
          <w:p w14:paraId="58B5F54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578F933C"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3A105AF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207E5401" w14:textId="77777777" w:rsidR="00CE1436" w:rsidRPr="00886278" w:rsidRDefault="00CE1436" w:rsidP="00444693">
            <w:pPr>
              <w:pStyle w:val="TableText"/>
              <w:widowControl w:val="0"/>
              <w:suppressAutoHyphens w:val="0"/>
              <w:spacing w:before="0" w:after="0" w:line="240" w:lineRule="auto"/>
              <w:jc w:val="center"/>
              <w:rPr>
                <w:szCs w:val="17"/>
              </w:rPr>
            </w:pPr>
            <w:r w:rsidRPr="00C42125">
              <w:t>0.32</w:t>
            </w:r>
          </w:p>
        </w:tc>
        <w:tc>
          <w:tcPr>
            <w:tcW w:w="312" w:type="pct"/>
          </w:tcPr>
          <w:p w14:paraId="29696C87"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4C75396E" w14:textId="77777777" w:rsidR="00CE1436" w:rsidRPr="00886278" w:rsidRDefault="00CE1436" w:rsidP="00444693">
            <w:pPr>
              <w:pStyle w:val="TableText"/>
              <w:widowControl w:val="0"/>
              <w:suppressAutoHyphens w:val="0"/>
              <w:spacing w:before="0" w:after="0" w:line="240" w:lineRule="auto"/>
              <w:jc w:val="center"/>
            </w:pPr>
            <w:r w:rsidRPr="00C42125">
              <w:t>0.12</w:t>
            </w:r>
          </w:p>
        </w:tc>
        <w:tc>
          <w:tcPr>
            <w:tcW w:w="310" w:type="pct"/>
          </w:tcPr>
          <w:p w14:paraId="48290841" w14:textId="77777777" w:rsidR="00CE1436" w:rsidRPr="00886278" w:rsidRDefault="00CE1436" w:rsidP="00444693">
            <w:pPr>
              <w:pStyle w:val="TableText"/>
              <w:widowControl w:val="0"/>
              <w:suppressAutoHyphens w:val="0"/>
              <w:spacing w:before="0" w:after="0" w:line="240" w:lineRule="auto"/>
              <w:jc w:val="center"/>
            </w:pPr>
            <w:r w:rsidRPr="00C42125">
              <w:t>1456</w:t>
            </w:r>
          </w:p>
        </w:tc>
      </w:tr>
      <w:tr w:rsidR="00CE1436" w:rsidRPr="00886278" w14:paraId="5CE09CC9" w14:textId="77777777" w:rsidTr="00444693">
        <w:trPr>
          <w:cantSplit/>
          <w:trHeight w:val="13"/>
        </w:trPr>
        <w:tc>
          <w:tcPr>
            <w:tcW w:w="521" w:type="pct"/>
            <w:vMerge/>
          </w:tcPr>
          <w:p w14:paraId="35A0508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623EF2B5" w14:textId="77777777" w:rsidR="00CE1436" w:rsidRPr="00425098" w:rsidRDefault="00CE1436" w:rsidP="00444693">
            <w:pPr>
              <w:pStyle w:val="TableText"/>
              <w:widowControl w:val="0"/>
              <w:suppressAutoHyphens w:val="0"/>
              <w:spacing w:before="0" w:after="0" w:line="240" w:lineRule="auto"/>
            </w:pPr>
          </w:p>
        </w:tc>
        <w:tc>
          <w:tcPr>
            <w:tcW w:w="445" w:type="pct"/>
            <w:vMerge/>
          </w:tcPr>
          <w:p w14:paraId="23F20084" w14:textId="77777777" w:rsidR="00CE1436" w:rsidRPr="00425098" w:rsidRDefault="00CE1436" w:rsidP="00444693">
            <w:pPr>
              <w:pStyle w:val="TableText"/>
              <w:widowControl w:val="0"/>
              <w:suppressAutoHyphens w:val="0"/>
              <w:spacing w:before="0" w:after="0" w:line="240" w:lineRule="auto"/>
            </w:pPr>
          </w:p>
        </w:tc>
        <w:tc>
          <w:tcPr>
            <w:tcW w:w="520" w:type="pct"/>
          </w:tcPr>
          <w:p w14:paraId="160A9DF9"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305B2104"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330E5BD6" w14:textId="77777777" w:rsidR="00CE1436" w:rsidRPr="00886278" w:rsidRDefault="00CE1436" w:rsidP="00444693">
            <w:pPr>
              <w:pStyle w:val="TableText"/>
              <w:widowControl w:val="0"/>
              <w:suppressAutoHyphens w:val="0"/>
              <w:spacing w:before="0" w:after="0" w:line="240" w:lineRule="auto"/>
              <w:jc w:val="center"/>
              <w:rPr>
                <w:szCs w:val="17"/>
              </w:rPr>
            </w:pPr>
            <w:r>
              <w:t>173</w:t>
            </w:r>
          </w:p>
        </w:tc>
        <w:tc>
          <w:tcPr>
            <w:tcW w:w="312" w:type="pct"/>
          </w:tcPr>
          <w:p w14:paraId="48E60239"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3AF02A9C"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2A9F7DB6"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43A67D31" w14:textId="77777777" w:rsidR="00CE1436" w:rsidRPr="00886278" w:rsidRDefault="00CE1436" w:rsidP="00444693">
            <w:pPr>
              <w:pStyle w:val="TableText"/>
              <w:widowControl w:val="0"/>
              <w:suppressAutoHyphens w:val="0"/>
              <w:spacing w:before="0" w:after="0" w:line="240" w:lineRule="auto"/>
              <w:jc w:val="center"/>
              <w:rPr>
                <w:szCs w:val="17"/>
              </w:rPr>
            </w:pPr>
            <w:r w:rsidRPr="00C42125">
              <w:t>0.32</w:t>
            </w:r>
          </w:p>
        </w:tc>
        <w:tc>
          <w:tcPr>
            <w:tcW w:w="312" w:type="pct"/>
          </w:tcPr>
          <w:p w14:paraId="651DA4FA"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3D4F0567" w14:textId="77777777" w:rsidR="00CE1436" w:rsidRPr="00886278" w:rsidRDefault="00CE1436" w:rsidP="00444693">
            <w:pPr>
              <w:pStyle w:val="TableText"/>
              <w:widowControl w:val="0"/>
              <w:suppressAutoHyphens w:val="0"/>
              <w:spacing w:before="0" w:after="0" w:line="240" w:lineRule="auto"/>
              <w:jc w:val="center"/>
            </w:pPr>
            <w:r w:rsidRPr="00C42125">
              <w:t>0.12</w:t>
            </w:r>
          </w:p>
        </w:tc>
        <w:tc>
          <w:tcPr>
            <w:tcW w:w="310" w:type="pct"/>
          </w:tcPr>
          <w:p w14:paraId="1B8F208E" w14:textId="77777777" w:rsidR="00CE1436" w:rsidRPr="00886278" w:rsidRDefault="00CE1436" w:rsidP="00444693">
            <w:pPr>
              <w:pStyle w:val="TableText"/>
              <w:widowControl w:val="0"/>
              <w:suppressAutoHyphens w:val="0"/>
              <w:spacing w:before="0" w:after="0" w:line="240" w:lineRule="auto"/>
              <w:jc w:val="center"/>
            </w:pPr>
            <w:r w:rsidRPr="00C42125">
              <w:t>1456</w:t>
            </w:r>
          </w:p>
        </w:tc>
      </w:tr>
      <w:tr w:rsidR="00CE1436" w14:paraId="6503C5D9" w14:textId="77777777" w:rsidTr="00444693">
        <w:trPr>
          <w:cantSplit/>
          <w:trHeight w:val="13"/>
        </w:trPr>
        <w:tc>
          <w:tcPr>
            <w:tcW w:w="521" w:type="pct"/>
            <w:vMerge/>
          </w:tcPr>
          <w:p w14:paraId="2FEBA383"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7DEC9FEB"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9BFF793" w14:textId="77777777" w:rsidR="00CE1436" w:rsidRPr="00425098" w:rsidRDefault="00CE1436" w:rsidP="00444693">
            <w:pPr>
              <w:pStyle w:val="TableText"/>
              <w:widowControl w:val="0"/>
              <w:suppressAutoHyphens w:val="0"/>
              <w:spacing w:before="0" w:after="0" w:line="240" w:lineRule="auto"/>
            </w:pPr>
          </w:p>
        </w:tc>
        <w:tc>
          <w:tcPr>
            <w:tcW w:w="520" w:type="pct"/>
          </w:tcPr>
          <w:p w14:paraId="5489B052"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413E259C"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0835BA20" w14:textId="77777777" w:rsidR="00CE1436" w:rsidRDefault="00CE1436" w:rsidP="00444693">
            <w:pPr>
              <w:pStyle w:val="TableText"/>
              <w:widowControl w:val="0"/>
              <w:suppressAutoHyphens w:val="0"/>
              <w:spacing w:before="0" w:after="0" w:line="240" w:lineRule="auto"/>
              <w:jc w:val="center"/>
            </w:pPr>
            <w:r>
              <w:t>170</w:t>
            </w:r>
          </w:p>
        </w:tc>
        <w:tc>
          <w:tcPr>
            <w:tcW w:w="312" w:type="pct"/>
          </w:tcPr>
          <w:p w14:paraId="1032190C"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6CF7966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715204B2"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728B16AC" w14:textId="77777777" w:rsidR="00CE1436" w:rsidRDefault="00CE1436" w:rsidP="00444693">
            <w:pPr>
              <w:pStyle w:val="TableText"/>
              <w:widowControl w:val="0"/>
              <w:suppressAutoHyphens w:val="0"/>
              <w:spacing w:before="0" w:after="0" w:line="240" w:lineRule="auto"/>
              <w:jc w:val="center"/>
              <w:rPr>
                <w:color w:val="1A1B1A"/>
                <w:szCs w:val="17"/>
              </w:rPr>
            </w:pPr>
            <w:r w:rsidRPr="00C42125">
              <w:t>0.32</w:t>
            </w:r>
          </w:p>
        </w:tc>
        <w:tc>
          <w:tcPr>
            <w:tcW w:w="312" w:type="pct"/>
          </w:tcPr>
          <w:p w14:paraId="5CF1C7FB" w14:textId="77777777" w:rsidR="00CE1436" w:rsidRDefault="00CE1436" w:rsidP="00444693">
            <w:pPr>
              <w:pStyle w:val="TableText"/>
              <w:widowControl w:val="0"/>
              <w:suppressAutoHyphens w:val="0"/>
              <w:spacing w:before="0" w:after="0" w:line="240" w:lineRule="auto"/>
              <w:jc w:val="center"/>
              <w:rPr>
                <w:color w:val="1A1B1A"/>
                <w:szCs w:val="17"/>
              </w:rPr>
            </w:pPr>
            <w:r w:rsidRPr="00C42125">
              <w:t>2.7</w:t>
            </w:r>
          </w:p>
        </w:tc>
        <w:tc>
          <w:tcPr>
            <w:tcW w:w="312" w:type="pct"/>
          </w:tcPr>
          <w:p w14:paraId="4291DFFE" w14:textId="77777777" w:rsidR="00CE1436" w:rsidRDefault="00CE1436" w:rsidP="00444693">
            <w:pPr>
              <w:pStyle w:val="TableText"/>
              <w:widowControl w:val="0"/>
              <w:suppressAutoHyphens w:val="0"/>
              <w:spacing w:before="0" w:after="0" w:line="240" w:lineRule="auto"/>
              <w:jc w:val="center"/>
              <w:rPr>
                <w:color w:val="1A1B1A"/>
                <w:szCs w:val="17"/>
              </w:rPr>
            </w:pPr>
            <w:r w:rsidRPr="00C42125">
              <w:t>0.12</w:t>
            </w:r>
          </w:p>
        </w:tc>
        <w:tc>
          <w:tcPr>
            <w:tcW w:w="310" w:type="pct"/>
          </w:tcPr>
          <w:p w14:paraId="714AFE1E" w14:textId="77777777" w:rsidR="00CE1436" w:rsidRDefault="00CE1436" w:rsidP="00444693">
            <w:pPr>
              <w:pStyle w:val="TableText"/>
              <w:widowControl w:val="0"/>
              <w:suppressAutoHyphens w:val="0"/>
              <w:spacing w:before="0" w:after="0" w:line="240" w:lineRule="auto"/>
              <w:jc w:val="center"/>
              <w:rPr>
                <w:color w:val="1A1B1A"/>
                <w:szCs w:val="17"/>
              </w:rPr>
            </w:pPr>
            <w:r w:rsidRPr="00C42125">
              <w:t>1456</w:t>
            </w:r>
          </w:p>
        </w:tc>
      </w:tr>
      <w:tr w:rsidR="00CE1436" w:rsidRPr="00886278" w14:paraId="175E9683" w14:textId="77777777" w:rsidTr="00444693">
        <w:trPr>
          <w:cantSplit/>
          <w:trHeight w:val="13"/>
        </w:trPr>
        <w:tc>
          <w:tcPr>
            <w:tcW w:w="521" w:type="pct"/>
            <w:vMerge/>
          </w:tcPr>
          <w:p w14:paraId="5CCA06E6"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Pr>
          <w:p w14:paraId="4D778311" w14:textId="77777777" w:rsidR="00CE1436" w:rsidRPr="00425098" w:rsidRDefault="00CE1436" w:rsidP="00444693">
            <w:pPr>
              <w:pStyle w:val="TableText"/>
              <w:widowControl w:val="0"/>
              <w:suppressAutoHyphens w:val="0"/>
              <w:spacing w:before="0" w:after="0" w:line="240" w:lineRule="auto"/>
            </w:pPr>
          </w:p>
        </w:tc>
        <w:tc>
          <w:tcPr>
            <w:tcW w:w="445" w:type="pct"/>
            <w:vMerge/>
          </w:tcPr>
          <w:p w14:paraId="7CEBF106" w14:textId="77777777" w:rsidR="00CE1436" w:rsidRPr="00425098" w:rsidRDefault="00CE1436" w:rsidP="00444693">
            <w:pPr>
              <w:pStyle w:val="TableText"/>
              <w:widowControl w:val="0"/>
              <w:suppressAutoHyphens w:val="0"/>
              <w:spacing w:before="0" w:after="0" w:line="240" w:lineRule="auto"/>
            </w:pPr>
          </w:p>
        </w:tc>
        <w:tc>
          <w:tcPr>
            <w:tcW w:w="520" w:type="pct"/>
          </w:tcPr>
          <w:p w14:paraId="028A68D2" w14:textId="77777777" w:rsidR="00CE1436" w:rsidRDefault="00CE1436" w:rsidP="00444693">
            <w:pPr>
              <w:pStyle w:val="TableText"/>
              <w:widowControl w:val="0"/>
              <w:suppressAutoHyphens w:val="0"/>
              <w:spacing w:before="0" w:after="0" w:line="240" w:lineRule="auto"/>
              <w:jc w:val="center"/>
              <w:rPr>
                <w:szCs w:val="17"/>
              </w:rPr>
            </w:pPr>
          </w:p>
        </w:tc>
        <w:tc>
          <w:tcPr>
            <w:tcW w:w="446" w:type="pct"/>
            <w:shd w:val="clear" w:color="auto" w:fill="D5D7D5" w:themeFill="text1" w:themeFillTint="33"/>
          </w:tcPr>
          <w:p w14:paraId="12E3FAA9"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Pr>
          <w:p w14:paraId="4F13EBFB" w14:textId="77777777" w:rsidR="00CE1436" w:rsidRPr="00886278" w:rsidRDefault="00CE1436" w:rsidP="00444693">
            <w:pPr>
              <w:pStyle w:val="TableText"/>
              <w:widowControl w:val="0"/>
              <w:suppressAutoHyphens w:val="0"/>
              <w:spacing w:before="0" w:after="0" w:line="240" w:lineRule="auto"/>
              <w:jc w:val="center"/>
              <w:rPr>
                <w:szCs w:val="17"/>
              </w:rPr>
            </w:pPr>
            <w:r>
              <w:t>168</w:t>
            </w:r>
          </w:p>
        </w:tc>
        <w:tc>
          <w:tcPr>
            <w:tcW w:w="312" w:type="pct"/>
          </w:tcPr>
          <w:p w14:paraId="4A50CAB5"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Pr>
          <w:p w14:paraId="187D6962"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Pr>
          <w:p w14:paraId="1E409019"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Pr>
          <w:p w14:paraId="2DE4CB1A" w14:textId="77777777" w:rsidR="00CE1436" w:rsidRPr="00886278" w:rsidRDefault="00CE1436" w:rsidP="00444693">
            <w:pPr>
              <w:pStyle w:val="TableText"/>
              <w:widowControl w:val="0"/>
              <w:suppressAutoHyphens w:val="0"/>
              <w:spacing w:before="0" w:after="0" w:line="240" w:lineRule="auto"/>
              <w:jc w:val="center"/>
              <w:rPr>
                <w:szCs w:val="17"/>
              </w:rPr>
            </w:pPr>
            <w:r w:rsidRPr="00C42125">
              <w:t>0.31</w:t>
            </w:r>
          </w:p>
        </w:tc>
        <w:tc>
          <w:tcPr>
            <w:tcW w:w="312" w:type="pct"/>
          </w:tcPr>
          <w:p w14:paraId="3D506AE1"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Pr>
          <w:p w14:paraId="512109B0" w14:textId="77777777" w:rsidR="00CE1436" w:rsidRPr="00886278" w:rsidRDefault="00CE1436" w:rsidP="00444693">
            <w:pPr>
              <w:pStyle w:val="TableText"/>
              <w:widowControl w:val="0"/>
              <w:suppressAutoHyphens w:val="0"/>
              <w:spacing w:before="0" w:after="0" w:line="240" w:lineRule="auto"/>
              <w:jc w:val="center"/>
            </w:pPr>
            <w:r w:rsidRPr="00C42125">
              <w:t>0.12</w:t>
            </w:r>
          </w:p>
        </w:tc>
        <w:tc>
          <w:tcPr>
            <w:tcW w:w="310" w:type="pct"/>
          </w:tcPr>
          <w:p w14:paraId="7B7D7781" w14:textId="77777777" w:rsidR="00CE1436" w:rsidRPr="00886278" w:rsidRDefault="00CE1436" w:rsidP="00444693">
            <w:pPr>
              <w:pStyle w:val="TableText"/>
              <w:widowControl w:val="0"/>
              <w:suppressAutoHyphens w:val="0"/>
              <w:spacing w:before="0" w:after="0" w:line="240" w:lineRule="auto"/>
              <w:jc w:val="center"/>
            </w:pPr>
            <w:r w:rsidRPr="00C42125">
              <w:t>1456</w:t>
            </w:r>
          </w:p>
        </w:tc>
      </w:tr>
      <w:tr w:rsidR="00CE1436" w:rsidRPr="00886278" w14:paraId="2A8FFCFD" w14:textId="77777777" w:rsidTr="00444693">
        <w:trPr>
          <w:cantSplit/>
          <w:trHeight w:val="13"/>
        </w:trPr>
        <w:tc>
          <w:tcPr>
            <w:tcW w:w="521" w:type="pct"/>
            <w:vMerge/>
            <w:tcBorders>
              <w:bottom w:val="single" w:sz="4" w:space="0" w:color="auto"/>
            </w:tcBorders>
          </w:tcPr>
          <w:p w14:paraId="22C0E2CD" w14:textId="77777777" w:rsidR="00CE1436" w:rsidRPr="00886278"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5CC9A9B0" w14:textId="77777777" w:rsidR="00CE1436" w:rsidRPr="00425098" w:rsidRDefault="00CE1436" w:rsidP="00444693">
            <w:pPr>
              <w:pStyle w:val="TableText"/>
              <w:widowControl w:val="0"/>
              <w:suppressAutoHyphens w:val="0"/>
              <w:spacing w:before="0" w:after="0" w:line="240" w:lineRule="auto"/>
            </w:pPr>
          </w:p>
        </w:tc>
        <w:tc>
          <w:tcPr>
            <w:tcW w:w="445" w:type="pct"/>
            <w:vMerge/>
            <w:tcBorders>
              <w:bottom w:val="single" w:sz="4" w:space="0" w:color="auto"/>
            </w:tcBorders>
          </w:tcPr>
          <w:p w14:paraId="3F7FAF43" w14:textId="77777777" w:rsidR="00CE1436" w:rsidRPr="00425098" w:rsidRDefault="00CE1436" w:rsidP="00444693">
            <w:pPr>
              <w:pStyle w:val="TableText"/>
              <w:widowControl w:val="0"/>
              <w:suppressAutoHyphens w:val="0"/>
              <w:spacing w:before="0" w:after="0" w:line="240" w:lineRule="auto"/>
            </w:pPr>
          </w:p>
        </w:tc>
        <w:tc>
          <w:tcPr>
            <w:tcW w:w="520" w:type="pct"/>
            <w:tcBorders>
              <w:bottom w:val="single" w:sz="4" w:space="0" w:color="auto"/>
            </w:tcBorders>
          </w:tcPr>
          <w:p w14:paraId="20736D84" w14:textId="77777777" w:rsidR="00CE1436"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shd w:val="clear" w:color="auto" w:fill="D5D7D5" w:themeFill="text1" w:themeFillTint="33"/>
          </w:tcPr>
          <w:p w14:paraId="073D2212" w14:textId="77777777" w:rsidR="00CE1436" w:rsidRDefault="00CE1436" w:rsidP="00444693">
            <w:pPr>
              <w:pStyle w:val="TableText"/>
              <w:widowControl w:val="0"/>
              <w:suppressAutoHyphens w:val="0"/>
              <w:spacing w:before="0" w:after="0" w:line="240" w:lineRule="auto"/>
              <w:jc w:val="center"/>
              <w:rPr>
                <w:szCs w:val="17"/>
              </w:rPr>
            </w:pPr>
            <w:r w:rsidRPr="00AA1BC5">
              <w:rPr>
                <w:szCs w:val="17"/>
              </w:rPr>
              <w:t>7.0</w:t>
            </w:r>
            <w:r w:rsidRPr="00AA1BC5">
              <w:rPr>
                <w:szCs w:val="17"/>
                <w:vertAlign w:val="superscript"/>
              </w:rPr>
              <w:t>b</w:t>
            </w:r>
          </w:p>
        </w:tc>
        <w:tc>
          <w:tcPr>
            <w:tcW w:w="296" w:type="pct"/>
            <w:tcBorders>
              <w:bottom w:val="single" w:sz="4" w:space="0" w:color="auto"/>
            </w:tcBorders>
          </w:tcPr>
          <w:p w14:paraId="4F50BA18" w14:textId="77777777" w:rsidR="00CE1436" w:rsidRPr="00886278" w:rsidRDefault="00CE1436" w:rsidP="00444693">
            <w:pPr>
              <w:pStyle w:val="TableText"/>
              <w:widowControl w:val="0"/>
              <w:suppressAutoHyphens w:val="0"/>
              <w:spacing w:before="0" w:after="0" w:line="240" w:lineRule="auto"/>
              <w:jc w:val="center"/>
              <w:rPr>
                <w:szCs w:val="17"/>
              </w:rPr>
            </w:pPr>
            <w:r>
              <w:t>130</w:t>
            </w:r>
          </w:p>
        </w:tc>
        <w:tc>
          <w:tcPr>
            <w:tcW w:w="312" w:type="pct"/>
            <w:tcBorders>
              <w:bottom w:val="single" w:sz="4" w:space="0" w:color="auto"/>
            </w:tcBorders>
          </w:tcPr>
          <w:p w14:paraId="67001557" w14:textId="77777777" w:rsidR="00CE1436" w:rsidRDefault="00CE1436" w:rsidP="00444693">
            <w:pPr>
              <w:pStyle w:val="TableText"/>
              <w:widowControl w:val="0"/>
              <w:suppressAutoHyphens w:val="0"/>
              <w:spacing w:before="0" w:after="0" w:line="240" w:lineRule="auto"/>
              <w:jc w:val="center"/>
              <w:rPr>
                <w:szCs w:val="17"/>
              </w:rPr>
            </w:pPr>
            <w:r>
              <w:rPr>
                <w:szCs w:val="17"/>
              </w:rPr>
              <w:t>1.0</w:t>
            </w:r>
          </w:p>
        </w:tc>
        <w:tc>
          <w:tcPr>
            <w:tcW w:w="312" w:type="pct"/>
            <w:tcBorders>
              <w:bottom w:val="single" w:sz="4" w:space="0" w:color="auto"/>
            </w:tcBorders>
          </w:tcPr>
          <w:p w14:paraId="093F96A8" w14:textId="77777777" w:rsidR="00CE1436" w:rsidRDefault="00CE1436" w:rsidP="00444693">
            <w:pPr>
              <w:pStyle w:val="TableText"/>
              <w:widowControl w:val="0"/>
              <w:suppressAutoHyphens w:val="0"/>
              <w:spacing w:before="0" w:after="0" w:line="240" w:lineRule="auto"/>
              <w:jc w:val="center"/>
              <w:rPr>
                <w:szCs w:val="17"/>
              </w:rPr>
            </w:pPr>
            <w:r>
              <w:rPr>
                <w:szCs w:val="17"/>
              </w:rPr>
              <w:t>0.5</w:t>
            </w:r>
          </w:p>
        </w:tc>
        <w:tc>
          <w:tcPr>
            <w:tcW w:w="312" w:type="pct"/>
            <w:tcBorders>
              <w:bottom w:val="single" w:sz="4" w:space="0" w:color="auto"/>
            </w:tcBorders>
          </w:tcPr>
          <w:p w14:paraId="67835BA8" w14:textId="77777777" w:rsidR="00CE1436" w:rsidRDefault="00CE1436" w:rsidP="00444693">
            <w:pPr>
              <w:pStyle w:val="TableText"/>
              <w:widowControl w:val="0"/>
              <w:suppressAutoHyphens w:val="0"/>
              <w:spacing w:before="0" w:after="0" w:line="240" w:lineRule="auto"/>
              <w:jc w:val="center"/>
              <w:rPr>
                <w:szCs w:val="17"/>
              </w:rPr>
            </w:pPr>
            <w:r>
              <w:rPr>
                <w:szCs w:val="17"/>
              </w:rPr>
              <w:t>0.53</w:t>
            </w:r>
          </w:p>
        </w:tc>
        <w:tc>
          <w:tcPr>
            <w:tcW w:w="312" w:type="pct"/>
            <w:tcBorders>
              <w:bottom w:val="single" w:sz="4" w:space="0" w:color="auto"/>
            </w:tcBorders>
          </w:tcPr>
          <w:p w14:paraId="356037D0" w14:textId="77777777" w:rsidR="00CE1436" w:rsidRPr="00886278" w:rsidRDefault="00CE1436" w:rsidP="00444693">
            <w:pPr>
              <w:pStyle w:val="TableText"/>
              <w:widowControl w:val="0"/>
              <w:suppressAutoHyphens w:val="0"/>
              <w:spacing w:before="0" w:after="0" w:line="240" w:lineRule="auto"/>
              <w:jc w:val="center"/>
              <w:rPr>
                <w:szCs w:val="17"/>
              </w:rPr>
            </w:pPr>
            <w:r w:rsidRPr="00C42125">
              <w:t>0.24</w:t>
            </w:r>
          </w:p>
        </w:tc>
        <w:tc>
          <w:tcPr>
            <w:tcW w:w="312" w:type="pct"/>
            <w:tcBorders>
              <w:bottom w:val="single" w:sz="4" w:space="0" w:color="auto"/>
            </w:tcBorders>
          </w:tcPr>
          <w:p w14:paraId="474A0319" w14:textId="77777777" w:rsidR="00CE1436" w:rsidRDefault="00CE1436" w:rsidP="00444693">
            <w:pPr>
              <w:pStyle w:val="TableText"/>
              <w:widowControl w:val="0"/>
              <w:suppressAutoHyphens w:val="0"/>
              <w:spacing w:before="0" w:after="0" w:line="240" w:lineRule="auto"/>
              <w:jc w:val="center"/>
            </w:pPr>
            <w:r w:rsidRPr="00C42125">
              <w:t>2.7</w:t>
            </w:r>
          </w:p>
        </w:tc>
        <w:tc>
          <w:tcPr>
            <w:tcW w:w="312" w:type="pct"/>
            <w:tcBorders>
              <w:bottom w:val="single" w:sz="4" w:space="0" w:color="auto"/>
            </w:tcBorders>
          </w:tcPr>
          <w:p w14:paraId="7D65BC6E" w14:textId="77777777" w:rsidR="00CE1436" w:rsidRPr="00886278" w:rsidRDefault="00CE1436" w:rsidP="00444693">
            <w:pPr>
              <w:pStyle w:val="TableText"/>
              <w:widowControl w:val="0"/>
              <w:suppressAutoHyphens w:val="0"/>
              <w:spacing w:before="0" w:after="0" w:line="240" w:lineRule="auto"/>
              <w:jc w:val="center"/>
            </w:pPr>
            <w:r w:rsidRPr="00C42125">
              <w:t>0.09</w:t>
            </w:r>
          </w:p>
        </w:tc>
        <w:tc>
          <w:tcPr>
            <w:tcW w:w="310" w:type="pct"/>
            <w:tcBorders>
              <w:bottom w:val="single" w:sz="4" w:space="0" w:color="auto"/>
            </w:tcBorders>
          </w:tcPr>
          <w:p w14:paraId="42FACCCF" w14:textId="77777777" w:rsidR="00CE1436" w:rsidRPr="00886278" w:rsidRDefault="00CE1436" w:rsidP="00444693">
            <w:pPr>
              <w:pStyle w:val="TableText"/>
              <w:widowControl w:val="0"/>
              <w:suppressAutoHyphens w:val="0"/>
              <w:spacing w:before="0" w:after="0" w:line="240" w:lineRule="auto"/>
              <w:jc w:val="center"/>
            </w:pPr>
            <w:r w:rsidRPr="00C42125">
              <w:t>1456</w:t>
            </w:r>
          </w:p>
        </w:tc>
      </w:tr>
      <w:tr w:rsidR="00CE1436" w:rsidRPr="0023247F" w14:paraId="3ED3CAE2" w14:textId="77777777" w:rsidTr="00444693">
        <w:trPr>
          <w:cantSplit/>
          <w:trHeight w:val="13"/>
        </w:trPr>
        <w:tc>
          <w:tcPr>
            <w:tcW w:w="5000" w:type="pct"/>
            <w:gridSpan w:val="13"/>
            <w:tcBorders>
              <w:top w:val="single" w:sz="4" w:space="0" w:color="auto"/>
              <w:bottom w:val="single" w:sz="4" w:space="0" w:color="auto"/>
            </w:tcBorders>
          </w:tcPr>
          <w:p w14:paraId="70E93CF1" w14:textId="77777777" w:rsidR="00CE1436" w:rsidRPr="0023247F" w:rsidRDefault="00CE1436" w:rsidP="00AC06D7">
            <w:pPr>
              <w:pStyle w:val="TableSubHead0"/>
            </w:pPr>
            <w:r w:rsidRPr="001B1B9E">
              <w:t>General weed control in potatoes (pre-harvest)</w:t>
            </w:r>
          </w:p>
        </w:tc>
      </w:tr>
      <w:tr w:rsidR="00CE1436" w:rsidRPr="00886278" w14:paraId="36FAF43A" w14:textId="77777777" w:rsidTr="00444693">
        <w:trPr>
          <w:cantSplit/>
          <w:trHeight w:val="13"/>
        </w:trPr>
        <w:tc>
          <w:tcPr>
            <w:tcW w:w="521" w:type="pct"/>
            <w:vMerge w:val="restart"/>
            <w:tcBorders>
              <w:top w:val="single" w:sz="4" w:space="0" w:color="auto"/>
            </w:tcBorders>
          </w:tcPr>
          <w:p w14:paraId="5E1B1824" w14:textId="77777777" w:rsidR="00CE1436" w:rsidRPr="00886278" w:rsidRDefault="00CE1436" w:rsidP="00444693">
            <w:pPr>
              <w:pStyle w:val="TableText"/>
              <w:widowControl w:val="0"/>
              <w:suppressAutoHyphens w:val="0"/>
              <w:spacing w:before="0" w:after="0" w:line="240" w:lineRule="auto"/>
              <w:rPr>
                <w:szCs w:val="17"/>
              </w:rPr>
            </w:pPr>
            <w:r>
              <w:rPr>
                <w:szCs w:val="17"/>
              </w:rPr>
              <w:t>Potatoes</w:t>
            </w:r>
          </w:p>
        </w:tc>
        <w:tc>
          <w:tcPr>
            <w:tcW w:w="589" w:type="pct"/>
            <w:vMerge w:val="restart"/>
            <w:tcBorders>
              <w:top w:val="single" w:sz="4" w:space="0" w:color="auto"/>
            </w:tcBorders>
          </w:tcPr>
          <w:p w14:paraId="507A0753" w14:textId="77777777" w:rsidR="00CE1436" w:rsidRPr="00886278" w:rsidRDefault="00CE1436" w:rsidP="00444693">
            <w:pPr>
              <w:pStyle w:val="TableText"/>
              <w:widowControl w:val="0"/>
              <w:suppressAutoHyphens w:val="0"/>
              <w:spacing w:before="0" w:after="0" w:line="240" w:lineRule="auto"/>
              <w:rPr>
                <w:szCs w:val="17"/>
              </w:rPr>
            </w:pPr>
            <w:r>
              <w:rPr>
                <w:szCs w:val="17"/>
              </w:rPr>
              <w:t>Small insectivore</w:t>
            </w:r>
          </w:p>
        </w:tc>
        <w:tc>
          <w:tcPr>
            <w:tcW w:w="445" w:type="pct"/>
            <w:vMerge w:val="restart"/>
            <w:tcBorders>
              <w:top w:val="single" w:sz="4" w:space="0" w:color="auto"/>
            </w:tcBorders>
          </w:tcPr>
          <w:p w14:paraId="7477EAB8" w14:textId="77777777" w:rsidR="00CE1436" w:rsidRPr="00886278" w:rsidRDefault="00CE1436" w:rsidP="00444693">
            <w:pPr>
              <w:pStyle w:val="TableText"/>
              <w:widowControl w:val="0"/>
              <w:suppressAutoHyphens w:val="0"/>
              <w:spacing w:before="0" w:after="0" w:line="240" w:lineRule="auto"/>
              <w:rPr>
                <w:szCs w:val="17"/>
              </w:rPr>
            </w:pPr>
            <w:r>
              <w:rPr>
                <w:szCs w:val="17"/>
              </w:rPr>
              <w:t>BBCH ≥20</w:t>
            </w:r>
          </w:p>
        </w:tc>
        <w:tc>
          <w:tcPr>
            <w:tcW w:w="520" w:type="pct"/>
            <w:tcBorders>
              <w:top w:val="single" w:sz="4" w:space="0" w:color="auto"/>
            </w:tcBorders>
          </w:tcPr>
          <w:p w14:paraId="37748071"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Acute</w:t>
            </w:r>
          </w:p>
        </w:tc>
        <w:tc>
          <w:tcPr>
            <w:tcW w:w="446" w:type="pct"/>
            <w:tcBorders>
              <w:top w:val="single" w:sz="4" w:space="0" w:color="auto"/>
            </w:tcBorders>
          </w:tcPr>
          <w:p w14:paraId="0B704299"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25.2</w:t>
            </w:r>
          </w:p>
        </w:tc>
        <w:tc>
          <w:tcPr>
            <w:tcW w:w="296" w:type="pct"/>
            <w:tcBorders>
              <w:top w:val="single" w:sz="4" w:space="0" w:color="auto"/>
            </w:tcBorders>
          </w:tcPr>
          <w:p w14:paraId="6CB7AF5C" w14:textId="77777777" w:rsidR="00CE1436" w:rsidRPr="00886278" w:rsidRDefault="00CE1436" w:rsidP="00444693">
            <w:pPr>
              <w:pStyle w:val="TableText"/>
              <w:widowControl w:val="0"/>
              <w:suppressAutoHyphens w:val="0"/>
              <w:spacing w:before="0" w:after="0" w:line="240" w:lineRule="auto"/>
              <w:jc w:val="center"/>
              <w:rPr>
                <w:szCs w:val="17"/>
              </w:rPr>
            </w:pPr>
            <w:r>
              <w:rPr>
                <w:szCs w:val="17"/>
              </w:rPr>
              <w:t>700</w:t>
            </w:r>
          </w:p>
        </w:tc>
        <w:tc>
          <w:tcPr>
            <w:tcW w:w="312" w:type="pct"/>
            <w:tcBorders>
              <w:top w:val="single" w:sz="4" w:space="0" w:color="auto"/>
            </w:tcBorders>
          </w:tcPr>
          <w:p w14:paraId="5DCF5D12" w14:textId="77777777" w:rsidR="00CE1436" w:rsidRPr="00886278"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top w:val="single" w:sz="4" w:space="0" w:color="auto"/>
            </w:tcBorders>
          </w:tcPr>
          <w:p w14:paraId="77327718" w14:textId="77777777" w:rsidR="00CE1436" w:rsidRPr="00886278"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top w:val="single" w:sz="4" w:space="0" w:color="auto"/>
            </w:tcBorders>
          </w:tcPr>
          <w:p w14:paraId="660FC1B6" w14:textId="77777777" w:rsidR="00CE1436" w:rsidRPr="00886278"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top w:val="single" w:sz="4" w:space="0" w:color="auto"/>
            </w:tcBorders>
            <w:vAlign w:val="center"/>
          </w:tcPr>
          <w:p w14:paraId="058755D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18</w:t>
            </w:r>
          </w:p>
        </w:tc>
        <w:tc>
          <w:tcPr>
            <w:tcW w:w="312" w:type="pct"/>
            <w:tcBorders>
              <w:top w:val="single" w:sz="4" w:space="0" w:color="auto"/>
            </w:tcBorders>
            <w:vAlign w:val="center"/>
          </w:tcPr>
          <w:p w14:paraId="33F4A9BE" w14:textId="77777777" w:rsidR="00CE1436" w:rsidRPr="00886278"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top w:val="single" w:sz="4" w:space="0" w:color="auto"/>
            </w:tcBorders>
            <w:shd w:val="clear" w:color="auto" w:fill="FF0000"/>
            <w:vAlign w:val="center"/>
          </w:tcPr>
          <w:p w14:paraId="4C209DF0"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3.1</w:t>
            </w:r>
          </w:p>
        </w:tc>
        <w:tc>
          <w:tcPr>
            <w:tcW w:w="310" w:type="pct"/>
            <w:tcBorders>
              <w:top w:val="single" w:sz="4" w:space="0" w:color="auto"/>
            </w:tcBorders>
            <w:vAlign w:val="center"/>
          </w:tcPr>
          <w:p w14:paraId="1A57D7B5" w14:textId="77777777" w:rsidR="00CE1436" w:rsidRPr="00886278" w:rsidRDefault="00CE1436" w:rsidP="00444693">
            <w:pPr>
              <w:pStyle w:val="TableText"/>
              <w:widowControl w:val="0"/>
              <w:suppressAutoHyphens w:val="0"/>
              <w:spacing w:before="0" w:after="0" w:line="240" w:lineRule="auto"/>
              <w:jc w:val="center"/>
            </w:pPr>
            <w:r>
              <w:rPr>
                <w:color w:val="1A1B1A"/>
                <w:szCs w:val="17"/>
              </w:rPr>
              <w:t>226</w:t>
            </w:r>
          </w:p>
        </w:tc>
      </w:tr>
      <w:tr w:rsidR="00CE1436" w:rsidRPr="0023247F" w14:paraId="1BE17A84" w14:textId="77777777" w:rsidTr="00444693">
        <w:trPr>
          <w:cantSplit/>
          <w:trHeight w:val="13"/>
        </w:trPr>
        <w:tc>
          <w:tcPr>
            <w:tcW w:w="521" w:type="pct"/>
            <w:vMerge/>
          </w:tcPr>
          <w:p w14:paraId="547814C2"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1DC13F7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19AC0AFA" w14:textId="77777777" w:rsidR="00CE1436" w:rsidRDefault="00CE1436" w:rsidP="00444693">
            <w:pPr>
              <w:pStyle w:val="TableText"/>
              <w:widowControl w:val="0"/>
              <w:suppressAutoHyphens w:val="0"/>
              <w:spacing w:before="0" w:after="0" w:line="240" w:lineRule="auto"/>
              <w:rPr>
                <w:szCs w:val="17"/>
              </w:rPr>
            </w:pPr>
          </w:p>
        </w:tc>
        <w:tc>
          <w:tcPr>
            <w:tcW w:w="520" w:type="pct"/>
          </w:tcPr>
          <w:p w14:paraId="782DD762"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1ACBE25" w14:textId="77777777" w:rsidR="00CE1436" w:rsidRPr="00533BF7" w:rsidRDefault="00CE1436" w:rsidP="00444693">
            <w:pPr>
              <w:pStyle w:val="TableText"/>
              <w:widowControl w:val="0"/>
              <w:suppressAutoHyphens w:val="0"/>
              <w:spacing w:before="0" w:after="0" w:line="240" w:lineRule="auto"/>
              <w:jc w:val="center"/>
              <w:rPr>
                <w:szCs w:val="17"/>
              </w:rPr>
            </w:pPr>
            <w:r w:rsidRPr="0055796C">
              <w:rPr>
                <w:szCs w:val="17"/>
              </w:rPr>
              <w:t>25.2</w:t>
            </w:r>
          </w:p>
        </w:tc>
        <w:tc>
          <w:tcPr>
            <w:tcW w:w="296" w:type="pct"/>
          </w:tcPr>
          <w:p w14:paraId="2B074884" w14:textId="77777777" w:rsidR="00CE1436" w:rsidRDefault="00CE1436" w:rsidP="00444693">
            <w:pPr>
              <w:pStyle w:val="TableText"/>
              <w:widowControl w:val="0"/>
              <w:suppressAutoHyphens w:val="0"/>
              <w:spacing w:before="0" w:after="0" w:line="240" w:lineRule="auto"/>
              <w:jc w:val="center"/>
              <w:rPr>
                <w:szCs w:val="17"/>
              </w:rPr>
            </w:pPr>
            <w:r>
              <w:rPr>
                <w:szCs w:val="17"/>
              </w:rPr>
              <w:t>693</w:t>
            </w:r>
          </w:p>
        </w:tc>
        <w:tc>
          <w:tcPr>
            <w:tcW w:w="312" w:type="pct"/>
          </w:tcPr>
          <w:p w14:paraId="5175B6D6"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2BF40324"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B2935EC"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07068145" w14:textId="77777777" w:rsidR="00CE1436" w:rsidRPr="003203B5" w:rsidRDefault="00CE1436" w:rsidP="00444693">
            <w:pPr>
              <w:pStyle w:val="TableText"/>
              <w:widowControl w:val="0"/>
              <w:suppressAutoHyphens w:val="0"/>
              <w:spacing w:before="0" w:after="0" w:line="240" w:lineRule="auto"/>
              <w:jc w:val="center"/>
            </w:pPr>
            <w:r>
              <w:rPr>
                <w:color w:val="1A1B1A"/>
                <w:szCs w:val="17"/>
              </w:rPr>
              <w:t>17</w:t>
            </w:r>
          </w:p>
        </w:tc>
        <w:tc>
          <w:tcPr>
            <w:tcW w:w="312" w:type="pct"/>
            <w:vAlign w:val="center"/>
          </w:tcPr>
          <w:p w14:paraId="1F99E213"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D82BA9B"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3.1</w:t>
            </w:r>
          </w:p>
        </w:tc>
        <w:tc>
          <w:tcPr>
            <w:tcW w:w="310" w:type="pct"/>
            <w:vAlign w:val="center"/>
          </w:tcPr>
          <w:p w14:paraId="4B3DC5FE" w14:textId="77777777" w:rsidR="00CE1436" w:rsidRPr="0023247F" w:rsidRDefault="00CE1436" w:rsidP="00444693">
            <w:pPr>
              <w:pStyle w:val="TableText"/>
              <w:widowControl w:val="0"/>
              <w:suppressAutoHyphens w:val="0"/>
              <w:spacing w:before="0" w:after="0" w:line="240" w:lineRule="auto"/>
              <w:jc w:val="center"/>
            </w:pPr>
            <w:r>
              <w:rPr>
                <w:color w:val="1A1B1A"/>
                <w:szCs w:val="17"/>
              </w:rPr>
              <w:t>226</w:t>
            </w:r>
          </w:p>
        </w:tc>
      </w:tr>
      <w:tr w:rsidR="00CE1436" w:rsidRPr="0023247F" w14:paraId="3472B823" w14:textId="77777777" w:rsidTr="00444693">
        <w:trPr>
          <w:cantSplit/>
          <w:trHeight w:val="13"/>
        </w:trPr>
        <w:tc>
          <w:tcPr>
            <w:tcW w:w="521" w:type="pct"/>
            <w:vMerge/>
          </w:tcPr>
          <w:p w14:paraId="3425DA3E"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2B325085"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4447C98B" w14:textId="77777777" w:rsidR="00CE1436" w:rsidRDefault="00CE1436" w:rsidP="00444693">
            <w:pPr>
              <w:pStyle w:val="TableText"/>
              <w:widowControl w:val="0"/>
              <w:suppressAutoHyphens w:val="0"/>
              <w:spacing w:before="0" w:after="0" w:line="240" w:lineRule="auto"/>
              <w:rPr>
                <w:szCs w:val="17"/>
              </w:rPr>
            </w:pPr>
          </w:p>
        </w:tc>
        <w:tc>
          <w:tcPr>
            <w:tcW w:w="520" w:type="pct"/>
          </w:tcPr>
          <w:p w14:paraId="110BC16D"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0B08239B" w14:textId="77777777" w:rsidR="00CE1436" w:rsidRPr="00533BF7" w:rsidRDefault="00CE1436" w:rsidP="00444693">
            <w:pPr>
              <w:pStyle w:val="TableText"/>
              <w:widowControl w:val="0"/>
              <w:suppressAutoHyphens w:val="0"/>
              <w:spacing w:before="0" w:after="0" w:line="240" w:lineRule="auto"/>
              <w:jc w:val="center"/>
              <w:rPr>
                <w:szCs w:val="17"/>
              </w:rPr>
            </w:pPr>
            <w:r w:rsidRPr="0055796C">
              <w:rPr>
                <w:szCs w:val="17"/>
              </w:rPr>
              <w:t>25.2</w:t>
            </w:r>
          </w:p>
        </w:tc>
        <w:tc>
          <w:tcPr>
            <w:tcW w:w="296" w:type="pct"/>
          </w:tcPr>
          <w:p w14:paraId="524A9CD7" w14:textId="77777777" w:rsidR="00CE1436" w:rsidRDefault="00CE1436" w:rsidP="00444693">
            <w:pPr>
              <w:pStyle w:val="TableText"/>
              <w:widowControl w:val="0"/>
              <w:suppressAutoHyphens w:val="0"/>
              <w:spacing w:before="0" w:after="0" w:line="240" w:lineRule="auto"/>
              <w:jc w:val="center"/>
              <w:rPr>
                <w:szCs w:val="17"/>
              </w:rPr>
            </w:pPr>
            <w:r>
              <w:rPr>
                <w:szCs w:val="17"/>
              </w:rPr>
              <w:t>648</w:t>
            </w:r>
          </w:p>
        </w:tc>
        <w:tc>
          <w:tcPr>
            <w:tcW w:w="312" w:type="pct"/>
          </w:tcPr>
          <w:p w14:paraId="136FD267"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43E77B48"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22714609"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6E9888AE" w14:textId="77777777" w:rsidR="00CE1436" w:rsidRPr="003203B5" w:rsidRDefault="00CE1436" w:rsidP="00444693">
            <w:pPr>
              <w:pStyle w:val="TableText"/>
              <w:widowControl w:val="0"/>
              <w:suppressAutoHyphens w:val="0"/>
              <w:spacing w:before="0" w:after="0" w:line="240" w:lineRule="auto"/>
              <w:jc w:val="center"/>
            </w:pPr>
            <w:r>
              <w:rPr>
                <w:color w:val="1A1B1A"/>
                <w:szCs w:val="17"/>
              </w:rPr>
              <w:t>16</w:t>
            </w:r>
          </w:p>
        </w:tc>
        <w:tc>
          <w:tcPr>
            <w:tcW w:w="312" w:type="pct"/>
            <w:vAlign w:val="center"/>
          </w:tcPr>
          <w:p w14:paraId="6CC06B0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2CD5DF81"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2.9</w:t>
            </w:r>
          </w:p>
        </w:tc>
        <w:tc>
          <w:tcPr>
            <w:tcW w:w="310" w:type="pct"/>
            <w:vAlign w:val="center"/>
          </w:tcPr>
          <w:p w14:paraId="23EC1F1F" w14:textId="77777777" w:rsidR="00CE1436" w:rsidRPr="0023247F" w:rsidRDefault="00CE1436" w:rsidP="00444693">
            <w:pPr>
              <w:pStyle w:val="TableText"/>
              <w:widowControl w:val="0"/>
              <w:suppressAutoHyphens w:val="0"/>
              <w:spacing w:before="0" w:after="0" w:line="240" w:lineRule="auto"/>
              <w:jc w:val="center"/>
            </w:pPr>
            <w:r>
              <w:rPr>
                <w:color w:val="1A1B1A"/>
                <w:szCs w:val="17"/>
              </w:rPr>
              <w:t>226</w:t>
            </w:r>
          </w:p>
        </w:tc>
      </w:tr>
      <w:tr w:rsidR="00CE1436" w:rsidRPr="00886278" w14:paraId="6C9C227D" w14:textId="77777777" w:rsidTr="00444693">
        <w:trPr>
          <w:cantSplit/>
          <w:trHeight w:val="13"/>
        </w:trPr>
        <w:tc>
          <w:tcPr>
            <w:tcW w:w="521" w:type="pct"/>
            <w:vMerge/>
          </w:tcPr>
          <w:p w14:paraId="300EE252"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460D21D4"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00D7AB25" w14:textId="77777777" w:rsidR="00CE1436" w:rsidRDefault="00CE1436" w:rsidP="00444693">
            <w:pPr>
              <w:pStyle w:val="TableText"/>
              <w:widowControl w:val="0"/>
              <w:suppressAutoHyphens w:val="0"/>
              <w:spacing w:before="0" w:after="0" w:line="240" w:lineRule="auto"/>
              <w:rPr>
                <w:szCs w:val="17"/>
              </w:rPr>
            </w:pPr>
          </w:p>
        </w:tc>
        <w:tc>
          <w:tcPr>
            <w:tcW w:w="520" w:type="pct"/>
          </w:tcPr>
          <w:p w14:paraId="6CCD57D8"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CAFFC86" w14:textId="77777777" w:rsidR="00CE1436" w:rsidRDefault="00CE1436" w:rsidP="00444693">
            <w:pPr>
              <w:pStyle w:val="TableText"/>
              <w:widowControl w:val="0"/>
              <w:suppressAutoHyphens w:val="0"/>
              <w:spacing w:before="0" w:after="0" w:line="240" w:lineRule="auto"/>
              <w:jc w:val="center"/>
              <w:rPr>
                <w:szCs w:val="17"/>
              </w:rPr>
            </w:pPr>
            <w:r w:rsidRPr="0055796C">
              <w:rPr>
                <w:szCs w:val="17"/>
              </w:rPr>
              <w:t>25.2</w:t>
            </w:r>
          </w:p>
        </w:tc>
        <w:tc>
          <w:tcPr>
            <w:tcW w:w="296" w:type="pct"/>
          </w:tcPr>
          <w:p w14:paraId="267753DC" w14:textId="77777777" w:rsidR="00CE1436" w:rsidRDefault="00CE1436" w:rsidP="00444693">
            <w:pPr>
              <w:pStyle w:val="TableText"/>
              <w:widowControl w:val="0"/>
              <w:suppressAutoHyphens w:val="0"/>
              <w:spacing w:before="0" w:after="0" w:line="240" w:lineRule="auto"/>
              <w:jc w:val="center"/>
              <w:rPr>
                <w:szCs w:val="17"/>
              </w:rPr>
            </w:pPr>
            <w:r>
              <w:rPr>
                <w:szCs w:val="17"/>
              </w:rPr>
              <w:t>525</w:t>
            </w:r>
          </w:p>
        </w:tc>
        <w:tc>
          <w:tcPr>
            <w:tcW w:w="312" w:type="pct"/>
          </w:tcPr>
          <w:p w14:paraId="4AD8D4B8"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7B6580B7"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0007DF93"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4918BDE1"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13</w:t>
            </w:r>
          </w:p>
        </w:tc>
        <w:tc>
          <w:tcPr>
            <w:tcW w:w="312" w:type="pct"/>
            <w:vAlign w:val="center"/>
          </w:tcPr>
          <w:p w14:paraId="55393269"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0E4FCD2D"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2.3</w:t>
            </w:r>
          </w:p>
        </w:tc>
        <w:tc>
          <w:tcPr>
            <w:tcW w:w="310" w:type="pct"/>
            <w:vAlign w:val="center"/>
          </w:tcPr>
          <w:p w14:paraId="267EE176" w14:textId="77777777" w:rsidR="00CE1436" w:rsidRPr="00886278" w:rsidRDefault="00CE1436" w:rsidP="00444693">
            <w:pPr>
              <w:pStyle w:val="TableText"/>
              <w:widowControl w:val="0"/>
              <w:suppressAutoHyphens w:val="0"/>
              <w:spacing w:before="0" w:after="0" w:line="240" w:lineRule="auto"/>
              <w:jc w:val="center"/>
            </w:pPr>
            <w:r>
              <w:rPr>
                <w:color w:val="1A1B1A"/>
                <w:szCs w:val="17"/>
              </w:rPr>
              <w:t>226</w:t>
            </w:r>
          </w:p>
        </w:tc>
      </w:tr>
      <w:tr w:rsidR="00CE1436" w:rsidRPr="00886278" w14:paraId="717BC989" w14:textId="77777777" w:rsidTr="00444693">
        <w:trPr>
          <w:cantSplit/>
          <w:trHeight w:val="13"/>
        </w:trPr>
        <w:tc>
          <w:tcPr>
            <w:tcW w:w="521" w:type="pct"/>
            <w:vMerge/>
          </w:tcPr>
          <w:p w14:paraId="3CE3FF36" w14:textId="77777777" w:rsidR="00CE1436" w:rsidRDefault="00CE1436" w:rsidP="00444693">
            <w:pPr>
              <w:pStyle w:val="TableText"/>
              <w:widowControl w:val="0"/>
              <w:suppressAutoHyphens w:val="0"/>
              <w:spacing w:before="0" w:after="0" w:line="240" w:lineRule="auto"/>
              <w:rPr>
                <w:szCs w:val="17"/>
              </w:rPr>
            </w:pPr>
          </w:p>
        </w:tc>
        <w:tc>
          <w:tcPr>
            <w:tcW w:w="589" w:type="pct"/>
            <w:vMerge/>
          </w:tcPr>
          <w:p w14:paraId="11C28061" w14:textId="77777777" w:rsidR="00CE1436" w:rsidRDefault="00CE1436" w:rsidP="00444693">
            <w:pPr>
              <w:pStyle w:val="TableText"/>
              <w:widowControl w:val="0"/>
              <w:suppressAutoHyphens w:val="0"/>
              <w:spacing w:before="0" w:after="0" w:line="240" w:lineRule="auto"/>
              <w:rPr>
                <w:szCs w:val="17"/>
              </w:rPr>
            </w:pPr>
          </w:p>
        </w:tc>
        <w:tc>
          <w:tcPr>
            <w:tcW w:w="445" w:type="pct"/>
            <w:vMerge/>
          </w:tcPr>
          <w:p w14:paraId="6DC3C0D5" w14:textId="77777777" w:rsidR="00CE1436" w:rsidRDefault="00CE1436" w:rsidP="00444693">
            <w:pPr>
              <w:pStyle w:val="TableText"/>
              <w:widowControl w:val="0"/>
              <w:suppressAutoHyphens w:val="0"/>
              <w:spacing w:before="0" w:after="0" w:line="240" w:lineRule="auto"/>
              <w:rPr>
                <w:szCs w:val="17"/>
              </w:rPr>
            </w:pPr>
          </w:p>
        </w:tc>
        <w:tc>
          <w:tcPr>
            <w:tcW w:w="520" w:type="pct"/>
          </w:tcPr>
          <w:p w14:paraId="09C9A30B" w14:textId="77777777" w:rsidR="00CE1436" w:rsidRDefault="00CE1436" w:rsidP="00444693">
            <w:pPr>
              <w:pStyle w:val="TableText"/>
              <w:widowControl w:val="0"/>
              <w:suppressAutoHyphens w:val="0"/>
              <w:spacing w:before="0" w:after="0" w:line="240" w:lineRule="auto"/>
              <w:jc w:val="center"/>
              <w:rPr>
                <w:szCs w:val="17"/>
              </w:rPr>
            </w:pPr>
          </w:p>
        </w:tc>
        <w:tc>
          <w:tcPr>
            <w:tcW w:w="446" w:type="pct"/>
          </w:tcPr>
          <w:p w14:paraId="1780939F" w14:textId="77777777" w:rsidR="00CE1436" w:rsidRDefault="00CE1436" w:rsidP="00444693">
            <w:pPr>
              <w:pStyle w:val="TableText"/>
              <w:widowControl w:val="0"/>
              <w:suppressAutoHyphens w:val="0"/>
              <w:spacing w:before="0" w:after="0" w:line="240" w:lineRule="auto"/>
              <w:jc w:val="center"/>
              <w:rPr>
                <w:szCs w:val="17"/>
              </w:rPr>
            </w:pPr>
            <w:r w:rsidRPr="0055796C">
              <w:rPr>
                <w:szCs w:val="17"/>
              </w:rPr>
              <w:t>25.2</w:t>
            </w:r>
          </w:p>
        </w:tc>
        <w:tc>
          <w:tcPr>
            <w:tcW w:w="296" w:type="pct"/>
          </w:tcPr>
          <w:p w14:paraId="3AABFE33" w14:textId="77777777" w:rsidR="00CE1436" w:rsidRDefault="00CE1436" w:rsidP="00444693">
            <w:pPr>
              <w:pStyle w:val="TableText"/>
              <w:widowControl w:val="0"/>
              <w:suppressAutoHyphens w:val="0"/>
              <w:spacing w:before="0" w:after="0" w:line="240" w:lineRule="auto"/>
              <w:jc w:val="center"/>
              <w:rPr>
                <w:szCs w:val="17"/>
              </w:rPr>
            </w:pPr>
            <w:r>
              <w:rPr>
                <w:szCs w:val="17"/>
              </w:rPr>
              <w:t>432</w:t>
            </w:r>
          </w:p>
        </w:tc>
        <w:tc>
          <w:tcPr>
            <w:tcW w:w="312" w:type="pct"/>
          </w:tcPr>
          <w:p w14:paraId="7343B048"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Pr>
          <w:p w14:paraId="06CEBE7C"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Pr>
          <w:p w14:paraId="446E4621"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vAlign w:val="center"/>
          </w:tcPr>
          <w:p w14:paraId="55854AD6"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11</w:t>
            </w:r>
          </w:p>
        </w:tc>
        <w:tc>
          <w:tcPr>
            <w:tcW w:w="312" w:type="pct"/>
            <w:vAlign w:val="center"/>
          </w:tcPr>
          <w:p w14:paraId="7594CE54"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shd w:val="clear" w:color="auto" w:fill="FF0000"/>
            <w:vAlign w:val="center"/>
          </w:tcPr>
          <w:p w14:paraId="68BC5D81" w14:textId="77777777" w:rsidR="00CE1436" w:rsidRPr="00B927D6" w:rsidRDefault="00CE1436" w:rsidP="00444693">
            <w:pPr>
              <w:pStyle w:val="TableText"/>
              <w:widowControl w:val="0"/>
              <w:suppressAutoHyphens w:val="0"/>
              <w:spacing w:before="0" w:after="0" w:line="240" w:lineRule="auto"/>
              <w:jc w:val="center"/>
              <w:rPr>
                <w:b/>
                <w:bCs/>
              </w:rPr>
            </w:pPr>
            <w:r>
              <w:rPr>
                <w:b/>
                <w:bCs/>
                <w:color w:val="1A1B1A"/>
                <w:szCs w:val="17"/>
              </w:rPr>
              <w:t>1.9</w:t>
            </w:r>
          </w:p>
        </w:tc>
        <w:tc>
          <w:tcPr>
            <w:tcW w:w="310" w:type="pct"/>
            <w:vAlign w:val="center"/>
          </w:tcPr>
          <w:p w14:paraId="1D5C1AC5" w14:textId="77777777" w:rsidR="00CE1436" w:rsidRPr="00886278" w:rsidRDefault="00CE1436" w:rsidP="00444693">
            <w:pPr>
              <w:pStyle w:val="TableText"/>
              <w:widowControl w:val="0"/>
              <w:suppressAutoHyphens w:val="0"/>
              <w:spacing w:before="0" w:after="0" w:line="240" w:lineRule="auto"/>
              <w:jc w:val="center"/>
            </w:pPr>
            <w:r>
              <w:rPr>
                <w:color w:val="1A1B1A"/>
                <w:szCs w:val="17"/>
              </w:rPr>
              <w:t>226</w:t>
            </w:r>
          </w:p>
        </w:tc>
      </w:tr>
      <w:tr w:rsidR="00CE1436" w:rsidRPr="00886278" w14:paraId="4D7A2B24" w14:textId="77777777" w:rsidTr="00444693">
        <w:trPr>
          <w:cantSplit/>
          <w:trHeight w:val="13"/>
        </w:trPr>
        <w:tc>
          <w:tcPr>
            <w:tcW w:w="521" w:type="pct"/>
            <w:vMerge/>
            <w:tcBorders>
              <w:bottom w:val="single" w:sz="4" w:space="0" w:color="auto"/>
            </w:tcBorders>
          </w:tcPr>
          <w:p w14:paraId="34EF8209" w14:textId="77777777" w:rsidR="00CE1436" w:rsidRDefault="00CE1436" w:rsidP="00444693">
            <w:pPr>
              <w:pStyle w:val="TableText"/>
              <w:widowControl w:val="0"/>
              <w:suppressAutoHyphens w:val="0"/>
              <w:spacing w:before="0" w:after="0" w:line="240" w:lineRule="auto"/>
              <w:rPr>
                <w:szCs w:val="17"/>
              </w:rPr>
            </w:pPr>
          </w:p>
        </w:tc>
        <w:tc>
          <w:tcPr>
            <w:tcW w:w="589" w:type="pct"/>
            <w:vMerge/>
            <w:tcBorders>
              <w:bottom w:val="single" w:sz="4" w:space="0" w:color="auto"/>
            </w:tcBorders>
          </w:tcPr>
          <w:p w14:paraId="635C5115" w14:textId="77777777" w:rsidR="00CE1436" w:rsidRDefault="00CE1436" w:rsidP="00444693">
            <w:pPr>
              <w:pStyle w:val="TableText"/>
              <w:widowControl w:val="0"/>
              <w:suppressAutoHyphens w:val="0"/>
              <w:spacing w:before="0" w:after="0" w:line="240" w:lineRule="auto"/>
              <w:rPr>
                <w:szCs w:val="17"/>
              </w:rPr>
            </w:pPr>
          </w:p>
        </w:tc>
        <w:tc>
          <w:tcPr>
            <w:tcW w:w="445" w:type="pct"/>
            <w:vMerge/>
            <w:tcBorders>
              <w:bottom w:val="single" w:sz="4" w:space="0" w:color="auto"/>
            </w:tcBorders>
          </w:tcPr>
          <w:p w14:paraId="679F8D36" w14:textId="77777777" w:rsidR="00CE1436" w:rsidRDefault="00CE1436" w:rsidP="00444693">
            <w:pPr>
              <w:pStyle w:val="TableText"/>
              <w:widowControl w:val="0"/>
              <w:suppressAutoHyphens w:val="0"/>
              <w:spacing w:before="0" w:after="0" w:line="240" w:lineRule="auto"/>
              <w:rPr>
                <w:szCs w:val="17"/>
              </w:rPr>
            </w:pPr>
          </w:p>
        </w:tc>
        <w:tc>
          <w:tcPr>
            <w:tcW w:w="520" w:type="pct"/>
            <w:tcBorders>
              <w:bottom w:val="single" w:sz="4" w:space="0" w:color="auto"/>
            </w:tcBorders>
          </w:tcPr>
          <w:p w14:paraId="6EF930BF" w14:textId="77777777" w:rsidR="00CE1436" w:rsidRDefault="00CE1436" w:rsidP="00444693">
            <w:pPr>
              <w:pStyle w:val="TableText"/>
              <w:widowControl w:val="0"/>
              <w:suppressAutoHyphens w:val="0"/>
              <w:spacing w:before="0" w:after="0" w:line="240" w:lineRule="auto"/>
              <w:jc w:val="center"/>
              <w:rPr>
                <w:szCs w:val="17"/>
              </w:rPr>
            </w:pPr>
          </w:p>
        </w:tc>
        <w:tc>
          <w:tcPr>
            <w:tcW w:w="446" w:type="pct"/>
            <w:tcBorders>
              <w:bottom w:val="single" w:sz="4" w:space="0" w:color="auto"/>
            </w:tcBorders>
          </w:tcPr>
          <w:p w14:paraId="68D0114F" w14:textId="77777777" w:rsidR="00CE1436" w:rsidRDefault="00CE1436" w:rsidP="00444693">
            <w:pPr>
              <w:pStyle w:val="TableText"/>
              <w:widowControl w:val="0"/>
              <w:suppressAutoHyphens w:val="0"/>
              <w:spacing w:before="0" w:after="0" w:line="240" w:lineRule="auto"/>
              <w:jc w:val="center"/>
              <w:rPr>
                <w:szCs w:val="17"/>
              </w:rPr>
            </w:pPr>
            <w:r w:rsidRPr="0055796C">
              <w:rPr>
                <w:szCs w:val="17"/>
              </w:rPr>
              <w:t>25.2</w:t>
            </w:r>
          </w:p>
        </w:tc>
        <w:tc>
          <w:tcPr>
            <w:tcW w:w="296" w:type="pct"/>
            <w:tcBorders>
              <w:bottom w:val="single" w:sz="4" w:space="0" w:color="auto"/>
            </w:tcBorders>
          </w:tcPr>
          <w:p w14:paraId="113502B5" w14:textId="77777777" w:rsidR="00CE1436" w:rsidRDefault="00CE1436" w:rsidP="00444693">
            <w:pPr>
              <w:pStyle w:val="TableText"/>
              <w:widowControl w:val="0"/>
              <w:suppressAutoHyphens w:val="0"/>
              <w:spacing w:before="0" w:after="0" w:line="240" w:lineRule="auto"/>
              <w:jc w:val="center"/>
              <w:rPr>
                <w:szCs w:val="17"/>
              </w:rPr>
            </w:pPr>
            <w:r>
              <w:rPr>
                <w:szCs w:val="17"/>
              </w:rPr>
              <w:t>173</w:t>
            </w:r>
          </w:p>
        </w:tc>
        <w:tc>
          <w:tcPr>
            <w:tcW w:w="312" w:type="pct"/>
            <w:tcBorders>
              <w:bottom w:val="single" w:sz="4" w:space="0" w:color="auto"/>
            </w:tcBorders>
          </w:tcPr>
          <w:p w14:paraId="39B588A9" w14:textId="77777777" w:rsidR="00CE1436" w:rsidRPr="00736A0E" w:rsidRDefault="00CE1436" w:rsidP="00444693">
            <w:pPr>
              <w:pStyle w:val="TableText"/>
              <w:widowControl w:val="0"/>
              <w:suppressAutoHyphens w:val="0"/>
              <w:spacing w:before="0" w:after="0" w:line="240" w:lineRule="auto"/>
              <w:jc w:val="center"/>
              <w:rPr>
                <w:szCs w:val="17"/>
              </w:rPr>
            </w:pPr>
            <w:r w:rsidRPr="00736A0E">
              <w:rPr>
                <w:szCs w:val="17"/>
              </w:rPr>
              <w:t>1.0</w:t>
            </w:r>
          </w:p>
        </w:tc>
        <w:tc>
          <w:tcPr>
            <w:tcW w:w="312" w:type="pct"/>
            <w:tcBorders>
              <w:bottom w:val="single" w:sz="4" w:space="0" w:color="auto"/>
            </w:tcBorders>
          </w:tcPr>
          <w:p w14:paraId="04488A00" w14:textId="77777777" w:rsidR="00CE1436" w:rsidRPr="00C44CF4" w:rsidRDefault="00CE1436" w:rsidP="00444693">
            <w:pPr>
              <w:pStyle w:val="TableText"/>
              <w:widowControl w:val="0"/>
              <w:suppressAutoHyphens w:val="0"/>
              <w:spacing w:before="0" w:after="0" w:line="240" w:lineRule="auto"/>
              <w:jc w:val="center"/>
              <w:rPr>
                <w:szCs w:val="17"/>
              </w:rPr>
            </w:pPr>
            <w:r w:rsidRPr="00C44CF4">
              <w:rPr>
                <w:szCs w:val="17"/>
              </w:rPr>
              <w:t>1.0</w:t>
            </w:r>
          </w:p>
        </w:tc>
        <w:tc>
          <w:tcPr>
            <w:tcW w:w="312" w:type="pct"/>
            <w:tcBorders>
              <w:bottom w:val="single" w:sz="4" w:space="0" w:color="auto"/>
            </w:tcBorders>
          </w:tcPr>
          <w:p w14:paraId="6DE2C3DD" w14:textId="77777777" w:rsidR="00CE1436" w:rsidRPr="00D4112C" w:rsidRDefault="00CE1436" w:rsidP="00444693">
            <w:pPr>
              <w:pStyle w:val="TableText"/>
              <w:widowControl w:val="0"/>
              <w:suppressAutoHyphens w:val="0"/>
              <w:spacing w:before="0" w:after="0" w:line="240" w:lineRule="auto"/>
              <w:jc w:val="center"/>
              <w:rPr>
                <w:szCs w:val="17"/>
              </w:rPr>
            </w:pPr>
            <w:r w:rsidRPr="00D4112C">
              <w:rPr>
                <w:szCs w:val="17"/>
              </w:rPr>
              <w:t>1.0</w:t>
            </w:r>
          </w:p>
        </w:tc>
        <w:tc>
          <w:tcPr>
            <w:tcW w:w="312" w:type="pct"/>
            <w:tcBorders>
              <w:bottom w:val="single" w:sz="4" w:space="0" w:color="auto"/>
            </w:tcBorders>
            <w:vAlign w:val="center"/>
          </w:tcPr>
          <w:p w14:paraId="2F80F963" w14:textId="77777777" w:rsidR="00CE1436" w:rsidRPr="00886278" w:rsidRDefault="00CE1436" w:rsidP="00444693">
            <w:pPr>
              <w:pStyle w:val="TableText"/>
              <w:widowControl w:val="0"/>
              <w:suppressAutoHyphens w:val="0"/>
              <w:spacing w:before="0" w:after="0" w:line="240" w:lineRule="auto"/>
              <w:jc w:val="center"/>
              <w:rPr>
                <w:szCs w:val="17"/>
              </w:rPr>
            </w:pPr>
            <w:r>
              <w:rPr>
                <w:color w:val="1A1B1A"/>
                <w:szCs w:val="17"/>
              </w:rPr>
              <w:t>4.4</w:t>
            </w:r>
          </w:p>
        </w:tc>
        <w:tc>
          <w:tcPr>
            <w:tcW w:w="312" w:type="pct"/>
            <w:tcBorders>
              <w:bottom w:val="single" w:sz="4" w:space="0" w:color="auto"/>
            </w:tcBorders>
            <w:vAlign w:val="center"/>
          </w:tcPr>
          <w:p w14:paraId="01EC0770" w14:textId="77777777" w:rsidR="00CE1436" w:rsidRPr="007F412F" w:rsidRDefault="00CE1436" w:rsidP="00444693">
            <w:pPr>
              <w:pStyle w:val="TableText"/>
              <w:widowControl w:val="0"/>
              <w:suppressAutoHyphens w:val="0"/>
              <w:spacing w:before="0" w:after="0" w:line="240" w:lineRule="auto"/>
              <w:jc w:val="center"/>
            </w:pPr>
            <w:r>
              <w:rPr>
                <w:color w:val="1A1B1A"/>
                <w:szCs w:val="17"/>
              </w:rPr>
              <w:t>5.7</w:t>
            </w:r>
          </w:p>
        </w:tc>
        <w:tc>
          <w:tcPr>
            <w:tcW w:w="312" w:type="pct"/>
            <w:tcBorders>
              <w:bottom w:val="single" w:sz="4" w:space="0" w:color="auto"/>
            </w:tcBorders>
            <w:vAlign w:val="center"/>
          </w:tcPr>
          <w:p w14:paraId="56E5F734" w14:textId="77777777" w:rsidR="00CE1436" w:rsidRPr="00886278" w:rsidRDefault="00CE1436" w:rsidP="00444693">
            <w:pPr>
              <w:pStyle w:val="TableText"/>
              <w:widowControl w:val="0"/>
              <w:suppressAutoHyphens w:val="0"/>
              <w:spacing w:before="0" w:after="0" w:line="240" w:lineRule="auto"/>
              <w:jc w:val="center"/>
            </w:pPr>
            <w:r>
              <w:rPr>
                <w:color w:val="1A1B1A"/>
                <w:szCs w:val="17"/>
              </w:rPr>
              <w:t>0.76</w:t>
            </w:r>
          </w:p>
        </w:tc>
        <w:tc>
          <w:tcPr>
            <w:tcW w:w="310" w:type="pct"/>
            <w:tcBorders>
              <w:bottom w:val="single" w:sz="4" w:space="0" w:color="auto"/>
            </w:tcBorders>
            <w:vAlign w:val="center"/>
          </w:tcPr>
          <w:p w14:paraId="4F49637A" w14:textId="77777777" w:rsidR="00CE1436" w:rsidRPr="00886278" w:rsidRDefault="00CE1436" w:rsidP="00444693">
            <w:pPr>
              <w:pStyle w:val="TableText"/>
              <w:widowControl w:val="0"/>
              <w:suppressAutoHyphens w:val="0"/>
              <w:spacing w:before="0" w:after="0" w:line="240" w:lineRule="auto"/>
              <w:jc w:val="center"/>
            </w:pPr>
            <w:r>
              <w:rPr>
                <w:color w:val="1A1B1A"/>
                <w:szCs w:val="17"/>
              </w:rPr>
              <w:t>226</w:t>
            </w:r>
          </w:p>
        </w:tc>
      </w:tr>
    </w:tbl>
    <w:p w14:paraId="62D5EC87" w14:textId="77777777" w:rsidR="00CE1436" w:rsidRDefault="00CE1436" w:rsidP="00CE1436">
      <w:pPr>
        <w:pStyle w:val="SourceTableNote"/>
        <w:widowControl w:val="0"/>
        <w:suppressAutoHyphens w:val="0"/>
        <w:spacing w:line="240" w:lineRule="auto"/>
        <w:rPr>
          <w:sz w:val="17"/>
          <w:szCs w:val="17"/>
        </w:rPr>
      </w:pPr>
      <w:r>
        <w:rPr>
          <w:sz w:val="17"/>
          <w:szCs w:val="17"/>
          <w:vertAlign w:val="superscript"/>
        </w:rPr>
        <w:t>a</w:t>
      </w:r>
      <w:r>
        <w:rPr>
          <w:sz w:val="17"/>
          <w:szCs w:val="17"/>
        </w:rPr>
        <w:t xml:space="preserve"> Value (MAF or TWA) adjusted to account for DT</w:t>
      </w:r>
      <w:r w:rsidRPr="00450770">
        <w:rPr>
          <w:sz w:val="17"/>
          <w:szCs w:val="17"/>
          <w:vertAlign w:val="subscript"/>
        </w:rPr>
        <w:t>50</w:t>
      </w:r>
      <w:r>
        <w:rPr>
          <w:sz w:val="17"/>
          <w:szCs w:val="17"/>
        </w:rPr>
        <w:t xml:space="preserve"> 4.6 d for arthropod food items</w:t>
      </w:r>
    </w:p>
    <w:p w14:paraId="43DFD8D3" w14:textId="77777777" w:rsidR="00CE1436" w:rsidRDefault="00CE1436" w:rsidP="00CE1436">
      <w:pPr>
        <w:pStyle w:val="SourceTableNote"/>
        <w:widowControl w:val="0"/>
        <w:suppressAutoHyphens w:val="0"/>
        <w:spacing w:line="240" w:lineRule="auto"/>
        <w:rPr>
          <w:sz w:val="17"/>
          <w:szCs w:val="17"/>
        </w:rPr>
      </w:pPr>
      <w:r>
        <w:rPr>
          <w:sz w:val="17"/>
          <w:szCs w:val="17"/>
          <w:vertAlign w:val="superscript"/>
        </w:rPr>
        <w:t>b</w:t>
      </w:r>
      <w:r>
        <w:rPr>
          <w:sz w:val="17"/>
          <w:szCs w:val="17"/>
        </w:rPr>
        <w:t xml:space="preserve"> Refined shortcut value used for risk assessment; adjusted for interception values in EFSA (2020)</w:t>
      </w:r>
    </w:p>
    <w:p w14:paraId="7D8DF210" w14:textId="24B388B5" w:rsidR="00CE1436" w:rsidRPr="00401A10" w:rsidRDefault="00CE1436" w:rsidP="00CE1436">
      <w:pPr>
        <w:pStyle w:val="SourceTableNote"/>
        <w:widowControl w:val="0"/>
        <w:suppressAutoHyphens w:val="0"/>
        <w:spacing w:line="240" w:lineRule="auto"/>
        <w:rPr>
          <w:sz w:val="17"/>
          <w:szCs w:val="17"/>
        </w:rPr>
      </w:pPr>
      <w:r w:rsidRPr="00401A10">
        <w:rPr>
          <w:sz w:val="17"/>
          <w:szCs w:val="17"/>
        </w:rPr>
        <w:t xml:space="preserve">Crop groups and situations as indicated in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p>
    <w:p w14:paraId="498C40BB" w14:textId="77777777" w:rsidR="00CE1436" w:rsidRPr="00401A10" w:rsidRDefault="00CE1436" w:rsidP="00CE1436">
      <w:pPr>
        <w:pStyle w:val="SourceTableNote"/>
        <w:widowControl w:val="0"/>
        <w:suppressAutoHyphens w:val="0"/>
        <w:spacing w:line="240" w:lineRule="auto"/>
        <w:rPr>
          <w:sz w:val="17"/>
          <w:szCs w:val="17"/>
        </w:rPr>
      </w:pPr>
      <w:r w:rsidRPr="00401A10">
        <w:rPr>
          <w:sz w:val="17"/>
          <w:szCs w:val="17"/>
        </w:rPr>
        <w:t>Generic focal species and shortcut values for indicated crop groups from EFSA (2009)</w:t>
      </w:r>
      <w:r>
        <w:rPr>
          <w:sz w:val="17"/>
          <w:szCs w:val="17"/>
        </w:rPr>
        <w:t>, unless indicated otherwise</w:t>
      </w:r>
    </w:p>
    <w:p w14:paraId="249C1596" w14:textId="0B152A41" w:rsidR="00CE1436" w:rsidRDefault="00CE1436" w:rsidP="00CE1436">
      <w:pPr>
        <w:pStyle w:val="SourceTableNote"/>
        <w:widowControl w:val="0"/>
        <w:suppressAutoHyphens w:val="0"/>
        <w:spacing w:line="240" w:lineRule="auto"/>
        <w:rPr>
          <w:sz w:val="17"/>
          <w:szCs w:val="17"/>
        </w:rPr>
      </w:pPr>
      <w:r>
        <w:rPr>
          <w:sz w:val="17"/>
          <w:szCs w:val="17"/>
        </w:rPr>
        <w:t>AR (g ac/ha) = application rate, the values quoted</w:t>
      </w:r>
      <w:r w:rsidRPr="00F363D5">
        <w:rPr>
          <w:sz w:val="17"/>
          <w:szCs w:val="17"/>
        </w:rPr>
        <w:t xml:space="preserve"> </w:t>
      </w:r>
      <w:r>
        <w:rPr>
          <w:sz w:val="17"/>
          <w:szCs w:val="17"/>
        </w:rPr>
        <w:t xml:space="preserve">have been adjusted for FFT (from </w:t>
      </w:r>
      <w:r>
        <w:rPr>
          <w:sz w:val="17"/>
          <w:szCs w:val="17"/>
        </w:rPr>
        <w:fldChar w:fldCharType="begin"/>
      </w:r>
      <w:r>
        <w:rPr>
          <w:sz w:val="17"/>
          <w:szCs w:val="17"/>
        </w:rPr>
        <w:instrText xml:space="preserve"> REF _Ref168386682 \h </w:instrText>
      </w:r>
      <w:r>
        <w:rPr>
          <w:sz w:val="17"/>
          <w:szCs w:val="17"/>
        </w:rPr>
      </w:r>
      <w:r>
        <w:rPr>
          <w:sz w:val="17"/>
          <w:szCs w:val="17"/>
        </w:rPr>
        <w:fldChar w:fldCharType="separate"/>
      </w:r>
      <w:r w:rsidR="008A397D" w:rsidRPr="00D63217">
        <w:t xml:space="preserve">Table </w:t>
      </w:r>
      <w:r w:rsidR="008A397D">
        <w:rPr>
          <w:noProof/>
        </w:rPr>
        <w:t>74</w:t>
      </w:r>
      <w:r>
        <w:rPr>
          <w:sz w:val="17"/>
          <w:szCs w:val="17"/>
        </w:rPr>
        <w:fldChar w:fldCharType="end"/>
      </w:r>
      <w:r>
        <w:rPr>
          <w:sz w:val="17"/>
          <w:szCs w:val="17"/>
        </w:rPr>
        <w:t>)</w:t>
      </w:r>
    </w:p>
    <w:p w14:paraId="12F4D231" w14:textId="77777777" w:rsidR="00CE1436" w:rsidRDefault="00CE1436" w:rsidP="00CE1436">
      <w:pPr>
        <w:pStyle w:val="SourceTableNote"/>
        <w:widowControl w:val="0"/>
        <w:suppressAutoHyphens w:val="0"/>
        <w:spacing w:line="240" w:lineRule="auto"/>
        <w:rPr>
          <w:sz w:val="17"/>
          <w:szCs w:val="17"/>
        </w:rPr>
      </w:pPr>
      <w:r>
        <w:rPr>
          <w:sz w:val="17"/>
          <w:szCs w:val="17"/>
        </w:rPr>
        <w:t>MAF = multiple application factor</w:t>
      </w:r>
    </w:p>
    <w:p w14:paraId="55306C34" w14:textId="77777777" w:rsidR="00CE1436" w:rsidRDefault="00CE1436" w:rsidP="00CE1436">
      <w:pPr>
        <w:pStyle w:val="SourceTableNote"/>
        <w:widowControl w:val="0"/>
        <w:suppressAutoHyphens w:val="0"/>
        <w:spacing w:line="240" w:lineRule="auto"/>
        <w:rPr>
          <w:sz w:val="17"/>
          <w:szCs w:val="17"/>
        </w:rPr>
      </w:pPr>
      <w:r>
        <w:rPr>
          <w:sz w:val="17"/>
          <w:szCs w:val="17"/>
        </w:rPr>
        <w:t xml:space="preserve">PT = </w:t>
      </w:r>
      <w:r w:rsidRPr="00450770">
        <w:rPr>
          <w:sz w:val="17"/>
          <w:szCs w:val="17"/>
        </w:rPr>
        <w:t xml:space="preserve">proportion of daily diet obtained treated </w:t>
      </w:r>
      <w:r>
        <w:rPr>
          <w:sz w:val="17"/>
          <w:szCs w:val="17"/>
        </w:rPr>
        <w:t>area (acute 1.0, chronic 0.5)</w:t>
      </w:r>
    </w:p>
    <w:p w14:paraId="3DB3EEE4" w14:textId="77777777" w:rsidR="00CE1436" w:rsidRDefault="00CE1436" w:rsidP="00CE1436">
      <w:pPr>
        <w:pStyle w:val="SourceTableNote"/>
        <w:widowControl w:val="0"/>
        <w:suppressAutoHyphens w:val="0"/>
        <w:spacing w:line="240" w:lineRule="auto"/>
        <w:rPr>
          <w:sz w:val="17"/>
          <w:szCs w:val="17"/>
        </w:rPr>
      </w:pPr>
      <w:r>
        <w:rPr>
          <w:sz w:val="17"/>
          <w:szCs w:val="17"/>
        </w:rPr>
        <w:t>TWA = time weighted average factor</w:t>
      </w:r>
    </w:p>
    <w:p w14:paraId="3AE07F2A" w14:textId="77777777" w:rsidR="00CE1436" w:rsidRDefault="00CE1436" w:rsidP="00CE1436">
      <w:pPr>
        <w:pStyle w:val="SourceTableNote"/>
        <w:widowControl w:val="0"/>
        <w:suppressAutoHyphens w:val="0"/>
        <w:spacing w:line="240" w:lineRule="auto"/>
        <w:rPr>
          <w:sz w:val="17"/>
          <w:szCs w:val="17"/>
        </w:rPr>
      </w:pPr>
      <w:r>
        <w:rPr>
          <w:sz w:val="17"/>
          <w:szCs w:val="17"/>
        </w:rPr>
        <w:t>DDD (mg ac/kg bw or mg ac/kg bw/d) = daily dietary dose = AR ∕ 1000 × shortcut value × MAF × PT × TWA</w:t>
      </w:r>
    </w:p>
    <w:p w14:paraId="517B3C08" w14:textId="77777777" w:rsidR="00CE1436" w:rsidRPr="00401A10" w:rsidRDefault="00CE1436" w:rsidP="00CE1436">
      <w:pPr>
        <w:pStyle w:val="SourceTableNote"/>
        <w:widowControl w:val="0"/>
        <w:suppressAutoHyphens w:val="0"/>
        <w:spacing w:line="240" w:lineRule="auto"/>
        <w:rPr>
          <w:sz w:val="17"/>
          <w:szCs w:val="17"/>
        </w:rPr>
      </w:pPr>
      <w:r w:rsidRPr="00401A10">
        <w:rPr>
          <w:sz w:val="17"/>
          <w:szCs w:val="17"/>
        </w:rPr>
        <w:lastRenderedPageBreak/>
        <w:t>RAL = regulatory acceptable level</w:t>
      </w:r>
    </w:p>
    <w:p w14:paraId="7FBAED92" w14:textId="77777777" w:rsidR="00CE1436" w:rsidRPr="00401A10" w:rsidRDefault="00CE1436" w:rsidP="00CE1436">
      <w:pPr>
        <w:pStyle w:val="SourceTableNote"/>
        <w:widowControl w:val="0"/>
        <w:suppressAutoHyphens w:val="0"/>
        <w:spacing w:line="240" w:lineRule="auto"/>
        <w:ind w:left="567"/>
        <w:rPr>
          <w:sz w:val="17"/>
          <w:szCs w:val="17"/>
        </w:rPr>
      </w:pPr>
      <w:r w:rsidRPr="00401A10">
        <w:rPr>
          <w:sz w:val="17"/>
          <w:szCs w:val="17"/>
        </w:rPr>
        <w:t>Acute = geomean LD</w:t>
      </w:r>
      <w:r w:rsidRPr="00401A10">
        <w:rPr>
          <w:sz w:val="17"/>
          <w:szCs w:val="17"/>
          <w:vertAlign w:val="subscript"/>
        </w:rPr>
        <w:t>50</w:t>
      </w:r>
      <w:r w:rsidRPr="00401A10">
        <w:rPr>
          <w:sz w:val="17"/>
          <w:szCs w:val="17"/>
        </w:rPr>
        <w:t xml:space="preserve"> 57 mg/kg bw (Fink et al. 1979, Hubbard et al. 2014 and Johnson 1998) and assessment factor of 10</w:t>
      </w:r>
    </w:p>
    <w:p w14:paraId="4139051B" w14:textId="77777777" w:rsidR="00CE1436" w:rsidRPr="00401A10" w:rsidRDefault="00CE1436" w:rsidP="00CE1436">
      <w:pPr>
        <w:pStyle w:val="SourceTableNote"/>
        <w:widowControl w:val="0"/>
        <w:suppressAutoHyphens w:val="0"/>
        <w:spacing w:line="240" w:lineRule="auto"/>
        <w:ind w:left="567"/>
        <w:rPr>
          <w:sz w:val="17"/>
          <w:szCs w:val="17"/>
        </w:rPr>
      </w:pPr>
      <w:r w:rsidRPr="00401A10">
        <w:rPr>
          <w:sz w:val="17"/>
          <w:szCs w:val="17"/>
        </w:rPr>
        <w:t>Chronic = NOEL 2.7 mg/kg bw/d (Fink et al. 1982) and assessment factor of 1</w:t>
      </w:r>
    </w:p>
    <w:p w14:paraId="4385BB71" w14:textId="77777777" w:rsidR="00CE1436" w:rsidRDefault="00CE1436" w:rsidP="00CE1436">
      <w:pPr>
        <w:pStyle w:val="SourceTableNote"/>
        <w:widowControl w:val="0"/>
        <w:suppressAutoHyphens w:val="0"/>
        <w:spacing w:line="240" w:lineRule="auto"/>
        <w:rPr>
          <w:sz w:val="17"/>
          <w:szCs w:val="17"/>
        </w:rPr>
      </w:pPr>
      <w:r>
        <w:rPr>
          <w:sz w:val="17"/>
          <w:szCs w:val="17"/>
        </w:rPr>
        <w:t>RQ = risk quotient = DDD ∕ RAL, RQ ≤1 indicates an acceptable risk</w:t>
      </w:r>
    </w:p>
    <w:p w14:paraId="7C74C7B2" w14:textId="77777777" w:rsidR="00CE1436" w:rsidRPr="00401A10" w:rsidRDefault="00CE1436" w:rsidP="00CE1436">
      <w:pPr>
        <w:pStyle w:val="SourceTableNote"/>
        <w:widowControl w:val="0"/>
        <w:suppressAutoHyphens w:val="0"/>
        <w:spacing w:line="240" w:lineRule="auto"/>
        <w:rPr>
          <w:sz w:val="17"/>
          <w:szCs w:val="17"/>
        </w:rPr>
      </w:pPr>
      <w:r w:rsidRPr="00401A10">
        <w:rPr>
          <w:sz w:val="17"/>
          <w:szCs w:val="17"/>
        </w:rPr>
        <w:t>Max</w:t>
      </w:r>
      <w:r>
        <w:rPr>
          <w:sz w:val="17"/>
          <w:szCs w:val="17"/>
        </w:rPr>
        <w:t xml:space="preserve"> rate </w:t>
      </w:r>
      <w:r w:rsidRPr="00401A10">
        <w:rPr>
          <w:sz w:val="17"/>
          <w:szCs w:val="17"/>
        </w:rPr>
        <w:t>(g ac/ha)</w:t>
      </w:r>
      <w:r>
        <w:rPr>
          <w:sz w:val="17"/>
          <w:szCs w:val="17"/>
        </w:rPr>
        <w:t xml:space="preserve"> </w:t>
      </w:r>
      <w:r w:rsidRPr="00401A10">
        <w:rPr>
          <w:sz w:val="17"/>
          <w:szCs w:val="17"/>
        </w:rPr>
        <w:t xml:space="preserve">= </w:t>
      </w:r>
      <w:r>
        <w:rPr>
          <w:sz w:val="17"/>
          <w:szCs w:val="17"/>
        </w:rPr>
        <w:t xml:space="preserve">maximum acceptable rate, per application = </w:t>
      </w:r>
      <w:r w:rsidRPr="00401A10">
        <w:rPr>
          <w:sz w:val="17"/>
          <w:szCs w:val="17"/>
        </w:rPr>
        <w:t xml:space="preserve">RAL × 1000 / (shortcut value × </w:t>
      </w:r>
      <w:r>
        <w:rPr>
          <w:sz w:val="17"/>
          <w:szCs w:val="17"/>
        </w:rPr>
        <w:t xml:space="preserve">MAF × </w:t>
      </w:r>
      <w:r w:rsidRPr="00401A10">
        <w:rPr>
          <w:sz w:val="17"/>
          <w:szCs w:val="17"/>
        </w:rPr>
        <w:t>PT</w:t>
      </w:r>
      <w:r>
        <w:rPr>
          <w:sz w:val="17"/>
          <w:szCs w:val="17"/>
        </w:rPr>
        <w:t xml:space="preserve"> </w:t>
      </w:r>
      <w:r w:rsidRPr="00401A10">
        <w:rPr>
          <w:sz w:val="17"/>
          <w:szCs w:val="17"/>
        </w:rPr>
        <w:t>× TWA)</w:t>
      </w:r>
    </w:p>
    <w:p w14:paraId="271DFC37" w14:textId="68B41B72" w:rsidR="00CE1436" w:rsidRPr="00B10F80" w:rsidRDefault="00CE1436" w:rsidP="00AC06D7">
      <w:pPr>
        <w:pStyle w:val="AppendixH2"/>
      </w:pPr>
      <w:bookmarkStart w:id="738" w:name="_Toc216682526"/>
      <w:bookmarkStart w:id="739" w:name="_Toc231480934"/>
      <w:r w:rsidRPr="00B10F80">
        <w:t>Weight-of</w:t>
      </w:r>
      <w:r>
        <w:t>-</w:t>
      </w:r>
      <w:r w:rsidRPr="00B10F80">
        <w:t>evidence discussion</w:t>
      </w:r>
      <w:bookmarkEnd w:id="738"/>
      <w:bookmarkEnd w:id="739"/>
    </w:p>
    <w:p w14:paraId="446189E5" w14:textId="59959EF3" w:rsidR="00CE1436" w:rsidRPr="008E1AC0" w:rsidRDefault="00CE1436" w:rsidP="00AC06D7">
      <w:pPr>
        <w:pStyle w:val="NormalText"/>
      </w:pPr>
      <w:r>
        <w:t xml:space="preserve">It is acknowledged that </w:t>
      </w:r>
      <w:r w:rsidRPr="008E1AC0">
        <w:t xml:space="preserve">uncertainties </w:t>
      </w:r>
      <w:r>
        <w:t xml:space="preserve">are inherent in the </w:t>
      </w:r>
      <w:r w:rsidRPr="008E1AC0">
        <w:t xml:space="preserve">risk assessment scheme in general and </w:t>
      </w:r>
      <w:r w:rsidR="00143B86">
        <w:t xml:space="preserve">in </w:t>
      </w:r>
      <w:r w:rsidRPr="008E1AC0">
        <w:t>Tier 1 assessments. These issues are discussed in EFSA (2023) (</w:t>
      </w:r>
      <w:r>
        <w:t>S</w:t>
      </w:r>
      <w:r w:rsidRPr="008E1AC0">
        <w:t>ections 13.1.2 and 13.2)</w:t>
      </w:r>
      <w:r>
        <w:t xml:space="preserve">; that summary is useful, but </w:t>
      </w:r>
      <w:r w:rsidRPr="008E1AC0">
        <w:t xml:space="preserve">differences </w:t>
      </w:r>
      <w:r>
        <w:t xml:space="preserve">in risk assessment </w:t>
      </w:r>
      <w:r w:rsidRPr="008E1AC0">
        <w:t>between EFSA (2023) and EFSA (2009)</w:t>
      </w:r>
      <w:r>
        <w:t xml:space="preserve"> should also be kept in mind</w:t>
      </w:r>
      <w:r w:rsidRPr="008E1AC0">
        <w:t>. Th</w:t>
      </w:r>
      <w:r>
        <w:t>e discussion has not</w:t>
      </w:r>
      <w:r w:rsidRPr="008E1AC0">
        <w:t xml:space="preserve"> been rep</w:t>
      </w:r>
      <w:r>
        <w:t xml:space="preserve">roduced </w:t>
      </w:r>
      <w:r w:rsidRPr="008E1AC0">
        <w:t>here</w:t>
      </w:r>
      <w:r>
        <w:t>,</w:t>
      </w:r>
      <w:r w:rsidRPr="008E1AC0">
        <w:t xml:space="preserve"> but </w:t>
      </w:r>
      <w:r>
        <w:t xml:space="preserve">to </w:t>
      </w:r>
      <w:r w:rsidRPr="008E1AC0">
        <w:t xml:space="preserve">greater or lesser </w:t>
      </w:r>
      <w:r>
        <w:t xml:space="preserve">extent, is </w:t>
      </w:r>
      <w:r w:rsidRPr="008E1AC0">
        <w:t>relevant to the current assessment.</w:t>
      </w:r>
    </w:p>
    <w:p w14:paraId="6CF3EDB5" w14:textId="13FB8DC6" w:rsidR="00CE1436" w:rsidRDefault="00CE1436" w:rsidP="00AC06D7">
      <w:pPr>
        <w:pStyle w:val="NormalText"/>
      </w:pPr>
      <w:r>
        <w:t>T</w:t>
      </w:r>
      <w:r w:rsidRPr="008E1AC0">
        <w:t xml:space="preserve">here are </w:t>
      </w:r>
      <w:r>
        <w:t>additional observations</w:t>
      </w:r>
      <w:r w:rsidRPr="008E1AC0">
        <w:t xml:space="preserve"> that are </w:t>
      </w:r>
      <w:r>
        <w:t xml:space="preserve">relevant </w:t>
      </w:r>
      <w:r w:rsidRPr="008E1AC0">
        <w:t xml:space="preserve">to </w:t>
      </w:r>
      <w:r>
        <w:t xml:space="preserve">the assessment of </w:t>
      </w:r>
      <w:r w:rsidRPr="008E1AC0">
        <w:t xml:space="preserve">paraquat </w:t>
      </w:r>
      <w:r>
        <w:t xml:space="preserve">that </w:t>
      </w:r>
      <w:r w:rsidRPr="008E1AC0">
        <w:t xml:space="preserve">have not or cannot </w:t>
      </w:r>
      <w:r>
        <w:t xml:space="preserve">currently </w:t>
      </w:r>
      <w:r w:rsidRPr="008E1AC0">
        <w:t xml:space="preserve">be accounted for in the quantitative risk assessment. A summary of </w:t>
      </w:r>
      <w:r>
        <w:t xml:space="preserve">these </w:t>
      </w:r>
      <w:r w:rsidRPr="008E1AC0">
        <w:t xml:space="preserve">issues relevant to the risk </w:t>
      </w:r>
      <w:r w:rsidRPr="001F5018">
        <w:t xml:space="preserve">assessment for paraquat is </w:t>
      </w:r>
      <w:r w:rsidRPr="00A762C9">
        <w:rPr>
          <w:rFonts w:cstheme="minorHAnsi"/>
        </w:rPr>
        <w:t xml:space="preserve">included in </w:t>
      </w:r>
      <w:r w:rsidRPr="00A762C9">
        <w:rPr>
          <w:rFonts w:cstheme="minorHAnsi"/>
          <w:highlight w:val="magenta"/>
        </w:rPr>
        <w:fldChar w:fldCharType="begin"/>
      </w:r>
      <w:r w:rsidRPr="00A762C9">
        <w:rPr>
          <w:rFonts w:cstheme="minorHAnsi"/>
        </w:rPr>
        <w:instrText xml:space="preserve"> REF _Ref220573440 \h </w:instrText>
      </w:r>
      <w:r w:rsidRPr="00A762C9">
        <w:rPr>
          <w:rFonts w:cstheme="minorHAnsi"/>
          <w:highlight w:val="magenta"/>
        </w:rPr>
        <w:instrText xml:space="preserve"> \* MERGEFORMAT </w:instrText>
      </w:r>
      <w:r w:rsidRPr="00A762C9">
        <w:rPr>
          <w:rFonts w:cstheme="minorHAnsi"/>
          <w:highlight w:val="magenta"/>
        </w:rPr>
      </w:r>
      <w:r w:rsidRPr="00A762C9">
        <w:rPr>
          <w:rFonts w:cstheme="minorHAnsi"/>
          <w:highlight w:val="magenta"/>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A762C9">
        <w:rPr>
          <w:rFonts w:cstheme="minorHAnsi"/>
          <w:highlight w:val="magenta"/>
        </w:rPr>
        <w:fldChar w:fldCharType="end"/>
      </w:r>
      <w:r w:rsidRPr="00A762C9">
        <w:rPr>
          <w:rFonts w:cstheme="minorHAnsi"/>
        </w:rPr>
        <w:t>. Thes</w:t>
      </w:r>
      <w:r w:rsidRPr="008E1AC0">
        <w:t xml:space="preserve">e </w:t>
      </w:r>
      <w:bookmarkStart w:id="740" w:name="_Hlk204330877"/>
      <w:r w:rsidRPr="008E1AC0">
        <w:t xml:space="preserve">sources of uncertainty </w:t>
      </w:r>
      <w:bookmarkEnd w:id="740"/>
      <w:r w:rsidRPr="008E1AC0">
        <w:t xml:space="preserve">are </w:t>
      </w:r>
      <w:r>
        <w:t xml:space="preserve">not specific to a particular crop and are </w:t>
      </w:r>
      <w:r w:rsidRPr="008E1AC0">
        <w:t xml:space="preserve">applicable to all, or many uses. Issues related to specific crops/uses and </w:t>
      </w:r>
      <w:r>
        <w:t xml:space="preserve">qualitative </w:t>
      </w:r>
      <w:r w:rsidRPr="008E1AC0">
        <w:t xml:space="preserve">data submitted to support those risk assessments has been considered below the table under </w:t>
      </w:r>
      <w:r>
        <w:t xml:space="preserve">the </w:t>
      </w:r>
      <w:r w:rsidRPr="008E1AC0">
        <w:t>relevant heading.</w:t>
      </w:r>
    </w:p>
    <w:p w14:paraId="64F31896" w14:textId="7FEE7A75" w:rsidR="00CE1436" w:rsidRPr="00012C56" w:rsidRDefault="00CE1436" w:rsidP="00012C56">
      <w:pPr>
        <w:pStyle w:val="Caption"/>
        <w:rPr>
          <w:rStyle w:val="FigurecaptionChar"/>
          <w:szCs w:val="22"/>
        </w:rPr>
      </w:pPr>
      <w:bookmarkStart w:id="741" w:name="_Ref220573440"/>
      <w:bookmarkStart w:id="742" w:name="_Hlk220590259"/>
      <w:bookmarkStart w:id="743" w:name="_Toc230692345"/>
      <w:bookmarkStart w:id="744" w:name="_Toc233036566"/>
      <w:r w:rsidRPr="00012C56">
        <w:t>Table</w:t>
      </w:r>
      <w:r w:rsidRPr="00012C56">
        <w:rPr>
          <w:rStyle w:val="FigurecaptionChar"/>
          <w:szCs w:val="22"/>
        </w:rPr>
        <w:t xml:space="preserve"> </w:t>
      </w:r>
      <w:r w:rsidRPr="00012C56">
        <w:rPr>
          <w:rStyle w:val="FigurecaptionChar"/>
          <w:szCs w:val="22"/>
        </w:rPr>
        <w:fldChar w:fldCharType="begin"/>
      </w:r>
      <w:r w:rsidRPr="00012C56">
        <w:rPr>
          <w:rStyle w:val="FigurecaptionChar"/>
          <w:szCs w:val="22"/>
        </w:rPr>
        <w:instrText xml:space="preserve"> SEQ Table \* ARABIC </w:instrText>
      </w:r>
      <w:r w:rsidRPr="00012C56">
        <w:rPr>
          <w:rStyle w:val="FigurecaptionChar"/>
          <w:szCs w:val="22"/>
        </w:rPr>
        <w:fldChar w:fldCharType="separate"/>
      </w:r>
      <w:r w:rsidR="008A397D" w:rsidRPr="00012C56">
        <w:rPr>
          <w:rStyle w:val="FigurecaptionChar"/>
          <w:szCs w:val="22"/>
        </w:rPr>
        <w:t>79</w:t>
      </w:r>
      <w:r w:rsidRPr="00012C56">
        <w:rPr>
          <w:rStyle w:val="FigurecaptionChar"/>
          <w:szCs w:val="22"/>
        </w:rPr>
        <w:fldChar w:fldCharType="end"/>
      </w:r>
      <w:bookmarkEnd w:id="741"/>
      <w:r w:rsidRPr="00012C56">
        <w:rPr>
          <w:rStyle w:val="FigurecaptionChar"/>
          <w:szCs w:val="22"/>
        </w:rPr>
        <w:t>: Sources of uncertainty relevant to a weight of evidence argument</w:t>
      </w:r>
      <w:bookmarkEnd w:id="742"/>
      <w:bookmarkEnd w:id="743"/>
      <w:bookmarkEnd w:id="744"/>
    </w:p>
    <w:tbl>
      <w:tblPr>
        <w:tblW w:w="5000" w:type="pct"/>
        <w:tblLayout w:type="fixed"/>
        <w:tblCellMar>
          <w:top w:w="57" w:type="dxa"/>
          <w:left w:w="57" w:type="dxa"/>
          <w:bottom w:w="57" w:type="dxa"/>
          <w:right w:w="57" w:type="dxa"/>
        </w:tblCellMar>
        <w:tblLook w:val="0000" w:firstRow="0" w:lastRow="0" w:firstColumn="0" w:lastColumn="0" w:noHBand="0" w:noVBand="0"/>
      </w:tblPr>
      <w:tblGrid>
        <w:gridCol w:w="1276"/>
        <w:gridCol w:w="993"/>
        <w:gridCol w:w="7369"/>
      </w:tblGrid>
      <w:tr w:rsidR="00CE1436" w14:paraId="4BD14283" w14:textId="77777777" w:rsidTr="00444693">
        <w:trPr>
          <w:cantSplit/>
          <w:tblHeader/>
        </w:trPr>
        <w:tc>
          <w:tcPr>
            <w:tcW w:w="662" w:type="pct"/>
            <w:tcBorders>
              <w:top w:val="single" w:sz="4" w:space="0" w:color="auto"/>
              <w:bottom w:val="single" w:sz="4" w:space="0" w:color="auto"/>
            </w:tcBorders>
            <w:shd w:val="clear" w:color="auto" w:fill="5C2946"/>
          </w:tcPr>
          <w:p w14:paraId="5D03189E" w14:textId="77777777" w:rsidR="00CE1436" w:rsidRPr="00012C56" w:rsidRDefault="00CE1436" w:rsidP="00012C56">
            <w:pPr>
              <w:pStyle w:val="TableHead"/>
            </w:pPr>
            <w:r w:rsidRPr="00012C56">
              <w:t>Source of uncertainty</w:t>
            </w:r>
          </w:p>
        </w:tc>
        <w:tc>
          <w:tcPr>
            <w:tcW w:w="515" w:type="pct"/>
            <w:tcBorders>
              <w:top w:val="single" w:sz="4" w:space="0" w:color="auto"/>
              <w:bottom w:val="single" w:sz="4" w:space="0" w:color="auto"/>
            </w:tcBorders>
            <w:shd w:val="clear" w:color="auto" w:fill="5C2946"/>
          </w:tcPr>
          <w:p w14:paraId="5AD45557" w14:textId="77777777" w:rsidR="00CE1436" w:rsidRPr="00012C56" w:rsidRDefault="00CE1436" w:rsidP="00012C56">
            <w:pPr>
              <w:pStyle w:val="TableHead"/>
            </w:pPr>
            <w:r w:rsidRPr="00012C56">
              <w:t>Relevant taxa</w:t>
            </w:r>
          </w:p>
        </w:tc>
        <w:tc>
          <w:tcPr>
            <w:tcW w:w="3823" w:type="pct"/>
            <w:tcBorders>
              <w:top w:val="single" w:sz="4" w:space="0" w:color="auto"/>
              <w:bottom w:val="single" w:sz="4" w:space="0" w:color="auto"/>
            </w:tcBorders>
            <w:shd w:val="clear" w:color="auto" w:fill="5C2946"/>
          </w:tcPr>
          <w:p w14:paraId="1EDAD2AF" w14:textId="77777777" w:rsidR="00CE1436" w:rsidRPr="00012C56" w:rsidRDefault="00CE1436" w:rsidP="00012C56">
            <w:pPr>
              <w:pStyle w:val="TableHead"/>
            </w:pPr>
            <w:r w:rsidRPr="00012C56">
              <w:t>Discussion</w:t>
            </w:r>
          </w:p>
        </w:tc>
      </w:tr>
      <w:tr w:rsidR="00CE1436" w14:paraId="498932C4" w14:textId="77777777" w:rsidTr="00444693">
        <w:trPr>
          <w:cantSplit/>
          <w:trHeight w:val="13"/>
        </w:trPr>
        <w:tc>
          <w:tcPr>
            <w:tcW w:w="662" w:type="pct"/>
            <w:vMerge w:val="restart"/>
            <w:tcBorders>
              <w:top w:val="single" w:sz="4" w:space="0" w:color="auto"/>
            </w:tcBorders>
          </w:tcPr>
          <w:p w14:paraId="35F18B9C" w14:textId="77777777" w:rsidR="00CE1436" w:rsidRDefault="00CE1436" w:rsidP="00444693">
            <w:pPr>
              <w:pStyle w:val="TableText"/>
              <w:widowControl w:val="0"/>
              <w:suppressAutoHyphens w:val="0"/>
              <w:spacing w:before="0" w:after="0" w:line="240" w:lineRule="auto"/>
              <w:rPr>
                <w:szCs w:val="17"/>
              </w:rPr>
            </w:pPr>
            <w:r>
              <w:rPr>
                <w:szCs w:val="17"/>
              </w:rPr>
              <w:t>Acute dietary exposure</w:t>
            </w:r>
          </w:p>
        </w:tc>
        <w:tc>
          <w:tcPr>
            <w:tcW w:w="515" w:type="pct"/>
            <w:tcBorders>
              <w:top w:val="single" w:sz="4" w:space="0" w:color="auto"/>
              <w:bottom w:val="single" w:sz="4" w:space="0" w:color="auto"/>
            </w:tcBorders>
          </w:tcPr>
          <w:p w14:paraId="0E85A85B" w14:textId="77777777" w:rsidR="00CE1436" w:rsidRDefault="00CE1436" w:rsidP="00444693">
            <w:pPr>
              <w:pStyle w:val="TableText"/>
              <w:widowControl w:val="0"/>
              <w:suppressAutoHyphens w:val="0"/>
              <w:spacing w:before="0" w:after="0" w:line="240" w:lineRule="auto"/>
              <w:rPr>
                <w:szCs w:val="17"/>
              </w:rPr>
            </w:pPr>
            <w:r>
              <w:rPr>
                <w:szCs w:val="17"/>
              </w:rPr>
              <w:t>Birds</w:t>
            </w:r>
          </w:p>
        </w:tc>
        <w:tc>
          <w:tcPr>
            <w:tcW w:w="3823" w:type="pct"/>
            <w:tcBorders>
              <w:top w:val="single" w:sz="4" w:space="0" w:color="auto"/>
              <w:bottom w:val="single" w:sz="4" w:space="0" w:color="auto"/>
            </w:tcBorders>
          </w:tcPr>
          <w:p w14:paraId="389865E1" w14:textId="77777777" w:rsidR="00CE1436" w:rsidRDefault="00CE1436" w:rsidP="00444693">
            <w:pPr>
              <w:pStyle w:val="TableText"/>
              <w:widowControl w:val="0"/>
              <w:suppressAutoHyphens w:val="0"/>
              <w:spacing w:before="0" w:after="0" w:line="240" w:lineRule="auto"/>
              <w:rPr>
                <w:szCs w:val="17"/>
              </w:rPr>
            </w:pPr>
            <w:r>
              <w:rPr>
                <w:szCs w:val="17"/>
              </w:rPr>
              <w:t>The available dietary exposure study (Hill et al. 1975) is not considered suitable to determine a regulatory acceptable level when expressed as a dose (mg ac/kg bw). However, as implied by this study, it is possible that dietary exposure would result in lower levels of exposure than predicted by the current assumptions of the quantitative risk assessment. Reliable confirmatory experimental information would be required to establish what magnitude of effect occurs.</w:t>
            </w:r>
          </w:p>
        </w:tc>
      </w:tr>
      <w:tr w:rsidR="00CE1436" w14:paraId="691BB2AA" w14:textId="77777777" w:rsidTr="00444693">
        <w:trPr>
          <w:cantSplit/>
          <w:trHeight w:val="13"/>
        </w:trPr>
        <w:tc>
          <w:tcPr>
            <w:tcW w:w="662" w:type="pct"/>
            <w:vMerge/>
            <w:tcBorders>
              <w:bottom w:val="single" w:sz="4" w:space="0" w:color="auto"/>
            </w:tcBorders>
          </w:tcPr>
          <w:p w14:paraId="2F6D74BA" w14:textId="77777777" w:rsidR="00CE1436" w:rsidRDefault="00CE1436" w:rsidP="00444693">
            <w:pPr>
              <w:pStyle w:val="TableText"/>
              <w:widowControl w:val="0"/>
              <w:suppressAutoHyphens w:val="0"/>
              <w:spacing w:before="0" w:after="0" w:line="240" w:lineRule="auto"/>
              <w:rPr>
                <w:szCs w:val="17"/>
              </w:rPr>
            </w:pPr>
          </w:p>
        </w:tc>
        <w:tc>
          <w:tcPr>
            <w:tcW w:w="515" w:type="pct"/>
            <w:tcBorders>
              <w:top w:val="single" w:sz="4" w:space="0" w:color="auto"/>
              <w:bottom w:val="single" w:sz="4" w:space="0" w:color="auto"/>
            </w:tcBorders>
          </w:tcPr>
          <w:p w14:paraId="1523D026" w14:textId="77777777" w:rsidR="00CE1436" w:rsidRDefault="00CE1436" w:rsidP="00444693">
            <w:pPr>
              <w:pStyle w:val="TableText"/>
              <w:widowControl w:val="0"/>
              <w:suppressAutoHyphens w:val="0"/>
              <w:spacing w:before="0" w:after="0" w:line="240" w:lineRule="auto"/>
              <w:rPr>
                <w:szCs w:val="17"/>
              </w:rPr>
            </w:pPr>
            <w:r>
              <w:rPr>
                <w:szCs w:val="17"/>
              </w:rPr>
              <w:t>Mammals</w:t>
            </w:r>
          </w:p>
        </w:tc>
        <w:tc>
          <w:tcPr>
            <w:tcW w:w="3823" w:type="pct"/>
            <w:tcBorders>
              <w:top w:val="single" w:sz="4" w:space="0" w:color="auto"/>
              <w:bottom w:val="single" w:sz="4" w:space="0" w:color="auto"/>
            </w:tcBorders>
          </w:tcPr>
          <w:p w14:paraId="19F50DB6" w14:textId="6955B2C0" w:rsidR="00CE1436" w:rsidRDefault="00CE1436" w:rsidP="00444693">
            <w:pPr>
              <w:pStyle w:val="TableText"/>
              <w:widowControl w:val="0"/>
              <w:suppressAutoHyphens w:val="0"/>
              <w:spacing w:before="0" w:after="0" w:line="240" w:lineRule="auto"/>
              <w:rPr>
                <w:szCs w:val="17"/>
              </w:rPr>
            </w:pPr>
            <w:r>
              <w:rPr>
                <w:szCs w:val="17"/>
              </w:rPr>
              <w:t xml:space="preserve">Theoretically there may be a difference between dietary and oral dosing. The results reported in </w:t>
            </w:r>
            <w:r w:rsidRPr="00ED3CE7">
              <w:rPr>
                <w:szCs w:val="17"/>
              </w:rPr>
              <w:t>Linder &amp; Richmond</w:t>
            </w:r>
            <w:r>
              <w:rPr>
                <w:szCs w:val="17"/>
              </w:rPr>
              <w:t xml:space="preserve"> (</w:t>
            </w:r>
            <w:r w:rsidRPr="00ED3CE7">
              <w:rPr>
                <w:szCs w:val="17"/>
              </w:rPr>
              <w:t>1990</w:t>
            </w:r>
            <w:r>
              <w:rPr>
                <w:szCs w:val="17"/>
              </w:rPr>
              <w:t>) imply this could be the case (5d LC</w:t>
            </w:r>
            <w:r w:rsidRPr="00CC2AED">
              <w:rPr>
                <w:szCs w:val="17"/>
                <w:vertAlign w:val="subscript"/>
              </w:rPr>
              <w:t>50</w:t>
            </w:r>
            <w:r>
              <w:rPr>
                <w:szCs w:val="17"/>
              </w:rPr>
              <w:t xml:space="preserve"> 1665 ppm for </w:t>
            </w:r>
            <w:r w:rsidRPr="00ED3CE7">
              <w:rPr>
                <w:i/>
                <w:iCs/>
                <w:szCs w:val="17"/>
              </w:rPr>
              <w:t>Microtus ochrogaster</w:t>
            </w:r>
            <w:r>
              <w:rPr>
                <w:szCs w:val="17"/>
              </w:rPr>
              <w:t>). However, this study is not reported in enough detail to establish a RAL in terms of a dose. Therefore, as for birds, reliable confirmatory information would be required to set an endpoint for risk assessment based on dietary exposure.</w:t>
            </w:r>
          </w:p>
        </w:tc>
      </w:tr>
      <w:tr w:rsidR="00CE1436" w14:paraId="7A6D1C3B" w14:textId="77777777" w:rsidTr="00444693">
        <w:trPr>
          <w:cantSplit/>
          <w:trHeight w:val="13"/>
        </w:trPr>
        <w:tc>
          <w:tcPr>
            <w:tcW w:w="662" w:type="pct"/>
            <w:tcBorders>
              <w:bottom w:val="single" w:sz="4" w:space="0" w:color="auto"/>
            </w:tcBorders>
          </w:tcPr>
          <w:p w14:paraId="66A222C2" w14:textId="77777777" w:rsidR="00CE1436" w:rsidRDefault="00CE1436" w:rsidP="00444693">
            <w:pPr>
              <w:pStyle w:val="TableText"/>
              <w:widowControl w:val="0"/>
              <w:suppressAutoHyphens w:val="0"/>
              <w:spacing w:before="0" w:after="0" w:line="240" w:lineRule="auto"/>
              <w:rPr>
                <w:szCs w:val="17"/>
              </w:rPr>
            </w:pPr>
            <w:r>
              <w:rPr>
                <w:szCs w:val="17"/>
              </w:rPr>
              <w:t>Indirect mortality</w:t>
            </w:r>
          </w:p>
        </w:tc>
        <w:tc>
          <w:tcPr>
            <w:tcW w:w="515" w:type="pct"/>
            <w:tcBorders>
              <w:top w:val="single" w:sz="4" w:space="0" w:color="auto"/>
              <w:bottom w:val="single" w:sz="4" w:space="0" w:color="auto"/>
            </w:tcBorders>
          </w:tcPr>
          <w:p w14:paraId="751C681B"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5DD2C8C5" w14:textId="77777777" w:rsidR="00CE1436" w:rsidRDefault="00CE1436" w:rsidP="00444693">
            <w:pPr>
              <w:pStyle w:val="TableText"/>
              <w:widowControl w:val="0"/>
              <w:suppressAutoHyphens w:val="0"/>
              <w:spacing w:before="0" w:after="0" w:line="240" w:lineRule="auto"/>
              <w:rPr>
                <w:szCs w:val="17"/>
              </w:rPr>
            </w:pPr>
            <w:r>
              <w:rPr>
                <w:szCs w:val="17"/>
              </w:rPr>
              <w:t>The toxicological studies for birds and mammals do not account for indirect mortality, e.g. starvation and/or dehydration due to impaired foraging performance following sub-lethal exposure to paraquat. Paraquat exposure has been observed to result in reduced food consumption and can damage the digestive tract. The prevalence of any such effects under real world conditions is unknown. This source of uncertainty should be acknowledged in a weight-of-evidence argument.</w:t>
            </w:r>
          </w:p>
        </w:tc>
      </w:tr>
      <w:tr w:rsidR="00CE1436" w14:paraId="04FC1330" w14:textId="77777777" w:rsidTr="00444693">
        <w:trPr>
          <w:cantSplit/>
          <w:trHeight w:val="13"/>
        </w:trPr>
        <w:tc>
          <w:tcPr>
            <w:tcW w:w="662" w:type="pct"/>
            <w:tcBorders>
              <w:bottom w:val="single" w:sz="4" w:space="0" w:color="auto"/>
            </w:tcBorders>
          </w:tcPr>
          <w:p w14:paraId="46E10E80" w14:textId="77777777" w:rsidR="00CE1436" w:rsidRDefault="00CE1436" w:rsidP="00444693">
            <w:pPr>
              <w:pStyle w:val="TableText"/>
              <w:widowControl w:val="0"/>
              <w:suppressAutoHyphens w:val="0"/>
              <w:spacing w:before="0" w:after="0" w:line="240" w:lineRule="auto"/>
              <w:rPr>
                <w:szCs w:val="17"/>
              </w:rPr>
            </w:pPr>
            <w:r>
              <w:rPr>
                <w:szCs w:val="17"/>
              </w:rPr>
              <w:t>Contact exposure</w:t>
            </w:r>
          </w:p>
        </w:tc>
        <w:tc>
          <w:tcPr>
            <w:tcW w:w="515" w:type="pct"/>
            <w:tcBorders>
              <w:top w:val="single" w:sz="4" w:space="0" w:color="auto"/>
              <w:bottom w:val="single" w:sz="4" w:space="0" w:color="auto"/>
            </w:tcBorders>
          </w:tcPr>
          <w:p w14:paraId="42F62322"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77AEB8FF" w14:textId="77777777" w:rsidR="00CE1436" w:rsidRDefault="00CE1436" w:rsidP="00444693">
            <w:pPr>
              <w:pStyle w:val="TableText"/>
              <w:widowControl w:val="0"/>
              <w:suppressAutoHyphens w:val="0"/>
              <w:spacing w:before="0" w:after="0" w:line="240" w:lineRule="auto"/>
              <w:rPr>
                <w:szCs w:val="17"/>
              </w:rPr>
            </w:pPr>
            <w:r>
              <w:rPr>
                <w:szCs w:val="17"/>
              </w:rPr>
              <w:t>Paraquat can have toxicological effects due to contact exposure, being both an irritant and potentially causing mortality depending on the specific site of exposure. This would primarily be expected to be of significance to organisms that remain in the treated area during spraying or that enter shortly after spraying before spray deposits have dried. Contact exposure is not considered within the quantitative risk assessment but should be acknowledged as source of uncertainty within a weight-of-evidence argument.</w:t>
            </w:r>
          </w:p>
        </w:tc>
      </w:tr>
      <w:tr w:rsidR="00CE1436" w:rsidRPr="00ED3CE7" w14:paraId="0E3208D5" w14:textId="77777777" w:rsidTr="00444693">
        <w:trPr>
          <w:cantSplit/>
          <w:trHeight w:val="13"/>
        </w:trPr>
        <w:tc>
          <w:tcPr>
            <w:tcW w:w="662" w:type="pct"/>
            <w:vMerge w:val="restart"/>
          </w:tcPr>
          <w:p w14:paraId="5578D85A" w14:textId="77777777" w:rsidR="00CE1436" w:rsidRDefault="00CE1436" w:rsidP="00444693">
            <w:pPr>
              <w:pStyle w:val="TableText"/>
              <w:widowControl w:val="0"/>
              <w:suppressAutoHyphens w:val="0"/>
              <w:spacing w:before="0" w:after="0" w:line="240" w:lineRule="auto"/>
              <w:rPr>
                <w:szCs w:val="17"/>
              </w:rPr>
            </w:pPr>
            <w:r>
              <w:rPr>
                <w:szCs w:val="17"/>
              </w:rPr>
              <w:lastRenderedPageBreak/>
              <w:t>Avoidance</w:t>
            </w:r>
          </w:p>
        </w:tc>
        <w:tc>
          <w:tcPr>
            <w:tcW w:w="515" w:type="pct"/>
            <w:tcBorders>
              <w:top w:val="single" w:sz="4" w:space="0" w:color="auto"/>
              <w:bottom w:val="single" w:sz="4" w:space="0" w:color="auto"/>
            </w:tcBorders>
          </w:tcPr>
          <w:p w14:paraId="1810CC37" w14:textId="77777777" w:rsidR="00CE1436" w:rsidRDefault="00CE1436" w:rsidP="00444693">
            <w:pPr>
              <w:pStyle w:val="TableText"/>
              <w:widowControl w:val="0"/>
              <w:suppressAutoHyphens w:val="0"/>
              <w:spacing w:before="0" w:after="0" w:line="240" w:lineRule="auto"/>
              <w:rPr>
                <w:szCs w:val="17"/>
              </w:rPr>
            </w:pPr>
            <w:r>
              <w:rPr>
                <w:szCs w:val="17"/>
              </w:rPr>
              <w:t>Birds</w:t>
            </w:r>
          </w:p>
        </w:tc>
        <w:tc>
          <w:tcPr>
            <w:tcW w:w="3823" w:type="pct"/>
            <w:tcBorders>
              <w:top w:val="single" w:sz="4" w:space="0" w:color="auto"/>
              <w:bottom w:val="single" w:sz="4" w:space="0" w:color="auto"/>
            </w:tcBorders>
          </w:tcPr>
          <w:p w14:paraId="57771373" w14:textId="77777777" w:rsidR="00CE1436" w:rsidRPr="00ED3CE7" w:rsidRDefault="00CE1436" w:rsidP="00444693">
            <w:pPr>
              <w:pStyle w:val="TableText"/>
              <w:widowControl w:val="0"/>
              <w:suppressAutoHyphens w:val="0"/>
              <w:spacing w:before="0" w:after="0" w:line="240" w:lineRule="auto"/>
              <w:rPr>
                <w:szCs w:val="17"/>
              </w:rPr>
            </w:pPr>
            <w:r>
              <w:rPr>
                <w:szCs w:val="17"/>
              </w:rPr>
              <w:t>Specific examples of food avoidance have not been identified for birds. Food avoidance is plausible given the properties of paraquat, the information available for mammals (see below) and observations from the long-term exposure studies</w:t>
            </w:r>
            <w:r>
              <w:rPr>
                <w:rStyle w:val="FootnoteReference"/>
                <w:szCs w:val="17"/>
              </w:rPr>
              <w:footnoteReference w:id="68"/>
            </w:r>
            <w:r>
              <w:rPr>
                <w:szCs w:val="17"/>
              </w:rPr>
              <w:t>. However, reliable quantifiable estimates of the impact of food avoidance cannot be established.</w:t>
            </w:r>
          </w:p>
        </w:tc>
      </w:tr>
      <w:tr w:rsidR="00CE1436" w:rsidRPr="00ED3CE7" w14:paraId="30416CDA" w14:textId="77777777" w:rsidTr="00444693">
        <w:trPr>
          <w:cantSplit/>
          <w:trHeight w:val="13"/>
        </w:trPr>
        <w:tc>
          <w:tcPr>
            <w:tcW w:w="662" w:type="pct"/>
            <w:vMerge/>
            <w:tcBorders>
              <w:bottom w:val="single" w:sz="4" w:space="0" w:color="auto"/>
            </w:tcBorders>
          </w:tcPr>
          <w:p w14:paraId="308995FE" w14:textId="77777777" w:rsidR="00CE1436" w:rsidRDefault="00CE1436" w:rsidP="00444693">
            <w:pPr>
              <w:pStyle w:val="TableText"/>
              <w:widowControl w:val="0"/>
              <w:suppressAutoHyphens w:val="0"/>
              <w:spacing w:before="0" w:after="0" w:line="240" w:lineRule="auto"/>
              <w:rPr>
                <w:szCs w:val="17"/>
              </w:rPr>
            </w:pPr>
          </w:p>
        </w:tc>
        <w:tc>
          <w:tcPr>
            <w:tcW w:w="515" w:type="pct"/>
            <w:tcBorders>
              <w:top w:val="single" w:sz="4" w:space="0" w:color="auto"/>
              <w:bottom w:val="single" w:sz="4" w:space="0" w:color="auto"/>
            </w:tcBorders>
          </w:tcPr>
          <w:p w14:paraId="294BF71C" w14:textId="77777777" w:rsidR="00CE1436" w:rsidRDefault="00CE1436" w:rsidP="00444693">
            <w:pPr>
              <w:pStyle w:val="TableText"/>
              <w:widowControl w:val="0"/>
              <w:suppressAutoHyphens w:val="0"/>
              <w:spacing w:before="0" w:after="0" w:line="240" w:lineRule="auto"/>
              <w:rPr>
                <w:szCs w:val="17"/>
              </w:rPr>
            </w:pPr>
            <w:r>
              <w:rPr>
                <w:szCs w:val="17"/>
              </w:rPr>
              <w:t>Mammals</w:t>
            </w:r>
          </w:p>
        </w:tc>
        <w:tc>
          <w:tcPr>
            <w:tcW w:w="3823" w:type="pct"/>
            <w:tcBorders>
              <w:top w:val="single" w:sz="4" w:space="0" w:color="auto"/>
              <w:bottom w:val="single" w:sz="4" w:space="0" w:color="auto"/>
            </w:tcBorders>
          </w:tcPr>
          <w:p w14:paraId="6253ABBC" w14:textId="3616363E" w:rsidR="00CE1436" w:rsidRDefault="00CE1436" w:rsidP="00444693">
            <w:pPr>
              <w:pStyle w:val="TableText"/>
              <w:widowControl w:val="0"/>
              <w:suppressAutoHyphens w:val="0"/>
              <w:spacing w:before="0" w:after="0" w:line="240" w:lineRule="auto"/>
              <w:rPr>
                <w:szCs w:val="17"/>
              </w:rPr>
            </w:pPr>
            <w:r w:rsidRPr="00ED3CE7">
              <w:rPr>
                <w:szCs w:val="17"/>
              </w:rPr>
              <w:t xml:space="preserve">Experimental data </w:t>
            </w:r>
            <w:r>
              <w:rPr>
                <w:szCs w:val="17"/>
              </w:rPr>
              <w:t>(</w:t>
            </w:r>
            <w:r w:rsidRPr="00ED3CE7">
              <w:rPr>
                <w:szCs w:val="17"/>
              </w:rPr>
              <w:t>Linder &amp; Richmond</w:t>
            </w:r>
            <w:r>
              <w:rPr>
                <w:szCs w:val="17"/>
              </w:rPr>
              <w:t xml:space="preserve">, </w:t>
            </w:r>
            <w:r w:rsidRPr="00ED3CE7">
              <w:rPr>
                <w:szCs w:val="17"/>
              </w:rPr>
              <w:t xml:space="preserve">1990) indicate that </w:t>
            </w:r>
            <w:r w:rsidRPr="00ED3CE7">
              <w:rPr>
                <w:i/>
                <w:iCs/>
                <w:szCs w:val="17"/>
              </w:rPr>
              <w:t>M</w:t>
            </w:r>
            <w:r>
              <w:rPr>
                <w:i/>
                <w:iCs/>
                <w:szCs w:val="17"/>
              </w:rPr>
              <w:t>.</w:t>
            </w:r>
            <w:r w:rsidRPr="00ED3CE7">
              <w:rPr>
                <w:i/>
                <w:iCs/>
                <w:szCs w:val="17"/>
              </w:rPr>
              <w:t xml:space="preserve"> ochrogaster</w:t>
            </w:r>
            <w:r w:rsidRPr="00ED3CE7">
              <w:rPr>
                <w:szCs w:val="17"/>
              </w:rPr>
              <w:t xml:space="preserve"> </w:t>
            </w:r>
            <w:r>
              <w:rPr>
                <w:szCs w:val="17"/>
              </w:rPr>
              <w:t xml:space="preserve">(prairie voles) exhibit </w:t>
            </w:r>
            <w:r w:rsidRPr="00ED3CE7">
              <w:rPr>
                <w:szCs w:val="17"/>
              </w:rPr>
              <w:t>avoidance of paraquat treated food.</w:t>
            </w:r>
            <w:r>
              <w:rPr>
                <w:szCs w:val="17"/>
              </w:rPr>
              <w:t xml:space="preserve"> Starvation, food type, food availability, energy expenditure, paraquat concentration on dietary food items and variations in inter-species sensitivity may alter the impact of any avoidance behaviour under field conditions.</w:t>
            </w:r>
          </w:p>
          <w:p w14:paraId="3EF03ED6" w14:textId="77777777" w:rsidR="00CE1436" w:rsidRDefault="00CE1436" w:rsidP="00444693">
            <w:pPr>
              <w:pStyle w:val="TableText"/>
              <w:widowControl w:val="0"/>
              <w:suppressAutoHyphens w:val="0"/>
              <w:spacing w:before="0" w:after="0" w:line="240" w:lineRule="auto"/>
              <w:rPr>
                <w:szCs w:val="17"/>
              </w:rPr>
            </w:pPr>
          </w:p>
          <w:p w14:paraId="21A77508" w14:textId="77777777" w:rsidR="00CE1436" w:rsidRPr="00ED3CE7" w:rsidRDefault="00CE1436" w:rsidP="00444693">
            <w:pPr>
              <w:pStyle w:val="TableText"/>
              <w:widowControl w:val="0"/>
              <w:suppressAutoHyphens w:val="0"/>
              <w:spacing w:before="0" w:after="0" w:line="240" w:lineRule="auto"/>
              <w:rPr>
                <w:szCs w:val="17"/>
              </w:rPr>
            </w:pPr>
            <w:r>
              <w:rPr>
                <w:szCs w:val="17"/>
              </w:rPr>
              <w:t>The experimental data imply the potential for statistically significant differences in food choice, between treated and untreated food, at concentrations as low as 107 ppm. The risk assessment applies a 90</w:t>
            </w:r>
            <w:r w:rsidRPr="0096279F">
              <w:rPr>
                <w:szCs w:val="17"/>
                <w:vertAlign w:val="superscript"/>
              </w:rPr>
              <w:t>th</w:t>
            </w:r>
            <w:r>
              <w:rPr>
                <w:szCs w:val="17"/>
              </w:rPr>
              <w:t xml:space="preserve"> percentile RUD of 102.3 mg/kg for grass food items. Therefore, at application rates of approximately ≥1.0 kg/ha, assuming no interception, the concentration in vegetation would potentially be sufficient to elicit statistically significant differences in food avoidance – at lower application rates or for other food items (with a lower RUD) the same observation would not necessarily apply.</w:t>
            </w:r>
          </w:p>
        </w:tc>
      </w:tr>
      <w:tr w:rsidR="00CE1436" w:rsidRPr="00CD15E3" w14:paraId="44D2EFCB" w14:textId="77777777" w:rsidTr="00444693">
        <w:trPr>
          <w:cantSplit/>
          <w:trHeight w:val="13"/>
        </w:trPr>
        <w:tc>
          <w:tcPr>
            <w:tcW w:w="662" w:type="pct"/>
            <w:tcBorders>
              <w:bottom w:val="single" w:sz="4" w:space="0" w:color="auto"/>
            </w:tcBorders>
          </w:tcPr>
          <w:p w14:paraId="58F9C2D5" w14:textId="77777777" w:rsidR="00CE1436" w:rsidRDefault="00CE1436" w:rsidP="00444693">
            <w:pPr>
              <w:pStyle w:val="TableText"/>
              <w:widowControl w:val="0"/>
              <w:suppressAutoHyphens w:val="0"/>
              <w:spacing w:before="0" w:after="0" w:line="240" w:lineRule="auto"/>
              <w:rPr>
                <w:szCs w:val="17"/>
              </w:rPr>
            </w:pPr>
            <w:r>
              <w:rPr>
                <w:szCs w:val="17"/>
              </w:rPr>
              <w:t>Dehusking</w:t>
            </w:r>
          </w:p>
        </w:tc>
        <w:tc>
          <w:tcPr>
            <w:tcW w:w="515" w:type="pct"/>
            <w:tcBorders>
              <w:top w:val="single" w:sz="4" w:space="0" w:color="auto"/>
              <w:bottom w:val="single" w:sz="4" w:space="0" w:color="auto"/>
            </w:tcBorders>
          </w:tcPr>
          <w:p w14:paraId="00B444D7"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1EC1AF52" w14:textId="77777777" w:rsidR="00CE1436" w:rsidRDefault="00CE1436" w:rsidP="00444693">
            <w:pPr>
              <w:pStyle w:val="TableText"/>
              <w:widowControl w:val="0"/>
              <w:suppressAutoHyphens w:val="0"/>
              <w:spacing w:before="0" w:after="0" w:line="240" w:lineRule="auto"/>
              <w:rPr>
                <w:szCs w:val="17"/>
              </w:rPr>
            </w:pPr>
            <w:r w:rsidRPr="0031486B">
              <w:rPr>
                <w:szCs w:val="17"/>
              </w:rPr>
              <w:t>Dehusking behaviour has been cited as a mechanism that can reduce exposure for seed eating animals.</w:t>
            </w:r>
            <w:r>
              <w:rPr>
                <w:szCs w:val="17"/>
              </w:rPr>
              <w:t xml:space="preserve"> The study Brühl et al. (2011) and the northern zone guidance (Northern Zone 2020) have been cited to support this argument. These publications look at dehusking amongst wood mice (</w:t>
            </w:r>
            <w:r w:rsidRPr="0031486B">
              <w:rPr>
                <w:i/>
                <w:iCs/>
                <w:szCs w:val="17"/>
              </w:rPr>
              <w:t>Apodemus sylvaticus</w:t>
            </w:r>
            <w:r>
              <w:rPr>
                <w:szCs w:val="17"/>
              </w:rPr>
              <w:t>) presented with treated and dyed seeds. The observed exposure reductions are summarised below:</w:t>
            </w:r>
          </w:p>
          <w:p w14:paraId="076F8DA6" w14:textId="77777777" w:rsidR="00CE1436" w:rsidRDefault="00CE1436" w:rsidP="00444693">
            <w:pPr>
              <w:pStyle w:val="TableText"/>
              <w:widowControl w:val="0"/>
              <w:suppressAutoHyphens w:val="0"/>
              <w:spacing w:before="0" w:after="0" w:line="240" w:lineRule="auto"/>
              <w:rPr>
                <w:szCs w:val="17"/>
              </w:rPr>
            </w:pPr>
          </w:p>
          <w:tbl>
            <w:tblPr>
              <w:tblStyle w:val="TableGrid"/>
              <w:tblW w:w="0" w:type="auto"/>
              <w:tblBorders>
                <w:insideV w:val="none" w:sz="0" w:space="0" w:color="auto"/>
              </w:tblBorders>
              <w:tblLayout w:type="fixed"/>
              <w:tblLook w:val="04A0" w:firstRow="1" w:lastRow="0" w:firstColumn="1" w:lastColumn="0" w:noHBand="0" w:noVBand="1"/>
            </w:tblPr>
            <w:tblGrid>
              <w:gridCol w:w="2136"/>
              <w:gridCol w:w="778"/>
              <w:gridCol w:w="778"/>
              <w:gridCol w:w="842"/>
              <w:gridCol w:w="842"/>
              <w:gridCol w:w="843"/>
              <w:gridCol w:w="1026"/>
            </w:tblGrid>
            <w:tr w:rsidR="00CE1436" w:rsidRPr="0031486B" w14:paraId="7237A7A3" w14:textId="77777777" w:rsidTr="00444693">
              <w:tc>
                <w:tcPr>
                  <w:tcW w:w="2136" w:type="dxa"/>
                  <w:vMerge w:val="restart"/>
                  <w:tcBorders>
                    <w:left w:val="nil"/>
                  </w:tcBorders>
                </w:tcPr>
                <w:p w14:paraId="5D99C267" w14:textId="77777777" w:rsidR="00CE1436" w:rsidRPr="0031486B" w:rsidRDefault="00CE1436" w:rsidP="00444693">
                  <w:pPr>
                    <w:pStyle w:val="TableText"/>
                    <w:widowControl w:val="0"/>
                    <w:suppressAutoHyphens w:val="0"/>
                    <w:spacing w:before="0" w:after="0" w:line="240" w:lineRule="auto"/>
                    <w:rPr>
                      <w:szCs w:val="17"/>
                    </w:rPr>
                  </w:pPr>
                </w:p>
              </w:tc>
              <w:tc>
                <w:tcPr>
                  <w:tcW w:w="1556" w:type="dxa"/>
                  <w:gridSpan w:val="2"/>
                </w:tcPr>
                <w:p w14:paraId="6EC3C83D"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Fungicide treated seeds</w:t>
                  </w:r>
                </w:p>
              </w:tc>
              <w:tc>
                <w:tcPr>
                  <w:tcW w:w="3553" w:type="dxa"/>
                  <w:gridSpan w:val="4"/>
                  <w:tcBorders>
                    <w:right w:val="nil"/>
                  </w:tcBorders>
                </w:tcPr>
                <w:p w14:paraId="67E5B402"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Pigmented seeds</w:t>
                  </w:r>
                </w:p>
              </w:tc>
            </w:tr>
            <w:tr w:rsidR="00CE1436" w:rsidRPr="0031486B" w14:paraId="418E5BAF" w14:textId="77777777" w:rsidTr="00444693">
              <w:tc>
                <w:tcPr>
                  <w:tcW w:w="2136" w:type="dxa"/>
                  <w:vMerge/>
                  <w:tcBorders>
                    <w:left w:val="nil"/>
                    <w:bottom w:val="single" w:sz="4" w:space="0" w:color="auto"/>
                  </w:tcBorders>
                </w:tcPr>
                <w:p w14:paraId="5C26FC2B" w14:textId="77777777" w:rsidR="00CE1436" w:rsidRPr="0031486B" w:rsidRDefault="00CE1436" w:rsidP="00444693">
                  <w:pPr>
                    <w:pStyle w:val="TableText"/>
                    <w:widowControl w:val="0"/>
                    <w:suppressAutoHyphens w:val="0"/>
                    <w:spacing w:before="0" w:after="0" w:line="240" w:lineRule="auto"/>
                    <w:rPr>
                      <w:szCs w:val="17"/>
                    </w:rPr>
                  </w:pPr>
                </w:p>
              </w:tc>
              <w:tc>
                <w:tcPr>
                  <w:tcW w:w="778" w:type="dxa"/>
                  <w:tcBorders>
                    <w:bottom w:val="single" w:sz="4" w:space="0" w:color="auto"/>
                  </w:tcBorders>
                </w:tcPr>
                <w:p w14:paraId="5EA4E372"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Wheat</w:t>
                  </w:r>
                </w:p>
              </w:tc>
              <w:tc>
                <w:tcPr>
                  <w:tcW w:w="778" w:type="dxa"/>
                  <w:tcBorders>
                    <w:bottom w:val="single" w:sz="4" w:space="0" w:color="auto"/>
                  </w:tcBorders>
                </w:tcPr>
                <w:p w14:paraId="76B686D8"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Barley</w:t>
                  </w:r>
                </w:p>
              </w:tc>
              <w:tc>
                <w:tcPr>
                  <w:tcW w:w="842" w:type="dxa"/>
                  <w:tcBorders>
                    <w:bottom w:val="single" w:sz="4" w:space="0" w:color="auto"/>
                  </w:tcBorders>
                </w:tcPr>
                <w:p w14:paraId="53600507"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Wheat</w:t>
                  </w:r>
                </w:p>
              </w:tc>
              <w:tc>
                <w:tcPr>
                  <w:tcW w:w="842" w:type="dxa"/>
                  <w:tcBorders>
                    <w:bottom w:val="single" w:sz="4" w:space="0" w:color="auto"/>
                  </w:tcBorders>
                </w:tcPr>
                <w:p w14:paraId="25ADC16D"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Barley</w:t>
                  </w:r>
                </w:p>
              </w:tc>
              <w:tc>
                <w:tcPr>
                  <w:tcW w:w="843" w:type="dxa"/>
                  <w:tcBorders>
                    <w:bottom w:val="single" w:sz="4" w:space="0" w:color="auto"/>
                  </w:tcBorders>
                </w:tcPr>
                <w:p w14:paraId="15E22AF2"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Maize</w:t>
                  </w:r>
                </w:p>
              </w:tc>
              <w:tc>
                <w:tcPr>
                  <w:tcW w:w="1026" w:type="dxa"/>
                  <w:tcBorders>
                    <w:bottom w:val="single" w:sz="4" w:space="0" w:color="auto"/>
                    <w:right w:val="nil"/>
                  </w:tcBorders>
                </w:tcPr>
                <w:p w14:paraId="2096502C"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Sunflower</w:t>
                  </w:r>
                </w:p>
              </w:tc>
            </w:tr>
            <w:tr w:rsidR="00CE1436" w:rsidRPr="0031486B" w14:paraId="24DA8B08" w14:textId="77777777" w:rsidTr="00444693">
              <w:tc>
                <w:tcPr>
                  <w:tcW w:w="2136" w:type="dxa"/>
                  <w:tcBorders>
                    <w:left w:val="nil"/>
                    <w:bottom w:val="nil"/>
                    <w:right w:val="nil"/>
                  </w:tcBorders>
                </w:tcPr>
                <w:p w14:paraId="0D602F28"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Mean exposure reduction (%)</w:t>
                  </w:r>
                </w:p>
              </w:tc>
              <w:tc>
                <w:tcPr>
                  <w:tcW w:w="778" w:type="dxa"/>
                  <w:tcBorders>
                    <w:left w:val="nil"/>
                    <w:bottom w:val="nil"/>
                    <w:right w:val="nil"/>
                  </w:tcBorders>
                </w:tcPr>
                <w:p w14:paraId="3DFDB832" w14:textId="77777777" w:rsidR="00CE1436" w:rsidRPr="0031486B" w:rsidRDefault="00CE1436" w:rsidP="00444693">
                  <w:pPr>
                    <w:pStyle w:val="TableText"/>
                    <w:widowControl w:val="0"/>
                    <w:suppressAutoHyphens w:val="0"/>
                    <w:spacing w:before="0" w:after="0" w:line="240" w:lineRule="auto"/>
                    <w:rPr>
                      <w:szCs w:val="17"/>
                    </w:rPr>
                  </w:pPr>
                  <w:r>
                    <w:rPr>
                      <w:szCs w:val="17"/>
                    </w:rPr>
                    <w:t>61.4</w:t>
                  </w:r>
                </w:p>
              </w:tc>
              <w:tc>
                <w:tcPr>
                  <w:tcW w:w="778" w:type="dxa"/>
                  <w:tcBorders>
                    <w:left w:val="nil"/>
                    <w:bottom w:val="nil"/>
                    <w:right w:val="nil"/>
                  </w:tcBorders>
                </w:tcPr>
                <w:p w14:paraId="49902583" w14:textId="77777777" w:rsidR="00CE1436" w:rsidRPr="0031486B" w:rsidRDefault="00CE1436" w:rsidP="00444693">
                  <w:pPr>
                    <w:pStyle w:val="TableText"/>
                    <w:widowControl w:val="0"/>
                    <w:suppressAutoHyphens w:val="0"/>
                    <w:spacing w:before="0" w:after="0" w:line="240" w:lineRule="auto"/>
                    <w:rPr>
                      <w:szCs w:val="17"/>
                    </w:rPr>
                  </w:pPr>
                  <w:r>
                    <w:rPr>
                      <w:szCs w:val="17"/>
                    </w:rPr>
                    <w:t>79.5</w:t>
                  </w:r>
                </w:p>
              </w:tc>
              <w:tc>
                <w:tcPr>
                  <w:tcW w:w="842" w:type="dxa"/>
                  <w:tcBorders>
                    <w:left w:val="nil"/>
                    <w:bottom w:val="nil"/>
                    <w:right w:val="nil"/>
                  </w:tcBorders>
                </w:tcPr>
                <w:p w14:paraId="39FBFA24" w14:textId="77777777" w:rsidR="00CE1436" w:rsidRPr="0031486B" w:rsidRDefault="00CE1436" w:rsidP="00444693">
                  <w:pPr>
                    <w:pStyle w:val="TableText"/>
                    <w:widowControl w:val="0"/>
                    <w:suppressAutoHyphens w:val="0"/>
                    <w:spacing w:before="0" w:after="0" w:line="240" w:lineRule="auto"/>
                    <w:rPr>
                      <w:szCs w:val="17"/>
                    </w:rPr>
                  </w:pPr>
                  <w:r>
                    <w:rPr>
                      <w:szCs w:val="17"/>
                    </w:rPr>
                    <w:t>58.0</w:t>
                  </w:r>
                </w:p>
              </w:tc>
              <w:tc>
                <w:tcPr>
                  <w:tcW w:w="842" w:type="dxa"/>
                  <w:tcBorders>
                    <w:left w:val="nil"/>
                    <w:bottom w:val="nil"/>
                    <w:right w:val="nil"/>
                  </w:tcBorders>
                </w:tcPr>
                <w:p w14:paraId="12B811F8" w14:textId="77777777" w:rsidR="00CE1436" w:rsidRPr="0031486B" w:rsidRDefault="00CE1436" w:rsidP="00444693">
                  <w:pPr>
                    <w:pStyle w:val="TableText"/>
                    <w:widowControl w:val="0"/>
                    <w:suppressAutoHyphens w:val="0"/>
                    <w:spacing w:before="0" w:after="0" w:line="240" w:lineRule="auto"/>
                    <w:rPr>
                      <w:szCs w:val="17"/>
                    </w:rPr>
                  </w:pPr>
                  <w:r>
                    <w:rPr>
                      <w:szCs w:val="17"/>
                    </w:rPr>
                    <w:t>84.0</w:t>
                  </w:r>
                </w:p>
              </w:tc>
              <w:tc>
                <w:tcPr>
                  <w:tcW w:w="843" w:type="dxa"/>
                  <w:tcBorders>
                    <w:left w:val="nil"/>
                    <w:bottom w:val="nil"/>
                    <w:right w:val="nil"/>
                  </w:tcBorders>
                </w:tcPr>
                <w:p w14:paraId="3A96173C" w14:textId="77777777" w:rsidR="00CE1436" w:rsidRPr="0031486B" w:rsidRDefault="00CE1436" w:rsidP="00444693">
                  <w:pPr>
                    <w:pStyle w:val="TableText"/>
                    <w:widowControl w:val="0"/>
                    <w:suppressAutoHyphens w:val="0"/>
                    <w:spacing w:before="0" w:after="0" w:line="240" w:lineRule="auto"/>
                    <w:rPr>
                      <w:szCs w:val="17"/>
                    </w:rPr>
                  </w:pPr>
                  <w:r>
                    <w:rPr>
                      <w:szCs w:val="17"/>
                    </w:rPr>
                    <w:t>59.0</w:t>
                  </w:r>
                </w:p>
              </w:tc>
              <w:tc>
                <w:tcPr>
                  <w:tcW w:w="1026" w:type="dxa"/>
                  <w:tcBorders>
                    <w:left w:val="nil"/>
                    <w:bottom w:val="nil"/>
                    <w:right w:val="nil"/>
                  </w:tcBorders>
                </w:tcPr>
                <w:p w14:paraId="2B061EDB" w14:textId="77777777" w:rsidR="00CE1436" w:rsidRPr="0031486B" w:rsidRDefault="00CE1436" w:rsidP="00444693">
                  <w:pPr>
                    <w:pStyle w:val="TableText"/>
                    <w:widowControl w:val="0"/>
                    <w:suppressAutoHyphens w:val="0"/>
                    <w:spacing w:before="0" w:after="0" w:line="240" w:lineRule="auto"/>
                    <w:rPr>
                      <w:szCs w:val="17"/>
                    </w:rPr>
                  </w:pPr>
                  <w:r>
                    <w:rPr>
                      <w:szCs w:val="17"/>
                    </w:rPr>
                    <w:t>98.8</w:t>
                  </w:r>
                </w:p>
              </w:tc>
            </w:tr>
            <w:tr w:rsidR="00CE1436" w:rsidRPr="0031486B" w14:paraId="5C6CD020" w14:textId="77777777" w:rsidTr="00444693">
              <w:tc>
                <w:tcPr>
                  <w:tcW w:w="2136" w:type="dxa"/>
                  <w:tcBorders>
                    <w:top w:val="nil"/>
                    <w:left w:val="nil"/>
                    <w:bottom w:val="single" w:sz="4" w:space="0" w:color="auto"/>
                    <w:right w:val="nil"/>
                  </w:tcBorders>
                </w:tcPr>
                <w:p w14:paraId="6F1472B7"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Dehusking factor</w:t>
                  </w:r>
                </w:p>
              </w:tc>
              <w:tc>
                <w:tcPr>
                  <w:tcW w:w="778" w:type="dxa"/>
                  <w:tcBorders>
                    <w:top w:val="nil"/>
                    <w:left w:val="nil"/>
                    <w:bottom w:val="single" w:sz="4" w:space="0" w:color="auto"/>
                    <w:right w:val="nil"/>
                  </w:tcBorders>
                </w:tcPr>
                <w:p w14:paraId="7E81DB40" w14:textId="77777777" w:rsidR="00CE1436" w:rsidRPr="0031486B" w:rsidRDefault="00CE1436" w:rsidP="00444693">
                  <w:pPr>
                    <w:pStyle w:val="TableText"/>
                    <w:widowControl w:val="0"/>
                    <w:suppressAutoHyphens w:val="0"/>
                    <w:spacing w:before="0" w:after="0" w:line="240" w:lineRule="auto"/>
                    <w:rPr>
                      <w:szCs w:val="17"/>
                    </w:rPr>
                  </w:pPr>
                  <w:r>
                    <w:rPr>
                      <w:szCs w:val="17"/>
                    </w:rPr>
                    <w:t>0.39</w:t>
                  </w:r>
                </w:p>
              </w:tc>
              <w:tc>
                <w:tcPr>
                  <w:tcW w:w="778" w:type="dxa"/>
                  <w:tcBorders>
                    <w:top w:val="nil"/>
                    <w:left w:val="nil"/>
                    <w:bottom w:val="single" w:sz="4" w:space="0" w:color="auto"/>
                    <w:right w:val="nil"/>
                  </w:tcBorders>
                </w:tcPr>
                <w:p w14:paraId="56C5215B" w14:textId="77777777" w:rsidR="00CE1436" w:rsidRPr="0031486B" w:rsidRDefault="00CE1436" w:rsidP="00444693">
                  <w:pPr>
                    <w:pStyle w:val="TableText"/>
                    <w:widowControl w:val="0"/>
                    <w:suppressAutoHyphens w:val="0"/>
                    <w:spacing w:before="0" w:after="0" w:line="240" w:lineRule="auto"/>
                    <w:rPr>
                      <w:szCs w:val="17"/>
                    </w:rPr>
                  </w:pPr>
                  <w:r>
                    <w:rPr>
                      <w:szCs w:val="17"/>
                    </w:rPr>
                    <w:t>0.21</w:t>
                  </w:r>
                </w:p>
              </w:tc>
              <w:tc>
                <w:tcPr>
                  <w:tcW w:w="842" w:type="dxa"/>
                  <w:tcBorders>
                    <w:top w:val="nil"/>
                    <w:left w:val="nil"/>
                    <w:bottom w:val="single" w:sz="4" w:space="0" w:color="auto"/>
                    <w:right w:val="nil"/>
                  </w:tcBorders>
                </w:tcPr>
                <w:p w14:paraId="639D8AAE" w14:textId="77777777" w:rsidR="00CE1436" w:rsidRPr="0031486B" w:rsidRDefault="00CE1436" w:rsidP="00444693">
                  <w:pPr>
                    <w:pStyle w:val="TableText"/>
                    <w:widowControl w:val="0"/>
                    <w:suppressAutoHyphens w:val="0"/>
                    <w:spacing w:before="0" w:after="0" w:line="240" w:lineRule="auto"/>
                    <w:rPr>
                      <w:szCs w:val="17"/>
                    </w:rPr>
                  </w:pPr>
                  <w:r>
                    <w:rPr>
                      <w:szCs w:val="17"/>
                    </w:rPr>
                    <w:t>0.42</w:t>
                  </w:r>
                </w:p>
              </w:tc>
              <w:tc>
                <w:tcPr>
                  <w:tcW w:w="842" w:type="dxa"/>
                  <w:tcBorders>
                    <w:top w:val="nil"/>
                    <w:left w:val="nil"/>
                    <w:bottom w:val="single" w:sz="4" w:space="0" w:color="auto"/>
                    <w:right w:val="nil"/>
                  </w:tcBorders>
                </w:tcPr>
                <w:p w14:paraId="2DDE2142" w14:textId="77777777" w:rsidR="00CE1436" w:rsidRPr="0031486B" w:rsidRDefault="00CE1436" w:rsidP="00444693">
                  <w:pPr>
                    <w:pStyle w:val="TableText"/>
                    <w:widowControl w:val="0"/>
                    <w:suppressAutoHyphens w:val="0"/>
                    <w:spacing w:before="0" w:after="0" w:line="240" w:lineRule="auto"/>
                    <w:rPr>
                      <w:szCs w:val="17"/>
                    </w:rPr>
                  </w:pPr>
                  <w:r>
                    <w:rPr>
                      <w:szCs w:val="17"/>
                    </w:rPr>
                    <w:t>0.16</w:t>
                  </w:r>
                </w:p>
              </w:tc>
              <w:tc>
                <w:tcPr>
                  <w:tcW w:w="843" w:type="dxa"/>
                  <w:tcBorders>
                    <w:top w:val="nil"/>
                    <w:left w:val="nil"/>
                    <w:bottom w:val="single" w:sz="4" w:space="0" w:color="auto"/>
                    <w:right w:val="nil"/>
                  </w:tcBorders>
                </w:tcPr>
                <w:p w14:paraId="3DAEB7F8" w14:textId="77777777" w:rsidR="00CE1436" w:rsidRPr="0031486B" w:rsidRDefault="00CE1436" w:rsidP="00444693">
                  <w:pPr>
                    <w:pStyle w:val="TableText"/>
                    <w:widowControl w:val="0"/>
                    <w:suppressAutoHyphens w:val="0"/>
                    <w:spacing w:before="0" w:after="0" w:line="240" w:lineRule="auto"/>
                    <w:rPr>
                      <w:szCs w:val="17"/>
                    </w:rPr>
                  </w:pPr>
                  <w:r>
                    <w:rPr>
                      <w:szCs w:val="17"/>
                    </w:rPr>
                    <w:t>0.41</w:t>
                  </w:r>
                </w:p>
              </w:tc>
              <w:tc>
                <w:tcPr>
                  <w:tcW w:w="1026" w:type="dxa"/>
                  <w:tcBorders>
                    <w:top w:val="nil"/>
                    <w:left w:val="nil"/>
                    <w:bottom w:val="single" w:sz="4" w:space="0" w:color="auto"/>
                    <w:right w:val="nil"/>
                  </w:tcBorders>
                </w:tcPr>
                <w:p w14:paraId="72D47A82" w14:textId="77777777" w:rsidR="00CE1436" w:rsidRPr="0031486B" w:rsidRDefault="00CE1436" w:rsidP="00444693">
                  <w:pPr>
                    <w:pStyle w:val="TableText"/>
                    <w:widowControl w:val="0"/>
                    <w:suppressAutoHyphens w:val="0"/>
                    <w:spacing w:before="0" w:after="0" w:line="240" w:lineRule="auto"/>
                    <w:rPr>
                      <w:szCs w:val="17"/>
                    </w:rPr>
                  </w:pPr>
                  <w:r>
                    <w:rPr>
                      <w:szCs w:val="17"/>
                    </w:rPr>
                    <w:t>0.01</w:t>
                  </w:r>
                </w:p>
              </w:tc>
            </w:tr>
            <w:tr w:rsidR="00CE1436" w:rsidRPr="0031486B" w14:paraId="549D3C8C" w14:textId="77777777" w:rsidTr="00444693">
              <w:tc>
                <w:tcPr>
                  <w:tcW w:w="2136" w:type="dxa"/>
                  <w:tcBorders>
                    <w:left w:val="nil"/>
                    <w:bottom w:val="nil"/>
                  </w:tcBorders>
                </w:tcPr>
                <w:p w14:paraId="5579420D"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10</w:t>
                  </w:r>
                  <w:r w:rsidRPr="0031486B">
                    <w:rPr>
                      <w:szCs w:val="17"/>
                      <w:vertAlign w:val="superscript"/>
                    </w:rPr>
                    <w:t>th</w:t>
                  </w:r>
                  <w:r w:rsidRPr="0031486B">
                    <w:rPr>
                      <w:szCs w:val="17"/>
                    </w:rPr>
                    <w:t xml:space="preserve"> percentile exposure reduction (%)</w:t>
                  </w:r>
                </w:p>
              </w:tc>
              <w:tc>
                <w:tcPr>
                  <w:tcW w:w="778" w:type="dxa"/>
                  <w:tcBorders>
                    <w:bottom w:val="nil"/>
                  </w:tcBorders>
                </w:tcPr>
                <w:p w14:paraId="27E7D22D" w14:textId="77777777" w:rsidR="00CE1436" w:rsidRPr="0031486B" w:rsidRDefault="00CE1436" w:rsidP="00444693">
                  <w:pPr>
                    <w:pStyle w:val="TableText"/>
                    <w:widowControl w:val="0"/>
                    <w:suppressAutoHyphens w:val="0"/>
                    <w:spacing w:before="0" w:after="0" w:line="240" w:lineRule="auto"/>
                    <w:rPr>
                      <w:szCs w:val="17"/>
                    </w:rPr>
                  </w:pPr>
                  <w:r>
                    <w:rPr>
                      <w:szCs w:val="17"/>
                    </w:rPr>
                    <w:t>40.9</w:t>
                  </w:r>
                </w:p>
              </w:tc>
              <w:tc>
                <w:tcPr>
                  <w:tcW w:w="778" w:type="dxa"/>
                  <w:tcBorders>
                    <w:bottom w:val="nil"/>
                  </w:tcBorders>
                </w:tcPr>
                <w:p w14:paraId="0376DFF1" w14:textId="77777777" w:rsidR="00CE1436" w:rsidRPr="0031486B" w:rsidRDefault="00CE1436" w:rsidP="00444693">
                  <w:pPr>
                    <w:pStyle w:val="TableText"/>
                    <w:widowControl w:val="0"/>
                    <w:suppressAutoHyphens w:val="0"/>
                    <w:spacing w:before="0" w:after="0" w:line="240" w:lineRule="auto"/>
                    <w:rPr>
                      <w:szCs w:val="17"/>
                    </w:rPr>
                  </w:pPr>
                  <w:r>
                    <w:rPr>
                      <w:szCs w:val="17"/>
                    </w:rPr>
                    <w:t>69.3</w:t>
                  </w:r>
                </w:p>
              </w:tc>
              <w:tc>
                <w:tcPr>
                  <w:tcW w:w="842" w:type="dxa"/>
                  <w:tcBorders>
                    <w:bottom w:val="nil"/>
                  </w:tcBorders>
                </w:tcPr>
                <w:p w14:paraId="0279E0FE" w14:textId="77777777" w:rsidR="00CE1436" w:rsidRPr="0031486B" w:rsidRDefault="00CE1436" w:rsidP="00444693">
                  <w:pPr>
                    <w:pStyle w:val="TableText"/>
                    <w:widowControl w:val="0"/>
                    <w:suppressAutoHyphens w:val="0"/>
                    <w:spacing w:before="0" w:after="0" w:line="240" w:lineRule="auto"/>
                    <w:rPr>
                      <w:szCs w:val="17"/>
                    </w:rPr>
                  </w:pPr>
                  <w:r>
                    <w:rPr>
                      <w:szCs w:val="17"/>
                    </w:rPr>
                    <w:t>38.2</w:t>
                  </w:r>
                </w:p>
              </w:tc>
              <w:tc>
                <w:tcPr>
                  <w:tcW w:w="842" w:type="dxa"/>
                  <w:tcBorders>
                    <w:bottom w:val="nil"/>
                  </w:tcBorders>
                </w:tcPr>
                <w:p w14:paraId="18B92BD8" w14:textId="77777777" w:rsidR="00CE1436" w:rsidRPr="0031486B" w:rsidRDefault="00CE1436" w:rsidP="00444693">
                  <w:pPr>
                    <w:pStyle w:val="TableText"/>
                    <w:widowControl w:val="0"/>
                    <w:suppressAutoHyphens w:val="0"/>
                    <w:spacing w:before="0" w:after="0" w:line="240" w:lineRule="auto"/>
                    <w:rPr>
                      <w:szCs w:val="17"/>
                    </w:rPr>
                  </w:pPr>
                  <w:r>
                    <w:rPr>
                      <w:szCs w:val="17"/>
                    </w:rPr>
                    <w:t>71.2</w:t>
                  </w:r>
                </w:p>
              </w:tc>
              <w:tc>
                <w:tcPr>
                  <w:tcW w:w="843" w:type="dxa"/>
                  <w:tcBorders>
                    <w:bottom w:val="nil"/>
                  </w:tcBorders>
                </w:tcPr>
                <w:p w14:paraId="12D3C076" w14:textId="77777777" w:rsidR="00CE1436" w:rsidRPr="0031486B" w:rsidRDefault="00CE1436" w:rsidP="00444693">
                  <w:pPr>
                    <w:pStyle w:val="TableText"/>
                    <w:widowControl w:val="0"/>
                    <w:suppressAutoHyphens w:val="0"/>
                    <w:spacing w:before="0" w:after="0" w:line="240" w:lineRule="auto"/>
                    <w:rPr>
                      <w:szCs w:val="17"/>
                    </w:rPr>
                  </w:pPr>
                  <w:r>
                    <w:rPr>
                      <w:szCs w:val="17"/>
                    </w:rPr>
                    <w:t>41.1</w:t>
                  </w:r>
                </w:p>
              </w:tc>
              <w:tc>
                <w:tcPr>
                  <w:tcW w:w="1026" w:type="dxa"/>
                  <w:tcBorders>
                    <w:bottom w:val="nil"/>
                    <w:right w:val="nil"/>
                  </w:tcBorders>
                </w:tcPr>
                <w:p w14:paraId="608B21D1" w14:textId="77777777" w:rsidR="00CE1436" w:rsidRPr="0031486B" w:rsidRDefault="00CE1436" w:rsidP="00444693">
                  <w:pPr>
                    <w:pStyle w:val="TableText"/>
                    <w:widowControl w:val="0"/>
                    <w:suppressAutoHyphens w:val="0"/>
                    <w:spacing w:before="0" w:after="0" w:line="240" w:lineRule="auto"/>
                    <w:rPr>
                      <w:szCs w:val="17"/>
                    </w:rPr>
                  </w:pPr>
                  <w:r>
                    <w:rPr>
                      <w:szCs w:val="17"/>
                    </w:rPr>
                    <w:t>96.0</w:t>
                  </w:r>
                </w:p>
              </w:tc>
            </w:tr>
            <w:tr w:rsidR="00CE1436" w:rsidRPr="0031486B" w14:paraId="4A841298" w14:textId="77777777" w:rsidTr="00444693">
              <w:tc>
                <w:tcPr>
                  <w:tcW w:w="2136" w:type="dxa"/>
                  <w:tcBorders>
                    <w:top w:val="nil"/>
                    <w:left w:val="nil"/>
                  </w:tcBorders>
                </w:tcPr>
                <w:p w14:paraId="2F2896BC" w14:textId="77777777" w:rsidR="00CE1436" w:rsidRPr="0031486B" w:rsidRDefault="00CE1436" w:rsidP="00444693">
                  <w:pPr>
                    <w:pStyle w:val="TableText"/>
                    <w:widowControl w:val="0"/>
                    <w:suppressAutoHyphens w:val="0"/>
                    <w:spacing w:before="0" w:after="0" w:line="240" w:lineRule="auto"/>
                    <w:rPr>
                      <w:szCs w:val="17"/>
                    </w:rPr>
                  </w:pPr>
                  <w:r w:rsidRPr="0031486B">
                    <w:rPr>
                      <w:szCs w:val="17"/>
                    </w:rPr>
                    <w:t>Dehusking factor</w:t>
                  </w:r>
                </w:p>
              </w:tc>
              <w:tc>
                <w:tcPr>
                  <w:tcW w:w="778" w:type="dxa"/>
                  <w:tcBorders>
                    <w:top w:val="nil"/>
                  </w:tcBorders>
                </w:tcPr>
                <w:p w14:paraId="432B75E6" w14:textId="77777777" w:rsidR="00CE1436" w:rsidRPr="0031486B" w:rsidRDefault="00CE1436" w:rsidP="00444693">
                  <w:pPr>
                    <w:pStyle w:val="TableText"/>
                    <w:widowControl w:val="0"/>
                    <w:suppressAutoHyphens w:val="0"/>
                    <w:spacing w:before="0" w:after="0" w:line="240" w:lineRule="auto"/>
                    <w:rPr>
                      <w:szCs w:val="17"/>
                    </w:rPr>
                  </w:pPr>
                  <w:r>
                    <w:rPr>
                      <w:szCs w:val="17"/>
                    </w:rPr>
                    <w:t>0.59</w:t>
                  </w:r>
                </w:p>
              </w:tc>
              <w:tc>
                <w:tcPr>
                  <w:tcW w:w="778" w:type="dxa"/>
                  <w:tcBorders>
                    <w:top w:val="nil"/>
                  </w:tcBorders>
                </w:tcPr>
                <w:p w14:paraId="7556DCF5" w14:textId="77777777" w:rsidR="00CE1436" w:rsidRPr="0031486B" w:rsidRDefault="00CE1436" w:rsidP="00444693">
                  <w:pPr>
                    <w:pStyle w:val="TableText"/>
                    <w:widowControl w:val="0"/>
                    <w:suppressAutoHyphens w:val="0"/>
                    <w:spacing w:before="0" w:after="0" w:line="240" w:lineRule="auto"/>
                    <w:rPr>
                      <w:szCs w:val="17"/>
                    </w:rPr>
                  </w:pPr>
                  <w:r>
                    <w:rPr>
                      <w:szCs w:val="17"/>
                    </w:rPr>
                    <w:t>0.31</w:t>
                  </w:r>
                </w:p>
              </w:tc>
              <w:tc>
                <w:tcPr>
                  <w:tcW w:w="842" w:type="dxa"/>
                  <w:tcBorders>
                    <w:top w:val="nil"/>
                  </w:tcBorders>
                </w:tcPr>
                <w:p w14:paraId="20678C21" w14:textId="77777777" w:rsidR="00CE1436" w:rsidRPr="0031486B" w:rsidRDefault="00CE1436" w:rsidP="00444693">
                  <w:pPr>
                    <w:pStyle w:val="TableText"/>
                    <w:widowControl w:val="0"/>
                    <w:suppressAutoHyphens w:val="0"/>
                    <w:spacing w:before="0" w:after="0" w:line="240" w:lineRule="auto"/>
                    <w:rPr>
                      <w:szCs w:val="17"/>
                    </w:rPr>
                  </w:pPr>
                  <w:r>
                    <w:rPr>
                      <w:szCs w:val="17"/>
                    </w:rPr>
                    <w:t>0.62</w:t>
                  </w:r>
                </w:p>
              </w:tc>
              <w:tc>
                <w:tcPr>
                  <w:tcW w:w="842" w:type="dxa"/>
                  <w:tcBorders>
                    <w:top w:val="nil"/>
                  </w:tcBorders>
                </w:tcPr>
                <w:p w14:paraId="3F77A1D5" w14:textId="77777777" w:rsidR="00CE1436" w:rsidRPr="0031486B" w:rsidRDefault="00CE1436" w:rsidP="00444693">
                  <w:pPr>
                    <w:pStyle w:val="TableText"/>
                    <w:widowControl w:val="0"/>
                    <w:suppressAutoHyphens w:val="0"/>
                    <w:spacing w:before="0" w:after="0" w:line="240" w:lineRule="auto"/>
                    <w:rPr>
                      <w:szCs w:val="17"/>
                    </w:rPr>
                  </w:pPr>
                  <w:r>
                    <w:rPr>
                      <w:szCs w:val="17"/>
                    </w:rPr>
                    <w:t>0.29</w:t>
                  </w:r>
                </w:p>
              </w:tc>
              <w:tc>
                <w:tcPr>
                  <w:tcW w:w="843" w:type="dxa"/>
                  <w:tcBorders>
                    <w:top w:val="nil"/>
                  </w:tcBorders>
                </w:tcPr>
                <w:p w14:paraId="6B884C08" w14:textId="77777777" w:rsidR="00CE1436" w:rsidRPr="0031486B" w:rsidRDefault="00CE1436" w:rsidP="00444693">
                  <w:pPr>
                    <w:pStyle w:val="TableText"/>
                    <w:widowControl w:val="0"/>
                    <w:suppressAutoHyphens w:val="0"/>
                    <w:spacing w:before="0" w:after="0" w:line="240" w:lineRule="auto"/>
                    <w:rPr>
                      <w:szCs w:val="17"/>
                    </w:rPr>
                  </w:pPr>
                  <w:r>
                    <w:rPr>
                      <w:szCs w:val="17"/>
                    </w:rPr>
                    <w:t>0.59</w:t>
                  </w:r>
                </w:p>
              </w:tc>
              <w:tc>
                <w:tcPr>
                  <w:tcW w:w="1026" w:type="dxa"/>
                  <w:tcBorders>
                    <w:top w:val="nil"/>
                    <w:right w:val="nil"/>
                  </w:tcBorders>
                </w:tcPr>
                <w:p w14:paraId="66D9BF12" w14:textId="77777777" w:rsidR="00CE1436" w:rsidRPr="0031486B" w:rsidRDefault="00CE1436" w:rsidP="00444693">
                  <w:pPr>
                    <w:pStyle w:val="TableText"/>
                    <w:widowControl w:val="0"/>
                    <w:suppressAutoHyphens w:val="0"/>
                    <w:spacing w:before="0" w:after="0" w:line="240" w:lineRule="auto"/>
                    <w:rPr>
                      <w:szCs w:val="17"/>
                    </w:rPr>
                  </w:pPr>
                  <w:r>
                    <w:rPr>
                      <w:szCs w:val="17"/>
                    </w:rPr>
                    <w:t>0.04</w:t>
                  </w:r>
                </w:p>
              </w:tc>
            </w:tr>
          </w:tbl>
          <w:p w14:paraId="47CA3120" w14:textId="77777777" w:rsidR="00CE1436" w:rsidRDefault="00CE1436" w:rsidP="00444693">
            <w:pPr>
              <w:pStyle w:val="TableText"/>
              <w:widowControl w:val="0"/>
              <w:suppressAutoHyphens w:val="0"/>
              <w:spacing w:before="0" w:after="0" w:line="240" w:lineRule="auto"/>
              <w:rPr>
                <w:szCs w:val="17"/>
                <w:highlight w:val="magenta"/>
              </w:rPr>
            </w:pPr>
          </w:p>
          <w:p w14:paraId="32CB85A6" w14:textId="3646C480" w:rsidR="00CE1436" w:rsidRPr="00CD15E3" w:rsidRDefault="00CE1436" w:rsidP="00444693">
            <w:pPr>
              <w:pStyle w:val="TableText"/>
              <w:widowControl w:val="0"/>
              <w:suppressAutoHyphens w:val="0"/>
              <w:spacing w:before="0" w:after="0" w:line="240" w:lineRule="auto"/>
              <w:rPr>
                <w:szCs w:val="17"/>
                <w:highlight w:val="magenta"/>
              </w:rPr>
            </w:pPr>
            <w:r w:rsidRPr="00D77EDC">
              <w:rPr>
                <w:szCs w:val="17"/>
              </w:rPr>
              <w:t>It is noted that whilst dehusking can occur in mammals</w:t>
            </w:r>
            <w:r>
              <w:rPr>
                <w:szCs w:val="17"/>
              </w:rPr>
              <w:t xml:space="preserve"> (e.g. rodents)</w:t>
            </w:r>
            <w:r w:rsidRPr="00D77EDC">
              <w:rPr>
                <w:szCs w:val="17"/>
              </w:rPr>
              <w:t xml:space="preserve"> and birds</w:t>
            </w:r>
            <w:r>
              <w:rPr>
                <w:szCs w:val="17"/>
              </w:rPr>
              <w:t xml:space="preserve"> (mainly smaller birds)</w:t>
            </w:r>
            <w:r w:rsidRPr="00D77EDC">
              <w:rPr>
                <w:szCs w:val="17"/>
              </w:rPr>
              <w:t xml:space="preserve"> the behaviour differs between species and as indicated above between seed types. The EFSA (2009) guidance recommends that </w:t>
            </w:r>
            <w:r>
              <w:rPr>
                <w:szCs w:val="17"/>
              </w:rPr>
              <w:t xml:space="preserve">dehusking </w:t>
            </w:r>
            <w:r w:rsidRPr="00D77EDC">
              <w:rPr>
                <w:szCs w:val="17"/>
              </w:rPr>
              <w:t>studies are conducted with a defined focal species and ideally with the relevant seed type and product</w:t>
            </w:r>
            <w:r>
              <w:rPr>
                <w:szCs w:val="17"/>
              </w:rPr>
              <w:t xml:space="preserve">, and </w:t>
            </w:r>
            <w:r w:rsidR="00143B86">
              <w:rPr>
                <w:szCs w:val="17"/>
              </w:rPr>
              <w:t xml:space="preserve">that </w:t>
            </w:r>
            <w:r>
              <w:rPr>
                <w:szCs w:val="17"/>
              </w:rPr>
              <w:t>it should also be demonstrated that dehusking occurs under field conditions</w:t>
            </w:r>
            <w:r w:rsidRPr="00D77EDC">
              <w:rPr>
                <w:szCs w:val="17"/>
              </w:rPr>
              <w:t>. Focal</w:t>
            </w:r>
            <w:r>
              <w:rPr>
                <w:szCs w:val="17"/>
              </w:rPr>
              <w:t>-</w:t>
            </w:r>
            <w:r w:rsidRPr="00D77EDC">
              <w:rPr>
                <w:szCs w:val="17"/>
              </w:rPr>
              <w:t>species</w:t>
            </w:r>
            <w:r>
              <w:rPr>
                <w:szCs w:val="17"/>
              </w:rPr>
              <w:t xml:space="preserve"> </w:t>
            </w:r>
            <w:r w:rsidRPr="00D77EDC">
              <w:rPr>
                <w:szCs w:val="17"/>
              </w:rPr>
              <w:t>specific data is not available. However, the available information indicates that for Australian species that do dehusk seeds exposure reductions</w:t>
            </w:r>
            <w:r>
              <w:rPr>
                <w:szCs w:val="17"/>
              </w:rPr>
              <w:t xml:space="preserve"> could be substantial depending on the specific seeds consumed.</w:t>
            </w:r>
          </w:p>
        </w:tc>
      </w:tr>
      <w:tr w:rsidR="00CE1436" w14:paraId="1D2345B7" w14:textId="77777777" w:rsidTr="00444693">
        <w:trPr>
          <w:cantSplit/>
          <w:trHeight w:val="13"/>
        </w:trPr>
        <w:tc>
          <w:tcPr>
            <w:tcW w:w="662" w:type="pct"/>
            <w:tcBorders>
              <w:top w:val="single" w:sz="4" w:space="0" w:color="auto"/>
              <w:bottom w:val="single" w:sz="4" w:space="0" w:color="auto"/>
            </w:tcBorders>
          </w:tcPr>
          <w:p w14:paraId="6B462B51" w14:textId="77777777" w:rsidR="00CE1436" w:rsidRDefault="00CE1436" w:rsidP="00444693">
            <w:pPr>
              <w:pStyle w:val="TableText"/>
              <w:widowControl w:val="0"/>
              <w:suppressAutoHyphens w:val="0"/>
              <w:spacing w:before="0" w:after="0" w:line="240" w:lineRule="auto"/>
              <w:rPr>
                <w:szCs w:val="17"/>
              </w:rPr>
            </w:pPr>
            <w:r>
              <w:rPr>
                <w:szCs w:val="17"/>
              </w:rPr>
              <w:lastRenderedPageBreak/>
              <w:t>Herbicidal mode of action</w:t>
            </w:r>
          </w:p>
        </w:tc>
        <w:tc>
          <w:tcPr>
            <w:tcW w:w="515" w:type="pct"/>
            <w:tcBorders>
              <w:top w:val="single" w:sz="4" w:space="0" w:color="auto"/>
              <w:bottom w:val="single" w:sz="4" w:space="0" w:color="auto"/>
            </w:tcBorders>
          </w:tcPr>
          <w:p w14:paraId="7DF8A3D4"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46B20150" w14:textId="77777777" w:rsidR="00CE1436" w:rsidRDefault="00CE1436" w:rsidP="00444693">
            <w:pPr>
              <w:pStyle w:val="TableText"/>
              <w:widowControl w:val="0"/>
              <w:suppressAutoHyphens w:val="0"/>
              <w:spacing w:before="0" w:after="0" w:line="240" w:lineRule="auto"/>
              <w:rPr>
                <w:szCs w:val="17"/>
              </w:rPr>
            </w:pPr>
            <w:r>
              <w:rPr>
                <w:szCs w:val="17"/>
              </w:rPr>
              <w:t>The herbicidal mode of action of paraquat may affect exposure in ways that are not quantitatively accounted for in the risk assessment:</w:t>
            </w:r>
          </w:p>
          <w:p w14:paraId="35E9394C" w14:textId="77777777" w:rsidR="00CE1436" w:rsidRPr="00143B86" w:rsidRDefault="00CE1436" w:rsidP="00444693">
            <w:pPr>
              <w:pStyle w:val="TableText"/>
              <w:widowControl w:val="0"/>
              <w:suppressAutoHyphens w:val="0"/>
              <w:spacing w:before="0" w:after="0" w:line="240" w:lineRule="auto"/>
              <w:rPr>
                <w:sz w:val="12"/>
                <w:szCs w:val="12"/>
              </w:rPr>
            </w:pPr>
          </w:p>
          <w:p w14:paraId="4F47ED47" w14:textId="71B687AD" w:rsidR="00CE1436" w:rsidRPr="00E82268" w:rsidRDefault="00CE1436">
            <w:pPr>
              <w:pStyle w:val="TableText"/>
              <w:widowControl w:val="0"/>
              <w:numPr>
                <w:ilvl w:val="0"/>
                <w:numId w:val="17"/>
              </w:numPr>
              <w:suppressAutoHyphens w:val="0"/>
              <w:spacing w:before="0" w:after="0" w:line="240" w:lineRule="auto"/>
              <w:rPr>
                <w:szCs w:val="17"/>
              </w:rPr>
            </w:pPr>
            <w:r w:rsidRPr="00E82268">
              <w:rPr>
                <w:szCs w:val="17"/>
              </w:rPr>
              <w:t xml:space="preserve">The damage to treated foliage may affect its attractiveness to consumer organisms. This may limit </w:t>
            </w:r>
            <w:r>
              <w:rPr>
                <w:szCs w:val="17"/>
              </w:rPr>
              <w:t xml:space="preserve">the </w:t>
            </w:r>
            <w:r w:rsidR="00143B86">
              <w:rPr>
                <w:szCs w:val="17"/>
              </w:rPr>
              <w:t>likelihood</w:t>
            </w:r>
            <w:r>
              <w:rPr>
                <w:szCs w:val="17"/>
              </w:rPr>
              <w:t xml:space="preserve"> of </w:t>
            </w:r>
            <w:r w:rsidRPr="00E82268">
              <w:rPr>
                <w:szCs w:val="17"/>
              </w:rPr>
              <w:t xml:space="preserve">exposure, particularly given the rapid action of paraquat. This effect has not been experimentally demonstrated. However, beyond the initial few hours after application it can reasonably be expected that this will occur to </w:t>
            </w:r>
            <w:r w:rsidR="00143B86">
              <w:rPr>
                <w:szCs w:val="17"/>
              </w:rPr>
              <w:t xml:space="preserve">some </w:t>
            </w:r>
            <w:r w:rsidRPr="00E82268">
              <w:rPr>
                <w:szCs w:val="17"/>
              </w:rPr>
              <w:t xml:space="preserve">degree. </w:t>
            </w:r>
            <w:r>
              <w:rPr>
                <w:szCs w:val="17"/>
              </w:rPr>
              <w:t xml:space="preserve">Any effect will </w:t>
            </w:r>
            <w:r w:rsidRPr="00E82268">
              <w:rPr>
                <w:szCs w:val="17"/>
              </w:rPr>
              <w:t xml:space="preserve">vary between consumer species, between </w:t>
            </w:r>
            <w:r>
              <w:rPr>
                <w:szCs w:val="17"/>
              </w:rPr>
              <w:t>treated plant species</w:t>
            </w:r>
            <w:r w:rsidRPr="00E82268">
              <w:rPr>
                <w:szCs w:val="17"/>
              </w:rPr>
              <w:t xml:space="preserve"> and depending on the availability of alternate food sources.</w:t>
            </w:r>
            <w:r>
              <w:rPr>
                <w:szCs w:val="17"/>
              </w:rPr>
              <w:t xml:space="preserve"> This is only relevant to foliar dietary food items.</w:t>
            </w:r>
          </w:p>
          <w:p w14:paraId="1566A060" w14:textId="027FDAFB" w:rsidR="00CE1436" w:rsidRDefault="00CE1436">
            <w:pPr>
              <w:pStyle w:val="TableText"/>
              <w:widowControl w:val="0"/>
              <w:numPr>
                <w:ilvl w:val="0"/>
                <w:numId w:val="17"/>
              </w:numPr>
              <w:suppressAutoHyphens w:val="0"/>
              <w:spacing w:before="0" w:after="0" w:line="240" w:lineRule="auto"/>
              <w:rPr>
                <w:szCs w:val="17"/>
              </w:rPr>
            </w:pPr>
            <w:r>
              <w:rPr>
                <w:szCs w:val="17"/>
              </w:rPr>
              <w:t>Depending on the degree of defoliation and the specific scenario in question (crop, application timing</w:t>
            </w:r>
            <w:r w:rsidR="00143B86">
              <w:rPr>
                <w:szCs w:val="17"/>
              </w:rPr>
              <w:t>,</w:t>
            </w:r>
            <w:r>
              <w:rPr>
                <w:szCs w:val="17"/>
              </w:rPr>
              <w:t xml:space="preserve"> etc.), the herbicidal action may alter the vegetation structure. This can </w:t>
            </w:r>
            <w:r w:rsidR="00B16D2F">
              <w:rPr>
                <w:szCs w:val="17"/>
              </w:rPr>
              <w:t xml:space="preserve">influence </w:t>
            </w:r>
            <w:r>
              <w:rPr>
                <w:szCs w:val="17"/>
              </w:rPr>
              <w:t xml:space="preserve">the </w:t>
            </w:r>
            <w:r w:rsidR="00B16D2F">
              <w:rPr>
                <w:szCs w:val="17"/>
              </w:rPr>
              <w:t xml:space="preserve">identity of </w:t>
            </w:r>
            <w:r>
              <w:rPr>
                <w:szCs w:val="17"/>
              </w:rPr>
              <w:t>species that will forage in the treated area and/or change the behaviour of any foraging species.</w:t>
            </w:r>
          </w:p>
        </w:tc>
      </w:tr>
      <w:tr w:rsidR="00CE1436" w14:paraId="2B64F71B" w14:textId="77777777" w:rsidTr="00444693">
        <w:trPr>
          <w:cantSplit/>
          <w:trHeight w:val="13"/>
        </w:trPr>
        <w:tc>
          <w:tcPr>
            <w:tcW w:w="662" w:type="pct"/>
            <w:tcBorders>
              <w:top w:val="single" w:sz="4" w:space="0" w:color="auto"/>
              <w:bottom w:val="single" w:sz="4" w:space="0" w:color="auto"/>
            </w:tcBorders>
          </w:tcPr>
          <w:p w14:paraId="6D3631DA" w14:textId="77777777" w:rsidR="00CE1436" w:rsidRDefault="00CE1436" w:rsidP="00444693">
            <w:pPr>
              <w:pStyle w:val="TableText"/>
              <w:widowControl w:val="0"/>
              <w:suppressAutoHyphens w:val="0"/>
              <w:spacing w:before="0" w:after="0" w:line="240" w:lineRule="auto"/>
              <w:rPr>
                <w:szCs w:val="17"/>
              </w:rPr>
            </w:pPr>
            <w:r>
              <w:rPr>
                <w:szCs w:val="17"/>
              </w:rPr>
              <w:t>Spot spraying</w:t>
            </w:r>
          </w:p>
        </w:tc>
        <w:tc>
          <w:tcPr>
            <w:tcW w:w="515" w:type="pct"/>
            <w:tcBorders>
              <w:top w:val="single" w:sz="4" w:space="0" w:color="auto"/>
              <w:bottom w:val="single" w:sz="4" w:space="0" w:color="auto"/>
            </w:tcBorders>
          </w:tcPr>
          <w:p w14:paraId="5323771F"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129DD514" w14:textId="64559C70" w:rsidR="00CE1436" w:rsidRDefault="00CE1436" w:rsidP="00444693">
            <w:pPr>
              <w:pStyle w:val="TableText"/>
              <w:widowControl w:val="0"/>
              <w:suppressAutoHyphens w:val="0"/>
              <w:spacing w:before="0" w:after="0" w:line="240" w:lineRule="auto"/>
              <w:rPr>
                <w:szCs w:val="17"/>
              </w:rPr>
            </w:pPr>
            <w:r>
              <w:rPr>
                <w:szCs w:val="17"/>
              </w:rPr>
              <w:t xml:space="preserve">Spot spraying, including optical spot spraying, has been accounted for quantitatively by proportionately adjusting the application rate relative to the estimated fraction of the cropped area that is treated (i.e. if 40% of the cropped area </w:t>
            </w:r>
            <w:r w:rsidR="00B16D2F">
              <w:rPr>
                <w:szCs w:val="17"/>
              </w:rPr>
              <w:t xml:space="preserve">is </w:t>
            </w:r>
            <w:r>
              <w:rPr>
                <w:szCs w:val="17"/>
              </w:rPr>
              <w:t>treated the application rate is adjusted to 40% of the full rate). This assumes no bias in foraging within the treated area by a consumer and that there are alternate food sources in non-treated locations. This does not necessarily directly replicate the actual exposure of an organism which will relate to the foraging behaviour of the consumer organism, the availability of food items and the treatment application in relation to those food items. Nor does it account for spray drift within the treated area.</w:t>
            </w:r>
          </w:p>
          <w:p w14:paraId="4C041A8F" w14:textId="77777777" w:rsidR="00CE1436" w:rsidRDefault="00CE1436" w:rsidP="00444693">
            <w:pPr>
              <w:pStyle w:val="TableText"/>
              <w:widowControl w:val="0"/>
              <w:suppressAutoHyphens w:val="0"/>
              <w:spacing w:before="0" w:after="0" w:line="240" w:lineRule="auto"/>
              <w:rPr>
                <w:szCs w:val="17"/>
              </w:rPr>
            </w:pPr>
          </w:p>
          <w:p w14:paraId="547BC5ED" w14:textId="7E008EA5" w:rsidR="00CE1436" w:rsidRDefault="00CE1436" w:rsidP="00444693">
            <w:pPr>
              <w:pStyle w:val="TableText"/>
              <w:widowControl w:val="0"/>
              <w:suppressAutoHyphens w:val="0"/>
              <w:spacing w:before="0" w:after="0" w:line="240" w:lineRule="auto"/>
              <w:rPr>
                <w:szCs w:val="17"/>
              </w:rPr>
            </w:pPr>
            <w:r>
              <w:rPr>
                <w:szCs w:val="17"/>
              </w:rPr>
              <w:t xml:space="preserve">This approach may under-estimate the actual exposure for some groups of organisms, e.g. for herbivorous organisms if all potential food items are treated there </w:t>
            </w:r>
            <w:r w:rsidR="00B16D2F">
              <w:rPr>
                <w:szCs w:val="17"/>
              </w:rPr>
              <w:t xml:space="preserve">will be </w:t>
            </w:r>
            <w:r>
              <w:rPr>
                <w:szCs w:val="17"/>
              </w:rPr>
              <w:t>no reduction in exposure even though the treatment is only applied to a fraction of the cropped area.</w:t>
            </w:r>
          </w:p>
        </w:tc>
      </w:tr>
      <w:tr w:rsidR="00CE1436" w14:paraId="5259A3DB" w14:textId="77777777" w:rsidTr="00444693">
        <w:trPr>
          <w:cantSplit/>
          <w:trHeight w:val="13"/>
        </w:trPr>
        <w:tc>
          <w:tcPr>
            <w:tcW w:w="662" w:type="pct"/>
            <w:tcBorders>
              <w:top w:val="single" w:sz="4" w:space="0" w:color="auto"/>
              <w:bottom w:val="single" w:sz="4" w:space="0" w:color="auto"/>
            </w:tcBorders>
          </w:tcPr>
          <w:p w14:paraId="5B6890C3" w14:textId="77777777" w:rsidR="00CE1436" w:rsidRDefault="00CE1436" w:rsidP="00444693">
            <w:pPr>
              <w:pStyle w:val="TableText"/>
              <w:widowControl w:val="0"/>
              <w:suppressAutoHyphens w:val="0"/>
              <w:spacing w:before="0" w:after="0" w:line="240" w:lineRule="auto"/>
              <w:rPr>
                <w:szCs w:val="17"/>
              </w:rPr>
            </w:pPr>
            <w:r>
              <w:rPr>
                <w:szCs w:val="17"/>
              </w:rPr>
              <w:t>Focal species</w:t>
            </w:r>
          </w:p>
        </w:tc>
        <w:tc>
          <w:tcPr>
            <w:tcW w:w="515" w:type="pct"/>
            <w:tcBorders>
              <w:top w:val="single" w:sz="4" w:space="0" w:color="auto"/>
              <w:bottom w:val="single" w:sz="4" w:space="0" w:color="auto"/>
            </w:tcBorders>
          </w:tcPr>
          <w:p w14:paraId="55866D65"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211F8C64" w14:textId="59CB2E26" w:rsidR="00CE1436" w:rsidRDefault="00CE1436" w:rsidP="00444693">
            <w:pPr>
              <w:pStyle w:val="TableText"/>
              <w:widowControl w:val="0"/>
              <w:suppressAutoHyphens w:val="0"/>
              <w:spacing w:before="0" w:after="0" w:line="240" w:lineRule="auto"/>
              <w:rPr>
                <w:szCs w:val="17"/>
              </w:rPr>
            </w:pPr>
            <w:r w:rsidRPr="000730B8">
              <w:rPr>
                <w:szCs w:val="17"/>
              </w:rPr>
              <w:t>Unless specific information has been submitted that allows consideration of focal species</w:t>
            </w:r>
            <w:r>
              <w:rPr>
                <w:szCs w:val="17"/>
              </w:rPr>
              <w:t>, for a particular use situation,</w:t>
            </w:r>
            <w:r w:rsidRPr="000730B8">
              <w:rPr>
                <w:szCs w:val="17"/>
              </w:rPr>
              <w:t xml:space="preserve"> the current assessment is based on generic focal species. This is not </w:t>
            </w:r>
            <w:r>
              <w:rPr>
                <w:szCs w:val="17"/>
              </w:rPr>
              <w:t xml:space="preserve">reason </w:t>
            </w:r>
            <w:r w:rsidRPr="000730B8">
              <w:rPr>
                <w:szCs w:val="17"/>
              </w:rPr>
              <w:t>to reject or modify the conclusions of the risk assessment</w:t>
            </w:r>
            <w:r>
              <w:rPr>
                <w:szCs w:val="17"/>
              </w:rPr>
              <w:t>.</w:t>
            </w:r>
            <w:r w:rsidRPr="000730B8">
              <w:rPr>
                <w:szCs w:val="17"/>
              </w:rPr>
              <w:t xml:space="preserve"> </w:t>
            </w:r>
            <w:r>
              <w:rPr>
                <w:szCs w:val="17"/>
              </w:rPr>
              <w:t>W</w:t>
            </w:r>
            <w:r w:rsidRPr="000730B8">
              <w:rPr>
                <w:szCs w:val="17"/>
              </w:rPr>
              <w:t xml:space="preserve">here the risk is unresolved it is incumbent on applicants/ holders to provide additional information to </w:t>
            </w:r>
            <w:r>
              <w:rPr>
                <w:szCs w:val="17"/>
              </w:rPr>
              <w:t xml:space="preserve">refine </w:t>
            </w:r>
            <w:r w:rsidRPr="000730B8">
              <w:rPr>
                <w:szCs w:val="17"/>
              </w:rPr>
              <w:t>the risk</w:t>
            </w:r>
            <w:r>
              <w:rPr>
                <w:szCs w:val="17"/>
              </w:rPr>
              <w:t xml:space="preserve"> assessment</w:t>
            </w:r>
            <w:r w:rsidR="00B16D2F">
              <w:rPr>
                <w:szCs w:val="17"/>
              </w:rPr>
              <w:t>;</w:t>
            </w:r>
            <w:r w:rsidRPr="000730B8">
              <w:rPr>
                <w:szCs w:val="17"/>
              </w:rPr>
              <w:t xml:space="preserve"> </w:t>
            </w:r>
            <w:r w:rsidR="00B16D2F">
              <w:rPr>
                <w:szCs w:val="17"/>
              </w:rPr>
              <w:t xml:space="preserve">this may </w:t>
            </w:r>
            <w:r w:rsidRPr="000730B8">
              <w:rPr>
                <w:szCs w:val="17"/>
              </w:rPr>
              <w:t>include identifying focal species and proposing relevant refinements for those species.</w:t>
            </w:r>
            <w:r>
              <w:rPr>
                <w:szCs w:val="17"/>
              </w:rPr>
              <w:t xml:space="preserve"> However, the uncertainty inherent to an assessment based on generic focal species is acknowledged. </w:t>
            </w:r>
            <w:r w:rsidRPr="000730B8">
              <w:rPr>
                <w:szCs w:val="17"/>
              </w:rPr>
              <w:t xml:space="preserve"> </w:t>
            </w:r>
          </w:p>
        </w:tc>
      </w:tr>
      <w:tr w:rsidR="00CE1436" w14:paraId="631D6153" w14:textId="77777777" w:rsidTr="00444693">
        <w:trPr>
          <w:cantSplit/>
          <w:trHeight w:val="13"/>
        </w:trPr>
        <w:tc>
          <w:tcPr>
            <w:tcW w:w="662" w:type="pct"/>
            <w:tcBorders>
              <w:top w:val="single" w:sz="4" w:space="0" w:color="auto"/>
              <w:bottom w:val="single" w:sz="4" w:space="0" w:color="auto"/>
            </w:tcBorders>
          </w:tcPr>
          <w:p w14:paraId="53EFE5FE" w14:textId="77777777" w:rsidR="00CE1436" w:rsidRDefault="00CE1436" w:rsidP="00444693">
            <w:pPr>
              <w:pStyle w:val="TableText"/>
              <w:widowControl w:val="0"/>
              <w:suppressAutoHyphens w:val="0"/>
              <w:spacing w:before="0" w:after="0" w:line="240" w:lineRule="auto"/>
              <w:rPr>
                <w:szCs w:val="17"/>
              </w:rPr>
            </w:pPr>
            <w:r>
              <w:rPr>
                <w:szCs w:val="17"/>
              </w:rPr>
              <w:t>Wildlife monitoring data</w:t>
            </w:r>
          </w:p>
        </w:tc>
        <w:tc>
          <w:tcPr>
            <w:tcW w:w="515" w:type="pct"/>
            <w:tcBorders>
              <w:top w:val="single" w:sz="4" w:space="0" w:color="auto"/>
              <w:bottom w:val="single" w:sz="4" w:space="0" w:color="auto"/>
            </w:tcBorders>
          </w:tcPr>
          <w:p w14:paraId="35572E85"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6CA077B6" w14:textId="5846AEC2" w:rsidR="00CE1436" w:rsidRDefault="00CE1436" w:rsidP="00444693">
            <w:pPr>
              <w:pStyle w:val="TableText"/>
              <w:widowControl w:val="0"/>
              <w:suppressAutoHyphens w:val="0"/>
              <w:spacing w:before="0" w:after="0" w:line="240" w:lineRule="auto"/>
              <w:rPr>
                <w:szCs w:val="17"/>
              </w:rPr>
            </w:pPr>
            <w:r w:rsidRPr="006115A3">
              <w:rPr>
                <w:szCs w:val="17"/>
              </w:rPr>
              <w:t xml:space="preserve">Several submissions during </w:t>
            </w:r>
            <w:r>
              <w:rPr>
                <w:szCs w:val="17"/>
              </w:rPr>
              <w:t>consultation</w:t>
            </w:r>
            <w:r w:rsidRPr="006115A3">
              <w:rPr>
                <w:szCs w:val="17"/>
              </w:rPr>
              <w:t xml:space="preserve"> have </w:t>
            </w:r>
            <w:r>
              <w:rPr>
                <w:szCs w:val="17"/>
              </w:rPr>
              <w:t xml:space="preserve">referenced </w:t>
            </w:r>
            <w:r w:rsidRPr="006115A3">
              <w:rPr>
                <w:szCs w:val="17"/>
              </w:rPr>
              <w:t xml:space="preserve">wildlife monitoring data or anecdotal observations implying a lack of population level effects on terrestrial vertebrates. </w:t>
            </w:r>
            <w:r>
              <w:rPr>
                <w:szCs w:val="17"/>
              </w:rPr>
              <w:t xml:space="preserve">Wildlife monitoring data is inherently unreliable. Anecdotal reports/claims of no or limited effects of paraquat use on terrestrial vertebrates are similarly unreliable, but with additional limitations. Whilst this line of argument is noted it does not provide a scientifically justifiable basis </w:t>
            </w:r>
            <w:r w:rsidR="00AF23D3">
              <w:rPr>
                <w:szCs w:val="17"/>
              </w:rPr>
              <w:t xml:space="preserve">on which </w:t>
            </w:r>
            <w:r>
              <w:rPr>
                <w:szCs w:val="17"/>
              </w:rPr>
              <w:t>to adjust the conclusions of the risk assessment</w:t>
            </w:r>
            <w:r w:rsidR="00AF23D3">
              <w:rPr>
                <w:szCs w:val="17"/>
              </w:rPr>
              <w:t>,</w:t>
            </w:r>
            <w:r>
              <w:rPr>
                <w:szCs w:val="17"/>
              </w:rPr>
              <w:t xml:space="preserve"> and has not been considered further.</w:t>
            </w:r>
          </w:p>
        </w:tc>
      </w:tr>
      <w:tr w:rsidR="00CE1436" w14:paraId="155D67B5" w14:textId="77777777" w:rsidTr="00444693">
        <w:trPr>
          <w:cantSplit/>
          <w:trHeight w:val="13"/>
        </w:trPr>
        <w:tc>
          <w:tcPr>
            <w:tcW w:w="662" w:type="pct"/>
            <w:tcBorders>
              <w:top w:val="single" w:sz="4" w:space="0" w:color="auto"/>
              <w:bottom w:val="single" w:sz="4" w:space="0" w:color="auto"/>
            </w:tcBorders>
          </w:tcPr>
          <w:p w14:paraId="792B8FAE" w14:textId="77777777" w:rsidR="00CE1436" w:rsidRDefault="00CE1436" w:rsidP="00444693">
            <w:pPr>
              <w:pStyle w:val="TableText"/>
              <w:widowControl w:val="0"/>
              <w:suppressAutoHyphens w:val="0"/>
              <w:spacing w:before="0" w:after="0" w:line="240" w:lineRule="auto"/>
              <w:rPr>
                <w:szCs w:val="17"/>
              </w:rPr>
            </w:pPr>
            <w:r>
              <w:rPr>
                <w:szCs w:val="17"/>
              </w:rPr>
              <w:lastRenderedPageBreak/>
              <w:t>Population effects</w:t>
            </w:r>
          </w:p>
        </w:tc>
        <w:tc>
          <w:tcPr>
            <w:tcW w:w="515" w:type="pct"/>
            <w:tcBorders>
              <w:top w:val="single" w:sz="4" w:space="0" w:color="auto"/>
              <w:bottom w:val="single" w:sz="4" w:space="0" w:color="auto"/>
            </w:tcBorders>
          </w:tcPr>
          <w:p w14:paraId="173400F2" w14:textId="77777777" w:rsidR="00CE1436" w:rsidRDefault="00CE1436" w:rsidP="00444693">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41150BC5" w14:textId="77777777" w:rsidR="00CE1436" w:rsidRDefault="00CE1436" w:rsidP="00444693">
            <w:pPr>
              <w:pStyle w:val="TableText"/>
              <w:widowControl w:val="0"/>
              <w:suppressAutoHyphens w:val="0"/>
              <w:spacing w:before="0" w:after="0" w:line="240" w:lineRule="auto"/>
              <w:rPr>
                <w:szCs w:val="17"/>
              </w:rPr>
            </w:pPr>
            <w:r>
              <w:rPr>
                <w:szCs w:val="17"/>
              </w:rPr>
              <w:t>As described in the current APVMA guidance</w:t>
            </w:r>
            <w:r>
              <w:rPr>
                <w:rStyle w:val="FootnoteReference"/>
                <w:szCs w:val="17"/>
              </w:rPr>
              <w:footnoteReference w:id="69"/>
            </w:r>
            <w:r>
              <w:rPr>
                <w:szCs w:val="17"/>
              </w:rPr>
              <w:t>, the aim of the assessment is to protect populations of terrestrial vertebrate species not individual animals, with respect to both acute and chronic exposure. The population of relevance is the local population in the immediate vicinity of the treated area; the assessment does not consider effects at a landscape or pan-Australian level. Whilst protecting populations is the intended aim, the current quantitative risk assessment does not directly evaluate the effect on a population – estimates of individual exposure are used to establish if there is an expectation that risks to individuals may occur and hence exclude situations where there is no risk at the population level.</w:t>
            </w:r>
          </w:p>
          <w:p w14:paraId="5F7165D2" w14:textId="77777777" w:rsidR="00CE1436" w:rsidRDefault="00CE1436" w:rsidP="00444693">
            <w:pPr>
              <w:pStyle w:val="TableText"/>
              <w:widowControl w:val="0"/>
              <w:suppressAutoHyphens w:val="0"/>
              <w:spacing w:before="0" w:after="0" w:line="240" w:lineRule="auto"/>
              <w:rPr>
                <w:szCs w:val="17"/>
              </w:rPr>
            </w:pPr>
          </w:p>
          <w:p w14:paraId="1C5C20A7" w14:textId="77777777" w:rsidR="00CE1436" w:rsidRDefault="00CE1436" w:rsidP="00444693">
            <w:pPr>
              <w:pStyle w:val="TableText"/>
              <w:widowControl w:val="0"/>
              <w:suppressAutoHyphens w:val="0"/>
              <w:spacing w:before="0" w:after="0" w:line="240" w:lineRule="auto"/>
              <w:rPr>
                <w:szCs w:val="17"/>
              </w:rPr>
            </w:pPr>
            <w:r>
              <w:rPr>
                <w:szCs w:val="17"/>
              </w:rPr>
              <w:t>Population level assessment requires additional consideration/analysis, which it is the applicant/holder’s responsibility to provide. Field study data or population modelling could be used to consider population level impacts of paraquat use on relevant organisms. This type of information is not currently available. Therefore, it is only possible to consider the impact on populations subjectively.</w:t>
            </w:r>
          </w:p>
        </w:tc>
      </w:tr>
    </w:tbl>
    <w:p w14:paraId="3B6057B5" w14:textId="0D2BC417" w:rsidR="00CE1436" w:rsidRPr="00012C56" w:rsidRDefault="00CE1436" w:rsidP="00012C56">
      <w:pPr>
        <w:pStyle w:val="NormalText"/>
        <w:rPr>
          <w:b/>
          <w:bCs/>
        </w:rPr>
      </w:pPr>
      <w:r w:rsidRPr="00012C56">
        <w:rPr>
          <w:b/>
          <w:bCs/>
        </w:rPr>
        <w:t>Bare soil crop group – General weed control in fallow (including minimal/full disturbance, and optical spot spraying), hops, market gardens, nurseries, row crops, potatoes (pre/early emergence), rice (pre/post sowing) and vegetables</w:t>
      </w:r>
    </w:p>
    <w:p w14:paraId="7A118322" w14:textId="615E7885" w:rsidR="00CE1436" w:rsidRPr="009703BF" w:rsidRDefault="00CE1436" w:rsidP="00012C56">
      <w:pPr>
        <w:pStyle w:val="NormalText"/>
      </w:pPr>
      <w:r w:rsidRPr="009703BF">
        <w:t>Mammals – There are unresolved acute risks for s</w:t>
      </w:r>
      <w:r w:rsidRPr="00BC4F32">
        <w:rPr>
          <w:rFonts w:cstheme="minorHAnsi"/>
        </w:rPr>
        <w:t>mall omnivorous mammals (at rates &gt;427 g ac/ha, or 2 × 288 g ac/ha) (</w:t>
      </w:r>
      <w:r w:rsidRPr="00BC4F32">
        <w:rPr>
          <w:rFonts w:cstheme="minorHAnsi"/>
        </w:rPr>
        <w:fldChar w:fldCharType="begin"/>
      </w:r>
      <w:r w:rsidRPr="00BC4F32">
        <w:rPr>
          <w:rFonts w:cstheme="minorHAnsi"/>
        </w:rPr>
        <w:instrText xml:space="preserve"> REF _Ref220573311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BC4F32">
        <w:rPr>
          <w:rFonts w:cstheme="minorHAnsi"/>
        </w:rPr>
        <w:fldChar w:fldCharType="end"/>
      </w:r>
      <w:r w:rsidRPr="00BC4F32">
        <w:rPr>
          <w:rFonts w:cstheme="minorHAnsi"/>
        </w:rPr>
        <w:t>). For use rates up to 675 g ac/ha the R</w:t>
      </w:r>
      <w:r w:rsidRPr="009703BF">
        <w:t>Q is ≤1.6, at 1505 g ac/ha the RQ is 3.5.</w:t>
      </w:r>
    </w:p>
    <w:p w14:paraId="0CE09B07" w14:textId="15CF131C" w:rsidR="00CE1436" w:rsidRPr="00BC4F32" w:rsidRDefault="00CE1436" w:rsidP="00012C56">
      <w:pPr>
        <w:pStyle w:val="NormalText"/>
        <w:rPr>
          <w:rFonts w:cstheme="minorHAnsi"/>
        </w:rPr>
      </w:pPr>
      <w:r w:rsidRPr="00BC4F32">
        <w:rPr>
          <w:rFonts w:cstheme="minorHAnsi"/>
        </w:rPr>
        <w:t>During the commenting period it was noted that small mammals are not expected to routinely use areas with limited ground cover. European wood mice (</w:t>
      </w:r>
      <w:r w:rsidRPr="00BC4F32">
        <w:rPr>
          <w:rFonts w:cstheme="minorHAnsi"/>
          <w:i/>
          <w:iCs/>
        </w:rPr>
        <w:t>Apodemus sylvaticus</w:t>
      </w:r>
      <w:r w:rsidRPr="00BC4F32">
        <w:rPr>
          <w:rFonts w:cstheme="minorHAnsi"/>
        </w:rPr>
        <w:t>), which can establish home ranges within agricultural landscapes, have been observed to have low PT values (90</w:t>
      </w:r>
      <w:r w:rsidRPr="00BC4F32">
        <w:rPr>
          <w:rFonts w:cstheme="minorHAnsi"/>
          <w:vertAlign w:val="superscript"/>
        </w:rPr>
        <w:t>th</w:t>
      </w:r>
      <w:r w:rsidRPr="00BC4F32">
        <w:rPr>
          <w:rFonts w:cstheme="minorHAnsi"/>
        </w:rPr>
        <w:t xml:space="preserve"> percentile PT 0.37) in newly drilled cereals fields; considered equivalent to a bare soil situation. PT values are not used in acute assessments (PT = 1.0). However, it is noted that the available information implies that small omnivorous rodents would not routinely use sites with limited ground cover. Specific information related to Australian species has not been cited, though there is reason to expect that Australian rodents would also exhibit reduced habitat use in situations assessed as bare soil, i.e. as a response to the loss of ground cover and increased risk of predation. Similarly, whilst data are lacking for Australian species it is reasonable to expect that at least some species would engage in dehusking behaviour which can substantially reduce exposure from seeds in the diet (</w:t>
      </w:r>
      <w:r w:rsidRPr="00BC4F32">
        <w:rPr>
          <w:rFonts w:cstheme="minorHAnsi"/>
        </w:rPr>
        <w:fldChar w:fldCharType="begin"/>
      </w:r>
      <w:r w:rsidRPr="00BC4F32">
        <w:rPr>
          <w:rFonts w:cstheme="minorHAnsi"/>
        </w:rPr>
        <w:instrText xml:space="preserve"> REF _Ref220573440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BC4F32">
        <w:rPr>
          <w:rFonts w:cstheme="minorHAnsi"/>
        </w:rPr>
        <w:fldChar w:fldCharType="end"/>
      </w:r>
      <w:r w:rsidRPr="00BC4F32">
        <w:rPr>
          <w:rFonts w:cstheme="minorHAnsi"/>
        </w:rPr>
        <w:t>).</w:t>
      </w:r>
    </w:p>
    <w:p w14:paraId="1FA80FC5" w14:textId="77777777" w:rsidR="00CE1436" w:rsidRPr="009703BF" w:rsidRDefault="00CE1436" w:rsidP="00012C56">
      <w:pPr>
        <w:pStyle w:val="NormalText"/>
      </w:pPr>
      <w:r w:rsidRPr="009703BF">
        <w:t xml:space="preserve">The available data are not suitable to quantitatively establish an acceptable risk, and if animals were to forage in these situations some mortality cannot be excluded. But, the aim of the assessment is to avoid population level effects, and for scenarios with limited ground cover it is reasonable to expect that there would be reduced use of these situations by small omnivorous rodents. For uses with relatively small exceedances of the RQ (i.e. rates up to </w:t>
      </w:r>
      <w:r>
        <w:t>675</w:t>
      </w:r>
      <w:r w:rsidRPr="009703BF">
        <w:t xml:space="preserve"> g ac/ha with RQ values ≤1.6) an acceptable risk is concluded on the weight-of-evidence.</w:t>
      </w:r>
    </w:p>
    <w:p w14:paraId="0D71C333" w14:textId="2223F601" w:rsidR="00CE1436" w:rsidRPr="009703BF" w:rsidRDefault="00CE1436" w:rsidP="00012C56">
      <w:pPr>
        <w:pStyle w:val="NormalText"/>
      </w:pPr>
      <w:r w:rsidRPr="009703BF">
        <w:t>Birds – There are unresolved acute risks for small granivorous (at rates &gt;231 g ac/ha or 2 × 144 g ac/ha), small omnivorous (at rates &gt;328 g ac/ha or 2 × 221 g ac/ha) and small insectivorous birds (at rates &gt;523 g ac/ha or 2 × 402 g ac/ha</w:t>
      </w:r>
      <w:r w:rsidRPr="00BC4F32">
        <w:rPr>
          <w:rFonts w:cstheme="minorHAnsi"/>
        </w:rPr>
        <w:t>)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BC4F32">
        <w:rPr>
          <w:rFonts w:cstheme="minorHAnsi"/>
        </w:rPr>
        <w:t>). Few refinements have been proposed and/or are acceptable for birds. Consequently, the risk assessment is l</w:t>
      </w:r>
      <w:r w:rsidRPr="009703BF">
        <w:t xml:space="preserve">argely unchanged from the default Tier-1 assessment. Without confirmatory data a refined RAL, to account for any difference between dietary and oral exposure, cannot currently be established. For birds, </w:t>
      </w:r>
      <w:r w:rsidRPr="009703BF">
        <w:lastRenderedPageBreak/>
        <w:t>information that can be used to define focal species or other lines of evidence specific to bare soil scenarios has not been submitted. Therefore, only the generic weight-of-evidence arguments (</w:t>
      </w:r>
      <w:r w:rsidRPr="00BC4F32">
        <w:rPr>
          <w:rFonts w:cstheme="minorHAnsi"/>
        </w:rPr>
        <w:fldChar w:fldCharType="begin"/>
      </w:r>
      <w:r w:rsidRPr="00BC4F32">
        <w:rPr>
          <w:rFonts w:cstheme="minorHAnsi"/>
        </w:rPr>
        <w:instrText xml:space="preserve"> REF _Ref220573440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BC4F32">
        <w:rPr>
          <w:rFonts w:cstheme="minorHAnsi"/>
        </w:rPr>
        <w:fldChar w:fldCharType="end"/>
      </w:r>
      <w:r w:rsidRPr="009703BF">
        <w:t>) can be considered further. Currently the available information is not sufficient to resolve the risk for birds, and an acceptable risk cannot be established for application rates &gt;231 g ac/ha.</w:t>
      </w:r>
    </w:p>
    <w:p w14:paraId="605A2BB4" w14:textId="77777777" w:rsidR="00CE1436" w:rsidRPr="00012C56" w:rsidRDefault="00CE1436" w:rsidP="00012C56">
      <w:pPr>
        <w:pStyle w:val="NormalText"/>
        <w:rPr>
          <w:b/>
          <w:bCs/>
        </w:rPr>
      </w:pPr>
      <w:r w:rsidRPr="00012C56">
        <w:rPr>
          <w:b/>
          <w:bCs/>
        </w:rPr>
        <w:t>Cotton crop group – Pre-harvest desiccation in cotton</w:t>
      </w:r>
    </w:p>
    <w:p w14:paraId="7E4B90B9" w14:textId="0E98917F" w:rsidR="00CE1436" w:rsidRPr="00152EB9" w:rsidRDefault="00CE1436" w:rsidP="00012C56">
      <w:pPr>
        <w:pStyle w:val="NormalText"/>
      </w:pPr>
      <w:r w:rsidRPr="00152EB9">
        <w:t>Mammals – Acceptable risks can be concluded based on the refined risk assessment (</w:t>
      </w:r>
      <w:r w:rsidRPr="00BC4F32">
        <w:rPr>
          <w:rFonts w:cstheme="minorHAnsi"/>
        </w:rPr>
        <w:fldChar w:fldCharType="begin"/>
      </w:r>
      <w:r w:rsidRPr="00BC4F32">
        <w:rPr>
          <w:rFonts w:cstheme="minorHAnsi"/>
        </w:rPr>
        <w:instrText xml:space="preserve"> REF _Ref220573311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BC4F32">
        <w:rPr>
          <w:rFonts w:cstheme="minorHAnsi"/>
        </w:rPr>
        <w:fldChar w:fldCharType="end"/>
      </w:r>
      <w:r w:rsidRPr="00152EB9">
        <w:t>), no further consideration is required.</w:t>
      </w:r>
    </w:p>
    <w:p w14:paraId="33FBFE79" w14:textId="0E12689E" w:rsidR="00CE1436" w:rsidRPr="00BC4F32" w:rsidRDefault="00CE1436" w:rsidP="00012C56">
      <w:pPr>
        <w:pStyle w:val="NormalText"/>
      </w:pPr>
      <w:r w:rsidRPr="00152EB9">
        <w:t>Birds – Acceptable risks were concluded based on the default Tier-</w:t>
      </w:r>
      <w:r w:rsidRPr="00CE1436">
        <w:t>1 risk assessment (</w:t>
      </w:r>
      <w:r w:rsidRPr="00CE1436">
        <w:rPr>
          <w:rFonts w:cstheme="minorHAnsi"/>
        </w:rPr>
        <w:fldChar w:fldCharType="begin"/>
      </w:r>
      <w:r w:rsidRPr="00CE1436">
        <w:instrText xml:space="preserve"> REF _Ref168386684 \h </w:instrText>
      </w:r>
      <w:r>
        <w:rPr>
          <w:rFonts w:cstheme="minorHAnsi"/>
        </w:rPr>
        <w:instrText xml:space="preserve"> \* MERGEFORMAT </w:instrText>
      </w:r>
      <w:r w:rsidRPr="00CE1436">
        <w:rPr>
          <w:rFonts w:cstheme="minorHAnsi"/>
        </w:rPr>
      </w:r>
      <w:r w:rsidRPr="00CE1436">
        <w:rPr>
          <w:rFonts w:cstheme="minorHAnsi"/>
        </w:rPr>
        <w:fldChar w:fldCharType="separate"/>
      </w:r>
      <w:r w:rsidR="008A397D" w:rsidRPr="008A397D">
        <w:t xml:space="preserve">Table </w:t>
      </w:r>
      <w:r w:rsidR="008A397D" w:rsidRPr="008A397D">
        <w:rPr>
          <w:noProof/>
        </w:rPr>
        <w:t>76</w:t>
      </w:r>
      <w:r w:rsidRPr="00CE1436">
        <w:rPr>
          <w:rFonts w:cstheme="minorHAnsi"/>
        </w:rPr>
        <w:fldChar w:fldCharType="end"/>
      </w:r>
      <w:r w:rsidRPr="00CE1436">
        <w:t>), no further</w:t>
      </w:r>
      <w:r w:rsidRPr="00BC4F32">
        <w:t xml:space="preserve"> consideration is required.</w:t>
      </w:r>
    </w:p>
    <w:p w14:paraId="655E25C5" w14:textId="2D842C4F" w:rsidR="00CE1436" w:rsidRPr="00012C56" w:rsidRDefault="00CE1436" w:rsidP="00012C56">
      <w:pPr>
        <w:pStyle w:val="NormalText"/>
        <w:rPr>
          <w:b/>
          <w:bCs/>
        </w:rPr>
      </w:pPr>
      <w:r w:rsidRPr="00012C56">
        <w:rPr>
          <w:b/>
          <w:bCs/>
        </w:rPr>
        <w:t>Grassland crop group – General weed control in pasture (includes hay freezing, spray topping to reduce seed set, prevention of ryegrass toxicity, perennial grass seed crops and kikuyu/paspalum pasture)</w:t>
      </w:r>
    </w:p>
    <w:p w14:paraId="67DBF126" w14:textId="36EA1BC0" w:rsidR="00CE1436" w:rsidRPr="00152EB9" w:rsidRDefault="00CE1436" w:rsidP="00012C56">
      <w:pPr>
        <w:pStyle w:val="NormalText"/>
      </w:pPr>
      <w:r w:rsidRPr="00152EB9">
        <w:t>Mammals – There are unresolved acute risks for small herbivorous (at rates &gt;54 g ac/ha), large herbivorous (at rates &gt;229 g ac/ha), small omnivorous (at rates &gt;424 g ac/ha) and small insectivorous mammals (at rates &gt;1130 g ac/ha) (</w:t>
      </w:r>
      <w:r w:rsidRPr="00BC4F32">
        <w:rPr>
          <w:rFonts w:cstheme="minorHAnsi"/>
        </w:rPr>
        <w:fldChar w:fldCharType="begin"/>
      </w:r>
      <w:r w:rsidRPr="00BC4F32">
        <w:rPr>
          <w:rFonts w:cstheme="minorHAnsi"/>
        </w:rPr>
        <w:instrText xml:space="preserve"> REF _Ref220573311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BC4F32">
        <w:rPr>
          <w:rFonts w:cstheme="minorHAnsi"/>
        </w:rPr>
        <w:fldChar w:fldCharType="end"/>
      </w:r>
      <w:r w:rsidRPr="00152EB9">
        <w:t>). There are unresolved chronic risks for small herbivorous (at rates &gt;242 g ac/ha) and large herbivorous mammals (at rates &gt;1017 g ac/ha).</w:t>
      </w:r>
    </w:p>
    <w:p w14:paraId="7BBF1EEF" w14:textId="77777777" w:rsidR="00CE1436" w:rsidRPr="00152EB9" w:rsidRDefault="00CE1436" w:rsidP="00012C56">
      <w:pPr>
        <w:pStyle w:val="NormalText"/>
      </w:pPr>
      <w:r w:rsidRPr="00152EB9">
        <w:t>The chronic risk to small herbivorous and large herbivorous mammals is concluded to be acceptable, despite the results of the quantitative assessment. It is expected that damage to</w:t>
      </w:r>
      <w:r>
        <w:t>,</w:t>
      </w:r>
      <w:r w:rsidRPr="00152EB9">
        <w:t xml:space="preserve"> or elimination of</w:t>
      </w:r>
      <w:r>
        <w:t>,</w:t>
      </w:r>
      <w:r w:rsidRPr="00152EB9">
        <w:t xml:space="preserve"> foliage will remove sources of plant material for repeated exposure, and regrowth of the pasture will dilute any residual residues on foliar food items. Therefore, the estimated residues in the diet cannot be considered reliable and are expected to overestimate the actual </w:t>
      </w:r>
      <w:r>
        <w:t xml:space="preserve">chronic </w:t>
      </w:r>
      <w:r w:rsidRPr="00152EB9">
        <w:t>exposure.</w:t>
      </w:r>
    </w:p>
    <w:p w14:paraId="6E12B8BF" w14:textId="51B135CD" w:rsidR="00CE1436" w:rsidRPr="00152EB9" w:rsidRDefault="00CE1436" w:rsidP="00012C56">
      <w:pPr>
        <w:pStyle w:val="NormalText"/>
      </w:pPr>
      <w:r w:rsidRPr="00152EB9">
        <w:t>The acute risk to small herbivores</w:t>
      </w:r>
      <w:r>
        <w:t>, large herbivores</w:t>
      </w:r>
      <w:r w:rsidRPr="00152EB9">
        <w:t xml:space="preserve"> and small omnivores cannot be excluded on the same basis, as the acute assessment relates to short term exposure. No relevant weight-of-evidence arguments have been provided during c</w:t>
      </w:r>
      <w:r w:rsidRPr="00136BA5">
        <w:rPr>
          <w:rFonts w:cstheme="minorHAnsi"/>
        </w:rPr>
        <w:t xml:space="preserve">onsultation that are specific to use in grassland situations. There are weight-of-evidence arguments included in </w:t>
      </w:r>
      <w:r w:rsidRPr="00136BA5">
        <w:rPr>
          <w:rFonts w:cstheme="minorHAnsi"/>
        </w:rPr>
        <w:fldChar w:fldCharType="begin"/>
      </w:r>
      <w:r w:rsidRPr="00136BA5">
        <w:rPr>
          <w:rFonts w:cstheme="minorHAnsi"/>
        </w:rPr>
        <w:instrText xml:space="preserve"> REF _Ref220573440 \h  \* MERGEFORMAT </w:instrText>
      </w:r>
      <w:r w:rsidRPr="00136BA5">
        <w:rPr>
          <w:rFonts w:cstheme="minorHAnsi"/>
        </w:rPr>
      </w:r>
      <w:r w:rsidRPr="00136BA5">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136BA5">
        <w:rPr>
          <w:rFonts w:cstheme="minorHAnsi"/>
        </w:rPr>
        <w:fldChar w:fldCharType="end"/>
      </w:r>
      <w:r w:rsidRPr="00136BA5">
        <w:rPr>
          <w:rFonts w:cstheme="minorHAnsi"/>
        </w:rPr>
        <w:t xml:space="preserve"> t</w:t>
      </w:r>
      <w:r w:rsidRPr="00152EB9">
        <w:t>hat would affect the risk to small herbivorous mammals, large herbivorous mammals and small omnivorous mammals. However, without additional argument they are not considered sufficient in isolation to resolve the risk for all the current use rates (as there are RQ values up to 21).</w:t>
      </w:r>
    </w:p>
    <w:p w14:paraId="5F467663" w14:textId="2F4F9478" w:rsidR="00CE1436" w:rsidRPr="00152EB9" w:rsidRDefault="00CE1436" w:rsidP="00012C56">
      <w:pPr>
        <w:pStyle w:val="NormalText"/>
      </w:pPr>
      <w:r w:rsidRPr="00152EB9">
        <w:t>Birds – There are unresolved risks for small granivorous (at rates &gt;231 g ac/ha), large herbivorous (at rates &gt;187 g ac/ha) and small insectivorous birds (at rates &gt;213 g ac/ha)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There are unresolved chronic risks for small granivorous (at rates &gt;894 g ac/ha) and large herbivorous birds (at rates &gt;629 g ac/ha). As stated in relation to the bare soil crop group</w:t>
      </w:r>
      <w:r>
        <w:t>,</w:t>
      </w:r>
      <w:r w:rsidRPr="00152EB9">
        <w:t xml:space="preserve"> the risk assessment is largely unchanged, and generic weight-of-evidence arguments (</w:t>
      </w:r>
      <w:r w:rsidRPr="00136BA5">
        <w:rPr>
          <w:rFonts w:cstheme="minorHAnsi"/>
        </w:rPr>
        <w:fldChar w:fldCharType="begin"/>
      </w:r>
      <w:r w:rsidRPr="00136BA5">
        <w:rPr>
          <w:rFonts w:cstheme="minorHAnsi"/>
        </w:rPr>
        <w:instrText xml:space="preserve"> REF _Ref220573440 \h  \* MERGEFORMAT </w:instrText>
      </w:r>
      <w:r w:rsidRPr="00136BA5">
        <w:rPr>
          <w:rFonts w:cstheme="minorHAnsi"/>
        </w:rPr>
      </w:r>
      <w:r w:rsidRPr="00136BA5">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136BA5">
        <w:rPr>
          <w:rFonts w:cstheme="minorHAnsi"/>
        </w:rPr>
        <w:fldChar w:fldCharType="end"/>
      </w:r>
      <w:r w:rsidRPr="00152EB9">
        <w:t xml:space="preserve">) are not considered sufficient to resolve the risk. Therefore, the conclusion of the risk assessment is unchanged from the refined assessment presented in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and an acceptable risk cannot be established for application rates &gt;</w:t>
      </w:r>
      <w:r>
        <w:t>187</w:t>
      </w:r>
      <w:r w:rsidRPr="00152EB9">
        <w:t xml:space="preserve"> g ac/ha.</w:t>
      </w:r>
    </w:p>
    <w:p w14:paraId="2D38AFAC" w14:textId="77777777" w:rsidR="00CE1436" w:rsidRPr="00012C56" w:rsidRDefault="00CE1436" w:rsidP="00012C56">
      <w:pPr>
        <w:pStyle w:val="NormalText"/>
        <w:rPr>
          <w:b/>
          <w:bCs/>
        </w:rPr>
      </w:pPr>
      <w:r w:rsidRPr="00012C56">
        <w:rPr>
          <w:b/>
          <w:bCs/>
        </w:rPr>
        <w:t>Grassland crop group – General weed control in industrial vegetation management, public service areas and rights of way</w:t>
      </w:r>
    </w:p>
    <w:p w14:paraId="72B82F0D" w14:textId="1D818FEA" w:rsidR="00CE1436" w:rsidRPr="00152EB9" w:rsidRDefault="00CE1436" w:rsidP="00012C56">
      <w:pPr>
        <w:pStyle w:val="NormalText"/>
      </w:pPr>
      <w:r w:rsidRPr="00152EB9">
        <w:t xml:space="preserve">Mammals – There are unresolved acute risks for small herbivorous (at rates &gt;54 g ac/ha), large herbivorous (at rates &gt;229 g ac/ha), small omnivorous (at rates &gt;424 g ac/ha) and small insectivorous mammals </w:t>
      </w:r>
      <w:r w:rsidRPr="00152EB9">
        <w:lastRenderedPageBreak/>
        <w:t>(at</w:t>
      </w:r>
      <w:r w:rsidR="00012C56">
        <w:t> </w:t>
      </w:r>
      <w:r w:rsidRPr="00152EB9">
        <w:t>rates</w:t>
      </w:r>
      <w:r w:rsidR="00012C56">
        <w:t> </w:t>
      </w:r>
      <w:r w:rsidRPr="00152EB9">
        <w:t>&gt;1130</w:t>
      </w:r>
      <w:r w:rsidR="00012C56">
        <w:t> </w:t>
      </w:r>
      <w:r w:rsidRPr="00152EB9">
        <w:t xml:space="preserve"> g ac/ha) (</w:t>
      </w:r>
      <w:r w:rsidRPr="00BC4F32">
        <w:rPr>
          <w:rFonts w:cstheme="minorHAnsi"/>
        </w:rPr>
        <w:fldChar w:fldCharType="begin"/>
      </w:r>
      <w:r w:rsidRPr="00BC4F32">
        <w:rPr>
          <w:rFonts w:cstheme="minorHAnsi"/>
        </w:rPr>
        <w:instrText xml:space="preserve"> REF _Ref220573311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BC4F32">
        <w:rPr>
          <w:rFonts w:cstheme="minorHAnsi"/>
        </w:rPr>
        <w:fldChar w:fldCharType="end"/>
      </w:r>
      <w:r w:rsidRPr="00152EB9">
        <w:t>). There are unresolved chronic risks for small herbivorous (at rates &gt;242 g ac/ha) and large herbivorous mammals (at rates &gt;1017 g ac/ha).</w:t>
      </w:r>
    </w:p>
    <w:p w14:paraId="1EF1F033" w14:textId="77777777" w:rsidR="00CE1436" w:rsidRDefault="00CE1436" w:rsidP="00012C56">
      <w:pPr>
        <w:pStyle w:val="NormalText"/>
      </w:pPr>
      <w:r w:rsidRPr="00152EB9">
        <w:t>The chronic risk to small herbivorous and large herbivorous mammals is concluded to be acceptable, despite the results of the quantitative assessment. The rationale is the same as for uses on pasture as discussed previously.</w:t>
      </w:r>
      <w:r>
        <w:t xml:space="preserve"> </w:t>
      </w:r>
      <w:r w:rsidRPr="00152EB9">
        <w:t>The acute risk to small herbivores</w:t>
      </w:r>
      <w:r>
        <w:t>, large herbivores</w:t>
      </w:r>
      <w:r w:rsidRPr="00152EB9">
        <w:t xml:space="preserve"> and small omnivores cannot be excluded on the same basis, as the acute assessment relates to short term exposure.</w:t>
      </w:r>
    </w:p>
    <w:p w14:paraId="42988C59" w14:textId="62B64996" w:rsidR="00CE1436" w:rsidRPr="00152EB9" w:rsidRDefault="00CE1436" w:rsidP="00012C56">
      <w:pPr>
        <w:pStyle w:val="NormalText"/>
      </w:pPr>
      <w:r>
        <w:t xml:space="preserve">It has been argued during the </w:t>
      </w:r>
      <w:r w:rsidR="00AF23D3">
        <w:t xml:space="preserve">public </w:t>
      </w:r>
      <w:r>
        <w:t>comment period that the treatment rate should be modelled assuming only 10% of the area is treated. The appropriateness of this argument depends on both the size of the treated area and the surrounding land use, particularly for mammals which are less mobile than birds. In situations where there is limited alternate vegetation in the land use surrounding the treated area the presence of herbivorous mammals is not expected, due to the lack of food items, and the risk assessment for omnivorous mammals can be considered sufficient to address relevant species – even more modest reductions in the treated area (i.e. ~35% of the area is treated) would be sufficient to resolve the risk for omnivorous mammals. In other cases there will be alternate foraging sites and given the rapid herbicidal action of paraquat significant population level effects are not expected as animals will be able to shift feeding sites. Therefore, the risk is concluded to be acceptable based on the weight-of-evidence at up to the maximum rate proposed for this use type, 1140 g ac/ha.</w:t>
      </w:r>
    </w:p>
    <w:p w14:paraId="714D1888" w14:textId="0E7ABB02" w:rsidR="00CE1436" w:rsidRDefault="00CE1436" w:rsidP="00012C56">
      <w:pPr>
        <w:pStyle w:val="NormalText"/>
      </w:pPr>
      <w:r w:rsidRPr="00152EB9">
        <w:t>Birds – There are unresolved risks for small granivorous (at rates &gt;231 g ac/ha), large herbivorous (at rates &gt;187 g ac/ha) and small insectivorous birds (at rates &gt;213 g ac/ha)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There are unresolved chronic risks for small granivorous (at rates &gt;894 g ac/ha) and large herbivorous birds (at rates &gt;629 g ac/ha).</w:t>
      </w:r>
    </w:p>
    <w:p w14:paraId="35B31052" w14:textId="0631DAE9" w:rsidR="00CE1436" w:rsidRPr="00152EB9" w:rsidRDefault="00CE1436" w:rsidP="00012C56">
      <w:pPr>
        <w:pStyle w:val="NormalText"/>
      </w:pPr>
      <w:r>
        <w:t>For birds a similar situation applies as for mammals, see discussion above, regarding refinement of the treated area and the surrounding land use</w:t>
      </w:r>
      <w:r w:rsidR="00AF23D3">
        <w:t xml:space="preserve">, noting that </w:t>
      </w:r>
      <w:r>
        <w:t>birds will typically be more mobile and better able to access alternate foraging sites. When sites with limited alternate foraging options are treated, organisms are not expected to routinely obtain significant fractions of their diet from the treated area. Where there are other local foraging sites organisms will experience reduced exposure due to the small scale of the treatment application. The risk is concluded to be acceptable based on the weight of evidence at up to the maximum rate proposed for this use type, 1140 g ac/ha.</w:t>
      </w:r>
    </w:p>
    <w:p w14:paraId="3185D775" w14:textId="77777777" w:rsidR="00CE1436" w:rsidRPr="00012C56" w:rsidRDefault="00CE1436" w:rsidP="00012C56">
      <w:pPr>
        <w:pStyle w:val="NormalText"/>
        <w:rPr>
          <w:b/>
          <w:bCs/>
        </w:rPr>
      </w:pPr>
      <w:r w:rsidRPr="00012C56">
        <w:rPr>
          <w:b/>
          <w:bCs/>
        </w:rPr>
        <w:t>Legume forage crop group – General weed control in lucerne (ungrazed before application)</w:t>
      </w:r>
    </w:p>
    <w:p w14:paraId="76A769C9" w14:textId="540C4B6B" w:rsidR="00CE1436" w:rsidRPr="00152EB9" w:rsidRDefault="00CE1436" w:rsidP="00012C56">
      <w:pPr>
        <w:pStyle w:val="NormalText"/>
      </w:pPr>
      <w:r w:rsidRPr="00152EB9">
        <w:t>Mammals – There are unresolved risks for small herbivorous mammals (at rates &gt;545 g ac/ha) (</w:t>
      </w:r>
      <w:r w:rsidRPr="00BC4F32">
        <w:rPr>
          <w:rFonts w:cstheme="minorHAnsi"/>
        </w:rPr>
        <w:fldChar w:fldCharType="begin"/>
      </w:r>
      <w:r w:rsidRPr="00BC4F32">
        <w:rPr>
          <w:rFonts w:cstheme="minorHAnsi"/>
        </w:rPr>
        <w:instrText xml:space="preserve"> REF _Ref220573311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BC4F32">
        <w:rPr>
          <w:rFonts w:cstheme="minorHAnsi"/>
        </w:rPr>
        <w:fldChar w:fldCharType="end"/>
      </w:r>
      <w:r w:rsidRPr="00152EB9">
        <w:t>). The RQ is marginally exceeded (RQ 1.1) at the upper application rates 595 and 600 g ac/ha, acceptable risks are indicated for lower rates.</w:t>
      </w:r>
    </w:p>
    <w:p w14:paraId="0F922C66" w14:textId="49427685" w:rsidR="00CE1436" w:rsidRPr="00152EB9" w:rsidRDefault="00CE1436" w:rsidP="00012C56">
      <w:pPr>
        <w:pStyle w:val="NormalText"/>
      </w:pPr>
      <w:r w:rsidRPr="00152EB9">
        <w:t>For lucerne, submissions during co</w:t>
      </w:r>
      <w:r>
        <w:t>nsultation</w:t>
      </w:r>
      <w:r w:rsidRPr="00152EB9">
        <w:t xml:space="preserve"> have noted that the majority of lucerne production (83-85%) is geographically restricted to the south-east of </w:t>
      </w:r>
      <w:r w:rsidR="00AF23D3">
        <w:t>s</w:t>
      </w:r>
      <w:r w:rsidRPr="00152EB9">
        <w:t xml:space="preserve">outhern Australia, the distribution of the remaining 15% has not been established. Additionally, threatened species of birds and mammals have been cited for this region of Australia. Current product labels are not restricted to </w:t>
      </w:r>
      <w:r w:rsidR="00AF23D3">
        <w:t>s</w:t>
      </w:r>
      <w:r w:rsidRPr="00152EB9">
        <w:t xml:space="preserve">outhern Australia and the assessment must address the full on-label use. The information related to threatened species cannot be used to establish focal species in the crop, even for </w:t>
      </w:r>
      <w:r w:rsidR="00AF23D3">
        <w:t>s</w:t>
      </w:r>
      <w:r w:rsidRPr="00152EB9">
        <w:t xml:space="preserve">outhern Australia, and the risk assessment is not restricted to effects on threatened species. Therefore, these lines of argument are not a suitable basis </w:t>
      </w:r>
      <w:r w:rsidR="00AF23D3">
        <w:t xml:space="preserve">on which </w:t>
      </w:r>
      <w:r w:rsidRPr="00152EB9">
        <w:t>to refine the risk assessment.</w:t>
      </w:r>
    </w:p>
    <w:p w14:paraId="75BDF994" w14:textId="07CA442B" w:rsidR="00CE1436" w:rsidRPr="00152EB9" w:rsidRDefault="00CE1436" w:rsidP="00012C56">
      <w:pPr>
        <w:pStyle w:val="NormalText"/>
      </w:pPr>
      <w:r w:rsidRPr="00152EB9">
        <w:t>However, only small herbivorous mammals are of concern and there is only a marginal exceedance of the RQ. It can be expected that the herbicidal mode of</w:t>
      </w:r>
      <w:r w:rsidRPr="00136BA5">
        <w:rPr>
          <w:rFonts w:cstheme="minorHAnsi"/>
        </w:rPr>
        <w:t xml:space="preserve"> action (</w:t>
      </w:r>
      <w:r w:rsidRPr="00136BA5">
        <w:rPr>
          <w:rFonts w:cstheme="minorHAnsi"/>
        </w:rPr>
        <w:fldChar w:fldCharType="begin"/>
      </w:r>
      <w:r w:rsidRPr="00136BA5">
        <w:rPr>
          <w:rFonts w:cstheme="minorHAnsi"/>
        </w:rPr>
        <w:instrText xml:space="preserve"> REF _Ref220573440 \h  \* MERGEFORMAT </w:instrText>
      </w:r>
      <w:r w:rsidRPr="00136BA5">
        <w:rPr>
          <w:rFonts w:cstheme="minorHAnsi"/>
        </w:rPr>
      </w:r>
      <w:r w:rsidRPr="00136BA5">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136BA5">
        <w:rPr>
          <w:rFonts w:cstheme="minorHAnsi"/>
        </w:rPr>
        <w:fldChar w:fldCharType="end"/>
      </w:r>
      <w:r w:rsidRPr="00136BA5">
        <w:rPr>
          <w:rFonts w:cstheme="minorHAnsi"/>
        </w:rPr>
        <w:t xml:space="preserve">) will </w:t>
      </w:r>
      <w:r w:rsidRPr="00152EB9">
        <w:t xml:space="preserve">limit exposure of this group of organisms and the </w:t>
      </w:r>
      <w:r w:rsidRPr="00152EB9">
        <w:lastRenderedPageBreak/>
        <w:t>intent of the assessment is to prevent population level effects. Therefore, based on the weight-o</w:t>
      </w:r>
      <w:r w:rsidR="00AF23D3">
        <w:t>f</w:t>
      </w:r>
      <w:r w:rsidRPr="00152EB9">
        <w:t>-evidence it is concluded that the risk for this set of uses can be considered acceptable even at the maximum application rates.</w:t>
      </w:r>
    </w:p>
    <w:p w14:paraId="141C8945" w14:textId="5D2EB84A" w:rsidR="00CE1436" w:rsidRPr="00152EB9" w:rsidRDefault="00CE1436" w:rsidP="00012C56">
      <w:pPr>
        <w:pStyle w:val="NormalText"/>
      </w:pPr>
      <w:r w:rsidRPr="00152EB9">
        <w:t>Birds – There are unresolved risks for small insectivorous birds (at rates &gt;226 g ac/ha)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As stated in relation to the bare soil crop group the risk assessment is largely unchanged, and generic weight-of-evidence arguments (</w:t>
      </w:r>
      <w:r w:rsidRPr="00136BA5">
        <w:rPr>
          <w:rFonts w:cstheme="minorHAnsi"/>
        </w:rPr>
        <w:fldChar w:fldCharType="begin"/>
      </w:r>
      <w:r w:rsidRPr="00136BA5">
        <w:rPr>
          <w:rFonts w:cstheme="minorHAnsi"/>
        </w:rPr>
        <w:instrText xml:space="preserve"> REF _Ref220573440 \h  \* MERGEFORMAT </w:instrText>
      </w:r>
      <w:r w:rsidRPr="00136BA5">
        <w:rPr>
          <w:rFonts w:cstheme="minorHAnsi"/>
        </w:rPr>
      </w:r>
      <w:r w:rsidRPr="00136BA5">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136BA5">
        <w:rPr>
          <w:rFonts w:cstheme="minorHAnsi"/>
        </w:rPr>
        <w:fldChar w:fldCharType="end"/>
      </w:r>
      <w:r w:rsidRPr="00152EB9">
        <w:t>) are not considered sufficient to resolve the risk. The arguments made during co</w:t>
      </w:r>
      <w:r>
        <w:t>nsultation</w:t>
      </w:r>
      <w:r w:rsidRPr="00152EB9">
        <w:t xml:space="preserve"> specifically in relation to lucerne (see discussion of mammals above) are not suitable to resolve the risk assessment, either quantitatively or qualitatively. Therefore, the conclusion of the risk assessment is unchanged from the refined assessment presented in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and an acceptable risk cannot be established for application rates &gt;226 g ac/ha.</w:t>
      </w:r>
    </w:p>
    <w:p w14:paraId="25CAE220" w14:textId="77777777" w:rsidR="00CE1436" w:rsidRPr="00012C56" w:rsidRDefault="00CE1436" w:rsidP="00012C56">
      <w:pPr>
        <w:pStyle w:val="NormalText"/>
        <w:rPr>
          <w:b/>
          <w:bCs/>
        </w:rPr>
      </w:pPr>
      <w:r w:rsidRPr="00012C56">
        <w:rPr>
          <w:b/>
          <w:bCs/>
        </w:rPr>
        <w:t>Legume forage crop group – General weed control in peanuts (BBCH 10-19) and lucerne (grazed before application)</w:t>
      </w:r>
    </w:p>
    <w:p w14:paraId="7351B918" w14:textId="2E75A4D6" w:rsidR="00CE1436" w:rsidRPr="00152EB9" w:rsidRDefault="00CE1436" w:rsidP="00012C56">
      <w:pPr>
        <w:pStyle w:val="NormalText"/>
      </w:pPr>
      <w:r w:rsidRPr="0036224D">
        <w:rPr>
          <w:rFonts w:cstheme="minorHAnsi"/>
        </w:rPr>
        <w:t>Mammals – Acceptable risks were concluded based on the default Tier-1 risk assessment (</w:t>
      </w:r>
      <w:r w:rsidRPr="0036224D">
        <w:rPr>
          <w:rFonts w:cstheme="minorHAnsi"/>
        </w:rPr>
        <w:fldChar w:fldCharType="begin"/>
      </w:r>
      <w:r w:rsidRPr="0036224D">
        <w:rPr>
          <w:rFonts w:cstheme="minorHAnsi"/>
        </w:rPr>
        <w:instrText xml:space="preserve"> REF _Ref168386683 \h  \* MERGEFORMAT </w:instrText>
      </w:r>
      <w:r w:rsidRPr="0036224D">
        <w:rPr>
          <w:rFonts w:cstheme="minorHAnsi"/>
        </w:rPr>
      </w:r>
      <w:r w:rsidRPr="0036224D">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75</w:t>
      </w:r>
      <w:r w:rsidRPr="0036224D">
        <w:rPr>
          <w:rFonts w:cstheme="minorHAnsi"/>
        </w:rPr>
        <w:fldChar w:fldCharType="end"/>
      </w:r>
      <w:r w:rsidRPr="0036224D">
        <w:rPr>
          <w:rFonts w:cstheme="minorHAnsi"/>
        </w:rPr>
        <w:t>), no</w:t>
      </w:r>
      <w:r w:rsidRPr="00152EB9">
        <w:t xml:space="preserve"> further consideration is required.</w:t>
      </w:r>
    </w:p>
    <w:p w14:paraId="2136B4E6" w14:textId="7EDBE1B8" w:rsidR="00CE1436" w:rsidRPr="00152EB9" w:rsidRDefault="00CE1436" w:rsidP="00012C56">
      <w:pPr>
        <w:pStyle w:val="NormalText"/>
      </w:pPr>
      <w:r w:rsidRPr="00152EB9">
        <w:t>Birds – There are unresolved risks for small granivorous (at rates &gt;231 g ac/ha), small omnivorous (at rates &gt;238 g ac/ha) and small insectivorous birds (at rates &gt;213 g ac/ha)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As stated in relation to the bare soil crop group the risk assessment is largely unchanged, and generic weight-of-evidence arguments (</w:t>
      </w:r>
      <w:r w:rsidRPr="00136BA5">
        <w:rPr>
          <w:rFonts w:cstheme="minorHAnsi"/>
        </w:rPr>
        <w:fldChar w:fldCharType="begin"/>
      </w:r>
      <w:r w:rsidRPr="00136BA5">
        <w:rPr>
          <w:rFonts w:cstheme="minorHAnsi"/>
        </w:rPr>
        <w:instrText xml:space="preserve"> REF _Ref220573440 \h  \* MERGEFORMAT </w:instrText>
      </w:r>
      <w:r w:rsidRPr="00136BA5">
        <w:rPr>
          <w:rFonts w:cstheme="minorHAnsi"/>
        </w:rPr>
      </w:r>
      <w:r w:rsidRPr="00136BA5">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136BA5">
        <w:rPr>
          <w:rFonts w:cstheme="minorHAnsi"/>
        </w:rPr>
        <w:fldChar w:fldCharType="end"/>
      </w:r>
      <w:r w:rsidRPr="00152EB9">
        <w:t xml:space="preserve">) are not considered sufficient to resolve the risk. Therefore, the conclusion of the risk assessment is unchanged from the refined assessment presented in </w:t>
      </w:r>
      <w:r w:rsidRPr="00BC4F32">
        <w:rPr>
          <w:rFonts w:cstheme="minorHAnsi"/>
        </w:rPr>
        <w:fldChar w:fldCharType="begin"/>
      </w:r>
      <w:r w:rsidRPr="00BC4F32">
        <w:rPr>
          <w:rFonts w:cstheme="minorHAnsi"/>
        </w:rPr>
        <w:instrText xml:space="preserve"> REF _Ref220573323 \h  \* MERGEFORMAT </w:instrText>
      </w:r>
      <w:r w:rsidRPr="00BC4F32">
        <w:rPr>
          <w:rFonts w:cstheme="minorHAnsi"/>
        </w:rPr>
      </w:r>
      <w:r w:rsidRPr="00BC4F32">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BC4F32">
        <w:rPr>
          <w:rFonts w:cstheme="minorHAnsi"/>
        </w:rPr>
        <w:fldChar w:fldCharType="end"/>
      </w:r>
      <w:r w:rsidRPr="00152EB9">
        <w:t>, and an acceptable risk cannot be established for application rates &gt;213 g ac/ha.</w:t>
      </w:r>
    </w:p>
    <w:p w14:paraId="4AC693AD" w14:textId="77777777" w:rsidR="00CE1436" w:rsidRPr="00012C56" w:rsidRDefault="00CE1436" w:rsidP="00012C56">
      <w:pPr>
        <w:pStyle w:val="NormalText"/>
        <w:rPr>
          <w:b/>
          <w:bCs/>
        </w:rPr>
      </w:pPr>
      <w:r w:rsidRPr="00012C56">
        <w:rPr>
          <w:b/>
          <w:bCs/>
        </w:rPr>
        <w:t>Maize crop group – General weed control in sugarcane (over the top spray and inter-row spray)</w:t>
      </w:r>
    </w:p>
    <w:p w14:paraId="3F1C2F8F" w14:textId="45169FC4" w:rsidR="00CE1436" w:rsidRPr="00152EB9" w:rsidRDefault="00CE1436" w:rsidP="00012C56">
      <w:pPr>
        <w:pStyle w:val="NormalText"/>
      </w:pPr>
      <w:r w:rsidRPr="00152EB9">
        <w:t>Mammals – There are unresolved acute risks for small herbivorous (at rates &gt;54 g ac/ha)</w:t>
      </w:r>
      <w:r>
        <w:rPr>
          <w:rStyle w:val="FootnoteReference"/>
          <w:szCs w:val="19"/>
        </w:rPr>
        <w:footnoteReference w:id="70"/>
      </w:r>
      <w:r w:rsidRPr="00152EB9">
        <w:t>, and small omnivorous mammals (at rates &gt;355 g ac/h</w:t>
      </w:r>
      <w:r w:rsidRPr="0036224D">
        <w:rPr>
          <w:rFonts w:cstheme="minorHAnsi"/>
        </w:rPr>
        <w:t>a) (</w:t>
      </w:r>
      <w:r w:rsidRPr="0036224D">
        <w:rPr>
          <w:rFonts w:cstheme="minorHAnsi"/>
        </w:rPr>
        <w:fldChar w:fldCharType="begin"/>
      </w:r>
      <w:r w:rsidRPr="0036224D">
        <w:rPr>
          <w:rFonts w:cstheme="minorHAnsi"/>
        </w:rPr>
        <w:instrText xml:space="preserve"> REF _Ref220573311 \h  \* MERGEFORMAT </w:instrText>
      </w:r>
      <w:r w:rsidRPr="0036224D">
        <w:rPr>
          <w:rFonts w:cstheme="minorHAnsi"/>
        </w:rPr>
      </w:r>
      <w:r w:rsidRPr="0036224D">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36224D">
        <w:rPr>
          <w:rFonts w:cstheme="minorHAnsi"/>
        </w:rPr>
        <w:fldChar w:fldCharType="end"/>
      </w:r>
      <w:r w:rsidRPr="0036224D">
        <w:rPr>
          <w:rFonts w:cstheme="minorHAnsi"/>
        </w:rPr>
        <w:t>). There are unresolved chronic risks for small herbivorous mammals (at rates &gt;242 g ac/ha). The maximu</w:t>
      </w:r>
      <w:r w:rsidRPr="00152EB9">
        <w:t>m use rate for sugarcane is 400 g ac/ha.</w:t>
      </w:r>
    </w:p>
    <w:p w14:paraId="37596761" w14:textId="77777777" w:rsidR="00CE1436" w:rsidRPr="00152EB9" w:rsidRDefault="00CE1436" w:rsidP="00012C56">
      <w:pPr>
        <w:pStyle w:val="NormalText"/>
      </w:pPr>
      <w:r w:rsidRPr="00152EB9">
        <w:t xml:space="preserve">The chronic risk to small herbivorous and large herbivorous mammals is concluded to be acceptable, despite the results of the quantitative assessment. The rationale is the same as for uses on pasture as discussed previously. The acute risk to small herbivores and small omnivores cannot be excluded on the same basis, as the acute assessment relates to short term exposure. </w:t>
      </w:r>
    </w:p>
    <w:p w14:paraId="7BDFB353" w14:textId="77777777" w:rsidR="00CE1436" w:rsidRPr="00152EB9" w:rsidRDefault="00CE1436" w:rsidP="00012C56">
      <w:pPr>
        <w:pStyle w:val="NormalText"/>
      </w:pPr>
      <w:r w:rsidRPr="00152EB9">
        <w:t>References were cited during co</w:t>
      </w:r>
      <w:r>
        <w:t>nsultation</w:t>
      </w:r>
      <w:r w:rsidRPr="00152EB9">
        <w:t xml:space="preserve"> that relate to rodent species in sugarcane situations (Wilson &amp; Whisson 1993, Fuller &amp; Dyer 2008). Additional information related to rodents in sugarcane can be found in Dyer (2007). Whilst not intended as studies to define focal species there is relevant information in Wilson &amp; Whission (1993) and Dyer (2007) regarding the rodent species that frequent sugarcane fields. Given the distribution of sugarcane production the sampled locations in Queensland are expected to provide reasonable geographic coverage to consider the rodent species that are likely to frequent sugarcane fields.</w:t>
      </w:r>
    </w:p>
    <w:p w14:paraId="4FEF751B" w14:textId="724611BB" w:rsidR="00CE1436" w:rsidRPr="00152EB9" w:rsidRDefault="00CE1436" w:rsidP="00012C56">
      <w:pPr>
        <w:pStyle w:val="NormalText"/>
      </w:pPr>
      <w:r w:rsidRPr="00152EB9">
        <w:rPr>
          <w:i/>
          <w:iCs/>
        </w:rPr>
        <w:lastRenderedPageBreak/>
        <w:t>Rattus sordidus</w:t>
      </w:r>
      <w:r w:rsidRPr="00152EB9">
        <w:t xml:space="preserve"> and </w:t>
      </w:r>
      <w:r w:rsidRPr="00152EB9">
        <w:rPr>
          <w:i/>
          <w:iCs/>
        </w:rPr>
        <w:t>Melomys burtoni</w:t>
      </w:r>
      <w:r w:rsidRPr="00152EB9">
        <w:t xml:space="preserve"> were the main species observed</w:t>
      </w:r>
      <w:r w:rsidR="00AF23D3">
        <w:t>, comprising</w:t>
      </w:r>
      <w:r w:rsidRPr="00152EB9">
        <w:t xml:space="preserve"> up to 90 or 38% of rodents captured, respectively. These are both considered pest species in sugarcane, though in other situations this would not be the case. Regardless of their status in sugarcane, based on the information available there is reason to expect that they are not exposed to the extent predicted by the Tier 1 risk assessment. The prevalence at early growth stages is relatively low for both </w:t>
      </w:r>
      <w:r w:rsidRPr="00152EB9">
        <w:rPr>
          <w:i/>
          <w:iCs/>
        </w:rPr>
        <w:t>R. sordidus</w:t>
      </w:r>
      <w:r w:rsidRPr="00152EB9">
        <w:t xml:space="preserve"> and </w:t>
      </w:r>
      <w:r w:rsidRPr="00152EB9">
        <w:rPr>
          <w:i/>
          <w:iCs/>
        </w:rPr>
        <w:t>M. burtoni</w:t>
      </w:r>
      <w:r w:rsidRPr="00152EB9">
        <w:t xml:space="preserve">, the implication being that individuals move into the crop from the surrounding area. Therefore, only a fraction of the population is expected to frequent sugarcane fields at early growth stages, particularly when over-the-top spraying would occur. The studies that consider dietary composition of </w:t>
      </w:r>
      <w:r w:rsidRPr="00152EB9">
        <w:rPr>
          <w:i/>
          <w:iCs/>
        </w:rPr>
        <w:t>R. sordidus</w:t>
      </w:r>
      <w:r w:rsidRPr="00152EB9">
        <w:t xml:space="preserve"> (Wilson &amp; Whisson 1993) and </w:t>
      </w:r>
      <w:r w:rsidRPr="00152EB9">
        <w:rPr>
          <w:i/>
          <w:iCs/>
        </w:rPr>
        <w:t>M. burtoni</w:t>
      </w:r>
      <w:r w:rsidRPr="00152EB9">
        <w:t xml:space="preserve"> (Dyer 2007, Fuller &amp; Dyer 2008) were not designed specifically for regulatory purposes but do provide useful insights. The proportion of </w:t>
      </w:r>
      <w:r w:rsidRPr="00152EB9">
        <w:rPr>
          <w:i/>
          <w:iCs/>
        </w:rPr>
        <w:t>R. sordidus</w:t>
      </w:r>
      <w:r w:rsidRPr="00152EB9">
        <w:t xml:space="preserve"> individuals with &gt;50% sugarcane, by volume, in their stomach contents was 0.35-0.69 for individuals captured in crop or crop margin. The mean stomach contents of </w:t>
      </w:r>
      <w:r w:rsidRPr="00152EB9">
        <w:rPr>
          <w:i/>
          <w:iCs/>
        </w:rPr>
        <w:t>M. bu</w:t>
      </w:r>
      <w:r>
        <w:rPr>
          <w:i/>
          <w:iCs/>
        </w:rPr>
        <w:t>r</w:t>
      </w:r>
      <w:r w:rsidRPr="00152EB9">
        <w:rPr>
          <w:i/>
          <w:iCs/>
        </w:rPr>
        <w:t>toni</w:t>
      </w:r>
      <w:r w:rsidRPr="00152EB9">
        <w:t xml:space="preserve">, caught in-crop at growth stages 4 and 5, was ~60% seeds, ~20-40% sugarcane and 6-13% other vegetation. Sugarcane is not treated when application is by inter-row spraying, and no paraquat residues can be assumed for sugarcane in the diet – though the actual fraction may vary depending on the timing of any inter-row spraying. The data also implies that exposure of </w:t>
      </w:r>
      <w:r w:rsidRPr="00152EB9">
        <w:rPr>
          <w:i/>
          <w:iCs/>
        </w:rPr>
        <w:t>M. burtoni</w:t>
      </w:r>
      <w:r w:rsidRPr="00152EB9">
        <w:t xml:space="preserve"> will also be reduced by the seed content of their diet. Given the weight-of-evidence and that these are pest species</w:t>
      </w:r>
      <w:r w:rsidRPr="00152EB9">
        <w:rPr>
          <w:rStyle w:val="FootnoteReference"/>
          <w:szCs w:val="19"/>
        </w:rPr>
        <w:footnoteReference w:id="71"/>
      </w:r>
      <w:r w:rsidRPr="00152EB9">
        <w:t xml:space="preserve"> the risk to these species can be assumed to be acceptable.</w:t>
      </w:r>
    </w:p>
    <w:p w14:paraId="306C73B0" w14:textId="6886BE43" w:rsidR="00CE1436" w:rsidRPr="00152EB9" w:rsidRDefault="00CE1436" w:rsidP="00012C56">
      <w:pPr>
        <w:pStyle w:val="NormalText"/>
      </w:pPr>
      <w:r w:rsidRPr="00152EB9">
        <w:t>Other native rodents</w:t>
      </w:r>
      <w:r w:rsidRPr="00152EB9">
        <w:rPr>
          <w:rStyle w:val="FootnoteReference"/>
          <w:szCs w:val="19"/>
        </w:rPr>
        <w:footnoteReference w:id="72"/>
      </w:r>
      <w:r w:rsidRPr="00152EB9">
        <w:t xml:space="preserve"> captured were </w:t>
      </w:r>
      <w:r w:rsidRPr="00152EB9">
        <w:rPr>
          <w:i/>
          <w:iCs/>
        </w:rPr>
        <w:t>Melomys cervinipes</w:t>
      </w:r>
      <w:r w:rsidRPr="00152EB9">
        <w:t xml:space="preserve">, </w:t>
      </w:r>
      <w:r w:rsidRPr="00152EB9">
        <w:rPr>
          <w:i/>
          <w:iCs/>
        </w:rPr>
        <w:t>Rattus fuscipes</w:t>
      </w:r>
      <w:r w:rsidRPr="00152EB9">
        <w:t xml:space="preserve">, </w:t>
      </w:r>
      <w:r w:rsidRPr="00152EB9">
        <w:rPr>
          <w:i/>
          <w:iCs/>
        </w:rPr>
        <w:t>Uromys caudimaculatus</w:t>
      </w:r>
      <w:r w:rsidRPr="00152EB9">
        <w:t xml:space="preserve">, and </w:t>
      </w:r>
      <w:r w:rsidRPr="00152EB9">
        <w:rPr>
          <w:i/>
          <w:iCs/>
        </w:rPr>
        <w:t>Hydromys chrysogaster</w:t>
      </w:r>
      <w:r w:rsidRPr="00152EB9">
        <w:t>. None were captured frequently, though precise numbers are not necessarily available</w:t>
      </w:r>
      <w:r w:rsidR="00AF23D3">
        <w:t>,</w:t>
      </w:r>
      <w:r w:rsidRPr="00152EB9">
        <w:t xml:space="preserve"> nor is any comparison to the size of the local population.</w:t>
      </w:r>
    </w:p>
    <w:p w14:paraId="4B9EE979" w14:textId="77777777" w:rsidR="00CE1436" w:rsidRPr="00152EB9" w:rsidRDefault="00CE1436" w:rsidP="00012C56">
      <w:pPr>
        <w:pStyle w:val="Bullet1"/>
      </w:pPr>
      <w:r w:rsidRPr="00152EB9">
        <w:rPr>
          <w:i/>
          <w:iCs/>
        </w:rPr>
        <w:t>H.</w:t>
      </w:r>
      <w:r w:rsidRPr="00152EB9">
        <w:t xml:space="preserve"> </w:t>
      </w:r>
      <w:r w:rsidRPr="00152EB9">
        <w:rPr>
          <w:i/>
          <w:iCs/>
        </w:rPr>
        <w:t>chrysogaster</w:t>
      </w:r>
      <w:r w:rsidRPr="00152EB9">
        <w:t xml:space="preserve"> is carnivorous/piscivorous. Therefore, it is not relevant</w:t>
      </w:r>
      <w:r>
        <w:t xml:space="preserve"> to this assessment</w:t>
      </w:r>
      <w:r w:rsidRPr="00152EB9">
        <w:t>, and the risk is acceptable.</w:t>
      </w:r>
    </w:p>
    <w:p w14:paraId="2A6FAC30" w14:textId="42CB138A" w:rsidR="00CE1436" w:rsidRPr="00152EB9" w:rsidRDefault="00CE1436" w:rsidP="00012C56">
      <w:pPr>
        <w:pStyle w:val="Bullet1"/>
      </w:pPr>
      <w:r w:rsidRPr="00152EB9">
        <w:rPr>
          <w:i/>
          <w:iCs/>
        </w:rPr>
        <w:t>U. caudimaculatus</w:t>
      </w:r>
      <w:r w:rsidRPr="00152EB9">
        <w:t xml:space="preserve"> is understood to be omnivorous, though measured data for the diet in a sugarcane situation </w:t>
      </w:r>
      <w:r>
        <w:t>are</w:t>
      </w:r>
      <w:r w:rsidRPr="00152EB9">
        <w:t xml:space="preserve"> not available. The limited data available do not indicate that foliage constitutes a large fraction of the diet (Watts 1977), which would reduce the expected exposure compared to the default assumptions of the risk assessment for omnivorous/herbivorous species. The species is relatively large, </w:t>
      </w:r>
      <w:r w:rsidR="00AF23D3">
        <w:t xml:space="preserve">with </w:t>
      </w:r>
      <w:r w:rsidRPr="00152EB9">
        <w:t>median body weight estimated at 650 g. The species habitat preferences indicate it is not expected to routinely use sugarcane fields. Given these observations the risk is expected to be acceptable, even without considering other weight-of-evidence factors.</w:t>
      </w:r>
    </w:p>
    <w:p w14:paraId="192D7020" w14:textId="0A743F65" w:rsidR="00CE1436" w:rsidRPr="00152EB9" w:rsidRDefault="00CE1436" w:rsidP="00012C56">
      <w:pPr>
        <w:pStyle w:val="Bullet1"/>
      </w:pPr>
      <w:r w:rsidRPr="00152EB9">
        <w:rPr>
          <w:i/>
          <w:iCs/>
        </w:rPr>
        <w:t>R. fuscipes</w:t>
      </w:r>
      <w:r w:rsidRPr="00152EB9">
        <w:t xml:space="preserve"> is expected to be omnivorous though foliage can constitute a significant portion of the diet (Cheal 1987, Carron </w:t>
      </w:r>
      <w:r>
        <w:t>et al.</w:t>
      </w:r>
      <w:r w:rsidRPr="00152EB9">
        <w:t xml:space="preserve"> 1990, Watts 1977, Watts &amp; Braithwaite 1978). Specific data related to sugarcane situations </w:t>
      </w:r>
      <w:r>
        <w:t>are</w:t>
      </w:r>
      <w:r w:rsidRPr="00152EB9">
        <w:t xml:space="preserve"> not available. Based on the available information a diet including 50% foliage is considered a reasonably conservative estimate. There are some observations of foliage/stems reaching about 75% of the diet. Assuming a mean body weight of 125 g and a diet of 50% grass</w:t>
      </w:r>
      <w:r w:rsidRPr="00152EB9">
        <w:rPr>
          <w:rStyle w:val="FootnoteReference"/>
          <w:szCs w:val="19"/>
        </w:rPr>
        <w:footnoteReference w:id="73"/>
      </w:r>
      <w:r w:rsidRPr="00152EB9">
        <w:t>, 25% seeds and 25% arthropods the RQ would be 1.0 at an application rate of 400 g ac/ha; if the foliar component of the diet were 75% grass the RQ wo</w:t>
      </w:r>
      <w:r w:rsidRPr="0036224D">
        <w:rPr>
          <w:rFonts w:cstheme="minorHAnsi"/>
        </w:rPr>
        <w:t>uld be 1.9. Treated foliage is only expected to be fully palatable for a short period after treatment (</w:t>
      </w:r>
      <w:r w:rsidRPr="0036224D">
        <w:rPr>
          <w:rFonts w:cstheme="minorHAnsi"/>
        </w:rPr>
        <w:fldChar w:fldCharType="begin"/>
      </w:r>
      <w:r w:rsidRPr="0036224D">
        <w:rPr>
          <w:rFonts w:cstheme="minorHAnsi"/>
        </w:rPr>
        <w:instrText xml:space="preserve"> REF _Ref220573440 \h  \* MERGEFORMAT </w:instrText>
      </w:r>
      <w:r w:rsidRPr="0036224D">
        <w:rPr>
          <w:rFonts w:cstheme="minorHAnsi"/>
        </w:rPr>
      </w:r>
      <w:r w:rsidRPr="0036224D">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36224D">
        <w:rPr>
          <w:rFonts w:cstheme="minorHAnsi"/>
        </w:rPr>
        <w:fldChar w:fldCharType="end"/>
      </w:r>
      <w:r w:rsidRPr="0036224D">
        <w:rPr>
          <w:rFonts w:cstheme="minorHAnsi"/>
        </w:rPr>
        <w:t xml:space="preserve">) </w:t>
      </w:r>
      <w:r w:rsidRPr="0036224D">
        <w:rPr>
          <w:rFonts w:cstheme="minorHAnsi"/>
        </w:rPr>
        <w:lastRenderedPageBreak/>
        <w:t>limiti</w:t>
      </w:r>
      <w:r w:rsidRPr="00152EB9">
        <w:t>ng the potential exposure. On balance, for what is a common rodent species in Australia and one that does not appear to routinely use sugarcane, the risk is concluded to be acceptable.</w:t>
      </w:r>
    </w:p>
    <w:p w14:paraId="7F33486C" w14:textId="77777777" w:rsidR="00CE1436" w:rsidRPr="00152EB9" w:rsidRDefault="00CE1436" w:rsidP="00012C56">
      <w:pPr>
        <w:pStyle w:val="Bullet1"/>
      </w:pPr>
      <w:r w:rsidRPr="00152EB9">
        <w:rPr>
          <w:i/>
          <w:iCs/>
        </w:rPr>
        <w:t>M. cervinipes</w:t>
      </w:r>
      <w:r w:rsidRPr="00152EB9">
        <w:t xml:space="preserve"> including a substantial foliar component of the diet cannot be excluded. The available observations of </w:t>
      </w:r>
      <w:r w:rsidRPr="00152EB9">
        <w:rPr>
          <w:i/>
          <w:iCs/>
        </w:rPr>
        <w:t>M. cervinipes</w:t>
      </w:r>
      <w:r w:rsidRPr="00152EB9">
        <w:t xml:space="preserve"> in sugarcane (Wilson &amp; Whisson 1993, Dyer 2007) indicate that the number of individuals</w:t>
      </w:r>
      <w:r w:rsidRPr="00152EB9">
        <w:rPr>
          <w:i/>
          <w:iCs/>
        </w:rPr>
        <w:t xml:space="preserve"> </w:t>
      </w:r>
      <w:r w:rsidRPr="00152EB9">
        <w:t>in sugarcane is consistently low. Slightly higher abundance is observed later in the season after correcting for sampling effort. How substantial a fraction of the local population this represents is unknown. The species is unlikely to be present in sugarcane early in the crop’s growth cycle when over</w:t>
      </w:r>
      <w:r>
        <w:t>-</w:t>
      </w:r>
      <w:r w:rsidRPr="00152EB9">
        <w:t>the</w:t>
      </w:r>
      <w:r>
        <w:t>-</w:t>
      </w:r>
      <w:r w:rsidRPr="00152EB9">
        <w:t xml:space="preserve">top spraying would occur. The habitat preferences of </w:t>
      </w:r>
      <w:r w:rsidRPr="00152EB9">
        <w:rPr>
          <w:i/>
          <w:iCs/>
        </w:rPr>
        <w:t>M. cervinipes</w:t>
      </w:r>
      <w:r w:rsidRPr="00152EB9">
        <w:t xml:space="preserve"> imply it is not expected to occur frequently in sugarcane situations. Also it is understood that </w:t>
      </w:r>
      <w:r w:rsidRPr="00152EB9">
        <w:rPr>
          <w:i/>
          <w:iCs/>
        </w:rPr>
        <w:t>M. cervinipes</w:t>
      </w:r>
      <w:r w:rsidRPr="00152EB9">
        <w:t xml:space="preserve"> is scansorial which would indicate that foraging on the ground is limited, therefore limiting exposure to residues of paraquat from ground</w:t>
      </w:r>
      <w:r>
        <w:t>-</w:t>
      </w:r>
      <w:r w:rsidRPr="00152EB9">
        <w:t>directed applications. There is uncertainty given the current information, but the available information implies that population level effects are not expected.</w:t>
      </w:r>
    </w:p>
    <w:p w14:paraId="6D6E5E67" w14:textId="77777777" w:rsidR="00CE1436" w:rsidRPr="00152EB9" w:rsidRDefault="00CE1436" w:rsidP="00012C56">
      <w:pPr>
        <w:pStyle w:val="NormalText"/>
      </w:pPr>
      <w:r w:rsidRPr="00152EB9">
        <w:t xml:space="preserve">Whilst the data </w:t>
      </w:r>
      <w:r>
        <w:t>are</w:t>
      </w:r>
      <w:r w:rsidRPr="00152EB9">
        <w:t xml:space="preserve"> limited for several species, the risk is expected to be acceptable for the species observed to occur in sugarcane. Therefore, the risk from exposure to paraquat can be considered acceptable at up to the current maximum on-label rate (400 g ac/ha).</w:t>
      </w:r>
    </w:p>
    <w:p w14:paraId="3E288955" w14:textId="24836D90" w:rsidR="00CE1436" w:rsidRPr="0036224D" w:rsidRDefault="00CE1436" w:rsidP="00012C56">
      <w:pPr>
        <w:pStyle w:val="NormalText"/>
        <w:rPr>
          <w:rFonts w:cstheme="minorHAnsi"/>
        </w:rPr>
      </w:pPr>
      <w:r w:rsidRPr="0036224D">
        <w:rPr>
          <w:rFonts w:cstheme="minorHAnsi"/>
        </w:rPr>
        <w:t>Birds – There are unresolved risks for medium herbivorous/granivorous (at rates &gt;103 g ac/ha for interrow spraying or &gt;137 g ac/ha for over-the-top spraying), small omnivorous (at rates &gt;238 g ac/ha for interrow spraying or &gt;315 g ac/ha for over-the-top spraying) and small insectivorous birds (at rates &gt;213 g ac/ha for interrow spraying or &gt;302 g ac/ha for over-the-top spraying) (</w:t>
      </w:r>
      <w:r w:rsidRPr="0036224D">
        <w:rPr>
          <w:rFonts w:cstheme="minorHAnsi"/>
        </w:rPr>
        <w:fldChar w:fldCharType="begin"/>
      </w:r>
      <w:r w:rsidRPr="0036224D">
        <w:rPr>
          <w:rFonts w:cstheme="minorHAnsi"/>
        </w:rPr>
        <w:instrText xml:space="preserve"> REF _Ref220573323 \h  \* MERGEFORMAT </w:instrText>
      </w:r>
      <w:r w:rsidRPr="0036224D">
        <w:rPr>
          <w:rFonts w:cstheme="minorHAnsi"/>
        </w:rPr>
      </w:r>
      <w:r w:rsidRPr="0036224D">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36224D">
        <w:rPr>
          <w:rFonts w:cstheme="minorHAnsi"/>
        </w:rPr>
        <w:fldChar w:fldCharType="end"/>
      </w:r>
      <w:r w:rsidRPr="0036224D">
        <w:rPr>
          <w:rFonts w:cstheme="minorHAnsi"/>
        </w:rPr>
        <w:t>). As stated in relation to the bare soil crop group the risk assessment is largely unchanged, and generic weight-of-evidence arguments (</w:t>
      </w:r>
      <w:r w:rsidRPr="0036224D">
        <w:rPr>
          <w:rFonts w:cstheme="minorHAnsi"/>
        </w:rPr>
        <w:fldChar w:fldCharType="begin"/>
      </w:r>
      <w:r w:rsidRPr="0036224D">
        <w:rPr>
          <w:rFonts w:cstheme="minorHAnsi"/>
        </w:rPr>
        <w:instrText xml:space="preserve"> REF _Ref220573440 \h  \* MERGEFORMAT </w:instrText>
      </w:r>
      <w:r w:rsidRPr="0036224D">
        <w:rPr>
          <w:rFonts w:cstheme="minorHAnsi"/>
        </w:rPr>
      </w:r>
      <w:r w:rsidRPr="0036224D">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36224D">
        <w:rPr>
          <w:rFonts w:cstheme="minorHAnsi"/>
        </w:rPr>
        <w:fldChar w:fldCharType="end"/>
      </w:r>
      <w:r w:rsidRPr="0036224D">
        <w:rPr>
          <w:rFonts w:cstheme="minorHAnsi"/>
        </w:rPr>
        <w:t xml:space="preserve">) are not considered sufficient to resolve the risk. For the over-the-top spray situation, the risk to all generic focal species would need to be resolved. For the inter-row spray use where paraquat application is directed away from the sugarcane, small omnivorous and small insectivorous birds would only be exposed if they forage on the ground. Therefore, clearer information regarding the timing of this use would be needed to establish the relevance of these generic focal species. For medium herbivorous/granivorous birds the application method is not a mitigating factor, as ground foraging species are assumed to be present in the absence of information to determine relevant focal species. Therefore, the conclusion of the risk assessment is unchanged from the refined assessment presented in </w:t>
      </w:r>
      <w:r w:rsidRPr="0036224D">
        <w:rPr>
          <w:rFonts w:cstheme="minorHAnsi"/>
        </w:rPr>
        <w:fldChar w:fldCharType="begin"/>
      </w:r>
      <w:r w:rsidRPr="0036224D">
        <w:rPr>
          <w:rFonts w:cstheme="minorHAnsi"/>
        </w:rPr>
        <w:instrText xml:space="preserve"> REF _Ref220573323 \h  \* MERGEFORMAT </w:instrText>
      </w:r>
      <w:r w:rsidRPr="0036224D">
        <w:rPr>
          <w:rFonts w:cstheme="minorHAnsi"/>
        </w:rPr>
      </w:r>
      <w:r w:rsidRPr="0036224D">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36224D">
        <w:rPr>
          <w:rFonts w:cstheme="minorHAnsi"/>
        </w:rPr>
        <w:fldChar w:fldCharType="end"/>
      </w:r>
      <w:r w:rsidRPr="0036224D">
        <w:rPr>
          <w:rFonts w:cstheme="minorHAnsi"/>
        </w:rPr>
        <w:t>, and an acceptable risk cannot be established for application rates &gt;103 g ac/ha for interrow spraying or &gt;137 g ac/ha for over-the-top spraying.</w:t>
      </w:r>
    </w:p>
    <w:p w14:paraId="34295BB8" w14:textId="052314CB" w:rsidR="00CE1436" w:rsidRPr="00152EB9" w:rsidRDefault="00CE1436" w:rsidP="00012C56">
      <w:pPr>
        <w:pStyle w:val="NormalText"/>
      </w:pPr>
      <w:r w:rsidRPr="00152EB9">
        <w:t xml:space="preserve">During </w:t>
      </w:r>
      <w:r>
        <w:t xml:space="preserve">the </w:t>
      </w:r>
      <w:r w:rsidR="005C375E">
        <w:t xml:space="preserve">public </w:t>
      </w:r>
      <w:r w:rsidRPr="00152EB9">
        <w:t>comment</w:t>
      </w:r>
      <w:r>
        <w:t xml:space="preserve"> period </w:t>
      </w:r>
      <w:r w:rsidRPr="00152EB9">
        <w:t>it was proposed to remove the crop foliage component included in the diet of the small omnivorous bird, when application is by inter-row spraying. This may be justifiable depending on the species present in the crop, assuming there is no substitution for other foliage. However, given the need to resolve the risk for other generic focal species this has not been considered further at this time.</w:t>
      </w:r>
    </w:p>
    <w:p w14:paraId="31B07384" w14:textId="77777777" w:rsidR="00CE1436" w:rsidRPr="00012C56" w:rsidRDefault="00CE1436" w:rsidP="00012C56">
      <w:pPr>
        <w:pStyle w:val="NormalText"/>
        <w:rPr>
          <w:b/>
          <w:bCs/>
        </w:rPr>
      </w:pPr>
      <w:r w:rsidRPr="00012C56">
        <w:rPr>
          <w:b/>
          <w:bCs/>
        </w:rPr>
        <w:t>Orchard crop group – General weed control in bananas, dubosia, forests, orchards, plantations and tea tree</w:t>
      </w:r>
    </w:p>
    <w:p w14:paraId="594C6857" w14:textId="480D2689" w:rsidR="00CE1436" w:rsidRPr="0092368C" w:rsidRDefault="00CE1436" w:rsidP="00012C56">
      <w:pPr>
        <w:pStyle w:val="NormalText"/>
        <w:rPr>
          <w:rFonts w:cstheme="minorHAnsi"/>
        </w:rPr>
      </w:pPr>
      <w:r w:rsidRPr="0092368C">
        <w:rPr>
          <w:rFonts w:cstheme="minorHAnsi"/>
        </w:rPr>
        <w:t>Mammals – There are unresolved risks for small herbivorous (at rates &gt;54 g ac/ha or 2 × 39 g ac/ha), large herbivorous (at rates &gt;275 g ac/ha or 2 × 196 g ac/ha) and small omnivorous mammals (at rates &gt;521 g ac/ha or 2 × 398 g ac/ha) (</w:t>
      </w:r>
      <w:r w:rsidRPr="0092368C">
        <w:rPr>
          <w:rFonts w:cstheme="minorHAnsi"/>
        </w:rPr>
        <w:fldChar w:fldCharType="begin"/>
      </w:r>
      <w:r w:rsidRPr="0092368C">
        <w:rPr>
          <w:rFonts w:cstheme="minorHAnsi"/>
        </w:rPr>
        <w:instrText xml:space="preserve"> REF _Ref220573311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92368C">
        <w:rPr>
          <w:rFonts w:cstheme="minorHAnsi"/>
        </w:rPr>
        <w:fldChar w:fldCharType="end"/>
      </w:r>
      <w:r w:rsidRPr="0092368C">
        <w:rPr>
          <w:rFonts w:cstheme="minorHAnsi"/>
        </w:rPr>
        <w:t>). There are unresolved chronic risks for small herbivorous mammals (at rates &gt;242 g ac/ha or 2 × 173 g ac/ha).</w:t>
      </w:r>
    </w:p>
    <w:p w14:paraId="634BC631" w14:textId="3B8C2558" w:rsidR="00CE1436" w:rsidRPr="0092368C" w:rsidRDefault="00CE1436" w:rsidP="00012C56">
      <w:pPr>
        <w:pStyle w:val="NormalText"/>
        <w:rPr>
          <w:rFonts w:cstheme="minorHAnsi"/>
        </w:rPr>
      </w:pPr>
      <w:r w:rsidRPr="0092368C">
        <w:rPr>
          <w:rFonts w:cstheme="minorHAnsi"/>
        </w:rPr>
        <w:lastRenderedPageBreak/>
        <w:t>The chronic risk to small herbivorous and large herbivorous mammals is concluded to be acceptable, despite the results of the quantitative assessment. The rationale is the same as for uses on pasture as discussed previously. The acute risk to small herbivores and small omnivores cannot be excluded on the same basis, as the acute assessment relates to short term exposure.</w:t>
      </w:r>
    </w:p>
    <w:p w14:paraId="6CFF37EA" w14:textId="5AAC6DC1" w:rsidR="00CE1436" w:rsidRPr="0092368C" w:rsidRDefault="00CE1436" w:rsidP="00012C56">
      <w:pPr>
        <w:pStyle w:val="NormalText"/>
        <w:rPr>
          <w:rFonts w:cstheme="minorHAnsi"/>
        </w:rPr>
      </w:pPr>
      <w:r w:rsidRPr="0092368C">
        <w:rPr>
          <w:rFonts w:cstheme="minorHAnsi"/>
        </w:rPr>
        <w:t xml:space="preserve">No relevant weight-of-evidence arguments have been provided during the commenting period that are specific to use in orchards. There are weight-of-evidence arguments included in </w:t>
      </w:r>
      <w:r w:rsidRPr="0092368C">
        <w:rPr>
          <w:rFonts w:cstheme="minorHAnsi"/>
        </w:rPr>
        <w:fldChar w:fldCharType="begin"/>
      </w:r>
      <w:r w:rsidRPr="0092368C">
        <w:rPr>
          <w:rFonts w:cstheme="minorHAnsi"/>
        </w:rPr>
        <w:instrText xml:space="preserve"> REF _Ref220573440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rPr>
          <w:rFonts w:cstheme="minorHAnsi"/>
        </w:rPr>
        <w:fldChar w:fldCharType="end"/>
      </w:r>
      <w:r w:rsidRPr="0092368C">
        <w:rPr>
          <w:rFonts w:cstheme="minorHAnsi"/>
        </w:rPr>
        <w:t xml:space="preserve"> that would affect the risk to small herbivorous mammals, large herbivorous mammals and small omnivorous mammals. However, without additional argument they are not considered sufficient in isolation to resolve the risk for all the current use rates (as there are RQ values up to 21).</w:t>
      </w:r>
    </w:p>
    <w:p w14:paraId="1610FE5A" w14:textId="0E66EC5F" w:rsidR="00CE1436" w:rsidRPr="0092368C" w:rsidRDefault="00CE1436" w:rsidP="00012C56">
      <w:pPr>
        <w:pStyle w:val="NormalText"/>
        <w:rPr>
          <w:rFonts w:cstheme="minorHAnsi"/>
        </w:rPr>
      </w:pPr>
      <w:r w:rsidRPr="0092368C">
        <w:rPr>
          <w:rFonts w:cstheme="minorHAnsi"/>
        </w:rPr>
        <w:t>Birds – There are unresolved risks for small granivorous (at rates &gt;377 g ac/ha or 2 × 270 g ac/ha) and small insectivorous/worm-feeding birds (at rates &gt;770 g ac/ha) (</w:t>
      </w:r>
      <w:r w:rsidRPr="0092368C">
        <w:rPr>
          <w:rFonts w:cstheme="minorHAnsi"/>
        </w:rPr>
        <w:fldChar w:fldCharType="begin"/>
      </w:r>
      <w:r w:rsidRPr="0092368C">
        <w:rPr>
          <w:rFonts w:cstheme="minorHAnsi"/>
        </w:rPr>
        <w:instrText xml:space="preserve"> REF _Ref220573323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rPr>
          <w:rFonts w:cstheme="minorHAnsi"/>
        </w:rPr>
        <w:fldChar w:fldCharType="end"/>
      </w:r>
      <w:r w:rsidRPr="0092368C">
        <w:rPr>
          <w:rFonts w:cstheme="minorHAnsi"/>
        </w:rPr>
        <w:t>). As stated in relation to the bare soil crop group the risk assessment is largely unchanged, and generic weight-of-evidence arguments (</w:t>
      </w:r>
      <w:r w:rsidRPr="0092368C">
        <w:rPr>
          <w:rFonts w:cstheme="minorHAnsi"/>
        </w:rPr>
        <w:fldChar w:fldCharType="begin"/>
      </w:r>
      <w:r w:rsidRPr="0092368C">
        <w:rPr>
          <w:rFonts w:cstheme="minorHAnsi"/>
        </w:rPr>
        <w:instrText xml:space="preserve"> REF _Ref220573440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rPr>
          <w:rFonts w:cstheme="minorHAnsi"/>
        </w:rPr>
        <w:fldChar w:fldCharType="end"/>
      </w:r>
      <w:r w:rsidRPr="0092368C">
        <w:rPr>
          <w:rFonts w:cstheme="minorHAnsi"/>
        </w:rPr>
        <w:t xml:space="preserve">) are not considered sufficient to resolve the risk. No specific argument has been provided regarding insectivorous birds in orchard situations. Therefore, the conclusion of the risk assessment is unchanged from the refined assessment presented in </w:t>
      </w:r>
      <w:r w:rsidRPr="0092368C">
        <w:rPr>
          <w:rFonts w:cstheme="minorHAnsi"/>
        </w:rPr>
        <w:fldChar w:fldCharType="begin"/>
      </w:r>
      <w:r w:rsidRPr="0092368C">
        <w:rPr>
          <w:rFonts w:cstheme="minorHAnsi"/>
        </w:rPr>
        <w:instrText xml:space="preserve"> REF _Ref220573323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rPr>
          <w:rFonts w:cstheme="minorHAnsi"/>
        </w:rPr>
        <w:fldChar w:fldCharType="end"/>
      </w:r>
      <w:r w:rsidRPr="0092368C">
        <w:rPr>
          <w:rFonts w:cstheme="minorHAnsi"/>
        </w:rPr>
        <w:t>, and an acceptable risk cannot be established for application rates &gt;377 g ac/ha (or 2 × 270 g ac/ha).</w:t>
      </w:r>
    </w:p>
    <w:p w14:paraId="24FA7D5E" w14:textId="77777777" w:rsidR="00CE1436" w:rsidRPr="002F78E5" w:rsidRDefault="00CE1436" w:rsidP="002F78E5">
      <w:pPr>
        <w:pStyle w:val="NormalText"/>
        <w:rPr>
          <w:b/>
          <w:bCs/>
        </w:rPr>
      </w:pPr>
      <w:r w:rsidRPr="002F78E5">
        <w:rPr>
          <w:b/>
          <w:bCs/>
        </w:rPr>
        <w:t>Potato crop group – General weed control in potatoes (pre-harvest)</w:t>
      </w:r>
    </w:p>
    <w:p w14:paraId="38A83B3E" w14:textId="67DA3CE6" w:rsidR="00CE1436" w:rsidRPr="0092368C" w:rsidRDefault="00CE1436" w:rsidP="002F78E5">
      <w:pPr>
        <w:pStyle w:val="NormalText"/>
        <w:rPr>
          <w:rFonts w:cstheme="minorHAnsi"/>
        </w:rPr>
      </w:pPr>
      <w:r w:rsidRPr="0092368C">
        <w:rPr>
          <w:rFonts w:cstheme="minorHAnsi"/>
        </w:rPr>
        <w:t>Mammals – There are unresolved risks for small herbivorous mammals (at rates &gt;363 g ac/ha) (</w:t>
      </w:r>
      <w:r w:rsidRPr="0092368C">
        <w:rPr>
          <w:rFonts w:cstheme="minorHAnsi"/>
        </w:rPr>
        <w:fldChar w:fldCharType="begin"/>
      </w:r>
      <w:r w:rsidRPr="0092368C">
        <w:rPr>
          <w:rFonts w:cstheme="minorHAnsi"/>
        </w:rPr>
        <w:instrText xml:space="preserve"> REF _Ref220573311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92368C">
        <w:rPr>
          <w:rFonts w:cstheme="minorHAnsi"/>
        </w:rPr>
        <w:fldChar w:fldCharType="end"/>
      </w:r>
      <w:r w:rsidRPr="0092368C">
        <w:rPr>
          <w:rFonts w:cstheme="minorHAnsi"/>
        </w:rPr>
        <w:t>).</w:t>
      </w:r>
    </w:p>
    <w:p w14:paraId="28F586ED" w14:textId="77777777" w:rsidR="00CE1436" w:rsidRPr="0092368C" w:rsidRDefault="00CE1436" w:rsidP="002F78E5">
      <w:pPr>
        <w:pStyle w:val="NormalText"/>
        <w:rPr>
          <w:rFonts w:cstheme="minorHAnsi"/>
        </w:rPr>
      </w:pPr>
      <w:r w:rsidRPr="0092368C">
        <w:rPr>
          <w:rFonts w:cstheme="minorHAnsi"/>
        </w:rPr>
        <w:t>It is noted that comments received have argued that potato cropping situations are unlikely to provide 100% of an animal’s food. No data has been submitted to establish which species, if any, occur in potato cropping situations, nor has any supporting information been provided that can be used to quantitatively or qualitatively address this assertion. It should be noted that the unresolved risk is only the acute risk to small herbivorous mammals. At Tier-1 the assumption is that 100% of the diet is obtained from the treated area for a single day – the modelled diet consist of weeds in the treated area and interception by the crop has been accounted for. At present there is insufficient information to assume that a small mammal would be unable to fulfill its dietary requirements for a single day.</w:t>
      </w:r>
    </w:p>
    <w:p w14:paraId="6E45FDEC" w14:textId="3B96B7D3" w:rsidR="00CE1436" w:rsidRPr="0092368C" w:rsidRDefault="00CE1436" w:rsidP="002F78E5">
      <w:pPr>
        <w:pStyle w:val="NormalText"/>
        <w:rPr>
          <w:rFonts w:cstheme="minorHAnsi"/>
        </w:rPr>
      </w:pPr>
      <w:r w:rsidRPr="0092368C">
        <w:rPr>
          <w:rFonts w:cstheme="minorHAnsi"/>
        </w:rPr>
        <w:t xml:space="preserve">There are weight-of-evidence arguments included in </w:t>
      </w:r>
      <w:r w:rsidRPr="0092368C">
        <w:rPr>
          <w:rFonts w:cstheme="minorHAnsi"/>
        </w:rPr>
        <w:fldChar w:fldCharType="begin"/>
      </w:r>
      <w:r w:rsidRPr="0092368C">
        <w:rPr>
          <w:rFonts w:cstheme="minorHAnsi"/>
        </w:rPr>
        <w:instrText xml:space="preserve"> REF _Ref220573440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rPr>
          <w:rFonts w:cstheme="minorHAnsi"/>
        </w:rPr>
        <w:fldChar w:fldCharType="end"/>
      </w:r>
      <w:r w:rsidRPr="0092368C">
        <w:rPr>
          <w:rFonts w:cstheme="minorHAnsi"/>
        </w:rPr>
        <w:t xml:space="preserve"> that would affect the risk to small herbivorous mammals. However, without additional argument they are not considered sufficient in isolation to resolve the risk for all the current use rates (given that there are RQ values up to 1.9).</w:t>
      </w:r>
    </w:p>
    <w:p w14:paraId="0E2B400C" w14:textId="77777777" w:rsidR="00CE1436" w:rsidRPr="0092368C" w:rsidRDefault="00CE1436" w:rsidP="002F78E5">
      <w:pPr>
        <w:pStyle w:val="NormalText"/>
        <w:rPr>
          <w:rFonts w:cstheme="minorHAnsi"/>
        </w:rPr>
      </w:pPr>
      <w:r w:rsidRPr="0092368C">
        <w:rPr>
          <w:rFonts w:cstheme="minorHAnsi"/>
        </w:rPr>
        <w:t>Further argument could be submitted to refine the risk assessment, e.g. it may be possible to reconsider the relevance of small herbivorous mammals based on the distribution of potato growing regions in Australia. At present such information has not been provided and the conclusion of the Tier-1 risk assessment has not been changed, i.e. the risk is unacceptable at rates &gt;363 g ac/ha for pre-harvest use in potatoes.</w:t>
      </w:r>
    </w:p>
    <w:p w14:paraId="2C44C2D5" w14:textId="4FE5A443" w:rsidR="00CE1436" w:rsidRPr="0092368C" w:rsidRDefault="00CE1436" w:rsidP="002F78E5">
      <w:pPr>
        <w:pStyle w:val="NormalText"/>
        <w:rPr>
          <w:rFonts w:cstheme="minorHAnsi"/>
        </w:rPr>
      </w:pPr>
      <w:r w:rsidRPr="0092368C">
        <w:rPr>
          <w:rFonts w:cstheme="minorHAnsi"/>
        </w:rPr>
        <w:t>Birds – There are unresolved risks for small insectivorous birds (at rates &gt;226 g ac/ha) (</w:t>
      </w:r>
      <w:r w:rsidRPr="0092368C">
        <w:rPr>
          <w:rFonts w:cstheme="minorHAnsi"/>
        </w:rPr>
        <w:fldChar w:fldCharType="begin"/>
      </w:r>
      <w:r w:rsidRPr="0092368C">
        <w:rPr>
          <w:rFonts w:cstheme="minorHAnsi"/>
        </w:rPr>
        <w:instrText xml:space="preserve"> REF _Ref220573323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rPr>
          <w:rFonts w:cstheme="minorHAnsi"/>
        </w:rPr>
        <w:fldChar w:fldCharType="end"/>
      </w:r>
      <w:r w:rsidRPr="0092368C">
        <w:rPr>
          <w:rFonts w:cstheme="minorHAnsi"/>
        </w:rPr>
        <w:t>). As stated in relation to the bare soil crop group the risk assessment is largely unchanged, and generic weight-of-evidence arguments (</w:t>
      </w:r>
      <w:r w:rsidRPr="0092368C">
        <w:rPr>
          <w:rFonts w:cstheme="minorHAnsi"/>
        </w:rPr>
        <w:fldChar w:fldCharType="begin"/>
      </w:r>
      <w:r w:rsidRPr="0092368C">
        <w:rPr>
          <w:rFonts w:cstheme="minorHAnsi"/>
        </w:rPr>
        <w:instrText xml:space="preserve"> REF _Ref220573440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rPr>
          <w:rFonts w:cstheme="minorHAnsi"/>
        </w:rPr>
        <w:fldChar w:fldCharType="end"/>
      </w:r>
      <w:r w:rsidRPr="0092368C">
        <w:rPr>
          <w:rFonts w:cstheme="minorHAnsi"/>
        </w:rPr>
        <w:t xml:space="preserve">) are not considered sufficient to resolve the risk. No specific argument has been provided regarding insectivorous birds in potato situations. Therefore, the conclusion of the risk assessment is unchanged from the refined assessment presented in </w:t>
      </w:r>
      <w:r w:rsidRPr="0092368C">
        <w:rPr>
          <w:rFonts w:cstheme="minorHAnsi"/>
        </w:rPr>
        <w:fldChar w:fldCharType="begin"/>
      </w:r>
      <w:r w:rsidRPr="0092368C">
        <w:rPr>
          <w:rFonts w:cstheme="minorHAnsi"/>
        </w:rPr>
        <w:instrText xml:space="preserve"> REF _Ref220573323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rPr>
          <w:rFonts w:cstheme="minorHAnsi"/>
        </w:rPr>
        <w:fldChar w:fldCharType="end"/>
      </w:r>
      <w:r w:rsidRPr="0092368C">
        <w:rPr>
          <w:rFonts w:cstheme="minorHAnsi"/>
        </w:rPr>
        <w:t>, and an acceptable risk cannot be established for application rates &gt;226 g ac/ha.</w:t>
      </w:r>
    </w:p>
    <w:p w14:paraId="64F3413D" w14:textId="77777777" w:rsidR="00CE1436" w:rsidRPr="002F78E5" w:rsidRDefault="00CE1436" w:rsidP="002F78E5">
      <w:pPr>
        <w:pStyle w:val="NormalText"/>
        <w:rPr>
          <w:b/>
          <w:bCs/>
        </w:rPr>
      </w:pPr>
      <w:r w:rsidRPr="002F78E5">
        <w:rPr>
          <w:b/>
          <w:bCs/>
        </w:rPr>
        <w:lastRenderedPageBreak/>
        <w:t>Pulses crop group – Spray topping in pulses</w:t>
      </w:r>
    </w:p>
    <w:p w14:paraId="631AB586" w14:textId="301D1138" w:rsidR="00CE1436" w:rsidRPr="0092368C" w:rsidRDefault="00CE1436" w:rsidP="002F78E5">
      <w:pPr>
        <w:pStyle w:val="NormalText"/>
        <w:rPr>
          <w:rFonts w:cstheme="minorHAnsi"/>
        </w:rPr>
      </w:pPr>
      <w:r w:rsidRPr="0092368C">
        <w:rPr>
          <w:rFonts w:cstheme="minorHAnsi"/>
        </w:rPr>
        <w:t>Mammals – For field beans there is an unresolved risk to small herbivorous mammals (at rates &gt;182 g ac/ha) (</w:t>
      </w:r>
      <w:r w:rsidRPr="0092368C">
        <w:rPr>
          <w:rFonts w:cstheme="minorHAnsi"/>
        </w:rPr>
        <w:fldChar w:fldCharType="begin"/>
      </w:r>
      <w:r w:rsidRPr="0092368C">
        <w:rPr>
          <w:rFonts w:cstheme="minorHAnsi"/>
        </w:rPr>
        <w:instrText xml:space="preserve"> REF _Ref220573311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92368C">
        <w:rPr>
          <w:rFonts w:cstheme="minorHAnsi"/>
        </w:rPr>
        <w:fldChar w:fldCharType="end"/>
      </w:r>
      <w:r w:rsidRPr="0092368C">
        <w:rPr>
          <w:rFonts w:cstheme="minorHAnsi"/>
        </w:rPr>
        <w:t>), for other pulses an acceptable risk can be concluded based on the refined risk assessment. Only small herbivorous mammals are of concern and there is only a marginal exceedance of the RQ (1.1) at the maximum proposed treatment rate (200g ac/ha). It can be expected that the herbicidal mode of action (</w:t>
      </w:r>
      <w:r w:rsidRPr="0092368C">
        <w:rPr>
          <w:rFonts w:cstheme="minorHAnsi"/>
        </w:rPr>
        <w:fldChar w:fldCharType="begin"/>
      </w:r>
      <w:r w:rsidRPr="0092368C">
        <w:rPr>
          <w:rFonts w:cstheme="minorHAnsi"/>
        </w:rPr>
        <w:instrText xml:space="preserve"> REF _Ref220573440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rPr>
          <w:rFonts w:cstheme="minorHAnsi"/>
        </w:rPr>
        <w:fldChar w:fldCharType="end"/>
      </w:r>
      <w:r w:rsidRPr="0092368C">
        <w:rPr>
          <w:rFonts w:cstheme="minorHAnsi"/>
        </w:rPr>
        <w:t>) will limit exposure of this group of organisms and the intent of the assessment is to prevent population level effects. Therefore, based on the weight-or-evidence it is concluded that the risk for this set of uses can be considered acceptable even at the maximum application rate.</w:t>
      </w:r>
    </w:p>
    <w:p w14:paraId="12B2B2E5" w14:textId="02B2BC4C" w:rsidR="00CE1436" w:rsidRPr="0092368C" w:rsidRDefault="00CE1436" w:rsidP="002F78E5">
      <w:pPr>
        <w:pStyle w:val="NormalText"/>
        <w:rPr>
          <w:rFonts w:cstheme="minorHAnsi"/>
        </w:rPr>
      </w:pPr>
      <w:r w:rsidRPr="0092368C">
        <w:rPr>
          <w:rFonts w:cstheme="minorHAnsi"/>
        </w:rPr>
        <w:t>Birds – Acceptable risks were concluded based on the default Tier-1 risk assessment (</w:t>
      </w:r>
      <w:r w:rsidRPr="0092368C">
        <w:rPr>
          <w:rFonts w:cstheme="minorHAnsi"/>
        </w:rPr>
        <w:fldChar w:fldCharType="begin"/>
      </w:r>
      <w:r w:rsidRPr="0092368C">
        <w:rPr>
          <w:rFonts w:cstheme="minorHAnsi"/>
        </w:rPr>
        <w:instrText xml:space="preserve"> REF _Ref220573323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rPr>
          <w:rFonts w:cstheme="minorHAnsi"/>
        </w:rPr>
        <w:fldChar w:fldCharType="end"/>
      </w:r>
      <w:r w:rsidRPr="0092368C">
        <w:rPr>
          <w:rFonts w:cstheme="minorHAnsi"/>
        </w:rPr>
        <w:t>), no further consideration is required.</w:t>
      </w:r>
    </w:p>
    <w:p w14:paraId="6C85AD2B" w14:textId="4773BFF4" w:rsidR="00CE1436" w:rsidRPr="002F78E5" w:rsidRDefault="00CE1436" w:rsidP="002F78E5">
      <w:pPr>
        <w:pStyle w:val="NormalText"/>
        <w:rPr>
          <w:b/>
          <w:bCs/>
        </w:rPr>
      </w:pPr>
      <w:r w:rsidRPr="002F78E5">
        <w:rPr>
          <w:b/>
          <w:bCs/>
        </w:rPr>
        <w:t>Vineyard crop group – General weed control in vineyards</w:t>
      </w:r>
    </w:p>
    <w:p w14:paraId="5F512A61" w14:textId="7E2DEE2A" w:rsidR="00CE1436" w:rsidRPr="0092368C" w:rsidRDefault="00CE1436" w:rsidP="002F78E5">
      <w:pPr>
        <w:pStyle w:val="NormalText"/>
        <w:rPr>
          <w:rFonts w:cstheme="minorHAnsi"/>
        </w:rPr>
      </w:pPr>
      <w:r w:rsidRPr="0092368C">
        <w:rPr>
          <w:rFonts w:cstheme="minorHAnsi"/>
        </w:rPr>
        <w:t>Mammals – There are unresolved risks for small herbivorous (at rates &gt;54 g ac/ha), large herbivorous (at rates &gt;275 g ac/ha) and small omnivorous mammals (at rates &gt;521 g ac/ha) (</w:t>
      </w:r>
      <w:r w:rsidRPr="0092368C">
        <w:rPr>
          <w:rFonts w:cstheme="minorHAnsi"/>
        </w:rPr>
        <w:fldChar w:fldCharType="begin"/>
      </w:r>
      <w:r w:rsidRPr="0092368C">
        <w:rPr>
          <w:rFonts w:cstheme="minorHAnsi"/>
        </w:rPr>
        <w:instrText xml:space="preserve"> REF _Ref220573311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77</w:t>
      </w:r>
      <w:r w:rsidRPr="0092368C">
        <w:rPr>
          <w:rFonts w:cstheme="minorHAnsi"/>
        </w:rPr>
        <w:fldChar w:fldCharType="end"/>
      </w:r>
      <w:r w:rsidRPr="0092368C">
        <w:rPr>
          <w:rFonts w:cstheme="minorHAnsi"/>
        </w:rPr>
        <w:t>). There are unresolved chronic risks for small herbivorous mammals (at rates &gt;242 g ac/ha).</w:t>
      </w:r>
    </w:p>
    <w:p w14:paraId="47D3AA79" w14:textId="77777777" w:rsidR="00CE1436" w:rsidRPr="00152EB9" w:rsidRDefault="00CE1436" w:rsidP="002F78E5">
      <w:pPr>
        <w:pStyle w:val="NormalText"/>
      </w:pPr>
      <w:r w:rsidRPr="00152EB9">
        <w:t xml:space="preserve">The chronic risk to small herbivorous and large herbivorous mammals is concluded to be acceptable, despite the results of the quantitative assessment. The rationale is the same as for uses on pasture as discussed previously. The acute risk to small herbivores and small omnivores cannot be excluded on the same basis, as the acute assessment relates to short term exposure. </w:t>
      </w:r>
    </w:p>
    <w:p w14:paraId="1E3FB8A1" w14:textId="60407FF6" w:rsidR="00CE1436" w:rsidRPr="0092368C" w:rsidRDefault="00CE1436" w:rsidP="002F78E5">
      <w:pPr>
        <w:pStyle w:val="NormalText"/>
        <w:rPr>
          <w:rFonts w:cstheme="minorHAnsi"/>
        </w:rPr>
      </w:pPr>
      <w:r w:rsidRPr="0092368C">
        <w:rPr>
          <w:rFonts w:cstheme="minorHAnsi"/>
        </w:rPr>
        <w:t xml:space="preserve">No relevant weight-of-evidence arguments have been provided during consultation that are specific to use in vineyards. There are weight-of-evidence arguments included in </w:t>
      </w:r>
      <w:r w:rsidRPr="0092368C">
        <w:rPr>
          <w:rFonts w:cstheme="minorHAnsi"/>
        </w:rPr>
        <w:fldChar w:fldCharType="begin"/>
      </w:r>
      <w:r w:rsidRPr="0092368C">
        <w:rPr>
          <w:rFonts w:cstheme="minorHAnsi"/>
        </w:rPr>
        <w:instrText xml:space="preserve"> REF _Ref220573440 \h  \* MERGEFORMAT </w:instrText>
      </w:r>
      <w:r w:rsidRPr="0092368C">
        <w:rPr>
          <w:rFonts w:cstheme="minorHAnsi"/>
        </w:rPr>
      </w:r>
      <w:r w:rsidRPr="0092368C">
        <w:rPr>
          <w:rFonts w:cstheme="minorHAnsi"/>
        </w:rPr>
        <w:fldChar w:fldCharType="separate"/>
      </w:r>
      <w:r w:rsidR="008A397D" w:rsidRPr="008A397D">
        <w:rPr>
          <w:rFonts w:cs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rPr>
          <w:rFonts w:cstheme="minorHAnsi"/>
        </w:rPr>
        <w:fldChar w:fldCharType="end"/>
      </w:r>
      <w:r w:rsidRPr="0092368C">
        <w:rPr>
          <w:rFonts w:cstheme="minorHAnsi"/>
        </w:rPr>
        <w:t xml:space="preserve"> that would affect the risk to small herbivorous mammals, large herbivorous mammals and small omnivorous mammals. However, without additional argumentation they are not considered sufficient in isolation to resolve the risk for all the current use rates (given that there are RQ values up to 21).</w:t>
      </w:r>
    </w:p>
    <w:p w14:paraId="0D9AB5B5" w14:textId="0862A07F" w:rsidR="00CE1436" w:rsidRPr="0092368C" w:rsidRDefault="00CE1436" w:rsidP="002F78E5">
      <w:pPr>
        <w:pStyle w:val="NormalText"/>
      </w:pPr>
      <w:r w:rsidRPr="0092368C">
        <w:t>Birds – There are unresolved risks for small granivorous (at rates &gt;377 g ac/ha) and small insectivorous/worm-feeding birds (at rates &gt;770 g ac/ha) (</w:t>
      </w:r>
      <w:r w:rsidRPr="0092368C">
        <w:fldChar w:fldCharType="begin"/>
      </w:r>
      <w:r w:rsidRPr="0092368C">
        <w:instrText xml:space="preserve"> REF _Ref220573323 \h  \* MERGEFORMAT </w:instrText>
      </w:r>
      <w:r w:rsidRPr="0092368C">
        <w:fldChar w:fldCharType="separate"/>
      </w:r>
      <w:r w:rsidR="008A397D" w:rsidRPr="008A397D">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fldChar w:fldCharType="end"/>
      </w:r>
      <w:r w:rsidRPr="0092368C">
        <w:t>). As stated in relation to the bare soil crop group the risk assessment is largely unchanged, and generic weight-of-evidence arguments (</w:t>
      </w:r>
      <w:r w:rsidRPr="0092368C">
        <w:fldChar w:fldCharType="begin"/>
      </w:r>
      <w:r w:rsidRPr="0092368C">
        <w:instrText xml:space="preserve"> REF _Ref220573440 \h  \* MERGEFORMAT </w:instrText>
      </w:r>
      <w:r w:rsidRPr="0092368C">
        <w:fldChar w:fldCharType="separate"/>
      </w:r>
      <w:r w:rsidR="008A397D" w:rsidRPr="008A397D">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79</w:t>
      </w:r>
      <w:r w:rsidRPr="0092368C">
        <w:fldChar w:fldCharType="end"/>
      </w:r>
      <w:r w:rsidRPr="0092368C">
        <w:t xml:space="preserve">) are not considered sufficient to resolve the risk. No specific argument has been provided regarding insectivorous birds in vineyard situations. Therefore, the conclusion of the risk assessment is unchanged from the refined assessment presented in </w:t>
      </w:r>
      <w:r w:rsidRPr="0092368C">
        <w:fldChar w:fldCharType="begin"/>
      </w:r>
      <w:r w:rsidRPr="0092368C">
        <w:instrText xml:space="preserve"> REF _Ref220573323 \h  \* MERGEFORMAT </w:instrText>
      </w:r>
      <w:r w:rsidRPr="0092368C">
        <w:fldChar w:fldCharType="separate"/>
      </w:r>
      <w:r w:rsidR="008A397D" w:rsidRPr="008A397D">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78</w:t>
      </w:r>
      <w:r w:rsidRPr="0092368C">
        <w:fldChar w:fldCharType="end"/>
      </w:r>
      <w:r w:rsidRPr="0092368C">
        <w:t>, and an acceptable risk cannot be established for application rates &gt;377 g ac/ha.</w:t>
      </w:r>
    </w:p>
    <w:p w14:paraId="0339A398" w14:textId="162A1D56" w:rsidR="00CE1436" w:rsidRPr="00B10F80" w:rsidRDefault="00CE1436" w:rsidP="002F78E5">
      <w:pPr>
        <w:pStyle w:val="AppendixH2"/>
      </w:pPr>
      <w:bookmarkStart w:id="745" w:name="_Toc216682527"/>
      <w:bookmarkStart w:id="746" w:name="_Toc231480935"/>
      <w:r w:rsidRPr="00B10F80">
        <w:t>Conclusions</w:t>
      </w:r>
      <w:bookmarkEnd w:id="745"/>
      <w:bookmarkEnd w:id="746"/>
    </w:p>
    <w:p w14:paraId="5545B298" w14:textId="2BDDF336" w:rsidR="00CE1436" w:rsidRPr="006F3E46" w:rsidRDefault="00CE1436" w:rsidP="002F78E5">
      <w:pPr>
        <w:pStyle w:val="NormalText"/>
      </w:pPr>
      <w:r w:rsidRPr="006F3E46">
        <w:t>The</w:t>
      </w:r>
      <w:r w:rsidR="001B3607">
        <w:t xml:space="preserve"> environment</w:t>
      </w:r>
      <w:r w:rsidRPr="006F3E46">
        <w:t xml:space="preserve"> risk assessment conclusions, based on the risk assessment in the preceding sections, are summarised in </w:t>
      </w:r>
      <w:r w:rsidRPr="006F3E46">
        <w:rPr>
          <w:highlight w:val="magenta"/>
        </w:rPr>
        <w:fldChar w:fldCharType="begin"/>
      </w:r>
      <w:r w:rsidRPr="006F3E46">
        <w:instrText xml:space="preserve"> REF _Ref220590421 \h </w:instrText>
      </w:r>
      <w:r w:rsidRPr="006F3E46">
        <w:rPr>
          <w:highlight w:val="magenta"/>
        </w:rPr>
        <w:instrText xml:space="preserve"> \* MERGEFORMAT </w:instrText>
      </w:r>
      <w:r w:rsidRPr="006F3E46">
        <w:rPr>
          <w:highlight w:val="magenta"/>
        </w:rPr>
      </w:r>
      <w:r w:rsidRPr="006F3E46">
        <w:rPr>
          <w:highlight w:val="magenta"/>
        </w:rPr>
        <w:fldChar w:fldCharType="separate"/>
      </w:r>
      <w:r w:rsidR="008A397D" w:rsidRPr="008A397D">
        <w:rPr>
          <w:rFonts w:asciiTheme="minorHAnsi" w:hAnsiTheme="minorHAnsi"/>
        </w:rPr>
        <w:t>Table</w:t>
      </w:r>
      <w:r w:rsidR="008A397D" w:rsidRPr="008A397D">
        <w:rPr>
          <w:rStyle w:val="FigurecaptionChar"/>
          <w:rFonts w:asciiTheme="minorHAnsi" w:hAnsiTheme="minorHAnsi" w:cstheme="minorHAnsi"/>
          <w:szCs w:val="19"/>
        </w:rPr>
        <w:t xml:space="preserve"> </w:t>
      </w:r>
      <w:r w:rsidR="008A397D" w:rsidRPr="008A397D">
        <w:rPr>
          <w:rStyle w:val="FigurecaptionChar"/>
          <w:rFonts w:asciiTheme="minorHAnsi" w:hAnsiTheme="minorHAnsi" w:cstheme="minorHAnsi"/>
          <w:noProof/>
          <w:szCs w:val="19"/>
        </w:rPr>
        <w:t>80</w:t>
      </w:r>
      <w:r w:rsidRPr="006F3E46">
        <w:rPr>
          <w:highlight w:val="magenta"/>
        </w:rPr>
        <w:fldChar w:fldCharType="end"/>
      </w:r>
      <w:r w:rsidRPr="006F3E46">
        <w:t>. Note that this summary is only relevant for the risk from paraquat when used alone and does not account for combination toxicity. Also, this summary table does not present a conclusion at the level of each individual application rate on every product label. Application rates below the maximum acceptable rate quoted would be considered acceptable. The full list of recommendations (Appendix A) does account for both these issues.</w:t>
      </w:r>
    </w:p>
    <w:p w14:paraId="6DE149C9" w14:textId="0AF30F0B" w:rsidR="00CE1436" w:rsidRPr="00DF4403" w:rsidRDefault="00CE1436" w:rsidP="002F78E5">
      <w:pPr>
        <w:pStyle w:val="Caption"/>
      </w:pPr>
      <w:bookmarkStart w:id="747" w:name="_Ref220590421"/>
      <w:bookmarkStart w:id="748" w:name="_Toc230692346"/>
      <w:bookmarkStart w:id="749" w:name="_Toc233036567"/>
      <w:r w:rsidRPr="00DF4403">
        <w:lastRenderedPageBreak/>
        <w:t>Table</w:t>
      </w:r>
      <w:r w:rsidRPr="00DF4403">
        <w:rPr>
          <w:rStyle w:val="FigurecaptionChar"/>
          <w:szCs w:val="20"/>
        </w:rPr>
        <w:t xml:space="preserve"> </w:t>
      </w:r>
      <w:r w:rsidRPr="00DF4403">
        <w:rPr>
          <w:rStyle w:val="FigurecaptionChar"/>
          <w:szCs w:val="20"/>
        </w:rPr>
        <w:fldChar w:fldCharType="begin"/>
      </w:r>
      <w:r w:rsidRPr="00DF4403">
        <w:rPr>
          <w:rStyle w:val="FigurecaptionChar"/>
          <w:szCs w:val="20"/>
        </w:rPr>
        <w:instrText xml:space="preserve"> SEQ Table \* ARABIC </w:instrText>
      </w:r>
      <w:r w:rsidRPr="00DF4403">
        <w:rPr>
          <w:rStyle w:val="FigurecaptionChar"/>
          <w:szCs w:val="20"/>
        </w:rPr>
        <w:fldChar w:fldCharType="separate"/>
      </w:r>
      <w:r w:rsidR="002F78E5">
        <w:rPr>
          <w:rStyle w:val="FigurecaptionChar"/>
          <w:noProof/>
          <w:szCs w:val="20"/>
        </w:rPr>
        <w:t>80</w:t>
      </w:r>
      <w:r w:rsidRPr="00DF4403">
        <w:rPr>
          <w:rStyle w:val="FigurecaptionChar"/>
          <w:szCs w:val="20"/>
        </w:rPr>
        <w:fldChar w:fldCharType="end"/>
      </w:r>
      <w:bookmarkEnd w:id="747"/>
      <w:r w:rsidRPr="00DF4403">
        <w:rPr>
          <w:rStyle w:val="FigurecaptionChar"/>
          <w:szCs w:val="20"/>
        </w:rPr>
        <w:t xml:space="preserve">: </w:t>
      </w:r>
      <w:r>
        <w:rPr>
          <w:rStyle w:val="FigurecaptionChar"/>
          <w:szCs w:val="20"/>
        </w:rPr>
        <w:t>Risk assessment conclusions for terrestrial vertebrates</w:t>
      </w:r>
      <w:bookmarkEnd w:id="748"/>
      <w:bookmarkEnd w:id="7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091"/>
        <w:gridCol w:w="1076"/>
        <w:gridCol w:w="1514"/>
        <w:gridCol w:w="1843"/>
        <w:gridCol w:w="1134"/>
        <w:gridCol w:w="918"/>
        <w:gridCol w:w="1208"/>
        <w:gridCol w:w="844"/>
      </w:tblGrid>
      <w:tr w:rsidR="00CE1436" w14:paraId="7D292FBF" w14:textId="77777777" w:rsidTr="00444693">
        <w:trPr>
          <w:tblHeader/>
        </w:trPr>
        <w:tc>
          <w:tcPr>
            <w:tcW w:w="1091" w:type="dxa"/>
            <w:vMerge w:val="restart"/>
            <w:shd w:val="clear" w:color="auto" w:fill="5C2946"/>
          </w:tcPr>
          <w:p w14:paraId="76D88952" w14:textId="0512ED3F" w:rsidR="00CE1436" w:rsidRDefault="00C417CD" w:rsidP="001B3607">
            <w:pPr>
              <w:pStyle w:val="TableHead"/>
            </w:pPr>
            <w:r>
              <w:t>Category</w:t>
            </w:r>
          </w:p>
        </w:tc>
        <w:tc>
          <w:tcPr>
            <w:tcW w:w="1076" w:type="dxa"/>
            <w:vMerge w:val="restart"/>
            <w:shd w:val="clear" w:color="auto" w:fill="5C2946"/>
          </w:tcPr>
          <w:p w14:paraId="6C18FECE" w14:textId="77777777" w:rsidR="00CE1436" w:rsidRDefault="00CE1436" w:rsidP="001B3607">
            <w:pPr>
              <w:pStyle w:val="TableHead"/>
            </w:pPr>
            <w:r>
              <w:t>EFSA 2009</w:t>
            </w:r>
          </w:p>
          <w:p w14:paraId="15F413F5" w14:textId="77777777" w:rsidR="00CE1436" w:rsidRDefault="00CE1436" w:rsidP="001B3607">
            <w:pPr>
              <w:pStyle w:val="TableHead"/>
            </w:pPr>
            <w:r>
              <w:t>crop group</w:t>
            </w:r>
          </w:p>
        </w:tc>
        <w:tc>
          <w:tcPr>
            <w:tcW w:w="1514" w:type="dxa"/>
            <w:vMerge w:val="restart"/>
            <w:shd w:val="clear" w:color="auto" w:fill="5C2946"/>
          </w:tcPr>
          <w:p w14:paraId="4FAE5FDE" w14:textId="77777777" w:rsidR="00CE1436" w:rsidRDefault="00CE1436" w:rsidP="001B3607">
            <w:pPr>
              <w:pStyle w:val="TableHead"/>
            </w:pPr>
            <w:r>
              <w:t>Situation</w:t>
            </w:r>
          </w:p>
        </w:tc>
        <w:tc>
          <w:tcPr>
            <w:tcW w:w="1843" w:type="dxa"/>
            <w:vMerge w:val="restart"/>
            <w:shd w:val="clear" w:color="auto" w:fill="5C2946"/>
          </w:tcPr>
          <w:p w14:paraId="6FA09486" w14:textId="77777777" w:rsidR="00CE1436" w:rsidRDefault="00CE1436" w:rsidP="001B3607">
            <w:pPr>
              <w:pStyle w:val="TableHead"/>
            </w:pPr>
            <w:r>
              <w:t>Maximum application rate</w:t>
            </w:r>
          </w:p>
          <w:p w14:paraId="7E6EC074" w14:textId="77777777" w:rsidR="00CE1436" w:rsidRDefault="00CE1436" w:rsidP="001B3607">
            <w:pPr>
              <w:pStyle w:val="TableHead"/>
            </w:pPr>
            <w:r>
              <w:t>&amp; frequency</w:t>
            </w:r>
            <w:r>
              <w:rPr>
                <w:rStyle w:val="FootnoteReference"/>
                <w:rFonts w:ascii="Arial" w:hAnsi="Arial"/>
                <w:b/>
                <w:sz w:val="17"/>
                <w:szCs w:val="17"/>
              </w:rPr>
              <w:footnoteReference w:id="74"/>
            </w:r>
          </w:p>
        </w:tc>
        <w:tc>
          <w:tcPr>
            <w:tcW w:w="2052" w:type="dxa"/>
            <w:gridSpan w:val="2"/>
            <w:shd w:val="clear" w:color="auto" w:fill="5C2946"/>
          </w:tcPr>
          <w:p w14:paraId="79DA1201" w14:textId="77777777" w:rsidR="00CE1436" w:rsidRDefault="00CE1436" w:rsidP="001B3607">
            <w:pPr>
              <w:pStyle w:val="TableHead"/>
            </w:pPr>
            <w:r>
              <w:t>Birds</w:t>
            </w:r>
          </w:p>
        </w:tc>
        <w:tc>
          <w:tcPr>
            <w:tcW w:w="2052" w:type="dxa"/>
            <w:gridSpan w:val="2"/>
            <w:shd w:val="clear" w:color="auto" w:fill="5C2946"/>
          </w:tcPr>
          <w:p w14:paraId="3DF1B7E9" w14:textId="77777777" w:rsidR="00CE1436" w:rsidRDefault="00CE1436" w:rsidP="001B3607">
            <w:pPr>
              <w:pStyle w:val="TableHead"/>
            </w:pPr>
            <w:r>
              <w:t>Mammals</w:t>
            </w:r>
          </w:p>
        </w:tc>
      </w:tr>
      <w:tr w:rsidR="00CE1436" w14:paraId="6BBAFFCC" w14:textId="77777777" w:rsidTr="00444693">
        <w:trPr>
          <w:tblHeader/>
        </w:trPr>
        <w:tc>
          <w:tcPr>
            <w:tcW w:w="1091" w:type="dxa"/>
            <w:vMerge/>
            <w:tcBorders>
              <w:bottom w:val="single" w:sz="4" w:space="0" w:color="auto"/>
            </w:tcBorders>
            <w:shd w:val="clear" w:color="auto" w:fill="5C2946"/>
          </w:tcPr>
          <w:p w14:paraId="3019A4E1" w14:textId="77777777" w:rsidR="00CE1436" w:rsidRDefault="00CE1436" w:rsidP="001B3607">
            <w:pPr>
              <w:pStyle w:val="TableHead"/>
            </w:pPr>
          </w:p>
        </w:tc>
        <w:tc>
          <w:tcPr>
            <w:tcW w:w="1076" w:type="dxa"/>
            <w:vMerge/>
            <w:tcBorders>
              <w:bottom w:val="single" w:sz="4" w:space="0" w:color="auto"/>
            </w:tcBorders>
            <w:shd w:val="clear" w:color="auto" w:fill="5C2946"/>
          </w:tcPr>
          <w:p w14:paraId="62D71431" w14:textId="77777777" w:rsidR="00CE1436" w:rsidRDefault="00CE1436" w:rsidP="001B3607">
            <w:pPr>
              <w:pStyle w:val="TableHead"/>
            </w:pPr>
          </w:p>
        </w:tc>
        <w:tc>
          <w:tcPr>
            <w:tcW w:w="1514" w:type="dxa"/>
            <w:vMerge/>
            <w:tcBorders>
              <w:bottom w:val="single" w:sz="4" w:space="0" w:color="auto"/>
            </w:tcBorders>
            <w:shd w:val="clear" w:color="auto" w:fill="5C2946"/>
          </w:tcPr>
          <w:p w14:paraId="702E8E70" w14:textId="77777777" w:rsidR="00CE1436" w:rsidRDefault="00CE1436" w:rsidP="001B3607">
            <w:pPr>
              <w:pStyle w:val="TableHead"/>
            </w:pPr>
          </w:p>
        </w:tc>
        <w:tc>
          <w:tcPr>
            <w:tcW w:w="1843" w:type="dxa"/>
            <w:vMerge/>
            <w:tcBorders>
              <w:bottom w:val="single" w:sz="4" w:space="0" w:color="auto"/>
            </w:tcBorders>
            <w:shd w:val="clear" w:color="auto" w:fill="5C2946"/>
          </w:tcPr>
          <w:p w14:paraId="451B5B71" w14:textId="77777777" w:rsidR="00CE1436" w:rsidRDefault="00CE1436" w:rsidP="001B3607">
            <w:pPr>
              <w:pStyle w:val="TableHead"/>
            </w:pPr>
          </w:p>
        </w:tc>
        <w:tc>
          <w:tcPr>
            <w:tcW w:w="1134" w:type="dxa"/>
            <w:tcBorders>
              <w:bottom w:val="single" w:sz="4" w:space="0" w:color="auto"/>
            </w:tcBorders>
            <w:shd w:val="clear" w:color="auto" w:fill="5C2946"/>
          </w:tcPr>
          <w:p w14:paraId="458FE886" w14:textId="77777777" w:rsidR="00CE1436" w:rsidRDefault="00CE1436" w:rsidP="002F78E5">
            <w:pPr>
              <w:pStyle w:val="TableHead"/>
              <w:jc w:val="center"/>
            </w:pPr>
            <w:r>
              <w:t>Risk acceptable</w:t>
            </w:r>
            <w:r>
              <w:rPr>
                <w:rStyle w:val="FootnoteReference"/>
                <w:rFonts w:ascii="Arial" w:hAnsi="Arial"/>
                <w:b/>
                <w:sz w:val="17"/>
                <w:szCs w:val="17"/>
              </w:rPr>
              <w:footnoteReference w:id="75"/>
            </w:r>
          </w:p>
        </w:tc>
        <w:tc>
          <w:tcPr>
            <w:tcW w:w="918" w:type="dxa"/>
            <w:tcBorders>
              <w:bottom w:val="single" w:sz="4" w:space="0" w:color="auto"/>
            </w:tcBorders>
            <w:shd w:val="clear" w:color="auto" w:fill="5C2946"/>
          </w:tcPr>
          <w:p w14:paraId="3CD83ACA" w14:textId="77777777" w:rsidR="00CE1436" w:rsidRDefault="00CE1436" w:rsidP="002F78E5">
            <w:pPr>
              <w:pStyle w:val="TableHead"/>
              <w:jc w:val="center"/>
            </w:pPr>
            <w:r>
              <w:t>Max.</w:t>
            </w:r>
          </w:p>
          <w:p w14:paraId="4E54369E" w14:textId="77777777" w:rsidR="00CE1436" w:rsidRDefault="00CE1436" w:rsidP="002F78E5">
            <w:pPr>
              <w:pStyle w:val="TableHead"/>
              <w:jc w:val="center"/>
            </w:pPr>
            <w:r>
              <w:t>(g ac/ha)</w:t>
            </w:r>
          </w:p>
        </w:tc>
        <w:tc>
          <w:tcPr>
            <w:tcW w:w="1208" w:type="dxa"/>
            <w:tcBorders>
              <w:bottom w:val="single" w:sz="4" w:space="0" w:color="auto"/>
            </w:tcBorders>
            <w:shd w:val="clear" w:color="auto" w:fill="5C2946"/>
          </w:tcPr>
          <w:p w14:paraId="0FC02012" w14:textId="77777777" w:rsidR="00CE1436" w:rsidRDefault="00CE1436" w:rsidP="002F78E5">
            <w:pPr>
              <w:pStyle w:val="TableHead"/>
              <w:jc w:val="center"/>
            </w:pPr>
            <w:r>
              <w:t>Risk acceptable</w:t>
            </w:r>
          </w:p>
        </w:tc>
        <w:tc>
          <w:tcPr>
            <w:tcW w:w="844" w:type="dxa"/>
            <w:tcBorders>
              <w:bottom w:val="single" w:sz="4" w:space="0" w:color="auto"/>
            </w:tcBorders>
            <w:shd w:val="clear" w:color="auto" w:fill="5C2946"/>
          </w:tcPr>
          <w:p w14:paraId="589B0FC1" w14:textId="77777777" w:rsidR="00CE1436" w:rsidRDefault="00CE1436" w:rsidP="002F78E5">
            <w:pPr>
              <w:pStyle w:val="TableHead"/>
              <w:jc w:val="center"/>
            </w:pPr>
            <w:r>
              <w:t>Max.</w:t>
            </w:r>
          </w:p>
          <w:p w14:paraId="4FB84850" w14:textId="77777777" w:rsidR="00CE1436" w:rsidRDefault="00CE1436" w:rsidP="002F78E5">
            <w:pPr>
              <w:pStyle w:val="TableHead"/>
              <w:jc w:val="center"/>
            </w:pPr>
            <w:r>
              <w:t>(g ac/ha)</w:t>
            </w:r>
          </w:p>
        </w:tc>
      </w:tr>
      <w:tr w:rsidR="00CE1436" w14:paraId="7A405B16" w14:textId="77777777" w:rsidTr="002F78E5">
        <w:trPr>
          <w:trHeight w:val="113"/>
        </w:trPr>
        <w:tc>
          <w:tcPr>
            <w:tcW w:w="1091" w:type="dxa"/>
            <w:vMerge w:val="restart"/>
            <w:tcBorders>
              <w:top w:val="single" w:sz="4" w:space="0" w:color="auto"/>
              <w:left w:val="nil"/>
              <w:right w:val="nil"/>
            </w:tcBorders>
          </w:tcPr>
          <w:p w14:paraId="7FF43409" w14:textId="77777777" w:rsidR="00CE1436" w:rsidRPr="002F78E5" w:rsidRDefault="00CE1436" w:rsidP="002F78E5">
            <w:pPr>
              <w:pStyle w:val="TableText"/>
            </w:pPr>
            <w:r w:rsidRPr="002F78E5">
              <w:t>General weed control</w:t>
            </w:r>
          </w:p>
        </w:tc>
        <w:tc>
          <w:tcPr>
            <w:tcW w:w="1076" w:type="dxa"/>
            <w:tcBorders>
              <w:top w:val="single" w:sz="4" w:space="0" w:color="auto"/>
              <w:left w:val="nil"/>
              <w:bottom w:val="nil"/>
              <w:right w:val="nil"/>
            </w:tcBorders>
          </w:tcPr>
          <w:p w14:paraId="567D3215" w14:textId="77777777" w:rsidR="00CE1436" w:rsidRPr="002F78E5" w:rsidRDefault="00CE1436" w:rsidP="002F78E5">
            <w:pPr>
              <w:pStyle w:val="TableText"/>
            </w:pPr>
            <w:r w:rsidRPr="002F78E5">
              <w:t>Bare soil</w:t>
            </w:r>
          </w:p>
        </w:tc>
        <w:tc>
          <w:tcPr>
            <w:tcW w:w="1514" w:type="dxa"/>
            <w:tcBorders>
              <w:top w:val="single" w:sz="4" w:space="0" w:color="auto"/>
              <w:left w:val="nil"/>
              <w:bottom w:val="nil"/>
              <w:right w:val="nil"/>
            </w:tcBorders>
          </w:tcPr>
          <w:p w14:paraId="1BF7305D" w14:textId="77777777" w:rsidR="00CE1436" w:rsidRPr="002F78E5" w:rsidRDefault="00CE1436" w:rsidP="002F78E5">
            <w:pPr>
              <w:pStyle w:val="TableText"/>
            </w:pPr>
            <w:r w:rsidRPr="002F78E5">
              <w:t>Fallow (optical spot spraying)</w:t>
            </w:r>
          </w:p>
        </w:tc>
        <w:tc>
          <w:tcPr>
            <w:tcW w:w="1843" w:type="dxa"/>
            <w:tcBorders>
              <w:top w:val="single" w:sz="4" w:space="0" w:color="auto"/>
              <w:left w:val="nil"/>
              <w:bottom w:val="nil"/>
              <w:right w:val="nil"/>
            </w:tcBorders>
          </w:tcPr>
          <w:p w14:paraId="7507265D" w14:textId="77777777" w:rsidR="00CE1436" w:rsidRPr="002F78E5" w:rsidRDefault="00CE1436" w:rsidP="002F78E5">
            <w:pPr>
              <w:pStyle w:val="TableText"/>
            </w:pPr>
            <w:r w:rsidRPr="002F78E5">
              <w:t>From 1× 2250 g ac/ha</w:t>
            </w:r>
          </w:p>
          <w:p w14:paraId="2E57C209" w14:textId="77777777" w:rsidR="00CE1436" w:rsidRPr="002F78E5" w:rsidRDefault="00CE1436" w:rsidP="002F78E5">
            <w:pPr>
              <w:pStyle w:val="TableText"/>
            </w:pPr>
            <w:r w:rsidRPr="002F78E5">
              <w:t>(675 g ac/ha)</w:t>
            </w:r>
          </w:p>
        </w:tc>
        <w:tc>
          <w:tcPr>
            <w:tcW w:w="1134" w:type="dxa"/>
            <w:tcBorders>
              <w:top w:val="single" w:sz="4" w:space="0" w:color="auto"/>
              <w:left w:val="nil"/>
              <w:bottom w:val="nil"/>
              <w:right w:val="nil"/>
            </w:tcBorders>
            <w:shd w:val="clear" w:color="auto" w:fill="FF0000"/>
          </w:tcPr>
          <w:p w14:paraId="77BB9DAC"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739CB77B" w14:textId="77777777" w:rsidR="00CE1436" w:rsidRPr="002F78E5" w:rsidRDefault="00CE1436" w:rsidP="002F78E5">
            <w:pPr>
              <w:pStyle w:val="TableText"/>
              <w:jc w:val="center"/>
            </w:pPr>
            <w:r w:rsidRPr="002F78E5">
              <w:t>231</w:t>
            </w:r>
          </w:p>
        </w:tc>
        <w:tc>
          <w:tcPr>
            <w:tcW w:w="1208" w:type="dxa"/>
            <w:tcBorders>
              <w:top w:val="single" w:sz="4" w:space="0" w:color="auto"/>
              <w:left w:val="nil"/>
              <w:bottom w:val="nil"/>
              <w:right w:val="nil"/>
            </w:tcBorders>
            <w:shd w:val="clear" w:color="auto" w:fill="92D050"/>
          </w:tcPr>
          <w:p w14:paraId="5E37EE61"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nil"/>
              <w:right w:val="nil"/>
            </w:tcBorders>
          </w:tcPr>
          <w:p w14:paraId="5F48786A" w14:textId="643D8502" w:rsidR="00CE1436" w:rsidRPr="002F78E5" w:rsidRDefault="00CE1436" w:rsidP="002F78E5">
            <w:pPr>
              <w:pStyle w:val="TableText"/>
              <w:jc w:val="center"/>
            </w:pPr>
            <w:r w:rsidRPr="002F78E5">
              <w:t>675</w:t>
            </w:r>
            <w:r w:rsidR="002F78E5">
              <w:br/>
            </w:r>
            <w:r w:rsidRPr="002F78E5">
              <w:t>(WOE)</w:t>
            </w:r>
          </w:p>
        </w:tc>
      </w:tr>
      <w:tr w:rsidR="00CE1436" w:rsidDel="00DA6DCD" w14:paraId="0CFBA8E6" w14:textId="77777777" w:rsidTr="002F78E5">
        <w:trPr>
          <w:trHeight w:val="113"/>
        </w:trPr>
        <w:tc>
          <w:tcPr>
            <w:tcW w:w="1091" w:type="dxa"/>
            <w:vMerge/>
            <w:tcBorders>
              <w:left w:val="nil"/>
              <w:right w:val="nil"/>
            </w:tcBorders>
          </w:tcPr>
          <w:p w14:paraId="11F3605E" w14:textId="77777777" w:rsidR="00CE1436" w:rsidRPr="002F78E5" w:rsidRDefault="00CE1436" w:rsidP="002F78E5">
            <w:pPr>
              <w:pStyle w:val="TableText"/>
            </w:pPr>
          </w:p>
        </w:tc>
        <w:tc>
          <w:tcPr>
            <w:tcW w:w="1076" w:type="dxa"/>
            <w:tcBorders>
              <w:top w:val="nil"/>
              <w:left w:val="nil"/>
              <w:bottom w:val="nil"/>
              <w:right w:val="nil"/>
            </w:tcBorders>
          </w:tcPr>
          <w:p w14:paraId="40C4B5EA" w14:textId="77777777" w:rsidR="00CE1436" w:rsidRPr="002F78E5" w:rsidRDefault="00CE1436" w:rsidP="002F78E5">
            <w:pPr>
              <w:pStyle w:val="TableText"/>
            </w:pPr>
          </w:p>
        </w:tc>
        <w:tc>
          <w:tcPr>
            <w:tcW w:w="1514" w:type="dxa"/>
            <w:tcBorders>
              <w:top w:val="nil"/>
              <w:left w:val="nil"/>
              <w:bottom w:val="nil"/>
              <w:right w:val="nil"/>
            </w:tcBorders>
          </w:tcPr>
          <w:p w14:paraId="55839B96" w14:textId="77777777" w:rsidR="00CE1436" w:rsidRPr="002F78E5" w:rsidRDefault="00CE1436" w:rsidP="002F78E5">
            <w:pPr>
              <w:pStyle w:val="TableText"/>
            </w:pPr>
            <w:r w:rsidRPr="002F78E5">
              <w:t>Fallow</w:t>
            </w:r>
          </w:p>
        </w:tc>
        <w:tc>
          <w:tcPr>
            <w:tcW w:w="1843" w:type="dxa"/>
            <w:tcBorders>
              <w:top w:val="nil"/>
              <w:left w:val="nil"/>
              <w:bottom w:val="nil"/>
              <w:right w:val="nil"/>
            </w:tcBorders>
          </w:tcPr>
          <w:p w14:paraId="34F4B192" w14:textId="77777777" w:rsidR="00CE1436" w:rsidRPr="002F78E5" w:rsidRDefault="00CE1436" w:rsidP="002F78E5">
            <w:pPr>
              <w:pStyle w:val="TableText"/>
            </w:pPr>
            <w:r w:rsidRPr="002F78E5">
              <w:t>From 1× 1505 g ac/ha</w:t>
            </w:r>
          </w:p>
        </w:tc>
        <w:tc>
          <w:tcPr>
            <w:tcW w:w="1134" w:type="dxa"/>
            <w:tcBorders>
              <w:top w:val="nil"/>
              <w:left w:val="nil"/>
              <w:bottom w:val="nil"/>
              <w:right w:val="nil"/>
            </w:tcBorders>
            <w:shd w:val="clear" w:color="auto" w:fill="FF0000"/>
          </w:tcPr>
          <w:p w14:paraId="2A4CECFB" w14:textId="77777777" w:rsidR="00CE1436" w:rsidRPr="002F78E5" w:rsidDel="00DA6DCD" w:rsidRDefault="00CE1436" w:rsidP="002F78E5">
            <w:pPr>
              <w:pStyle w:val="TableText"/>
              <w:jc w:val="center"/>
            </w:pPr>
            <w:r w:rsidRPr="002F78E5">
              <w:t>No</w:t>
            </w:r>
          </w:p>
        </w:tc>
        <w:tc>
          <w:tcPr>
            <w:tcW w:w="918" w:type="dxa"/>
            <w:tcBorders>
              <w:top w:val="nil"/>
              <w:left w:val="nil"/>
              <w:bottom w:val="nil"/>
              <w:right w:val="nil"/>
            </w:tcBorders>
          </w:tcPr>
          <w:p w14:paraId="642C22D6" w14:textId="77777777" w:rsidR="00CE1436" w:rsidRPr="002F78E5" w:rsidDel="00DA6DCD" w:rsidRDefault="00CE1436" w:rsidP="002F78E5">
            <w:pPr>
              <w:pStyle w:val="TableText"/>
              <w:jc w:val="center"/>
            </w:pPr>
            <w:r w:rsidRPr="002F78E5">
              <w:t>231</w:t>
            </w:r>
          </w:p>
        </w:tc>
        <w:tc>
          <w:tcPr>
            <w:tcW w:w="1208" w:type="dxa"/>
            <w:tcBorders>
              <w:top w:val="nil"/>
              <w:left w:val="nil"/>
              <w:bottom w:val="nil"/>
              <w:right w:val="nil"/>
            </w:tcBorders>
            <w:shd w:val="clear" w:color="auto" w:fill="FF0000"/>
          </w:tcPr>
          <w:p w14:paraId="0C415ACA" w14:textId="77777777" w:rsidR="00CE1436" w:rsidRPr="002F78E5" w:rsidDel="00DA6DCD" w:rsidRDefault="00CE1436" w:rsidP="002F78E5">
            <w:pPr>
              <w:pStyle w:val="TableText"/>
              <w:jc w:val="center"/>
            </w:pPr>
            <w:r w:rsidRPr="002F78E5">
              <w:t>No</w:t>
            </w:r>
          </w:p>
        </w:tc>
        <w:tc>
          <w:tcPr>
            <w:tcW w:w="844" w:type="dxa"/>
            <w:tcBorders>
              <w:top w:val="nil"/>
              <w:left w:val="nil"/>
              <w:bottom w:val="nil"/>
              <w:right w:val="nil"/>
            </w:tcBorders>
          </w:tcPr>
          <w:p w14:paraId="60753EEB" w14:textId="4183D3E0" w:rsidR="00CE1436" w:rsidRPr="002F78E5" w:rsidDel="00DA6DCD" w:rsidRDefault="00CE1436" w:rsidP="002F78E5">
            <w:pPr>
              <w:pStyle w:val="TableText"/>
              <w:jc w:val="center"/>
            </w:pPr>
            <w:r w:rsidRPr="002F78E5">
              <w:t>675</w:t>
            </w:r>
            <w:r w:rsidR="002F78E5">
              <w:br/>
            </w:r>
            <w:r w:rsidRPr="002F78E5">
              <w:t>(WOE)</w:t>
            </w:r>
          </w:p>
        </w:tc>
      </w:tr>
      <w:tr w:rsidR="00CE1436" w14:paraId="05C2B684" w14:textId="77777777" w:rsidTr="002F78E5">
        <w:trPr>
          <w:trHeight w:val="113"/>
        </w:trPr>
        <w:tc>
          <w:tcPr>
            <w:tcW w:w="1091" w:type="dxa"/>
            <w:vMerge/>
            <w:tcBorders>
              <w:left w:val="nil"/>
              <w:right w:val="nil"/>
            </w:tcBorders>
          </w:tcPr>
          <w:p w14:paraId="2D8B25C5" w14:textId="77777777" w:rsidR="00CE1436" w:rsidRPr="002F78E5" w:rsidRDefault="00CE1436" w:rsidP="002F78E5">
            <w:pPr>
              <w:pStyle w:val="TableText"/>
            </w:pPr>
          </w:p>
        </w:tc>
        <w:tc>
          <w:tcPr>
            <w:tcW w:w="1076" w:type="dxa"/>
            <w:tcBorders>
              <w:top w:val="nil"/>
              <w:left w:val="nil"/>
              <w:bottom w:val="nil"/>
              <w:right w:val="nil"/>
            </w:tcBorders>
          </w:tcPr>
          <w:p w14:paraId="4E34C278" w14:textId="77777777" w:rsidR="00CE1436" w:rsidRPr="002F78E5" w:rsidRDefault="00CE1436" w:rsidP="002F78E5">
            <w:pPr>
              <w:pStyle w:val="TableText"/>
            </w:pPr>
          </w:p>
        </w:tc>
        <w:tc>
          <w:tcPr>
            <w:tcW w:w="1514" w:type="dxa"/>
            <w:tcBorders>
              <w:top w:val="nil"/>
              <w:left w:val="nil"/>
              <w:bottom w:val="nil"/>
              <w:right w:val="nil"/>
            </w:tcBorders>
          </w:tcPr>
          <w:p w14:paraId="59154F82" w14:textId="77777777" w:rsidR="00CE1436" w:rsidRPr="002F78E5" w:rsidRDefault="00CE1436" w:rsidP="002F78E5">
            <w:pPr>
              <w:pStyle w:val="TableText"/>
            </w:pPr>
            <w:r w:rsidRPr="002F78E5">
              <w:t>Market gardens, row crops, vegetables</w:t>
            </w:r>
          </w:p>
        </w:tc>
        <w:tc>
          <w:tcPr>
            <w:tcW w:w="1843" w:type="dxa"/>
            <w:tcBorders>
              <w:top w:val="nil"/>
              <w:left w:val="nil"/>
              <w:bottom w:val="nil"/>
              <w:right w:val="nil"/>
            </w:tcBorders>
          </w:tcPr>
          <w:p w14:paraId="219806DE" w14:textId="77777777" w:rsidR="00CE1436" w:rsidRPr="002F78E5" w:rsidRDefault="00CE1436" w:rsidP="002F78E5">
            <w:pPr>
              <w:pStyle w:val="TableText"/>
            </w:pPr>
            <w:r w:rsidRPr="002F78E5">
              <w:t>From 1× 600 g ac/ha</w:t>
            </w:r>
          </w:p>
        </w:tc>
        <w:tc>
          <w:tcPr>
            <w:tcW w:w="1134" w:type="dxa"/>
            <w:tcBorders>
              <w:top w:val="nil"/>
              <w:left w:val="nil"/>
              <w:bottom w:val="nil"/>
              <w:right w:val="nil"/>
            </w:tcBorders>
            <w:shd w:val="clear" w:color="auto" w:fill="FF0000"/>
          </w:tcPr>
          <w:p w14:paraId="604C47EA"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696FD0F8" w14:textId="77777777" w:rsidR="00CE1436" w:rsidRPr="002F78E5" w:rsidRDefault="00CE1436" w:rsidP="002F78E5">
            <w:pPr>
              <w:pStyle w:val="TableText"/>
              <w:jc w:val="center"/>
            </w:pPr>
            <w:r w:rsidRPr="002F78E5">
              <w:t>231</w:t>
            </w:r>
          </w:p>
        </w:tc>
        <w:tc>
          <w:tcPr>
            <w:tcW w:w="1208" w:type="dxa"/>
            <w:tcBorders>
              <w:top w:val="nil"/>
              <w:left w:val="nil"/>
              <w:bottom w:val="nil"/>
              <w:right w:val="nil"/>
            </w:tcBorders>
            <w:shd w:val="clear" w:color="auto" w:fill="92D050"/>
          </w:tcPr>
          <w:p w14:paraId="01B0A8B1"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6331BA3E" w14:textId="458F096A" w:rsidR="00CE1436" w:rsidRPr="002F78E5" w:rsidRDefault="00CE1436" w:rsidP="002F78E5">
            <w:pPr>
              <w:pStyle w:val="TableText"/>
              <w:jc w:val="center"/>
            </w:pPr>
            <w:r w:rsidRPr="002F78E5">
              <w:t>675</w:t>
            </w:r>
            <w:r w:rsidR="002F78E5">
              <w:br/>
            </w:r>
            <w:r w:rsidRPr="002F78E5">
              <w:t>(WOE)</w:t>
            </w:r>
          </w:p>
        </w:tc>
      </w:tr>
      <w:tr w:rsidR="00CE1436" w14:paraId="1D390FFF" w14:textId="77777777" w:rsidTr="002F78E5">
        <w:trPr>
          <w:trHeight w:val="113"/>
        </w:trPr>
        <w:tc>
          <w:tcPr>
            <w:tcW w:w="1091" w:type="dxa"/>
            <w:vMerge/>
            <w:tcBorders>
              <w:left w:val="nil"/>
              <w:right w:val="nil"/>
            </w:tcBorders>
          </w:tcPr>
          <w:p w14:paraId="19E09F33" w14:textId="77777777" w:rsidR="00CE1436" w:rsidRPr="002F78E5" w:rsidRDefault="00CE1436" w:rsidP="002F78E5">
            <w:pPr>
              <w:pStyle w:val="TableText"/>
            </w:pPr>
          </w:p>
        </w:tc>
        <w:tc>
          <w:tcPr>
            <w:tcW w:w="1076" w:type="dxa"/>
            <w:tcBorders>
              <w:top w:val="nil"/>
              <w:left w:val="nil"/>
              <w:bottom w:val="nil"/>
              <w:right w:val="nil"/>
            </w:tcBorders>
          </w:tcPr>
          <w:p w14:paraId="594838AC" w14:textId="77777777" w:rsidR="00CE1436" w:rsidRPr="002F78E5" w:rsidRDefault="00CE1436" w:rsidP="002F78E5">
            <w:pPr>
              <w:pStyle w:val="TableText"/>
            </w:pPr>
          </w:p>
        </w:tc>
        <w:tc>
          <w:tcPr>
            <w:tcW w:w="1514" w:type="dxa"/>
            <w:tcBorders>
              <w:top w:val="nil"/>
              <w:left w:val="nil"/>
              <w:bottom w:val="nil"/>
              <w:right w:val="nil"/>
            </w:tcBorders>
          </w:tcPr>
          <w:p w14:paraId="42B313D2" w14:textId="77777777" w:rsidR="00CE1436" w:rsidRPr="002F78E5" w:rsidRDefault="00CE1436" w:rsidP="002F78E5">
            <w:pPr>
              <w:pStyle w:val="TableText"/>
            </w:pPr>
            <w:r w:rsidRPr="002F78E5">
              <w:t>Market gardens, row crops, vegetables (shielded inter-row sprayers)</w:t>
            </w:r>
          </w:p>
        </w:tc>
        <w:tc>
          <w:tcPr>
            <w:tcW w:w="1843" w:type="dxa"/>
            <w:tcBorders>
              <w:top w:val="nil"/>
              <w:left w:val="nil"/>
              <w:bottom w:val="nil"/>
              <w:right w:val="nil"/>
            </w:tcBorders>
          </w:tcPr>
          <w:p w14:paraId="6B0C4A5C" w14:textId="77777777" w:rsidR="00CE1436" w:rsidRPr="002F78E5" w:rsidRDefault="00CE1436" w:rsidP="002F78E5">
            <w:pPr>
              <w:pStyle w:val="TableText"/>
            </w:pPr>
            <w:r w:rsidRPr="002F78E5">
              <w:t>From 1× 600 g ac/ha</w:t>
            </w:r>
          </w:p>
        </w:tc>
        <w:tc>
          <w:tcPr>
            <w:tcW w:w="1134" w:type="dxa"/>
            <w:tcBorders>
              <w:top w:val="nil"/>
              <w:left w:val="nil"/>
              <w:bottom w:val="nil"/>
              <w:right w:val="nil"/>
            </w:tcBorders>
            <w:shd w:val="clear" w:color="auto" w:fill="FF0000"/>
          </w:tcPr>
          <w:p w14:paraId="518D9AEA"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407CE7A3" w14:textId="77777777" w:rsidR="00CE1436" w:rsidRPr="002F78E5" w:rsidRDefault="00CE1436" w:rsidP="002F78E5">
            <w:pPr>
              <w:pStyle w:val="TableText"/>
              <w:jc w:val="center"/>
            </w:pPr>
            <w:r w:rsidRPr="002F78E5">
              <w:t>231</w:t>
            </w:r>
          </w:p>
        </w:tc>
        <w:tc>
          <w:tcPr>
            <w:tcW w:w="1208" w:type="dxa"/>
            <w:tcBorders>
              <w:top w:val="nil"/>
              <w:left w:val="nil"/>
              <w:bottom w:val="nil"/>
              <w:right w:val="nil"/>
            </w:tcBorders>
            <w:shd w:val="clear" w:color="auto" w:fill="92D050"/>
          </w:tcPr>
          <w:p w14:paraId="12CF2FE2"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32EF310A" w14:textId="23D6227E" w:rsidR="00CE1436" w:rsidRPr="002F78E5" w:rsidRDefault="00CE1436" w:rsidP="002F78E5">
            <w:pPr>
              <w:pStyle w:val="TableText"/>
              <w:jc w:val="center"/>
            </w:pPr>
            <w:r w:rsidRPr="002F78E5">
              <w:t>675</w:t>
            </w:r>
            <w:r w:rsidR="002F78E5">
              <w:br/>
            </w:r>
            <w:r w:rsidRPr="002F78E5">
              <w:t>(WOE)</w:t>
            </w:r>
          </w:p>
        </w:tc>
      </w:tr>
      <w:tr w:rsidR="00CE1436" w14:paraId="0290EFD5" w14:textId="77777777" w:rsidTr="002F78E5">
        <w:trPr>
          <w:trHeight w:val="113"/>
        </w:trPr>
        <w:tc>
          <w:tcPr>
            <w:tcW w:w="1091" w:type="dxa"/>
            <w:vMerge/>
            <w:tcBorders>
              <w:left w:val="nil"/>
              <w:right w:val="nil"/>
            </w:tcBorders>
          </w:tcPr>
          <w:p w14:paraId="3127686E" w14:textId="77777777" w:rsidR="00CE1436" w:rsidRPr="002F78E5" w:rsidRDefault="00CE1436" w:rsidP="002F78E5">
            <w:pPr>
              <w:pStyle w:val="TableText"/>
            </w:pPr>
          </w:p>
        </w:tc>
        <w:tc>
          <w:tcPr>
            <w:tcW w:w="1076" w:type="dxa"/>
            <w:tcBorders>
              <w:top w:val="nil"/>
              <w:left w:val="nil"/>
              <w:bottom w:val="nil"/>
              <w:right w:val="nil"/>
            </w:tcBorders>
          </w:tcPr>
          <w:p w14:paraId="4FDDFFAE" w14:textId="77777777" w:rsidR="00CE1436" w:rsidRPr="002F78E5" w:rsidRDefault="00CE1436" w:rsidP="002F78E5">
            <w:pPr>
              <w:pStyle w:val="TableText"/>
            </w:pPr>
          </w:p>
        </w:tc>
        <w:tc>
          <w:tcPr>
            <w:tcW w:w="1514" w:type="dxa"/>
            <w:tcBorders>
              <w:top w:val="nil"/>
              <w:left w:val="nil"/>
              <w:bottom w:val="nil"/>
              <w:right w:val="nil"/>
            </w:tcBorders>
          </w:tcPr>
          <w:p w14:paraId="12A68723" w14:textId="77777777" w:rsidR="00CE1436" w:rsidRPr="002F78E5" w:rsidRDefault="00CE1436" w:rsidP="002F78E5">
            <w:pPr>
              <w:pStyle w:val="TableText"/>
            </w:pPr>
            <w:r w:rsidRPr="002F78E5">
              <w:t>Hops, rice (pre/post sowing), potatoes (pre/early emergence)</w:t>
            </w:r>
          </w:p>
        </w:tc>
        <w:tc>
          <w:tcPr>
            <w:tcW w:w="1843" w:type="dxa"/>
            <w:tcBorders>
              <w:top w:val="nil"/>
              <w:left w:val="nil"/>
              <w:bottom w:val="nil"/>
              <w:right w:val="nil"/>
            </w:tcBorders>
          </w:tcPr>
          <w:p w14:paraId="199B03C9" w14:textId="77777777" w:rsidR="00CE1436" w:rsidRPr="002F78E5" w:rsidRDefault="00CE1436" w:rsidP="002F78E5">
            <w:pPr>
              <w:pStyle w:val="TableText"/>
            </w:pPr>
            <w:r w:rsidRPr="002F78E5">
              <w:t>From 1× 400 g ac/ha</w:t>
            </w:r>
          </w:p>
        </w:tc>
        <w:tc>
          <w:tcPr>
            <w:tcW w:w="1134" w:type="dxa"/>
            <w:tcBorders>
              <w:top w:val="nil"/>
              <w:left w:val="nil"/>
              <w:bottom w:val="nil"/>
              <w:right w:val="nil"/>
            </w:tcBorders>
            <w:shd w:val="clear" w:color="auto" w:fill="FF0000"/>
          </w:tcPr>
          <w:p w14:paraId="6AED0717"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2235EBBA" w14:textId="77777777" w:rsidR="00CE1436" w:rsidRPr="002F78E5" w:rsidRDefault="00CE1436" w:rsidP="002F78E5">
            <w:pPr>
              <w:pStyle w:val="TableText"/>
              <w:jc w:val="center"/>
            </w:pPr>
            <w:r w:rsidRPr="002F78E5">
              <w:t>231</w:t>
            </w:r>
          </w:p>
        </w:tc>
        <w:tc>
          <w:tcPr>
            <w:tcW w:w="1208" w:type="dxa"/>
            <w:tcBorders>
              <w:top w:val="nil"/>
              <w:left w:val="nil"/>
              <w:bottom w:val="nil"/>
              <w:right w:val="nil"/>
            </w:tcBorders>
            <w:shd w:val="clear" w:color="auto" w:fill="92D050"/>
          </w:tcPr>
          <w:p w14:paraId="09A1077B"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3D83C107" w14:textId="40AB5C1C" w:rsidR="00CE1436" w:rsidRPr="002F78E5" w:rsidRDefault="00CE1436" w:rsidP="002F78E5">
            <w:pPr>
              <w:pStyle w:val="TableText"/>
              <w:jc w:val="center"/>
            </w:pPr>
            <w:r w:rsidRPr="002F78E5">
              <w:t>675</w:t>
            </w:r>
            <w:r w:rsidR="002F78E5">
              <w:br/>
            </w:r>
            <w:r w:rsidRPr="002F78E5">
              <w:t>(WOE)</w:t>
            </w:r>
          </w:p>
        </w:tc>
      </w:tr>
      <w:tr w:rsidR="00CE1436" w14:paraId="2AAF43EF" w14:textId="77777777" w:rsidTr="002F78E5">
        <w:trPr>
          <w:trHeight w:val="113"/>
        </w:trPr>
        <w:tc>
          <w:tcPr>
            <w:tcW w:w="1091" w:type="dxa"/>
            <w:vMerge/>
            <w:tcBorders>
              <w:left w:val="nil"/>
              <w:right w:val="nil"/>
            </w:tcBorders>
          </w:tcPr>
          <w:p w14:paraId="0D4D657F"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6D3B6592" w14:textId="77777777" w:rsidR="00CE1436" w:rsidRPr="002F78E5" w:rsidRDefault="00CE1436" w:rsidP="002F78E5">
            <w:pPr>
              <w:pStyle w:val="TableText"/>
            </w:pPr>
            <w:r w:rsidRPr="002F78E5">
              <w:t>Grassland</w:t>
            </w:r>
          </w:p>
        </w:tc>
        <w:tc>
          <w:tcPr>
            <w:tcW w:w="1514" w:type="dxa"/>
            <w:tcBorders>
              <w:top w:val="single" w:sz="4" w:space="0" w:color="auto"/>
              <w:left w:val="nil"/>
              <w:bottom w:val="nil"/>
              <w:right w:val="nil"/>
            </w:tcBorders>
          </w:tcPr>
          <w:p w14:paraId="1AB477DC" w14:textId="77777777" w:rsidR="00CE1436" w:rsidRPr="002F78E5" w:rsidRDefault="00CE1436" w:rsidP="002F78E5">
            <w:pPr>
              <w:pStyle w:val="TableText"/>
            </w:pPr>
            <w:r w:rsidRPr="002F78E5">
              <w:t xml:space="preserve">Industrial vegetation management </w:t>
            </w:r>
          </w:p>
        </w:tc>
        <w:tc>
          <w:tcPr>
            <w:tcW w:w="1843" w:type="dxa"/>
            <w:tcBorders>
              <w:top w:val="single" w:sz="4" w:space="0" w:color="auto"/>
              <w:left w:val="nil"/>
              <w:bottom w:val="nil"/>
              <w:right w:val="nil"/>
            </w:tcBorders>
          </w:tcPr>
          <w:p w14:paraId="1866F7C9" w14:textId="77777777" w:rsidR="00CE1436" w:rsidRPr="002F78E5" w:rsidRDefault="00CE1436" w:rsidP="002F78E5">
            <w:pPr>
              <w:pStyle w:val="TableText"/>
            </w:pPr>
            <w:r w:rsidRPr="002F78E5">
              <w:t>From 1× 1140 g ac/ha</w:t>
            </w:r>
          </w:p>
        </w:tc>
        <w:tc>
          <w:tcPr>
            <w:tcW w:w="1134" w:type="dxa"/>
            <w:tcBorders>
              <w:top w:val="single" w:sz="4" w:space="0" w:color="auto"/>
              <w:left w:val="nil"/>
              <w:bottom w:val="nil"/>
              <w:right w:val="nil"/>
            </w:tcBorders>
            <w:shd w:val="clear" w:color="auto" w:fill="92D050"/>
          </w:tcPr>
          <w:p w14:paraId="413C8AB9" w14:textId="77777777" w:rsidR="00CE1436" w:rsidRPr="002F78E5" w:rsidRDefault="00CE1436" w:rsidP="002F78E5">
            <w:pPr>
              <w:pStyle w:val="TableText"/>
              <w:jc w:val="center"/>
            </w:pPr>
            <w:r w:rsidRPr="002F78E5">
              <w:t>Yes</w:t>
            </w:r>
          </w:p>
        </w:tc>
        <w:tc>
          <w:tcPr>
            <w:tcW w:w="918" w:type="dxa"/>
            <w:tcBorders>
              <w:top w:val="single" w:sz="4" w:space="0" w:color="auto"/>
              <w:left w:val="nil"/>
              <w:bottom w:val="nil"/>
              <w:right w:val="nil"/>
            </w:tcBorders>
          </w:tcPr>
          <w:p w14:paraId="5F6A1AA2" w14:textId="1481BE3E" w:rsidR="00CE1436" w:rsidRPr="002F78E5" w:rsidRDefault="00CE1436" w:rsidP="002F78E5">
            <w:pPr>
              <w:pStyle w:val="TableText"/>
              <w:jc w:val="center"/>
            </w:pPr>
            <w:r w:rsidRPr="002F78E5">
              <w:t>1140</w:t>
            </w:r>
            <w:r w:rsidR="002F78E5">
              <w:br/>
            </w:r>
            <w:r w:rsidRPr="002F78E5">
              <w:t>(WOE)</w:t>
            </w:r>
          </w:p>
        </w:tc>
        <w:tc>
          <w:tcPr>
            <w:tcW w:w="1208" w:type="dxa"/>
            <w:tcBorders>
              <w:top w:val="single" w:sz="4" w:space="0" w:color="auto"/>
              <w:left w:val="nil"/>
              <w:bottom w:val="nil"/>
              <w:right w:val="nil"/>
            </w:tcBorders>
            <w:shd w:val="clear" w:color="auto" w:fill="92D050"/>
          </w:tcPr>
          <w:p w14:paraId="048C9F95"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nil"/>
              <w:right w:val="nil"/>
            </w:tcBorders>
          </w:tcPr>
          <w:p w14:paraId="2EDE8C0B" w14:textId="62F9F9BB" w:rsidR="00CE1436" w:rsidRPr="002F78E5" w:rsidRDefault="00CE1436" w:rsidP="002F78E5">
            <w:pPr>
              <w:pStyle w:val="TableText"/>
              <w:jc w:val="center"/>
            </w:pPr>
            <w:r w:rsidRPr="002F78E5">
              <w:t>1140</w:t>
            </w:r>
            <w:r w:rsidR="002F78E5">
              <w:br/>
            </w:r>
            <w:r w:rsidRPr="002F78E5">
              <w:t>(WOE)</w:t>
            </w:r>
          </w:p>
        </w:tc>
      </w:tr>
      <w:tr w:rsidR="00CE1436" w14:paraId="6E137082" w14:textId="77777777" w:rsidTr="002F78E5">
        <w:trPr>
          <w:trHeight w:val="113"/>
        </w:trPr>
        <w:tc>
          <w:tcPr>
            <w:tcW w:w="1091" w:type="dxa"/>
            <w:vMerge/>
            <w:tcBorders>
              <w:left w:val="nil"/>
              <w:right w:val="nil"/>
            </w:tcBorders>
          </w:tcPr>
          <w:p w14:paraId="20CDFBAC" w14:textId="77777777" w:rsidR="00CE1436" w:rsidRPr="002F78E5" w:rsidRDefault="00CE1436" w:rsidP="002F78E5">
            <w:pPr>
              <w:pStyle w:val="TableText"/>
            </w:pPr>
          </w:p>
        </w:tc>
        <w:tc>
          <w:tcPr>
            <w:tcW w:w="1076" w:type="dxa"/>
            <w:tcBorders>
              <w:top w:val="nil"/>
              <w:left w:val="nil"/>
              <w:bottom w:val="nil"/>
              <w:right w:val="nil"/>
            </w:tcBorders>
          </w:tcPr>
          <w:p w14:paraId="193CB2C7" w14:textId="77777777" w:rsidR="00CE1436" w:rsidRPr="002F78E5" w:rsidRDefault="00CE1436" w:rsidP="002F78E5">
            <w:pPr>
              <w:pStyle w:val="TableText"/>
            </w:pPr>
          </w:p>
        </w:tc>
        <w:tc>
          <w:tcPr>
            <w:tcW w:w="1514" w:type="dxa"/>
            <w:tcBorders>
              <w:top w:val="nil"/>
              <w:left w:val="nil"/>
              <w:bottom w:val="nil"/>
              <w:right w:val="nil"/>
            </w:tcBorders>
          </w:tcPr>
          <w:p w14:paraId="48A34619" w14:textId="77777777" w:rsidR="00CE1436" w:rsidRPr="002F78E5" w:rsidRDefault="00CE1436" w:rsidP="002F78E5">
            <w:pPr>
              <w:pStyle w:val="TableText"/>
            </w:pPr>
            <w:r w:rsidRPr="002F78E5">
              <w:t xml:space="preserve">Pasture (includes hay freezing, spray topping to reduce seed set, prevention of ryegrass toxicity, perennial grass seed crops and </w:t>
            </w:r>
            <w:r w:rsidRPr="002F78E5">
              <w:lastRenderedPageBreak/>
              <w:t>kikuyu/paspalum pasture)</w:t>
            </w:r>
          </w:p>
        </w:tc>
        <w:tc>
          <w:tcPr>
            <w:tcW w:w="1843" w:type="dxa"/>
            <w:tcBorders>
              <w:top w:val="nil"/>
              <w:left w:val="nil"/>
              <w:bottom w:val="nil"/>
              <w:right w:val="nil"/>
            </w:tcBorders>
          </w:tcPr>
          <w:p w14:paraId="3AC503B3" w14:textId="77777777" w:rsidR="00CE1436" w:rsidRPr="002F78E5" w:rsidRDefault="00CE1436" w:rsidP="002F78E5">
            <w:pPr>
              <w:pStyle w:val="TableText"/>
            </w:pPr>
            <w:r w:rsidRPr="002F78E5">
              <w:lastRenderedPageBreak/>
              <w:t>From 1× 600 g ac/ha</w:t>
            </w:r>
          </w:p>
        </w:tc>
        <w:tc>
          <w:tcPr>
            <w:tcW w:w="1134" w:type="dxa"/>
            <w:tcBorders>
              <w:top w:val="nil"/>
              <w:left w:val="nil"/>
              <w:bottom w:val="nil"/>
              <w:right w:val="nil"/>
            </w:tcBorders>
            <w:shd w:val="clear" w:color="auto" w:fill="FF0000"/>
          </w:tcPr>
          <w:p w14:paraId="332BC2F8"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30E36EE0" w14:textId="77777777" w:rsidR="00CE1436" w:rsidRPr="002F78E5" w:rsidRDefault="00CE1436" w:rsidP="002F78E5">
            <w:pPr>
              <w:pStyle w:val="TableText"/>
              <w:jc w:val="center"/>
            </w:pPr>
            <w:r w:rsidRPr="002F78E5">
              <w:t>187</w:t>
            </w:r>
          </w:p>
        </w:tc>
        <w:tc>
          <w:tcPr>
            <w:tcW w:w="1208" w:type="dxa"/>
            <w:tcBorders>
              <w:top w:val="nil"/>
              <w:left w:val="nil"/>
              <w:bottom w:val="nil"/>
              <w:right w:val="nil"/>
            </w:tcBorders>
            <w:shd w:val="clear" w:color="auto" w:fill="FF0000"/>
          </w:tcPr>
          <w:p w14:paraId="2021457E" w14:textId="77777777" w:rsidR="00CE1436" w:rsidRPr="002F78E5" w:rsidRDefault="00CE1436" w:rsidP="002F78E5">
            <w:pPr>
              <w:pStyle w:val="TableText"/>
              <w:jc w:val="center"/>
            </w:pPr>
            <w:r w:rsidRPr="002F78E5">
              <w:t>No</w:t>
            </w:r>
          </w:p>
        </w:tc>
        <w:tc>
          <w:tcPr>
            <w:tcW w:w="844" w:type="dxa"/>
            <w:tcBorders>
              <w:top w:val="nil"/>
              <w:left w:val="nil"/>
              <w:bottom w:val="nil"/>
              <w:right w:val="nil"/>
            </w:tcBorders>
          </w:tcPr>
          <w:p w14:paraId="3773BC81" w14:textId="77777777" w:rsidR="00CE1436" w:rsidRPr="002F78E5" w:rsidRDefault="00CE1436" w:rsidP="002F78E5">
            <w:pPr>
              <w:pStyle w:val="TableText"/>
              <w:jc w:val="center"/>
            </w:pPr>
            <w:r w:rsidRPr="002F78E5">
              <w:t>54</w:t>
            </w:r>
          </w:p>
        </w:tc>
      </w:tr>
      <w:tr w:rsidR="00CE1436" w14:paraId="63A797E9" w14:textId="77777777" w:rsidTr="002F78E5">
        <w:trPr>
          <w:trHeight w:val="113"/>
        </w:trPr>
        <w:tc>
          <w:tcPr>
            <w:tcW w:w="1091" w:type="dxa"/>
            <w:vMerge/>
            <w:tcBorders>
              <w:left w:val="nil"/>
              <w:right w:val="nil"/>
            </w:tcBorders>
          </w:tcPr>
          <w:p w14:paraId="7AD02EA6" w14:textId="77777777" w:rsidR="00CE1436" w:rsidRPr="002F78E5" w:rsidRDefault="00CE1436" w:rsidP="002F78E5">
            <w:pPr>
              <w:pStyle w:val="TableText"/>
            </w:pPr>
          </w:p>
        </w:tc>
        <w:tc>
          <w:tcPr>
            <w:tcW w:w="1076" w:type="dxa"/>
            <w:vMerge w:val="restart"/>
            <w:tcBorders>
              <w:top w:val="single" w:sz="4" w:space="0" w:color="auto"/>
              <w:left w:val="nil"/>
              <w:right w:val="nil"/>
            </w:tcBorders>
          </w:tcPr>
          <w:p w14:paraId="1F9A8739" w14:textId="77777777" w:rsidR="00CE1436" w:rsidRPr="002F78E5" w:rsidRDefault="00CE1436" w:rsidP="002F78E5">
            <w:pPr>
              <w:pStyle w:val="TableText"/>
            </w:pPr>
            <w:r w:rsidRPr="002F78E5">
              <w:t>Legume forage</w:t>
            </w:r>
          </w:p>
        </w:tc>
        <w:tc>
          <w:tcPr>
            <w:tcW w:w="1514" w:type="dxa"/>
            <w:tcBorders>
              <w:top w:val="single" w:sz="4" w:space="0" w:color="auto"/>
              <w:left w:val="nil"/>
              <w:bottom w:val="nil"/>
              <w:right w:val="nil"/>
            </w:tcBorders>
          </w:tcPr>
          <w:p w14:paraId="0642655C" w14:textId="77777777" w:rsidR="00CE1436" w:rsidRPr="002F78E5" w:rsidRDefault="00CE1436" w:rsidP="002F78E5">
            <w:pPr>
              <w:pStyle w:val="TableText"/>
            </w:pPr>
            <w:r w:rsidRPr="002F78E5">
              <w:t>Lucerne (ungrazed before spraying)</w:t>
            </w:r>
          </w:p>
        </w:tc>
        <w:tc>
          <w:tcPr>
            <w:tcW w:w="1843" w:type="dxa"/>
            <w:tcBorders>
              <w:top w:val="single" w:sz="4" w:space="0" w:color="auto"/>
              <w:left w:val="nil"/>
              <w:bottom w:val="nil"/>
              <w:right w:val="nil"/>
            </w:tcBorders>
          </w:tcPr>
          <w:p w14:paraId="3C37311F" w14:textId="77777777" w:rsidR="00CE1436" w:rsidRPr="002F78E5" w:rsidRDefault="00CE1436" w:rsidP="002F78E5">
            <w:pPr>
              <w:pStyle w:val="TableText"/>
            </w:pPr>
            <w:r w:rsidRPr="002F78E5">
              <w:t>From 1× 600 g ac/ha</w:t>
            </w:r>
          </w:p>
        </w:tc>
        <w:tc>
          <w:tcPr>
            <w:tcW w:w="1134" w:type="dxa"/>
            <w:tcBorders>
              <w:top w:val="single" w:sz="4" w:space="0" w:color="auto"/>
              <w:left w:val="nil"/>
              <w:bottom w:val="nil"/>
              <w:right w:val="nil"/>
            </w:tcBorders>
            <w:shd w:val="clear" w:color="auto" w:fill="FF0000"/>
          </w:tcPr>
          <w:p w14:paraId="2C643CAB"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1C782DC3" w14:textId="77777777" w:rsidR="00CE1436" w:rsidRPr="002F78E5" w:rsidRDefault="00CE1436" w:rsidP="002F78E5">
            <w:pPr>
              <w:pStyle w:val="TableText"/>
              <w:jc w:val="center"/>
            </w:pPr>
            <w:r w:rsidRPr="002F78E5">
              <w:t>226</w:t>
            </w:r>
          </w:p>
        </w:tc>
        <w:tc>
          <w:tcPr>
            <w:tcW w:w="1208" w:type="dxa"/>
            <w:tcBorders>
              <w:top w:val="single" w:sz="4" w:space="0" w:color="auto"/>
              <w:left w:val="nil"/>
              <w:bottom w:val="nil"/>
              <w:right w:val="nil"/>
            </w:tcBorders>
            <w:shd w:val="clear" w:color="auto" w:fill="92D050"/>
          </w:tcPr>
          <w:p w14:paraId="498049D0"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nil"/>
              <w:right w:val="nil"/>
            </w:tcBorders>
          </w:tcPr>
          <w:p w14:paraId="599C7E56" w14:textId="77777777" w:rsidR="00CE1436" w:rsidRPr="002F78E5" w:rsidRDefault="00CE1436" w:rsidP="002F78E5">
            <w:pPr>
              <w:pStyle w:val="TableText"/>
              <w:jc w:val="center"/>
            </w:pPr>
            <w:r w:rsidRPr="002F78E5">
              <w:t>600 (WOE)</w:t>
            </w:r>
          </w:p>
        </w:tc>
      </w:tr>
      <w:tr w:rsidR="00CE1436" w14:paraId="5C14E87B" w14:textId="77777777" w:rsidTr="002F78E5">
        <w:trPr>
          <w:trHeight w:val="113"/>
        </w:trPr>
        <w:tc>
          <w:tcPr>
            <w:tcW w:w="1091" w:type="dxa"/>
            <w:vMerge/>
            <w:tcBorders>
              <w:left w:val="nil"/>
              <w:right w:val="nil"/>
            </w:tcBorders>
          </w:tcPr>
          <w:p w14:paraId="2F7BAA59" w14:textId="77777777" w:rsidR="00CE1436" w:rsidRPr="002F78E5" w:rsidRDefault="00CE1436" w:rsidP="002F78E5">
            <w:pPr>
              <w:pStyle w:val="TableText"/>
            </w:pPr>
          </w:p>
        </w:tc>
        <w:tc>
          <w:tcPr>
            <w:tcW w:w="1076" w:type="dxa"/>
            <w:vMerge/>
            <w:tcBorders>
              <w:left w:val="nil"/>
              <w:bottom w:val="single" w:sz="4" w:space="0" w:color="auto"/>
              <w:right w:val="nil"/>
            </w:tcBorders>
          </w:tcPr>
          <w:p w14:paraId="3642F6F8"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42094B61" w14:textId="77777777" w:rsidR="00CE1436" w:rsidRPr="002F78E5" w:rsidRDefault="00CE1436" w:rsidP="002F78E5">
            <w:pPr>
              <w:pStyle w:val="TableText"/>
            </w:pPr>
            <w:r w:rsidRPr="002F78E5">
              <w:t>Peanuts (BBCH 10-19)</w:t>
            </w:r>
          </w:p>
        </w:tc>
        <w:tc>
          <w:tcPr>
            <w:tcW w:w="1843" w:type="dxa"/>
            <w:tcBorders>
              <w:top w:val="nil"/>
              <w:left w:val="nil"/>
              <w:bottom w:val="single" w:sz="4" w:space="0" w:color="auto"/>
              <w:right w:val="nil"/>
            </w:tcBorders>
          </w:tcPr>
          <w:p w14:paraId="799DA66C" w14:textId="77777777" w:rsidR="00CE1436" w:rsidRPr="002F78E5" w:rsidRDefault="00CE1436" w:rsidP="002F78E5">
            <w:pPr>
              <w:pStyle w:val="TableText"/>
            </w:pPr>
            <w:r w:rsidRPr="002F78E5">
              <w:t>From 1× 250 g ac/ha</w:t>
            </w:r>
          </w:p>
        </w:tc>
        <w:tc>
          <w:tcPr>
            <w:tcW w:w="1134" w:type="dxa"/>
            <w:tcBorders>
              <w:top w:val="nil"/>
              <w:left w:val="nil"/>
              <w:bottom w:val="single" w:sz="4" w:space="0" w:color="auto"/>
              <w:right w:val="nil"/>
            </w:tcBorders>
            <w:shd w:val="clear" w:color="auto" w:fill="FF0000"/>
          </w:tcPr>
          <w:p w14:paraId="30066370"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0021903D" w14:textId="77777777" w:rsidR="00CE1436" w:rsidRPr="002F78E5" w:rsidRDefault="00CE1436" w:rsidP="002F78E5">
            <w:pPr>
              <w:pStyle w:val="TableText"/>
              <w:jc w:val="center"/>
            </w:pPr>
            <w:r w:rsidRPr="002F78E5">
              <w:t>213</w:t>
            </w:r>
          </w:p>
        </w:tc>
        <w:tc>
          <w:tcPr>
            <w:tcW w:w="1208" w:type="dxa"/>
            <w:tcBorders>
              <w:top w:val="nil"/>
              <w:left w:val="nil"/>
              <w:bottom w:val="single" w:sz="4" w:space="0" w:color="auto"/>
              <w:right w:val="nil"/>
            </w:tcBorders>
            <w:shd w:val="clear" w:color="auto" w:fill="92D050"/>
          </w:tcPr>
          <w:p w14:paraId="22A731C1"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032C786F" w14:textId="77777777" w:rsidR="00CE1436" w:rsidRPr="002F78E5" w:rsidRDefault="00CE1436" w:rsidP="002F78E5">
            <w:pPr>
              <w:pStyle w:val="TableText"/>
              <w:jc w:val="center"/>
            </w:pPr>
            <w:r w:rsidRPr="002F78E5">
              <w:t>355</w:t>
            </w:r>
          </w:p>
        </w:tc>
      </w:tr>
      <w:tr w:rsidR="00CE1436" w14:paraId="608673D1" w14:textId="77777777" w:rsidTr="002F78E5">
        <w:trPr>
          <w:trHeight w:val="113"/>
        </w:trPr>
        <w:tc>
          <w:tcPr>
            <w:tcW w:w="1091" w:type="dxa"/>
            <w:vMerge/>
            <w:tcBorders>
              <w:left w:val="nil"/>
              <w:right w:val="nil"/>
            </w:tcBorders>
          </w:tcPr>
          <w:p w14:paraId="29278C55"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6D3F5498" w14:textId="77777777" w:rsidR="00CE1436" w:rsidRPr="002F78E5" w:rsidRDefault="00CE1436" w:rsidP="002F78E5">
            <w:pPr>
              <w:pStyle w:val="TableText"/>
            </w:pPr>
            <w:r w:rsidRPr="002F78E5">
              <w:t>Maize</w:t>
            </w:r>
          </w:p>
        </w:tc>
        <w:tc>
          <w:tcPr>
            <w:tcW w:w="1514" w:type="dxa"/>
            <w:tcBorders>
              <w:top w:val="single" w:sz="4" w:space="0" w:color="auto"/>
              <w:left w:val="nil"/>
              <w:bottom w:val="nil"/>
              <w:right w:val="nil"/>
            </w:tcBorders>
          </w:tcPr>
          <w:p w14:paraId="319D4281" w14:textId="77777777" w:rsidR="00CE1436" w:rsidRPr="002F78E5" w:rsidRDefault="00CE1436" w:rsidP="002F78E5">
            <w:pPr>
              <w:pStyle w:val="TableText"/>
            </w:pPr>
            <w:r w:rsidRPr="002F78E5">
              <w:t>Sugarcane (over the top spray)</w:t>
            </w:r>
          </w:p>
        </w:tc>
        <w:tc>
          <w:tcPr>
            <w:tcW w:w="1843" w:type="dxa"/>
            <w:tcBorders>
              <w:top w:val="single" w:sz="4" w:space="0" w:color="auto"/>
              <w:left w:val="nil"/>
              <w:bottom w:val="nil"/>
              <w:right w:val="nil"/>
            </w:tcBorders>
          </w:tcPr>
          <w:p w14:paraId="790D2F4B" w14:textId="77777777" w:rsidR="00CE1436" w:rsidRPr="002F78E5" w:rsidRDefault="00CE1436" w:rsidP="002F78E5">
            <w:pPr>
              <w:pStyle w:val="TableText"/>
              <w:rPr>
                <w:highlight w:val="magenta"/>
              </w:rPr>
            </w:pPr>
            <w:r w:rsidRPr="002F78E5">
              <w:t>From 1× 400 g ac/ha</w:t>
            </w:r>
          </w:p>
        </w:tc>
        <w:tc>
          <w:tcPr>
            <w:tcW w:w="1134" w:type="dxa"/>
            <w:tcBorders>
              <w:top w:val="single" w:sz="4" w:space="0" w:color="auto"/>
              <w:left w:val="nil"/>
              <w:bottom w:val="nil"/>
              <w:right w:val="nil"/>
            </w:tcBorders>
            <w:shd w:val="clear" w:color="auto" w:fill="FF0000"/>
          </w:tcPr>
          <w:p w14:paraId="09DC47AF"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62B6CCBA" w14:textId="77777777" w:rsidR="00CE1436" w:rsidRPr="002F78E5" w:rsidRDefault="00CE1436" w:rsidP="002F78E5">
            <w:pPr>
              <w:pStyle w:val="TableText"/>
              <w:jc w:val="center"/>
            </w:pPr>
            <w:r w:rsidRPr="002F78E5">
              <w:t>137</w:t>
            </w:r>
          </w:p>
        </w:tc>
        <w:tc>
          <w:tcPr>
            <w:tcW w:w="1208" w:type="dxa"/>
            <w:tcBorders>
              <w:top w:val="single" w:sz="4" w:space="0" w:color="auto"/>
              <w:left w:val="nil"/>
              <w:bottom w:val="nil"/>
              <w:right w:val="nil"/>
            </w:tcBorders>
            <w:shd w:val="clear" w:color="auto" w:fill="92D050"/>
          </w:tcPr>
          <w:p w14:paraId="19D8F8B4"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nil"/>
              <w:right w:val="nil"/>
            </w:tcBorders>
          </w:tcPr>
          <w:p w14:paraId="33C9D1E8" w14:textId="77777777" w:rsidR="00CE1436" w:rsidRPr="002F78E5" w:rsidRDefault="00CE1436" w:rsidP="002F78E5">
            <w:pPr>
              <w:pStyle w:val="TableText"/>
              <w:jc w:val="center"/>
            </w:pPr>
            <w:r w:rsidRPr="002F78E5">
              <w:t>400 (WOE)</w:t>
            </w:r>
          </w:p>
        </w:tc>
      </w:tr>
      <w:tr w:rsidR="00CE1436" w14:paraId="5E6CBB41" w14:textId="77777777" w:rsidTr="002F78E5">
        <w:trPr>
          <w:trHeight w:val="113"/>
        </w:trPr>
        <w:tc>
          <w:tcPr>
            <w:tcW w:w="1091" w:type="dxa"/>
            <w:vMerge/>
            <w:tcBorders>
              <w:left w:val="nil"/>
              <w:right w:val="nil"/>
            </w:tcBorders>
          </w:tcPr>
          <w:p w14:paraId="2115FE28"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63C40737"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7255BC24" w14:textId="77777777" w:rsidR="00CE1436" w:rsidRPr="002F78E5" w:rsidRDefault="00CE1436" w:rsidP="002F78E5">
            <w:pPr>
              <w:pStyle w:val="TableText"/>
            </w:pPr>
            <w:r w:rsidRPr="002F78E5">
              <w:t>Sugarcane (inter-row spray)</w:t>
            </w:r>
          </w:p>
        </w:tc>
        <w:tc>
          <w:tcPr>
            <w:tcW w:w="1843" w:type="dxa"/>
            <w:tcBorders>
              <w:top w:val="nil"/>
              <w:left w:val="nil"/>
              <w:bottom w:val="single" w:sz="4" w:space="0" w:color="auto"/>
              <w:right w:val="nil"/>
            </w:tcBorders>
          </w:tcPr>
          <w:p w14:paraId="5E1FB83F" w14:textId="77777777" w:rsidR="00CE1436" w:rsidRPr="002F78E5" w:rsidRDefault="00CE1436" w:rsidP="002F78E5">
            <w:pPr>
              <w:pStyle w:val="TableText"/>
              <w:rPr>
                <w:highlight w:val="magenta"/>
              </w:rPr>
            </w:pPr>
            <w:r w:rsidRPr="002F78E5">
              <w:t>From 1× 400 g ac/ha</w:t>
            </w:r>
          </w:p>
        </w:tc>
        <w:tc>
          <w:tcPr>
            <w:tcW w:w="1134" w:type="dxa"/>
            <w:tcBorders>
              <w:top w:val="nil"/>
              <w:left w:val="nil"/>
              <w:bottom w:val="single" w:sz="4" w:space="0" w:color="auto"/>
              <w:right w:val="nil"/>
            </w:tcBorders>
            <w:shd w:val="clear" w:color="auto" w:fill="FF0000"/>
          </w:tcPr>
          <w:p w14:paraId="01EC3CCE"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5EE55E3C" w14:textId="77777777" w:rsidR="00CE1436" w:rsidRPr="002F78E5" w:rsidRDefault="00CE1436" w:rsidP="002F78E5">
            <w:pPr>
              <w:pStyle w:val="TableText"/>
              <w:jc w:val="center"/>
            </w:pPr>
            <w:r w:rsidRPr="002F78E5">
              <w:t>103</w:t>
            </w:r>
          </w:p>
        </w:tc>
        <w:tc>
          <w:tcPr>
            <w:tcW w:w="1208" w:type="dxa"/>
            <w:tcBorders>
              <w:top w:val="nil"/>
              <w:left w:val="nil"/>
              <w:bottom w:val="single" w:sz="4" w:space="0" w:color="auto"/>
              <w:right w:val="nil"/>
            </w:tcBorders>
            <w:shd w:val="clear" w:color="auto" w:fill="92D050"/>
          </w:tcPr>
          <w:p w14:paraId="205D14DE"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2DF656CD" w14:textId="77777777" w:rsidR="00CE1436" w:rsidRPr="002F78E5" w:rsidRDefault="00CE1436" w:rsidP="002F78E5">
            <w:pPr>
              <w:pStyle w:val="TableText"/>
              <w:jc w:val="center"/>
            </w:pPr>
            <w:r w:rsidRPr="002F78E5">
              <w:t>400 (WOE)</w:t>
            </w:r>
          </w:p>
        </w:tc>
      </w:tr>
      <w:tr w:rsidR="00CE1436" w14:paraId="081C1A27" w14:textId="77777777" w:rsidTr="002F78E5">
        <w:trPr>
          <w:trHeight w:val="113"/>
        </w:trPr>
        <w:tc>
          <w:tcPr>
            <w:tcW w:w="1091" w:type="dxa"/>
            <w:vMerge/>
            <w:tcBorders>
              <w:left w:val="nil"/>
              <w:right w:val="nil"/>
            </w:tcBorders>
          </w:tcPr>
          <w:p w14:paraId="0C58A314"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3F74F069" w14:textId="77777777" w:rsidR="00CE1436" w:rsidRPr="002F78E5" w:rsidRDefault="00CE1436" w:rsidP="002F78E5">
            <w:pPr>
              <w:pStyle w:val="TableText"/>
            </w:pPr>
            <w:r w:rsidRPr="002F78E5">
              <w:t>Orchards</w:t>
            </w:r>
          </w:p>
        </w:tc>
        <w:tc>
          <w:tcPr>
            <w:tcW w:w="1514" w:type="dxa"/>
            <w:tcBorders>
              <w:top w:val="single" w:sz="4" w:space="0" w:color="auto"/>
              <w:left w:val="nil"/>
              <w:bottom w:val="nil"/>
              <w:right w:val="nil"/>
            </w:tcBorders>
          </w:tcPr>
          <w:p w14:paraId="0437C430" w14:textId="77777777" w:rsidR="00CE1436" w:rsidRPr="002F78E5" w:rsidRDefault="00CE1436" w:rsidP="002F78E5">
            <w:pPr>
              <w:pStyle w:val="TableText"/>
            </w:pPr>
            <w:r w:rsidRPr="002F78E5">
              <w:t xml:space="preserve">Orchards, bananas </w:t>
            </w:r>
          </w:p>
        </w:tc>
        <w:tc>
          <w:tcPr>
            <w:tcW w:w="1843" w:type="dxa"/>
            <w:tcBorders>
              <w:top w:val="single" w:sz="4" w:space="0" w:color="auto"/>
              <w:left w:val="nil"/>
              <w:bottom w:val="nil"/>
              <w:right w:val="nil"/>
            </w:tcBorders>
          </w:tcPr>
          <w:p w14:paraId="6A6E2952" w14:textId="77777777" w:rsidR="00CE1436" w:rsidRPr="002F78E5" w:rsidRDefault="00CE1436" w:rsidP="002F78E5">
            <w:pPr>
              <w:pStyle w:val="TableText"/>
            </w:pPr>
            <w:r w:rsidRPr="002F78E5">
              <w:t>From 1× 1120 g ac/ha</w:t>
            </w:r>
          </w:p>
        </w:tc>
        <w:tc>
          <w:tcPr>
            <w:tcW w:w="1134" w:type="dxa"/>
            <w:tcBorders>
              <w:left w:val="nil"/>
              <w:bottom w:val="nil"/>
              <w:right w:val="nil"/>
            </w:tcBorders>
            <w:shd w:val="clear" w:color="auto" w:fill="FF0000"/>
          </w:tcPr>
          <w:p w14:paraId="1F341E5C" w14:textId="77777777" w:rsidR="00CE1436" w:rsidRPr="002F78E5" w:rsidRDefault="00CE1436" w:rsidP="002F78E5">
            <w:pPr>
              <w:pStyle w:val="TableText"/>
              <w:jc w:val="center"/>
            </w:pPr>
            <w:r w:rsidRPr="002F78E5">
              <w:t>No</w:t>
            </w:r>
          </w:p>
        </w:tc>
        <w:tc>
          <w:tcPr>
            <w:tcW w:w="918" w:type="dxa"/>
            <w:tcBorders>
              <w:left w:val="nil"/>
              <w:bottom w:val="nil"/>
              <w:right w:val="nil"/>
            </w:tcBorders>
          </w:tcPr>
          <w:p w14:paraId="2D7D74A8" w14:textId="77777777" w:rsidR="00CE1436" w:rsidRPr="002F78E5" w:rsidRDefault="00CE1436" w:rsidP="002F78E5">
            <w:pPr>
              <w:pStyle w:val="TableText"/>
              <w:jc w:val="center"/>
            </w:pPr>
            <w:r w:rsidRPr="002F78E5">
              <w:t>377</w:t>
            </w:r>
          </w:p>
        </w:tc>
        <w:tc>
          <w:tcPr>
            <w:tcW w:w="1208" w:type="dxa"/>
            <w:tcBorders>
              <w:left w:val="nil"/>
              <w:bottom w:val="nil"/>
              <w:right w:val="nil"/>
            </w:tcBorders>
            <w:shd w:val="clear" w:color="auto" w:fill="FF0000"/>
          </w:tcPr>
          <w:p w14:paraId="40F12494" w14:textId="77777777" w:rsidR="00CE1436" w:rsidRPr="002F78E5" w:rsidRDefault="00CE1436" w:rsidP="002F78E5">
            <w:pPr>
              <w:pStyle w:val="TableText"/>
              <w:jc w:val="center"/>
            </w:pPr>
            <w:r w:rsidRPr="002F78E5">
              <w:t>No</w:t>
            </w:r>
          </w:p>
        </w:tc>
        <w:tc>
          <w:tcPr>
            <w:tcW w:w="844" w:type="dxa"/>
            <w:tcBorders>
              <w:left w:val="nil"/>
              <w:bottom w:val="nil"/>
              <w:right w:val="nil"/>
            </w:tcBorders>
          </w:tcPr>
          <w:p w14:paraId="7E15098B" w14:textId="77777777" w:rsidR="00CE1436" w:rsidRPr="002F78E5" w:rsidRDefault="00CE1436" w:rsidP="002F78E5">
            <w:pPr>
              <w:pStyle w:val="TableText"/>
              <w:jc w:val="center"/>
            </w:pPr>
            <w:r w:rsidRPr="002F78E5">
              <w:t>54</w:t>
            </w:r>
          </w:p>
        </w:tc>
      </w:tr>
      <w:tr w:rsidR="00CE1436" w14:paraId="112FEA88" w14:textId="77777777" w:rsidTr="002F78E5">
        <w:trPr>
          <w:trHeight w:val="113"/>
        </w:trPr>
        <w:tc>
          <w:tcPr>
            <w:tcW w:w="1091" w:type="dxa"/>
            <w:vMerge/>
            <w:tcBorders>
              <w:left w:val="nil"/>
              <w:right w:val="nil"/>
            </w:tcBorders>
          </w:tcPr>
          <w:p w14:paraId="3923F900"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34143CA2"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0766DF35" w14:textId="77777777" w:rsidR="00CE1436" w:rsidRPr="002F78E5" w:rsidRDefault="00CE1436" w:rsidP="002F78E5">
            <w:pPr>
              <w:pStyle w:val="TableText"/>
            </w:pPr>
            <w:r w:rsidRPr="002F78E5">
              <w:t>Spot spray in orchards, bananas</w:t>
            </w:r>
          </w:p>
        </w:tc>
        <w:tc>
          <w:tcPr>
            <w:tcW w:w="1843" w:type="dxa"/>
            <w:tcBorders>
              <w:top w:val="nil"/>
              <w:left w:val="nil"/>
              <w:bottom w:val="single" w:sz="4" w:space="0" w:color="auto"/>
              <w:right w:val="nil"/>
            </w:tcBorders>
          </w:tcPr>
          <w:p w14:paraId="108DAB41" w14:textId="77777777" w:rsidR="00CE1436" w:rsidRPr="002F78E5" w:rsidRDefault="00CE1436" w:rsidP="002F78E5">
            <w:pPr>
              <w:pStyle w:val="TableText"/>
            </w:pPr>
            <w:r w:rsidRPr="002F78E5">
              <w:t>From 1× 1120 g ac/ha</w:t>
            </w:r>
          </w:p>
          <w:p w14:paraId="25EF9C87" w14:textId="77777777" w:rsidR="00CE1436" w:rsidRPr="002F78E5" w:rsidRDefault="00CE1436" w:rsidP="002F78E5">
            <w:pPr>
              <w:pStyle w:val="TableText"/>
            </w:pPr>
            <w:r w:rsidRPr="002F78E5">
              <w:t>(448 g ac/ha)</w:t>
            </w:r>
          </w:p>
        </w:tc>
        <w:tc>
          <w:tcPr>
            <w:tcW w:w="1134" w:type="dxa"/>
            <w:tcBorders>
              <w:top w:val="nil"/>
              <w:left w:val="nil"/>
              <w:bottom w:val="single" w:sz="4" w:space="0" w:color="auto"/>
              <w:right w:val="nil"/>
            </w:tcBorders>
            <w:shd w:val="clear" w:color="auto" w:fill="FF0000"/>
          </w:tcPr>
          <w:p w14:paraId="7454BE8E"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721F53C8" w14:textId="77777777" w:rsidR="00CE1436" w:rsidRPr="002F78E5" w:rsidRDefault="00CE1436" w:rsidP="002F78E5">
            <w:pPr>
              <w:pStyle w:val="TableText"/>
              <w:jc w:val="center"/>
            </w:pPr>
            <w:r w:rsidRPr="002F78E5">
              <w:t>377</w:t>
            </w:r>
          </w:p>
        </w:tc>
        <w:tc>
          <w:tcPr>
            <w:tcW w:w="1208" w:type="dxa"/>
            <w:tcBorders>
              <w:top w:val="nil"/>
              <w:left w:val="nil"/>
              <w:bottom w:val="single" w:sz="4" w:space="0" w:color="auto"/>
              <w:right w:val="nil"/>
            </w:tcBorders>
            <w:shd w:val="clear" w:color="auto" w:fill="FF0000"/>
          </w:tcPr>
          <w:p w14:paraId="36DE05C9"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7E90B9AC" w14:textId="77777777" w:rsidR="00CE1436" w:rsidRPr="002F78E5" w:rsidRDefault="00CE1436" w:rsidP="002F78E5">
            <w:pPr>
              <w:pStyle w:val="TableText"/>
              <w:jc w:val="center"/>
            </w:pPr>
            <w:r w:rsidRPr="002F78E5">
              <w:t>54</w:t>
            </w:r>
          </w:p>
        </w:tc>
      </w:tr>
      <w:tr w:rsidR="00CE1436" w14:paraId="67D21CCC" w14:textId="77777777" w:rsidTr="002F78E5">
        <w:trPr>
          <w:trHeight w:val="113"/>
        </w:trPr>
        <w:tc>
          <w:tcPr>
            <w:tcW w:w="1091" w:type="dxa"/>
            <w:vMerge/>
            <w:tcBorders>
              <w:left w:val="nil"/>
              <w:right w:val="nil"/>
            </w:tcBorders>
          </w:tcPr>
          <w:p w14:paraId="76451E5F"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54AB20D7" w14:textId="77777777" w:rsidR="00CE1436" w:rsidRPr="002F78E5" w:rsidRDefault="00CE1436" w:rsidP="002F78E5">
            <w:pPr>
              <w:pStyle w:val="TableText"/>
            </w:pPr>
            <w:r w:rsidRPr="002F78E5">
              <w:t>Potato</w:t>
            </w:r>
          </w:p>
        </w:tc>
        <w:tc>
          <w:tcPr>
            <w:tcW w:w="1514" w:type="dxa"/>
            <w:tcBorders>
              <w:top w:val="single" w:sz="4" w:space="0" w:color="auto"/>
              <w:left w:val="nil"/>
              <w:bottom w:val="nil"/>
              <w:right w:val="nil"/>
            </w:tcBorders>
          </w:tcPr>
          <w:p w14:paraId="4417BB89" w14:textId="77777777" w:rsidR="00CE1436" w:rsidRPr="002F78E5" w:rsidRDefault="00CE1436" w:rsidP="002F78E5">
            <w:pPr>
              <w:pStyle w:val="TableText"/>
            </w:pPr>
            <w:r w:rsidRPr="002F78E5">
              <w:t>Potatoes (pre-harvest)</w:t>
            </w:r>
          </w:p>
        </w:tc>
        <w:tc>
          <w:tcPr>
            <w:tcW w:w="1843" w:type="dxa"/>
            <w:tcBorders>
              <w:top w:val="single" w:sz="4" w:space="0" w:color="auto"/>
              <w:left w:val="nil"/>
              <w:bottom w:val="nil"/>
              <w:right w:val="nil"/>
            </w:tcBorders>
          </w:tcPr>
          <w:p w14:paraId="5D825208" w14:textId="77777777" w:rsidR="00CE1436" w:rsidRPr="002F78E5" w:rsidRDefault="00CE1436" w:rsidP="002F78E5">
            <w:pPr>
              <w:pStyle w:val="TableText"/>
            </w:pPr>
            <w:r w:rsidRPr="002F78E5">
              <w:t>From 1× 700 g ac/ha</w:t>
            </w:r>
          </w:p>
        </w:tc>
        <w:tc>
          <w:tcPr>
            <w:tcW w:w="1134" w:type="dxa"/>
            <w:tcBorders>
              <w:top w:val="single" w:sz="4" w:space="0" w:color="auto"/>
              <w:left w:val="nil"/>
              <w:bottom w:val="nil"/>
              <w:right w:val="nil"/>
            </w:tcBorders>
            <w:shd w:val="clear" w:color="auto" w:fill="FF0000"/>
          </w:tcPr>
          <w:p w14:paraId="6B91DFE2"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5646DF48" w14:textId="77777777" w:rsidR="00CE1436" w:rsidRPr="002F78E5" w:rsidRDefault="00CE1436" w:rsidP="002F78E5">
            <w:pPr>
              <w:pStyle w:val="TableText"/>
              <w:jc w:val="center"/>
            </w:pPr>
            <w:r w:rsidRPr="002F78E5">
              <w:t>226</w:t>
            </w:r>
          </w:p>
        </w:tc>
        <w:tc>
          <w:tcPr>
            <w:tcW w:w="1208" w:type="dxa"/>
            <w:tcBorders>
              <w:top w:val="single" w:sz="4" w:space="0" w:color="auto"/>
              <w:left w:val="nil"/>
              <w:bottom w:val="nil"/>
              <w:right w:val="nil"/>
            </w:tcBorders>
            <w:shd w:val="clear" w:color="auto" w:fill="FF0000"/>
          </w:tcPr>
          <w:p w14:paraId="77F0A27F"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6596DE11" w14:textId="77777777" w:rsidR="00CE1436" w:rsidRPr="002F78E5" w:rsidRDefault="00CE1436" w:rsidP="002F78E5">
            <w:pPr>
              <w:pStyle w:val="TableText"/>
              <w:jc w:val="center"/>
            </w:pPr>
            <w:r w:rsidRPr="002F78E5">
              <w:t>363</w:t>
            </w:r>
          </w:p>
        </w:tc>
      </w:tr>
      <w:tr w:rsidR="00CE1436" w14:paraId="03F8D3AD" w14:textId="77777777" w:rsidTr="002F78E5">
        <w:trPr>
          <w:trHeight w:val="113"/>
        </w:trPr>
        <w:tc>
          <w:tcPr>
            <w:tcW w:w="1091" w:type="dxa"/>
            <w:vMerge/>
            <w:tcBorders>
              <w:left w:val="nil"/>
              <w:right w:val="nil"/>
            </w:tcBorders>
          </w:tcPr>
          <w:p w14:paraId="02A7AA29"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75379785" w14:textId="77777777" w:rsidR="00CE1436" w:rsidRPr="002F78E5" w:rsidRDefault="00CE1436" w:rsidP="002F78E5">
            <w:pPr>
              <w:pStyle w:val="TableText"/>
            </w:pPr>
            <w:r w:rsidRPr="002F78E5">
              <w:t>Pulses</w:t>
            </w:r>
          </w:p>
        </w:tc>
        <w:tc>
          <w:tcPr>
            <w:tcW w:w="1514" w:type="dxa"/>
            <w:tcBorders>
              <w:top w:val="nil"/>
              <w:left w:val="nil"/>
              <w:bottom w:val="single" w:sz="4" w:space="0" w:color="auto"/>
              <w:right w:val="nil"/>
            </w:tcBorders>
          </w:tcPr>
          <w:p w14:paraId="70BCC519" w14:textId="77777777" w:rsidR="00CE1436" w:rsidRPr="002F78E5" w:rsidRDefault="00CE1436" w:rsidP="002F78E5">
            <w:pPr>
              <w:pStyle w:val="TableText"/>
            </w:pPr>
            <w:r w:rsidRPr="002F78E5">
              <w:t>Spray topping in pulses</w:t>
            </w:r>
          </w:p>
        </w:tc>
        <w:tc>
          <w:tcPr>
            <w:tcW w:w="1843" w:type="dxa"/>
            <w:tcBorders>
              <w:top w:val="nil"/>
              <w:left w:val="nil"/>
              <w:bottom w:val="single" w:sz="4" w:space="0" w:color="auto"/>
              <w:right w:val="nil"/>
            </w:tcBorders>
          </w:tcPr>
          <w:p w14:paraId="14E243B3" w14:textId="77777777" w:rsidR="00CE1436" w:rsidRPr="002F78E5" w:rsidRDefault="00CE1436" w:rsidP="002F78E5">
            <w:pPr>
              <w:pStyle w:val="TableText"/>
            </w:pPr>
            <w:r w:rsidRPr="002F78E5">
              <w:t>1× 200 g ac/ha</w:t>
            </w:r>
          </w:p>
        </w:tc>
        <w:tc>
          <w:tcPr>
            <w:tcW w:w="1134" w:type="dxa"/>
            <w:tcBorders>
              <w:top w:val="nil"/>
              <w:left w:val="nil"/>
              <w:bottom w:val="single" w:sz="4" w:space="0" w:color="auto"/>
              <w:right w:val="nil"/>
            </w:tcBorders>
            <w:shd w:val="clear" w:color="auto" w:fill="92D050"/>
          </w:tcPr>
          <w:p w14:paraId="474BE7FE" w14:textId="77777777" w:rsidR="00CE1436" w:rsidRPr="002F78E5" w:rsidRDefault="00CE1436" w:rsidP="002F78E5">
            <w:pPr>
              <w:pStyle w:val="TableText"/>
              <w:jc w:val="center"/>
            </w:pPr>
            <w:r w:rsidRPr="002F78E5">
              <w:t>Yes</w:t>
            </w:r>
          </w:p>
        </w:tc>
        <w:tc>
          <w:tcPr>
            <w:tcW w:w="918" w:type="dxa"/>
            <w:tcBorders>
              <w:top w:val="nil"/>
              <w:left w:val="nil"/>
              <w:bottom w:val="single" w:sz="4" w:space="0" w:color="auto"/>
              <w:right w:val="nil"/>
            </w:tcBorders>
          </w:tcPr>
          <w:p w14:paraId="460FDD6E" w14:textId="77777777" w:rsidR="00CE1436" w:rsidRPr="002F78E5" w:rsidRDefault="00CE1436" w:rsidP="002F78E5">
            <w:pPr>
              <w:pStyle w:val="TableText"/>
              <w:jc w:val="center"/>
            </w:pPr>
            <w:r w:rsidRPr="002F78E5">
              <w:t>1057</w:t>
            </w:r>
          </w:p>
        </w:tc>
        <w:tc>
          <w:tcPr>
            <w:tcW w:w="1208" w:type="dxa"/>
            <w:tcBorders>
              <w:top w:val="nil"/>
              <w:left w:val="nil"/>
              <w:bottom w:val="single" w:sz="4" w:space="0" w:color="auto"/>
              <w:right w:val="nil"/>
            </w:tcBorders>
            <w:shd w:val="clear" w:color="auto" w:fill="92D050"/>
          </w:tcPr>
          <w:p w14:paraId="69AE9CD9"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6AC43381" w14:textId="77777777" w:rsidR="00CE1436" w:rsidRPr="002F78E5" w:rsidRDefault="00CE1436" w:rsidP="002F78E5">
            <w:pPr>
              <w:pStyle w:val="TableText"/>
              <w:jc w:val="center"/>
            </w:pPr>
            <w:r w:rsidRPr="002F78E5">
              <w:t>200 (WOE)</w:t>
            </w:r>
          </w:p>
        </w:tc>
      </w:tr>
      <w:tr w:rsidR="00CE1436" w14:paraId="4B2603C4" w14:textId="77777777" w:rsidTr="002F78E5">
        <w:trPr>
          <w:trHeight w:val="113"/>
        </w:trPr>
        <w:tc>
          <w:tcPr>
            <w:tcW w:w="1091" w:type="dxa"/>
            <w:vMerge/>
            <w:tcBorders>
              <w:left w:val="nil"/>
              <w:right w:val="nil"/>
            </w:tcBorders>
          </w:tcPr>
          <w:p w14:paraId="7BDD5867"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75956F56" w14:textId="77777777" w:rsidR="00CE1436" w:rsidRPr="002F78E5" w:rsidRDefault="00CE1436" w:rsidP="002F78E5">
            <w:pPr>
              <w:pStyle w:val="TableText"/>
            </w:pPr>
            <w:r w:rsidRPr="002F78E5">
              <w:t>Vineyards</w:t>
            </w:r>
          </w:p>
        </w:tc>
        <w:tc>
          <w:tcPr>
            <w:tcW w:w="1514" w:type="dxa"/>
            <w:tcBorders>
              <w:top w:val="single" w:sz="4" w:space="0" w:color="auto"/>
              <w:left w:val="nil"/>
              <w:bottom w:val="nil"/>
              <w:right w:val="nil"/>
            </w:tcBorders>
          </w:tcPr>
          <w:p w14:paraId="00DD2344" w14:textId="77777777" w:rsidR="00CE1436" w:rsidRPr="002F78E5" w:rsidRDefault="00CE1436" w:rsidP="002F78E5">
            <w:pPr>
              <w:pStyle w:val="TableText"/>
            </w:pPr>
            <w:r w:rsidRPr="002F78E5">
              <w:t>Vineyards</w:t>
            </w:r>
          </w:p>
        </w:tc>
        <w:tc>
          <w:tcPr>
            <w:tcW w:w="1843" w:type="dxa"/>
            <w:tcBorders>
              <w:top w:val="single" w:sz="4" w:space="0" w:color="auto"/>
              <w:left w:val="nil"/>
              <w:bottom w:val="nil"/>
              <w:right w:val="nil"/>
            </w:tcBorders>
          </w:tcPr>
          <w:p w14:paraId="3E9EA645" w14:textId="77777777" w:rsidR="00CE1436" w:rsidRPr="002F78E5" w:rsidRDefault="00CE1436" w:rsidP="002F78E5">
            <w:pPr>
              <w:pStyle w:val="TableText"/>
            </w:pPr>
            <w:r w:rsidRPr="002F78E5">
              <w:t>From 1× 1120 g ac/ha</w:t>
            </w:r>
          </w:p>
        </w:tc>
        <w:tc>
          <w:tcPr>
            <w:tcW w:w="1134" w:type="dxa"/>
            <w:tcBorders>
              <w:top w:val="single" w:sz="4" w:space="0" w:color="auto"/>
              <w:left w:val="nil"/>
              <w:bottom w:val="nil"/>
              <w:right w:val="nil"/>
            </w:tcBorders>
            <w:shd w:val="clear" w:color="auto" w:fill="FF0000"/>
          </w:tcPr>
          <w:p w14:paraId="675D723E"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06F49D47" w14:textId="77777777" w:rsidR="00CE1436" w:rsidRPr="002F78E5" w:rsidRDefault="00CE1436" w:rsidP="002F78E5">
            <w:pPr>
              <w:pStyle w:val="TableText"/>
              <w:jc w:val="center"/>
            </w:pPr>
            <w:r w:rsidRPr="002F78E5">
              <w:t>377</w:t>
            </w:r>
          </w:p>
        </w:tc>
        <w:tc>
          <w:tcPr>
            <w:tcW w:w="1208" w:type="dxa"/>
            <w:tcBorders>
              <w:top w:val="single" w:sz="4" w:space="0" w:color="auto"/>
              <w:left w:val="nil"/>
              <w:bottom w:val="nil"/>
              <w:right w:val="nil"/>
            </w:tcBorders>
            <w:shd w:val="clear" w:color="auto" w:fill="FF0000"/>
          </w:tcPr>
          <w:p w14:paraId="71425DB8"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1A124D23" w14:textId="77777777" w:rsidR="00CE1436" w:rsidRPr="002F78E5" w:rsidRDefault="00CE1436" w:rsidP="002F78E5">
            <w:pPr>
              <w:pStyle w:val="TableText"/>
              <w:jc w:val="center"/>
            </w:pPr>
            <w:r w:rsidRPr="002F78E5">
              <w:t>54</w:t>
            </w:r>
          </w:p>
        </w:tc>
      </w:tr>
      <w:tr w:rsidR="00CE1436" w14:paraId="13524EF4" w14:textId="77777777" w:rsidTr="002F78E5">
        <w:trPr>
          <w:trHeight w:val="113"/>
        </w:trPr>
        <w:tc>
          <w:tcPr>
            <w:tcW w:w="1091" w:type="dxa"/>
            <w:vMerge/>
            <w:tcBorders>
              <w:left w:val="nil"/>
              <w:bottom w:val="single" w:sz="4" w:space="0" w:color="auto"/>
              <w:right w:val="nil"/>
            </w:tcBorders>
          </w:tcPr>
          <w:p w14:paraId="0C6B5E0F"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0E040F7D"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4CD2DE10" w14:textId="77777777" w:rsidR="00CE1436" w:rsidRPr="002F78E5" w:rsidRDefault="00CE1436" w:rsidP="002F78E5">
            <w:pPr>
              <w:pStyle w:val="TableText"/>
            </w:pPr>
            <w:r w:rsidRPr="002F78E5">
              <w:t>Spot spray in vineyards</w:t>
            </w:r>
          </w:p>
        </w:tc>
        <w:tc>
          <w:tcPr>
            <w:tcW w:w="1843" w:type="dxa"/>
            <w:tcBorders>
              <w:top w:val="nil"/>
              <w:left w:val="nil"/>
              <w:bottom w:val="single" w:sz="4" w:space="0" w:color="auto"/>
              <w:right w:val="nil"/>
            </w:tcBorders>
          </w:tcPr>
          <w:p w14:paraId="509DF9BB" w14:textId="77777777" w:rsidR="00CE1436" w:rsidRPr="002F78E5" w:rsidRDefault="00CE1436" w:rsidP="002F78E5">
            <w:pPr>
              <w:pStyle w:val="TableText"/>
            </w:pPr>
            <w:r w:rsidRPr="002F78E5">
              <w:t>From 1× 1120 g ac/ha</w:t>
            </w:r>
          </w:p>
          <w:p w14:paraId="578266AE" w14:textId="77777777" w:rsidR="00CE1436" w:rsidRPr="002F78E5" w:rsidRDefault="00CE1436" w:rsidP="002F78E5">
            <w:pPr>
              <w:pStyle w:val="TableText"/>
            </w:pPr>
            <w:r w:rsidRPr="002F78E5">
              <w:t>(448 g ac/ha)</w:t>
            </w:r>
          </w:p>
        </w:tc>
        <w:tc>
          <w:tcPr>
            <w:tcW w:w="1134" w:type="dxa"/>
            <w:tcBorders>
              <w:top w:val="nil"/>
              <w:left w:val="nil"/>
              <w:bottom w:val="single" w:sz="4" w:space="0" w:color="auto"/>
              <w:right w:val="nil"/>
            </w:tcBorders>
            <w:shd w:val="clear" w:color="auto" w:fill="FF0000"/>
          </w:tcPr>
          <w:p w14:paraId="40AA02B1"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55362634" w14:textId="77777777" w:rsidR="00CE1436" w:rsidRPr="002F78E5" w:rsidRDefault="00CE1436" w:rsidP="002F78E5">
            <w:pPr>
              <w:pStyle w:val="TableText"/>
              <w:jc w:val="center"/>
            </w:pPr>
            <w:r w:rsidRPr="002F78E5">
              <w:t>377</w:t>
            </w:r>
          </w:p>
        </w:tc>
        <w:tc>
          <w:tcPr>
            <w:tcW w:w="1208" w:type="dxa"/>
            <w:tcBorders>
              <w:top w:val="nil"/>
              <w:left w:val="nil"/>
              <w:bottom w:val="single" w:sz="4" w:space="0" w:color="auto"/>
              <w:right w:val="nil"/>
            </w:tcBorders>
            <w:shd w:val="clear" w:color="auto" w:fill="FF0000"/>
          </w:tcPr>
          <w:p w14:paraId="196473EE"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3DC03F89" w14:textId="77777777" w:rsidR="00CE1436" w:rsidRPr="002F78E5" w:rsidRDefault="00CE1436" w:rsidP="002F78E5">
            <w:pPr>
              <w:pStyle w:val="TableText"/>
              <w:jc w:val="center"/>
            </w:pPr>
            <w:r w:rsidRPr="002F78E5">
              <w:t>54</w:t>
            </w:r>
          </w:p>
        </w:tc>
      </w:tr>
      <w:tr w:rsidR="00CE1436" w14:paraId="49D7F8D7" w14:textId="77777777" w:rsidTr="002F78E5">
        <w:trPr>
          <w:trHeight w:val="113"/>
        </w:trPr>
        <w:tc>
          <w:tcPr>
            <w:tcW w:w="1091" w:type="dxa"/>
            <w:vMerge w:val="restart"/>
            <w:tcBorders>
              <w:top w:val="single" w:sz="4" w:space="0" w:color="auto"/>
              <w:left w:val="nil"/>
              <w:bottom w:val="nil"/>
              <w:right w:val="nil"/>
            </w:tcBorders>
          </w:tcPr>
          <w:p w14:paraId="57AB947F" w14:textId="77777777" w:rsidR="00CE1436" w:rsidRPr="002F78E5" w:rsidRDefault="00CE1436" w:rsidP="002F78E5">
            <w:pPr>
              <w:pStyle w:val="TableText"/>
            </w:pPr>
            <w:r w:rsidRPr="002F78E5">
              <w:t>Combination products containing diquat</w:t>
            </w:r>
          </w:p>
        </w:tc>
        <w:tc>
          <w:tcPr>
            <w:tcW w:w="1076" w:type="dxa"/>
            <w:tcBorders>
              <w:top w:val="single" w:sz="4" w:space="0" w:color="auto"/>
              <w:left w:val="nil"/>
              <w:bottom w:val="nil"/>
              <w:right w:val="nil"/>
            </w:tcBorders>
          </w:tcPr>
          <w:p w14:paraId="6C6CAC44" w14:textId="77777777" w:rsidR="00CE1436" w:rsidRPr="002F78E5" w:rsidRDefault="00CE1436" w:rsidP="002F78E5">
            <w:pPr>
              <w:pStyle w:val="TableText"/>
            </w:pPr>
            <w:r w:rsidRPr="002F78E5">
              <w:t>Bare soil</w:t>
            </w:r>
          </w:p>
        </w:tc>
        <w:tc>
          <w:tcPr>
            <w:tcW w:w="1514" w:type="dxa"/>
            <w:tcBorders>
              <w:top w:val="single" w:sz="4" w:space="0" w:color="auto"/>
              <w:left w:val="nil"/>
              <w:bottom w:val="nil"/>
              <w:right w:val="nil"/>
            </w:tcBorders>
          </w:tcPr>
          <w:p w14:paraId="2019AEA2" w14:textId="77777777" w:rsidR="00CE1436" w:rsidRPr="002F78E5" w:rsidRDefault="00CE1436" w:rsidP="002F78E5">
            <w:pPr>
              <w:pStyle w:val="TableText"/>
            </w:pPr>
            <w:r w:rsidRPr="002F78E5">
              <w:t>Fallow (minimal disturbance)</w:t>
            </w:r>
          </w:p>
        </w:tc>
        <w:tc>
          <w:tcPr>
            <w:tcW w:w="1843" w:type="dxa"/>
            <w:tcBorders>
              <w:top w:val="single" w:sz="4" w:space="0" w:color="auto"/>
              <w:left w:val="nil"/>
              <w:bottom w:val="nil"/>
              <w:right w:val="nil"/>
            </w:tcBorders>
          </w:tcPr>
          <w:p w14:paraId="144D2F22" w14:textId="77777777" w:rsidR="00CE1436" w:rsidRPr="002F78E5" w:rsidRDefault="00CE1436" w:rsidP="002F78E5">
            <w:pPr>
              <w:pStyle w:val="TableText"/>
            </w:pPr>
            <w:r w:rsidRPr="002F78E5">
              <w:t>From 2× 432 g ac/ha</w:t>
            </w:r>
          </w:p>
          <w:p w14:paraId="7015DA41" w14:textId="77777777" w:rsidR="00CE1436" w:rsidRPr="002F78E5" w:rsidRDefault="00CE1436" w:rsidP="002F78E5">
            <w:pPr>
              <w:pStyle w:val="TableText"/>
            </w:pPr>
            <w:r w:rsidRPr="002F78E5">
              <w:t>7d interval</w:t>
            </w:r>
          </w:p>
        </w:tc>
        <w:tc>
          <w:tcPr>
            <w:tcW w:w="1134" w:type="dxa"/>
            <w:tcBorders>
              <w:top w:val="single" w:sz="4" w:space="0" w:color="auto"/>
              <w:left w:val="nil"/>
              <w:bottom w:val="nil"/>
              <w:right w:val="nil"/>
            </w:tcBorders>
            <w:shd w:val="clear" w:color="auto" w:fill="FF0000"/>
          </w:tcPr>
          <w:p w14:paraId="1162E494"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19E7CA13" w14:textId="77777777" w:rsidR="00CE1436" w:rsidRPr="002F78E5" w:rsidRDefault="00CE1436" w:rsidP="002F78E5">
            <w:pPr>
              <w:pStyle w:val="TableText"/>
              <w:jc w:val="center"/>
            </w:pPr>
            <w:r w:rsidRPr="002F78E5">
              <w:t>231</w:t>
            </w:r>
          </w:p>
        </w:tc>
        <w:tc>
          <w:tcPr>
            <w:tcW w:w="1208" w:type="dxa"/>
            <w:tcBorders>
              <w:top w:val="single" w:sz="4" w:space="0" w:color="auto"/>
              <w:left w:val="nil"/>
              <w:bottom w:val="nil"/>
              <w:right w:val="nil"/>
            </w:tcBorders>
            <w:shd w:val="clear" w:color="auto" w:fill="92D050"/>
          </w:tcPr>
          <w:p w14:paraId="6C3FF93E"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nil"/>
              <w:right w:val="nil"/>
            </w:tcBorders>
          </w:tcPr>
          <w:p w14:paraId="3C454E41" w14:textId="5C01B8BD" w:rsidR="00CE1436" w:rsidRPr="002F78E5" w:rsidRDefault="00CE1436" w:rsidP="002F78E5">
            <w:pPr>
              <w:pStyle w:val="TableText"/>
              <w:jc w:val="center"/>
            </w:pPr>
            <w:r w:rsidRPr="002F78E5">
              <w:t>675</w:t>
            </w:r>
            <w:r w:rsidR="002F78E5">
              <w:br/>
            </w:r>
            <w:r w:rsidRPr="002F78E5">
              <w:t>(WOE)</w:t>
            </w:r>
          </w:p>
        </w:tc>
      </w:tr>
      <w:tr w:rsidR="00CE1436" w14:paraId="0B8C5F78" w14:textId="77777777" w:rsidTr="002F78E5">
        <w:trPr>
          <w:trHeight w:val="113"/>
        </w:trPr>
        <w:tc>
          <w:tcPr>
            <w:tcW w:w="1091" w:type="dxa"/>
            <w:vMerge/>
            <w:tcBorders>
              <w:top w:val="nil"/>
              <w:left w:val="nil"/>
              <w:bottom w:val="nil"/>
              <w:right w:val="nil"/>
            </w:tcBorders>
          </w:tcPr>
          <w:p w14:paraId="7D723927" w14:textId="77777777" w:rsidR="00CE1436" w:rsidRPr="002F78E5" w:rsidRDefault="00CE1436" w:rsidP="002F78E5">
            <w:pPr>
              <w:pStyle w:val="TableText"/>
            </w:pPr>
          </w:p>
        </w:tc>
        <w:tc>
          <w:tcPr>
            <w:tcW w:w="1076" w:type="dxa"/>
            <w:tcBorders>
              <w:top w:val="nil"/>
              <w:left w:val="nil"/>
              <w:bottom w:val="nil"/>
              <w:right w:val="nil"/>
            </w:tcBorders>
          </w:tcPr>
          <w:p w14:paraId="22078056" w14:textId="77777777" w:rsidR="00CE1436" w:rsidRPr="002F78E5" w:rsidRDefault="00CE1436" w:rsidP="002F78E5">
            <w:pPr>
              <w:pStyle w:val="TableText"/>
            </w:pPr>
          </w:p>
        </w:tc>
        <w:tc>
          <w:tcPr>
            <w:tcW w:w="1514" w:type="dxa"/>
            <w:tcBorders>
              <w:top w:val="nil"/>
              <w:left w:val="nil"/>
              <w:bottom w:val="nil"/>
              <w:right w:val="nil"/>
            </w:tcBorders>
          </w:tcPr>
          <w:p w14:paraId="14D31DC4" w14:textId="77777777" w:rsidR="00CE1436" w:rsidRPr="002F78E5" w:rsidRDefault="00CE1436" w:rsidP="002F78E5">
            <w:pPr>
              <w:pStyle w:val="TableText"/>
            </w:pPr>
            <w:r w:rsidRPr="002F78E5">
              <w:t>Fallow (minimal disturbance)</w:t>
            </w:r>
          </w:p>
        </w:tc>
        <w:tc>
          <w:tcPr>
            <w:tcW w:w="1843" w:type="dxa"/>
            <w:tcBorders>
              <w:top w:val="nil"/>
              <w:left w:val="nil"/>
              <w:bottom w:val="nil"/>
              <w:right w:val="nil"/>
            </w:tcBorders>
          </w:tcPr>
          <w:p w14:paraId="0229965D" w14:textId="77777777" w:rsidR="00CE1436" w:rsidRPr="002F78E5" w:rsidRDefault="00CE1436" w:rsidP="002F78E5">
            <w:pPr>
              <w:pStyle w:val="TableText"/>
            </w:pPr>
            <w:r w:rsidRPr="002F78E5">
              <w:t>From 1× 432 g ac/ha</w:t>
            </w:r>
          </w:p>
        </w:tc>
        <w:tc>
          <w:tcPr>
            <w:tcW w:w="1134" w:type="dxa"/>
            <w:tcBorders>
              <w:top w:val="nil"/>
              <w:left w:val="nil"/>
              <w:bottom w:val="nil"/>
              <w:right w:val="nil"/>
            </w:tcBorders>
            <w:shd w:val="clear" w:color="auto" w:fill="FF0000"/>
          </w:tcPr>
          <w:p w14:paraId="107A1D11"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37B9E042" w14:textId="77777777" w:rsidR="00CE1436" w:rsidRPr="002F78E5" w:rsidRDefault="00CE1436" w:rsidP="002F78E5">
            <w:pPr>
              <w:pStyle w:val="TableText"/>
              <w:jc w:val="center"/>
            </w:pPr>
            <w:r w:rsidRPr="002F78E5">
              <w:t>231</w:t>
            </w:r>
          </w:p>
        </w:tc>
        <w:tc>
          <w:tcPr>
            <w:tcW w:w="1208" w:type="dxa"/>
            <w:tcBorders>
              <w:top w:val="nil"/>
              <w:left w:val="nil"/>
              <w:bottom w:val="nil"/>
              <w:right w:val="nil"/>
            </w:tcBorders>
            <w:shd w:val="clear" w:color="auto" w:fill="92D050"/>
          </w:tcPr>
          <w:p w14:paraId="70DD0E9A"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148D4B3F" w14:textId="6138A3E0" w:rsidR="00CE1436" w:rsidRPr="002F78E5" w:rsidRDefault="00CE1436" w:rsidP="002F78E5">
            <w:pPr>
              <w:pStyle w:val="TableText"/>
              <w:jc w:val="center"/>
            </w:pPr>
            <w:r w:rsidRPr="002F78E5">
              <w:t>675</w:t>
            </w:r>
            <w:r w:rsidR="002F78E5">
              <w:br/>
            </w:r>
            <w:r w:rsidRPr="002F78E5">
              <w:t>(WOE)</w:t>
            </w:r>
          </w:p>
        </w:tc>
      </w:tr>
      <w:tr w:rsidR="00CE1436" w14:paraId="5F561E88" w14:textId="77777777" w:rsidTr="002F78E5">
        <w:trPr>
          <w:trHeight w:val="113"/>
        </w:trPr>
        <w:tc>
          <w:tcPr>
            <w:tcW w:w="1091" w:type="dxa"/>
            <w:vMerge/>
            <w:tcBorders>
              <w:top w:val="nil"/>
              <w:left w:val="nil"/>
              <w:bottom w:val="nil"/>
              <w:right w:val="nil"/>
            </w:tcBorders>
          </w:tcPr>
          <w:p w14:paraId="23373F2F" w14:textId="77777777" w:rsidR="00CE1436" w:rsidRPr="002F78E5" w:rsidRDefault="00CE1436" w:rsidP="002F78E5">
            <w:pPr>
              <w:pStyle w:val="TableText"/>
            </w:pPr>
          </w:p>
        </w:tc>
        <w:tc>
          <w:tcPr>
            <w:tcW w:w="1076" w:type="dxa"/>
            <w:tcBorders>
              <w:top w:val="nil"/>
              <w:left w:val="nil"/>
              <w:bottom w:val="nil"/>
              <w:right w:val="nil"/>
            </w:tcBorders>
          </w:tcPr>
          <w:p w14:paraId="197FB795" w14:textId="77777777" w:rsidR="00CE1436" w:rsidRPr="002F78E5" w:rsidRDefault="00CE1436" w:rsidP="002F78E5">
            <w:pPr>
              <w:pStyle w:val="TableText"/>
            </w:pPr>
          </w:p>
        </w:tc>
        <w:tc>
          <w:tcPr>
            <w:tcW w:w="1514" w:type="dxa"/>
            <w:tcBorders>
              <w:top w:val="nil"/>
              <w:left w:val="nil"/>
              <w:bottom w:val="nil"/>
              <w:right w:val="nil"/>
            </w:tcBorders>
          </w:tcPr>
          <w:p w14:paraId="53B289DF" w14:textId="77777777" w:rsidR="00CE1436" w:rsidRPr="002F78E5" w:rsidRDefault="00CE1436" w:rsidP="002F78E5">
            <w:pPr>
              <w:pStyle w:val="TableText"/>
            </w:pPr>
            <w:r w:rsidRPr="002F78E5">
              <w:t>Fallow (full disturbance)</w:t>
            </w:r>
          </w:p>
        </w:tc>
        <w:tc>
          <w:tcPr>
            <w:tcW w:w="1843" w:type="dxa"/>
            <w:tcBorders>
              <w:top w:val="nil"/>
              <w:left w:val="nil"/>
              <w:bottom w:val="nil"/>
              <w:right w:val="nil"/>
            </w:tcBorders>
          </w:tcPr>
          <w:p w14:paraId="03601971" w14:textId="77777777" w:rsidR="00CE1436" w:rsidRPr="002F78E5" w:rsidRDefault="00CE1436" w:rsidP="002F78E5">
            <w:pPr>
              <w:pStyle w:val="TableText"/>
            </w:pPr>
            <w:r w:rsidRPr="002F78E5">
              <w:t>From 1× 324 g ac/ha</w:t>
            </w:r>
          </w:p>
        </w:tc>
        <w:tc>
          <w:tcPr>
            <w:tcW w:w="1134" w:type="dxa"/>
            <w:tcBorders>
              <w:top w:val="nil"/>
              <w:left w:val="nil"/>
              <w:bottom w:val="nil"/>
              <w:right w:val="nil"/>
            </w:tcBorders>
            <w:shd w:val="clear" w:color="auto" w:fill="FF0000"/>
          </w:tcPr>
          <w:p w14:paraId="18BCA6F8"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185E444C" w14:textId="77777777" w:rsidR="00CE1436" w:rsidRPr="002F78E5" w:rsidRDefault="00CE1436" w:rsidP="002F78E5">
            <w:pPr>
              <w:pStyle w:val="TableText"/>
              <w:jc w:val="center"/>
            </w:pPr>
            <w:r w:rsidRPr="002F78E5">
              <w:t>231</w:t>
            </w:r>
          </w:p>
        </w:tc>
        <w:tc>
          <w:tcPr>
            <w:tcW w:w="1208" w:type="dxa"/>
            <w:tcBorders>
              <w:top w:val="nil"/>
              <w:left w:val="nil"/>
              <w:bottom w:val="nil"/>
              <w:right w:val="nil"/>
            </w:tcBorders>
            <w:shd w:val="clear" w:color="auto" w:fill="92D050"/>
          </w:tcPr>
          <w:p w14:paraId="736EE708"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63C38870" w14:textId="243DCBA7" w:rsidR="00CE1436" w:rsidRPr="002F78E5" w:rsidRDefault="00CE1436" w:rsidP="002F78E5">
            <w:pPr>
              <w:pStyle w:val="TableText"/>
              <w:jc w:val="center"/>
            </w:pPr>
            <w:r w:rsidRPr="002F78E5">
              <w:t>675</w:t>
            </w:r>
            <w:r w:rsidR="002F78E5">
              <w:br/>
            </w:r>
            <w:r w:rsidRPr="002F78E5">
              <w:t>(WOE)</w:t>
            </w:r>
          </w:p>
        </w:tc>
      </w:tr>
      <w:tr w:rsidR="00CE1436" w14:paraId="3501AA75" w14:textId="77777777" w:rsidTr="002F78E5">
        <w:trPr>
          <w:trHeight w:val="113"/>
        </w:trPr>
        <w:tc>
          <w:tcPr>
            <w:tcW w:w="1091" w:type="dxa"/>
            <w:vMerge/>
            <w:tcBorders>
              <w:top w:val="nil"/>
              <w:left w:val="nil"/>
              <w:bottom w:val="nil"/>
              <w:right w:val="nil"/>
            </w:tcBorders>
          </w:tcPr>
          <w:p w14:paraId="05DE37A7" w14:textId="77777777" w:rsidR="00CE1436" w:rsidRPr="002F78E5" w:rsidRDefault="00CE1436" w:rsidP="002F78E5">
            <w:pPr>
              <w:pStyle w:val="TableText"/>
            </w:pPr>
          </w:p>
        </w:tc>
        <w:tc>
          <w:tcPr>
            <w:tcW w:w="1076" w:type="dxa"/>
            <w:tcBorders>
              <w:top w:val="nil"/>
              <w:left w:val="nil"/>
              <w:bottom w:val="nil"/>
              <w:right w:val="nil"/>
            </w:tcBorders>
          </w:tcPr>
          <w:p w14:paraId="3909B8E4" w14:textId="77777777" w:rsidR="00CE1436" w:rsidRPr="002F78E5" w:rsidRDefault="00CE1436" w:rsidP="002F78E5">
            <w:pPr>
              <w:pStyle w:val="TableText"/>
            </w:pPr>
          </w:p>
        </w:tc>
        <w:tc>
          <w:tcPr>
            <w:tcW w:w="1514" w:type="dxa"/>
            <w:tcBorders>
              <w:top w:val="nil"/>
              <w:left w:val="nil"/>
              <w:bottom w:val="nil"/>
              <w:right w:val="nil"/>
            </w:tcBorders>
          </w:tcPr>
          <w:p w14:paraId="4506D7A6" w14:textId="77777777" w:rsidR="00CE1436" w:rsidRPr="002F78E5" w:rsidRDefault="00CE1436" w:rsidP="002F78E5">
            <w:pPr>
              <w:pStyle w:val="TableText"/>
            </w:pPr>
            <w:r w:rsidRPr="002F78E5">
              <w:t xml:space="preserve">Market gardens, nurseries, potatoes (pre/early emergence), rice (pre-emergence), vegetables </w:t>
            </w:r>
          </w:p>
        </w:tc>
        <w:tc>
          <w:tcPr>
            <w:tcW w:w="1843" w:type="dxa"/>
            <w:tcBorders>
              <w:top w:val="nil"/>
              <w:left w:val="nil"/>
              <w:bottom w:val="nil"/>
              <w:right w:val="nil"/>
            </w:tcBorders>
          </w:tcPr>
          <w:p w14:paraId="328BC675" w14:textId="77777777" w:rsidR="00CE1436" w:rsidRPr="002F78E5" w:rsidRDefault="00CE1436" w:rsidP="002F78E5">
            <w:pPr>
              <w:pStyle w:val="TableText"/>
            </w:pPr>
            <w:r w:rsidRPr="002F78E5">
              <w:t>From 1× 432 g ac/ha</w:t>
            </w:r>
          </w:p>
        </w:tc>
        <w:tc>
          <w:tcPr>
            <w:tcW w:w="1134" w:type="dxa"/>
            <w:tcBorders>
              <w:top w:val="nil"/>
              <w:left w:val="nil"/>
              <w:bottom w:val="nil"/>
              <w:right w:val="nil"/>
            </w:tcBorders>
            <w:shd w:val="clear" w:color="auto" w:fill="FF0000"/>
          </w:tcPr>
          <w:p w14:paraId="37495776" w14:textId="77777777" w:rsidR="00CE1436" w:rsidRPr="002F78E5" w:rsidRDefault="00CE1436" w:rsidP="002F78E5">
            <w:pPr>
              <w:pStyle w:val="TableText"/>
              <w:jc w:val="center"/>
            </w:pPr>
            <w:r w:rsidRPr="002F78E5">
              <w:t>No</w:t>
            </w:r>
          </w:p>
        </w:tc>
        <w:tc>
          <w:tcPr>
            <w:tcW w:w="918" w:type="dxa"/>
            <w:tcBorders>
              <w:top w:val="nil"/>
              <w:left w:val="nil"/>
              <w:bottom w:val="nil"/>
              <w:right w:val="nil"/>
            </w:tcBorders>
          </w:tcPr>
          <w:p w14:paraId="13AD255C" w14:textId="77777777" w:rsidR="00CE1436" w:rsidRPr="002F78E5" w:rsidRDefault="00CE1436" w:rsidP="002F78E5">
            <w:pPr>
              <w:pStyle w:val="TableText"/>
              <w:jc w:val="center"/>
            </w:pPr>
            <w:r w:rsidRPr="002F78E5">
              <w:t>231</w:t>
            </w:r>
          </w:p>
        </w:tc>
        <w:tc>
          <w:tcPr>
            <w:tcW w:w="1208" w:type="dxa"/>
            <w:tcBorders>
              <w:top w:val="nil"/>
              <w:left w:val="nil"/>
              <w:bottom w:val="nil"/>
              <w:right w:val="nil"/>
            </w:tcBorders>
            <w:shd w:val="clear" w:color="auto" w:fill="92D050"/>
          </w:tcPr>
          <w:p w14:paraId="747EE594"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2F323AAC" w14:textId="1A280DB8" w:rsidR="00CE1436" w:rsidRPr="002F78E5" w:rsidRDefault="00CE1436" w:rsidP="002F78E5">
            <w:pPr>
              <w:pStyle w:val="TableText"/>
              <w:jc w:val="center"/>
            </w:pPr>
            <w:r w:rsidRPr="002F78E5">
              <w:t>675</w:t>
            </w:r>
            <w:r w:rsidR="002F78E5">
              <w:br/>
            </w:r>
            <w:r w:rsidRPr="002F78E5">
              <w:t>(WOE)</w:t>
            </w:r>
          </w:p>
        </w:tc>
      </w:tr>
      <w:tr w:rsidR="00CE1436" w14:paraId="26A5F809" w14:textId="77777777" w:rsidTr="002F78E5">
        <w:trPr>
          <w:trHeight w:val="113"/>
        </w:trPr>
        <w:tc>
          <w:tcPr>
            <w:tcW w:w="1091" w:type="dxa"/>
            <w:vMerge/>
            <w:tcBorders>
              <w:top w:val="nil"/>
              <w:left w:val="nil"/>
              <w:bottom w:val="nil"/>
              <w:right w:val="nil"/>
            </w:tcBorders>
          </w:tcPr>
          <w:p w14:paraId="1BF51968"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24DC6886"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36A2A9EF" w14:textId="77777777" w:rsidR="00CE1436" w:rsidRPr="002F78E5" w:rsidRDefault="00CE1436" w:rsidP="002F78E5">
            <w:pPr>
              <w:pStyle w:val="TableText"/>
            </w:pPr>
            <w:r w:rsidRPr="002F78E5">
              <w:t>Spot spray in market gardens, nurseries, potatoes (pre/early emergence)</w:t>
            </w:r>
          </w:p>
        </w:tc>
        <w:tc>
          <w:tcPr>
            <w:tcW w:w="1843" w:type="dxa"/>
            <w:tcBorders>
              <w:top w:val="nil"/>
              <w:left w:val="nil"/>
              <w:bottom w:val="single" w:sz="4" w:space="0" w:color="auto"/>
              <w:right w:val="nil"/>
            </w:tcBorders>
          </w:tcPr>
          <w:p w14:paraId="195DF3B8" w14:textId="77777777" w:rsidR="00CE1436" w:rsidRPr="002F78E5" w:rsidRDefault="00CE1436" w:rsidP="002F78E5">
            <w:pPr>
              <w:pStyle w:val="TableText"/>
            </w:pPr>
            <w:r w:rsidRPr="002F78E5">
              <w:t>From 1× 432 g ac/ha</w:t>
            </w:r>
          </w:p>
          <w:p w14:paraId="445B8EAB" w14:textId="77777777" w:rsidR="00CE1436" w:rsidRPr="002F78E5" w:rsidRDefault="00CE1436" w:rsidP="002F78E5">
            <w:pPr>
              <w:pStyle w:val="TableText"/>
            </w:pPr>
            <w:r w:rsidRPr="002F78E5">
              <w:t>(173 g ac/ha)</w:t>
            </w:r>
          </w:p>
        </w:tc>
        <w:tc>
          <w:tcPr>
            <w:tcW w:w="1134" w:type="dxa"/>
            <w:tcBorders>
              <w:top w:val="nil"/>
              <w:left w:val="nil"/>
              <w:bottom w:val="single" w:sz="4" w:space="0" w:color="auto"/>
              <w:right w:val="nil"/>
            </w:tcBorders>
            <w:shd w:val="clear" w:color="auto" w:fill="92D050"/>
          </w:tcPr>
          <w:p w14:paraId="077D1223" w14:textId="77777777" w:rsidR="00CE1436" w:rsidRPr="002F78E5" w:rsidRDefault="00CE1436" w:rsidP="002F78E5">
            <w:pPr>
              <w:pStyle w:val="TableText"/>
              <w:jc w:val="center"/>
            </w:pPr>
            <w:r w:rsidRPr="002F78E5">
              <w:t>Yes</w:t>
            </w:r>
          </w:p>
        </w:tc>
        <w:tc>
          <w:tcPr>
            <w:tcW w:w="918" w:type="dxa"/>
            <w:tcBorders>
              <w:top w:val="nil"/>
              <w:left w:val="nil"/>
              <w:bottom w:val="single" w:sz="4" w:space="0" w:color="auto"/>
              <w:right w:val="nil"/>
            </w:tcBorders>
          </w:tcPr>
          <w:p w14:paraId="642D7E49" w14:textId="77777777" w:rsidR="00CE1436" w:rsidRPr="002F78E5" w:rsidRDefault="00CE1436" w:rsidP="002F78E5">
            <w:pPr>
              <w:pStyle w:val="TableText"/>
              <w:jc w:val="center"/>
            </w:pPr>
            <w:r w:rsidRPr="002F78E5">
              <w:t>231</w:t>
            </w:r>
          </w:p>
        </w:tc>
        <w:tc>
          <w:tcPr>
            <w:tcW w:w="1208" w:type="dxa"/>
            <w:tcBorders>
              <w:top w:val="nil"/>
              <w:left w:val="nil"/>
              <w:bottom w:val="single" w:sz="4" w:space="0" w:color="auto"/>
              <w:right w:val="nil"/>
            </w:tcBorders>
            <w:shd w:val="clear" w:color="auto" w:fill="92D050"/>
          </w:tcPr>
          <w:p w14:paraId="4052B1DA"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58D2B63C" w14:textId="43182838" w:rsidR="00CE1436" w:rsidRPr="002F78E5" w:rsidRDefault="00CE1436" w:rsidP="002F78E5">
            <w:pPr>
              <w:pStyle w:val="TableText"/>
              <w:jc w:val="center"/>
            </w:pPr>
            <w:r w:rsidRPr="002F78E5">
              <w:t>675</w:t>
            </w:r>
            <w:r w:rsidR="002F78E5">
              <w:br/>
            </w:r>
            <w:r w:rsidRPr="002F78E5">
              <w:t>(WOE)</w:t>
            </w:r>
          </w:p>
        </w:tc>
      </w:tr>
      <w:tr w:rsidR="00CE1436" w14:paraId="25BA9C7B" w14:textId="77777777" w:rsidTr="002F78E5">
        <w:trPr>
          <w:trHeight w:val="113"/>
        </w:trPr>
        <w:tc>
          <w:tcPr>
            <w:tcW w:w="1091" w:type="dxa"/>
            <w:vMerge/>
            <w:tcBorders>
              <w:top w:val="nil"/>
              <w:left w:val="nil"/>
              <w:bottom w:val="nil"/>
              <w:right w:val="nil"/>
            </w:tcBorders>
          </w:tcPr>
          <w:p w14:paraId="48293BC0" w14:textId="77777777" w:rsidR="00CE1436" w:rsidRPr="002F78E5" w:rsidRDefault="00CE1436" w:rsidP="002F78E5">
            <w:pPr>
              <w:pStyle w:val="TableText"/>
            </w:pPr>
          </w:p>
        </w:tc>
        <w:tc>
          <w:tcPr>
            <w:tcW w:w="1076" w:type="dxa"/>
            <w:tcBorders>
              <w:top w:val="single" w:sz="4" w:space="0" w:color="auto"/>
              <w:left w:val="nil"/>
              <w:bottom w:val="single" w:sz="4" w:space="0" w:color="auto"/>
              <w:right w:val="nil"/>
            </w:tcBorders>
          </w:tcPr>
          <w:p w14:paraId="70E5FD5A" w14:textId="77777777" w:rsidR="00CE1436" w:rsidRPr="002F78E5" w:rsidRDefault="00CE1436" w:rsidP="002F78E5">
            <w:pPr>
              <w:pStyle w:val="TableText"/>
            </w:pPr>
            <w:r w:rsidRPr="002F78E5">
              <w:t>Cotton</w:t>
            </w:r>
          </w:p>
        </w:tc>
        <w:tc>
          <w:tcPr>
            <w:tcW w:w="1514" w:type="dxa"/>
            <w:tcBorders>
              <w:top w:val="single" w:sz="4" w:space="0" w:color="auto"/>
              <w:left w:val="nil"/>
              <w:bottom w:val="single" w:sz="4" w:space="0" w:color="auto"/>
              <w:right w:val="nil"/>
            </w:tcBorders>
          </w:tcPr>
          <w:p w14:paraId="42356646" w14:textId="77777777" w:rsidR="00CE1436" w:rsidRPr="002F78E5" w:rsidRDefault="00CE1436" w:rsidP="002F78E5">
            <w:pPr>
              <w:pStyle w:val="TableText"/>
            </w:pPr>
            <w:r w:rsidRPr="002F78E5">
              <w:t>Cotton desiccant</w:t>
            </w:r>
          </w:p>
        </w:tc>
        <w:tc>
          <w:tcPr>
            <w:tcW w:w="1843" w:type="dxa"/>
            <w:tcBorders>
              <w:top w:val="single" w:sz="4" w:space="0" w:color="auto"/>
              <w:left w:val="nil"/>
              <w:bottom w:val="single" w:sz="4" w:space="0" w:color="auto"/>
              <w:right w:val="nil"/>
            </w:tcBorders>
          </w:tcPr>
          <w:p w14:paraId="15A15995" w14:textId="77777777" w:rsidR="00CE1436" w:rsidRPr="002F78E5" w:rsidRDefault="00CE1436" w:rsidP="002F78E5">
            <w:pPr>
              <w:pStyle w:val="TableText"/>
            </w:pPr>
            <w:r w:rsidRPr="002F78E5">
              <w:t>From 1× 216 g ac/ha</w:t>
            </w:r>
          </w:p>
        </w:tc>
        <w:tc>
          <w:tcPr>
            <w:tcW w:w="1134" w:type="dxa"/>
            <w:tcBorders>
              <w:top w:val="single" w:sz="4" w:space="0" w:color="auto"/>
              <w:left w:val="nil"/>
              <w:bottom w:val="single" w:sz="4" w:space="0" w:color="auto"/>
              <w:right w:val="nil"/>
            </w:tcBorders>
            <w:shd w:val="clear" w:color="auto" w:fill="92D050"/>
          </w:tcPr>
          <w:p w14:paraId="69F66DE9" w14:textId="77777777" w:rsidR="00CE1436" w:rsidRPr="002F78E5" w:rsidRDefault="00CE1436" w:rsidP="002F78E5">
            <w:pPr>
              <w:pStyle w:val="TableText"/>
              <w:jc w:val="center"/>
            </w:pPr>
            <w:r w:rsidRPr="002F78E5">
              <w:t>Yes</w:t>
            </w:r>
          </w:p>
        </w:tc>
        <w:tc>
          <w:tcPr>
            <w:tcW w:w="918" w:type="dxa"/>
            <w:tcBorders>
              <w:top w:val="single" w:sz="4" w:space="0" w:color="auto"/>
              <w:left w:val="nil"/>
              <w:bottom w:val="single" w:sz="4" w:space="0" w:color="auto"/>
              <w:right w:val="nil"/>
            </w:tcBorders>
          </w:tcPr>
          <w:p w14:paraId="2DE37A1C" w14:textId="77777777" w:rsidR="00CE1436" w:rsidRPr="002F78E5" w:rsidRDefault="00CE1436" w:rsidP="002F78E5">
            <w:pPr>
              <w:pStyle w:val="TableText"/>
              <w:jc w:val="center"/>
            </w:pPr>
            <w:r w:rsidRPr="002F78E5">
              <w:t>1295</w:t>
            </w:r>
          </w:p>
        </w:tc>
        <w:tc>
          <w:tcPr>
            <w:tcW w:w="1208" w:type="dxa"/>
            <w:tcBorders>
              <w:top w:val="single" w:sz="4" w:space="0" w:color="auto"/>
              <w:left w:val="nil"/>
              <w:bottom w:val="single" w:sz="4" w:space="0" w:color="auto"/>
              <w:right w:val="nil"/>
            </w:tcBorders>
            <w:shd w:val="clear" w:color="auto" w:fill="92D050"/>
          </w:tcPr>
          <w:p w14:paraId="0AD03E52"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single" w:sz="4" w:space="0" w:color="auto"/>
              <w:right w:val="nil"/>
            </w:tcBorders>
          </w:tcPr>
          <w:p w14:paraId="71F38177" w14:textId="77777777" w:rsidR="00CE1436" w:rsidRPr="002F78E5" w:rsidRDefault="00CE1436" w:rsidP="002F78E5">
            <w:pPr>
              <w:pStyle w:val="TableText"/>
              <w:jc w:val="center"/>
            </w:pPr>
            <w:r w:rsidRPr="002F78E5">
              <w:t>218</w:t>
            </w:r>
          </w:p>
        </w:tc>
      </w:tr>
      <w:tr w:rsidR="00CE1436" w14:paraId="22095D74" w14:textId="77777777" w:rsidTr="002F78E5">
        <w:trPr>
          <w:trHeight w:val="113"/>
        </w:trPr>
        <w:tc>
          <w:tcPr>
            <w:tcW w:w="1091" w:type="dxa"/>
            <w:vMerge/>
            <w:tcBorders>
              <w:top w:val="nil"/>
              <w:left w:val="nil"/>
              <w:bottom w:val="nil"/>
              <w:right w:val="nil"/>
            </w:tcBorders>
          </w:tcPr>
          <w:p w14:paraId="0311E40B"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606626CD" w14:textId="77777777" w:rsidR="00CE1436" w:rsidRPr="002F78E5" w:rsidRDefault="00CE1436" w:rsidP="002F78E5">
            <w:pPr>
              <w:pStyle w:val="TableText"/>
            </w:pPr>
            <w:r w:rsidRPr="002F78E5">
              <w:t>Grassland</w:t>
            </w:r>
          </w:p>
        </w:tc>
        <w:tc>
          <w:tcPr>
            <w:tcW w:w="1514" w:type="dxa"/>
            <w:tcBorders>
              <w:top w:val="single" w:sz="4" w:space="0" w:color="auto"/>
              <w:left w:val="nil"/>
              <w:bottom w:val="nil"/>
              <w:right w:val="nil"/>
            </w:tcBorders>
          </w:tcPr>
          <w:p w14:paraId="49EB7824" w14:textId="77777777" w:rsidR="00CE1436" w:rsidRPr="002F78E5" w:rsidRDefault="00CE1436" w:rsidP="002F78E5">
            <w:pPr>
              <w:pStyle w:val="TableText"/>
            </w:pPr>
            <w:r w:rsidRPr="002F78E5">
              <w:t xml:space="preserve">Pasture </w:t>
            </w:r>
          </w:p>
        </w:tc>
        <w:tc>
          <w:tcPr>
            <w:tcW w:w="1843" w:type="dxa"/>
            <w:tcBorders>
              <w:top w:val="single" w:sz="4" w:space="0" w:color="auto"/>
              <w:left w:val="nil"/>
              <w:bottom w:val="nil"/>
              <w:right w:val="nil"/>
            </w:tcBorders>
          </w:tcPr>
          <w:p w14:paraId="696CDC9C" w14:textId="77777777" w:rsidR="00CE1436" w:rsidRPr="002F78E5" w:rsidRDefault="00CE1436" w:rsidP="002F78E5">
            <w:pPr>
              <w:pStyle w:val="TableText"/>
            </w:pPr>
            <w:r w:rsidRPr="002F78E5">
              <w:t>From 1× 432 g ac/ha</w:t>
            </w:r>
          </w:p>
        </w:tc>
        <w:tc>
          <w:tcPr>
            <w:tcW w:w="1134" w:type="dxa"/>
            <w:tcBorders>
              <w:top w:val="single" w:sz="4" w:space="0" w:color="auto"/>
              <w:left w:val="nil"/>
              <w:bottom w:val="nil"/>
              <w:right w:val="nil"/>
            </w:tcBorders>
            <w:shd w:val="clear" w:color="auto" w:fill="FF0000"/>
          </w:tcPr>
          <w:p w14:paraId="10583D38"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24313A14" w14:textId="77777777" w:rsidR="00CE1436" w:rsidRPr="002F78E5" w:rsidRDefault="00CE1436" w:rsidP="002F78E5">
            <w:pPr>
              <w:pStyle w:val="TableText"/>
              <w:jc w:val="center"/>
            </w:pPr>
            <w:r w:rsidRPr="002F78E5">
              <w:t>187</w:t>
            </w:r>
          </w:p>
        </w:tc>
        <w:tc>
          <w:tcPr>
            <w:tcW w:w="1208" w:type="dxa"/>
            <w:tcBorders>
              <w:top w:val="single" w:sz="4" w:space="0" w:color="auto"/>
              <w:left w:val="nil"/>
              <w:bottom w:val="nil"/>
              <w:right w:val="nil"/>
            </w:tcBorders>
            <w:shd w:val="clear" w:color="auto" w:fill="FF0000"/>
          </w:tcPr>
          <w:p w14:paraId="0F8DD59A"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4F484199" w14:textId="77777777" w:rsidR="00CE1436" w:rsidRPr="002F78E5" w:rsidRDefault="00CE1436" w:rsidP="002F78E5">
            <w:pPr>
              <w:pStyle w:val="TableText"/>
              <w:jc w:val="center"/>
            </w:pPr>
            <w:r w:rsidRPr="002F78E5">
              <w:t>54</w:t>
            </w:r>
          </w:p>
        </w:tc>
      </w:tr>
      <w:tr w:rsidR="00CE1436" w14:paraId="6BC51D66" w14:textId="77777777" w:rsidTr="002F78E5">
        <w:trPr>
          <w:trHeight w:val="113"/>
        </w:trPr>
        <w:tc>
          <w:tcPr>
            <w:tcW w:w="1091" w:type="dxa"/>
            <w:vMerge/>
            <w:tcBorders>
              <w:top w:val="nil"/>
              <w:left w:val="nil"/>
              <w:bottom w:val="nil"/>
              <w:right w:val="nil"/>
            </w:tcBorders>
          </w:tcPr>
          <w:p w14:paraId="5C5300EF" w14:textId="77777777" w:rsidR="00CE1436" w:rsidRPr="002F78E5" w:rsidRDefault="00CE1436" w:rsidP="002F78E5">
            <w:pPr>
              <w:pStyle w:val="TableText"/>
            </w:pPr>
          </w:p>
        </w:tc>
        <w:tc>
          <w:tcPr>
            <w:tcW w:w="1076" w:type="dxa"/>
            <w:tcBorders>
              <w:top w:val="nil"/>
              <w:left w:val="nil"/>
              <w:bottom w:val="nil"/>
              <w:right w:val="nil"/>
            </w:tcBorders>
          </w:tcPr>
          <w:p w14:paraId="7757A9D6" w14:textId="77777777" w:rsidR="00CE1436" w:rsidRPr="002F78E5" w:rsidRDefault="00CE1436" w:rsidP="002F78E5">
            <w:pPr>
              <w:pStyle w:val="TableText"/>
            </w:pPr>
          </w:p>
        </w:tc>
        <w:tc>
          <w:tcPr>
            <w:tcW w:w="1514" w:type="dxa"/>
            <w:tcBorders>
              <w:top w:val="nil"/>
              <w:left w:val="nil"/>
              <w:bottom w:val="nil"/>
              <w:right w:val="nil"/>
            </w:tcBorders>
          </w:tcPr>
          <w:p w14:paraId="791B6ED9" w14:textId="77777777" w:rsidR="00CE1436" w:rsidRPr="002F78E5" w:rsidRDefault="00CE1436" w:rsidP="002F78E5">
            <w:pPr>
              <w:pStyle w:val="TableText"/>
            </w:pPr>
            <w:r w:rsidRPr="002F78E5">
              <w:t>Public service areas, rights of way</w:t>
            </w:r>
          </w:p>
        </w:tc>
        <w:tc>
          <w:tcPr>
            <w:tcW w:w="1843" w:type="dxa"/>
            <w:tcBorders>
              <w:top w:val="nil"/>
              <w:left w:val="nil"/>
              <w:bottom w:val="nil"/>
              <w:right w:val="nil"/>
            </w:tcBorders>
          </w:tcPr>
          <w:p w14:paraId="2C7881A1" w14:textId="77777777" w:rsidR="00CE1436" w:rsidRPr="002F78E5" w:rsidRDefault="00CE1436" w:rsidP="002F78E5">
            <w:pPr>
              <w:pStyle w:val="TableText"/>
            </w:pPr>
            <w:r w:rsidRPr="002F78E5">
              <w:t>From 1× 432 g ac/ha</w:t>
            </w:r>
          </w:p>
        </w:tc>
        <w:tc>
          <w:tcPr>
            <w:tcW w:w="1134" w:type="dxa"/>
            <w:tcBorders>
              <w:top w:val="nil"/>
              <w:left w:val="nil"/>
              <w:bottom w:val="nil"/>
              <w:right w:val="nil"/>
            </w:tcBorders>
            <w:shd w:val="clear" w:color="auto" w:fill="92D050"/>
          </w:tcPr>
          <w:p w14:paraId="2611CEA3" w14:textId="77777777" w:rsidR="00CE1436" w:rsidRPr="002F78E5" w:rsidRDefault="00CE1436" w:rsidP="002F78E5">
            <w:pPr>
              <w:pStyle w:val="TableText"/>
              <w:jc w:val="center"/>
            </w:pPr>
            <w:r w:rsidRPr="002F78E5">
              <w:t>Yes</w:t>
            </w:r>
          </w:p>
        </w:tc>
        <w:tc>
          <w:tcPr>
            <w:tcW w:w="918" w:type="dxa"/>
            <w:tcBorders>
              <w:top w:val="nil"/>
              <w:left w:val="nil"/>
              <w:bottom w:val="nil"/>
              <w:right w:val="nil"/>
            </w:tcBorders>
          </w:tcPr>
          <w:p w14:paraId="3993A683" w14:textId="1C333C6D" w:rsidR="00CE1436" w:rsidRPr="002F78E5" w:rsidRDefault="00CE1436" w:rsidP="002F78E5">
            <w:pPr>
              <w:pStyle w:val="TableText"/>
              <w:jc w:val="center"/>
            </w:pPr>
            <w:r w:rsidRPr="002F78E5">
              <w:t>1140</w:t>
            </w:r>
            <w:r w:rsidR="002F78E5">
              <w:br/>
            </w:r>
            <w:r w:rsidRPr="002F78E5">
              <w:t>(WOE)</w:t>
            </w:r>
          </w:p>
        </w:tc>
        <w:tc>
          <w:tcPr>
            <w:tcW w:w="1208" w:type="dxa"/>
            <w:tcBorders>
              <w:top w:val="nil"/>
              <w:left w:val="nil"/>
              <w:bottom w:val="nil"/>
              <w:right w:val="nil"/>
            </w:tcBorders>
            <w:shd w:val="clear" w:color="auto" w:fill="92D050"/>
          </w:tcPr>
          <w:p w14:paraId="7067B8B8"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16C3ACB3" w14:textId="71B02B13" w:rsidR="00CE1436" w:rsidRPr="002F78E5" w:rsidRDefault="00CE1436" w:rsidP="002F78E5">
            <w:pPr>
              <w:pStyle w:val="TableText"/>
              <w:jc w:val="center"/>
            </w:pPr>
            <w:r w:rsidRPr="002F78E5">
              <w:t>1140</w:t>
            </w:r>
            <w:r w:rsidR="002F78E5">
              <w:br/>
            </w:r>
            <w:r w:rsidRPr="002F78E5">
              <w:t>(WOE)</w:t>
            </w:r>
          </w:p>
        </w:tc>
      </w:tr>
      <w:tr w:rsidR="00CE1436" w14:paraId="14718378" w14:textId="77777777" w:rsidTr="002F78E5">
        <w:trPr>
          <w:trHeight w:val="113"/>
        </w:trPr>
        <w:tc>
          <w:tcPr>
            <w:tcW w:w="1091" w:type="dxa"/>
            <w:vMerge/>
            <w:tcBorders>
              <w:top w:val="nil"/>
              <w:left w:val="nil"/>
              <w:bottom w:val="nil"/>
              <w:right w:val="nil"/>
            </w:tcBorders>
          </w:tcPr>
          <w:p w14:paraId="0405D21C" w14:textId="77777777" w:rsidR="00CE1436" w:rsidRPr="002F78E5" w:rsidRDefault="00CE1436" w:rsidP="002F78E5">
            <w:pPr>
              <w:pStyle w:val="TableText"/>
            </w:pPr>
          </w:p>
        </w:tc>
        <w:tc>
          <w:tcPr>
            <w:tcW w:w="1076" w:type="dxa"/>
            <w:tcBorders>
              <w:top w:val="nil"/>
              <w:left w:val="nil"/>
              <w:bottom w:val="nil"/>
              <w:right w:val="nil"/>
            </w:tcBorders>
          </w:tcPr>
          <w:p w14:paraId="6E5A3FFB" w14:textId="77777777" w:rsidR="00CE1436" w:rsidRPr="002F78E5" w:rsidRDefault="00CE1436" w:rsidP="002F78E5">
            <w:pPr>
              <w:pStyle w:val="TableText"/>
            </w:pPr>
          </w:p>
        </w:tc>
        <w:tc>
          <w:tcPr>
            <w:tcW w:w="1514" w:type="dxa"/>
            <w:tcBorders>
              <w:top w:val="nil"/>
              <w:left w:val="nil"/>
              <w:bottom w:val="nil"/>
              <w:right w:val="nil"/>
            </w:tcBorders>
          </w:tcPr>
          <w:p w14:paraId="175568C9" w14:textId="77777777" w:rsidR="00CE1436" w:rsidRPr="002F78E5" w:rsidRDefault="00CE1436" w:rsidP="002F78E5">
            <w:pPr>
              <w:pStyle w:val="TableText"/>
            </w:pPr>
            <w:r w:rsidRPr="002F78E5">
              <w:t>Spot spray in public service areas, rights of way</w:t>
            </w:r>
          </w:p>
        </w:tc>
        <w:tc>
          <w:tcPr>
            <w:tcW w:w="1843" w:type="dxa"/>
            <w:tcBorders>
              <w:top w:val="nil"/>
              <w:left w:val="nil"/>
              <w:bottom w:val="nil"/>
              <w:right w:val="nil"/>
            </w:tcBorders>
          </w:tcPr>
          <w:p w14:paraId="42A1B060" w14:textId="77777777" w:rsidR="00CE1436" w:rsidRPr="002F78E5" w:rsidRDefault="00CE1436" w:rsidP="002F78E5">
            <w:pPr>
              <w:pStyle w:val="TableText"/>
            </w:pPr>
            <w:r w:rsidRPr="002F78E5">
              <w:t>From 1× 432 g ac/ha</w:t>
            </w:r>
          </w:p>
          <w:p w14:paraId="4FF8260B" w14:textId="77777777" w:rsidR="00CE1436" w:rsidRPr="002F78E5" w:rsidRDefault="00CE1436" w:rsidP="002F78E5">
            <w:pPr>
              <w:pStyle w:val="TableText"/>
            </w:pPr>
            <w:r w:rsidRPr="002F78E5">
              <w:t>(173 g ac/ha)</w:t>
            </w:r>
          </w:p>
        </w:tc>
        <w:tc>
          <w:tcPr>
            <w:tcW w:w="1134" w:type="dxa"/>
            <w:tcBorders>
              <w:top w:val="nil"/>
              <w:left w:val="nil"/>
              <w:bottom w:val="nil"/>
              <w:right w:val="nil"/>
            </w:tcBorders>
            <w:shd w:val="clear" w:color="auto" w:fill="92D050"/>
          </w:tcPr>
          <w:p w14:paraId="7DD865A9" w14:textId="77777777" w:rsidR="00CE1436" w:rsidRPr="002F78E5" w:rsidRDefault="00CE1436" w:rsidP="002F78E5">
            <w:pPr>
              <w:pStyle w:val="TableText"/>
              <w:jc w:val="center"/>
            </w:pPr>
            <w:r w:rsidRPr="002F78E5">
              <w:t>Yes</w:t>
            </w:r>
          </w:p>
        </w:tc>
        <w:tc>
          <w:tcPr>
            <w:tcW w:w="918" w:type="dxa"/>
            <w:tcBorders>
              <w:top w:val="nil"/>
              <w:left w:val="nil"/>
              <w:bottom w:val="nil"/>
              <w:right w:val="nil"/>
            </w:tcBorders>
          </w:tcPr>
          <w:p w14:paraId="12423122" w14:textId="74A1E8DA" w:rsidR="00CE1436" w:rsidRPr="002F78E5" w:rsidRDefault="00CE1436" w:rsidP="002F78E5">
            <w:pPr>
              <w:pStyle w:val="TableText"/>
              <w:jc w:val="center"/>
            </w:pPr>
            <w:r w:rsidRPr="002F78E5">
              <w:t>1140</w:t>
            </w:r>
            <w:r w:rsidR="002F78E5">
              <w:br/>
            </w:r>
            <w:r w:rsidRPr="002F78E5">
              <w:t>(WOE)</w:t>
            </w:r>
          </w:p>
        </w:tc>
        <w:tc>
          <w:tcPr>
            <w:tcW w:w="1208" w:type="dxa"/>
            <w:tcBorders>
              <w:top w:val="nil"/>
              <w:left w:val="nil"/>
              <w:bottom w:val="nil"/>
              <w:right w:val="nil"/>
            </w:tcBorders>
            <w:shd w:val="clear" w:color="auto" w:fill="92D050"/>
          </w:tcPr>
          <w:p w14:paraId="10639156"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5286B243" w14:textId="31337FE7" w:rsidR="00CE1436" w:rsidRPr="002F78E5" w:rsidRDefault="00CE1436" w:rsidP="002F78E5">
            <w:pPr>
              <w:pStyle w:val="TableText"/>
              <w:jc w:val="center"/>
            </w:pPr>
            <w:r w:rsidRPr="002F78E5">
              <w:t>1140</w:t>
            </w:r>
            <w:r w:rsidR="002F78E5">
              <w:br/>
            </w:r>
            <w:r w:rsidRPr="002F78E5">
              <w:t>(WOE)</w:t>
            </w:r>
          </w:p>
        </w:tc>
      </w:tr>
      <w:tr w:rsidR="00CE1436" w14:paraId="0DFB295C" w14:textId="77777777" w:rsidTr="002F78E5">
        <w:trPr>
          <w:trHeight w:val="113"/>
        </w:trPr>
        <w:tc>
          <w:tcPr>
            <w:tcW w:w="1091" w:type="dxa"/>
            <w:vMerge/>
            <w:tcBorders>
              <w:top w:val="nil"/>
              <w:left w:val="nil"/>
              <w:bottom w:val="nil"/>
              <w:right w:val="nil"/>
            </w:tcBorders>
          </w:tcPr>
          <w:p w14:paraId="61CD3EE0" w14:textId="77777777" w:rsidR="00CE1436" w:rsidRPr="002F78E5" w:rsidRDefault="00CE1436" w:rsidP="002F78E5">
            <w:pPr>
              <w:pStyle w:val="TableText"/>
            </w:pPr>
          </w:p>
        </w:tc>
        <w:tc>
          <w:tcPr>
            <w:tcW w:w="1076" w:type="dxa"/>
            <w:tcBorders>
              <w:top w:val="single" w:sz="4" w:space="0" w:color="auto"/>
              <w:left w:val="nil"/>
              <w:bottom w:val="single" w:sz="4" w:space="0" w:color="auto"/>
              <w:right w:val="nil"/>
            </w:tcBorders>
          </w:tcPr>
          <w:p w14:paraId="19F1FEA1" w14:textId="77777777" w:rsidR="00CE1436" w:rsidRPr="002F78E5" w:rsidRDefault="00CE1436" w:rsidP="002F78E5">
            <w:pPr>
              <w:pStyle w:val="TableText"/>
            </w:pPr>
            <w:r w:rsidRPr="002F78E5">
              <w:t>Legume forage</w:t>
            </w:r>
          </w:p>
        </w:tc>
        <w:tc>
          <w:tcPr>
            <w:tcW w:w="1514" w:type="dxa"/>
            <w:tcBorders>
              <w:top w:val="single" w:sz="4" w:space="0" w:color="auto"/>
              <w:left w:val="nil"/>
              <w:bottom w:val="single" w:sz="4" w:space="0" w:color="auto"/>
              <w:right w:val="nil"/>
            </w:tcBorders>
          </w:tcPr>
          <w:p w14:paraId="73C22580" w14:textId="77777777" w:rsidR="00CE1436" w:rsidRPr="002F78E5" w:rsidRDefault="00CE1436" w:rsidP="002F78E5">
            <w:pPr>
              <w:pStyle w:val="TableText"/>
            </w:pPr>
            <w:r w:rsidRPr="002F78E5">
              <w:t>Lucerne (grazed before spraying)</w:t>
            </w:r>
            <w:r w:rsidRPr="002F78E5">
              <w:rPr>
                <w:rStyle w:val="FootnoteReference"/>
                <w:vertAlign w:val="baseline"/>
              </w:rPr>
              <w:footnoteReference w:id="76"/>
            </w:r>
          </w:p>
        </w:tc>
        <w:tc>
          <w:tcPr>
            <w:tcW w:w="1843" w:type="dxa"/>
            <w:tcBorders>
              <w:top w:val="single" w:sz="4" w:space="0" w:color="auto"/>
              <w:left w:val="nil"/>
              <w:bottom w:val="single" w:sz="4" w:space="0" w:color="auto"/>
              <w:right w:val="nil"/>
            </w:tcBorders>
          </w:tcPr>
          <w:p w14:paraId="7A25967C" w14:textId="77777777" w:rsidR="00CE1436" w:rsidRPr="002F78E5" w:rsidRDefault="00CE1436" w:rsidP="002F78E5">
            <w:pPr>
              <w:pStyle w:val="TableText"/>
            </w:pPr>
            <w:r w:rsidRPr="002F78E5">
              <w:t>From 1× 324 g ac/ha</w:t>
            </w:r>
          </w:p>
        </w:tc>
        <w:tc>
          <w:tcPr>
            <w:tcW w:w="1134" w:type="dxa"/>
            <w:tcBorders>
              <w:top w:val="single" w:sz="4" w:space="0" w:color="auto"/>
              <w:left w:val="nil"/>
              <w:bottom w:val="single" w:sz="4" w:space="0" w:color="auto"/>
              <w:right w:val="nil"/>
            </w:tcBorders>
            <w:shd w:val="clear" w:color="auto" w:fill="FF0000"/>
          </w:tcPr>
          <w:p w14:paraId="0F0AFDF9" w14:textId="77777777" w:rsidR="00CE1436" w:rsidRPr="002F78E5" w:rsidRDefault="00CE1436" w:rsidP="002F78E5">
            <w:pPr>
              <w:pStyle w:val="TableText"/>
              <w:jc w:val="center"/>
            </w:pPr>
            <w:r w:rsidRPr="002F78E5">
              <w:t>No</w:t>
            </w:r>
          </w:p>
        </w:tc>
        <w:tc>
          <w:tcPr>
            <w:tcW w:w="918" w:type="dxa"/>
            <w:tcBorders>
              <w:top w:val="single" w:sz="4" w:space="0" w:color="auto"/>
              <w:left w:val="nil"/>
              <w:bottom w:val="single" w:sz="4" w:space="0" w:color="auto"/>
              <w:right w:val="nil"/>
            </w:tcBorders>
          </w:tcPr>
          <w:p w14:paraId="33BDF4BA" w14:textId="77777777" w:rsidR="00CE1436" w:rsidRPr="002F78E5" w:rsidRDefault="00CE1436" w:rsidP="002F78E5">
            <w:pPr>
              <w:pStyle w:val="TableText"/>
              <w:jc w:val="center"/>
            </w:pPr>
            <w:r w:rsidRPr="002F78E5">
              <w:t>213</w:t>
            </w:r>
          </w:p>
        </w:tc>
        <w:tc>
          <w:tcPr>
            <w:tcW w:w="1208" w:type="dxa"/>
            <w:tcBorders>
              <w:top w:val="single" w:sz="4" w:space="0" w:color="auto"/>
              <w:left w:val="nil"/>
              <w:bottom w:val="single" w:sz="4" w:space="0" w:color="auto"/>
              <w:right w:val="nil"/>
            </w:tcBorders>
            <w:shd w:val="clear" w:color="auto" w:fill="92D050"/>
          </w:tcPr>
          <w:p w14:paraId="1962510D"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single" w:sz="4" w:space="0" w:color="auto"/>
              <w:right w:val="nil"/>
            </w:tcBorders>
          </w:tcPr>
          <w:p w14:paraId="6BCC0C27" w14:textId="77777777" w:rsidR="00CE1436" w:rsidRPr="002F78E5" w:rsidRDefault="00CE1436" w:rsidP="002F78E5">
            <w:pPr>
              <w:pStyle w:val="TableText"/>
              <w:jc w:val="center"/>
            </w:pPr>
            <w:r w:rsidRPr="002F78E5">
              <w:t>355</w:t>
            </w:r>
          </w:p>
        </w:tc>
      </w:tr>
      <w:tr w:rsidR="00CE1436" w14:paraId="3973B5B1" w14:textId="77777777" w:rsidTr="002F78E5">
        <w:trPr>
          <w:trHeight w:val="113"/>
        </w:trPr>
        <w:tc>
          <w:tcPr>
            <w:tcW w:w="1091" w:type="dxa"/>
            <w:vMerge/>
            <w:tcBorders>
              <w:top w:val="nil"/>
              <w:left w:val="nil"/>
              <w:bottom w:val="nil"/>
              <w:right w:val="nil"/>
            </w:tcBorders>
          </w:tcPr>
          <w:p w14:paraId="776E6531"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612D0089" w14:textId="77777777" w:rsidR="00CE1436" w:rsidRPr="002F78E5" w:rsidRDefault="00CE1436" w:rsidP="002F78E5">
            <w:pPr>
              <w:pStyle w:val="TableText"/>
            </w:pPr>
            <w:r w:rsidRPr="002F78E5">
              <w:t>Maize</w:t>
            </w:r>
          </w:p>
        </w:tc>
        <w:tc>
          <w:tcPr>
            <w:tcW w:w="1514" w:type="dxa"/>
            <w:tcBorders>
              <w:top w:val="single" w:sz="4" w:space="0" w:color="auto"/>
              <w:left w:val="nil"/>
              <w:bottom w:val="nil"/>
              <w:right w:val="nil"/>
            </w:tcBorders>
          </w:tcPr>
          <w:p w14:paraId="167A6BCD" w14:textId="77777777" w:rsidR="00CE1436" w:rsidRPr="002F78E5" w:rsidRDefault="00CE1436" w:rsidP="002F78E5">
            <w:pPr>
              <w:pStyle w:val="TableText"/>
            </w:pPr>
            <w:r w:rsidRPr="002F78E5">
              <w:t>Sugarcane (over the top spray)</w:t>
            </w:r>
          </w:p>
        </w:tc>
        <w:tc>
          <w:tcPr>
            <w:tcW w:w="1843" w:type="dxa"/>
            <w:tcBorders>
              <w:top w:val="single" w:sz="4" w:space="0" w:color="auto"/>
              <w:left w:val="nil"/>
              <w:bottom w:val="nil"/>
              <w:right w:val="nil"/>
            </w:tcBorders>
          </w:tcPr>
          <w:p w14:paraId="71865DC1" w14:textId="77777777" w:rsidR="00CE1436" w:rsidRPr="002F78E5" w:rsidRDefault="00CE1436" w:rsidP="002F78E5">
            <w:pPr>
              <w:pStyle w:val="TableText"/>
            </w:pPr>
            <w:r w:rsidRPr="002F78E5">
              <w:t>From 1× 270 g ac/ha</w:t>
            </w:r>
          </w:p>
        </w:tc>
        <w:tc>
          <w:tcPr>
            <w:tcW w:w="1134" w:type="dxa"/>
            <w:tcBorders>
              <w:top w:val="single" w:sz="4" w:space="0" w:color="auto"/>
              <w:left w:val="nil"/>
              <w:bottom w:val="nil"/>
              <w:right w:val="nil"/>
            </w:tcBorders>
            <w:shd w:val="clear" w:color="auto" w:fill="FF0000"/>
          </w:tcPr>
          <w:p w14:paraId="4AC79D7D"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66F19F4C" w14:textId="77777777" w:rsidR="00CE1436" w:rsidRPr="002F78E5" w:rsidRDefault="00CE1436" w:rsidP="002F78E5">
            <w:pPr>
              <w:pStyle w:val="TableText"/>
              <w:jc w:val="center"/>
            </w:pPr>
            <w:r w:rsidRPr="002F78E5">
              <w:t>137</w:t>
            </w:r>
          </w:p>
        </w:tc>
        <w:tc>
          <w:tcPr>
            <w:tcW w:w="1208" w:type="dxa"/>
            <w:tcBorders>
              <w:top w:val="single" w:sz="4" w:space="0" w:color="auto"/>
              <w:left w:val="nil"/>
              <w:bottom w:val="nil"/>
              <w:right w:val="nil"/>
            </w:tcBorders>
            <w:shd w:val="clear" w:color="auto" w:fill="92D050"/>
          </w:tcPr>
          <w:p w14:paraId="5E790D1C" w14:textId="77777777" w:rsidR="00CE1436" w:rsidRPr="002F78E5" w:rsidRDefault="00CE1436" w:rsidP="002F78E5">
            <w:pPr>
              <w:pStyle w:val="TableText"/>
              <w:jc w:val="center"/>
            </w:pPr>
            <w:r w:rsidRPr="002F78E5">
              <w:t>Yes</w:t>
            </w:r>
          </w:p>
        </w:tc>
        <w:tc>
          <w:tcPr>
            <w:tcW w:w="844" w:type="dxa"/>
            <w:tcBorders>
              <w:top w:val="single" w:sz="4" w:space="0" w:color="auto"/>
              <w:left w:val="nil"/>
              <w:bottom w:val="nil"/>
              <w:right w:val="nil"/>
            </w:tcBorders>
          </w:tcPr>
          <w:p w14:paraId="64F8D797" w14:textId="77777777" w:rsidR="00CE1436" w:rsidRPr="002F78E5" w:rsidRDefault="00CE1436" w:rsidP="002F78E5">
            <w:pPr>
              <w:pStyle w:val="TableText"/>
              <w:jc w:val="center"/>
            </w:pPr>
            <w:r w:rsidRPr="002F78E5">
              <w:t>270 (WOE)</w:t>
            </w:r>
          </w:p>
        </w:tc>
      </w:tr>
      <w:tr w:rsidR="00CE1436" w14:paraId="0F75DA55" w14:textId="77777777" w:rsidTr="002F78E5">
        <w:trPr>
          <w:trHeight w:val="113"/>
        </w:trPr>
        <w:tc>
          <w:tcPr>
            <w:tcW w:w="1091" w:type="dxa"/>
            <w:vMerge/>
            <w:tcBorders>
              <w:top w:val="nil"/>
              <w:left w:val="nil"/>
              <w:bottom w:val="nil"/>
              <w:right w:val="nil"/>
            </w:tcBorders>
          </w:tcPr>
          <w:p w14:paraId="270E081E"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605A1EF1"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7C61FEA8" w14:textId="77777777" w:rsidR="00CE1436" w:rsidRPr="002F78E5" w:rsidRDefault="00CE1436" w:rsidP="002F78E5">
            <w:pPr>
              <w:pStyle w:val="TableText"/>
            </w:pPr>
            <w:r w:rsidRPr="002F78E5">
              <w:t>Sugarcane (inter-row spray)</w:t>
            </w:r>
          </w:p>
        </w:tc>
        <w:tc>
          <w:tcPr>
            <w:tcW w:w="1843" w:type="dxa"/>
            <w:tcBorders>
              <w:top w:val="nil"/>
              <w:left w:val="nil"/>
              <w:bottom w:val="single" w:sz="4" w:space="0" w:color="auto"/>
              <w:right w:val="nil"/>
            </w:tcBorders>
          </w:tcPr>
          <w:p w14:paraId="56735D94" w14:textId="77777777" w:rsidR="00CE1436" w:rsidRPr="002F78E5" w:rsidRDefault="00CE1436" w:rsidP="002F78E5">
            <w:pPr>
              <w:pStyle w:val="TableText"/>
            </w:pPr>
            <w:r w:rsidRPr="002F78E5">
              <w:t>From 1× 270 g ac/ha</w:t>
            </w:r>
          </w:p>
        </w:tc>
        <w:tc>
          <w:tcPr>
            <w:tcW w:w="1134" w:type="dxa"/>
            <w:tcBorders>
              <w:top w:val="nil"/>
              <w:left w:val="nil"/>
              <w:bottom w:val="single" w:sz="4" w:space="0" w:color="auto"/>
              <w:right w:val="nil"/>
            </w:tcBorders>
            <w:shd w:val="clear" w:color="auto" w:fill="FF0000"/>
          </w:tcPr>
          <w:p w14:paraId="22D9DBFF"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1AD98853" w14:textId="77777777" w:rsidR="00CE1436" w:rsidRPr="002F78E5" w:rsidRDefault="00CE1436" w:rsidP="002F78E5">
            <w:pPr>
              <w:pStyle w:val="TableText"/>
              <w:jc w:val="center"/>
            </w:pPr>
            <w:r w:rsidRPr="002F78E5">
              <w:t>103</w:t>
            </w:r>
          </w:p>
        </w:tc>
        <w:tc>
          <w:tcPr>
            <w:tcW w:w="1208" w:type="dxa"/>
            <w:tcBorders>
              <w:top w:val="nil"/>
              <w:left w:val="nil"/>
              <w:bottom w:val="single" w:sz="4" w:space="0" w:color="auto"/>
              <w:right w:val="nil"/>
            </w:tcBorders>
            <w:shd w:val="clear" w:color="auto" w:fill="92D050"/>
          </w:tcPr>
          <w:p w14:paraId="264FA4F5"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58780572" w14:textId="77777777" w:rsidR="00CE1436" w:rsidRPr="002F78E5" w:rsidRDefault="00CE1436" w:rsidP="002F78E5">
            <w:pPr>
              <w:pStyle w:val="TableText"/>
              <w:jc w:val="center"/>
            </w:pPr>
            <w:r w:rsidRPr="002F78E5">
              <w:t>270 (WOE)</w:t>
            </w:r>
          </w:p>
        </w:tc>
      </w:tr>
      <w:tr w:rsidR="00CE1436" w14:paraId="5018C1DB" w14:textId="77777777" w:rsidTr="002F78E5">
        <w:trPr>
          <w:trHeight w:val="113"/>
        </w:trPr>
        <w:tc>
          <w:tcPr>
            <w:tcW w:w="1091" w:type="dxa"/>
            <w:vMerge/>
            <w:tcBorders>
              <w:top w:val="nil"/>
              <w:left w:val="nil"/>
              <w:bottom w:val="nil"/>
              <w:right w:val="nil"/>
            </w:tcBorders>
          </w:tcPr>
          <w:p w14:paraId="3745A248"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056F6EDD" w14:textId="77777777" w:rsidR="00CE1436" w:rsidRPr="002F78E5" w:rsidRDefault="00CE1436" w:rsidP="002F78E5">
            <w:pPr>
              <w:pStyle w:val="TableText"/>
            </w:pPr>
            <w:r w:rsidRPr="002F78E5">
              <w:t>Potato</w:t>
            </w:r>
          </w:p>
        </w:tc>
        <w:tc>
          <w:tcPr>
            <w:tcW w:w="1514" w:type="dxa"/>
            <w:tcBorders>
              <w:top w:val="single" w:sz="4" w:space="0" w:color="auto"/>
              <w:left w:val="nil"/>
              <w:bottom w:val="nil"/>
              <w:right w:val="nil"/>
            </w:tcBorders>
          </w:tcPr>
          <w:p w14:paraId="1EFCCB6F" w14:textId="77777777" w:rsidR="00CE1436" w:rsidRPr="002F78E5" w:rsidRDefault="00CE1436" w:rsidP="002F78E5">
            <w:pPr>
              <w:pStyle w:val="TableText"/>
            </w:pPr>
            <w:r w:rsidRPr="002F78E5">
              <w:t>Potatoes (pre-harvest)</w:t>
            </w:r>
          </w:p>
        </w:tc>
        <w:tc>
          <w:tcPr>
            <w:tcW w:w="1843" w:type="dxa"/>
            <w:tcBorders>
              <w:top w:val="single" w:sz="4" w:space="0" w:color="auto"/>
              <w:left w:val="nil"/>
              <w:bottom w:val="nil"/>
              <w:right w:val="nil"/>
            </w:tcBorders>
          </w:tcPr>
          <w:p w14:paraId="63152F2C" w14:textId="77777777" w:rsidR="00CE1436" w:rsidRPr="002F78E5" w:rsidRDefault="00CE1436" w:rsidP="002F78E5">
            <w:pPr>
              <w:pStyle w:val="TableText"/>
            </w:pPr>
            <w:r w:rsidRPr="002F78E5">
              <w:t>1× 432 g ac/ha</w:t>
            </w:r>
          </w:p>
        </w:tc>
        <w:tc>
          <w:tcPr>
            <w:tcW w:w="1134" w:type="dxa"/>
            <w:tcBorders>
              <w:top w:val="single" w:sz="4" w:space="0" w:color="auto"/>
              <w:left w:val="nil"/>
              <w:bottom w:val="nil"/>
              <w:right w:val="nil"/>
            </w:tcBorders>
            <w:shd w:val="clear" w:color="auto" w:fill="FF0000"/>
          </w:tcPr>
          <w:p w14:paraId="3EBFA09F"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5881D458" w14:textId="77777777" w:rsidR="00CE1436" w:rsidRPr="002F78E5" w:rsidRDefault="00CE1436" w:rsidP="002F78E5">
            <w:pPr>
              <w:pStyle w:val="TableText"/>
              <w:jc w:val="center"/>
            </w:pPr>
            <w:r w:rsidRPr="002F78E5">
              <w:t>226</w:t>
            </w:r>
          </w:p>
        </w:tc>
        <w:tc>
          <w:tcPr>
            <w:tcW w:w="1208" w:type="dxa"/>
            <w:tcBorders>
              <w:top w:val="single" w:sz="4" w:space="0" w:color="auto"/>
              <w:left w:val="nil"/>
              <w:bottom w:val="nil"/>
              <w:right w:val="nil"/>
            </w:tcBorders>
            <w:shd w:val="clear" w:color="auto" w:fill="FF0000"/>
          </w:tcPr>
          <w:p w14:paraId="07BC12FB"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5530E6F2" w14:textId="77777777" w:rsidR="00CE1436" w:rsidRPr="002F78E5" w:rsidRDefault="00CE1436" w:rsidP="002F78E5">
            <w:pPr>
              <w:pStyle w:val="TableText"/>
              <w:jc w:val="center"/>
            </w:pPr>
            <w:r w:rsidRPr="002F78E5">
              <w:t>363</w:t>
            </w:r>
          </w:p>
        </w:tc>
      </w:tr>
      <w:tr w:rsidR="00CE1436" w14:paraId="3AA240F7" w14:textId="77777777" w:rsidTr="002F78E5">
        <w:trPr>
          <w:trHeight w:val="113"/>
        </w:trPr>
        <w:tc>
          <w:tcPr>
            <w:tcW w:w="1091" w:type="dxa"/>
            <w:vMerge/>
            <w:tcBorders>
              <w:top w:val="nil"/>
              <w:left w:val="nil"/>
              <w:bottom w:val="nil"/>
              <w:right w:val="nil"/>
            </w:tcBorders>
          </w:tcPr>
          <w:p w14:paraId="60D1D6A2"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6D23EA27"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15DACA30" w14:textId="77777777" w:rsidR="00CE1436" w:rsidRPr="002F78E5" w:rsidRDefault="00CE1436" w:rsidP="002F78E5">
            <w:pPr>
              <w:pStyle w:val="TableText"/>
            </w:pPr>
            <w:r w:rsidRPr="002F78E5">
              <w:t>Spot spray in potatoes (pre-harvest)</w:t>
            </w:r>
          </w:p>
        </w:tc>
        <w:tc>
          <w:tcPr>
            <w:tcW w:w="1843" w:type="dxa"/>
            <w:tcBorders>
              <w:top w:val="nil"/>
              <w:left w:val="nil"/>
              <w:bottom w:val="single" w:sz="4" w:space="0" w:color="auto"/>
              <w:right w:val="nil"/>
            </w:tcBorders>
          </w:tcPr>
          <w:p w14:paraId="058B5C32" w14:textId="77777777" w:rsidR="00CE1436" w:rsidRPr="002F78E5" w:rsidRDefault="00CE1436" w:rsidP="002F78E5">
            <w:pPr>
              <w:pStyle w:val="TableText"/>
            </w:pPr>
            <w:r w:rsidRPr="002F78E5">
              <w:t>1× 432 g ac/ha</w:t>
            </w:r>
          </w:p>
          <w:p w14:paraId="4E5CABF3" w14:textId="77777777" w:rsidR="00CE1436" w:rsidRPr="002F78E5" w:rsidRDefault="00CE1436" w:rsidP="002F78E5">
            <w:pPr>
              <w:pStyle w:val="TableText"/>
            </w:pPr>
            <w:r w:rsidRPr="002F78E5">
              <w:t>(173 g ac/ha)</w:t>
            </w:r>
          </w:p>
        </w:tc>
        <w:tc>
          <w:tcPr>
            <w:tcW w:w="1134" w:type="dxa"/>
            <w:tcBorders>
              <w:top w:val="nil"/>
              <w:left w:val="nil"/>
              <w:bottom w:val="single" w:sz="4" w:space="0" w:color="auto"/>
              <w:right w:val="nil"/>
            </w:tcBorders>
            <w:shd w:val="clear" w:color="auto" w:fill="FF0000"/>
          </w:tcPr>
          <w:p w14:paraId="543D758C"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54D367C1" w14:textId="77777777" w:rsidR="00CE1436" w:rsidRPr="002F78E5" w:rsidRDefault="00CE1436" w:rsidP="002F78E5">
            <w:pPr>
              <w:pStyle w:val="TableText"/>
              <w:jc w:val="center"/>
            </w:pPr>
            <w:r w:rsidRPr="002F78E5">
              <w:t>226</w:t>
            </w:r>
          </w:p>
        </w:tc>
        <w:tc>
          <w:tcPr>
            <w:tcW w:w="1208" w:type="dxa"/>
            <w:tcBorders>
              <w:top w:val="nil"/>
              <w:left w:val="nil"/>
              <w:bottom w:val="single" w:sz="4" w:space="0" w:color="auto"/>
              <w:right w:val="nil"/>
            </w:tcBorders>
            <w:shd w:val="clear" w:color="auto" w:fill="92D050"/>
          </w:tcPr>
          <w:p w14:paraId="4D404688"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35DEAD11" w14:textId="77777777" w:rsidR="00CE1436" w:rsidRPr="002F78E5" w:rsidRDefault="00CE1436" w:rsidP="002F78E5">
            <w:pPr>
              <w:pStyle w:val="TableText"/>
              <w:jc w:val="center"/>
            </w:pPr>
            <w:r w:rsidRPr="002F78E5">
              <w:t>363</w:t>
            </w:r>
          </w:p>
        </w:tc>
      </w:tr>
      <w:tr w:rsidR="00CE1436" w14:paraId="5701AAF1" w14:textId="77777777" w:rsidTr="002F78E5">
        <w:trPr>
          <w:trHeight w:val="113"/>
        </w:trPr>
        <w:tc>
          <w:tcPr>
            <w:tcW w:w="1091" w:type="dxa"/>
            <w:vMerge/>
            <w:tcBorders>
              <w:top w:val="nil"/>
              <w:left w:val="nil"/>
              <w:bottom w:val="nil"/>
              <w:right w:val="nil"/>
            </w:tcBorders>
          </w:tcPr>
          <w:p w14:paraId="7DA30AC2"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72E0BC2B" w14:textId="77777777" w:rsidR="00CE1436" w:rsidRPr="002F78E5" w:rsidRDefault="00CE1436" w:rsidP="002F78E5">
            <w:pPr>
              <w:pStyle w:val="TableText"/>
            </w:pPr>
            <w:r w:rsidRPr="002F78E5">
              <w:t>Orchards</w:t>
            </w:r>
          </w:p>
        </w:tc>
        <w:tc>
          <w:tcPr>
            <w:tcW w:w="1514" w:type="dxa"/>
            <w:tcBorders>
              <w:top w:val="single" w:sz="4" w:space="0" w:color="auto"/>
              <w:left w:val="nil"/>
              <w:bottom w:val="nil"/>
              <w:right w:val="nil"/>
            </w:tcBorders>
          </w:tcPr>
          <w:p w14:paraId="329FBC07" w14:textId="77777777" w:rsidR="00CE1436" w:rsidRPr="002F78E5" w:rsidRDefault="00CE1436" w:rsidP="002F78E5">
            <w:pPr>
              <w:pStyle w:val="TableText"/>
            </w:pPr>
            <w:r w:rsidRPr="002F78E5">
              <w:t>Forests, orchards, plantations, bananas, dubosia, tea tree</w:t>
            </w:r>
          </w:p>
        </w:tc>
        <w:tc>
          <w:tcPr>
            <w:tcW w:w="1843" w:type="dxa"/>
            <w:tcBorders>
              <w:top w:val="single" w:sz="4" w:space="0" w:color="auto"/>
              <w:left w:val="nil"/>
              <w:bottom w:val="nil"/>
              <w:right w:val="nil"/>
            </w:tcBorders>
          </w:tcPr>
          <w:p w14:paraId="34FD1C81" w14:textId="77777777" w:rsidR="00CE1436" w:rsidRPr="002F78E5" w:rsidRDefault="00CE1436" w:rsidP="002F78E5">
            <w:pPr>
              <w:pStyle w:val="TableText"/>
            </w:pPr>
            <w:r w:rsidRPr="002F78E5">
              <w:t>From 1× 432 g ac/ha</w:t>
            </w:r>
          </w:p>
        </w:tc>
        <w:tc>
          <w:tcPr>
            <w:tcW w:w="1134" w:type="dxa"/>
            <w:tcBorders>
              <w:top w:val="single" w:sz="4" w:space="0" w:color="auto"/>
              <w:left w:val="nil"/>
              <w:bottom w:val="nil"/>
              <w:right w:val="nil"/>
            </w:tcBorders>
            <w:shd w:val="clear" w:color="auto" w:fill="FF0000"/>
          </w:tcPr>
          <w:p w14:paraId="6D3B5109"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17A0ADC0" w14:textId="77777777" w:rsidR="00CE1436" w:rsidRPr="002F78E5" w:rsidRDefault="00CE1436" w:rsidP="002F78E5">
            <w:pPr>
              <w:pStyle w:val="TableText"/>
              <w:jc w:val="center"/>
            </w:pPr>
            <w:r w:rsidRPr="002F78E5">
              <w:t>377</w:t>
            </w:r>
          </w:p>
        </w:tc>
        <w:tc>
          <w:tcPr>
            <w:tcW w:w="1208" w:type="dxa"/>
            <w:tcBorders>
              <w:top w:val="single" w:sz="4" w:space="0" w:color="auto"/>
              <w:left w:val="nil"/>
              <w:bottom w:val="nil"/>
              <w:right w:val="nil"/>
            </w:tcBorders>
            <w:shd w:val="clear" w:color="auto" w:fill="FF0000"/>
          </w:tcPr>
          <w:p w14:paraId="0A364C63"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601D16D4" w14:textId="77777777" w:rsidR="00CE1436" w:rsidRPr="002F78E5" w:rsidRDefault="00CE1436" w:rsidP="002F78E5">
            <w:pPr>
              <w:pStyle w:val="TableText"/>
              <w:jc w:val="center"/>
            </w:pPr>
            <w:r w:rsidRPr="002F78E5">
              <w:t>54</w:t>
            </w:r>
          </w:p>
        </w:tc>
      </w:tr>
      <w:tr w:rsidR="00CE1436" w14:paraId="57FD8BBD" w14:textId="77777777" w:rsidTr="002F78E5">
        <w:trPr>
          <w:trHeight w:val="113"/>
        </w:trPr>
        <w:tc>
          <w:tcPr>
            <w:tcW w:w="1091" w:type="dxa"/>
            <w:vMerge/>
            <w:tcBorders>
              <w:top w:val="nil"/>
              <w:left w:val="nil"/>
              <w:bottom w:val="nil"/>
              <w:right w:val="nil"/>
            </w:tcBorders>
          </w:tcPr>
          <w:p w14:paraId="7607B6EA" w14:textId="77777777" w:rsidR="00CE1436" w:rsidRPr="002F78E5" w:rsidRDefault="00CE1436" w:rsidP="002F78E5">
            <w:pPr>
              <w:pStyle w:val="TableText"/>
            </w:pPr>
          </w:p>
        </w:tc>
        <w:tc>
          <w:tcPr>
            <w:tcW w:w="1076" w:type="dxa"/>
            <w:tcBorders>
              <w:top w:val="nil"/>
              <w:left w:val="nil"/>
              <w:bottom w:val="nil"/>
              <w:right w:val="nil"/>
            </w:tcBorders>
          </w:tcPr>
          <w:p w14:paraId="21012745" w14:textId="77777777" w:rsidR="00CE1436" w:rsidRPr="002F78E5" w:rsidRDefault="00CE1436" w:rsidP="002F78E5">
            <w:pPr>
              <w:pStyle w:val="TableText"/>
            </w:pPr>
          </w:p>
        </w:tc>
        <w:tc>
          <w:tcPr>
            <w:tcW w:w="1514" w:type="dxa"/>
            <w:tcBorders>
              <w:top w:val="nil"/>
              <w:left w:val="nil"/>
              <w:bottom w:val="nil"/>
              <w:right w:val="nil"/>
            </w:tcBorders>
          </w:tcPr>
          <w:p w14:paraId="444C4A13" w14:textId="77777777" w:rsidR="00CE1436" w:rsidRPr="002F78E5" w:rsidRDefault="00CE1436" w:rsidP="002F78E5">
            <w:pPr>
              <w:pStyle w:val="TableText"/>
            </w:pPr>
            <w:r w:rsidRPr="002F78E5">
              <w:t>Spot application in orchards, plantations, bananas, dubosia</w:t>
            </w:r>
          </w:p>
        </w:tc>
        <w:tc>
          <w:tcPr>
            <w:tcW w:w="1843" w:type="dxa"/>
            <w:tcBorders>
              <w:top w:val="nil"/>
              <w:left w:val="nil"/>
              <w:bottom w:val="nil"/>
              <w:right w:val="nil"/>
            </w:tcBorders>
          </w:tcPr>
          <w:p w14:paraId="3DC283BC" w14:textId="77777777" w:rsidR="00CE1436" w:rsidRPr="002F78E5" w:rsidRDefault="00CE1436" w:rsidP="002F78E5">
            <w:pPr>
              <w:pStyle w:val="TableText"/>
            </w:pPr>
            <w:r w:rsidRPr="002F78E5">
              <w:t>From 1× 432 g ac/ha</w:t>
            </w:r>
          </w:p>
          <w:p w14:paraId="6A448C0D" w14:textId="77777777" w:rsidR="00CE1436" w:rsidRPr="002F78E5" w:rsidRDefault="00CE1436" w:rsidP="002F78E5">
            <w:pPr>
              <w:pStyle w:val="TableText"/>
            </w:pPr>
            <w:r w:rsidRPr="002F78E5">
              <w:t>(173 g ac/ha)</w:t>
            </w:r>
          </w:p>
        </w:tc>
        <w:tc>
          <w:tcPr>
            <w:tcW w:w="1134" w:type="dxa"/>
            <w:tcBorders>
              <w:top w:val="nil"/>
              <w:left w:val="nil"/>
              <w:bottom w:val="nil"/>
              <w:right w:val="nil"/>
            </w:tcBorders>
            <w:shd w:val="clear" w:color="auto" w:fill="92D050"/>
          </w:tcPr>
          <w:p w14:paraId="62BDB6DF" w14:textId="77777777" w:rsidR="00CE1436" w:rsidRPr="002F78E5" w:rsidRDefault="00CE1436" w:rsidP="002F78E5">
            <w:pPr>
              <w:pStyle w:val="TableText"/>
              <w:jc w:val="center"/>
            </w:pPr>
            <w:r w:rsidRPr="002F78E5">
              <w:t>Yes</w:t>
            </w:r>
          </w:p>
        </w:tc>
        <w:tc>
          <w:tcPr>
            <w:tcW w:w="918" w:type="dxa"/>
            <w:tcBorders>
              <w:top w:val="nil"/>
              <w:left w:val="nil"/>
              <w:bottom w:val="nil"/>
              <w:right w:val="nil"/>
            </w:tcBorders>
          </w:tcPr>
          <w:p w14:paraId="231D7549" w14:textId="77777777" w:rsidR="00CE1436" w:rsidRPr="002F78E5" w:rsidRDefault="00CE1436" w:rsidP="002F78E5">
            <w:pPr>
              <w:pStyle w:val="TableText"/>
              <w:jc w:val="center"/>
            </w:pPr>
            <w:r w:rsidRPr="002F78E5">
              <w:t>377</w:t>
            </w:r>
          </w:p>
        </w:tc>
        <w:tc>
          <w:tcPr>
            <w:tcW w:w="1208" w:type="dxa"/>
            <w:tcBorders>
              <w:top w:val="nil"/>
              <w:left w:val="nil"/>
              <w:bottom w:val="nil"/>
              <w:right w:val="nil"/>
            </w:tcBorders>
            <w:shd w:val="clear" w:color="auto" w:fill="FF0000"/>
          </w:tcPr>
          <w:p w14:paraId="3C29370E" w14:textId="77777777" w:rsidR="00CE1436" w:rsidRPr="002F78E5" w:rsidRDefault="00CE1436" w:rsidP="002F78E5">
            <w:pPr>
              <w:pStyle w:val="TableText"/>
              <w:jc w:val="center"/>
            </w:pPr>
            <w:r w:rsidRPr="002F78E5">
              <w:t>No</w:t>
            </w:r>
          </w:p>
        </w:tc>
        <w:tc>
          <w:tcPr>
            <w:tcW w:w="844" w:type="dxa"/>
            <w:tcBorders>
              <w:top w:val="nil"/>
              <w:left w:val="nil"/>
              <w:bottom w:val="nil"/>
              <w:right w:val="nil"/>
            </w:tcBorders>
          </w:tcPr>
          <w:p w14:paraId="1431DD25" w14:textId="77777777" w:rsidR="00CE1436" w:rsidRPr="002F78E5" w:rsidRDefault="00CE1436" w:rsidP="002F78E5">
            <w:pPr>
              <w:pStyle w:val="TableText"/>
              <w:jc w:val="center"/>
            </w:pPr>
            <w:r w:rsidRPr="002F78E5">
              <w:t>54</w:t>
            </w:r>
          </w:p>
        </w:tc>
      </w:tr>
      <w:tr w:rsidR="00CE1436" w14:paraId="53412C7F" w14:textId="77777777" w:rsidTr="002F78E5">
        <w:trPr>
          <w:trHeight w:val="113"/>
        </w:trPr>
        <w:tc>
          <w:tcPr>
            <w:tcW w:w="1091" w:type="dxa"/>
            <w:vMerge/>
            <w:tcBorders>
              <w:top w:val="nil"/>
              <w:left w:val="nil"/>
              <w:bottom w:val="nil"/>
              <w:right w:val="nil"/>
            </w:tcBorders>
          </w:tcPr>
          <w:p w14:paraId="34E6AD73"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1098DBD0"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53357588" w14:textId="77777777" w:rsidR="00CE1436" w:rsidRPr="002F78E5" w:rsidRDefault="00CE1436" w:rsidP="002F78E5">
            <w:pPr>
              <w:pStyle w:val="TableText"/>
            </w:pPr>
            <w:r w:rsidRPr="002F78E5">
              <w:t>Spot application in avocado, custard apples, lychees, mangos</w:t>
            </w:r>
          </w:p>
        </w:tc>
        <w:tc>
          <w:tcPr>
            <w:tcW w:w="1843" w:type="dxa"/>
            <w:tcBorders>
              <w:top w:val="nil"/>
              <w:left w:val="nil"/>
              <w:bottom w:val="single" w:sz="4" w:space="0" w:color="auto"/>
              <w:right w:val="nil"/>
            </w:tcBorders>
          </w:tcPr>
          <w:p w14:paraId="44EABA5F" w14:textId="77777777" w:rsidR="00CE1436" w:rsidRPr="002F78E5" w:rsidRDefault="00CE1436" w:rsidP="002F78E5">
            <w:pPr>
              <w:pStyle w:val="TableText"/>
            </w:pPr>
            <w:r w:rsidRPr="002F78E5">
              <w:t>From 2× 324 g ac/ha</w:t>
            </w:r>
          </w:p>
          <w:p w14:paraId="7BFCB1CA" w14:textId="77777777" w:rsidR="00CE1436" w:rsidRPr="002F78E5" w:rsidRDefault="00CE1436" w:rsidP="002F78E5">
            <w:pPr>
              <w:pStyle w:val="TableText"/>
            </w:pPr>
            <w:r w:rsidRPr="002F78E5">
              <w:t>14d interval</w:t>
            </w:r>
          </w:p>
          <w:p w14:paraId="283D8613" w14:textId="77777777" w:rsidR="00CE1436" w:rsidRPr="002F78E5" w:rsidRDefault="00CE1436" w:rsidP="002F78E5">
            <w:pPr>
              <w:pStyle w:val="TableText"/>
            </w:pPr>
            <w:r w:rsidRPr="002F78E5">
              <w:t>(179 g ac/ha)</w:t>
            </w:r>
          </w:p>
        </w:tc>
        <w:tc>
          <w:tcPr>
            <w:tcW w:w="1134" w:type="dxa"/>
            <w:tcBorders>
              <w:top w:val="nil"/>
              <w:left w:val="nil"/>
              <w:bottom w:val="single" w:sz="4" w:space="0" w:color="auto"/>
              <w:right w:val="nil"/>
            </w:tcBorders>
            <w:shd w:val="clear" w:color="auto" w:fill="92D050"/>
          </w:tcPr>
          <w:p w14:paraId="5B4D4BC3" w14:textId="77777777" w:rsidR="00CE1436" w:rsidRPr="002F78E5" w:rsidRDefault="00CE1436" w:rsidP="002F78E5">
            <w:pPr>
              <w:pStyle w:val="TableText"/>
              <w:jc w:val="center"/>
            </w:pPr>
            <w:r w:rsidRPr="002F78E5">
              <w:t>Yes</w:t>
            </w:r>
          </w:p>
        </w:tc>
        <w:tc>
          <w:tcPr>
            <w:tcW w:w="918" w:type="dxa"/>
            <w:tcBorders>
              <w:top w:val="nil"/>
              <w:left w:val="nil"/>
              <w:bottom w:val="single" w:sz="4" w:space="0" w:color="auto"/>
              <w:right w:val="nil"/>
            </w:tcBorders>
          </w:tcPr>
          <w:p w14:paraId="3F604EE8" w14:textId="77777777" w:rsidR="00CE1436" w:rsidRPr="002F78E5" w:rsidRDefault="00CE1436" w:rsidP="002F78E5">
            <w:pPr>
              <w:pStyle w:val="TableText"/>
              <w:jc w:val="center"/>
            </w:pPr>
            <w:r w:rsidRPr="002F78E5">
              <w:t>270</w:t>
            </w:r>
          </w:p>
        </w:tc>
        <w:tc>
          <w:tcPr>
            <w:tcW w:w="1208" w:type="dxa"/>
            <w:tcBorders>
              <w:top w:val="nil"/>
              <w:left w:val="nil"/>
              <w:bottom w:val="single" w:sz="4" w:space="0" w:color="auto"/>
              <w:right w:val="nil"/>
            </w:tcBorders>
            <w:shd w:val="clear" w:color="auto" w:fill="FF0000"/>
          </w:tcPr>
          <w:p w14:paraId="6CBFF6AA"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1B66D68A" w14:textId="77777777" w:rsidR="00CE1436" w:rsidRPr="002F78E5" w:rsidRDefault="00CE1436" w:rsidP="002F78E5">
            <w:pPr>
              <w:pStyle w:val="TableText"/>
              <w:jc w:val="center"/>
            </w:pPr>
            <w:r w:rsidRPr="002F78E5">
              <w:t>39</w:t>
            </w:r>
          </w:p>
        </w:tc>
      </w:tr>
      <w:tr w:rsidR="00CE1436" w14:paraId="692C67EC" w14:textId="77777777" w:rsidTr="002F78E5">
        <w:trPr>
          <w:trHeight w:val="113"/>
        </w:trPr>
        <w:tc>
          <w:tcPr>
            <w:tcW w:w="1091" w:type="dxa"/>
            <w:vMerge/>
            <w:tcBorders>
              <w:top w:val="nil"/>
              <w:left w:val="nil"/>
              <w:bottom w:val="nil"/>
              <w:right w:val="nil"/>
            </w:tcBorders>
          </w:tcPr>
          <w:p w14:paraId="0654DF1A"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00FFAF8E" w14:textId="77777777" w:rsidR="00CE1436" w:rsidRPr="002F78E5" w:rsidRDefault="00CE1436" w:rsidP="002F78E5">
            <w:pPr>
              <w:pStyle w:val="TableText"/>
            </w:pPr>
            <w:r w:rsidRPr="002F78E5">
              <w:t>Vineyards</w:t>
            </w:r>
          </w:p>
        </w:tc>
        <w:tc>
          <w:tcPr>
            <w:tcW w:w="1514" w:type="dxa"/>
            <w:tcBorders>
              <w:top w:val="single" w:sz="4" w:space="0" w:color="auto"/>
              <w:left w:val="nil"/>
              <w:bottom w:val="nil"/>
              <w:right w:val="nil"/>
            </w:tcBorders>
          </w:tcPr>
          <w:p w14:paraId="6BFE9C85" w14:textId="77777777" w:rsidR="00CE1436" w:rsidRPr="002F78E5" w:rsidRDefault="00CE1436" w:rsidP="002F78E5">
            <w:pPr>
              <w:pStyle w:val="TableText"/>
            </w:pPr>
            <w:r w:rsidRPr="002F78E5">
              <w:t>Vineyards</w:t>
            </w:r>
          </w:p>
        </w:tc>
        <w:tc>
          <w:tcPr>
            <w:tcW w:w="1843" w:type="dxa"/>
            <w:tcBorders>
              <w:top w:val="single" w:sz="4" w:space="0" w:color="auto"/>
              <w:left w:val="nil"/>
              <w:bottom w:val="nil"/>
              <w:right w:val="nil"/>
            </w:tcBorders>
          </w:tcPr>
          <w:p w14:paraId="21C79487" w14:textId="77777777" w:rsidR="00CE1436" w:rsidRPr="002F78E5" w:rsidRDefault="00CE1436" w:rsidP="002F78E5">
            <w:pPr>
              <w:pStyle w:val="TableText"/>
            </w:pPr>
            <w:r w:rsidRPr="002F78E5">
              <w:t>From 1× 432 g ac/ha</w:t>
            </w:r>
          </w:p>
        </w:tc>
        <w:tc>
          <w:tcPr>
            <w:tcW w:w="1134" w:type="dxa"/>
            <w:tcBorders>
              <w:top w:val="single" w:sz="4" w:space="0" w:color="auto"/>
              <w:left w:val="nil"/>
              <w:bottom w:val="nil"/>
              <w:right w:val="nil"/>
            </w:tcBorders>
            <w:shd w:val="clear" w:color="auto" w:fill="FF0000"/>
          </w:tcPr>
          <w:p w14:paraId="0099C7F4"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26988501" w14:textId="77777777" w:rsidR="00CE1436" w:rsidRPr="002F78E5" w:rsidRDefault="00CE1436" w:rsidP="002F78E5">
            <w:pPr>
              <w:pStyle w:val="TableText"/>
              <w:jc w:val="center"/>
            </w:pPr>
            <w:r w:rsidRPr="002F78E5">
              <w:t>377</w:t>
            </w:r>
          </w:p>
        </w:tc>
        <w:tc>
          <w:tcPr>
            <w:tcW w:w="1208" w:type="dxa"/>
            <w:tcBorders>
              <w:top w:val="single" w:sz="4" w:space="0" w:color="auto"/>
              <w:left w:val="nil"/>
              <w:bottom w:val="nil"/>
              <w:right w:val="nil"/>
            </w:tcBorders>
            <w:shd w:val="clear" w:color="auto" w:fill="FF0000"/>
          </w:tcPr>
          <w:p w14:paraId="44333508"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7B8645B0" w14:textId="77777777" w:rsidR="00CE1436" w:rsidRPr="002F78E5" w:rsidRDefault="00CE1436" w:rsidP="002F78E5">
            <w:pPr>
              <w:pStyle w:val="TableText"/>
              <w:jc w:val="center"/>
            </w:pPr>
            <w:r w:rsidRPr="002F78E5">
              <w:t>54</w:t>
            </w:r>
          </w:p>
        </w:tc>
      </w:tr>
      <w:tr w:rsidR="00CE1436" w14:paraId="42F71AD9" w14:textId="77777777" w:rsidTr="002F78E5">
        <w:trPr>
          <w:trHeight w:val="113"/>
        </w:trPr>
        <w:tc>
          <w:tcPr>
            <w:tcW w:w="1091" w:type="dxa"/>
            <w:vMerge/>
            <w:tcBorders>
              <w:top w:val="nil"/>
              <w:left w:val="nil"/>
              <w:right w:val="nil"/>
            </w:tcBorders>
          </w:tcPr>
          <w:p w14:paraId="679BB3A8"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5B481596"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7771085C" w14:textId="77777777" w:rsidR="00CE1436" w:rsidRPr="002F78E5" w:rsidRDefault="00CE1436" w:rsidP="002F78E5">
            <w:pPr>
              <w:pStyle w:val="TableText"/>
            </w:pPr>
            <w:r w:rsidRPr="002F78E5">
              <w:t>Spot application in vineyards</w:t>
            </w:r>
          </w:p>
        </w:tc>
        <w:tc>
          <w:tcPr>
            <w:tcW w:w="1843" w:type="dxa"/>
            <w:tcBorders>
              <w:top w:val="nil"/>
              <w:left w:val="nil"/>
              <w:bottom w:val="single" w:sz="4" w:space="0" w:color="auto"/>
              <w:right w:val="nil"/>
            </w:tcBorders>
          </w:tcPr>
          <w:p w14:paraId="465AAEB4" w14:textId="77777777" w:rsidR="00CE1436" w:rsidRPr="002F78E5" w:rsidRDefault="00CE1436" w:rsidP="002F78E5">
            <w:pPr>
              <w:pStyle w:val="TableText"/>
            </w:pPr>
            <w:r w:rsidRPr="002F78E5">
              <w:t>From 1× 432 g ac/ha</w:t>
            </w:r>
          </w:p>
          <w:p w14:paraId="1FECFDD8" w14:textId="77777777" w:rsidR="00CE1436" w:rsidRPr="002F78E5" w:rsidRDefault="00CE1436" w:rsidP="002F78E5">
            <w:pPr>
              <w:pStyle w:val="TableText"/>
            </w:pPr>
            <w:r w:rsidRPr="002F78E5">
              <w:t>(173 g ac/ha)</w:t>
            </w:r>
          </w:p>
        </w:tc>
        <w:tc>
          <w:tcPr>
            <w:tcW w:w="1134" w:type="dxa"/>
            <w:tcBorders>
              <w:top w:val="nil"/>
              <w:left w:val="nil"/>
              <w:bottom w:val="single" w:sz="4" w:space="0" w:color="auto"/>
              <w:right w:val="nil"/>
            </w:tcBorders>
            <w:shd w:val="clear" w:color="auto" w:fill="92D050"/>
          </w:tcPr>
          <w:p w14:paraId="61D301C3" w14:textId="77777777" w:rsidR="00CE1436" w:rsidRPr="002F78E5" w:rsidRDefault="00CE1436" w:rsidP="002F78E5">
            <w:pPr>
              <w:pStyle w:val="TableText"/>
              <w:jc w:val="center"/>
            </w:pPr>
            <w:r w:rsidRPr="002F78E5">
              <w:t>Yes</w:t>
            </w:r>
          </w:p>
        </w:tc>
        <w:tc>
          <w:tcPr>
            <w:tcW w:w="918" w:type="dxa"/>
            <w:tcBorders>
              <w:top w:val="nil"/>
              <w:left w:val="nil"/>
              <w:bottom w:val="single" w:sz="4" w:space="0" w:color="auto"/>
              <w:right w:val="nil"/>
            </w:tcBorders>
          </w:tcPr>
          <w:p w14:paraId="76F77BD0" w14:textId="77777777" w:rsidR="00CE1436" w:rsidRPr="002F78E5" w:rsidRDefault="00CE1436" w:rsidP="002F78E5">
            <w:pPr>
              <w:pStyle w:val="TableText"/>
              <w:jc w:val="center"/>
            </w:pPr>
            <w:r w:rsidRPr="002F78E5">
              <w:t>377</w:t>
            </w:r>
          </w:p>
        </w:tc>
        <w:tc>
          <w:tcPr>
            <w:tcW w:w="1208" w:type="dxa"/>
            <w:tcBorders>
              <w:top w:val="nil"/>
              <w:left w:val="nil"/>
              <w:bottom w:val="single" w:sz="4" w:space="0" w:color="auto"/>
              <w:right w:val="nil"/>
            </w:tcBorders>
            <w:shd w:val="clear" w:color="auto" w:fill="FF0000"/>
          </w:tcPr>
          <w:p w14:paraId="0F55E2EF"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6CEFB4C7" w14:textId="77777777" w:rsidR="00CE1436" w:rsidRPr="002F78E5" w:rsidRDefault="00CE1436" w:rsidP="002F78E5">
            <w:pPr>
              <w:pStyle w:val="TableText"/>
              <w:jc w:val="center"/>
            </w:pPr>
            <w:r w:rsidRPr="002F78E5">
              <w:t>54</w:t>
            </w:r>
          </w:p>
        </w:tc>
      </w:tr>
      <w:tr w:rsidR="00CE1436" w14:paraId="04324C85" w14:textId="77777777" w:rsidTr="002F78E5">
        <w:trPr>
          <w:trHeight w:val="113"/>
        </w:trPr>
        <w:tc>
          <w:tcPr>
            <w:tcW w:w="1091" w:type="dxa"/>
            <w:vMerge w:val="restart"/>
            <w:tcBorders>
              <w:top w:val="single" w:sz="4" w:space="0" w:color="auto"/>
              <w:left w:val="nil"/>
              <w:right w:val="nil"/>
            </w:tcBorders>
          </w:tcPr>
          <w:p w14:paraId="1CCDC7AF" w14:textId="77777777" w:rsidR="00CE1436" w:rsidRPr="002F78E5" w:rsidRDefault="00CE1436" w:rsidP="002F78E5">
            <w:pPr>
              <w:pStyle w:val="TableText"/>
            </w:pPr>
            <w:r w:rsidRPr="002F78E5">
              <w:t>Combination products containing amitrole</w:t>
            </w:r>
          </w:p>
        </w:tc>
        <w:tc>
          <w:tcPr>
            <w:tcW w:w="1076" w:type="dxa"/>
            <w:tcBorders>
              <w:top w:val="single" w:sz="4" w:space="0" w:color="auto"/>
              <w:left w:val="nil"/>
              <w:bottom w:val="nil"/>
              <w:right w:val="nil"/>
            </w:tcBorders>
          </w:tcPr>
          <w:p w14:paraId="1D7237AE" w14:textId="77777777" w:rsidR="00CE1436" w:rsidRPr="002F78E5" w:rsidRDefault="00CE1436" w:rsidP="002F78E5">
            <w:pPr>
              <w:pStyle w:val="TableText"/>
            </w:pPr>
            <w:r w:rsidRPr="002F78E5">
              <w:t>Bare soil</w:t>
            </w:r>
          </w:p>
        </w:tc>
        <w:tc>
          <w:tcPr>
            <w:tcW w:w="1514" w:type="dxa"/>
            <w:tcBorders>
              <w:top w:val="single" w:sz="4" w:space="0" w:color="auto"/>
              <w:left w:val="nil"/>
              <w:bottom w:val="nil"/>
              <w:right w:val="nil"/>
            </w:tcBorders>
          </w:tcPr>
          <w:p w14:paraId="41CEBD0B" w14:textId="77777777" w:rsidR="00CE1436" w:rsidRPr="002F78E5" w:rsidRDefault="00CE1436" w:rsidP="002F78E5">
            <w:pPr>
              <w:pStyle w:val="TableText"/>
            </w:pPr>
            <w:r w:rsidRPr="002F78E5">
              <w:t>Fallow (optical spot spraying)</w:t>
            </w:r>
          </w:p>
        </w:tc>
        <w:tc>
          <w:tcPr>
            <w:tcW w:w="1843" w:type="dxa"/>
            <w:tcBorders>
              <w:top w:val="single" w:sz="4" w:space="0" w:color="auto"/>
              <w:left w:val="nil"/>
              <w:bottom w:val="nil"/>
              <w:right w:val="nil"/>
            </w:tcBorders>
          </w:tcPr>
          <w:p w14:paraId="333716A1" w14:textId="77777777" w:rsidR="00CE1436" w:rsidRPr="002F78E5" w:rsidRDefault="00CE1436" w:rsidP="002F78E5">
            <w:pPr>
              <w:pStyle w:val="TableText"/>
            </w:pPr>
            <w:r w:rsidRPr="002F78E5">
              <w:t>From 1× 1680 g ac/ha</w:t>
            </w:r>
          </w:p>
          <w:p w14:paraId="636BEAD7" w14:textId="77777777" w:rsidR="00CE1436" w:rsidRPr="002F78E5" w:rsidRDefault="00CE1436" w:rsidP="002F78E5">
            <w:pPr>
              <w:pStyle w:val="TableText"/>
            </w:pPr>
            <w:r w:rsidRPr="002F78E5">
              <w:t>(504 g ac/ha)</w:t>
            </w:r>
          </w:p>
        </w:tc>
        <w:tc>
          <w:tcPr>
            <w:tcW w:w="1134" w:type="dxa"/>
            <w:tcBorders>
              <w:left w:val="nil"/>
              <w:bottom w:val="nil"/>
              <w:right w:val="nil"/>
            </w:tcBorders>
            <w:shd w:val="clear" w:color="auto" w:fill="FF0000"/>
          </w:tcPr>
          <w:p w14:paraId="3E1D1777" w14:textId="77777777" w:rsidR="00CE1436" w:rsidRPr="002F78E5" w:rsidRDefault="00CE1436" w:rsidP="002F78E5">
            <w:pPr>
              <w:pStyle w:val="TableText"/>
              <w:jc w:val="center"/>
            </w:pPr>
            <w:r w:rsidRPr="002F78E5">
              <w:t>No</w:t>
            </w:r>
          </w:p>
        </w:tc>
        <w:tc>
          <w:tcPr>
            <w:tcW w:w="918" w:type="dxa"/>
            <w:tcBorders>
              <w:left w:val="nil"/>
              <w:bottom w:val="nil"/>
              <w:right w:val="nil"/>
            </w:tcBorders>
          </w:tcPr>
          <w:p w14:paraId="7D1A1681" w14:textId="77777777" w:rsidR="00CE1436" w:rsidRPr="002F78E5" w:rsidRDefault="00CE1436" w:rsidP="002F78E5">
            <w:pPr>
              <w:pStyle w:val="TableText"/>
              <w:jc w:val="center"/>
            </w:pPr>
            <w:r w:rsidRPr="002F78E5">
              <w:t>231</w:t>
            </w:r>
          </w:p>
        </w:tc>
        <w:tc>
          <w:tcPr>
            <w:tcW w:w="1208" w:type="dxa"/>
            <w:tcBorders>
              <w:left w:val="nil"/>
              <w:bottom w:val="nil"/>
              <w:right w:val="nil"/>
            </w:tcBorders>
            <w:shd w:val="clear" w:color="auto" w:fill="92D050"/>
          </w:tcPr>
          <w:p w14:paraId="6CDE50BE" w14:textId="77777777" w:rsidR="00CE1436" w:rsidRPr="002F78E5" w:rsidRDefault="00CE1436" w:rsidP="002F78E5">
            <w:pPr>
              <w:pStyle w:val="TableText"/>
              <w:jc w:val="center"/>
            </w:pPr>
            <w:r w:rsidRPr="002F78E5">
              <w:t>Yes</w:t>
            </w:r>
          </w:p>
        </w:tc>
        <w:tc>
          <w:tcPr>
            <w:tcW w:w="844" w:type="dxa"/>
            <w:tcBorders>
              <w:left w:val="nil"/>
              <w:bottom w:val="nil"/>
              <w:right w:val="nil"/>
            </w:tcBorders>
          </w:tcPr>
          <w:p w14:paraId="67DF7FAF" w14:textId="73FE1313" w:rsidR="00CE1436" w:rsidRPr="002F78E5" w:rsidRDefault="00CE1436" w:rsidP="002F78E5">
            <w:pPr>
              <w:pStyle w:val="TableText"/>
              <w:jc w:val="center"/>
            </w:pPr>
            <w:r w:rsidRPr="002F78E5">
              <w:t>675</w:t>
            </w:r>
            <w:r w:rsidR="002F78E5">
              <w:br/>
            </w:r>
            <w:r w:rsidRPr="002F78E5">
              <w:t>(WOE)</w:t>
            </w:r>
          </w:p>
        </w:tc>
      </w:tr>
      <w:tr w:rsidR="00CE1436" w14:paraId="7E5EDB7B" w14:textId="77777777" w:rsidTr="002F78E5">
        <w:trPr>
          <w:trHeight w:val="113"/>
        </w:trPr>
        <w:tc>
          <w:tcPr>
            <w:tcW w:w="1091" w:type="dxa"/>
            <w:vMerge/>
            <w:tcBorders>
              <w:left w:val="nil"/>
              <w:right w:val="nil"/>
            </w:tcBorders>
          </w:tcPr>
          <w:p w14:paraId="18AE4C08"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71A78DD8"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43F9877D" w14:textId="77777777" w:rsidR="00CE1436" w:rsidRPr="002F78E5" w:rsidRDefault="00CE1436" w:rsidP="002F78E5">
            <w:pPr>
              <w:pStyle w:val="TableText"/>
            </w:pPr>
            <w:r w:rsidRPr="002F78E5">
              <w:t>Fallow</w:t>
            </w:r>
          </w:p>
        </w:tc>
        <w:tc>
          <w:tcPr>
            <w:tcW w:w="1843" w:type="dxa"/>
            <w:tcBorders>
              <w:top w:val="nil"/>
              <w:left w:val="nil"/>
              <w:bottom w:val="single" w:sz="4" w:space="0" w:color="auto"/>
              <w:right w:val="nil"/>
            </w:tcBorders>
          </w:tcPr>
          <w:p w14:paraId="56CF8F2A" w14:textId="77777777" w:rsidR="00CE1436" w:rsidRPr="002F78E5" w:rsidRDefault="00CE1436" w:rsidP="002F78E5">
            <w:pPr>
              <w:pStyle w:val="TableText"/>
            </w:pPr>
            <w:r w:rsidRPr="002F78E5">
              <w:t>From 1× 600 g ac/ha</w:t>
            </w:r>
          </w:p>
        </w:tc>
        <w:tc>
          <w:tcPr>
            <w:tcW w:w="1134" w:type="dxa"/>
            <w:tcBorders>
              <w:top w:val="nil"/>
              <w:left w:val="nil"/>
              <w:bottom w:val="single" w:sz="4" w:space="0" w:color="auto"/>
              <w:right w:val="nil"/>
            </w:tcBorders>
            <w:shd w:val="clear" w:color="auto" w:fill="FF0000"/>
          </w:tcPr>
          <w:p w14:paraId="73B42668"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6132500D" w14:textId="77777777" w:rsidR="00CE1436" w:rsidRPr="002F78E5" w:rsidRDefault="00CE1436" w:rsidP="002F78E5">
            <w:pPr>
              <w:pStyle w:val="TableText"/>
              <w:jc w:val="center"/>
            </w:pPr>
            <w:r w:rsidRPr="002F78E5">
              <w:t>231</w:t>
            </w:r>
          </w:p>
        </w:tc>
        <w:tc>
          <w:tcPr>
            <w:tcW w:w="1208" w:type="dxa"/>
            <w:tcBorders>
              <w:top w:val="nil"/>
              <w:left w:val="nil"/>
              <w:bottom w:val="single" w:sz="4" w:space="0" w:color="auto"/>
              <w:right w:val="nil"/>
            </w:tcBorders>
            <w:shd w:val="clear" w:color="auto" w:fill="92D050"/>
          </w:tcPr>
          <w:p w14:paraId="6235EEB1" w14:textId="77777777" w:rsidR="00CE1436" w:rsidRPr="002F78E5" w:rsidRDefault="00CE1436" w:rsidP="002F78E5">
            <w:pPr>
              <w:pStyle w:val="TableText"/>
              <w:jc w:val="center"/>
            </w:pPr>
            <w:r w:rsidRPr="002F78E5">
              <w:t>Yes</w:t>
            </w:r>
          </w:p>
        </w:tc>
        <w:tc>
          <w:tcPr>
            <w:tcW w:w="844" w:type="dxa"/>
            <w:tcBorders>
              <w:top w:val="nil"/>
              <w:left w:val="nil"/>
              <w:bottom w:val="single" w:sz="4" w:space="0" w:color="auto"/>
              <w:right w:val="nil"/>
            </w:tcBorders>
          </w:tcPr>
          <w:p w14:paraId="53F5237A" w14:textId="1B78EC7C" w:rsidR="00CE1436" w:rsidRPr="002F78E5" w:rsidRDefault="00CE1436" w:rsidP="002F78E5">
            <w:pPr>
              <w:pStyle w:val="TableText"/>
              <w:jc w:val="center"/>
            </w:pPr>
            <w:r w:rsidRPr="002F78E5">
              <w:t>675</w:t>
            </w:r>
            <w:r w:rsidR="002F78E5">
              <w:br/>
            </w:r>
            <w:r w:rsidRPr="002F78E5">
              <w:t>(WOE)</w:t>
            </w:r>
          </w:p>
        </w:tc>
      </w:tr>
      <w:tr w:rsidR="00CE1436" w14:paraId="18A5E2CE" w14:textId="77777777" w:rsidTr="002F78E5">
        <w:trPr>
          <w:trHeight w:val="113"/>
        </w:trPr>
        <w:tc>
          <w:tcPr>
            <w:tcW w:w="1091" w:type="dxa"/>
            <w:vMerge/>
            <w:tcBorders>
              <w:left w:val="nil"/>
              <w:right w:val="nil"/>
            </w:tcBorders>
          </w:tcPr>
          <w:p w14:paraId="1816E78F"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41BE25C0" w14:textId="77777777" w:rsidR="00CE1436" w:rsidRPr="002F78E5" w:rsidRDefault="00CE1436" w:rsidP="002F78E5">
            <w:pPr>
              <w:pStyle w:val="TableText"/>
            </w:pPr>
            <w:r w:rsidRPr="002F78E5">
              <w:t>Grassland</w:t>
            </w:r>
          </w:p>
        </w:tc>
        <w:tc>
          <w:tcPr>
            <w:tcW w:w="1514" w:type="dxa"/>
            <w:tcBorders>
              <w:top w:val="single" w:sz="4" w:space="0" w:color="auto"/>
              <w:left w:val="nil"/>
              <w:bottom w:val="nil"/>
              <w:right w:val="nil"/>
            </w:tcBorders>
          </w:tcPr>
          <w:p w14:paraId="36BB178F" w14:textId="77777777" w:rsidR="00CE1436" w:rsidRPr="002F78E5" w:rsidRDefault="00CE1436" w:rsidP="002F78E5">
            <w:pPr>
              <w:pStyle w:val="TableText"/>
            </w:pPr>
            <w:r w:rsidRPr="002F78E5">
              <w:t>Industrial vegetation management</w:t>
            </w:r>
          </w:p>
        </w:tc>
        <w:tc>
          <w:tcPr>
            <w:tcW w:w="1843" w:type="dxa"/>
            <w:tcBorders>
              <w:top w:val="single" w:sz="4" w:space="0" w:color="auto"/>
              <w:left w:val="nil"/>
              <w:bottom w:val="nil"/>
              <w:right w:val="nil"/>
            </w:tcBorders>
          </w:tcPr>
          <w:p w14:paraId="42839680" w14:textId="77777777" w:rsidR="00CE1436" w:rsidRPr="002F78E5" w:rsidRDefault="00CE1436" w:rsidP="002F78E5">
            <w:pPr>
              <w:pStyle w:val="TableText"/>
            </w:pPr>
            <w:r w:rsidRPr="002F78E5">
              <w:t>From 1× 850 g ac/ha</w:t>
            </w:r>
          </w:p>
        </w:tc>
        <w:tc>
          <w:tcPr>
            <w:tcW w:w="1134" w:type="dxa"/>
            <w:tcBorders>
              <w:left w:val="nil"/>
              <w:bottom w:val="nil"/>
              <w:right w:val="nil"/>
            </w:tcBorders>
            <w:shd w:val="clear" w:color="auto" w:fill="92D050"/>
          </w:tcPr>
          <w:p w14:paraId="4D318643" w14:textId="77777777" w:rsidR="00CE1436" w:rsidRPr="002F78E5" w:rsidRDefault="00CE1436" w:rsidP="002F78E5">
            <w:pPr>
              <w:pStyle w:val="TableText"/>
              <w:jc w:val="center"/>
            </w:pPr>
            <w:r w:rsidRPr="002F78E5">
              <w:t>Yes</w:t>
            </w:r>
          </w:p>
        </w:tc>
        <w:tc>
          <w:tcPr>
            <w:tcW w:w="918" w:type="dxa"/>
            <w:tcBorders>
              <w:left w:val="nil"/>
              <w:bottom w:val="nil"/>
              <w:right w:val="nil"/>
            </w:tcBorders>
          </w:tcPr>
          <w:p w14:paraId="0187D84C" w14:textId="6397C053" w:rsidR="00CE1436" w:rsidRPr="002F78E5" w:rsidRDefault="00CE1436" w:rsidP="002F78E5">
            <w:pPr>
              <w:pStyle w:val="TableText"/>
              <w:jc w:val="center"/>
            </w:pPr>
            <w:r w:rsidRPr="002F78E5">
              <w:t>1140</w:t>
            </w:r>
            <w:r w:rsidR="002F78E5">
              <w:br/>
            </w:r>
            <w:r w:rsidRPr="002F78E5">
              <w:t>(WOE)</w:t>
            </w:r>
          </w:p>
        </w:tc>
        <w:tc>
          <w:tcPr>
            <w:tcW w:w="1208" w:type="dxa"/>
            <w:tcBorders>
              <w:left w:val="nil"/>
              <w:bottom w:val="nil"/>
              <w:right w:val="nil"/>
            </w:tcBorders>
            <w:shd w:val="clear" w:color="auto" w:fill="92D050"/>
          </w:tcPr>
          <w:p w14:paraId="53818319" w14:textId="77777777" w:rsidR="00CE1436" w:rsidRPr="002F78E5" w:rsidRDefault="00CE1436" w:rsidP="002F78E5">
            <w:pPr>
              <w:pStyle w:val="TableText"/>
              <w:jc w:val="center"/>
            </w:pPr>
            <w:r w:rsidRPr="002F78E5">
              <w:t>Yes</w:t>
            </w:r>
          </w:p>
        </w:tc>
        <w:tc>
          <w:tcPr>
            <w:tcW w:w="844" w:type="dxa"/>
            <w:tcBorders>
              <w:left w:val="nil"/>
              <w:bottom w:val="nil"/>
              <w:right w:val="nil"/>
            </w:tcBorders>
          </w:tcPr>
          <w:p w14:paraId="5099001B" w14:textId="0B0164D0" w:rsidR="00CE1436" w:rsidRPr="002F78E5" w:rsidRDefault="00CE1436" w:rsidP="002F78E5">
            <w:pPr>
              <w:pStyle w:val="TableText"/>
              <w:jc w:val="center"/>
            </w:pPr>
            <w:r w:rsidRPr="002F78E5">
              <w:t>1140</w:t>
            </w:r>
            <w:r w:rsidR="002F78E5">
              <w:br/>
            </w:r>
            <w:r w:rsidRPr="002F78E5">
              <w:t>(WOE)</w:t>
            </w:r>
          </w:p>
        </w:tc>
      </w:tr>
      <w:tr w:rsidR="00CE1436" w14:paraId="0527B508" w14:textId="77777777" w:rsidTr="002F78E5">
        <w:trPr>
          <w:trHeight w:val="113"/>
        </w:trPr>
        <w:tc>
          <w:tcPr>
            <w:tcW w:w="1091" w:type="dxa"/>
            <w:vMerge/>
            <w:tcBorders>
              <w:left w:val="nil"/>
              <w:right w:val="nil"/>
            </w:tcBorders>
          </w:tcPr>
          <w:p w14:paraId="2EFAA7E4" w14:textId="77777777" w:rsidR="00CE1436" w:rsidRPr="002F78E5" w:rsidRDefault="00CE1436" w:rsidP="002F78E5">
            <w:pPr>
              <w:pStyle w:val="TableText"/>
            </w:pPr>
          </w:p>
        </w:tc>
        <w:tc>
          <w:tcPr>
            <w:tcW w:w="1076" w:type="dxa"/>
            <w:tcBorders>
              <w:top w:val="nil"/>
              <w:left w:val="nil"/>
              <w:bottom w:val="nil"/>
              <w:right w:val="nil"/>
            </w:tcBorders>
          </w:tcPr>
          <w:p w14:paraId="6107B25D" w14:textId="77777777" w:rsidR="00CE1436" w:rsidRPr="002F78E5" w:rsidRDefault="00CE1436" w:rsidP="002F78E5">
            <w:pPr>
              <w:pStyle w:val="TableText"/>
            </w:pPr>
          </w:p>
        </w:tc>
        <w:tc>
          <w:tcPr>
            <w:tcW w:w="1514" w:type="dxa"/>
            <w:tcBorders>
              <w:top w:val="nil"/>
              <w:left w:val="nil"/>
              <w:bottom w:val="nil"/>
              <w:right w:val="nil"/>
            </w:tcBorders>
          </w:tcPr>
          <w:p w14:paraId="7F528022" w14:textId="77777777" w:rsidR="00CE1436" w:rsidRPr="002F78E5" w:rsidRDefault="00CE1436" w:rsidP="002F78E5">
            <w:pPr>
              <w:pStyle w:val="TableText"/>
            </w:pPr>
            <w:r w:rsidRPr="002F78E5">
              <w:t xml:space="preserve">Spot spray in industrial </w:t>
            </w:r>
            <w:r w:rsidRPr="002F78E5">
              <w:lastRenderedPageBreak/>
              <w:t>vegetation management</w:t>
            </w:r>
          </w:p>
        </w:tc>
        <w:tc>
          <w:tcPr>
            <w:tcW w:w="1843" w:type="dxa"/>
            <w:tcBorders>
              <w:top w:val="nil"/>
              <w:left w:val="nil"/>
              <w:bottom w:val="nil"/>
              <w:right w:val="nil"/>
            </w:tcBorders>
          </w:tcPr>
          <w:p w14:paraId="1B0A9D34" w14:textId="77777777" w:rsidR="00CE1436" w:rsidRPr="002F78E5" w:rsidRDefault="00CE1436" w:rsidP="002F78E5">
            <w:pPr>
              <w:pStyle w:val="TableText"/>
            </w:pPr>
            <w:r w:rsidRPr="002F78E5">
              <w:lastRenderedPageBreak/>
              <w:t>From 1× 500 g ac/ha</w:t>
            </w:r>
          </w:p>
          <w:p w14:paraId="013D8952" w14:textId="77777777" w:rsidR="00CE1436" w:rsidRPr="002F78E5" w:rsidRDefault="00CE1436" w:rsidP="002F78E5">
            <w:pPr>
              <w:pStyle w:val="TableText"/>
            </w:pPr>
            <w:r w:rsidRPr="002F78E5">
              <w:t>(200 g ac/ha)</w:t>
            </w:r>
          </w:p>
        </w:tc>
        <w:tc>
          <w:tcPr>
            <w:tcW w:w="1134" w:type="dxa"/>
            <w:tcBorders>
              <w:top w:val="nil"/>
              <w:left w:val="nil"/>
              <w:bottom w:val="nil"/>
              <w:right w:val="nil"/>
            </w:tcBorders>
            <w:shd w:val="clear" w:color="auto" w:fill="92D050"/>
          </w:tcPr>
          <w:p w14:paraId="30C9AF76" w14:textId="77777777" w:rsidR="00CE1436" w:rsidRPr="002F78E5" w:rsidRDefault="00CE1436" w:rsidP="002F78E5">
            <w:pPr>
              <w:pStyle w:val="TableText"/>
              <w:jc w:val="center"/>
            </w:pPr>
            <w:r w:rsidRPr="002F78E5">
              <w:t>Yes</w:t>
            </w:r>
          </w:p>
        </w:tc>
        <w:tc>
          <w:tcPr>
            <w:tcW w:w="918" w:type="dxa"/>
            <w:tcBorders>
              <w:top w:val="nil"/>
              <w:left w:val="nil"/>
              <w:bottom w:val="nil"/>
              <w:right w:val="nil"/>
            </w:tcBorders>
          </w:tcPr>
          <w:p w14:paraId="3E5C8136" w14:textId="31688C90" w:rsidR="00CE1436" w:rsidRPr="002F78E5" w:rsidRDefault="00CE1436" w:rsidP="002F78E5">
            <w:pPr>
              <w:pStyle w:val="TableText"/>
              <w:jc w:val="center"/>
            </w:pPr>
            <w:r w:rsidRPr="002F78E5">
              <w:t>1140</w:t>
            </w:r>
            <w:r w:rsidR="002F78E5">
              <w:br/>
            </w:r>
            <w:r w:rsidRPr="002F78E5">
              <w:t>(WOE)</w:t>
            </w:r>
          </w:p>
        </w:tc>
        <w:tc>
          <w:tcPr>
            <w:tcW w:w="1208" w:type="dxa"/>
            <w:tcBorders>
              <w:top w:val="nil"/>
              <w:left w:val="nil"/>
              <w:bottom w:val="nil"/>
              <w:right w:val="nil"/>
            </w:tcBorders>
            <w:shd w:val="clear" w:color="auto" w:fill="92D050"/>
          </w:tcPr>
          <w:p w14:paraId="7DD5C024" w14:textId="77777777" w:rsidR="00CE1436" w:rsidRPr="002F78E5" w:rsidRDefault="00CE1436" w:rsidP="002F78E5">
            <w:pPr>
              <w:pStyle w:val="TableText"/>
              <w:jc w:val="center"/>
            </w:pPr>
            <w:r w:rsidRPr="002F78E5">
              <w:t>Yes</w:t>
            </w:r>
          </w:p>
        </w:tc>
        <w:tc>
          <w:tcPr>
            <w:tcW w:w="844" w:type="dxa"/>
            <w:tcBorders>
              <w:top w:val="nil"/>
              <w:left w:val="nil"/>
              <w:bottom w:val="nil"/>
              <w:right w:val="nil"/>
            </w:tcBorders>
          </w:tcPr>
          <w:p w14:paraId="07E206B3" w14:textId="46FAB62A" w:rsidR="00CE1436" w:rsidRPr="002F78E5" w:rsidRDefault="00CE1436" w:rsidP="002F78E5">
            <w:pPr>
              <w:pStyle w:val="TableText"/>
              <w:jc w:val="center"/>
            </w:pPr>
            <w:r w:rsidRPr="002F78E5">
              <w:t>1140</w:t>
            </w:r>
            <w:r w:rsidR="002F78E5">
              <w:br/>
            </w:r>
            <w:r w:rsidRPr="002F78E5">
              <w:t>(WOE)</w:t>
            </w:r>
          </w:p>
        </w:tc>
      </w:tr>
      <w:tr w:rsidR="00CE1436" w14:paraId="1BFBA725" w14:textId="77777777" w:rsidTr="002F78E5">
        <w:trPr>
          <w:trHeight w:val="113"/>
        </w:trPr>
        <w:tc>
          <w:tcPr>
            <w:tcW w:w="1091" w:type="dxa"/>
            <w:vMerge/>
            <w:tcBorders>
              <w:left w:val="nil"/>
              <w:right w:val="nil"/>
            </w:tcBorders>
          </w:tcPr>
          <w:p w14:paraId="5F58A9A1"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67706864"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5E61BB8A" w14:textId="77777777" w:rsidR="00CE1436" w:rsidRPr="002F78E5" w:rsidRDefault="00CE1436" w:rsidP="002F78E5">
            <w:pPr>
              <w:pStyle w:val="TableText"/>
            </w:pPr>
            <w:r w:rsidRPr="002F78E5">
              <w:t>Pasture</w:t>
            </w:r>
          </w:p>
        </w:tc>
        <w:tc>
          <w:tcPr>
            <w:tcW w:w="1843" w:type="dxa"/>
            <w:tcBorders>
              <w:top w:val="nil"/>
              <w:left w:val="nil"/>
              <w:bottom w:val="single" w:sz="4" w:space="0" w:color="auto"/>
              <w:right w:val="nil"/>
            </w:tcBorders>
          </w:tcPr>
          <w:p w14:paraId="66647698" w14:textId="77777777" w:rsidR="00CE1436" w:rsidRPr="002F78E5" w:rsidRDefault="00CE1436" w:rsidP="002F78E5">
            <w:pPr>
              <w:pStyle w:val="TableText"/>
            </w:pPr>
            <w:r w:rsidRPr="002F78E5">
              <w:t>From 1× 300 g ac/ha</w:t>
            </w:r>
          </w:p>
        </w:tc>
        <w:tc>
          <w:tcPr>
            <w:tcW w:w="1134" w:type="dxa"/>
            <w:tcBorders>
              <w:top w:val="nil"/>
              <w:left w:val="nil"/>
              <w:bottom w:val="single" w:sz="4" w:space="0" w:color="auto"/>
              <w:right w:val="nil"/>
            </w:tcBorders>
            <w:shd w:val="clear" w:color="auto" w:fill="FF0000"/>
          </w:tcPr>
          <w:p w14:paraId="3726A0C7" w14:textId="77777777" w:rsidR="00CE1436" w:rsidRPr="002F78E5" w:rsidRDefault="00CE1436" w:rsidP="002F78E5">
            <w:pPr>
              <w:pStyle w:val="TableText"/>
              <w:jc w:val="center"/>
            </w:pPr>
            <w:r w:rsidRPr="002F78E5">
              <w:t>No</w:t>
            </w:r>
          </w:p>
        </w:tc>
        <w:tc>
          <w:tcPr>
            <w:tcW w:w="918" w:type="dxa"/>
            <w:tcBorders>
              <w:top w:val="nil"/>
              <w:left w:val="nil"/>
              <w:bottom w:val="single" w:sz="4" w:space="0" w:color="auto"/>
              <w:right w:val="nil"/>
            </w:tcBorders>
          </w:tcPr>
          <w:p w14:paraId="5FF2B9EC" w14:textId="77777777" w:rsidR="00CE1436" w:rsidRPr="002F78E5" w:rsidRDefault="00CE1436" w:rsidP="002F78E5">
            <w:pPr>
              <w:pStyle w:val="TableText"/>
              <w:jc w:val="center"/>
            </w:pPr>
            <w:r w:rsidRPr="002F78E5">
              <w:t>187</w:t>
            </w:r>
          </w:p>
        </w:tc>
        <w:tc>
          <w:tcPr>
            <w:tcW w:w="1208" w:type="dxa"/>
            <w:tcBorders>
              <w:top w:val="nil"/>
              <w:left w:val="nil"/>
              <w:bottom w:val="single" w:sz="4" w:space="0" w:color="auto"/>
              <w:right w:val="nil"/>
            </w:tcBorders>
            <w:shd w:val="clear" w:color="auto" w:fill="FF0000"/>
          </w:tcPr>
          <w:p w14:paraId="7DD38572"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36B36A24" w14:textId="77777777" w:rsidR="00CE1436" w:rsidRPr="002F78E5" w:rsidRDefault="00CE1436" w:rsidP="002F78E5">
            <w:pPr>
              <w:pStyle w:val="TableText"/>
              <w:jc w:val="center"/>
            </w:pPr>
            <w:r w:rsidRPr="002F78E5">
              <w:t>54</w:t>
            </w:r>
          </w:p>
        </w:tc>
      </w:tr>
      <w:tr w:rsidR="00CE1436" w14:paraId="772DEC48" w14:textId="77777777" w:rsidTr="002F78E5">
        <w:trPr>
          <w:trHeight w:val="113"/>
        </w:trPr>
        <w:tc>
          <w:tcPr>
            <w:tcW w:w="1091" w:type="dxa"/>
            <w:vMerge/>
            <w:tcBorders>
              <w:left w:val="nil"/>
              <w:right w:val="nil"/>
            </w:tcBorders>
          </w:tcPr>
          <w:p w14:paraId="2047F589"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03A33A00" w14:textId="77777777" w:rsidR="00CE1436" w:rsidRPr="002F78E5" w:rsidRDefault="00CE1436" w:rsidP="002F78E5">
            <w:pPr>
              <w:pStyle w:val="TableText"/>
            </w:pPr>
            <w:r w:rsidRPr="002F78E5">
              <w:t>Orchards</w:t>
            </w:r>
          </w:p>
        </w:tc>
        <w:tc>
          <w:tcPr>
            <w:tcW w:w="1514" w:type="dxa"/>
            <w:tcBorders>
              <w:top w:val="single" w:sz="4" w:space="0" w:color="auto"/>
              <w:left w:val="nil"/>
              <w:bottom w:val="nil"/>
              <w:right w:val="nil"/>
            </w:tcBorders>
          </w:tcPr>
          <w:p w14:paraId="27F4D271" w14:textId="77777777" w:rsidR="00CE1436" w:rsidRPr="002F78E5" w:rsidRDefault="00CE1436" w:rsidP="002F78E5">
            <w:pPr>
              <w:pStyle w:val="TableText"/>
            </w:pPr>
            <w:r w:rsidRPr="002F78E5">
              <w:t>Orchards</w:t>
            </w:r>
          </w:p>
        </w:tc>
        <w:tc>
          <w:tcPr>
            <w:tcW w:w="1843" w:type="dxa"/>
            <w:tcBorders>
              <w:top w:val="single" w:sz="4" w:space="0" w:color="auto"/>
              <w:left w:val="nil"/>
              <w:bottom w:val="nil"/>
              <w:right w:val="nil"/>
            </w:tcBorders>
          </w:tcPr>
          <w:p w14:paraId="7639F49E" w14:textId="77777777" w:rsidR="00CE1436" w:rsidRPr="002F78E5" w:rsidRDefault="00CE1436" w:rsidP="002F78E5">
            <w:pPr>
              <w:pStyle w:val="TableText"/>
            </w:pPr>
            <w:r w:rsidRPr="002F78E5">
              <w:t>From 1× 600 g ac/ha</w:t>
            </w:r>
          </w:p>
        </w:tc>
        <w:tc>
          <w:tcPr>
            <w:tcW w:w="1134" w:type="dxa"/>
            <w:tcBorders>
              <w:left w:val="nil"/>
              <w:bottom w:val="nil"/>
              <w:right w:val="nil"/>
            </w:tcBorders>
            <w:shd w:val="clear" w:color="auto" w:fill="FF0000"/>
          </w:tcPr>
          <w:p w14:paraId="286A3AC0" w14:textId="77777777" w:rsidR="00CE1436" w:rsidRPr="002F78E5" w:rsidRDefault="00CE1436" w:rsidP="002F78E5">
            <w:pPr>
              <w:pStyle w:val="TableText"/>
              <w:jc w:val="center"/>
            </w:pPr>
            <w:r w:rsidRPr="002F78E5">
              <w:t>No</w:t>
            </w:r>
          </w:p>
        </w:tc>
        <w:tc>
          <w:tcPr>
            <w:tcW w:w="918" w:type="dxa"/>
            <w:tcBorders>
              <w:left w:val="nil"/>
              <w:bottom w:val="nil"/>
              <w:right w:val="nil"/>
            </w:tcBorders>
          </w:tcPr>
          <w:p w14:paraId="0E5C9A37" w14:textId="77777777" w:rsidR="00CE1436" w:rsidRPr="002F78E5" w:rsidRDefault="00CE1436" w:rsidP="002F78E5">
            <w:pPr>
              <w:pStyle w:val="TableText"/>
              <w:jc w:val="center"/>
            </w:pPr>
            <w:r w:rsidRPr="002F78E5">
              <w:t>377</w:t>
            </w:r>
          </w:p>
        </w:tc>
        <w:tc>
          <w:tcPr>
            <w:tcW w:w="1208" w:type="dxa"/>
            <w:tcBorders>
              <w:left w:val="nil"/>
              <w:bottom w:val="nil"/>
              <w:right w:val="nil"/>
            </w:tcBorders>
            <w:shd w:val="clear" w:color="auto" w:fill="FF0000"/>
          </w:tcPr>
          <w:p w14:paraId="1194E7E1" w14:textId="77777777" w:rsidR="00CE1436" w:rsidRPr="002F78E5" w:rsidRDefault="00CE1436" w:rsidP="002F78E5">
            <w:pPr>
              <w:pStyle w:val="TableText"/>
              <w:jc w:val="center"/>
            </w:pPr>
            <w:r w:rsidRPr="002F78E5">
              <w:t>No</w:t>
            </w:r>
          </w:p>
        </w:tc>
        <w:tc>
          <w:tcPr>
            <w:tcW w:w="844" w:type="dxa"/>
            <w:tcBorders>
              <w:left w:val="nil"/>
              <w:bottom w:val="nil"/>
              <w:right w:val="nil"/>
            </w:tcBorders>
          </w:tcPr>
          <w:p w14:paraId="1890698C" w14:textId="77777777" w:rsidR="00CE1436" w:rsidRPr="002F78E5" w:rsidRDefault="00CE1436" w:rsidP="002F78E5">
            <w:pPr>
              <w:pStyle w:val="TableText"/>
              <w:jc w:val="center"/>
            </w:pPr>
            <w:r w:rsidRPr="002F78E5">
              <w:t>54</w:t>
            </w:r>
          </w:p>
        </w:tc>
      </w:tr>
      <w:tr w:rsidR="00CE1436" w14:paraId="7FEDF4BF" w14:textId="77777777" w:rsidTr="002F78E5">
        <w:trPr>
          <w:trHeight w:val="113"/>
        </w:trPr>
        <w:tc>
          <w:tcPr>
            <w:tcW w:w="1091" w:type="dxa"/>
            <w:vMerge/>
            <w:tcBorders>
              <w:left w:val="nil"/>
              <w:right w:val="nil"/>
            </w:tcBorders>
          </w:tcPr>
          <w:p w14:paraId="37CE90D9"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0A97B711"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7956BFAB" w14:textId="77777777" w:rsidR="00CE1436" w:rsidRPr="002F78E5" w:rsidRDefault="00CE1436" w:rsidP="002F78E5">
            <w:pPr>
              <w:pStyle w:val="TableText"/>
            </w:pPr>
            <w:r w:rsidRPr="002F78E5">
              <w:t>Spot spray in orchards</w:t>
            </w:r>
          </w:p>
        </w:tc>
        <w:tc>
          <w:tcPr>
            <w:tcW w:w="1843" w:type="dxa"/>
            <w:tcBorders>
              <w:top w:val="nil"/>
              <w:left w:val="nil"/>
              <w:bottom w:val="single" w:sz="4" w:space="0" w:color="auto"/>
              <w:right w:val="nil"/>
            </w:tcBorders>
          </w:tcPr>
          <w:p w14:paraId="100401AE" w14:textId="77777777" w:rsidR="00CE1436" w:rsidRPr="002F78E5" w:rsidRDefault="00CE1436" w:rsidP="002F78E5">
            <w:pPr>
              <w:pStyle w:val="TableText"/>
            </w:pPr>
            <w:r w:rsidRPr="002F78E5">
              <w:t>1× 500 g ac/ha</w:t>
            </w:r>
          </w:p>
          <w:p w14:paraId="04C11BC0" w14:textId="77777777" w:rsidR="00CE1436" w:rsidRPr="002F78E5" w:rsidRDefault="00CE1436" w:rsidP="002F78E5">
            <w:pPr>
              <w:pStyle w:val="TableText"/>
            </w:pPr>
            <w:r w:rsidRPr="002F78E5">
              <w:t>(200 g ac/ha)</w:t>
            </w:r>
          </w:p>
        </w:tc>
        <w:tc>
          <w:tcPr>
            <w:tcW w:w="1134" w:type="dxa"/>
            <w:tcBorders>
              <w:top w:val="nil"/>
              <w:left w:val="nil"/>
              <w:bottom w:val="single" w:sz="4" w:space="0" w:color="auto"/>
              <w:right w:val="nil"/>
            </w:tcBorders>
            <w:shd w:val="clear" w:color="auto" w:fill="92D050"/>
          </w:tcPr>
          <w:p w14:paraId="7F523650" w14:textId="77777777" w:rsidR="00CE1436" w:rsidRPr="002F78E5" w:rsidRDefault="00CE1436" w:rsidP="002F78E5">
            <w:pPr>
              <w:pStyle w:val="TableText"/>
              <w:jc w:val="center"/>
            </w:pPr>
            <w:r w:rsidRPr="002F78E5">
              <w:t>Yes</w:t>
            </w:r>
          </w:p>
        </w:tc>
        <w:tc>
          <w:tcPr>
            <w:tcW w:w="918" w:type="dxa"/>
            <w:tcBorders>
              <w:top w:val="nil"/>
              <w:left w:val="nil"/>
              <w:bottom w:val="single" w:sz="4" w:space="0" w:color="auto"/>
              <w:right w:val="nil"/>
            </w:tcBorders>
          </w:tcPr>
          <w:p w14:paraId="0FFAA9A8" w14:textId="77777777" w:rsidR="00CE1436" w:rsidRPr="002F78E5" w:rsidRDefault="00CE1436" w:rsidP="002F78E5">
            <w:pPr>
              <w:pStyle w:val="TableText"/>
              <w:jc w:val="center"/>
            </w:pPr>
            <w:r w:rsidRPr="002F78E5">
              <w:t>377</w:t>
            </w:r>
          </w:p>
        </w:tc>
        <w:tc>
          <w:tcPr>
            <w:tcW w:w="1208" w:type="dxa"/>
            <w:tcBorders>
              <w:top w:val="nil"/>
              <w:left w:val="nil"/>
              <w:bottom w:val="single" w:sz="4" w:space="0" w:color="auto"/>
              <w:right w:val="nil"/>
            </w:tcBorders>
            <w:shd w:val="clear" w:color="auto" w:fill="FF0000"/>
          </w:tcPr>
          <w:p w14:paraId="1E4B389F"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46C7F424" w14:textId="77777777" w:rsidR="00CE1436" w:rsidRPr="002F78E5" w:rsidRDefault="00CE1436" w:rsidP="002F78E5">
            <w:pPr>
              <w:pStyle w:val="TableText"/>
              <w:jc w:val="center"/>
            </w:pPr>
            <w:r w:rsidRPr="002F78E5">
              <w:t>54</w:t>
            </w:r>
          </w:p>
        </w:tc>
      </w:tr>
      <w:tr w:rsidR="00CE1436" w14:paraId="7DB2C291" w14:textId="77777777" w:rsidTr="002F78E5">
        <w:trPr>
          <w:trHeight w:val="113"/>
        </w:trPr>
        <w:tc>
          <w:tcPr>
            <w:tcW w:w="1091" w:type="dxa"/>
            <w:vMerge/>
            <w:tcBorders>
              <w:left w:val="nil"/>
              <w:right w:val="nil"/>
            </w:tcBorders>
          </w:tcPr>
          <w:p w14:paraId="66D34443" w14:textId="77777777" w:rsidR="00CE1436" w:rsidRPr="002F78E5" w:rsidRDefault="00CE1436" w:rsidP="002F78E5">
            <w:pPr>
              <w:pStyle w:val="TableText"/>
            </w:pPr>
          </w:p>
        </w:tc>
        <w:tc>
          <w:tcPr>
            <w:tcW w:w="1076" w:type="dxa"/>
            <w:tcBorders>
              <w:top w:val="single" w:sz="4" w:space="0" w:color="auto"/>
              <w:left w:val="nil"/>
              <w:bottom w:val="single" w:sz="4" w:space="0" w:color="auto"/>
              <w:right w:val="nil"/>
            </w:tcBorders>
          </w:tcPr>
          <w:p w14:paraId="51EEA85D" w14:textId="77777777" w:rsidR="00CE1436" w:rsidRPr="002F78E5" w:rsidRDefault="00CE1436" w:rsidP="002F78E5">
            <w:pPr>
              <w:pStyle w:val="TableText"/>
            </w:pPr>
            <w:r w:rsidRPr="002F78E5">
              <w:t>Potato</w:t>
            </w:r>
          </w:p>
        </w:tc>
        <w:tc>
          <w:tcPr>
            <w:tcW w:w="1514" w:type="dxa"/>
            <w:tcBorders>
              <w:top w:val="single" w:sz="4" w:space="0" w:color="auto"/>
              <w:left w:val="nil"/>
              <w:bottom w:val="single" w:sz="4" w:space="0" w:color="auto"/>
              <w:right w:val="nil"/>
            </w:tcBorders>
          </w:tcPr>
          <w:p w14:paraId="4BBDD273" w14:textId="77777777" w:rsidR="00CE1436" w:rsidRPr="002F78E5" w:rsidRDefault="00CE1436" w:rsidP="002F78E5">
            <w:pPr>
              <w:pStyle w:val="TableText"/>
            </w:pPr>
            <w:r w:rsidRPr="002F78E5">
              <w:t>Potatoes (pre-harvest)</w:t>
            </w:r>
          </w:p>
        </w:tc>
        <w:tc>
          <w:tcPr>
            <w:tcW w:w="1843" w:type="dxa"/>
            <w:tcBorders>
              <w:top w:val="single" w:sz="4" w:space="0" w:color="auto"/>
              <w:left w:val="nil"/>
              <w:bottom w:val="single" w:sz="4" w:space="0" w:color="auto"/>
              <w:right w:val="nil"/>
            </w:tcBorders>
          </w:tcPr>
          <w:p w14:paraId="4C3F5760" w14:textId="77777777" w:rsidR="00CE1436" w:rsidRPr="002F78E5" w:rsidRDefault="00CE1436" w:rsidP="002F78E5">
            <w:pPr>
              <w:pStyle w:val="TableText"/>
            </w:pPr>
            <w:r w:rsidRPr="002F78E5">
              <w:t>1× 525 g ac/ha</w:t>
            </w:r>
          </w:p>
        </w:tc>
        <w:tc>
          <w:tcPr>
            <w:tcW w:w="1134" w:type="dxa"/>
            <w:tcBorders>
              <w:top w:val="single" w:sz="4" w:space="0" w:color="auto"/>
              <w:left w:val="nil"/>
              <w:bottom w:val="single" w:sz="4" w:space="0" w:color="auto"/>
              <w:right w:val="nil"/>
            </w:tcBorders>
            <w:shd w:val="clear" w:color="auto" w:fill="FF0000"/>
          </w:tcPr>
          <w:p w14:paraId="3507D04C" w14:textId="77777777" w:rsidR="00CE1436" w:rsidRPr="002F78E5" w:rsidRDefault="00CE1436" w:rsidP="002F78E5">
            <w:pPr>
              <w:pStyle w:val="TableText"/>
              <w:jc w:val="center"/>
            </w:pPr>
            <w:r w:rsidRPr="002F78E5">
              <w:t>No</w:t>
            </w:r>
          </w:p>
        </w:tc>
        <w:tc>
          <w:tcPr>
            <w:tcW w:w="918" w:type="dxa"/>
            <w:tcBorders>
              <w:top w:val="single" w:sz="4" w:space="0" w:color="auto"/>
              <w:left w:val="nil"/>
              <w:bottom w:val="single" w:sz="4" w:space="0" w:color="auto"/>
              <w:right w:val="nil"/>
            </w:tcBorders>
          </w:tcPr>
          <w:p w14:paraId="07CEC5F6" w14:textId="77777777" w:rsidR="00CE1436" w:rsidRPr="002F78E5" w:rsidRDefault="00CE1436" w:rsidP="002F78E5">
            <w:pPr>
              <w:pStyle w:val="TableText"/>
              <w:jc w:val="center"/>
            </w:pPr>
            <w:r w:rsidRPr="002F78E5">
              <w:t>226</w:t>
            </w:r>
          </w:p>
        </w:tc>
        <w:tc>
          <w:tcPr>
            <w:tcW w:w="1208" w:type="dxa"/>
            <w:tcBorders>
              <w:top w:val="single" w:sz="4" w:space="0" w:color="auto"/>
              <w:left w:val="nil"/>
              <w:bottom w:val="single" w:sz="4" w:space="0" w:color="auto"/>
              <w:right w:val="nil"/>
            </w:tcBorders>
            <w:shd w:val="clear" w:color="auto" w:fill="FF0000"/>
          </w:tcPr>
          <w:p w14:paraId="228D1362" w14:textId="77777777" w:rsidR="00CE1436" w:rsidRPr="002F78E5" w:rsidRDefault="00CE1436" w:rsidP="002F78E5">
            <w:pPr>
              <w:pStyle w:val="TableText"/>
              <w:jc w:val="center"/>
            </w:pPr>
            <w:r w:rsidRPr="002F78E5">
              <w:t>No</w:t>
            </w:r>
          </w:p>
        </w:tc>
        <w:tc>
          <w:tcPr>
            <w:tcW w:w="844" w:type="dxa"/>
            <w:tcBorders>
              <w:top w:val="single" w:sz="4" w:space="0" w:color="auto"/>
              <w:left w:val="nil"/>
              <w:bottom w:val="single" w:sz="4" w:space="0" w:color="auto"/>
              <w:right w:val="nil"/>
            </w:tcBorders>
          </w:tcPr>
          <w:p w14:paraId="192D661A" w14:textId="77777777" w:rsidR="00CE1436" w:rsidRPr="002F78E5" w:rsidRDefault="00CE1436" w:rsidP="002F78E5">
            <w:pPr>
              <w:pStyle w:val="TableText"/>
              <w:jc w:val="center"/>
            </w:pPr>
            <w:r w:rsidRPr="002F78E5">
              <w:t>363</w:t>
            </w:r>
          </w:p>
        </w:tc>
      </w:tr>
      <w:tr w:rsidR="00CE1436" w14:paraId="057B5E43" w14:textId="77777777" w:rsidTr="002F78E5">
        <w:trPr>
          <w:trHeight w:val="113"/>
        </w:trPr>
        <w:tc>
          <w:tcPr>
            <w:tcW w:w="1091" w:type="dxa"/>
            <w:vMerge/>
            <w:tcBorders>
              <w:left w:val="nil"/>
              <w:right w:val="nil"/>
            </w:tcBorders>
          </w:tcPr>
          <w:p w14:paraId="4DDF2DAF" w14:textId="77777777" w:rsidR="00CE1436" w:rsidRPr="002F78E5" w:rsidRDefault="00CE1436" w:rsidP="002F78E5">
            <w:pPr>
              <w:pStyle w:val="TableText"/>
            </w:pPr>
          </w:p>
        </w:tc>
        <w:tc>
          <w:tcPr>
            <w:tcW w:w="1076" w:type="dxa"/>
            <w:tcBorders>
              <w:top w:val="single" w:sz="4" w:space="0" w:color="auto"/>
              <w:left w:val="nil"/>
              <w:bottom w:val="nil"/>
              <w:right w:val="nil"/>
            </w:tcBorders>
          </w:tcPr>
          <w:p w14:paraId="05E879E7" w14:textId="77777777" w:rsidR="00CE1436" w:rsidRPr="002F78E5" w:rsidRDefault="00CE1436" w:rsidP="002F78E5">
            <w:pPr>
              <w:pStyle w:val="TableText"/>
            </w:pPr>
            <w:r w:rsidRPr="002F78E5">
              <w:t>Vineyards</w:t>
            </w:r>
          </w:p>
        </w:tc>
        <w:tc>
          <w:tcPr>
            <w:tcW w:w="1514" w:type="dxa"/>
            <w:tcBorders>
              <w:top w:val="single" w:sz="4" w:space="0" w:color="auto"/>
              <w:left w:val="nil"/>
              <w:bottom w:val="nil"/>
              <w:right w:val="nil"/>
            </w:tcBorders>
          </w:tcPr>
          <w:p w14:paraId="429958E7" w14:textId="77777777" w:rsidR="00CE1436" w:rsidRPr="002F78E5" w:rsidRDefault="00CE1436" w:rsidP="002F78E5">
            <w:pPr>
              <w:pStyle w:val="TableText"/>
            </w:pPr>
            <w:r w:rsidRPr="002F78E5">
              <w:t>Vineyards</w:t>
            </w:r>
          </w:p>
        </w:tc>
        <w:tc>
          <w:tcPr>
            <w:tcW w:w="1843" w:type="dxa"/>
            <w:tcBorders>
              <w:top w:val="single" w:sz="4" w:space="0" w:color="auto"/>
              <w:left w:val="nil"/>
              <w:bottom w:val="nil"/>
              <w:right w:val="nil"/>
            </w:tcBorders>
          </w:tcPr>
          <w:p w14:paraId="0FF4626C" w14:textId="77777777" w:rsidR="00CE1436" w:rsidRPr="002F78E5" w:rsidRDefault="00CE1436" w:rsidP="002F78E5">
            <w:pPr>
              <w:pStyle w:val="TableText"/>
            </w:pPr>
            <w:r w:rsidRPr="002F78E5">
              <w:t>From 1× 600 g ac/ha</w:t>
            </w:r>
          </w:p>
        </w:tc>
        <w:tc>
          <w:tcPr>
            <w:tcW w:w="1134" w:type="dxa"/>
            <w:tcBorders>
              <w:top w:val="single" w:sz="4" w:space="0" w:color="auto"/>
              <w:left w:val="nil"/>
              <w:bottom w:val="nil"/>
              <w:right w:val="nil"/>
            </w:tcBorders>
            <w:shd w:val="clear" w:color="auto" w:fill="FF0000"/>
          </w:tcPr>
          <w:p w14:paraId="2D708E2B" w14:textId="77777777" w:rsidR="00CE1436" w:rsidRPr="002F78E5" w:rsidRDefault="00CE1436" w:rsidP="002F78E5">
            <w:pPr>
              <w:pStyle w:val="TableText"/>
              <w:jc w:val="center"/>
            </w:pPr>
            <w:r w:rsidRPr="002F78E5">
              <w:t>No</w:t>
            </w:r>
          </w:p>
        </w:tc>
        <w:tc>
          <w:tcPr>
            <w:tcW w:w="918" w:type="dxa"/>
            <w:tcBorders>
              <w:top w:val="single" w:sz="4" w:space="0" w:color="auto"/>
              <w:left w:val="nil"/>
              <w:bottom w:val="nil"/>
              <w:right w:val="nil"/>
            </w:tcBorders>
          </w:tcPr>
          <w:p w14:paraId="520AE5A8" w14:textId="77777777" w:rsidR="00CE1436" w:rsidRPr="002F78E5" w:rsidRDefault="00CE1436" w:rsidP="002F78E5">
            <w:pPr>
              <w:pStyle w:val="TableText"/>
              <w:jc w:val="center"/>
            </w:pPr>
            <w:r w:rsidRPr="002F78E5">
              <w:t>377</w:t>
            </w:r>
          </w:p>
        </w:tc>
        <w:tc>
          <w:tcPr>
            <w:tcW w:w="1208" w:type="dxa"/>
            <w:tcBorders>
              <w:top w:val="single" w:sz="4" w:space="0" w:color="auto"/>
              <w:left w:val="nil"/>
              <w:bottom w:val="nil"/>
              <w:right w:val="nil"/>
            </w:tcBorders>
            <w:shd w:val="clear" w:color="auto" w:fill="FF0000"/>
          </w:tcPr>
          <w:p w14:paraId="0719364D" w14:textId="77777777" w:rsidR="00CE1436" w:rsidRPr="002F78E5" w:rsidRDefault="00CE1436" w:rsidP="002F78E5">
            <w:pPr>
              <w:pStyle w:val="TableText"/>
              <w:jc w:val="center"/>
            </w:pPr>
            <w:r w:rsidRPr="002F78E5">
              <w:t>No</w:t>
            </w:r>
          </w:p>
        </w:tc>
        <w:tc>
          <w:tcPr>
            <w:tcW w:w="844" w:type="dxa"/>
            <w:tcBorders>
              <w:top w:val="single" w:sz="4" w:space="0" w:color="auto"/>
              <w:left w:val="nil"/>
              <w:bottom w:val="nil"/>
              <w:right w:val="nil"/>
            </w:tcBorders>
          </w:tcPr>
          <w:p w14:paraId="6D44DA66" w14:textId="77777777" w:rsidR="00CE1436" w:rsidRPr="002F78E5" w:rsidRDefault="00CE1436" w:rsidP="002F78E5">
            <w:pPr>
              <w:pStyle w:val="TableText"/>
              <w:jc w:val="center"/>
            </w:pPr>
            <w:r w:rsidRPr="002F78E5">
              <w:t>54</w:t>
            </w:r>
          </w:p>
        </w:tc>
      </w:tr>
      <w:tr w:rsidR="00CE1436" w14:paraId="7379C8E6" w14:textId="77777777" w:rsidTr="002F78E5">
        <w:trPr>
          <w:trHeight w:val="113"/>
        </w:trPr>
        <w:tc>
          <w:tcPr>
            <w:tcW w:w="1091" w:type="dxa"/>
            <w:vMerge/>
            <w:tcBorders>
              <w:left w:val="nil"/>
              <w:bottom w:val="single" w:sz="4" w:space="0" w:color="auto"/>
              <w:right w:val="nil"/>
            </w:tcBorders>
          </w:tcPr>
          <w:p w14:paraId="68DBF6B2" w14:textId="77777777" w:rsidR="00CE1436" w:rsidRPr="002F78E5" w:rsidRDefault="00CE1436" w:rsidP="002F78E5">
            <w:pPr>
              <w:pStyle w:val="TableText"/>
            </w:pPr>
          </w:p>
        </w:tc>
        <w:tc>
          <w:tcPr>
            <w:tcW w:w="1076" w:type="dxa"/>
            <w:tcBorders>
              <w:top w:val="nil"/>
              <w:left w:val="nil"/>
              <w:bottom w:val="single" w:sz="4" w:space="0" w:color="auto"/>
              <w:right w:val="nil"/>
            </w:tcBorders>
          </w:tcPr>
          <w:p w14:paraId="5993FA02" w14:textId="77777777" w:rsidR="00CE1436" w:rsidRPr="002F78E5" w:rsidRDefault="00CE1436" w:rsidP="002F78E5">
            <w:pPr>
              <w:pStyle w:val="TableText"/>
            </w:pPr>
          </w:p>
        </w:tc>
        <w:tc>
          <w:tcPr>
            <w:tcW w:w="1514" w:type="dxa"/>
            <w:tcBorders>
              <w:top w:val="nil"/>
              <w:left w:val="nil"/>
              <w:bottom w:val="single" w:sz="4" w:space="0" w:color="auto"/>
              <w:right w:val="nil"/>
            </w:tcBorders>
          </w:tcPr>
          <w:p w14:paraId="1CEAF56C" w14:textId="77777777" w:rsidR="00CE1436" w:rsidRPr="002F78E5" w:rsidRDefault="00CE1436" w:rsidP="002F78E5">
            <w:pPr>
              <w:pStyle w:val="TableText"/>
            </w:pPr>
            <w:r w:rsidRPr="002F78E5">
              <w:t>Spot spray in vineyards</w:t>
            </w:r>
          </w:p>
        </w:tc>
        <w:tc>
          <w:tcPr>
            <w:tcW w:w="1843" w:type="dxa"/>
            <w:tcBorders>
              <w:top w:val="nil"/>
              <w:left w:val="nil"/>
              <w:bottom w:val="single" w:sz="4" w:space="0" w:color="auto"/>
              <w:right w:val="nil"/>
            </w:tcBorders>
          </w:tcPr>
          <w:p w14:paraId="7CD5E9C7" w14:textId="77777777" w:rsidR="00CE1436" w:rsidRPr="002F78E5" w:rsidRDefault="00CE1436" w:rsidP="002F78E5">
            <w:pPr>
              <w:pStyle w:val="TableText"/>
            </w:pPr>
            <w:r w:rsidRPr="002F78E5">
              <w:t>1× 500 g ac/ha</w:t>
            </w:r>
          </w:p>
          <w:p w14:paraId="35766451" w14:textId="77777777" w:rsidR="00CE1436" w:rsidRPr="002F78E5" w:rsidRDefault="00CE1436" w:rsidP="002F78E5">
            <w:pPr>
              <w:pStyle w:val="TableText"/>
            </w:pPr>
            <w:r w:rsidRPr="002F78E5">
              <w:t>(200 g ac/ha)</w:t>
            </w:r>
          </w:p>
        </w:tc>
        <w:tc>
          <w:tcPr>
            <w:tcW w:w="1134" w:type="dxa"/>
            <w:tcBorders>
              <w:top w:val="nil"/>
              <w:left w:val="nil"/>
              <w:bottom w:val="single" w:sz="4" w:space="0" w:color="auto"/>
              <w:right w:val="nil"/>
            </w:tcBorders>
            <w:shd w:val="clear" w:color="auto" w:fill="92D050"/>
          </w:tcPr>
          <w:p w14:paraId="19F335FE" w14:textId="77777777" w:rsidR="00CE1436" w:rsidRPr="002F78E5" w:rsidRDefault="00CE1436" w:rsidP="002F78E5">
            <w:pPr>
              <w:pStyle w:val="TableText"/>
              <w:jc w:val="center"/>
            </w:pPr>
            <w:r w:rsidRPr="002F78E5">
              <w:t>Yes</w:t>
            </w:r>
          </w:p>
        </w:tc>
        <w:tc>
          <w:tcPr>
            <w:tcW w:w="918" w:type="dxa"/>
            <w:tcBorders>
              <w:top w:val="nil"/>
              <w:left w:val="nil"/>
              <w:bottom w:val="single" w:sz="4" w:space="0" w:color="auto"/>
              <w:right w:val="nil"/>
            </w:tcBorders>
          </w:tcPr>
          <w:p w14:paraId="226B1E74" w14:textId="77777777" w:rsidR="00CE1436" w:rsidRPr="002F78E5" w:rsidRDefault="00CE1436" w:rsidP="002F78E5">
            <w:pPr>
              <w:pStyle w:val="TableText"/>
              <w:jc w:val="center"/>
            </w:pPr>
            <w:r w:rsidRPr="002F78E5">
              <w:t>377</w:t>
            </w:r>
          </w:p>
        </w:tc>
        <w:tc>
          <w:tcPr>
            <w:tcW w:w="1208" w:type="dxa"/>
            <w:tcBorders>
              <w:top w:val="nil"/>
              <w:left w:val="nil"/>
              <w:bottom w:val="single" w:sz="4" w:space="0" w:color="auto"/>
              <w:right w:val="nil"/>
            </w:tcBorders>
            <w:shd w:val="clear" w:color="auto" w:fill="FF0000"/>
          </w:tcPr>
          <w:p w14:paraId="027BFF11" w14:textId="77777777" w:rsidR="00CE1436" w:rsidRPr="002F78E5" w:rsidRDefault="00CE1436" w:rsidP="002F78E5">
            <w:pPr>
              <w:pStyle w:val="TableText"/>
              <w:jc w:val="center"/>
            </w:pPr>
            <w:r w:rsidRPr="002F78E5">
              <w:t>No</w:t>
            </w:r>
          </w:p>
        </w:tc>
        <w:tc>
          <w:tcPr>
            <w:tcW w:w="844" w:type="dxa"/>
            <w:tcBorders>
              <w:top w:val="nil"/>
              <w:left w:val="nil"/>
              <w:bottom w:val="single" w:sz="4" w:space="0" w:color="auto"/>
              <w:right w:val="nil"/>
            </w:tcBorders>
          </w:tcPr>
          <w:p w14:paraId="69F4E81E" w14:textId="77777777" w:rsidR="00CE1436" w:rsidRPr="002F78E5" w:rsidRDefault="00CE1436" w:rsidP="002F78E5">
            <w:pPr>
              <w:pStyle w:val="TableText"/>
              <w:jc w:val="center"/>
            </w:pPr>
            <w:r w:rsidRPr="002F78E5">
              <w:t>54</w:t>
            </w:r>
          </w:p>
        </w:tc>
      </w:tr>
    </w:tbl>
    <w:p w14:paraId="57C1E2C7" w14:textId="01C7C6EE" w:rsidR="00CE1436" w:rsidRPr="00D63217" w:rsidRDefault="00CE1436" w:rsidP="003F6C71">
      <w:pPr>
        <w:pStyle w:val="SourceTableNote"/>
        <w:sectPr w:rsidR="00CE1436" w:rsidRPr="00D63217" w:rsidSect="003023C5">
          <w:headerReference w:type="even" r:id="rId58"/>
          <w:headerReference w:type="default" r:id="rId59"/>
          <w:pgSz w:w="11906" w:h="16838" w:code="9"/>
          <w:pgMar w:top="2835" w:right="1134" w:bottom="1134" w:left="1134" w:header="1701" w:footer="680" w:gutter="0"/>
          <w:cols w:space="708"/>
          <w:docGrid w:linePitch="360"/>
        </w:sectPr>
      </w:pPr>
      <w:r>
        <w:rPr>
          <w:sz w:val="17"/>
          <w:szCs w:val="17"/>
        </w:rPr>
        <w:t>WOE = weight-of-evidence, the risk assessment conclusion is based on a weight-of-evidence argument</w:t>
      </w:r>
    </w:p>
    <w:p w14:paraId="4425CF0C" w14:textId="77777777" w:rsidR="009A7378" w:rsidRPr="00D63217" w:rsidRDefault="009A7378" w:rsidP="002F78E5">
      <w:pPr>
        <w:pStyle w:val="AppendixH1"/>
      </w:pPr>
      <w:bookmarkStart w:id="750" w:name="_Toc149734924"/>
      <w:bookmarkStart w:id="751" w:name="_Toc153649661"/>
      <w:bookmarkStart w:id="752" w:name="_Toc156980644"/>
      <w:bookmarkStart w:id="753" w:name="_Toc157602776"/>
      <w:bookmarkStart w:id="754" w:name="_Toc231480936"/>
      <w:bookmarkStart w:id="755" w:name="_Toc233036484"/>
      <w:r w:rsidRPr="00D63217">
        <w:lastRenderedPageBreak/>
        <w:t>Appendix D –</w:t>
      </w:r>
      <w:bookmarkStart w:id="756" w:name="_Toc153649662"/>
      <w:bookmarkStart w:id="757" w:name="_Toc156980645"/>
      <w:bookmarkEnd w:id="750"/>
      <w:bookmarkEnd w:id="751"/>
      <w:bookmarkEnd w:id="752"/>
      <w:r w:rsidRPr="00D63217">
        <w:t xml:space="preserve"> PBT and POP assessments</w:t>
      </w:r>
      <w:bookmarkEnd w:id="753"/>
      <w:bookmarkEnd w:id="754"/>
      <w:bookmarkEnd w:id="755"/>
      <w:bookmarkEnd w:id="756"/>
      <w:bookmarkEnd w:id="757"/>
    </w:p>
    <w:p w14:paraId="7984E8A1" w14:textId="77777777" w:rsidR="009A7378" w:rsidRPr="00D63217" w:rsidRDefault="009A7378" w:rsidP="00AD6B16">
      <w:pPr>
        <w:pStyle w:val="NormalText"/>
      </w:pPr>
      <w:r w:rsidRPr="00D63217">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7ADD708E" w14:textId="77777777" w:rsidR="009A7378" w:rsidRPr="00D63217" w:rsidRDefault="009A7378" w:rsidP="002F78E5">
      <w:pPr>
        <w:pStyle w:val="AppendixH2"/>
      </w:pPr>
      <w:bookmarkStart w:id="758" w:name="_Toc231480937"/>
      <w:r w:rsidRPr="00D63217">
        <w:t>Persistence criterion</w:t>
      </w:r>
      <w:bookmarkEnd w:id="758"/>
    </w:p>
    <w:p w14:paraId="1C33F265" w14:textId="77777777" w:rsidR="009A7378" w:rsidRPr="00D63217" w:rsidRDefault="009A7378" w:rsidP="00AD6B16">
      <w:pPr>
        <w:pStyle w:val="NormalText"/>
      </w:pPr>
      <w:r w:rsidRPr="00D63217">
        <w:t>The criteria for persistence in Annex D of the convention are expressed as follows:</w:t>
      </w:r>
    </w:p>
    <w:p w14:paraId="0FE6DB72" w14:textId="2FFDCB11" w:rsidR="009A7378" w:rsidRPr="00D63217" w:rsidRDefault="009A7378" w:rsidP="00AD6B16">
      <w:pPr>
        <w:pStyle w:val="ListNumbered"/>
      </w:pPr>
      <w:r w:rsidRPr="00D63217">
        <w:t xml:space="preserve">Evidence that the half-life of the chemical in water is greater than </w:t>
      </w:r>
      <w:r w:rsidR="004128B4" w:rsidRPr="00D63217">
        <w:t>2</w:t>
      </w:r>
      <w:r w:rsidRPr="00D63217">
        <w:t xml:space="preserve"> months (60 days), or that its half-life in soil is greater than </w:t>
      </w:r>
      <w:r w:rsidR="004128B4" w:rsidRPr="00D63217">
        <w:t>6</w:t>
      </w:r>
      <w:r w:rsidRPr="00D63217">
        <w:t xml:space="preserve"> months (180 days), or that its half-life in sediment is greater than </w:t>
      </w:r>
      <w:r w:rsidR="004128B4" w:rsidRPr="00D63217">
        <w:t>6</w:t>
      </w:r>
      <w:r w:rsidRPr="00D63217">
        <w:t xml:space="preserve"> months (180 days); or</w:t>
      </w:r>
    </w:p>
    <w:p w14:paraId="267D5438" w14:textId="77777777" w:rsidR="009A7378" w:rsidRPr="00D63217" w:rsidRDefault="009A7378" w:rsidP="00AD6B16">
      <w:pPr>
        <w:pStyle w:val="ListNumbered"/>
      </w:pPr>
      <w:r w:rsidRPr="00D63217">
        <w:t>Evidence that the chemical is otherwise sufficiently persistent to justify its consideration within the scope of the Convention.</w:t>
      </w:r>
    </w:p>
    <w:p w14:paraId="3114BDD7" w14:textId="56BD53C8" w:rsidR="009A7378" w:rsidRPr="00D63217" w:rsidRDefault="009A7378" w:rsidP="00AD6B16">
      <w:pPr>
        <w:pStyle w:val="NormalText"/>
      </w:pPr>
      <w:r w:rsidRPr="00D63217">
        <w:t>As paraquat is not considered readily biodegradable, a weight of evidence approach is followed.</w:t>
      </w:r>
    </w:p>
    <w:p w14:paraId="03C39E40" w14:textId="5BED22D6" w:rsidR="009A7378" w:rsidRPr="00D63217" w:rsidRDefault="009A7378" w:rsidP="00AD6B16">
      <w:pPr>
        <w:pStyle w:val="Bullet1"/>
      </w:pPr>
      <w:r w:rsidRPr="00D63217">
        <w:t>A measured degradation half-life for paraquat in sediment is not available. However, in a water sediment system &gt;90% of the applied paraquat was present in sediment after 100 days (Long et</w:t>
      </w:r>
      <w:r w:rsidR="00143F5A" w:rsidRPr="00D63217">
        <w:t xml:space="preserve"> al,</w:t>
      </w:r>
      <w:r w:rsidRPr="00D63217">
        <w:t xml:space="preserve"> 1996). Therefore, it is reasonable to conclude the DT</w:t>
      </w:r>
      <w:r w:rsidRPr="005C375E">
        <w:rPr>
          <w:vertAlign w:val="subscript"/>
        </w:rPr>
        <w:t>50</w:t>
      </w:r>
      <w:r w:rsidRPr="00D63217">
        <w:t xml:space="preserve"> in sediment is &gt;180 days.</w:t>
      </w:r>
    </w:p>
    <w:p w14:paraId="029AB91F" w14:textId="6F9F880E" w:rsidR="009A7378" w:rsidRPr="00D63217" w:rsidRDefault="009A7378" w:rsidP="00AD6B16">
      <w:pPr>
        <w:pStyle w:val="Bullet1"/>
      </w:pPr>
      <w:r w:rsidRPr="00D63217">
        <w:t>Paraquat was determined to be stable for 180 days in an aerobic study (Vickers et</w:t>
      </w:r>
      <w:r w:rsidR="00143F5A" w:rsidRPr="00D63217">
        <w:t xml:space="preserve"> al,</w:t>
      </w:r>
      <w:r w:rsidRPr="00D63217">
        <w:t xml:space="preserve"> 1989a). Additionally DT</w:t>
      </w:r>
      <w:r w:rsidRPr="005C375E">
        <w:rPr>
          <w:vertAlign w:val="subscript"/>
        </w:rPr>
        <w:t>50</w:t>
      </w:r>
      <w:r w:rsidRPr="00D63217">
        <w:t xml:space="preserve"> values in excess of a year have been observed in several field dissipation studies (Anderson et</w:t>
      </w:r>
      <w:r w:rsidR="00143F5A" w:rsidRPr="00D63217">
        <w:t xml:space="preserve"> al,</w:t>
      </w:r>
      <w:r w:rsidRPr="00D63217">
        <w:t xml:space="preserve"> 1992</w:t>
      </w:r>
      <w:r w:rsidR="008606AF" w:rsidRPr="00D63217">
        <w:t>(</w:t>
      </w:r>
      <w:r w:rsidRPr="00D63217">
        <w:t>a</w:t>
      </w:r>
      <w:r w:rsidR="008606AF" w:rsidRPr="00D63217">
        <w:t>),</w:t>
      </w:r>
      <w:r w:rsidRPr="00D63217">
        <w:t xml:space="preserve"> Anderson et</w:t>
      </w:r>
      <w:r w:rsidR="00143F5A" w:rsidRPr="00D63217">
        <w:t xml:space="preserve"> al,</w:t>
      </w:r>
      <w:r w:rsidRPr="00D63217">
        <w:t xml:space="preserve"> 1992</w:t>
      </w:r>
      <w:r w:rsidR="008606AF" w:rsidRPr="00D63217">
        <w:t>(</w:t>
      </w:r>
      <w:r w:rsidRPr="00D63217">
        <w:t>b</w:t>
      </w:r>
      <w:r w:rsidR="008606AF" w:rsidRPr="00D63217">
        <w:t>)</w:t>
      </w:r>
      <w:r w:rsidRPr="00D63217">
        <w:t>, Anderson et</w:t>
      </w:r>
      <w:r w:rsidR="00143F5A" w:rsidRPr="00D63217">
        <w:t xml:space="preserve"> al,</w:t>
      </w:r>
      <w:r w:rsidRPr="00D63217">
        <w:t xml:space="preserve"> 1992</w:t>
      </w:r>
      <w:r w:rsidR="008606AF" w:rsidRPr="00D63217">
        <w:t>(</w:t>
      </w:r>
      <w:r w:rsidRPr="00D63217">
        <w:t>c</w:t>
      </w:r>
      <w:r w:rsidR="008606AF" w:rsidRPr="00D63217">
        <w:t>)</w:t>
      </w:r>
      <w:r w:rsidRPr="00D63217">
        <w:t>, Anderson et</w:t>
      </w:r>
      <w:r w:rsidR="00143F5A" w:rsidRPr="00D63217">
        <w:t xml:space="preserve"> al,</w:t>
      </w:r>
      <w:r w:rsidRPr="00D63217">
        <w:t xml:space="preserve"> 1992</w:t>
      </w:r>
      <w:r w:rsidR="008606AF" w:rsidRPr="00D63217">
        <w:t>(</w:t>
      </w:r>
      <w:r w:rsidRPr="00D63217">
        <w:t>d</w:t>
      </w:r>
      <w:r w:rsidR="008606AF" w:rsidRPr="00D63217">
        <w:t>)</w:t>
      </w:r>
      <w:r w:rsidRPr="00D63217">
        <w:t>, Dyson &amp; Champman 1995, Dyson et</w:t>
      </w:r>
      <w:r w:rsidR="00143F5A" w:rsidRPr="00D63217">
        <w:t xml:space="preserve"> al,</w:t>
      </w:r>
      <w:r w:rsidRPr="00D63217">
        <w:t xml:space="preserve"> 1995</w:t>
      </w:r>
      <w:r w:rsidR="008606AF" w:rsidRPr="00D63217">
        <w:t>(</w:t>
      </w:r>
      <w:r w:rsidRPr="00D63217">
        <w:t>a</w:t>
      </w:r>
      <w:r w:rsidR="008606AF" w:rsidRPr="00D63217">
        <w:t>)</w:t>
      </w:r>
      <w:r w:rsidRPr="00D63217">
        <w:t>, Dyson et</w:t>
      </w:r>
      <w:r w:rsidR="00143F5A" w:rsidRPr="00D63217">
        <w:t xml:space="preserve"> al,</w:t>
      </w:r>
      <w:r w:rsidRPr="00D63217">
        <w:t xml:space="preserve"> 1995</w:t>
      </w:r>
      <w:r w:rsidR="008606AF" w:rsidRPr="00D63217">
        <w:t>(</w:t>
      </w:r>
      <w:r w:rsidRPr="00D63217">
        <w:t>b</w:t>
      </w:r>
      <w:r w:rsidR="008606AF" w:rsidRPr="00D63217">
        <w:t>)</w:t>
      </w:r>
      <w:r w:rsidRPr="00D63217">
        <w:t>, Earl et</w:t>
      </w:r>
      <w:r w:rsidR="00143F5A" w:rsidRPr="00D63217">
        <w:t xml:space="preserve"> al,</w:t>
      </w:r>
      <w:r w:rsidRPr="00D63217">
        <w:t xml:space="preserve"> 1989, Hance et</w:t>
      </w:r>
      <w:r w:rsidR="00143F5A" w:rsidRPr="00D63217">
        <w:t xml:space="preserve"> al,</w:t>
      </w:r>
      <w:r w:rsidRPr="00D63217">
        <w:t xml:space="preserve"> 1980, Lane &amp; Ngim 2000 and Muller &amp; Roy 1997).</w:t>
      </w:r>
    </w:p>
    <w:p w14:paraId="04BC92C3" w14:textId="77777777" w:rsidR="009A7378" w:rsidRPr="00D63217" w:rsidRDefault="009A7378" w:rsidP="00AD6B16">
      <w:pPr>
        <w:pStyle w:val="NormalText"/>
      </w:pPr>
      <w:r w:rsidRPr="00D63217">
        <w:t>Overall, these results show that the degradation of paraquat in freshwater sediment and soil exceeded the persistence threshold. It can thus be concluded that paraquat meets the persistence criterion.</w:t>
      </w:r>
    </w:p>
    <w:p w14:paraId="5156F4AB" w14:textId="77777777" w:rsidR="009A7378" w:rsidRPr="00D63217" w:rsidRDefault="009A7378" w:rsidP="002F78E5">
      <w:pPr>
        <w:pStyle w:val="AppendixH2"/>
      </w:pPr>
      <w:bookmarkStart w:id="759" w:name="_Toc231480938"/>
      <w:r w:rsidRPr="00D63217">
        <w:t>Bioaccumulation criterion</w:t>
      </w:r>
      <w:bookmarkEnd w:id="759"/>
    </w:p>
    <w:p w14:paraId="0FF52CF1" w14:textId="77777777" w:rsidR="009A7378" w:rsidRPr="002F78E5" w:rsidRDefault="009A7378" w:rsidP="002F78E5">
      <w:pPr>
        <w:pStyle w:val="NormalText"/>
      </w:pPr>
      <w:r w:rsidRPr="002F78E5">
        <w:t>The criteria for bioaccumulation in Annex D of the Stockholm Convention are given as follows:</w:t>
      </w:r>
    </w:p>
    <w:p w14:paraId="4BC9C229" w14:textId="77777777" w:rsidR="009A7378" w:rsidRPr="00D63217" w:rsidRDefault="009A7378" w:rsidP="002F78E5">
      <w:pPr>
        <w:pStyle w:val="ListNumbered"/>
        <w:numPr>
          <w:ilvl w:val="0"/>
          <w:numId w:val="45"/>
        </w:numPr>
      </w:pPr>
      <w:r w:rsidRPr="00D63217">
        <w:t>Evidence that the bioconcentration factor or bioaccumulation factor in aquatic species for the chemical is greater than 5000 or, in the absence of such data, that the log Kow is greater than 5;</w:t>
      </w:r>
    </w:p>
    <w:p w14:paraId="162A89F8" w14:textId="77777777" w:rsidR="009A7378" w:rsidRPr="00D63217" w:rsidRDefault="009A7378" w:rsidP="002F78E5">
      <w:pPr>
        <w:pStyle w:val="ListNumbered"/>
        <w:numPr>
          <w:ilvl w:val="0"/>
          <w:numId w:val="45"/>
        </w:numPr>
      </w:pPr>
      <w:r w:rsidRPr="00D63217">
        <w:t>Evidence that a chemical presents other reasons for concern, such as high bioaccumulation in other species, high toxicity or ecotoxicity; or</w:t>
      </w:r>
    </w:p>
    <w:p w14:paraId="78FBB838" w14:textId="77777777" w:rsidR="009A7378" w:rsidRPr="00D63217" w:rsidRDefault="009A7378" w:rsidP="002F78E5">
      <w:pPr>
        <w:pStyle w:val="ListNumbered"/>
        <w:numPr>
          <w:ilvl w:val="0"/>
          <w:numId w:val="45"/>
        </w:numPr>
      </w:pPr>
      <w:r w:rsidRPr="00D63217">
        <w:t>Monitoring data in biota indicating that the bioaccumulation potential of the chemical is sufficient to justify its consideration within the scope of the Convention.</w:t>
      </w:r>
    </w:p>
    <w:p w14:paraId="6BD74755" w14:textId="52AB45AB" w:rsidR="009A7378" w:rsidRPr="00D63217" w:rsidRDefault="009A7378" w:rsidP="00AD6B16">
      <w:pPr>
        <w:pStyle w:val="NormalText"/>
      </w:pPr>
      <w:r w:rsidRPr="00D63217">
        <w:t xml:space="preserve">Paraquat is considered not bioaccumulative based on a log Kow </w:t>
      </w:r>
      <w:r w:rsidR="004932D5" w:rsidRPr="00D63217">
        <w:t>of</w:t>
      </w:r>
      <w:r w:rsidR="001B3607">
        <w:t xml:space="preserve"> </w:t>
      </w:r>
      <w:r w:rsidR="004932D5">
        <w:t>-</w:t>
      </w:r>
      <w:r w:rsidRPr="00D63217">
        <w:t>4.2 (Platford 1983).</w:t>
      </w:r>
    </w:p>
    <w:p w14:paraId="3CD885FC" w14:textId="77777777" w:rsidR="009A7378" w:rsidRPr="00D63217" w:rsidRDefault="009A7378" w:rsidP="002F78E5">
      <w:pPr>
        <w:pStyle w:val="AppendixH2"/>
      </w:pPr>
      <w:bookmarkStart w:id="760" w:name="_Toc231480939"/>
      <w:r w:rsidRPr="00D63217">
        <w:lastRenderedPageBreak/>
        <w:t>Toxicity criterion</w:t>
      </w:r>
      <w:bookmarkEnd w:id="760"/>
    </w:p>
    <w:p w14:paraId="5998E2FF" w14:textId="77777777" w:rsidR="009A7378" w:rsidRPr="00D63217" w:rsidRDefault="009A7378" w:rsidP="00AD6B16">
      <w:pPr>
        <w:pStyle w:val="NormalText"/>
      </w:pPr>
      <w:r w:rsidRPr="00D63217">
        <w:t>The criteria for toxicity in Annex D of the POPs convention are given as follows:</w:t>
      </w:r>
    </w:p>
    <w:p w14:paraId="5949314B" w14:textId="77777777" w:rsidR="009A7378" w:rsidRPr="00D63217" w:rsidRDefault="009A7378" w:rsidP="00BF5259">
      <w:pPr>
        <w:pStyle w:val="ListNumbered"/>
        <w:numPr>
          <w:ilvl w:val="0"/>
          <w:numId w:val="46"/>
        </w:numPr>
      </w:pPr>
      <w:r w:rsidRPr="00D63217">
        <w:t>Evidence of adverse effects to human health or to the environment that justifies consideration of the chemical within the scope of this Convention; or</w:t>
      </w:r>
    </w:p>
    <w:p w14:paraId="67F4F039" w14:textId="77777777" w:rsidR="009A7378" w:rsidRPr="00D63217" w:rsidRDefault="009A7378" w:rsidP="00BF5259">
      <w:pPr>
        <w:pStyle w:val="ListNumbered"/>
        <w:numPr>
          <w:ilvl w:val="0"/>
          <w:numId w:val="46"/>
        </w:numPr>
      </w:pPr>
      <w:r w:rsidRPr="00D63217">
        <w:t>Toxicity or ecotoxicity data that indicate the potential for damage to human health or to the environment.</w:t>
      </w:r>
    </w:p>
    <w:p w14:paraId="3AB09CB7" w14:textId="56337E37" w:rsidR="009A7378" w:rsidRPr="00D63217" w:rsidRDefault="009A7378" w:rsidP="00AD6B16">
      <w:pPr>
        <w:pStyle w:val="NormalText"/>
      </w:pPr>
      <w:r w:rsidRPr="00D63217">
        <w:t>The lowest aquatic long-term effect value is below 10 µg/L (lowest NOEC is 0.64 µg/L, Smyth et</w:t>
      </w:r>
      <w:r w:rsidR="00143F5A" w:rsidRPr="00D63217">
        <w:t xml:space="preserve"> al,</w:t>
      </w:r>
      <w:r w:rsidRPr="00D63217">
        <w:t xml:space="preserve"> 1992). Therefore, paraquat is considered to meet the toxicity criterion.</w:t>
      </w:r>
    </w:p>
    <w:p w14:paraId="2478E270" w14:textId="77777777" w:rsidR="009A7378" w:rsidRPr="00D63217" w:rsidRDefault="009A7378" w:rsidP="00BF5259">
      <w:pPr>
        <w:pStyle w:val="AppendixH2"/>
      </w:pPr>
      <w:bookmarkStart w:id="761" w:name="_Toc231480940"/>
      <w:r w:rsidRPr="00D63217">
        <w:t>Potential for long-range environmental transport</w:t>
      </w:r>
      <w:bookmarkEnd w:id="761"/>
    </w:p>
    <w:p w14:paraId="4C93A0E1" w14:textId="77777777" w:rsidR="009A7378" w:rsidRPr="00D63217" w:rsidRDefault="009A7378" w:rsidP="00AD6B16">
      <w:pPr>
        <w:pStyle w:val="NormalText"/>
      </w:pPr>
      <w:r w:rsidRPr="00D63217">
        <w:t>The criteria for long-range transport in Annex D of the Stockholm convention are given as follows:</w:t>
      </w:r>
    </w:p>
    <w:p w14:paraId="568FA86F" w14:textId="77777777" w:rsidR="009A7378" w:rsidRPr="00D63217" w:rsidRDefault="009A7378" w:rsidP="00BF5259">
      <w:pPr>
        <w:pStyle w:val="ListNumbered"/>
        <w:numPr>
          <w:ilvl w:val="0"/>
          <w:numId w:val="47"/>
        </w:numPr>
      </w:pPr>
      <w:r w:rsidRPr="00D63217">
        <w:t>Measured levels of the chemical in locations distant from the sources of its release that are of potential concern;</w:t>
      </w:r>
    </w:p>
    <w:p w14:paraId="603D9C37" w14:textId="77777777" w:rsidR="009A7378" w:rsidRPr="00D63217" w:rsidRDefault="009A7378" w:rsidP="00BF5259">
      <w:pPr>
        <w:pStyle w:val="ListNumbered"/>
        <w:numPr>
          <w:ilvl w:val="0"/>
          <w:numId w:val="47"/>
        </w:numPr>
      </w:pPr>
      <w:r w:rsidRPr="00D63217">
        <w:t>Monitoring data showing that long-range environmental transport, with the potential for transfer to a receiving environment, (via air, water or migratory species); or</w:t>
      </w:r>
    </w:p>
    <w:p w14:paraId="369EC76B" w14:textId="4F259962" w:rsidR="009A7378" w:rsidRPr="00D63217" w:rsidRDefault="009A7378" w:rsidP="00BF5259">
      <w:pPr>
        <w:pStyle w:val="ListNumbered"/>
        <w:numPr>
          <w:ilvl w:val="0"/>
          <w:numId w:val="47"/>
        </w:numPr>
      </w:pPr>
      <w:r w:rsidRPr="00D63217">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4128B4" w:rsidRPr="00D63217">
        <w:t>2 </w:t>
      </w:r>
      <w:r w:rsidRPr="00D63217">
        <w:t>days.</w:t>
      </w:r>
    </w:p>
    <w:p w14:paraId="04551AC2" w14:textId="44B374D7" w:rsidR="009A7378" w:rsidRPr="00D63217" w:rsidRDefault="009A7378" w:rsidP="00AD6B16">
      <w:pPr>
        <w:pStyle w:val="NormalText"/>
      </w:pPr>
      <w:r w:rsidRPr="00D63217">
        <w:t>The modelled atmospheric half-life of paraquat is &lt;2 days (Hayes 2006); therefore</w:t>
      </w:r>
      <w:r w:rsidR="00F35CF7">
        <w:t>,</w:t>
      </w:r>
      <w:r w:rsidRPr="00D63217">
        <w:t xml:space="preserve"> it is unlikely to travel long distances through the air. There is no other evidence to suggest paraquat is transported long distances in the environment.</w:t>
      </w:r>
    </w:p>
    <w:p w14:paraId="4FF03182" w14:textId="77777777" w:rsidR="009A7378" w:rsidRPr="00D63217" w:rsidRDefault="009A7378" w:rsidP="00BF5259">
      <w:pPr>
        <w:pStyle w:val="AppendixH2"/>
      </w:pPr>
      <w:bookmarkStart w:id="762" w:name="_Toc231480941"/>
      <w:r w:rsidRPr="00D63217">
        <w:t>Conclusion</w:t>
      </w:r>
      <w:bookmarkEnd w:id="762"/>
    </w:p>
    <w:p w14:paraId="4CA8286F" w14:textId="6E04FCE6" w:rsidR="009A7378" w:rsidRPr="00D63217" w:rsidRDefault="009A7378" w:rsidP="00AD6B16">
      <w:pPr>
        <w:pStyle w:val="NormalText"/>
        <w:sectPr w:rsidR="009A7378" w:rsidRPr="00D63217" w:rsidSect="003023C5">
          <w:headerReference w:type="even" r:id="rId60"/>
          <w:headerReference w:type="default" r:id="rId61"/>
          <w:pgSz w:w="11906" w:h="16838" w:code="9"/>
          <w:pgMar w:top="2835" w:right="1134" w:bottom="1134" w:left="1134" w:header="1701" w:footer="680" w:gutter="0"/>
          <w:cols w:space="708"/>
          <w:docGrid w:linePitch="360"/>
        </w:sectPr>
      </w:pPr>
      <w:r w:rsidRPr="00D63217">
        <w:t xml:space="preserve">Paraquat does not fulfil the PBT criteria (not PBT) and has low potential for long-range transport and does not meet the bioaccumulation criterion. Therefore, paraquat does not meet the criteria for POPs in Annex D of the Stockholm </w:t>
      </w:r>
      <w:r w:rsidR="00D368B4" w:rsidRPr="00D63217">
        <w:t>C</w:t>
      </w:r>
      <w:r w:rsidRPr="00D63217">
        <w:t>onvention.</w:t>
      </w:r>
    </w:p>
    <w:p w14:paraId="6A240CDA" w14:textId="77777777" w:rsidR="009A7378" w:rsidRPr="00BF5259" w:rsidRDefault="009A7378" w:rsidP="00BF5259">
      <w:pPr>
        <w:pStyle w:val="GlossaryRefH1"/>
      </w:pPr>
      <w:bookmarkStart w:id="763" w:name="_Toc414373848"/>
      <w:bookmarkStart w:id="764" w:name="_Toc81569147"/>
      <w:bookmarkStart w:id="765" w:name="_Toc157602777"/>
      <w:bookmarkStart w:id="766" w:name="_Toc231480942"/>
      <w:bookmarkStart w:id="767" w:name="_Toc233036485"/>
      <w:r w:rsidRPr="00BF5259">
        <w:lastRenderedPageBreak/>
        <w:t>Acronyms and abbreviations</w:t>
      </w:r>
      <w:bookmarkEnd w:id="763"/>
      <w:bookmarkEnd w:id="764"/>
      <w:bookmarkEnd w:id="765"/>
      <w:bookmarkEnd w:id="766"/>
      <w:bookmarkEnd w:id="767"/>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46"/>
        <w:gridCol w:w="7494"/>
      </w:tblGrid>
      <w:tr w:rsidR="009A7378" w:rsidRPr="00D63217" w14:paraId="715477F0" w14:textId="77777777" w:rsidTr="00BF4B43">
        <w:trPr>
          <w:tblHeader/>
        </w:trPr>
        <w:tc>
          <w:tcPr>
            <w:tcW w:w="1113" w:type="pct"/>
            <w:shd w:val="clear" w:color="auto" w:fill="5C2946"/>
          </w:tcPr>
          <w:p w14:paraId="040E01EF" w14:textId="77777777" w:rsidR="009A7378" w:rsidRPr="00D63217" w:rsidRDefault="009A7378" w:rsidP="00FC1605">
            <w:pPr>
              <w:pStyle w:val="TableHead"/>
            </w:pPr>
            <w:r w:rsidRPr="00D63217">
              <w:t>Shortened term</w:t>
            </w:r>
          </w:p>
        </w:tc>
        <w:tc>
          <w:tcPr>
            <w:tcW w:w="3887" w:type="pct"/>
            <w:shd w:val="clear" w:color="auto" w:fill="5C2946"/>
          </w:tcPr>
          <w:p w14:paraId="286CCF2B" w14:textId="77777777" w:rsidR="009A7378" w:rsidRPr="00D63217" w:rsidRDefault="009A7378" w:rsidP="00FC1605">
            <w:pPr>
              <w:pStyle w:val="TableHead"/>
            </w:pPr>
            <w:r w:rsidRPr="00D63217">
              <w:t>Full term</w:t>
            </w:r>
          </w:p>
        </w:tc>
      </w:tr>
      <w:tr w:rsidR="00F26039" w:rsidRPr="00D63217" w14:paraId="2DB33DD0" w14:textId="77777777" w:rsidTr="00A179E8">
        <w:tc>
          <w:tcPr>
            <w:tcW w:w="1113" w:type="pct"/>
          </w:tcPr>
          <w:p w14:paraId="0A5C2147" w14:textId="30ACC948" w:rsidR="00F26039" w:rsidRPr="00D63217" w:rsidRDefault="00F26039" w:rsidP="00F26039">
            <w:pPr>
              <w:pStyle w:val="TableText"/>
            </w:pPr>
            <w:r w:rsidRPr="00D50587">
              <w:rPr>
                <w:szCs w:val="17"/>
              </w:rPr>
              <w:t>µg</w:t>
            </w:r>
          </w:p>
        </w:tc>
        <w:tc>
          <w:tcPr>
            <w:tcW w:w="3887" w:type="pct"/>
          </w:tcPr>
          <w:p w14:paraId="0B754A62" w14:textId="6FB28BC5" w:rsidR="00F26039" w:rsidRPr="00D63217" w:rsidRDefault="00F26039" w:rsidP="00F26039">
            <w:pPr>
              <w:pStyle w:val="TableText"/>
            </w:pPr>
            <w:r>
              <w:t>m</w:t>
            </w:r>
            <w:r w:rsidRPr="00D50587">
              <w:t>icrogram(s)</w:t>
            </w:r>
          </w:p>
        </w:tc>
      </w:tr>
      <w:tr w:rsidR="00F26039" w:rsidRPr="00D63217" w14:paraId="4D758E0B" w14:textId="77777777" w:rsidTr="00A179E8">
        <w:tc>
          <w:tcPr>
            <w:tcW w:w="1113" w:type="pct"/>
          </w:tcPr>
          <w:p w14:paraId="7A186320" w14:textId="2FA902BF" w:rsidR="00F26039" w:rsidRPr="00D63217" w:rsidRDefault="00F26039" w:rsidP="00F26039">
            <w:pPr>
              <w:pStyle w:val="TableText"/>
            </w:pPr>
            <w:r w:rsidRPr="00A349B4">
              <w:t>µL</w:t>
            </w:r>
          </w:p>
        </w:tc>
        <w:tc>
          <w:tcPr>
            <w:tcW w:w="3887" w:type="pct"/>
          </w:tcPr>
          <w:p w14:paraId="149FB1D2" w14:textId="01DB2EBC" w:rsidR="00F26039" w:rsidRPr="00D63217" w:rsidRDefault="00F26039" w:rsidP="00F26039">
            <w:pPr>
              <w:pStyle w:val="TableText"/>
            </w:pPr>
            <w:r w:rsidRPr="00A349B4">
              <w:t>microlitre(s)</w:t>
            </w:r>
          </w:p>
        </w:tc>
      </w:tr>
      <w:tr w:rsidR="009A7378" w:rsidRPr="00D63217" w14:paraId="33F58223" w14:textId="77777777" w:rsidTr="00BF4B43">
        <w:tc>
          <w:tcPr>
            <w:tcW w:w="1113" w:type="pct"/>
            <w:vAlign w:val="bottom"/>
          </w:tcPr>
          <w:p w14:paraId="508A31CA" w14:textId="77777777" w:rsidR="009A7378" w:rsidRPr="00D63217" w:rsidRDefault="009A7378" w:rsidP="00AD6B16">
            <w:pPr>
              <w:pStyle w:val="TableText"/>
            </w:pPr>
            <w:r w:rsidRPr="00D63217">
              <w:t>ac</w:t>
            </w:r>
          </w:p>
        </w:tc>
        <w:tc>
          <w:tcPr>
            <w:tcW w:w="3887" w:type="pct"/>
            <w:vAlign w:val="bottom"/>
          </w:tcPr>
          <w:p w14:paraId="60A4F91C" w14:textId="77777777" w:rsidR="009A7378" w:rsidRPr="00D63217" w:rsidRDefault="009A7378" w:rsidP="00AD6B16">
            <w:pPr>
              <w:pStyle w:val="TableText"/>
            </w:pPr>
            <w:r w:rsidRPr="00D63217">
              <w:t>active constituent</w:t>
            </w:r>
          </w:p>
        </w:tc>
      </w:tr>
      <w:tr w:rsidR="00A55B77" w:rsidRPr="00D63217" w14:paraId="46A5D283" w14:textId="77777777" w:rsidTr="00BF4B43">
        <w:tc>
          <w:tcPr>
            <w:tcW w:w="1113" w:type="pct"/>
            <w:vAlign w:val="bottom"/>
          </w:tcPr>
          <w:p w14:paraId="220C9C17" w14:textId="691EF2FC" w:rsidR="00A55B77" w:rsidRPr="00D63217" w:rsidRDefault="00A55B77" w:rsidP="00AD6B16">
            <w:pPr>
              <w:pStyle w:val="TableText"/>
            </w:pPr>
            <w:r w:rsidRPr="00D63217">
              <w:t>acs</w:t>
            </w:r>
          </w:p>
        </w:tc>
        <w:tc>
          <w:tcPr>
            <w:tcW w:w="3887" w:type="pct"/>
            <w:vAlign w:val="bottom"/>
          </w:tcPr>
          <w:p w14:paraId="58CCDF78" w14:textId="2696E82F" w:rsidR="00A55B77" w:rsidRPr="00D63217" w:rsidRDefault="00A55B77" w:rsidP="00AD6B16">
            <w:pPr>
              <w:pStyle w:val="TableText"/>
            </w:pPr>
            <w:r w:rsidRPr="00D63217">
              <w:t>active constituents</w:t>
            </w:r>
          </w:p>
        </w:tc>
      </w:tr>
      <w:tr w:rsidR="00F26039" w:rsidRPr="00D63217" w14:paraId="76FB1D04" w14:textId="77777777" w:rsidTr="00A179E8">
        <w:tc>
          <w:tcPr>
            <w:tcW w:w="1113" w:type="pct"/>
          </w:tcPr>
          <w:p w14:paraId="2BCFBC5E" w14:textId="2CC92979" w:rsidR="00F26039" w:rsidRPr="00D63217" w:rsidRDefault="00F26039" w:rsidP="00F26039">
            <w:pPr>
              <w:pStyle w:val="TableText"/>
            </w:pPr>
            <w:r w:rsidRPr="00C50A84">
              <w:t>AE</w:t>
            </w:r>
          </w:p>
        </w:tc>
        <w:tc>
          <w:tcPr>
            <w:tcW w:w="3887" w:type="pct"/>
          </w:tcPr>
          <w:p w14:paraId="5B7A1EC4" w14:textId="3C48DDA6" w:rsidR="00F26039" w:rsidRPr="00D63217" w:rsidRDefault="00F26039" w:rsidP="00F26039">
            <w:pPr>
              <w:pStyle w:val="TableText"/>
            </w:pPr>
            <w:r w:rsidRPr="00C50A84">
              <w:t>assimilation efficiency</w:t>
            </w:r>
          </w:p>
        </w:tc>
      </w:tr>
      <w:tr w:rsidR="00F26039" w:rsidRPr="00D63217" w14:paraId="33A107EB" w14:textId="77777777" w:rsidTr="00A179E8">
        <w:tc>
          <w:tcPr>
            <w:tcW w:w="1113" w:type="pct"/>
          </w:tcPr>
          <w:p w14:paraId="1A5CD937" w14:textId="526C0936" w:rsidR="00F26039" w:rsidRPr="00D63217" w:rsidRDefault="00F26039" w:rsidP="00F26039">
            <w:pPr>
              <w:pStyle w:val="TableText"/>
            </w:pPr>
            <w:r w:rsidRPr="00C50A84">
              <w:t>AERP</w:t>
            </w:r>
          </w:p>
        </w:tc>
        <w:tc>
          <w:tcPr>
            <w:tcW w:w="3887" w:type="pct"/>
          </w:tcPr>
          <w:p w14:paraId="7705C69A" w14:textId="15AA49A4" w:rsidR="00F26039" w:rsidRPr="00D63217" w:rsidRDefault="00F26039" w:rsidP="00F26039">
            <w:pPr>
              <w:pStyle w:val="TableText"/>
            </w:pPr>
            <w:r w:rsidRPr="00C50A84">
              <w:t>Adverse Experience Reporting Program</w:t>
            </w:r>
          </w:p>
        </w:tc>
      </w:tr>
      <w:tr w:rsidR="00F26039" w:rsidRPr="00D63217" w14:paraId="579FC279" w14:textId="77777777" w:rsidTr="00A179E8">
        <w:tc>
          <w:tcPr>
            <w:tcW w:w="1113" w:type="pct"/>
          </w:tcPr>
          <w:p w14:paraId="12A8ACB3" w14:textId="40D7D712" w:rsidR="00F26039" w:rsidRPr="00D63217" w:rsidRDefault="00F26039" w:rsidP="00F26039">
            <w:pPr>
              <w:pStyle w:val="TableText"/>
            </w:pPr>
            <w:r>
              <w:t>AF</w:t>
            </w:r>
          </w:p>
        </w:tc>
        <w:tc>
          <w:tcPr>
            <w:tcW w:w="3887" w:type="pct"/>
          </w:tcPr>
          <w:p w14:paraId="6BF60160" w14:textId="336293BF" w:rsidR="00F26039" w:rsidRPr="00D63217" w:rsidRDefault="00F26039" w:rsidP="00F26039">
            <w:pPr>
              <w:pStyle w:val="TableText"/>
            </w:pPr>
            <w:r>
              <w:t>assessment factor</w:t>
            </w:r>
          </w:p>
        </w:tc>
      </w:tr>
      <w:tr w:rsidR="009A7378" w:rsidRPr="00D63217" w14:paraId="51B4CBB3" w14:textId="77777777" w:rsidTr="00BF4B43">
        <w:tc>
          <w:tcPr>
            <w:tcW w:w="1113" w:type="pct"/>
            <w:vAlign w:val="bottom"/>
          </w:tcPr>
          <w:p w14:paraId="6C8E3FD2" w14:textId="77777777" w:rsidR="009A7378" w:rsidRPr="00D63217" w:rsidRDefault="009A7378" w:rsidP="00AD6B16">
            <w:pPr>
              <w:pStyle w:val="TableText"/>
            </w:pPr>
            <w:r w:rsidRPr="00D63217">
              <w:t>APVMA</w:t>
            </w:r>
          </w:p>
        </w:tc>
        <w:tc>
          <w:tcPr>
            <w:tcW w:w="3887" w:type="pct"/>
            <w:vAlign w:val="bottom"/>
          </w:tcPr>
          <w:p w14:paraId="28334397" w14:textId="77777777" w:rsidR="009A7378" w:rsidRPr="00D63217" w:rsidRDefault="009A7378" w:rsidP="00AD6B16">
            <w:pPr>
              <w:pStyle w:val="TableText"/>
            </w:pPr>
            <w:r w:rsidRPr="00D63217">
              <w:t>Australian Pesticide and Veterinary Medicines Authority</w:t>
            </w:r>
          </w:p>
        </w:tc>
      </w:tr>
      <w:tr w:rsidR="00F26039" w:rsidRPr="00D63217" w:rsidDel="00F26039" w14:paraId="4323173B" w14:textId="77777777" w:rsidTr="00A179E8">
        <w:tc>
          <w:tcPr>
            <w:tcW w:w="1113" w:type="pct"/>
          </w:tcPr>
          <w:p w14:paraId="6EE90493" w14:textId="3904CB37" w:rsidR="00F26039" w:rsidRPr="00D63217" w:rsidDel="00F26039" w:rsidRDefault="00F26039" w:rsidP="00F26039">
            <w:pPr>
              <w:pStyle w:val="TableText"/>
            </w:pPr>
            <w:r w:rsidRPr="00CA07CE">
              <w:t>AR</w:t>
            </w:r>
          </w:p>
        </w:tc>
        <w:tc>
          <w:tcPr>
            <w:tcW w:w="3887" w:type="pct"/>
          </w:tcPr>
          <w:p w14:paraId="7C617DC6" w14:textId="07F4BE79" w:rsidR="00F26039" w:rsidRPr="00D63217" w:rsidDel="00F26039" w:rsidRDefault="00F26039" w:rsidP="00F26039">
            <w:pPr>
              <w:pStyle w:val="TableText"/>
            </w:pPr>
            <w:r w:rsidRPr="00CA07CE">
              <w:t>application rate</w:t>
            </w:r>
          </w:p>
        </w:tc>
      </w:tr>
      <w:tr w:rsidR="009A7378" w:rsidRPr="00D63217" w14:paraId="63DA1645" w14:textId="77777777" w:rsidTr="00BF4B43">
        <w:tc>
          <w:tcPr>
            <w:tcW w:w="1113" w:type="pct"/>
            <w:vAlign w:val="bottom"/>
          </w:tcPr>
          <w:p w14:paraId="424ED180" w14:textId="77777777" w:rsidR="009A7378" w:rsidRPr="00D63217" w:rsidRDefault="009A7378" w:rsidP="00AD6B16">
            <w:pPr>
              <w:pStyle w:val="TableText"/>
            </w:pPr>
            <w:r w:rsidRPr="00D63217">
              <w:t>BBCH</w:t>
            </w:r>
          </w:p>
        </w:tc>
        <w:tc>
          <w:tcPr>
            <w:tcW w:w="3887" w:type="pct"/>
            <w:vAlign w:val="bottom"/>
          </w:tcPr>
          <w:p w14:paraId="64C7E647" w14:textId="40B94CCF" w:rsidR="009A7378" w:rsidRPr="00D63217" w:rsidRDefault="009A7378" w:rsidP="00AD6B16">
            <w:pPr>
              <w:pStyle w:val="TableText"/>
            </w:pPr>
            <w:r w:rsidRPr="00D63217">
              <w:rPr>
                <w:b/>
                <w:bCs/>
              </w:rPr>
              <w:t>B</w:t>
            </w:r>
            <w:r w:rsidRPr="00D63217">
              <w:t xml:space="preserve">iologische Bundesanstalt, </w:t>
            </w:r>
            <w:r w:rsidRPr="00D63217">
              <w:rPr>
                <w:b/>
                <w:bCs/>
              </w:rPr>
              <w:t>B</w:t>
            </w:r>
            <w:r w:rsidRPr="00D63217">
              <w:t xml:space="preserve">undessortenamt </w:t>
            </w:r>
            <w:r w:rsidR="00801DD6" w:rsidRPr="00D63217">
              <w:t xml:space="preserve">und </w:t>
            </w:r>
            <w:r w:rsidR="00801DD6" w:rsidRPr="00D63217">
              <w:rPr>
                <w:b/>
                <w:bCs/>
              </w:rPr>
              <w:t>CH</w:t>
            </w:r>
            <w:r w:rsidR="00801DD6" w:rsidRPr="00D63217">
              <w:t>emische Industrie</w:t>
            </w:r>
          </w:p>
        </w:tc>
      </w:tr>
      <w:tr w:rsidR="009A7378" w:rsidRPr="00D63217" w14:paraId="2560828F" w14:textId="77777777" w:rsidTr="00BF4B43">
        <w:tc>
          <w:tcPr>
            <w:tcW w:w="1113" w:type="pct"/>
            <w:vAlign w:val="bottom"/>
          </w:tcPr>
          <w:p w14:paraId="40954529" w14:textId="77777777" w:rsidR="009A7378" w:rsidRPr="00D63217" w:rsidRDefault="009A7378" w:rsidP="00AD6B16">
            <w:pPr>
              <w:pStyle w:val="TableText"/>
            </w:pPr>
            <w:r w:rsidRPr="00D63217">
              <w:t>bw</w:t>
            </w:r>
          </w:p>
        </w:tc>
        <w:tc>
          <w:tcPr>
            <w:tcW w:w="3887" w:type="pct"/>
            <w:vAlign w:val="bottom"/>
          </w:tcPr>
          <w:p w14:paraId="398B058B" w14:textId="77777777" w:rsidR="009A7378" w:rsidRPr="00D63217" w:rsidRDefault="009A7378" w:rsidP="00AD6B16">
            <w:pPr>
              <w:pStyle w:val="TableText"/>
            </w:pPr>
            <w:r w:rsidRPr="00D63217">
              <w:t>body weight</w:t>
            </w:r>
          </w:p>
        </w:tc>
      </w:tr>
      <w:tr w:rsidR="008606AF" w:rsidRPr="00D63217" w14:paraId="759109C2" w14:textId="77777777" w:rsidTr="00BF4B43">
        <w:tc>
          <w:tcPr>
            <w:tcW w:w="1113" w:type="pct"/>
          </w:tcPr>
          <w:p w14:paraId="257EB531" w14:textId="28E13C12" w:rsidR="00D02BDC" w:rsidRPr="00D63217" w:rsidRDefault="00D02BDC" w:rsidP="00AD6B16">
            <w:pPr>
              <w:pStyle w:val="TableText"/>
            </w:pPr>
            <w:r w:rsidRPr="00D63217">
              <w:t>CC</w:t>
            </w:r>
          </w:p>
        </w:tc>
        <w:tc>
          <w:tcPr>
            <w:tcW w:w="3887" w:type="pct"/>
            <w:vAlign w:val="bottom"/>
          </w:tcPr>
          <w:p w14:paraId="08F9E348" w14:textId="5E7B84F1" w:rsidR="00D02BDC" w:rsidRPr="00D63217" w:rsidRDefault="00D02BDC" w:rsidP="00AD6B16">
            <w:pPr>
              <w:pStyle w:val="TableText"/>
            </w:pPr>
            <w:r w:rsidRPr="00D63217">
              <w:t>Codex Commodity Code</w:t>
            </w:r>
          </w:p>
        </w:tc>
      </w:tr>
      <w:tr w:rsidR="008606AF" w:rsidRPr="00D63217" w14:paraId="65F3A479" w14:textId="77777777" w:rsidTr="00BF4B43">
        <w:tc>
          <w:tcPr>
            <w:tcW w:w="1113" w:type="pct"/>
          </w:tcPr>
          <w:p w14:paraId="70249BC1" w14:textId="5AA4585B" w:rsidR="00801DD6" w:rsidRPr="00D63217" w:rsidRDefault="00801DD6" w:rsidP="00AD6B16">
            <w:pPr>
              <w:pStyle w:val="TableText"/>
            </w:pPr>
            <w:r w:rsidRPr="00D63217">
              <w:t>CCPR</w:t>
            </w:r>
          </w:p>
        </w:tc>
        <w:tc>
          <w:tcPr>
            <w:tcW w:w="3887" w:type="pct"/>
            <w:vAlign w:val="bottom"/>
          </w:tcPr>
          <w:p w14:paraId="47781CBF" w14:textId="3D887078" w:rsidR="00801DD6" w:rsidRPr="00D63217" w:rsidRDefault="00801DD6" w:rsidP="00AD6B16">
            <w:pPr>
              <w:pStyle w:val="TableText"/>
            </w:pPr>
            <w:r w:rsidRPr="00D63217">
              <w:t>Codex Committee on Pesticide Residues</w:t>
            </w:r>
          </w:p>
        </w:tc>
      </w:tr>
      <w:tr w:rsidR="009A7378" w:rsidRPr="00D63217" w14:paraId="7E3E60FF" w14:textId="77777777" w:rsidTr="00BF4B43">
        <w:tc>
          <w:tcPr>
            <w:tcW w:w="1113" w:type="pct"/>
          </w:tcPr>
          <w:p w14:paraId="027D725B" w14:textId="77777777" w:rsidR="009A7378" w:rsidRPr="00D63217" w:rsidRDefault="009A7378" w:rsidP="00AD6B16">
            <w:pPr>
              <w:pStyle w:val="TableText"/>
            </w:pPr>
            <w:r w:rsidRPr="00D63217">
              <w:t>CI</w:t>
            </w:r>
          </w:p>
        </w:tc>
        <w:tc>
          <w:tcPr>
            <w:tcW w:w="3887" w:type="pct"/>
            <w:vAlign w:val="bottom"/>
          </w:tcPr>
          <w:p w14:paraId="2198CEB3" w14:textId="77777777" w:rsidR="009A7378" w:rsidRPr="00D63217" w:rsidRDefault="009A7378" w:rsidP="00AD6B16">
            <w:pPr>
              <w:pStyle w:val="TableText"/>
            </w:pPr>
            <w:r w:rsidRPr="00D63217">
              <w:t>confidence interval</w:t>
            </w:r>
          </w:p>
        </w:tc>
      </w:tr>
      <w:tr w:rsidR="009A7378" w:rsidRPr="00D63217" w14:paraId="54537A97" w14:textId="77777777" w:rsidTr="00BF4B43">
        <w:tc>
          <w:tcPr>
            <w:tcW w:w="1113" w:type="pct"/>
            <w:vAlign w:val="bottom"/>
          </w:tcPr>
          <w:p w14:paraId="3A1C21C7" w14:textId="77777777" w:rsidR="009A7378" w:rsidRPr="00D63217" w:rsidRDefault="009A7378" w:rsidP="00AD6B16">
            <w:pPr>
              <w:pStyle w:val="TableText"/>
            </w:pPr>
            <w:r w:rsidRPr="00D63217">
              <w:t>cm</w:t>
            </w:r>
          </w:p>
        </w:tc>
        <w:tc>
          <w:tcPr>
            <w:tcW w:w="3887" w:type="pct"/>
            <w:vAlign w:val="bottom"/>
          </w:tcPr>
          <w:p w14:paraId="6448B4F8" w14:textId="77777777" w:rsidR="009A7378" w:rsidRPr="00D63217" w:rsidRDefault="009A7378" w:rsidP="00AD6B16">
            <w:pPr>
              <w:pStyle w:val="TableText"/>
            </w:pPr>
            <w:r w:rsidRPr="00D63217">
              <w:t>centimetre(s)</w:t>
            </w:r>
          </w:p>
        </w:tc>
      </w:tr>
      <w:tr w:rsidR="009A7378" w:rsidRPr="00D63217" w14:paraId="3837FDC2" w14:textId="77777777" w:rsidTr="00BF4B43">
        <w:tc>
          <w:tcPr>
            <w:tcW w:w="1113" w:type="pct"/>
            <w:vAlign w:val="bottom"/>
          </w:tcPr>
          <w:p w14:paraId="2192CD4C" w14:textId="77777777" w:rsidR="009A7378" w:rsidRPr="00D63217" w:rsidRDefault="009A7378" w:rsidP="00AD6B16">
            <w:pPr>
              <w:pStyle w:val="TableText"/>
            </w:pPr>
            <w:r w:rsidRPr="00D63217">
              <w:t>d</w:t>
            </w:r>
          </w:p>
        </w:tc>
        <w:tc>
          <w:tcPr>
            <w:tcW w:w="3887" w:type="pct"/>
            <w:vAlign w:val="bottom"/>
          </w:tcPr>
          <w:p w14:paraId="17DA994E" w14:textId="77777777" w:rsidR="009A7378" w:rsidRPr="00D63217" w:rsidRDefault="009A7378" w:rsidP="00AD6B16">
            <w:pPr>
              <w:pStyle w:val="TableText"/>
            </w:pPr>
            <w:r w:rsidRPr="00D63217">
              <w:t>day(s)</w:t>
            </w:r>
          </w:p>
        </w:tc>
      </w:tr>
      <w:tr w:rsidR="009A7378" w:rsidRPr="00D63217" w14:paraId="56C4450B" w14:textId="77777777" w:rsidTr="00BF4B43">
        <w:tc>
          <w:tcPr>
            <w:tcW w:w="1113" w:type="pct"/>
            <w:vAlign w:val="bottom"/>
          </w:tcPr>
          <w:p w14:paraId="570ECCB3" w14:textId="77777777" w:rsidR="009A7378" w:rsidRPr="00D63217" w:rsidRDefault="009A7378" w:rsidP="00AD6B16">
            <w:pPr>
              <w:pStyle w:val="TableText"/>
            </w:pPr>
            <w:r w:rsidRPr="00D63217">
              <w:t>DDD</w:t>
            </w:r>
          </w:p>
        </w:tc>
        <w:tc>
          <w:tcPr>
            <w:tcW w:w="3887" w:type="pct"/>
            <w:vAlign w:val="bottom"/>
          </w:tcPr>
          <w:p w14:paraId="6DCFC4F8" w14:textId="77777777" w:rsidR="009A7378" w:rsidRPr="00D63217" w:rsidRDefault="009A7378" w:rsidP="00AD6B16">
            <w:pPr>
              <w:pStyle w:val="TableText"/>
            </w:pPr>
            <w:r w:rsidRPr="00D63217">
              <w:t>daily dietary dose</w:t>
            </w:r>
          </w:p>
        </w:tc>
      </w:tr>
      <w:tr w:rsidR="00F26039" w:rsidRPr="00D63217" w14:paraId="0EA49365" w14:textId="77777777" w:rsidTr="00A179E8">
        <w:tc>
          <w:tcPr>
            <w:tcW w:w="1113" w:type="pct"/>
          </w:tcPr>
          <w:p w14:paraId="5BF4C0CB" w14:textId="2C04B3E3" w:rsidR="00F26039" w:rsidRPr="00D63217" w:rsidRDefault="00F26039" w:rsidP="00F26039">
            <w:pPr>
              <w:pStyle w:val="TableText"/>
            </w:pPr>
            <w:r w:rsidRPr="00770DF5">
              <w:t>DEE</w:t>
            </w:r>
          </w:p>
        </w:tc>
        <w:tc>
          <w:tcPr>
            <w:tcW w:w="3887" w:type="pct"/>
          </w:tcPr>
          <w:p w14:paraId="57951DC9" w14:textId="4B75DF4F" w:rsidR="00F26039" w:rsidRPr="00D63217" w:rsidRDefault="00F26039" w:rsidP="00F26039">
            <w:pPr>
              <w:pStyle w:val="TableText"/>
            </w:pPr>
            <w:r w:rsidRPr="00770DF5">
              <w:t xml:space="preserve">daily energy </w:t>
            </w:r>
            <w:r>
              <w:t>expenditure</w:t>
            </w:r>
          </w:p>
        </w:tc>
      </w:tr>
      <w:tr w:rsidR="00F26039" w:rsidRPr="00D63217" w14:paraId="1B9344D4" w14:textId="77777777" w:rsidTr="00A179E8">
        <w:tc>
          <w:tcPr>
            <w:tcW w:w="1113" w:type="pct"/>
          </w:tcPr>
          <w:p w14:paraId="179003A6" w14:textId="0404BD5C" w:rsidR="00F26039" w:rsidRPr="00D63217" w:rsidRDefault="00F26039" w:rsidP="00F26039">
            <w:pPr>
              <w:pStyle w:val="TableText"/>
            </w:pPr>
            <w:r w:rsidRPr="00343DA2">
              <w:t>DEFRA</w:t>
            </w:r>
          </w:p>
        </w:tc>
        <w:tc>
          <w:tcPr>
            <w:tcW w:w="3887" w:type="pct"/>
          </w:tcPr>
          <w:p w14:paraId="0AE8AF21" w14:textId="44E115DD" w:rsidR="00F26039" w:rsidRPr="00D63217" w:rsidRDefault="00F26039" w:rsidP="00F26039">
            <w:pPr>
              <w:pStyle w:val="TableText"/>
            </w:pPr>
            <w:r w:rsidRPr="00343DA2">
              <w:t>Department for Environment, Food and Rural Affairs</w:t>
            </w:r>
          </w:p>
        </w:tc>
      </w:tr>
      <w:tr w:rsidR="008606AF" w:rsidRPr="00D63217" w14:paraId="27ED4990" w14:textId="77777777" w:rsidTr="00BF4B43">
        <w:tc>
          <w:tcPr>
            <w:tcW w:w="1113" w:type="pct"/>
          </w:tcPr>
          <w:p w14:paraId="2CE75C75" w14:textId="337990BB" w:rsidR="00D02BDC" w:rsidRPr="00D63217" w:rsidRDefault="00D02BDC" w:rsidP="00AD6B16">
            <w:pPr>
              <w:pStyle w:val="TableText"/>
            </w:pPr>
            <w:r w:rsidRPr="00D63217">
              <w:t>DM</w:t>
            </w:r>
          </w:p>
        </w:tc>
        <w:tc>
          <w:tcPr>
            <w:tcW w:w="3887" w:type="pct"/>
          </w:tcPr>
          <w:p w14:paraId="42D2B16C" w14:textId="1BC24F09" w:rsidR="00D02BDC" w:rsidRPr="00D63217" w:rsidRDefault="00D02BDC" w:rsidP="00AD6B16">
            <w:pPr>
              <w:pStyle w:val="TableText"/>
            </w:pPr>
            <w:r w:rsidRPr="00D63217">
              <w:t>dry matter</w:t>
            </w:r>
          </w:p>
        </w:tc>
      </w:tr>
      <w:tr w:rsidR="009A7378" w:rsidRPr="00D63217" w14:paraId="3F69B289" w14:textId="77777777" w:rsidTr="00BF4B43">
        <w:tc>
          <w:tcPr>
            <w:tcW w:w="1113" w:type="pct"/>
          </w:tcPr>
          <w:p w14:paraId="4299A704" w14:textId="77777777" w:rsidR="009A7378" w:rsidRPr="00D63217" w:rsidRDefault="009A7378" w:rsidP="00AD6B16">
            <w:pPr>
              <w:pStyle w:val="TableText"/>
            </w:pPr>
            <w:r w:rsidRPr="00D63217">
              <w:t>ds</w:t>
            </w:r>
          </w:p>
        </w:tc>
        <w:tc>
          <w:tcPr>
            <w:tcW w:w="3887" w:type="pct"/>
          </w:tcPr>
          <w:p w14:paraId="1BA90D23" w14:textId="77777777" w:rsidR="009A7378" w:rsidRPr="00D63217" w:rsidRDefault="009A7378" w:rsidP="00AD6B16">
            <w:pPr>
              <w:pStyle w:val="TableText"/>
            </w:pPr>
            <w:r w:rsidRPr="00D63217">
              <w:t>dry soil or sediment</w:t>
            </w:r>
          </w:p>
        </w:tc>
      </w:tr>
      <w:tr w:rsidR="009A7378" w:rsidRPr="00D63217" w14:paraId="49958F6E" w14:textId="77777777" w:rsidTr="00BF4B43">
        <w:tc>
          <w:tcPr>
            <w:tcW w:w="1113" w:type="pct"/>
          </w:tcPr>
          <w:p w14:paraId="54F2FBCC" w14:textId="77777777" w:rsidR="009A7378" w:rsidRPr="00D63217" w:rsidRDefault="009A7378" w:rsidP="00AD6B16">
            <w:pPr>
              <w:pStyle w:val="TableText"/>
            </w:pPr>
            <w:r w:rsidRPr="00D63217">
              <w:t>DT</w:t>
            </w:r>
            <w:r w:rsidRPr="0029135D">
              <w:rPr>
                <w:vertAlign w:val="subscript"/>
              </w:rPr>
              <w:t>50</w:t>
            </w:r>
          </w:p>
        </w:tc>
        <w:tc>
          <w:tcPr>
            <w:tcW w:w="3887" w:type="pct"/>
          </w:tcPr>
          <w:p w14:paraId="08B2ACA3" w14:textId="77777777" w:rsidR="009A7378" w:rsidRPr="00D63217" w:rsidRDefault="009A7378" w:rsidP="00AD6B16">
            <w:pPr>
              <w:pStyle w:val="TableText"/>
            </w:pPr>
            <w:r w:rsidRPr="00D63217">
              <w:t>period required for 50 percent dissipation</w:t>
            </w:r>
          </w:p>
        </w:tc>
      </w:tr>
      <w:tr w:rsidR="008606AF" w:rsidRPr="00D63217" w14:paraId="4654F437" w14:textId="77777777" w:rsidTr="00BF4B43">
        <w:tc>
          <w:tcPr>
            <w:tcW w:w="1113" w:type="pct"/>
          </w:tcPr>
          <w:p w14:paraId="58035AA5" w14:textId="26D0B4EF" w:rsidR="00D02BDC" w:rsidRPr="00D63217" w:rsidRDefault="00D02BDC" w:rsidP="00AD6B16">
            <w:pPr>
              <w:pStyle w:val="TableText"/>
            </w:pPr>
            <w:r w:rsidRPr="00D63217">
              <w:t>dw</w:t>
            </w:r>
          </w:p>
        </w:tc>
        <w:tc>
          <w:tcPr>
            <w:tcW w:w="3887" w:type="pct"/>
            <w:vAlign w:val="bottom"/>
          </w:tcPr>
          <w:p w14:paraId="13B949E8" w14:textId="1682181A" w:rsidR="00D02BDC" w:rsidRPr="00D63217" w:rsidRDefault="00D02BDC" w:rsidP="00AD6B16">
            <w:pPr>
              <w:pStyle w:val="TableText"/>
            </w:pPr>
            <w:r w:rsidRPr="00D63217">
              <w:t>dry weight</w:t>
            </w:r>
          </w:p>
        </w:tc>
      </w:tr>
      <w:tr w:rsidR="009A7378" w:rsidRPr="00D63217" w14:paraId="52A31F2B" w14:textId="77777777" w:rsidTr="00BF4B43">
        <w:tc>
          <w:tcPr>
            <w:tcW w:w="1113" w:type="pct"/>
          </w:tcPr>
          <w:p w14:paraId="09AC3ADE" w14:textId="77777777" w:rsidR="009A7378" w:rsidRPr="00D63217" w:rsidRDefault="009A7378" w:rsidP="00AD6B16">
            <w:pPr>
              <w:pStyle w:val="TableText"/>
            </w:pPr>
            <w:r w:rsidRPr="00D63217">
              <w:t>EC</w:t>
            </w:r>
            <w:r w:rsidRPr="00F26039">
              <w:rPr>
                <w:vertAlign w:val="subscript"/>
              </w:rPr>
              <w:t>X</w:t>
            </w:r>
          </w:p>
        </w:tc>
        <w:tc>
          <w:tcPr>
            <w:tcW w:w="3887" w:type="pct"/>
            <w:vAlign w:val="bottom"/>
          </w:tcPr>
          <w:p w14:paraId="2F5B0A33" w14:textId="43A80B3C" w:rsidR="009A7378" w:rsidRPr="00D63217" w:rsidRDefault="00F26039" w:rsidP="00AD6B16">
            <w:pPr>
              <w:pStyle w:val="TableText"/>
            </w:pPr>
            <w:r w:rsidRPr="00D15EFA">
              <w:t>effect concentration to X% of the tested population</w:t>
            </w:r>
          </w:p>
        </w:tc>
      </w:tr>
      <w:tr w:rsidR="00F26039" w:rsidRPr="00D63217" w14:paraId="096E92F8" w14:textId="77777777" w:rsidTr="00A179E8">
        <w:tc>
          <w:tcPr>
            <w:tcW w:w="1113" w:type="pct"/>
          </w:tcPr>
          <w:p w14:paraId="324D6FBC" w14:textId="6750EFDB" w:rsidR="00F26039" w:rsidRPr="00D63217" w:rsidRDefault="00F26039" w:rsidP="00F26039">
            <w:pPr>
              <w:pStyle w:val="TableText"/>
            </w:pPr>
            <w:r w:rsidRPr="008D7446">
              <w:t>EEC</w:t>
            </w:r>
          </w:p>
        </w:tc>
        <w:tc>
          <w:tcPr>
            <w:tcW w:w="3887" w:type="pct"/>
          </w:tcPr>
          <w:p w14:paraId="5FC45144" w14:textId="270E92C8" w:rsidR="00F26039" w:rsidRPr="00D15EFA" w:rsidRDefault="00F26039" w:rsidP="00F26039">
            <w:pPr>
              <w:pStyle w:val="TableText"/>
            </w:pPr>
            <w:r w:rsidRPr="00D15EFA">
              <w:t>estimated exposure concentration</w:t>
            </w:r>
          </w:p>
        </w:tc>
      </w:tr>
      <w:tr w:rsidR="009A7378" w:rsidRPr="00D63217" w14:paraId="455B4A31" w14:textId="77777777" w:rsidTr="00BF4B43">
        <w:tc>
          <w:tcPr>
            <w:tcW w:w="1113" w:type="pct"/>
            <w:vAlign w:val="bottom"/>
          </w:tcPr>
          <w:p w14:paraId="56EF89E3" w14:textId="77777777" w:rsidR="009A7378" w:rsidRPr="00D63217" w:rsidRDefault="009A7378" w:rsidP="00AD6B16">
            <w:pPr>
              <w:pStyle w:val="TableText"/>
            </w:pPr>
            <w:r w:rsidRPr="00D63217">
              <w:lastRenderedPageBreak/>
              <w:t>EFSA</w:t>
            </w:r>
          </w:p>
        </w:tc>
        <w:tc>
          <w:tcPr>
            <w:tcW w:w="3887" w:type="pct"/>
            <w:vAlign w:val="bottom"/>
          </w:tcPr>
          <w:p w14:paraId="3E89BE6E" w14:textId="77777777" w:rsidR="009A7378" w:rsidRPr="00D63217" w:rsidRDefault="009A7378" w:rsidP="00AD6B16">
            <w:pPr>
              <w:pStyle w:val="TableText"/>
            </w:pPr>
            <w:r w:rsidRPr="00D63217">
              <w:t>European Food Safety Authority</w:t>
            </w:r>
          </w:p>
        </w:tc>
      </w:tr>
      <w:tr w:rsidR="009A7378" w:rsidRPr="00D63217" w14:paraId="4F978EF4" w14:textId="77777777" w:rsidTr="00BF4B43">
        <w:tc>
          <w:tcPr>
            <w:tcW w:w="1113" w:type="pct"/>
          </w:tcPr>
          <w:p w14:paraId="5A3A1789" w14:textId="77777777" w:rsidR="009A7378" w:rsidRPr="00D63217" w:rsidRDefault="009A7378" w:rsidP="00AD6B16">
            <w:pPr>
              <w:pStyle w:val="TableText"/>
            </w:pPr>
            <w:r w:rsidRPr="00D63217">
              <w:t>ER</w:t>
            </w:r>
            <w:r w:rsidRPr="00F26039">
              <w:rPr>
                <w:vertAlign w:val="subscript"/>
              </w:rPr>
              <w:t>X</w:t>
            </w:r>
          </w:p>
        </w:tc>
        <w:tc>
          <w:tcPr>
            <w:tcW w:w="3887" w:type="pct"/>
            <w:vAlign w:val="bottom"/>
          </w:tcPr>
          <w:p w14:paraId="01A5C587" w14:textId="77777777" w:rsidR="009A7378" w:rsidRPr="00D63217" w:rsidRDefault="009A7378" w:rsidP="00AD6B16">
            <w:pPr>
              <w:pStyle w:val="TableText"/>
            </w:pPr>
            <w:r w:rsidRPr="00D63217">
              <w:t>rate causing X% effect</w:t>
            </w:r>
          </w:p>
        </w:tc>
      </w:tr>
      <w:tr w:rsidR="00F26039" w:rsidRPr="00D63217" w14:paraId="42C7C1E5" w14:textId="77777777" w:rsidTr="00A179E8">
        <w:tc>
          <w:tcPr>
            <w:tcW w:w="1113" w:type="pct"/>
          </w:tcPr>
          <w:p w14:paraId="3D1D81DB" w14:textId="722AE5F3" w:rsidR="00F26039" w:rsidRPr="00D63217" w:rsidRDefault="00F26039" w:rsidP="00F26039">
            <w:pPr>
              <w:pStyle w:val="TableText"/>
            </w:pPr>
            <w:r w:rsidRPr="00C93DFE">
              <w:t>E</w:t>
            </w:r>
            <w:r w:rsidRPr="00351517">
              <w:rPr>
                <w:vertAlign w:val="subscript"/>
              </w:rPr>
              <w:t>r</w:t>
            </w:r>
            <w:r w:rsidRPr="00C93DFE">
              <w:t>C</w:t>
            </w:r>
            <w:r w:rsidRPr="00351517">
              <w:rPr>
                <w:vertAlign w:val="subscript"/>
              </w:rPr>
              <w:t>x</w:t>
            </w:r>
          </w:p>
        </w:tc>
        <w:tc>
          <w:tcPr>
            <w:tcW w:w="3887" w:type="pct"/>
          </w:tcPr>
          <w:p w14:paraId="300B7657" w14:textId="72C4A07F" w:rsidR="00F26039" w:rsidRPr="00D63217" w:rsidRDefault="00F26039" w:rsidP="00F26039">
            <w:pPr>
              <w:pStyle w:val="TableText"/>
            </w:pPr>
            <w:r w:rsidRPr="00D15EFA">
              <w:t>effect concentration to X% of the tested population, growth rate</w:t>
            </w:r>
          </w:p>
        </w:tc>
      </w:tr>
      <w:tr w:rsidR="008606AF" w:rsidRPr="00D63217" w14:paraId="2C8A6118" w14:textId="77777777" w:rsidTr="00BF4B43">
        <w:tc>
          <w:tcPr>
            <w:tcW w:w="1113" w:type="pct"/>
          </w:tcPr>
          <w:p w14:paraId="04623527" w14:textId="73461B74" w:rsidR="00BB4EA7" w:rsidRPr="00D63217" w:rsidRDefault="00BB4EA7" w:rsidP="00AD6B16">
            <w:pPr>
              <w:pStyle w:val="TableText"/>
            </w:pPr>
            <w:r w:rsidRPr="00D63217">
              <w:t>ESI</w:t>
            </w:r>
          </w:p>
        </w:tc>
        <w:tc>
          <w:tcPr>
            <w:tcW w:w="3887" w:type="pct"/>
          </w:tcPr>
          <w:p w14:paraId="469DBDE2" w14:textId="545745C9" w:rsidR="00BB4EA7" w:rsidRPr="00D63217" w:rsidRDefault="00BB4EA7" w:rsidP="00AD6B16">
            <w:pPr>
              <w:pStyle w:val="TableText"/>
            </w:pPr>
            <w:r w:rsidRPr="00D63217">
              <w:t>export slaughter interval</w:t>
            </w:r>
          </w:p>
        </w:tc>
      </w:tr>
      <w:tr w:rsidR="00F26039" w:rsidRPr="00D63217" w14:paraId="7AD282BA" w14:textId="77777777" w:rsidTr="00BF4B43">
        <w:tc>
          <w:tcPr>
            <w:tcW w:w="1113" w:type="pct"/>
          </w:tcPr>
          <w:p w14:paraId="73B4B9AA" w14:textId="5B89B6C0" w:rsidR="00F26039" w:rsidRPr="00D63217" w:rsidRDefault="00F26039" w:rsidP="00F26039">
            <w:pPr>
              <w:pStyle w:val="TableText"/>
            </w:pPr>
            <w:r w:rsidRPr="00C93DFE">
              <w:t>EXP</w:t>
            </w:r>
          </w:p>
        </w:tc>
        <w:tc>
          <w:tcPr>
            <w:tcW w:w="3887" w:type="pct"/>
          </w:tcPr>
          <w:p w14:paraId="7743B061" w14:textId="4D34C4A2" w:rsidR="00F26039" w:rsidRPr="00D63217" w:rsidRDefault="00F26039" w:rsidP="00F26039">
            <w:pPr>
              <w:pStyle w:val="TableText"/>
            </w:pPr>
            <w:r w:rsidRPr="00C93DFE">
              <w:t>exponential function</w:t>
            </w:r>
          </w:p>
        </w:tc>
      </w:tr>
      <w:tr w:rsidR="009A7378" w:rsidRPr="00D63217" w14:paraId="3F81F72E" w14:textId="77777777" w:rsidTr="00BF4B43">
        <w:tc>
          <w:tcPr>
            <w:tcW w:w="1113" w:type="pct"/>
          </w:tcPr>
          <w:p w14:paraId="0454085A" w14:textId="77777777" w:rsidR="009A7378" w:rsidRPr="00D63217" w:rsidRDefault="009A7378" w:rsidP="00AD6B16">
            <w:pPr>
              <w:pStyle w:val="TableText"/>
            </w:pPr>
            <w:r w:rsidRPr="00D63217">
              <w:t>ExpE</w:t>
            </w:r>
          </w:p>
        </w:tc>
        <w:tc>
          <w:tcPr>
            <w:tcW w:w="3887" w:type="pct"/>
          </w:tcPr>
          <w:p w14:paraId="26D11E3E" w14:textId="77777777" w:rsidR="009A7378" w:rsidRPr="00D63217" w:rsidRDefault="009A7378" w:rsidP="00AD6B16">
            <w:pPr>
              <w:pStyle w:val="TableText"/>
            </w:pPr>
            <w:r w:rsidRPr="00D63217">
              <w:t>exposure estimate</w:t>
            </w:r>
          </w:p>
        </w:tc>
      </w:tr>
      <w:tr w:rsidR="0029135D" w:rsidRPr="00D63217" w14:paraId="29A40F1E" w14:textId="77777777" w:rsidTr="00A179E8">
        <w:tc>
          <w:tcPr>
            <w:tcW w:w="1113" w:type="pct"/>
            <w:vAlign w:val="bottom"/>
          </w:tcPr>
          <w:p w14:paraId="5AAAEE7F" w14:textId="1698BBD3" w:rsidR="0029135D" w:rsidRPr="00D63217" w:rsidRDefault="0029135D" w:rsidP="0029135D">
            <w:pPr>
              <w:pStyle w:val="TableText"/>
            </w:pPr>
            <w:r>
              <w:rPr>
                <w:color w:val="000000"/>
                <w:szCs w:val="17"/>
                <w:lang w:eastAsia="en-AU"/>
              </w:rPr>
              <w:t>FE</w:t>
            </w:r>
          </w:p>
        </w:tc>
        <w:tc>
          <w:tcPr>
            <w:tcW w:w="3887" w:type="pct"/>
            <w:vAlign w:val="bottom"/>
          </w:tcPr>
          <w:p w14:paraId="6A8C7652" w14:textId="7C6A4805" w:rsidR="0029135D" w:rsidRPr="00D63217" w:rsidRDefault="0029135D" w:rsidP="0029135D">
            <w:pPr>
              <w:pStyle w:val="TableText"/>
            </w:pPr>
            <w:r w:rsidRPr="00370BB0">
              <w:rPr>
                <w:szCs w:val="17"/>
              </w:rPr>
              <w:t>food energy</w:t>
            </w:r>
          </w:p>
        </w:tc>
      </w:tr>
      <w:tr w:rsidR="0029135D" w:rsidRPr="00D63217" w14:paraId="4C69E49D" w14:textId="77777777" w:rsidTr="00BF4B43">
        <w:tc>
          <w:tcPr>
            <w:tcW w:w="1113" w:type="pct"/>
          </w:tcPr>
          <w:p w14:paraId="6EE3B4C7" w14:textId="1459D4C4" w:rsidR="0029135D" w:rsidRPr="00D63217" w:rsidRDefault="0029135D" w:rsidP="0029135D">
            <w:pPr>
              <w:pStyle w:val="TableText"/>
            </w:pPr>
            <w:r w:rsidRPr="00B507E0">
              <w:t>FFT</w:t>
            </w:r>
          </w:p>
        </w:tc>
        <w:tc>
          <w:tcPr>
            <w:tcW w:w="3887" w:type="pct"/>
          </w:tcPr>
          <w:p w14:paraId="309B2F14" w14:textId="55441AE0" w:rsidR="0029135D" w:rsidRPr="00D63217" w:rsidRDefault="0029135D" w:rsidP="0029135D">
            <w:pPr>
              <w:pStyle w:val="TableText"/>
            </w:pPr>
            <w:r w:rsidRPr="00B507E0">
              <w:t>fraction of field treated</w:t>
            </w:r>
          </w:p>
        </w:tc>
      </w:tr>
      <w:tr w:rsidR="0029135D" w:rsidRPr="00D63217" w14:paraId="32A624C7" w14:textId="77777777" w:rsidTr="00BF4B43">
        <w:tc>
          <w:tcPr>
            <w:tcW w:w="1113" w:type="pct"/>
          </w:tcPr>
          <w:p w14:paraId="283A465B" w14:textId="30C7DBA4" w:rsidR="0029135D" w:rsidRPr="00D63217" w:rsidRDefault="0029135D" w:rsidP="0029135D">
            <w:pPr>
              <w:pStyle w:val="TableText"/>
            </w:pPr>
            <w:r w:rsidRPr="00B507E0">
              <w:t>F</w:t>
            </w:r>
            <w:r w:rsidRPr="00351517">
              <w:rPr>
                <w:vertAlign w:val="subscript"/>
              </w:rPr>
              <w:t>int</w:t>
            </w:r>
          </w:p>
        </w:tc>
        <w:tc>
          <w:tcPr>
            <w:tcW w:w="3887" w:type="pct"/>
          </w:tcPr>
          <w:p w14:paraId="5EA9C98E" w14:textId="7E41FB5D" w:rsidR="0029135D" w:rsidRPr="00D63217" w:rsidRDefault="0029135D" w:rsidP="0029135D">
            <w:pPr>
              <w:pStyle w:val="TableText"/>
            </w:pPr>
            <w:r w:rsidRPr="00B507E0">
              <w:t>interception factor</w:t>
            </w:r>
          </w:p>
        </w:tc>
      </w:tr>
      <w:tr w:rsidR="0029135D" w:rsidRPr="00D63217" w14:paraId="33C13A6B" w14:textId="77777777" w:rsidTr="00A179E8">
        <w:tc>
          <w:tcPr>
            <w:tcW w:w="1113" w:type="pct"/>
            <w:vAlign w:val="bottom"/>
          </w:tcPr>
          <w:p w14:paraId="2386608C" w14:textId="4455285B" w:rsidR="0029135D" w:rsidRPr="00D63217" w:rsidRDefault="0029135D" w:rsidP="0029135D">
            <w:pPr>
              <w:pStyle w:val="TableText"/>
            </w:pPr>
            <w:r w:rsidRPr="00DA1455">
              <w:rPr>
                <w:color w:val="000000"/>
                <w:szCs w:val="17"/>
                <w:lang w:eastAsia="en-AU"/>
              </w:rPr>
              <w:t>FIR</w:t>
            </w:r>
          </w:p>
        </w:tc>
        <w:tc>
          <w:tcPr>
            <w:tcW w:w="3887" w:type="pct"/>
            <w:vAlign w:val="bottom"/>
          </w:tcPr>
          <w:p w14:paraId="7532AA6E" w14:textId="11F9F16B" w:rsidR="0029135D" w:rsidRPr="00D63217" w:rsidRDefault="0029135D" w:rsidP="0029135D">
            <w:pPr>
              <w:pStyle w:val="TableText"/>
            </w:pPr>
            <w:r w:rsidRPr="00DA1455">
              <w:rPr>
                <w:szCs w:val="17"/>
              </w:rPr>
              <w:t>Food ingestion rate</w:t>
            </w:r>
          </w:p>
        </w:tc>
      </w:tr>
      <w:tr w:rsidR="009A7378" w:rsidRPr="00D63217" w14:paraId="4626E395" w14:textId="77777777" w:rsidTr="00BF4B43">
        <w:tc>
          <w:tcPr>
            <w:tcW w:w="1113" w:type="pct"/>
            <w:vAlign w:val="bottom"/>
          </w:tcPr>
          <w:p w14:paraId="77F48490" w14:textId="77777777" w:rsidR="009A7378" w:rsidRPr="00D63217" w:rsidRDefault="009A7378" w:rsidP="00AD6B16">
            <w:pPr>
              <w:pStyle w:val="TableText"/>
            </w:pPr>
            <w:r w:rsidRPr="00D63217">
              <w:t>g</w:t>
            </w:r>
          </w:p>
        </w:tc>
        <w:tc>
          <w:tcPr>
            <w:tcW w:w="3887" w:type="pct"/>
            <w:vAlign w:val="bottom"/>
          </w:tcPr>
          <w:p w14:paraId="7A8E74E1" w14:textId="77777777" w:rsidR="009A7378" w:rsidRPr="00D63217" w:rsidRDefault="009A7378" w:rsidP="00AD6B16">
            <w:pPr>
              <w:pStyle w:val="TableText"/>
            </w:pPr>
            <w:r w:rsidRPr="00D63217">
              <w:t>gram(s)</w:t>
            </w:r>
          </w:p>
        </w:tc>
      </w:tr>
      <w:tr w:rsidR="0029135D" w:rsidRPr="00D63217" w14:paraId="277ED5B5" w14:textId="77777777" w:rsidTr="00A179E8">
        <w:tc>
          <w:tcPr>
            <w:tcW w:w="1113" w:type="pct"/>
          </w:tcPr>
          <w:p w14:paraId="07348BFD" w14:textId="6248E32D" w:rsidR="0029135D" w:rsidRPr="00D63217" w:rsidRDefault="0029135D" w:rsidP="0029135D">
            <w:pPr>
              <w:pStyle w:val="TableText"/>
            </w:pPr>
            <w:r w:rsidRPr="00061A9F">
              <w:t>GLP</w:t>
            </w:r>
          </w:p>
        </w:tc>
        <w:tc>
          <w:tcPr>
            <w:tcW w:w="3887" w:type="pct"/>
          </w:tcPr>
          <w:p w14:paraId="05EB1B31" w14:textId="214025BE" w:rsidR="0029135D" w:rsidRPr="00D63217" w:rsidRDefault="0029135D" w:rsidP="0029135D">
            <w:pPr>
              <w:pStyle w:val="TableText"/>
            </w:pPr>
            <w:r w:rsidRPr="00061A9F">
              <w:t>good laboratory practice</w:t>
            </w:r>
          </w:p>
        </w:tc>
      </w:tr>
      <w:tr w:rsidR="0029135D" w:rsidRPr="00D63217" w14:paraId="63152DE1" w14:textId="77777777" w:rsidTr="00BF4B43">
        <w:tc>
          <w:tcPr>
            <w:tcW w:w="1113" w:type="pct"/>
          </w:tcPr>
          <w:p w14:paraId="5CF5B11B" w14:textId="77777777" w:rsidR="0029135D" w:rsidRPr="00D63217" w:rsidRDefault="0029135D" w:rsidP="0029135D">
            <w:pPr>
              <w:pStyle w:val="TableText"/>
            </w:pPr>
            <w:r w:rsidRPr="00D63217">
              <w:t>h</w:t>
            </w:r>
          </w:p>
        </w:tc>
        <w:tc>
          <w:tcPr>
            <w:tcW w:w="3887" w:type="pct"/>
          </w:tcPr>
          <w:p w14:paraId="58983AD0" w14:textId="77777777" w:rsidR="0029135D" w:rsidRPr="00D63217" w:rsidRDefault="0029135D" w:rsidP="0029135D">
            <w:pPr>
              <w:pStyle w:val="TableText"/>
            </w:pPr>
            <w:r w:rsidRPr="00D63217">
              <w:t>hour(s)</w:t>
            </w:r>
          </w:p>
        </w:tc>
      </w:tr>
      <w:tr w:rsidR="0029135D" w:rsidRPr="00D63217" w14:paraId="3B322571" w14:textId="77777777" w:rsidTr="00BF4B43">
        <w:tc>
          <w:tcPr>
            <w:tcW w:w="1113" w:type="pct"/>
            <w:vAlign w:val="bottom"/>
          </w:tcPr>
          <w:p w14:paraId="3E8DF54B" w14:textId="77777777" w:rsidR="0029135D" w:rsidRPr="00D63217" w:rsidRDefault="0029135D" w:rsidP="0029135D">
            <w:pPr>
              <w:pStyle w:val="TableText"/>
            </w:pPr>
            <w:r w:rsidRPr="00D63217">
              <w:t>ha</w:t>
            </w:r>
          </w:p>
        </w:tc>
        <w:tc>
          <w:tcPr>
            <w:tcW w:w="3887" w:type="pct"/>
            <w:vAlign w:val="bottom"/>
          </w:tcPr>
          <w:p w14:paraId="67080EF1" w14:textId="77777777" w:rsidR="0029135D" w:rsidRPr="00D63217" w:rsidRDefault="0029135D" w:rsidP="0029135D">
            <w:pPr>
              <w:pStyle w:val="TableText"/>
            </w:pPr>
            <w:r w:rsidRPr="00D63217">
              <w:t>hectare(s)</w:t>
            </w:r>
          </w:p>
        </w:tc>
      </w:tr>
      <w:tr w:rsidR="0029135D" w:rsidRPr="00D63217" w14:paraId="74BA2FA3" w14:textId="77777777" w:rsidTr="00BF4B43">
        <w:tc>
          <w:tcPr>
            <w:tcW w:w="1113" w:type="pct"/>
          </w:tcPr>
          <w:p w14:paraId="0DD33D7D" w14:textId="77777777" w:rsidR="0029135D" w:rsidRPr="00D63217" w:rsidRDefault="0029135D" w:rsidP="0029135D">
            <w:pPr>
              <w:pStyle w:val="TableText"/>
            </w:pPr>
            <w:r w:rsidRPr="00D63217">
              <w:t>HC</w:t>
            </w:r>
            <w:r w:rsidRPr="0029135D">
              <w:rPr>
                <w:vertAlign w:val="subscript"/>
              </w:rPr>
              <w:t>X</w:t>
            </w:r>
          </w:p>
        </w:tc>
        <w:tc>
          <w:tcPr>
            <w:tcW w:w="3887" w:type="pct"/>
          </w:tcPr>
          <w:p w14:paraId="7BEAAB4A" w14:textId="77777777" w:rsidR="0029135D" w:rsidRPr="00D63217" w:rsidRDefault="0029135D" w:rsidP="0029135D">
            <w:pPr>
              <w:pStyle w:val="TableText"/>
            </w:pPr>
            <w:r w:rsidRPr="00D63217">
              <w:t>hazardous concentration for X% of the species</w:t>
            </w:r>
          </w:p>
        </w:tc>
      </w:tr>
      <w:tr w:rsidR="0029135D" w:rsidRPr="00D63217" w14:paraId="0FAA0720" w14:textId="77777777" w:rsidTr="00BF4B43">
        <w:tc>
          <w:tcPr>
            <w:tcW w:w="1113" w:type="pct"/>
          </w:tcPr>
          <w:p w14:paraId="21B67F39" w14:textId="70B9727C" w:rsidR="0029135D" w:rsidRPr="00D63217" w:rsidRDefault="0029135D" w:rsidP="0029135D">
            <w:pPr>
              <w:pStyle w:val="TableText"/>
            </w:pPr>
            <w:r w:rsidRPr="00D63217">
              <w:t>HR</w:t>
            </w:r>
          </w:p>
        </w:tc>
        <w:tc>
          <w:tcPr>
            <w:tcW w:w="3887" w:type="pct"/>
          </w:tcPr>
          <w:p w14:paraId="713B6BF8" w14:textId="676EFE40" w:rsidR="0029135D" w:rsidRPr="00D63217" w:rsidRDefault="0029135D" w:rsidP="0029135D">
            <w:pPr>
              <w:pStyle w:val="TableText"/>
            </w:pPr>
            <w:r w:rsidRPr="00D63217">
              <w:t>high residue</w:t>
            </w:r>
          </w:p>
        </w:tc>
      </w:tr>
      <w:tr w:rsidR="0029135D" w:rsidRPr="00D63217" w14:paraId="06D9D25B" w14:textId="77777777" w:rsidTr="00BF4B43">
        <w:tc>
          <w:tcPr>
            <w:tcW w:w="1113" w:type="pct"/>
          </w:tcPr>
          <w:p w14:paraId="25C286DD" w14:textId="77777777" w:rsidR="0029135D" w:rsidRPr="00D63217" w:rsidRDefault="0029135D" w:rsidP="0029135D">
            <w:pPr>
              <w:pStyle w:val="TableText"/>
            </w:pPr>
            <w:r w:rsidRPr="00D63217">
              <w:t>HR</w:t>
            </w:r>
            <w:r w:rsidRPr="0029135D">
              <w:rPr>
                <w:vertAlign w:val="subscript"/>
              </w:rPr>
              <w:t>X</w:t>
            </w:r>
          </w:p>
        </w:tc>
        <w:tc>
          <w:tcPr>
            <w:tcW w:w="3887" w:type="pct"/>
          </w:tcPr>
          <w:p w14:paraId="32BC8F7F" w14:textId="77777777" w:rsidR="0029135D" w:rsidRPr="00D63217" w:rsidRDefault="0029135D" w:rsidP="0029135D">
            <w:pPr>
              <w:pStyle w:val="TableText"/>
            </w:pPr>
            <w:r w:rsidRPr="00D63217">
              <w:t>hazardous rate for X% of the species</w:t>
            </w:r>
          </w:p>
        </w:tc>
      </w:tr>
      <w:tr w:rsidR="0029135D" w:rsidRPr="00D63217" w14:paraId="3CA7F8F7" w14:textId="77777777" w:rsidTr="00BF4B43">
        <w:tc>
          <w:tcPr>
            <w:tcW w:w="1113" w:type="pct"/>
          </w:tcPr>
          <w:p w14:paraId="0E856B4B" w14:textId="2C60337B" w:rsidR="0029135D" w:rsidRPr="00D63217" w:rsidRDefault="0029135D" w:rsidP="0029135D">
            <w:pPr>
              <w:pStyle w:val="TableText"/>
            </w:pPr>
            <w:r w:rsidRPr="007159B9">
              <w:t>HPLC</w:t>
            </w:r>
          </w:p>
        </w:tc>
        <w:tc>
          <w:tcPr>
            <w:tcW w:w="3887" w:type="pct"/>
          </w:tcPr>
          <w:p w14:paraId="2F71D292" w14:textId="01A3B647" w:rsidR="0029135D" w:rsidRPr="00D63217" w:rsidRDefault="0029135D" w:rsidP="0029135D">
            <w:pPr>
              <w:pStyle w:val="TableText"/>
            </w:pPr>
            <w:r w:rsidRPr="007159B9">
              <w:t>high-performance liquid chromatography</w:t>
            </w:r>
          </w:p>
        </w:tc>
      </w:tr>
      <w:tr w:rsidR="0029135D" w:rsidRPr="00D63217" w14:paraId="7570BD88" w14:textId="77777777" w:rsidTr="00BF4B43">
        <w:tc>
          <w:tcPr>
            <w:tcW w:w="1113" w:type="pct"/>
            <w:vAlign w:val="bottom"/>
          </w:tcPr>
          <w:p w14:paraId="6D67B104" w14:textId="77777777" w:rsidR="0029135D" w:rsidRPr="00D63217" w:rsidRDefault="0029135D" w:rsidP="0029135D">
            <w:pPr>
              <w:pStyle w:val="TableText"/>
            </w:pPr>
            <w:r w:rsidRPr="00D63217">
              <w:t>IPM</w:t>
            </w:r>
          </w:p>
        </w:tc>
        <w:tc>
          <w:tcPr>
            <w:tcW w:w="3887" w:type="pct"/>
            <w:vAlign w:val="bottom"/>
          </w:tcPr>
          <w:p w14:paraId="3DFEDCFD" w14:textId="77777777" w:rsidR="0029135D" w:rsidRPr="00D63217" w:rsidRDefault="0029135D" w:rsidP="0029135D">
            <w:pPr>
              <w:pStyle w:val="TableText"/>
            </w:pPr>
            <w:r w:rsidRPr="00D63217">
              <w:t>integrated pest management</w:t>
            </w:r>
          </w:p>
        </w:tc>
      </w:tr>
      <w:tr w:rsidR="0029135D" w:rsidRPr="00D63217" w14:paraId="3358E80C" w14:textId="77777777" w:rsidTr="00BF4B43">
        <w:tc>
          <w:tcPr>
            <w:tcW w:w="1113" w:type="pct"/>
          </w:tcPr>
          <w:p w14:paraId="1D686205" w14:textId="08D613DE" w:rsidR="0029135D" w:rsidRPr="00D63217" w:rsidRDefault="0029135D" w:rsidP="0029135D">
            <w:pPr>
              <w:pStyle w:val="TableText"/>
            </w:pPr>
            <w:r w:rsidRPr="00D63217">
              <w:t>JMPR</w:t>
            </w:r>
          </w:p>
        </w:tc>
        <w:tc>
          <w:tcPr>
            <w:tcW w:w="3887" w:type="pct"/>
          </w:tcPr>
          <w:p w14:paraId="48850D38" w14:textId="492FD900" w:rsidR="0029135D" w:rsidRPr="00D63217" w:rsidRDefault="0029135D" w:rsidP="0029135D">
            <w:pPr>
              <w:pStyle w:val="TableText"/>
            </w:pPr>
            <w:r w:rsidRPr="00D63217">
              <w:t>Joint FAO/WHO Meeting on Pesticide Residues</w:t>
            </w:r>
          </w:p>
        </w:tc>
      </w:tr>
      <w:tr w:rsidR="0029135D" w:rsidRPr="00D63217" w14:paraId="64CE0F66" w14:textId="77777777" w:rsidTr="00BF4B43">
        <w:tc>
          <w:tcPr>
            <w:tcW w:w="1113" w:type="pct"/>
          </w:tcPr>
          <w:p w14:paraId="012412A1" w14:textId="77777777" w:rsidR="0029135D" w:rsidRPr="00D63217" w:rsidRDefault="0029135D" w:rsidP="0029135D">
            <w:pPr>
              <w:pStyle w:val="TableText"/>
            </w:pPr>
            <w:r w:rsidRPr="00D63217">
              <w:t>K</w:t>
            </w:r>
            <w:r w:rsidRPr="0029135D">
              <w:rPr>
                <w:vertAlign w:val="subscript"/>
              </w:rPr>
              <w:t>d</w:t>
            </w:r>
            <w:r w:rsidRPr="00D63217">
              <w:t xml:space="preserve"> or K</w:t>
            </w:r>
            <w:r w:rsidRPr="0029135D">
              <w:rPr>
                <w:vertAlign w:val="subscript"/>
              </w:rPr>
              <w:t>f</w:t>
            </w:r>
          </w:p>
        </w:tc>
        <w:tc>
          <w:tcPr>
            <w:tcW w:w="3887" w:type="pct"/>
          </w:tcPr>
          <w:p w14:paraId="5FEB66A7" w14:textId="77777777" w:rsidR="0029135D" w:rsidRPr="00D63217" w:rsidRDefault="0029135D" w:rsidP="0029135D">
            <w:pPr>
              <w:pStyle w:val="TableText"/>
            </w:pPr>
            <w:r w:rsidRPr="00D63217">
              <w:t>(Freundlich) adsorption constant</w:t>
            </w:r>
          </w:p>
        </w:tc>
      </w:tr>
      <w:tr w:rsidR="0029135D" w:rsidRPr="00D63217" w14:paraId="6DA1466C" w14:textId="77777777" w:rsidTr="00BF4B43">
        <w:tc>
          <w:tcPr>
            <w:tcW w:w="1113" w:type="pct"/>
            <w:vAlign w:val="bottom"/>
          </w:tcPr>
          <w:p w14:paraId="5031B596" w14:textId="77777777" w:rsidR="0029135D" w:rsidRPr="00D63217" w:rsidRDefault="0029135D" w:rsidP="0029135D">
            <w:pPr>
              <w:pStyle w:val="TableText"/>
            </w:pPr>
            <w:r w:rsidRPr="00D63217">
              <w:t>kg</w:t>
            </w:r>
          </w:p>
        </w:tc>
        <w:tc>
          <w:tcPr>
            <w:tcW w:w="3887" w:type="pct"/>
            <w:vAlign w:val="bottom"/>
          </w:tcPr>
          <w:p w14:paraId="1E102D29" w14:textId="77777777" w:rsidR="0029135D" w:rsidRPr="00D63217" w:rsidRDefault="0029135D" w:rsidP="0029135D">
            <w:pPr>
              <w:pStyle w:val="TableText"/>
            </w:pPr>
            <w:r w:rsidRPr="00D63217">
              <w:t>kilogram(s)</w:t>
            </w:r>
          </w:p>
        </w:tc>
      </w:tr>
      <w:tr w:rsidR="0029135D" w:rsidRPr="00D63217" w14:paraId="2CF9534E" w14:textId="77777777" w:rsidTr="00BF4B43">
        <w:tc>
          <w:tcPr>
            <w:tcW w:w="1113" w:type="pct"/>
          </w:tcPr>
          <w:p w14:paraId="5F1796D7" w14:textId="77777777" w:rsidR="0029135D" w:rsidRPr="00D63217" w:rsidRDefault="0029135D" w:rsidP="0029135D">
            <w:pPr>
              <w:pStyle w:val="TableText"/>
            </w:pPr>
            <w:r w:rsidRPr="00D63217">
              <w:t>K</w:t>
            </w:r>
            <w:r w:rsidRPr="0029135D">
              <w:rPr>
                <w:vertAlign w:val="subscript"/>
              </w:rPr>
              <w:t>p</w:t>
            </w:r>
          </w:p>
        </w:tc>
        <w:tc>
          <w:tcPr>
            <w:tcW w:w="3887" w:type="pct"/>
          </w:tcPr>
          <w:p w14:paraId="2702AED1" w14:textId="77777777" w:rsidR="0029135D" w:rsidRPr="00D63217" w:rsidRDefault="0029135D" w:rsidP="0029135D">
            <w:pPr>
              <w:pStyle w:val="TableText"/>
            </w:pPr>
            <w:r w:rsidRPr="00D63217">
              <w:t>sediment sorption coefficient</w:t>
            </w:r>
          </w:p>
        </w:tc>
      </w:tr>
      <w:tr w:rsidR="0029135D" w:rsidRPr="00D63217" w14:paraId="5370CD4B" w14:textId="77777777" w:rsidTr="00BF4B43">
        <w:tc>
          <w:tcPr>
            <w:tcW w:w="1113" w:type="pct"/>
            <w:vAlign w:val="bottom"/>
          </w:tcPr>
          <w:p w14:paraId="73FDA6D5" w14:textId="77777777" w:rsidR="0029135D" w:rsidRPr="00D63217" w:rsidRDefault="0029135D" w:rsidP="0029135D">
            <w:pPr>
              <w:pStyle w:val="TableText"/>
            </w:pPr>
            <w:r w:rsidRPr="00D63217">
              <w:t>L</w:t>
            </w:r>
          </w:p>
        </w:tc>
        <w:tc>
          <w:tcPr>
            <w:tcW w:w="3887" w:type="pct"/>
            <w:vAlign w:val="bottom"/>
          </w:tcPr>
          <w:p w14:paraId="64F62EDD" w14:textId="77777777" w:rsidR="0029135D" w:rsidRPr="00D63217" w:rsidRDefault="0029135D" w:rsidP="0029135D">
            <w:pPr>
              <w:pStyle w:val="TableText"/>
            </w:pPr>
            <w:r w:rsidRPr="00D63217">
              <w:t>litre(s)</w:t>
            </w:r>
          </w:p>
        </w:tc>
      </w:tr>
      <w:tr w:rsidR="0029135D" w:rsidRPr="00D63217" w14:paraId="5FCBF693" w14:textId="77777777" w:rsidTr="00BF4B43">
        <w:tc>
          <w:tcPr>
            <w:tcW w:w="1113" w:type="pct"/>
          </w:tcPr>
          <w:p w14:paraId="29809D80" w14:textId="77777777" w:rsidR="0029135D" w:rsidRPr="00D63217" w:rsidRDefault="0029135D" w:rsidP="0029135D">
            <w:pPr>
              <w:pStyle w:val="TableText"/>
            </w:pPr>
            <w:r w:rsidRPr="00D63217">
              <w:t>LC</w:t>
            </w:r>
            <w:r w:rsidRPr="0029135D">
              <w:rPr>
                <w:vertAlign w:val="subscript"/>
              </w:rPr>
              <w:t>X</w:t>
            </w:r>
          </w:p>
        </w:tc>
        <w:tc>
          <w:tcPr>
            <w:tcW w:w="3887" w:type="pct"/>
            <w:vAlign w:val="bottom"/>
          </w:tcPr>
          <w:p w14:paraId="4626F684" w14:textId="77777777" w:rsidR="0029135D" w:rsidRPr="00D63217" w:rsidRDefault="0029135D" w:rsidP="0029135D">
            <w:pPr>
              <w:pStyle w:val="TableText"/>
            </w:pPr>
            <w:r w:rsidRPr="00D63217">
              <w:t>lethal concentration to X% of the tested population</w:t>
            </w:r>
          </w:p>
        </w:tc>
      </w:tr>
      <w:tr w:rsidR="0029135D" w:rsidRPr="00D63217" w14:paraId="57A649A0" w14:textId="77777777" w:rsidTr="00BF4B43">
        <w:tc>
          <w:tcPr>
            <w:tcW w:w="1113" w:type="pct"/>
          </w:tcPr>
          <w:p w14:paraId="2EBF5054" w14:textId="77777777" w:rsidR="0029135D" w:rsidRPr="00D63217" w:rsidRDefault="0029135D" w:rsidP="0029135D">
            <w:pPr>
              <w:pStyle w:val="TableText"/>
            </w:pPr>
            <w:r w:rsidRPr="00D63217">
              <w:t>LD</w:t>
            </w:r>
            <w:r w:rsidRPr="0029135D">
              <w:rPr>
                <w:vertAlign w:val="subscript"/>
              </w:rPr>
              <w:t>X</w:t>
            </w:r>
          </w:p>
        </w:tc>
        <w:tc>
          <w:tcPr>
            <w:tcW w:w="3887" w:type="pct"/>
            <w:vAlign w:val="bottom"/>
          </w:tcPr>
          <w:p w14:paraId="7C7961B5" w14:textId="77777777" w:rsidR="0029135D" w:rsidRPr="00D63217" w:rsidRDefault="0029135D" w:rsidP="0029135D">
            <w:pPr>
              <w:pStyle w:val="TableText"/>
            </w:pPr>
            <w:r w:rsidRPr="00D63217">
              <w:t>lethal dose to X% of the tested population</w:t>
            </w:r>
          </w:p>
        </w:tc>
      </w:tr>
      <w:tr w:rsidR="0029135D" w:rsidRPr="00D63217" w14:paraId="3A5909F7" w14:textId="77777777" w:rsidTr="00BF4B43">
        <w:tc>
          <w:tcPr>
            <w:tcW w:w="1113" w:type="pct"/>
          </w:tcPr>
          <w:p w14:paraId="2163561E" w14:textId="77777777" w:rsidR="0029135D" w:rsidRPr="00D63217" w:rsidRDefault="0029135D" w:rsidP="0029135D">
            <w:pPr>
              <w:pStyle w:val="TableText"/>
            </w:pPr>
            <w:r w:rsidRPr="00D63217">
              <w:t>LOC</w:t>
            </w:r>
          </w:p>
        </w:tc>
        <w:tc>
          <w:tcPr>
            <w:tcW w:w="3887" w:type="pct"/>
          </w:tcPr>
          <w:p w14:paraId="7AEB9250" w14:textId="77777777" w:rsidR="0029135D" w:rsidRPr="00D63217" w:rsidRDefault="0029135D" w:rsidP="0029135D">
            <w:pPr>
              <w:pStyle w:val="TableText"/>
            </w:pPr>
            <w:r w:rsidRPr="00D63217">
              <w:t>level of concern</w:t>
            </w:r>
          </w:p>
        </w:tc>
      </w:tr>
      <w:tr w:rsidR="0029135D" w:rsidRPr="00D63217" w14:paraId="243E85B7" w14:textId="77777777" w:rsidTr="00BF4B43">
        <w:tc>
          <w:tcPr>
            <w:tcW w:w="1113" w:type="pct"/>
          </w:tcPr>
          <w:p w14:paraId="62E1F023" w14:textId="4E922950" w:rsidR="0029135D" w:rsidRPr="00D63217" w:rsidRDefault="0029135D" w:rsidP="0029135D">
            <w:pPr>
              <w:pStyle w:val="TableText"/>
            </w:pPr>
            <w:r w:rsidRPr="00D63217">
              <w:lastRenderedPageBreak/>
              <w:t>LOD</w:t>
            </w:r>
          </w:p>
        </w:tc>
        <w:tc>
          <w:tcPr>
            <w:tcW w:w="3887" w:type="pct"/>
          </w:tcPr>
          <w:p w14:paraId="10C65884" w14:textId="6DB6D2F2" w:rsidR="0029135D" w:rsidRPr="00D63217" w:rsidRDefault="0029135D" w:rsidP="0029135D">
            <w:pPr>
              <w:pStyle w:val="TableText"/>
            </w:pPr>
            <w:r w:rsidRPr="00D63217">
              <w:t>limit of detection</w:t>
            </w:r>
          </w:p>
        </w:tc>
      </w:tr>
      <w:tr w:rsidR="0029135D" w:rsidRPr="00D63217" w14:paraId="18B0EF20" w14:textId="77777777" w:rsidTr="00BF4B43">
        <w:tc>
          <w:tcPr>
            <w:tcW w:w="1113" w:type="pct"/>
          </w:tcPr>
          <w:p w14:paraId="103DEB6E" w14:textId="6FA0B698" w:rsidR="0029135D" w:rsidRPr="00D63217" w:rsidRDefault="0029135D" w:rsidP="0029135D">
            <w:pPr>
              <w:pStyle w:val="TableText"/>
            </w:pPr>
            <w:r w:rsidRPr="00D63217">
              <w:t>LOQ</w:t>
            </w:r>
          </w:p>
        </w:tc>
        <w:tc>
          <w:tcPr>
            <w:tcW w:w="3887" w:type="pct"/>
          </w:tcPr>
          <w:p w14:paraId="327DA1B2" w14:textId="6CF8FEC4" w:rsidR="0029135D" w:rsidRPr="00D63217" w:rsidRDefault="0029135D" w:rsidP="0029135D">
            <w:pPr>
              <w:pStyle w:val="TableText"/>
            </w:pPr>
            <w:r w:rsidRPr="00D63217">
              <w:t>limit of quantification</w:t>
            </w:r>
          </w:p>
        </w:tc>
      </w:tr>
      <w:tr w:rsidR="0029135D" w:rsidRPr="00D63217" w14:paraId="19A5311F" w14:textId="77777777" w:rsidTr="00BF4B43">
        <w:tc>
          <w:tcPr>
            <w:tcW w:w="1113" w:type="pct"/>
          </w:tcPr>
          <w:p w14:paraId="04E008CC" w14:textId="77777777" w:rsidR="0029135D" w:rsidRPr="00D63217" w:rsidRDefault="0029135D" w:rsidP="0029135D">
            <w:pPr>
              <w:pStyle w:val="TableText"/>
            </w:pPr>
            <w:r w:rsidRPr="00D63217">
              <w:t>LR</w:t>
            </w:r>
            <w:r w:rsidRPr="0029135D">
              <w:rPr>
                <w:vertAlign w:val="subscript"/>
              </w:rPr>
              <w:t>X</w:t>
            </w:r>
          </w:p>
        </w:tc>
        <w:tc>
          <w:tcPr>
            <w:tcW w:w="3887" w:type="pct"/>
            <w:vAlign w:val="bottom"/>
          </w:tcPr>
          <w:p w14:paraId="21BE3934" w14:textId="77777777" w:rsidR="0029135D" w:rsidRPr="00D63217" w:rsidRDefault="0029135D" w:rsidP="0029135D">
            <w:pPr>
              <w:pStyle w:val="TableText"/>
            </w:pPr>
            <w:r w:rsidRPr="00D63217">
              <w:t>lethal rate to X% of the tested population</w:t>
            </w:r>
          </w:p>
        </w:tc>
      </w:tr>
      <w:tr w:rsidR="0029135D" w:rsidRPr="00D63217" w14:paraId="4211466E" w14:textId="77777777" w:rsidTr="00BF4B43">
        <w:tc>
          <w:tcPr>
            <w:tcW w:w="1113" w:type="pct"/>
          </w:tcPr>
          <w:p w14:paraId="715A32B3" w14:textId="77777777" w:rsidR="0029135D" w:rsidRPr="00D63217" w:rsidRDefault="0029135D" w:rsidP="0029135D">
            <w:pPr>
              <w:pStyle w:val="TableText"/>
            </w:pPr>
            <w:r w:rsidRPr="00D63217">
              <w:t>m</w:t>
            </w:r>
          </w:p>
        </w:tc>
        <w:tc>
          <w:tcPr>
            <w:tcW w:w="3887" w:type="pct"/>
          </w:tcPr>
          <w:p w14:paraId="2C57DEF6" w14:textId="77777777" w:rsidR="0029135D" w:rsidRPr="00D63217" w:rsidRDefault="0029135D" w:rsidP="0029135D">
            <w:pPr>
              <w:pStyle w:val="TableText"/>
            </w:pPr>
            <w:r w:rsidRPr="00D63217">
              <w:t>metre(s)</w:t>
            </w:r>
          </w:p>
        </w:tc>
      </w:tr>
      <w:tr w:rsidR="0029135D" w:rsidRPr="00D63217" w14:paraId="2C160D5E" w14:textId="77777777" w:rsidTr="00BF4B43">
        <w:tc>
          <w:tcPr>
            <w:tcW w:w="1113" w:type="pct"/>
          </w:tcPr>
          <w:p w14:paraId="0D27EB4D" w14:textId="2203E547" w:rsidR="0029135D" w:rsidRPr="00D63217" w:rsidRDefault="0029135D" w:rsidP="0029135D">
            <w:pPr>
              <w:pStyle w:val="TableText"/>
            </w:pPr>
            <w:r w:rsidRPr="0090760E">
              <w:t>MAF</w:t>
            </w:r>
          </w:p>
        </w:tc>
        <w:tc>
          <w:tcPr>
            <w:tcW w:w="3887" w:type="pct"/>
          </w:tcPr>
          <w:p w14:paraId="4F7A90E9" w14:textId="0A7F8A38" w:rsidR="0029135D" w:rsidRPr="00D63217" w:rsidRDefault="0029135D" w:rsidP="0029135D">
            <w:pPr>
              <w:pStyle w:val="TableText"/>
            </w:pPr>
            <w:r w:rsidRPr="0090760E">
              <w:t>multiple application factor</w:t>
            </w:r>
          </w:p>
        </w:tc>
      </w:tr>
      <w:tr w:rsidR="0029135D" w:rsidRPr="00D63217" w14:paraId="156537FF" w14:textId="77777777" w:rsidTr="00BF4B43">
        <w:tc>
          <w:tcPr>
            <w:tcW w:w="1113" w:type="pct"/>
          </w:tcPr>
          <w:p w14:paraId="2BC7B33E" w14:textId="77777777" w:rsidR="0029135D" w:rsidRPr="00D63217" w:rsidRDefault="0029135D" w:rsidP="0029135D">
            <w:pPr>
              <w:pStyle w:val="TableText"/>
            </w:pPr>
            <w:r w:rsidRPr="00D63217">
              <w:t>max</w:t>
            </w:r>
          </w:p>
        </w:tc>
        <w:tc>
          <w:tcPr>
            <w:tcW w:w="3887" w:type="pct"/>
          </w:tcPr>
          <w:p w14:paraId="27341DBA" w14:textId="77777777" w:rsidR="0029135D" w:rsidRPr="00D63217" w:rsidRDefault="0029135D" w:rsidP="0029135D">
            <w:pPr>
              <w:pStyle w:val="TableText"/>
            </w:pPr>
            <w:r w:rsidRPr="00D63217">
              <w:t>maximum</w:t>
            </w:r>
          </w:p>
        </w:tc>
      </w:tr>
      <w:tr w:rsidR="0029135D" w:rsidRPr="00D63217" w14:paraId="28DF3F8C" w14:textId="77777777" w:rsidTr="00BF4B43">
        <w:tc>
          <w:tcPr>
            <w:tcW w:w="1113" w:type="pct"/>
          </w:tcPr>
          <w:p w14:paraId="6F048BB6" w14:textId="0724264F" w:rsidR="0029135D" w:rsidRPr="00D63217" w:rsidRDefault="0029135D" w:rsidP="0029135D">
            <w:pPr>
              <w:pStyle w:val="TableText"/>
            </w:pPr>
            <w:r>
              <w:rPr>
                <w:szCs w:val="17"/>
              </w:rPr>
              <w:t>MC</w:t>
            </w:r>
          </w:p>
        </w:tc>
        <w:tc>
          <w:tcPr>
            <w:tcW w:w="3887" w:type="pct"/>
          </w:tcPr>
          <w:p w14:paraId="1C70A7BA" w14:textId="10DE6271" w:rsidR="0029135D" w:rsidRPr="00D63217" w:rsidRDefault="0029135D" w:rsidP="0029135D">
            <w:pPr>
              <w:pStyle w:val="TableText"/>
            </w:pPr>
            <w:r w:rsidRPr="009D63B8">
              <w:t>moisture content</w:t>
            </w:r>
          </w:p>
        </w:tc>
      </w:tr>
      <w:tr w:rsidR="0029135D" w:rsidRPr="00D63217" w14:paraId="01778BE7" w14:textId="77777777" w:rsidTr="00BF4B43">
        <w:tc>
          <w:tcPr>
            <w:tcW w:w="1113" w:type="pct"/>
          </w:tcPr>
          <w:p w14:paraId="7A79F9A3" w14:textId="3E73564D" w:rsidR="0029135D" w:rsidRPr="00D63217" w:rsidRDefault="0029135D" w:rsidP="0029135D">
            <w:pPr>
              <w:pStyle w:val="TableText"/>
            </w:pPr>
            <w:r w:rsidRPr="00C7007B">
              <w:t>MDR</w:t>
            </w:r>
          </w:p>
        </w:tc>
        <w:tc>
          <w:tcPr>
            <w:tcW w:w="3887" w:type="pct"/>
          </w:tcPr>
          <w:p w14:paraId="346AD4EE" w14:textId="69C2AC39" w:rsidR="0029135D" w:rsidRPr="00D63217" w:rsidRDefault="0029135D" w:rsidP="0029135D">
            <w:pPr>
              <w:pStyle w:val="TableText"/>
            </w:pPr>
            <w:r w:rsidRPr="00C7007B">
              <w:t>model deviation ratio</w:t>
            </w:r>
          </w:p>
        </w:tc>
      </w:tr>
      <w:tr w:rsidR="0029135D" w:rsidRPr="00D63217" w14:paraId="3B250378" w14:textId="77777777" w:rsidTr="00BF4B43">
        <w:tc>
          <w:tcPr>
            <w:tcW w:w="1113" w:type="pct"/>
            <w:vAlign w:val="bottom"/>
          </w:tcPr>
          <w:p w14:paraId="6721F9CA" w14:textId="77777777" w:rsidR="0029135D" w:rsidRPr="00D63217" w:rsidRDefault="0029135D" w:rsidP="0029135D">
            <w:pPr>
              <w:pStyle w:val="TableText"/>
            </w:pPr>
            <w:r w:rsidRPr="00D63217">
              <w:t>mg</w:t>
            </w:r>
          </w:p>
        </w:tc>
        <w:tc>
          <w:tcPr>
            <w:tcW w:w="3887" w:type="pct"/>
            <w:vAlign w:val="bottom"/>
          </w:tcPr>
          <w:p w14:paraId="1D78B784" w14:textId="77777777" w:rsidR="0029135D" w:rsidRPr="00D63217" w:rsidRDefault="0029135D" w:rsidP="0029135D">
            <w:pPr>
              <w:pStyle w:val="TableText"/>
            </w:pPr>
            <w:r w:rsidRPr="00D63217">
              <w:t>milligram(s)</w:t>
            </w:r>
          </w:p>
        </w:tc>
      </w:tr>
      <w:tr w:rsidR="0029135D" w:rsidRPr="00D63217" w14:paraId="60F47F07" w14:textId="77777777" w:rsidTr="00BF4B43">
        <w:tc>
          <w:tcPr>
            <w:tcW w:w="1113" w:type="pct"/>
          </w:tcPr>
          <w:p w14:paraId="1602D522" w14:textId="77777777" w:rsidR="0029135D" w:rsidRPr="00D63217" w:rsidRDefault="0029135D" w:rsidP="0029135D">
            <w:pPr>
              <w:pStyle w:val="TableText"/>
            </w:pPr>
            <w:r w:rsidRPr="00D63217">
              <w:t>mL</w:t>
            </w:r>
          </w:p>
        </w:tc>
        <w:tc>
          <w:tcPr>
            <w:tcW w:w="3887" w:type="pct"/>
          </w:tcPr>
          <w:p w14:paraId="05B73838" w14:textId="77777777" w:rsidR="0029135D" w:rsidRPr="00D63217" w:rsidRDefault="0029135D" w:rsidP="0029135D">
            <w:pPr>
              <w:pStyle w:val="TableText"/>
            </w:pPr>
            <w:r w:rsidRPr="00D63217">
              <w:t>millilitre(s)</w:t>
            </w:r>
          </w:p>
        </w:tc>
      </w:tr>
      <w:tr w:rsidR="0029135D" w:rsidRPr="00D63217" w14:paraId="51E913DD" w14:textId="77777777" w:rsidTr="00BF4B43">
        <w:tc>
          <w:tcPr>
            <w:tcW w:w="1113" w:type="pct"/>
            <w:vAlign w:val="bottom"/>
          </w:tcPr>
          <w:p w14:paraId="1EBA22B6" w14:textId="77777777" w:rsidR="0029135D" w:rsidRPr="00D63217" w:rsidRDefault="0029135D" w:rsidP="0029135D">
            <w:pPr>
              <w:pStyle w:val="TableText"/>
            </w:pPr>
            <w:r w:rsidRPr="00D63217">
              <w:t>mm</w:t>
            </w:r>
          </w:p>
        </w:tc>
        <w:tc>
          <w:tcPr>
            <w:tcW w:w="3887" w:type="pct"/>
            <w:vAlign w:val="bottom"/>
          </w:tcPr>
          <w:p w14:paraId="65D25A8F" w14:textId="77777777" w:rsidR="0029135D" w:rsidRPr="00D63217" w:rsidRDefault="0029135D" w:rsidP="0029135D">
            <w:pPr>
              <w:pStyle w:val="TableText"/>
            </w:pPr>
            <w:r w:rsidRPr="00D63217">
              <w:t>millimetre(s)</w:t>
            </w:r>
          </w:p>
        </w:tc>
      </w:tr>
      <w:tr w:rsidR="0029135D" w:rsidRPr="00D63217" w14:paraId="481AF32F" w14:textId="77777777" w:rsidTr="00BF4B43">
        <w:tc>
          <w:tcPr>
            <w:tcW w:w="1113" w:type="pct"/>
          </w:tcPr>
          <w:p w14:paraId="75ABDF0C" w14:textId="77777777" w:rsidR="0029135D" w:rsidRPr="00D63217" w:rsidRDefault="0029135D" w:rsidP="0029135D">
            <w:pPr>
              <w:pStyle w:val="TableText"/>
            </w:pPr>
            <w:r w:rsidRPr="00D63217">
              <w:t>mol</w:t>
            </w:r>
          </w:p>
        </w:tc>
        <w:tc>
          <w:tcPr>
            <w:tcW w:w="3887" w:type="pct"/>
          </w:tcPr>
          <w:p w14:paraId="5D98C06D" w14:textId="77777777" w:rsidR="0029135D" w:rsidRPr="00D63217" w:rsidRDefault="0029135D" w:rsidP="0029135D">
            <w:pPr>
              <w:pStyle w:val="TableText"/>
            </w:pPr>
            <w:r w:rsidRPr="00D63217">
              <w:t>mole(s)</w:t>
            </w:r>
          </w:p>
        </w:tc>
      </w:tr>
      <w:tr w:rsidR="0029135D" w:rsidRPr="00D63217" w14:paraId="57DCAC06" w14:textId="77777777" w:rsidTr="00BF4B43">
        <w:tc>
          <w:tcPr>
            <w:tcW w:w="1113" w:type="pct"/>
          </w:tcPr>
          <w:p w14:paraId="58DAE6E0" w14:textId="55E3EDC2" w:rsidR="0029135D" w:rsidRPr="00D63217" w:rsidRDefault="0029135D" w:rsidP="0029135D">
            <w:pPr>
              <w:pStyle w:val="TableText"/>
            </w:pPr>
            <w:r w:rsidRPr="00D63217">
              <w:t>NEDI</w:t>
            </w:r>
          </w:p>
        </w:tc>
        <w:tc>
          <w:tcPr>
            <w:tcW w:w="3887" w:type="pct"/>
          </w:tcPr>
          <w:p w14:paraId="60D7F4F1" w14:textId="7DFC8BC1" w:rsidR="0029135D" w:rsidRPr="00D63217" w:rsidRDefault="0029135D" w:rsidP="0029135D">
            <w:pPr>
              <w:pStyle w:val="TableText"/>
            </w:pPr>
            <w:r w:rsidRPr="00D63217">
              <w:t>National Estimated Daily Intake</w:t>
            </w:r>
          </w:p>
        </w:tc>
      </w:tr>
      <w:tr w:rsidR="0029135D" w:rsidRPr="00D63217" w14:paraId="2AABE579" w14:textId="77777777" w:rsidTr="00BF4B43">
        <w:tc>
          <w:tcPr>
            <w:tcW w:w="1113" w:type="pct"/>
          </w:tcPr>
          <w:p w14:paraId="4FF21D1E" w14:textId="5DE4AEC8" w:rsidR="0029135D" w:rsidRPr="00D63217" w:rsidRDefault="0029135D" w:rsidP="0029135D">
            <w:pPr>
              <w:pStyle w:val="TableText"/>
            </w:pPr>
            <w:r w:rsidRPr="00D63217">
              <w:t>NESTI</w:t>
            </w:r>
          </w:p>
        </w:tc>
        <w:tc>
          <w:tcPr>
            <w:tcW w:w="3887" w:type="pct"/>
          </w:tcPr>
          <w:p w14:paraId="1653DF58" w14:textId="68C654BB" w:rsidR="0029135D" w:rsidRPr="00D63217" w:rsidRDefault="0029135D" w:rsidP="0029135D">
            <w:pPr>
              <w:pStyle w:val="TableText"/>
            </w:pPr>
            <w:r w:rsidRPr="00D63217">
              <w:t>National Estimated Short Term Intake</w:t>
            </w:r>
          </w:p>
        </w:tc>
      </w:tr>
      <w:tr w:rsidR="0029135D" w:rsidRPr="00D63217" w14:paraId="07FB12EE" w14:textId="77777777" w:rsidTr="00BF4B43">
        <w:tc>
          <w:tcPr>
            <w:tcW w:w="1113" w:type="pct"/>
          </w:tcPr>
          <w:p w14:paraId="4CF026E5" w14:textId="77777777" w:rsidR="0029135D" w:rsidRPr="00D63217" w:rsidRDefault="0029135D" w:rsidP="0029135D">
            <w:pPr>
              <w:pStyle w:val="TableText"/>
            </w:pPr>
            <w:r w:rsidRPr="00D63217">
              <w:t>NOAEL</w:t>
            </w:r>
          </w:p>
        </w:tc>
        <w:tc>
          <w:tcPr>
            <w:tcW w:w="3887" w:type="pct"/>
          </w:tcPr>
          <w:p w14:paraId="3410EA58" w14:textId="77777777" w:rsidR="0029135D" w:rsidRPr="00D63217" w:rsidRDefault="0029135D" w:rsidP="0029135D">
            <w:pPr>
              <w:pStyle w:val="TableText"/>
            </w:pPr>
            <w:r w:rsidRPr="00D63217">
              <w:t>No observable adverse effect level</w:t>
            </w:r>
          </w:p>
        </w:tc>
      </w:tr>
      <w:tr w:rsidR="0029135D" w:rsidRPr="00D63217" w14:paraId="483CF1E8" w14:textId="77777777" w:rsidTr="00BF4B43">
        <w:tc>
          <w:tcPr>
            <w:tcW w:w="1113" w:type="pct"/>
            <w:vAlign w:val="bottom"/>
          </w:tcPr>
          <w:p w14:paraId="4611E996" w14:textId="77777777" w:rsidR="0029135D" w:rsidRPr="00D63217" w:rsidRDefault="0029135D" w:rsidP="0029135D">
            <w:pPr>
              <w:pStyle w:val="TableText"/>
            </w:pPr>
            <w:r w:rsidRPr="00D63217">
              <w:t>NOEC</w:t>
            </w:r>
          </w:p>
        </w:tc>
        <w:tc>
          <w:tcPr>
            <w:tcW w:w="3887" w:type="pct"/>
            <w:vAlign w:val="bottom"/>
          </w:tcPr>
          <w:p w14:paraId="383AF104" w14:textId="77777777" w:rsidR="0029135D" w:rsidRPr="00D63217" w:rsidRDefault="0029135D" w:rsidP="0029135D">
            <w:pPr>
              <w:pStyle w:val="TableText"/>
            </w:pPr>
            <w:r w:rsidRPr="00D63217">
              <w:t>no observed effect concentration</w:t>
            </w:r>
          </w:p>
        </w:tc>
      </w:tr>
      <w:tr w:rsidR="0029135D" w:rsidRPr="00D63217" w14:paraId="302DAE23" w14:textId="77777777" w:rsidTr="00BF4B43">
        <w:tc>
          <w:tcPr>
            <w:tcW w:w="1113" w:type="pct"/>
          </w:tcPr>
          <w:p w14:paraId="651927BF" w14:textId="77777777" w:rsidR="0029135D" w:rsidRPr="00D63217" w:rsidRDefault="0029135D" w:rsidP="0029135D">
            <w:pPr>
              <w:pStyle w:val="TableText"/>
            </w:pPr>
            <w:r w:rsidRPr="00D63217">
              <w:t>NOEL</w:t>
            </w:r>
          </w:p>
        </w:tc>
        <w:tc>
          <w:tcPr>
            <w:tcW w:w="3887" w:type="pct"/>
          </w:tcPr>
          <w:p w14:paraId="1116BBC2" w14:textId="77777777" w:rsidR="0029135D" w:rsidRPr="00D63217" w:rsidRDefault="0029135D" w:rsidP="0029135D">
            <w:pPr>
              <w:pStyle w:val="TableText"/>
            </w:pPr>
            <w:r w:rsidRPr="00D63217">
              <w:t>no observable effect level</w:t>
            </w:r>
          </w:p>
        </w:tc>
      </w:tr>
      <w:tr w:rsidR="0029135D" w:rsidRPr="00D63217" w14:paraId="656BE1E9" w14:textId="77777777" w:rsidTr="00BF4B43">
        <w:tc>
          <w:tcPr>
            <w:tcW w:w="1113" w:type="pct"/>
          </w:tcPr>
          <w:p w14:paraId="637E3214" w14:textId="77777777" w:rsidR="0029135D" w:rsidRPr="00D63217" w:rsidRDefault="0029135D" w:rsidP="0029135D">
            <w:pPr>
              <w:pStyle w:val="TableText"/>
            </w:pPr>
            <w:r w:rsidRPr="00D63217">
              <w:t>nm</w:t>
            </w:r>
          </w:p>
        </w:tc>
        <w:tc>
          <w:tcPr>
            <w:tcW w:w="3887" w:type="pct"/>
          </w:tcPr>
          <w:p w14:paraId="7B542066" w14:textId="77777777" w:rsidR="0029135D" w:rsidRPr="00D63217" w:rsidRDefault="0029135D" w:rsidP="0029135D">
            <w:pPr>
              <w:pStyle w:val="TableText"/>
            </w:pPr>
            <w:r w:rsidRPr="00D63217">
              <w:t>nanometre(s)</w:t>
            </w:r>
          </w:p>
        </w:tc>
      </w:tr>
      <w:tr w:rsidR="0029135D" w:rsidRPr="00D63217" w14:paraId="45EE7A01" w14:textId="77777777" w:rsidTr="00BF4B43">
        <w:tc>
          <w:tcPr>
            <w:tcW w:w="1113" w:type="pct"/>
          </w:tcPr>
          <w:p w14:paraId="698A63E0" w14:textId="14D07167" w:rsidR="0029135D" w:rsidRPr="00D63217" w:rsidRDefault="0029135D" w:rsidP="0029135D">
            <w:pPr>
              <w:pStyle w:val="TableText"/>
            </w:pPr>
            <w:r>
              <w:t>NZEPA</w:t>
            </w:r>
          </w:p>
        </w:tc>
        <w:tc>
          <w:tcPr>
            <w:tcW w:w="3887" w:type="pct"/>
          </w:tcPr>
          <w:p w14:paraId="7D266B47" w14:textId="1B9B4986" w:rsidR="0029135D" w:rsidRPr="00D63217" w:rsidRDefault="0029135D" w:rsidP="0029135D">
            <w:pPr>
              <w:pStyle w:val="TableText"/>
            </w:pPr>
            <w:r>
              <w:t>New Zealand Environmental Protection Agency</w:t>
            </w:r>
          </w:p>
        </w:tc>
      </w:tr>
      <w:tr w:rsidR="0029135D" w:rsidRPr="00D63217" w14:paraId="23FA0FE9" w14:textId="77777777" w:rsidTr="00BF4B43">
        <w:tc>
          <w:tcPr>
            <w:tcW w:w="1113" w:type="pct"/>
          </w:tcPr>
          <w:p w14:paraId="76C6A765" w14:textId="77777777" w:rsidR="0029135D" w:rsidRPr="00D63217" w:rsidRDefault="0029135D" w:rsidP="0029135D">
            <w:pPr>
              <w:pStyle w:val="TableText"/>
            </w:pPr>
            <w:r w:rsidRPr="00D63217">
              <w:t>OC</w:t>
            </w:r>
          </w:p>
        </w:tc>
        <w:tc>
          <w:tcPr>
            <w:tcW w:w="3887" w:type="pct"/>
          </w:tcPr>
          <w:p w14:paraId="3E10C248" w14:textId="77777777" w:rsidR="0029135D" w:rsidRPr="00D63217" w:rsidRDefault="0029135D" w:rsidP="0029135D">
            <w:pPr>
              <w:pStyle w:val="TableText"/>
            </w:pPr>
            <w:r w:rsidRPr="00D63217">
              <w:t>organic carbon</w:t>
            </w:r>
          </w:p>
        </w:tc>
      </w:tr>
      <w:tr w:rsidR="0029135D" w:rsidRPr="00D63217" w14:paraId="09F1609D" w14:textId="77777777" w:rsidTr="00BF4B43">
        <w:tc>
          <w:tcPr>
            <w:tcW w:w="1113" w:type="pct"/>
          </w:tcPr>
          <w:p w14:paraId="49BDEE2D" w14:textId="7164D17F" w:rsidR="0029135D" w:rsidRPr="00D63217" w:rsidRDefault="0029135D" w:rsidP="0029135D">
            <w:pPr>
              <w:pStyle w:val="TableText"/>
            </w:pPr>
            <w:r>
              <w:rPr>
                <w:szCs w:val="17"/>
              </w:rPr>
              <w:t>OECD</w:t>
            </w:r>
          </w:p>
        </w:tc>
        <w:tc>
          <w:tcPr>
            <w:tcW w:w="3887" w:type="pct"/>
          </w:tcPr>
          <w:p w14:paraId="166709D8" w14:textId="43C5E0E3" w:rsidR="0029135D" w:rsidRPr="00D63217" w:rsidRDefault="0029135D" w:rsidP="0029135D">
            <w:pPr>
              <w:pStyle w:val="TableText"/>
            </w:pPr>
            <w:r w:rsidRPr="00E7021C">
              <w:t>Organization for Economic Co-operation and Development</w:t>
            </w:r>
            <w:r>
              <w:t xml:space="preserve"> </w:t>
            </w:r>
          </w:p>
        </w:tc>
      </w:tr>
      <w:tr w:rsidR="0029135D" w:rsidRPr="00D63217" w14:paraId="36B62EB7" w14:textId="77777777" w:rsidTr="00BF4B43">
        <w:tc>
          <w:tcPr>
            <w:tcW w:w="1113" w:type="pct"/>
          </w:tcPr>
          <w:p w14:paraId="033D7561" w14:textId="195136AA" w:rsidR="0029135D" w:rsidRPr="00D63217" w:rsidRDefault="0029135D" w:rsidP="0029135D">
            <w:pPr>
              <w:pStyle w:val="TableText"/>
            </w:pPr>
            <w:r>
              <w:rPr>
                <w:szCs w:val="17"/>
              </w:rPr>
              <w:t>OSST</w:t>
            </w:r>
          </w:p>
        </w:tc>
        <w:tc>
          <w:tcPr>
            <w:tcW w:w="3887" w:type="pct"/>
          </w:tcPr>
          <w:p w14:paraId="67CCCBE0" w14:textId="5BAAD533" w:rsidR="0029135D" w:rsidRPr="00D63217" w:rsidRDefault="0029135D" w:rsidP="0029135D">
            <w:pPr>
              <w:pStyle w:val="TableText"/>
            </w:pPr>
            <w:r w:rsidRPr="009D63B8">
              <w:t>optical spot spraying technologies</w:t>
            </w:r>
          </w:p>
        </w:tc>
      </w:tr>
      <w:tr w:rsidR="0029135D" w:rsidRPr="00D63217" w14:paraId="32A12376" w14:textId="77777777" w:rsidTr="00BF4B43">
        <w:tc>
          <w:tcPr>
            <w:tcW w:w="1113" w:type="pct"/>
          </w:tcPr>
          <w:p w14:paraId="4B41299F" w14:textId="77777777" w:rsidR="0029135D" w:rsidRPr="00D63217" w:rsidRDefault="0029135D" w:rsidP="0029135D">
            <w:pPr>
              <w:pStyle w:val="TableText"/>
            </w:pPr>
            <w:r w:rsidRPr="00D63217">
              <w:t>Pa</w:t>
            </w:r>
          </w:p>
        </w:tc>
        <w:tc>
          <w:tcPr>
            <w:tcW w:w="3887" w:type="pct"/>
          </w:tcPr>
          <w:p w14:paraId="1DE699A5" w14:textId="77777777" w:rsidR="0029135D" w:rsidRPr="00D63217" w:rsidRDefault="0029135D" w:rsidP="0029135D">
            <w:pPr>
              <w:pStyle w:val="TableText"/>
            </w:pPr>
            <w:r w:rsidRPr="00D63217">
              <w:t>pascals</w:t>
            </w:r>
          </w:p>
        </w:tc>
      </w:tr>
      <w:tr w:rsidR="0029135D" w:rsidRPr="00D63217" w14:paraId="072F568F" w14:textId="77777777" w:rsidTr="00BF4B43">
        <w:tc>
          <w:tcPr>
            <w:tcW w:w="1113" w:type="pct"/>
          </w:tcPr>
          <w:p w14:paraId="2A9E5DAF" w14:textId="46677E61" w:rsidR="0029135D" w:rsidRPr="00D63217" w:rsidRDefault="0029135D" w:rsidP="0029135D">
            <w:pPr>
              <w:pStyle w:val="TableText"/>
            </w:pPr>
            <w:r w:rsidRPr="00F61B71">
              <w:t>PD</w:t>
            </w:r>
          </w:p>
        </w:tc>
        <w:tc>
          <w:tcPr>
            <w:tcW w:w="3887" w:type="pct"/>
          </w:tcPr>
          <w:p w14:paraId="187CCF74" w14:textId="0B681BBE" w:rsidR="0029135D" w:rsidRPr="00D63217" w:rsidRDefault="0029135D" w:rsidP="0029135D">
            <w:pPr>
              <w:pStyle w:val="TableText"/>
            </w:pPr>
            <w:r w:rsidRPr="00F61B71">
              <w:t>proportion of diet</w:t>
            </w:r>
          </w:p>
        </w:tc>
      </w:tr>
      <w:tr w:rsidR="0029135D" w:rsidRPr="00D63217" w14:paraId="177BC460" w14:textId="77777777" w:rsidTr="00BF4B43">
        <w:tc>
          <w:tcPr>
            <w:tcW w:w="1113" w:type="pct"/>
          </w:tcPr>
          <w:p w14:paraId="2B5EBEDF" w14:textId="33FD0CF5" w:rsidR="0029135D" w:rsidRPr="00D63217" w:rsidRDefault="0029135D" w:rsidP="0029135D">
            <w:pPr>
              <w:pStyle w:val="TableText"/>
            </w:pPr>
            <w:r>
              <w:rPr>
                <w:szCs w:val="17"/>
              </w:rPr>
              <w:t>PEC</w:t>
            </w:r>
          </w:p>
        </w:tc>
        <w:tc>
          <w:tcPr>
            <w:tcW w:w="3887" w:type="pct"/>
          </w:tcPr>
          <w:p w14:paraId="6CCD351E" w14:textId="0DE6F10B" w:rsidR="0029135D" w:rsidRPr="00D63217" w:rsidRDefault="0029135D" w:rsidP="0029135D">
            <w:pPr>
              <w:pStyle w:val="TableText"/>
            </w:pPr>
            <w:r>
              <w:t>predicted environmental concentration</w:t>
            </w:r>
          </w:p>
        </w:tc>
      </w:tr>
      <w:tr w:rsidR="0029135D" w:rsidRPr="00D63217" w14:paraId="4DDD0942" w14:textId="77777777" w:rsidTr="00BF4B43">
        <w:tc>
          <w:tcPr>
            <w:tcW w:w="1113" w:type="pct"/>
            <w:vAlign w:val="bottom"/>
          </w:tcPr>
          <w:p w14:paraId="6ADA3B82" w14:textId="77777777" w:rsidR="0029135D" w:rsidRPr="00D63217" w:rsidRDefault="0029135D" w:rsidP="0029135D">
            <w:pPr>
              <w:pStyle w:val="TableText"/>
            </w:pPr>
            <w:r w:rsidRPr="00D63217">
              <w:t>PBT</w:t>
            </w:r>
          </w:p>
        </w:tc>
        <w:tc>
          <w:tcPr>
            <w:tcW w:w="3887" w:type="pct"/>
            <w:vAlign w:val="bottom"/>
          </w:tcPr>
          <w:p w14:paraId="5129DBAB" w14:textId="77777777" w:rsidR="0029135D" w:rsidRPr="00D63217" w:rsidRDefault="0029135D" w:rsidP="0029135D">
            <w:pPr>
              <w:pStyle w:val="TableText"/>
            </w:pPr>
            <w:r w:rsidRPr="00D63217">
              <w:t xml:space="preserve">persistent – bioaccumulative – toxic </w:t>
            </w:r>
          </w:p>
        </w:tc>
      </w:tr>
      <w:tr w:rsidR="0029135D" w:rsidRPr="00D63217" w14:paraId="0271D938" w14:textId="77777777" w:rsidTr="00BF4B43">
        <w:tc>
          <w:tcPr>
            <w:tcW w:w="1113" w:type="pct"/>
            <w:vAlign w:val="bottom"/>
          </w:tcPr>
          <w:p w14:paraId="33B91686" w14:textId="77777777" w:rsidR="0029135D" w:rsidRPr="00D63217" w:rsidRDefault="0029135D" w:rsidP="0029135D">
            <w:pPr>
              <w:pStyle w:val="TableText"/>
            </w:pPr>
            <w:r w:rsidRPr="00D63217">
              <w:t>PEC</w:t>
            </w:r>
          </w:p>
        </w:tc>
        <w:tc>
          <w:tcPr>
            <w:tcW w:w="3887" w:type="pct"/>
            <w:vAlign w:val="bottom"/>
          </w:tcPr>
          <w:p w14:paraId="5EA1DB95" w14:textId="77777777" w:rsidR="0029135D" w:rsidRPr="00D63217" w:rsidRDefault="0029135D" w:rsidP="0029135D">
            <w:pPr>
              <w:pStyle w:val="TableText"/>
            </w:pPr>
            <w:r w:rsidRPr="00D63217">
              <w:t>predicted environmental concentration</w:t>
            </w:r>
          </w:p>
        </w:tc>
      </w:tr>
      <w:tr w:rsidR="0029135D" w:rsidRPr="00D63217" w14:paraId="5A271961" w14:textId="77777777" w:rsidTr="00BF4B43">
        <w:tc>
          <w:tcPr>
            <w:tcW w:w="1113" w:type="pct"/>
            <w:vAlign w:val="bottom"/>
          </w:tcPr>
          <w:p w14:paraId="5E07DE63" w14:textId="0C5C5B8A" w:rsidR="0029135D" w:rsidRPr="00D63217" w:rsidRDefault="0029135D" w:rsidP="0029135D">
            <w:pPr>
              <w:pStyle w:val="TableText"/>
            </w:pPr>
            <w:r w:rsidRPr="00D63217">
              <w:lastRenderedPageBreak/>
              <w:t>PHI</w:t>
            </w:r>
          </w:p>
        </w:tc>
        <w:tc>
          <w:tcPr>
            <w:tcW w:w="3887" w:type="pct"/>
            <w:vAlign w:val="bottom"/>
          </w:tcPr>
          <w:p w14:paraId="6EEB7652" w14:textId="4A4E9E5A" w:rsidR="0029135D" w:rsidRPr="00D63217" w:rsidRDefault="0029135D" w:rsidP="0029135D">
            <w:pPr>
              <w:pStyle w:val="TableText"/>
            </w:pPr>
            <w:r w:rsidRPr="00D63217">
              <w:t>post harvest interval</w:t>
            </w:r>
          </w:p>
        </w:tc>
      </w:tr>
      <w:tr w:rsidR="0029135D" w:rsidRPr="00D63217" w14:paraId="79D1DFE3" w14:textId="77777777" w:rsidTr="00BF4B43">
        <w:tc>
          <w:tcPr>
            <w:tcW w:w="1113" w:type="pct"/>
            <w:vAlign w:val="bottom"/>
          </w:tcPr>
          <w:p w14:paraId="64A6F702" w14:textId="77777777" w:rsidR="0029135D" w:rsidRPr="00D63217" w:rsidRDefault="0029135D" w:rsidP="0029135D">
            <w:pPr>
              <w:pStyle w:val="TableText"/>
            </w:pPr>
            <w:r w:rsidRPr="00D63217">
              <w:t>POP</w:t>
            </w:r>
          </w:p>
        </w:tc>
        <w:tc>
          <w:tcPr>
            <w:tcW w:w="3887" w:type="pct"/>
            <w:vAlign w:val="bottom"/>
          </w:tcPr>
          <w:p w14:paraId="745EF45F" w14:textId="77777777" w:rsidR="0029135D" w:rsidRPr="00D63217" w:rsidRDefault="0029135D" w:rsidP="0029135D">
            <w:pPr>
              <w:pStyle w:val="TableText"/>
            </w:pPr>
            <w:r w:rsidRPr="00D63217">
              <w:t>persistent organic pollutant</w:t>
            </w:r>
          </w:p>
        </w:tc>
      </w:tr>
      <w:tr w:rsidR="0029135D" w:rsidRPr="00D63217" w14:paraId="556604D0" w14:textId="77777777" w:rsidTr="00BF4B43">
        <w:tc>
          <w:tcPr>
            <w:tcW w:w="1113" w:type="pct"/>
            <w:vAlign w:val="bottom"/>
          </w:tcPr>
          <w:p w14:paraId="0386FF94" w14:textId="77777777" w:rsidR="0029135D" w:rsidRPr="00D63217" w:rsidRDefault="0029135D" w:rsidP="0029135D">
            <w:pPr>
              <w:pStyle w:val="TableText"/>
            </w:pPr>
            <w:r w:rsidRPr="00D63217">
              <w:t>Pow</w:t>
            </w:r>
          </w:p>
        </w:tc>
        <w:tc>
          <w:tcPr>
            <w:tcW w:w="3887" w:type="pct"/>
            <w:vAlign w:val="bottom"/>
          </w:tcPr>
          <w:p w14:paraId="6D078AD5" w14:textId="77777777" w:rsidR="0029135D" w:rsidRPr="00D63217" w:rsidRDefault="0029135D" w:rsidP="0029135D">
            <w:pPr>
              <w:pStyle w:val="TableText"/>
            </w:pPr>
            <w:r w:rsidRPr="00D63217">
              <w:t>octanol-water partition coefficient</w:t>
            </w:r>
          </w:p>
        </w:tc>
      </w:tr>
      <w:tr w:rsidR="0029135D" w:rsidRPr="00D63217" w14:paraId="12F1C73D" w14:textId="77777777" w:rsidTr="00A179E8">
        <w:tc>
          <w:tcPr>
            <w:tcW w:w="1113" w:type="pct"/>
          </w:tcPr>
          <w:p w14:paraId="66BBA56C" w14:textId="2372681F" w:rsidR="0029135D" w:rsidRPr="00D63217" w:rsidRDefault="0029135D" w:rsidP="0029135D">
            <w:pPr>
              <w:pStyle w:val="TableText"/>
            </w:pPr>
            <w:r>
              <w:rPr>
                <w:szCs w:val="17"/>
              </w:rPr>
              <w:t>PRD</w:t>
            </w:r>
          </w:p>
        </w:tc>
        <w:tc>
          <w:tcPr>
            <w:tcW w:w="3887" w:type="pct"/>
          </w:tcPr>
          <w:p w14:paraId="47C60670" w14:textId="77112D06" w:rsidR="0029135D" w:rsidRPr="00D63217" w:rsidRDefault="0029135D" w:rsidP="0029135D">
            <w:pPr>
              <w:pStyle w:val="TableText"/>
            </w:pPr>
            <w:r>
              <w:t>proposed regulatory decision</w:t>
            </w:r>
          </w:p>
        </w:tc>
      </w:tr>
      <w:tr w:rsidR="0029135D" w:rsidRPr="00D63217" w14:paraId="44431391" w14:textId="77777777" w:rsidTr="00BF4B43">
        <w:tc>
          <w:tcPr>
            <w:tcW w:w="1113" w:type="pct"/>
            <w:vAlign w:val="bottom"/>
          </w:tcPr>
          <w:p w14:paraId="45D38E15" w14:textId="77777777" w:rsidR="0029135D" w:rsidRPr="00D63217" w:rsidRDefault="0029135D" w:rsidP="0029135D">
            <w:pPr>
              <w:pStyle w:val="TableText"/>
            </w:pPr>
            <w:r w:rsidRPr="00D63217">
              <w:t>PT</w:t>
            </w:r>
          </w:p>
        </w:tc>
        <w:tc>
          <w:tcPr>
            <w:tcW w:w="3887" w:type="pct"/>
            <w:vAlign w:val="bottom"/>
          </w:tcPr>
          <w:p w14:paraId="5FFE9265" w14:textId="77777777" w:rsidR="0029135D" w:rsidRPr="00D63217" w:rsidRDefault="0029135D" w:rsidP="0029135D">
            <w:pPr>
              <w:pStyle w:val="TableText"/>
            </w:pPr>
            <w:r w:rsidRPr="00D63217">
              <w:t>proportion of an animal’s daily diet obtained in habitat treated with pesticide</w:t>
            </w:r>
          </w:p>
        </w:tc>
      </w:tr>
      <w:tr w:rsidR="0029135D" w:rsidRPr="00D63217" w14:paraId="088D1F8B" w14:textId="77777777" w:rsidTr="00BF4B43">
        <w:tc>
          <w:tcPr>
            <w:tcW w:w="1113" w:type="pct"/>
            <w:vAlign w:val="bottom"/>
          </w:tcPr>
          <w:p w14:paraId="5C528A93" w14:textId="77777777" w:rsidR="0029135D" w:rsidRPr="00D63217" w:rsidRDefault="0029135D" w:rsidP="0029135D">
            <w:pPr>
              <w:pStyle w:val="TableText"/>
            </w:pPr>
            <w:r w:rsidRPr="00D63217">
              <w:t>RAL</w:t>
            </w:r>
          </w:p>
        </w:tc>
        <w:tc>
          <w:tcPr>
            <w:tcW w:w="3887" w:type="pct"/>
            <w:vAlign w:val="bottom"/>
          </w:tcPr>
          <w:p w14:paraId="659B0EA1" w14:textId="77777777" w:rsidR="0029135D" w:rsidRPr="00D63217" w:rsidRDefault="0029135D" w:rsidP="0029135D">
            <w:pPr>
              <w:pStyle w:val="TableText"/>
            </w:pPr>
            <w:r w:rsidRPr="00D63217">
              <w:t>regulatory acceptable level</w:t>
            </w:r>
          </w:p>
        </w:tc>
      </w:tr>
      <w:tr w:rsidR="0029135D" w:rsidRPr="00D63217" w14:paraId="425E06C9" w14:textId="77777777" w:rsidTr="00A179E8">
        <w:tc>
          <w:tcPr>
            <w:tcW w:w="1113" w:type="pct"/>
          </w:tcPr>
          <w:p w14:paraId="05789EBC" w14:textId="3D7C491F" w:rsidR="0029135D" w:rsidRPr="00D63217" w:rsidRDefault="0029135D" w:rsidP="0029135D">
            <w:pPr>
              <w:pStyle w:val="TableText"/>
            </w:pPr>
            <w:r>
              <w:rPr>
                <w:szCs w:val="17"/>
              </w:rPr>
              <w:t>RTR</w:t>
            </w:r>
          </w:p>
        </w:tc>
        <w:tc>
          <w:tcPr>
            <w:tcW w:w="3887" w:type="pct"/>
          </w:tcPr>
          <w:p w14:paraId="7F6E37C2" w14:textId="640DF543" w:rsidR="0029135D" w:rsidRPr="00D63217" w:rsidRDefault="0029135D" w:rsidP="0029135D">
            <w:pPr>
              <w:pStyle w:val="TableText"/>
            </w:pPr>
            <w:r>
              <w:t>review technical report</w:t>
            </w:r>
          </w:p>
        </w:tc>
      </w:tr>
      <w:tr w:rsidR="0029135D" w:rsidRPr="00D63217" w14:paraId="7B09ED20" w14:textId="77777777" w:rsidTr="00A179E8">
        <w:tc>
          <w:tcPr>
            <w:tcW w:w="1113" w:type="pct"/>
          </w:tcPr>
          <w:p w14:paraId="3981455C" w14:textId="068704BA" w:rsidR="0029135D" w:rsidRPr="00D63217" w:rsidRDefault="0029135D" w:rsidP="0029135D">
            <w:pPr>
              <w:pStyle w:val="TableText"/>
            </w:pPr>
            <w:r>
              <w:rPr>
                <w:szCs w:val="17"/>
              </w:rPr>
              <w:t>RUD</w:t>
            </w:r>
          </w:p>
        </w:tc>
        <w:tc>
          <w:tcPr>
            <w:tcW w:w="3887" w:type="pct"/>
          </w:tcPr>
          <w:p w14:paraId="2F4EBF34" w14:textId="04CD10F1" w:rsidR="0029135D" w:rsidRPr="00D63217" w:rsidRDefault="0029135D" w:rsidP="0029135D">
            <w:pPr>
              <w:pStyle w:val="TableText"/>
            </w:pPr>
            <w:r>
              <w:t>residue per unit dose</w:t>
            </w:r>
          </w:p>
        </w:tc>
      </w:tr>
      <w:tr w:rsidR="0029135D" w:rsidRPr="00D63217" w14:paraId="386FC667" w14:textId="77777777" w:rsidTr="00BF4B43">
        <w:tc>
          <w:tcPr>
            <w:tcW w:w="1113" w:type="pct"/>
            <w:vAlign w:val="bottom"/>
          </w:tcPr>
          <w:p w14:paraId="28FFBDF0" w14:textId="77777777" w:rsidR="0029135D" w:rsidRPr="00D63217" w:rsidRDefault="0029135D" w:rsidP="0029135D">
            <w:pPr>
              <w:pStyle w:val="TableText"/>
            </w:pPr>
            <w:r w:rsidRPr="00D63217">
              <w:t>RQ</w:t>
            </w:r>
          </w:p>
        </w:tc>
        <w:tc>
          <w:tcPr>
            <w:tcW w:w="3887" w:type="pct"/>
            <w:vAlign w:val="bottom"/>
          </w:tcPr>
          <w:p w14:paraId="76265AA1" w14:textId="77777777" w:rsidR="0029135D" w:rsidRPr="00D63217" w:rsidRDefault="0029135D" w:rsidP="0029135D">
            <w:pPr>
              <w:pStyle w:val="TableText"/>
            </w:pPr>
            <w:r w:rsidRPr="00D63217">
              <w:t>risk quotient</w:t>
            </w:r>
          </w:p>
        </w:tc>
      </w:tr>
      <w:tr w:rsidR="0029135D" w:rsidRPr="00D63217" w14:paraId="123CA9B2" w14:textId="77777777" w:rsidTr="00BF4B43">
        <w:tc>
          <w:tcPr>
            <w:tcW w:w="1113" w:type="pct"/>
          </w:tcPr>
          <w:p w14:paraId="331B3742" w14:textId="77777777" w:rsidR="0029135D" w:rsidRPr="00D63217" w:rsidRDefault="0029135D" w:rsidP="0029135D">
            <w:pPr>
              <w:pStyle w:val="TableText"/>
            </w:pPr>
            <w:r w:rsidRPr="00D63217">
              <w:t>SAC-WB</w:t>
            </w:r>
          </w:p>
        </w:tc>
        <w:tc>
          <w:tcPr>
            <w:tcW w:w="3887" w:type="pct"/>
          </w:tcPr>
          <w:p w14:paraId="3623B0A6" w14:textId="77777777" w:rsidR="0029135D" w:rsidRPr="00D63217" w:rsidRDefault="0029135D" w:rsidP="0029135D">
            <w:pPr>
              <w:pStyle w:val="TableText"/>
            </w:pPr>
            <w:r w:rsidRPr="00D63217">
              <w:t>strong adsorption capacity – wheat bioassay</w:t>
            </w:r>
          </w:p>
        </w:tc>
      </w:tr>
      <w:tr w:rsidR="0029135D" w:rsidRPr="00D63217" w14:paraId="7AFE951A" w14:textId="77777777" w:rsidTr="00BF4B43">
        <w:tc>
          <w:tcPr>
            <w:tcW w:w="1113" w:type="pct"/>
          </w:tcPr>
          <w:p w14:paraId="3C46DFE4" w14:textId="77777777" w:rsidR="0029135D" w:rsidRPr="00D63217" w:rsidRDefault="0029135D" w:rsidP="0029135D">
            <w:pPr>
              <w:pStyle w:val="TableText"/>
            </w:pPr>
            <w:r w:rsidRPr="00D63217">
              <w:t>SDRAM</w:t>
            </w:r>
          </w:p>
        </w:tc>
        <w:tc>
          <w:tcPr>
            <w:tcW w:w="3887" w:type="pct"/>
          </w:tcPr>
          <w:p w14:paraId="0607F996" w14:textId="77777777" w:rsidR="0029135D" w:rsidRPr="00D63217" w:rsidRDefault="0029135D" w:rsidP="0029135D">
            <w:pPr>
              <w:pStyle w:val="TableText"/>
            </w:pPr>
            <w:r w:rsidRPr="00D63217">
              <w:t>spray drift risk assessment manual</w:t>
            </w:r>
          </w:p>
        </w:tc>
      </w:tr>
      <w:tr w:rsidR="0029135D" w:rsidRPr="00D63217" w14:paraId="3B9EA695" w14:textId="77777777" w:rsidTr="00BF4B43">
        <w:tc>
          <w:tcPr>
            <w:tcW w:w="1113" w:type="pct"/>
          </w:tcPr>
          <w:p w14:paraId="765E8277" w14:textId="7FB021C7" w:rsidR="0029135D" w:rsidRPr="00D63217" w:rsidRDefault="0029135D" w:rsidP="0029135D">
            <w:pPr>
              <w:pStyle w:val="TableText"/>
            </w:pPr>
            <w:r w:rsidRPr="00BC678F">
              <w:t>SFO</w:t>
            </w:r>
          </w:p>
        </w:tc>
        <w:tc>
          <w:tcPr>
            <w:tcW w:w="3887" w:type="pct"/>
          </w:tcPr>
          <w:p w14:paraId="22C00579" w14:textId="230CCE00" w:rsidR="0029135D" w:rsidRPr="00D63217" w:rsidRDefault="0029135D" w:rsidP="0029135D">
            <w:pPr>
              <w:pStyle w:val="TableText"/>
            </w:pPr>
            <w:r w:rsidRPr="00BC678F">
              <w:t>single first order</w:t>
            </w:r>
          </w:p>
        </w:tc>
      </w:tr>
      <w:tr w:rsidR="0029135D" w:rsidRPr="00D63217" w14:paraId="28CB761B" w14:textId="77777777" w:rsidTr="00BF4B43">
        <w:tc>
          <w:tcPr>
            <w:tcW w:w="1113" w:type="pct"/>
          </w:tcPr>
          <w:p w14:paraId="4298CBBE" w14:textId="3D478F78" w:rsidR="0029135D" w:rsidRPr="00D63217" w:rsidRDefault="0029135D" w:rsidP="0029135D">
            <w:pPr>
              <w:pStyle w:val="TableText"/>
            </w:pPr>
            <w:r w:rsidRPr="00BC678F">
              <w:t>SL</w:t>
            </w:r>
          </w:p>
        </w:tc>
        <w:tc>
          <w:tcPr>
            <w:tcW w:w="3887" w:type="pct"/>
          </w:tcPr>
          <w:p w14:paraId="7ACD15D5" w14:textId="7D57D4A5" w:rsidR="0029135D" w:rsidRPr="00D63217" w:rsidRDefault="0029135D" w:rsidP="0029135D">
            <w:pPr>
              <w:pStyle w:val="TableText"/>
            </w:pPr>
            <w:r w:rsidRPr="00BC678F">
              <w:t>soluble concentrate</w:t>
            </w:r>
          </w:p>
        </w:tc>
      </w:tr>
      <w:tr w:rsidR="0029135D" w:rsidRPr="00D63217" w14:paraId="3CBD14CE" w14:textId="77777777" w:rsidTr="00BF4B43">
        <w:tc>
          <w:tcPr>
            <w:tcW w:w="1113" w:type="pct"/>
          </w:tcPr>
          <w:p w14:paraId="13AB0DB2" w14:textId="77777777" w:rsidR="0029135D" w:rsidRPr="00D63217" w:rsidRDefault="0029135D" w:rsidP="0029135D">
            <w:pPr>
              <w:pStyle w:val="TableText"/>
            </w:pPr>
            <w:r w:rsidRPr="00D63217">
              <w:t>SSD</w:t>
            </w:r>
          </w:p>
        </w:tc>
        <w:tc>
          <w:tcPr>
            <w:tcW w:w="3887" w:type="pct"/>
            <w:vAlign w:val="bottom"/>
          </w:tcPr>
          <w:p w14:paraId="243913E6" w14:textId="77777777" w:rsidR="0029135D" w:rsidRPr="00D63217" w:rsidRDefault="0029135D" w:rsidP="0029135D">
            <w:pPr>
              <w:pStyle w:val="TableText"/>
            </w:pPr>
            <w:r w:rsidRPr="00D63217">
              <w:t>species sensitivity distribution</w:t>
            </w:r>
          </w:p>
        </w:tc>
      </w:tr>
      <w:tr w:rsidR="0029135D" w:rsidRPr="00D63217" w14:paraId="69FA2A63" w14:textId="77777777" w:rsidTr="00BF4B43">
        <w:tc>
          <w:tcPr>
            <w:tcW w:w="1113" w:type="pct"/>
            <w:vAlign w:val="bottom"/>
          </w:tcPr>
          <w:p w14:paraId="3B900286" w14:textId="520DDCEB" w:rsidR="0029135D" w:rsidRPr="00D63217" w:rsidRDefault="0029135D" w:rsidP="0029135D">
            <w:pPr>
              <w:pStyle w:val="TableText"/>
            </w:pPr>
            <w:r w:rsidRPr="00D63217">
              <w:t>STMR</w:t>
            </w:r>
          </w:p>
        </w:tc>
        <w:tc>
          <w:tcPr>
            <w:tcW w:w="3887" w:type="pct"/>
            <w:vAlign w:val="bottom"/>
          </w:tcPr>
          <w:p w14:paraId="1EBD9497" w14:textId="5E768C39" w:rsidR="0029135D" w:rsidRPr="00D63217" w:rsidRDefault="0029135D" w:rsidP="0029135D">
            <w:pPr>
              <w:pStyle w:val="TableText"/>
            </w:pPr>
            <w:r w:rsidRPr="00D63217">
              <w:t>supervised trial median residue</w:t>
            </w:r>
          </w:p>
        </w:tc>
      </w:tr>
      <w:tr w:rsidR="0029135D" w:rsidRPr="00D63217" w14:paraId="5B2D6756" w14:textId="77777777" w:rsidTr="00BF4B43">
        <w:tc>
          <w:tcPr>
            <w:tcW w:w="1113" w:type="pct"/>
            <w:vAlign w:val="bottom"/>
          </w:tcPr>
          <w:p w14:paraId="31269BD5" w14:textId="7CD46334" w:rsidR="0029135D" w:rsidRPr="00D63217" w:rsidRDefault="0029135D" w:rsidP="0029135D">
            <w:pPr>
              <w:pStyle w:val="TableText"/>
            </w:pPr>
            <w:r w:rsidRPr="00D63217">
              <w:t>TK</w:t>
            </w:r>
          </w:p>
        </w:tc>
        <w:tc>
          <w:tcPr>
            <w:tcW w:w="3887" w:type="pct"/>
            <w:vAlign w:val="bottom"/>
          </w:tcPr>
          <w:p w14:paraId="31350C80" w14:textId="482F88EF" w:rsidR="0029135D" w:rsidRPr="00D63217" w:rsidRDefault="0029135D" w:rsidP="0029135D">
            <w:pPr>
              <w:pStyle w:val="TableText"/>
            </w:pPr>
            <w:r w:rsidRPr="00D63217">
              <w:t>technical concentrate</w:t>
            </w:r>
          </w:p>
        </w:tc>
      </w:tr>
      <w:tr w:rsidR="0029135D" w:rsidRPr="00D63217" w14:paraId="7094737A" w14:textId="77777777" w:rsidTr="00A179E8">
        <w:tc>
          <w:tcPr>
            <w:tcW w:w="1113" w:type="pct"/>
          </w:tcPr>
          <w:p w14:paraId="19341484" w14:textId="320A39B3" w:rsidR="0029135D" w:rsidRPr="00D63217" w:rsidRDefault="0029135D" w:rsidP="0029135D">
            <w:pPr>
              <w:pStyle w:val="TableText"/>
            </w:pPr>
            <w:r>
              <w:rPr>
                <w:szCs w:val="17"/>
              </w:rPr>
              <w:t>T-REX</w:t>
            </w:r>
          </w:p>
        </w:tc>
        <w:tc>
          <w:tcPr>
            <w:tcW w:w="3887" w:type="pct"/>
          </w:tcPr>
          <w:p w14:paraId="7E03BDC7" w14:textId="4D545EDE" w:rsidR="0029135D" w:rsidRPr="00D63217" w:rsidRDefault="0029135D" w:rsidP="0029135D">
            <w:pPr>
              <w:pStyle w:val="TableText"/>
            </w:pPr>
            <w:r w:rsidRPr="009D63B8">
              <w:t>Terrestrial Residue E</w:t>
            </w:r>
            <w:r>
              <w:t>X</w:t>
            </w:r>
            <w:r w:rsidRPr="009D63B8">
              <w:t>posure</w:t>
            </w:r>
            <w:r>
              <w:t xml:space="preserve"> model</w:t>
            </w:r>
          </w:p>
        </w:tc>
      </w:tr>
      <w:tr w:rsidR="0029135D" w:rsidRPr="00D63217" w14:paraId="2737B22A" w14:textId="77777777" w:rsidTr="00A179E8">
        <w:tc>
          <w:tcPr>
            <w:tcW w:w="1113" w:type="pct"/>
          </w:tcPr>
          <w:p w14:paraId="5240DED1" w14:textId="38C8587E" w:rsidR="0029135D" w:rsidRPr="00D63217" w:rsidRDefault="0029135D" w:rsidP="0029135D">
            <w:pPr>
              <w:pStyle w:val="TableText"/>
            </w:pPr>
            <w:r>
              <w:rPr>
                <w:szCs w:val="17"/>
              </w:rPr>
              <w:t>TWA</w:t>
            </w:r>
          </w:p>
        </w:tc>
        <w:tc>
          <w:tcPr>
            <w:tcW w:w="3887" w:type="pct"/>
          </w:tcPr>
          <w:p w14:paraId="1DB0EB18" w14:textId="78F7BE8D" w:rsidR="0029135D" w:rsidRPr="00D63217" w:rsidRDefault="0029135D" w:rsidP="0029135D">
            <w:pPr>
              <w:pStyle w:val="TableText"/>
            </w:pPr>
            <w:r>
              <w:t>time-weighted average</w:t>
            </w:r>
          </w:p>
        </w:tc>
      </w:tr>
      <w:tr w:rsidR="0029135D" w:rsidRPr="00D63217" w14:paraId="411810BE" w14:textId="77777777" w:rsidTr="00BF4B43">
        <w:tc>
          <w:tcPr>
            <w:tcW w:w="1113" w:type="pct"/>
            <w:vAlign w:val="bottom"/>
          </w:tcPr>
          <w:p w14:paraId="43305FE2" w14:textId="77777777" w:rsidR="0029135D" w:rsidRPr="00D63217" w:rsidRDefault="0029135D" w:rsidP="0029135D">
            <w:pPr>
              <w:pStyle w:val="TableText"/>
            </w:pPr>
            <w:r w:rsidRPr="00D63217">
              <w:t>µg</w:t>
            </w:r>
          </w:p>
        </w:tc>
        <w:tc>
          <w:tcPr>
            <w:tcW w:w="3887" w:type="pct"/>
            <w:vAlign w:val="bottom"/>
          </w:tcPr>
          <w:p w14:paraId="31DB31F3" w14:textId="77777777" w:rsidR="0029135D" w:rsidRPr="00D63217" w:rsidRDefault="0029135D" w:rsidP="0029135D">
            <w:pPr>
              <w:pStyle w:val="TableText"/>
            </w:pPr>
            <w:r w:rsidRPr="00D63217">
              <w:t>micrograms</w:t>
            </w:r>
          </w:p>
        </w:tc>
      </w:tr>
      <w:tr w:rsidR="0029135D" w:rsidRPr="00D63217" w14:paraId="5C41702C" w14:textId="77777777" w:rsidTr="00BF4B43">
        <w:tc>
          <w:tcPr>
            <w:tcW w:w="1113" w:type="pct"/>
            <w:vAlign w:val="bottom"/>
          </w:tcPr>
          <w:p w14:paraId="53471E37" w14:textId="77777777" w:rsidR="0029135D" w:rsidRPr="00D63217" w:rsidRDefault="0029135D" w:rsidP="0029135D">
            <w:pPr>
              <w:pStyle w:val="TableText"/>
            </w:pPr>
            <w:r w:rsidRPr="00D63217">
              <w:t>USEPA</w:t>
            </w:r>
          </w:p>
        </w:tc>
        <w:tc>
          <w:tcPr>
            <w:tcW w:w="3887" w:type="pct"/>
            <w:vAlign w:val="bottom"/>
          </w:tcPr>
          <w:p w14:paraId="6A5F11F9" w14:textId="77777777" w:rsidR="0029135D" w:rsidRPr="00D63217" w:rsidRDefault="0029135D" w:rsidP="0029135D">
            <w:pPr>
              <w:pStyle w:val="TableText"/>
            </w:pPr>
            <w:r w:rsidRPr="00D63217">
              <w:t>United States Environmental Protection Agency</w:t>
            </w:r>
          </w:p>
        </w:tc>
      </w:tr>
      <w:tr w:rsidR="0029135D" w:rsidRPr="00D63217" w14:paraId="7A435366" w14:textId="77777777" w:rsidTr="00BF4B43">
        <w:tc>
          <w:tcPr>
            <w:tcW w:w="1113" w:type="pct"/>
            <w:vAlign w:val="bottom"/>
          </w:tcPr>
          <w:p w14:paraId="55792558" w14:textId="77777777" w:rsidR="0029135D" w:rsidRPr="00D63217" w:rsidRDefault="0029135D" w:rsidP="0029135D">
            <w:pPr>
              <w:pStyle w:val="TableText"/>
            </w:pPr>
            <w:r w:rsidRPr="00D63217">
              <w:t>UV</w:t>
            </w:r>
          </w:p>
        </w:tc>
        <w:tc>
          <w:tcPr>
            <w:tcW w:w="3887" w:type="pct"/>
            <w:vAlign w:val="bottom"/>
          </w:tcPr>
          <w:p w14:paraId="239A873F" w14:textId="77777777" w:rsidR="0029135D" w:rsidRPr="00D63217" w:rsidRDefault="0029135D" w:rsidP="0029135D">
            <w:pPr>
              <w:pStyle w:val="TableText"/>
            </w:pPr>
            <w:r w:rsidRPr="00D63217">
              <w:t>ultraviolet</w:t>
            </w:r>
          </w:p>
        </w:tc>
      </w:tr>
      <w:tr w:rsidR="0029135D" w:rsidRPr="00D63217" w14:paraId="4E8A61D1" w14:textId="77777777" w:rsidTr="00BF4B43">
        <w:tc>
          <w:tcPr>
            <w:tcW w:w="1113" w:type="pct"/>
            <w:vAlign w:val="bottom"/>
          </w:tcPr>
          <w:p w14:paraId="03E37641" w14:textId="77777777" w:rsidR="0029135D" w:rsidRPr="00D63217" w:rsidRDefault="0029135D" w:rsidP="0029135D">
            <w:pPr>
              <w:pStyle w:val="TableText"/>
            </w:pPr>
            <w:r w:rsidRPr="00D63217">
              <w:t>w/w</w:t>
            </w:r>
          </w:p>
        </w:tc>
        <w:tc>
          <w:tcPr>
            <w:tcW w:w="3887" w:type="pct"/>
            <w:vAlign w:val="bottom"/>
          </w:tcPr>
          <w:p w14:paraId="483C5B61" w14:textId="77777777" w:rsidR="0029135D" w:rsidRPr="00D63217" w:rsidRDefault="0029135D" w:rsidP="0029135D">
            <w:pPr>
              <w:pStyle w:val="TableText"/>
            </w:pPr>
            <w:r w:rsidRPr="00D63217">
              <w:t>weight per weight</w:t>
            </w:r>
          </w:p>
        </w:tc>
      </w:tr>
      <w:tr w:rsidR="0029135D" w:rsidRPr="00D63217" w14:paraId="384092F0" w14:textId="77777777" w:rsidTr="00A179E8">
        <w:tc>
          <w:tcPr>
            <w:tcW w:w="1113" w:type="pct"/>
          </w:tcPr>
          <w:p w14:paraId="30287FF2" w14:textId="7C32E892" w:rsidR="0029135D" w:rsidRPr="00D63217" w:rsidRDefault="0029135D" w:rsidP="0029135D">
            <w:pPr>
              <w:pStyle w:val="TableText"/>
            </w:pPr>
            <w:r w:rsidRPr="00DA1455">
              <w:rPr>
                <w:szCs w:val="17"/>
              </w:rPr>
              <w:t>WOE</w:t>
            </w:r>
          </w:p>
        </w:tc>
        <w:tc>
          <w:tcPr>
            <w:tcW w:w="3887" w:type="pct"/>
          </w:tcPr>
          <w:p w14:paraId="1CC121F6" w14:textId="48112D23" w:rsidR="0029135D" w:rsidRPr="00D63217" w:rsidRDefault="0029135D" w:rsidP="0029135D">
            <w:pPr>
              <w:pStyle w:val="TableText"/>
            </w:pPr>
            <w:r w:rsidRPr="00DA1455">
              <w:t>Weight of evidence</w:t>
            </w:r>
          </w:p>
        </w:tc>
      </w:tr>
    </w:tbl>
    <w:p w14:paraId="2DD77701" w14:textId="3FAA6339" w:rsidR="009A7378" w:rsidRPr="00D63217" w:rsidRDefault="009A7378" w:rsidP="00AD6B16">
      <w:pPr>
        <w:tabs>
          <w:tab w:val="left" w:pos="1380"/>
        </w:tabs>
        <w:sectPr w:rsidR="009A7378" w:rsidRPr="00D63217" w:rsidSect="003023C5">
          <w:headerReference w:type="even" r:id="rId62"/>
          <w:headerReference w:type="default" r:id="rId63"/>
          <w:pgSz w:w="11906" w:h="16838" w:code="9"/>
          <w:pgMar w:top="2835" w:right="1134" w:bottom="1134" w:left="1134" w:header="1701" w:footer="680" w:gutter="0"/>
          <w:cols w:space="708"/>
          <w:docGrid w:linePitch="360"/>
        </w:sectPr>
      </w:pPr>
    </w:p>
    <w:p w14:paraId="3DFD204E" w14:textId="77777777" w:rsidR="009A7378" w:rsidRPr="00BF5259" w:rsidRDefault="009A7378" w:rsidP="00BF5259">
      <w:pPr>
        <w:pStyle w:val="GlossaryRefH1"/>
      </w:pPr>
      <w:bookmarkStart w:id="768" w:name="_Toc81569148"/>
      <w:bookmarkStart w:id="769" w:name="_Toc157602778"/>
      <w:bookmarkStart w:id="770" w:name="_Toc231480943"/>
      <w:bookmarkStart w:id="771" w:name="_Toc233036486"/>
      <w:r w:rsidRPr="00BF5259">
        <w:lastRenderedPageBreak/>
        <w:t>Glossary</w:t>
      </w:r>
      <w:bookmarkEnd w:id="768"/>
      <w:bookmarkEnd w:id="769"/>
      <w:bookmarkEnd w:id="770"/>
      <w:bookmarkEnd w:id="771"/>
    </w:p>
    <w:tbl>
      <w:tblPr>
        <w:tblW w:w="5000" w:type="pct"/>
        <w:tblInd w:w="1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14"/>
        <w:gridCol w:w="7624"/>
      </w:tblGrid>
      <w:tr w:rsidR="009A7378" w:rsidRPr="00D63217" w14:paraId="7E378AD2" w14:textId="77777777" w:rsidTr="00AD6B16">
        <w:trPr>
          <w:cantSplit/>
          <w:tblHeader/>
        </w:trPr>
        <w:tc>
          <w:tcPr>
            <w:tcW w:w="2014" w:type="dxa"/>
            <w:shd w:val="clear" w:color="auto" w:fill="5C2946"/>
          </w:tcPr>
          <w:p w14:paraId="32CD19FE" w14:textId="77777777" w:rsidR="009A7378" w:rsidRPr="00D63217" w:rsidRDefault="009A7378" w:rsidP="00FC1605">
            <w:pPr>
              <w:pStyle w:val="TableHead"/>
            </w:pPr>
            <w:r w:rsidRPr="00D63217">
              <w:t>Term</w:t>
            </w:r>
          </w:p>
        </w:tc>
        <w:tc>
          <w:tcPr>
            <w:tcW w:w="7624" w:type="dxa"/>
            <w:shd w:val="clear" w:color="auto" w:fill="5C2946"/>
          </w:tcPr>
          <w:p w14:paraId="016AEDF5" w14:textId="77777777" w:rsidR="009A7378" w:rsidRPr="00D63217" w:rsidRDefault="009A7378" w:rsidP="00FC1605">
            <w:pPr>
              <w:pStyle w:val="TableHead"/>
            </w:pPr>
            <w:r w:rsidRPr="00D63217">
              <w:t>Description</w:t>
            </w:r>
          </w:p>
        </w:tc>
      </w:tr>
      <w:tr w:rsidR="009A7378" w:rsidRPr="00D63217" w14:paraId="134D44F6" w14:textId="77777777" w:rsidTr="00BF4B43">
        <w:trPr>
          <w:cantSplit/>
        </w:trPr>
        <w:tc>
          <w:tcPr>
            <w:tcW w:w="2014" w:type="dxa"/>
          </w:tcPr>
          <w:p w14:paraId="33D58AAF" w14:textId="77777777" w:rsidR="009A7378" w:rsidRPr="00D63217" w:rsidRDefault="009A7378" w:rsidP="00AD6B16">
            <w:pPr>
              <w:pStyle w:val="TableText"/>
            </w:pPr>
            <w:r w:rsidRPr="00D63217">
              <w:t>active constituent</w:t>
            </w:r>
          </w:p>
        </w:tc>
        <w:tc>
          <w:tcPr>
            <w:tcW w:w="7624" w:type="dxa"/>
          </w:tcPr>
          <w:p w14:paraId="22362C46" w14:textId="77777777" w:rsidR="009A7378" w:rsidRPr="00D63217" w:rsidRDefault="009A7378" w:rsidP="00AD6B16">
            <w:pPr>
              <w:pStyle w:val="TableText"/>
            </w:pPr>
            <w:r w:rsidRPr="00D63217">
              <w:t>The substance that is primarily responsible for the effect produced by a chemical product</w:t>
            </w:r>
          </w:p>
        </w:tc>
      </w:tr>
      <w:tr w:rsidR="009A7378" w:rsidRPr="00D63217" w14:paraId="07ACED39" w14:textId="77777777" w:rsidTr="00BF4B43">
        <w:trPr>
          <w:cantSplit/>
        </w:trPr>
        <w:tc>
          <w:tcPr>
            <w:tcW w:w="2014" w:type="dxa"/>
          </w:tcPr>
          <w:p w14:paraId="165B4871" w14:textId="77777777" w:rsidR="009A7378" w:rsidRPr="00D63217" w:rsidRDefault="009A7378" w:rsidP="00AD6B16">
            <w:pPr>
              <w:pStyle w:val="TableText"/>
            </w:pPr>
            <w:r w:rsidRPr="00D63217">
              <w:t>adsorption constant</w:t>
            </w:r>
          </w:p>
        </w:tc>
        <w:tc>
          <w:tcPr>
            <w:tcW w:w="7624" w:type="dxa"/>
          </w:tcPr>
          <w:p w14:paraId="46F6DDEF" w14:textId="77777777" w:rsidR="009A7378" w:rsidRPr="00D63217" w:rsidRDefault="009A7378" w:rsidP="00AD6B16">
            <w:pPr>
              <w:pStyle w:val="TableText"/>
            </w:pPr>
            <w:r w:rsidRPr="00D63217">
              <w:t>A measure of the tendency of a chemical to bind to soils</w:t>
            </w:r>
          </w:p>
        </w:tc>
      </w:tr>
      <w:tr w:rsidR="009A7378" w:rsidRPr="00D63217" w14:paraId="4C65DC7B" w14:textId="77777777" w:rsidTr="00BF4B43">
        <w:trPr>
          <w:cantSplit/>
        </w:trPr>
        <w:tc>
          <w:tcPr>
            <w:tcW w:w="2014" w:type="dxa"/>
          </w:tcPr>
          <w:p w14:paraId="10155D8E" w14:textId="77777777" w:rsidR="009A7378" w:rsidRPr="00D63217" w:rsidRDefault="009A7378" w:rsidP="00AD6B16">
            <w:pPr>
              <w:pStyle w:val="TableText"/>
            </w:pPr>
            <w:r w:rsidRPr="00D63217">
              <w:t>acute exposure</w:t>
            </w:r>
          </w:p>
        </w:tc>
        <w:tc>
          <w:tcPr>
            <w:tcW w:w="7624" w:type="dxa"/>
          </w:tcPr>
          <w:p w14:paraId="1EB2CCC1" w14:textId="77777777" w:rsidR="009A7378" w:rsidRPr="00D63217" w:rsidRDefault="009A7378" w:rsidP="00AD6B16">
            <w:pPr>
              <w:pStyle w:val="TableText"/>
            </w:pPr>
            <w:r w:rsidRPr="00D63217">
              <w:t>Contact between a pesticide and a target occurring over a short time (e.g., less than a day)</w:t>
            </w:r>
          </w:p>
        </w:tc>
      </w:tr>
      <w:tr w:rsidR="009A7378" w:rsidRPr="00D63217" w14:paraId="280A6691" w14:textId="77777777" w:rsidTr="00BF4B43">
        <w:trPr>
          <w:cantSplit/>
        </w:trPr>
        <w:tc>
          <w:tcPr>
            <w:tcW w:w="2014" w:type="dxa"/>
          </w:tcPr>
          <w:p w14:paraId="7AC848C0" w14:textId="77777777" w:rsidR="009A7378" w:rsidRPr="00D63217" w:rsidRDefault="009A7378" w:rsidP="00AD6B16">
            <w:pPr>
              <w:pStyle w:val="TableText"/>
            </w:pPr>
            <w:r w:rsidRPr="00D63217">
              <w:t>acute toxicity</w:t>
            </w:r>
          </w:p>
        </w:tc>
        <w:tc>
          <w:tcPr>
            <w:tcW w:w="7624" w:type="dxa"/>
          </w:tcPr>
          <w:p w14:paraId="709BE76E" w14:textId="77777777" w:rsidR="009A7378" w:rsidRPr="00D63217" w:rsidRDefault="009A7378" w:rsidP="00AD6B16">
            <w:pPr>
              <w:pStyle w:val="TableText"/>
            </w:pPr>
            <w:r w:rsidRPr="00D63217">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29135D" w:rsidRPr="00D63217" w14:paraId="48130FE5" w14:textId="77777777" w:rsidTr="00BF4B43">
        <w:trPr>
          <w:cantSplit/>
        </w:trPr>
        <w:tc>
          <w:tcPr>
            <w:tcW w:w="2014" w:type="dxa"/>
          </w:tcPr>
          <w:p w14:paraId="1A8161A7" w14:textId="012E130F" w:rsidR="0029135D" w:rsidRPr="00D63217" w:rsidRDefault="0029135D" w:rsidP="0029135D">
            <w:pPr>
              <w:pStyle w:val="TableText"/>
            </w:pPr>
            <w:r w:rsidRPr="009C5CC6">
              <w:t>adsorption constant</w:t>
            </w:r>
          </w:p>
        </w:tc>
        <w:tc>
          <w:tcPr>
            <w:tcW w:w="7624" w:type="dxa"/>
          </w:tcPr>
          <w:p w14:paraId="708C0E72" w14:textId="5F9DD487" w:rsidR="0029135D" w:rsidRPr="00D63217" w:rsidRDefault="0029135D" w:rsidP="0029135D">
            <w:pPr>
              <w:pStyle w:val="TableText"/>
            </w:pPr>
            <w:r w:rsidRPr="009C5CC6">
              <w:t>A measure of the tendency of a chemical to bind to soils</w:t>
            </w:r>
            <w:r>
              <w:t>.</w:t>
            </w:r>
          </w:p>
        </w:tc>
      </w:tr>
      <w:tr w:rsidR="009A7378" w:rsidRPr="00D63217" w14:paraId="127BF7B1" w14:textId="77777777" w:rsidTr="00BF4B43">
        <w:trPr>
          <w:cantSplit/>
        </w:trPr>
        <w:tc>
          <w:tcPr>
            <w:tcW w:w="2014" w:type="dxa"/>
          </w:tcPr>
          <w:p w14:paraId="320D890A" w14:textId="77777777" w:rsidR="009A7378" w:rsidRPr="00D63217" w:rsidRDefault="009A7378" w:rsidP="00AD6B16">
            <w:pPr>
              <w:pStyle w:val="TableText"/>
            </w:pPr>
            <w:r w:rsidRPr="00D63217">
              <w:t>adverse effect</w:t>
            </w:r>
          </w:p>
        </w:tc>
        <w:tc>
          <w:tcPr>
            <w:tcW w:w="7624" w:type="dxa"/>
          </w:tcPr>
          <w:p w14:paraId="4C4F1F98" w14:textId="77777777" w:rsidR="009A7378" w:rsidRPr="00D63217" w:rsidRDefault="009A7378" w:rsidP="00AD6B16">
            <w:pPr>
              <w:pStyle w:val="TableText"/>
            </w:pPr>
            <w:r w:rsidRPr="00D63217">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9A7378" w:rsidRPr="00D63217" w14:paraId="093B7D06" w14:textId="77777777" w:rsidTr="00BF4B43">
        <w:trPr>
          <w:cantSplit/>
        </w:trPr>
        <w:tc>
          <w:tcPr>
            <w:tcW w:w="2014" w:type="dxa"/>
          </w:tcPr>
          <w:p w14:paraId="38DA033D" w14:textId="77777777" w:rsidR="009A7378" w:rsidRPr="00D63217" w:rsidRDefault="009A7378" w:rsidP="00AD6B16">
            <w:pPr>
              <w:pStyle w:val="TableText"/>
            </w:pPr>
            <w:r w:rsidRPr="00D63217">
              <w:t>agricultural crop</w:t>
            </w:r>
          </w:p>
        </w:tc>
        <w:tc>
          <w:tcPr>
            <w:tcW w:w="7624" w:type="dxa"/>
          </w:tcPr>
          <w:p w14:paraId="1EBB0F02" w14:textId="77777777" w:rsidR="009A7378" w:rsidRPr="00D63217" w:rsidRDefault="009A7378" w:rsidP="00AD6B16">
            <w:pPr>
              <w:pStyle w:val="TableText"/>
            </w:pPr>
            <w:r w:rsidRPr="00D63217">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9A7378" w:rsidRPr="00D63217" w14:paraId="0A40262F" w14:textId="77777777" w:rsidTr="00BF4B43">
        <w:trPr>
          <w:cantSplit/>
        </w:trPr>
        <w:tc>
          <w:tcPr>
            <w:tcW w:w="2014" w:type="dxa"/>
          </w:tcPr>
          <w:p w14:paraId="4A37F29F" w14:textId="77777777" w:rsidR="009A7378" w:rsidRPr="00D63217" w:rsidRDefault="009A7378" w:rsidP="00AD6B16">
            <w:pPr>
              <w:pStyle w:val="TableText"/>
            </w:pPr>
            <w:r w:rsidRPr="00D63217">
              <w:t>aquatic</w:t>
            </w:r>
          </w:p>
        </w:tc>
        <w:tc>
          <w:tcPr>
            <w:tcW w:w="7624" w:type="dxa"/>
          </w:tcPr>
          <w:p w14:paraId="5F639461" w14:textId="77777777" w:rsidR="009A7378" w:rsidRPr="00D63217" w:rsidRDefault="009A7378" w:rsidP="00AD6B16">
            <w:pPr>
              <w:pStyle w:val="TableText"/>
            </w:pPr>
            <w:r w:rsidRPr="00D63217">
              <w:t>Relating to water or sediment, as distinct from land or air</w:t>
            </w:r>
          </w:p>
        </w:tc>
      </w:tr>
      <w:tr w:rsidR="009A7378" w:rsidRPr="00D63217" w14:paraId="25DDDC8F" w14:textId="77777777" w:rsidTr="00BF4B43">
        <w:trPr>
          <w:cantSplit/>
        </w:trPr>
        <w:tc>
          <w:tcPr>
            <w:tcW w:w="2014" w:type="dxa"/>
          </w:tcPr>
          <w:p w14:paraId="5A057D7D" w14:textId="77777777" w:rsidR="009A7378" w:rsidRPr="00D63217" w:rsidRDefault="009A7378" w:rsidP="00AD6B16">
            <w:pPr>
              <w:pStyle w:val="TableText"/>
            </w:pPr>
            <w:r w:rsidRPr="00D63217">
              <w:t>assessment factor</w:t>
            </w:r>
          </w:p>
        </w:tc>
        <w:tc>
          <w:tcPr>
            <w:tcW w:w="7624" w:type="dxa"/>
          </w:tcPr>
          <w:p w14:paraId="1FAC08E4" w14:textId="77777777" w:rsidR="009A7378" w:rsidRPr="00D63217" w:rsidRDefault="009A7378" w:rsidP="00AD6B16">
            <w:pPr>
              <w:pStyle w:val="TableText"/>
            </w:pPr>
            <w:r w:rsidRPr="00D63217">
              <w:t>Reductive factor by which an observed or estimated endpoint of a pesticide is divided to arrive at a regulatory acceptable level</w:t>
            </w:r>
          </w:p>
        </w:tc>
      </w:tr>
      <w:tr w:rsidR="009A7378" w:rsidRPr="00D63217" w14:paraId="44421758" w14:textId="77777777" w:rsidTr="00BF4B43">
        <w:trPr>
          <w:cantSplit/>
        </w:trPr>
        <w:tc>
          <w:tcPr>
            <w:tcW w:w="2014" w:type="dxa"/>
          </w:tcPr>
          <w:p w14:paraId="4B632999" w14:textId="77777777" w:rsidR="009A7378" w:rsidRPr="00D63217" w:rsidRDefault="009A7378" w:rsidP="00AD6B16">
            <w:pPr>
              <w:pStyle w:val="TableText"/>
            </w:pPr>
            <w:r w:rsidRPr="00D63217">
              <w:t>bioaccumulation</w:t>
            </w:r>
          </w:p>
        </w:tc>
        <w:tc>
          <w:tcPr>
            <w:tcW w:w="7624" w:type="dxa"/>
          </w:tcPr>
          <w:p w14:paraId="363FAFA5" w14:textId="77777777" w:rsidR="009A7378" w:rsidRPr="00D63217" w:rsidRDefault="009A7378" w:rsidP="00AD6B16">
            <w:pPr>
              <w:pStyle w:val="TableText"/>
            </w:pPr>
            <w:r w:rsidRPr="00D63217">
              <w:t>Progressive increase in the amount of a substance in an organism or part of an organism that occurs because the rate of intake exceeds the organism’s ability to remove the substance from the body</w:t>
            </w:r>
          </w:p>
        </w:tc>
      </w:tr>
      <w:tr w:rsidR="009A7378" w:rsidRPr="00D63217" w14:paraId="0933B3BD" w14:textId="77777777" w:rsidTr="00BF4B43">
        <w:trPr>
          <w:cantSplit/>
        </w:trPr>
        <w:tc>
          <w:tcPr>
            <w:tcW w:w="2014" w:type="dxa"/>
          </w:tcPr>
          <w:p w14:paraId="368672F8" w14:textId="77777777" w:rsidR="009A7378" w:rsidRPr="00D63217" w:rsidRDefault="009A7378" w:rsidP="00AD6B16">
            <w:pPr>
              <w:pStyle w:val="TableText"/>
            </w:pPr>
            <w:r w:rsidRPr="00D63217">
              <w:t>bioconcentration</w:t>
            </w:r>
          </w:p>
        </w:tc>
        <w:tc>
          <w:tcPr>
            <w:tcW w:w="7624" w:type="dxa"/>
          </w:tcPr>
          <w:p w14:paraId="5EF5726D" w14:textId="77777777" w:rsidR="009A7378" w:rsidRPr="00D63217" w:rsidRDefault="009A7378" w:rsidP="00AD6B16">
            <w:pPr>
              <w:pStyle w:val="TableText"/>
            </w:pPr>
            <w:r w:rsidRPr="00D63217">
              <w:t>Uptake of a pesticide residue from an environmental matrix, usually through partitioning across body surfaces to a concentration in the organism that is usually higher than in the environmental matrix</w:t>
            </w:r>
          </w:p>
        </w:tc>
      </w:tr>
      <w:tr w:rsidR="009A7378" w:rsidRPr="00D63217" w14:paraId="1100B1F6" w14:textId="77777777" w:rsidTr="00BF4B43">
        <w:trPr>
          <w:cantSplit/>
        </w:trPr>
        <w:tc>
          <w:tcPr>
            <w:tcW w:w="2014" w:type="dxa"/>
          </w:tcPr>
          <w:p w14:paraId="1F8321F8" w14:textId="77777777" w:rsidR="009A7378" w:rsidRPr="00D63217" w:rsidRDefault="009A7378" w:rsidP="00AD6B16">
            <w:pPr>
              <w:pStyle w:val="TableText"/>
            </w:pPr>
            <w:r w:rsidRPr="00D63217">
              <w:t>bioconcentration factor</w:t>
            </w:r>
          </w:p>
        </w:tc>
        <w:tc>
          <w:tcPr>
            <w:tcW w:w="7624" w:type="dxa"/>
          </w:tcPr>
          <w:p w14:paraId="04BAE570" w14:textId="77777777" w:rsidR="009A7378" w:rsidRPr="00D63217" w:rsidRDefault="009A7378" w:rsidP="00AD6B16">
            <w:pPr>
              <w:pStyle w:val="TableText"/>
            </w:pPr>
            <w:r w:rsidRPr="00D63217">
              <w:t>Ratio between the concentration of pesticide in an organism or tissue and the concentration in the environmental matrix (usually water) at apparent equilibrium during the uptake phase</w:t>
            </w:r>
          </w:p>
        </w:tc>
      </w:tr>
      <w:tr w:rsidR="009A7378" w:rsidRPr="00D63217" w14:paraId="372B7A66" w14:textId="77777777" w:rsidTr="00BF4B43">
        <w:trPr>
          <w:cantSplit/>
        </w:trPr>
        <w:tc>
          <w:tcPr>
            <w:tcW w:w="2014" w:type="dxa"/>
          </w:tcPr>
          <w:p w14:paraId="62B7EDA7" w14:textId="77777777" w:rsidR="009A7378" w:rsidRPr="00D63217" w:rsidRDefault="009A7378" w:rsidP="00AD6B16">
            <w:pPr>
              <w:pStyle w:val="TableText"/>
            </w:pPr>
            <w:r w:rsidRPr="00D63217">
              <w:t>bound residue</w:t>
            </w:r>
          </w:p>
        </w:tc>
        <w:tc>
          <w:tcPr>
            <w:tcW w:w="7624" w:type="dxa"/>
          </w:tcPr>
          <w:p w14:paraId="4524FDDA" w14:textId="77777777" w:rsidR="009A7378" w:rsidRPr="00D63217" w:rsidRDefault="009A7378" w:rsidP="00AD6B16">
            <w:pPr>
              <w:pStyle w:val="TableText"/>
            </w:pPr>
            <w:r w:rsidRPr="00D63217">
              <w:t>Residue associated with one or more classes of endogenous macromolecules that cannot be disassociated by extraction or digestion without alteration</w:t>
            </w:r>
          </w:p>
        </w:tc>
      </w:tr>
      <w:tr w:rsidR="009A7378" w:rsidRPr="00D63217" w14:paraId="15981B3C" w14:textId="77777777" w:rsidTr="00BF4B43">
        <w:trPr>
          <w:cantSplit/>
        </w:trPr>
        <w:tc>
          <w:tcPr>
            <w:tcW w:w="2014" w:type="dxa"/>
          </w:tcPr>
          <w:p w14:paraId="1A036B9B" w14:textId="77777777" w:rsidR="009A7378" w:rsidRPr="00D63217" w:rsidRDefault="009A7378" w:rsidP="00AD6B16">
            <w:pPr>
              <w:pStyle w:val="TableText"/>
            </w:pPr>
            <w:r w:rsidRPr="00D63217">
              <w:t>cation</w:t>
            </w:r>
          </w:p>
        </w:tc>
        <w:tc>
          <w:tcPr>
            <w:tcW w:w="7624" w:type="dxa"/>
          </w:tcPr>
          <w:p w14:paraId="1043D6E7" w14:textId="77777777" w:rsidR="009A7378" w:rsidRPr="00D63217" w:rsidRDefault="009A7378" w:rsidP="00AD6B16">
            <w:pPr>
              <w:pStyle w:val="TableText"/>
            </w:pPr>
            <w:r w:rsidRPr="00D63217">
              <w:t>Monatomic or polyatomic species having one or more elementary charges of the proton</w:t>
            </w:r>
          </w:p>
        </w:tc>
      </w:tr>
      <w:tr w:rsidR="009A7378" w:rsidRPr="00D63217" w14:paraId="0384F09D" w14:textId="77777777" w:rsidTr="00BF4B43">
        <w:trPr>
          <w:cantSplit/>
        </w:trPr>
        <w:tc>
          <w:tcPr>
            <w:tcW w:w="2014" w:type="dxa"/>
          </w:tcPr>
          <w:p w14:paraId="075992EF" w14:textId="77777777" w:rsidR="009A7378" w:rsidRPr="00D63217" w:rsidRDefault="009A7378" w:rsidP="00AD6B16">
            <w:pPr>
              <w:pStyle w:val="TableText"/>
            </w:pPr>
            <w:r w:rsidRPr="00D63217">
              <w:t>catchment</w:t>
            </w:r>
          </w:p>
        </w:tc>
        <w:tc>
          <w:tcPr>
            <w:tcW w:w="7624" w:type="dxa"/>
          </w:tcPr>
          <w:p w14:paraId="12668EE7" w14:textId="77777777" w:rsidR="009A7378" w:rsidRPr="00D63217" w:rsidRDefault="009A7378" w:rsidP="00AD6B16">
            <w:pPr>
              <w:pStyle w:val="TableText"/>
            </w:pPr>
            <w:r w:rsidRPr="00D63217">
              <w:t>Landform that collects precipitation and retains it in an impoundment or drains it through a single outlet</w:t>
            </w:r>
          </w:p>
        </w:tc>
      </w:tr>
      <w:tr w:rsidR="009A7378" w:rsidRPr="00D63217" w14:paraId="46763183" w14:textId="77777777" w:rsidTr="00BF4B43">
        <w:trPr>
          <w:cantSplit/>
        </w:trPr>
        <w:tc>
          <w:tcPr>
            <w:tcW w:w="2014" w:type="dxa"/>
          </w:tcPr>
          <w:p w14:paraId="1E0F6F75" w14:textId="77777777" w:rsidR="009A7378" w:rsidRPr="00D63217" w:rsidRDefault="009A7378" w:rsidP="00AD6B16">
            <w:pPr>
              <w:pStyle w:val="TableText"/>
            </w:pPr>
            <w:r w:rsidRPr="00D63217">
              <w:t>chronic exposure</w:t>
            </w:r>
          </w:p>
        </w:tc>
        <w:tc>
          <w:tcPr>
            <w:tcW w:w="7624" w:type="dxa"/>
          </w:tcPr>
          <w:p w14:paraId="5133ACBA" w14:textId="77777777" w:rsidR="009A7378" w:rsidRPr="00D63217" w:rsidRDefault="009A7378" w:rsidP="00AD6B16">
            <w:pPr>
              <w:pStyle w:val="TableText"/>
            </w:pPr>
            <w:r w:rsidRPr="00D63217">
              <w:t>Continued or intermittent long-term contact between an agent and a target</w:t>
            </w:r>
          </w:p>
        </w:tc>
      </w:tr>
      <w:tr w:rsidR="009A7378" w:rsidRPr="00D63217" w14:paraId="5641041B" w14:textId="77777777" w:rsidTr="00BF4B43">
        <w:trPr>
          <w:cantSplit/>
        </w:trPr>
        <w:tc>
          <w:tcPr>
            <w:tcW w:w="2014" w:type="dxa"/>
          </w:tcPr>
          <w:p w14:paraId="3F56558B" w14:textId="77777777" w:rsidR="009A7378" w:rsidRPr="00D63217" w:rsidRDefault="009A7378" w:rsidP="00AD6B16">
            <w:pPr>
              <w:pStyle w:val="TableText"/>
            </w:pPr>
            <w:r w:rsidRPr="00D63217">
              <w:t>chronic toxicity</w:t>
            </w:r>
          </w:p>
        </w:tc>
        <w:tc>
          <w:tcPr>
            <w:tcW w:w="7624" w:type="dxa"/>
          </w:tcPr>
          <w:p w14:paraId="6E1C7F00" w14:textId="77777777" w:rsidR="009A7378" w:rsidRPr="00D63217" w:rsidRDefault="009A7378" w:rsidP="00AD6B16">
            <w:pPr>
              <w:pStyle w:val="TableText"/>
            </w:pPr>
            <w:r w:rsidRPr="00D63217">
              <w:t>Adverse effects following chronic exposure</w:t>
            </w:r>
          </w:p>
        </w:tc>
      </w:tr>
      <w:tr w:rsidR="009A7378" w:rsidRPr="00D63217" w14:paraId="04198779" w14:textId="77777777" w:rsidTr="00BF4B43">
        <w:trPr>
          <w:cantSplit/>
        </w:trPr>
        <w:tc>
          <w:tcPr>
            <w:tcW w:w="2014" w:type="dxa"/>
          </w:tcPr>
          <w:p w14:paraId="1747693C" w14:textId="77777777" w:rsidR="009A7378" w:rsidRPr="00D63217" w:rsidRDefault="009A7378" w:rsidP="00AD6B16">
            <w:pPr>
              <w:pStyle w:val="TableText"/>
            </w:pPr>
            <w:r w:rsidRPr="00D63217">
              <w:lastRenderedPageBreak/>
              <w:t>concentration</w:t>
            </w:r>
          </w:p>
        </w:tc>
        <w:tc>
          <w:tcPr>
            <w:tcW w:w="7624" w:type="dxa"/>
          </w:tcPr>
          <w:p w14:paraId="299CEC14" w14:textId="77777777" w:rsidR="009A7378" w:rsidRPr="00D63217" w:rsidRDefault="009A7378" w:rsidP="00AD6B16">
            <w:pPr>
              <w:pStyle w:val="TableText"/>
            </w:pPr>
            <w:r w:rsidRPr="00D63217">
              <w:t>Amount of a material, agent (e.g., pesticide) dissolved or contained in unit quantity in a given medium or system</w:t>
            </w:r>
          </w:p>
        </w:tc>
      </w:tr>
      <w:tr w:rsidR="009A7378" w:rsidRPr="00D63217" w14:paraId="382A383A" w14:textId="77777777" w:rsidTr="00BF4B43">
        <w:trPr>
          <w:cantSplit/>
        </w:trPr>
        <w:tc>
          <w:tcPr>
            <w:tcW w:w="2014" w:type="dxa"/>
          </w:tcPr>
          <w:p w14:paraId="626ED604" w14:textId="77777777" w:rsidR="009A7378" w:rsidRPr="00D63217" w:rsidRDefault="009A7378" w:rsidP="00AD6B16">
            <w:pPr>
              <w:pStyle w:val="TableText"/>
            </w:pPr>
            <w:r w:rsidRPr="00D63217">
              <w:t>dissipation</w:t>
            </w:r>
          </w:p>
        </w:tc>
        <w:tc>
          <w:tcPr>
            <w:tcW w:w="7624" w:type="dxa"/>
          </w:tcPr>
          <w:p w14:paraId="511545F9" w14:textId="77777777" w:rsidR="009A7378" w:rsidRPr="00D63217" w:rsidRDefault="009A7378" w:rsidP="00AD6B16">
            <w:pPr>
              <w:pStyle w:val="TableText"/>
            </w:pPr>
            <w:r w:rsidRPr="00D63217">
              <w:t>Loss of pesticide residues from an environmental compartment due to degradation and transfer to another environmental compartment</w:t>
            </w:r>
          </w:p>
        </w:tc>
      </w:tr>
      <w:tr w:rsidR="009A7378" w:rsidRPr="00D63217" w14:paraId="55BEEBC5" w14:textId="77777777" w:rsidTr="00BF4B43">
        <w:trPr>
          <w:cantSplit/>
        </w:trPr>
        <w:tc>
          <w:tcPr>
            <w:tcW w:w="2014" w:type="dxa"/>
          </w:tcPr>
          <w:p w14:paraId="46BBC995" w14:textId="77777777" w:rsidR="009A7378" w:rsidRPr="00D63217" w:rsidRDefault="009A7378" w:rsidP="00AD6B16">
            <w:pPr>
              <w:pStyle w:val="TableText"/>
            </w:pPr>
            <w:r w:rsidRPr="00D63217">
              <w:t>dissociation constant</w:t>
            </w:r>
          </w:p>
        </w:tc>
        <w:tc>
          <w:tcPr>
            <w:tcW w:w="7624" w:type="dxa"/>
          </w:tcPr>
          <w:p w14:paraId="2D314208" w14:textId="77777777" w:rsidR="009A7378" w:rsidRPr="00D63217" w:rsidRDefault="009A7378" w:rsidP="00AD6B16">
            <w:pPr>
              <w:pStyle w:val="TableText"/>
            </w:pPr>
            <w:r w:rsidRPr="00D63217">
              <w:t>The ratio of concentration of dissociated ions to the concentration of original acid</w:t>
            </w:r>
          </w:p>
        </w:tc>
      </w:tr>
      <w:tr w:rsidR="009A7378" w:rsidRPr="00D63217" w14:paraId="2049CC56" w14:textId="77777777" w:rsidTr="00BF4B43">
        <w:trPr>
          <w:cantSplit/>
        </w:trPr>
        <w:tc>
          <w:tcPr>
            <w:tcW w:w="2014" w:type="dxa"/>
          </w:tcPr>
          <w:p w14:paraId="1867CD9E" w14:textId="77777777" w:rsidR="009A7378" w:rsidRPr="00D63217" w:rsidRDefault="009A7378" w:rsidP="00AD6B16">
            <w:pPr>
              <w:pStyle w:val="TableText"/>
            </w:pPr>
            <w:r w:rsidRPr="00D63217">
              <w:t>dose</w:t>
            </w:r>
          </w:p>
        </w:tc>
        <w:tc>
          <w:tcPr>
            <w:tcW w:w="7624" w:type="dxa"/>
          </w:tcPr>
          <w:p w14:paraId="6147F333" w14:textId="77777777" w:rsidR="009A7378" w:rsidRPr="00D63217" w:rsidRDefault="009A7378" w:rsidP="00AD6B16">
            <w:pPr>
              <w:pStyle w:val="TableText"/>
            </w:pPr>
            <w:r w:rsidRPr="00D63217">
              <w:t>Total amount of a pesticide or agent administered to, taken up or absorbed by an organism, system, or (sub-) population</w:t>
            </w:r>
          </w:p>
        </w:tc>
      </w:tr>
      <w:tr w:rsidR="009A7378" w:rsidRPr="00D63217" w14:paraId="6102A94B" w14:textId="77777777" w:rsidTr="00BF4B43">
        <w:trPr>
          <w:cantSplit/>
        </w:trPr>
        <w:tc>
          <w:tcPr>
            <w:tcW w:w="2014" w:type="dxa"/>
          </w:tcPr>
          <w:p w14:paraId="4A30CCCB" w14:textId="77777777" w:rsidR="009A7378" w:rsidRPr="00D63217" w:rsidRDefault="009A7378" w:rsidP="00AD6B16">
            <w:pPr>
              <w:pStyle w:val="TableText"/>
            </w:pPr>
            <w:r w:rsidRPr="00D63217">
              <w:t>dry weight basis</w:t>
            </w:r>
          </w:p>
        </w:tc>
        <w:tc>
          <w:tcPr>
            <w:tcW w:w="7624" w:type="dxa"/>
          </w:tcPr>
          <w:p w14:paraId="4D2D6182" w14:textId="77777777" w:rsidR="009A7378" w:rsidRPr="00D63217" w:rsidRDefault="009A7378" w:rsidP="00AD6B16">
            <w:pPr>
              <w:pStyle w:val="TableText"/>
            </w:pPr>
            <w:r w:rsidRPr="00D63217">
              <w:t>Pesticide residue concentration reported as if the residue were wholly contained in the dry matter of the sample</w:t>
            </w:r>
          </w:p>
        </w:tc>
      </w:tr>
      <w:tr w:rsidR="009A7378" w:rsidRPr="00D63217" w14:paraId="6BC37CCA" w14:textId="77777777" w:rsidTr="00BF4B43">
        <w:trPr>
          <w:cantSplit/>
        </w:trPr>
        <w:tc>
          <w:tcPr>
            <w:tcW w:w="2014" w:type="dxa"/>
          </w:tcPr>
          <w:p w14:paraId="3E257FC2" w14:textId="77777777" w:rsidR="009A7378" w:rsidRPr="00D63217" w:rsidRDefault="009A7378" w:rsidP="00AD6B16">
            <w:pPr>
              <w:pStyle w:val="TableText"/>
            </w:pPr>
            <w:r w:rsidRPr="00D63217">
              <w:t>effect assessment</w:t>
            </w:r>
          </w:p>
        </w:tc>
        <w:tc>
          <w:tcPr>
            <w:tcW w:w="7624" w:type="dxa"/>
          </w:tcPr>
          <w:p w14:paraId="3FA30354" w14:textId="77777777" w:rsidR="009A7378" w:rsidRPr="00D63217" w:rsidRDefault="009A7378" w:rsidP="00AD6B16">
            <w:pPr>
              <w:pStyle w:val="TableText"/>
            </w:pPr>
            <w:r w:rsidRPr="00D63217">
              <w:t>Combination of analysis and inference of possible consequences of the exposure to a pesticide based on knowledge of the dose–effect relationship associated with that agent in a specific target organism, system, or (sub-) population</w:t>
            </w:r>
          </w:p>
        </w:tc>
      </w:tr>
      <w:tr w:rsidR="009A7378" w:rsidRPr="00D63217" w14:paraId="35B9ABA9" w14:textId="77777777" w:rsidTr="00BF4B43">
        <w:trPr>
          <w:cantSplit/>
        </w:trPr>
        <w:tc>
          <w:tcPr>
            <w:tcW w:w="2014" w:type="dxa"/>
          </w:tcPr>
          <w:p w14:paraId="459731F7" w14:textId="77777777" w:rsidR="009A7378" w:rsidRPr="00D63217" w:rsidRDefault="009A7378" w:rsidP="00AD6B16">
            <w:pPr>
              <w:pStyle w:val="TableText"/>
            </w:pPr>
            <w:r w:rsidRPr="00D63217">
              <w:t>endpoint</w:t>
            </w:r>
          </w:p>
        </w:tc>
        <w:tc>
          <w:tcPr>
            <w:tcW w:w="7624" w:type="dxa"/>
          </w:tcPr>
          <w:p w14:paraId="5464AFD0" w14:textId="77777777" w:rsidR="009A7378" w:rsidRPr="00D63217" w:rsidRDefault="009A7378" w:rsidP="00AD6B16">
            <w:pPr>
              <w:pStyle w:val="TableText"/>
            </w:pPr>
            <w:r w:rsidRPr="00D63217">
              <w:t>Measurable ecological or toxicological characteristic or parameter of the test system that is chosen as the most relevant assessment criterion</w:t>
            </w:r>
          </w:p>
        </w:tc>
      </w:tr>
      <w:tr w:rsidR="009A7378" w:rsidRPr="00D63217" w14:paraId="225F31BA" w14:textId="77777777" w:rsidTr="00BF4B43">
        <w:trPr>
          <w:cantSplit/>
        </w:trPr>
        <w:tc>
          <w:tcPr>
            <w:tcW w:w="2014" w:type="dxa"/>
          </w:tcPr>
          <w:p w14:paraId="2EFB37DB" w14:textId="77777777" w:rsidR="009A7378" w:rsidRPr="00D63217" w:rsidRDefault="009A7378" w:rsidP="00AD6B16">
            <w:pPr>
              <w:pStyle w:val="TableText"/>
            </w:pPr>
            <w:r w:rsidRPr="00D63217">
              <w:t>environmental fate</w:t>
            </w:r>
          </w:p>
        </w:tc>
        <w:tc>
          <w:tcPr>
            <w:tcW w:w="7624" w:type="dxa"/>
          </w:tcPr>
          <w:p w14:paraId="769A8EA4" w14:textId="77777777" w:rsidR="009A7378" w:rsidRPr="00D63217" w:rsidRDefault="009A7378" w:rsidP="00AD6B16">
            <w:pPr>
              <w:pStyle w:val="TableText"/>
            </w:pPr>
            <w:r w:rsidRPr="00D63217">
              <w:t>Destiny of a pesticide or chemical after release to the environment involving considerations such as transport through air, soil, or water, bioconcentration, degradation, etc.</w:t>
            </w:r>
          </w:p>
        </w:tc>
      </w:tr>
      <w:tr w:rsidR="009A7378" w:rsidRPr="00D63217" w14:paraId="7664EBE3" w14:textId="77777777" w:rsidTr="00BF4B43">
        <w:trPr>
          <w:cantSplit/>
        </w:trPr>
        <w:tc>
          <w:tcPr>
            <w:tcW w:w="2014" w:type="dxa"/>
          </w:tcPr>
          <w:p w14:paraId="390361B2" w14:textId="77777777" w:rsidR="009A7378" w:rsidRPr="00D63217" w:rsidRDefault="009A7378" w:rsidP="00AD6B16">
            <w:pPr>
              <w:pStyle w:val="TableText"/>
            </w:pPr>
            <w:r w:rsidRPr="00D63217">
              <w:t>environmental risk</w:t>
            </w:r>
          </w:p>
        </w:tc>
        <w:tc>
          <w:tcPr>
            <w:tcW w:w="7624" w:type="dxa"/>
          </w:tcPr>
          <w:p w14:paraId="51C7BB2F" w14:textId="77777777" w:rsidR="009A7378" w:rsidRPr="00D63217" w:rsidRDefault="009A7378" w:rsidP="00AD6B16">
            <w:pPr>
              <w:pStyle w:val="TableText"/>
            </w:pPr>
            <w:r w:rsidRPr="00D63217">
              <w:t>Probability that an adverse effect on humans an environmental system/receptor will be observed for a given exposure to a pesticide based on the probability of that exposure and the sensitivity of the system/receptor</w:t>
            </w:r>
          </w:p>
        </w:tc>
      </w:tr>
      <w:tr w:rsidR="009A7378" w:rsidRPr="00D63217" w14:paraId="2CFC2FCC" w14:textId="77777777" w:rsidTr="00BF4B43">
        <w:trPr>
          <w:cantSplit/>
        </w:trPr>
        <w:tc>
          <w:tcPr>
            <w:tcW w:w="2014" w:type="dxa"/>
          </w:tcPr>
          <w:p w14:paraId="18BA604C" w14:textId="77777777" w:rsidR="009A7378" w:rsidRPr="00D63217" w:rsidRDefault="009A7378" w:rsidP="00AD6B16">
            <w:pPr>
              <w:pStyle w:val="TableText"/>
            </w:pPr>
            <w:r w:rsidRPr="00D63217">
              <w:t>exposure</w:t>
            </w:r>
          </w:p>
        </w:tc>
        <w:tc>
          <w:tcPr>
            <w:tcW w:w="7624" w:type="dxa"/>
          </w:tcPr>
          <w:p w14:paraId="410D0EC3" w14:textId="77777777" w:rsidR="009A7378" w:rsidRPr="00D63217" w:rsidRDefault="009A7378" w:rsidP="00AD6B16">
            <w:pPr>
              <w:pStyle w:val="TableText"/>
            </w:pPr>
            <w:r w:rsidRPr="00D63217">
              <w:t>Concentration or amount of a particular substance that is taken in by an individual, population or ecosystem in a specific frequency over a certain amount of time</w:t>
            </w:r>
          </w:p>
        </w:tc>
      </w:tr>
      <w:tr w:rsidR="009A7378" w:rsidRPr="00D63217" w14:paraId="1F9DBA44" w14:textId="77777777" w:rsidTr="00BF4B43">
        <w:trPr>
          <w:cantSplit/>
        </w:trPr>
        <w:tc>
          <w:tcPr>
            <w:tcW w:w="2014" w:type="dxa"/>
          </w:tcPr>
          <w:p w14:paraId="61C28098" w14:textId="77777777" w:rsidR="009A7378" w:rsidRPr="00D63217" w:rsidRDefault="009A7378" w:rsidP="00AD6B16">
            <w:pPr>
              <w:pStyle w:val="TableText"/>
            </w:pPr>
            <w:r w:rsidRPr="00D63217">
              <w:t>exposure assessment</w:t>
            </w:r>
          </w:p>
        </w:tc>
        <w:tc>
          <w:tcPr>
            <w:tcW w:w="7624" w:type="dxa"/>
          </w:tcPr>
          <w:p w14:paraId="7DCC3F1A" w14:textId="77777777" w:rsidR="009A7378" w:rsidRPr="00D63217" w:rsidRDefault="009A7378" w:rsidP="00AD6B16">
            <w:pPr>
              <w:pStyle w:val="TableText"/>
            </w:pPr>
            <w:r w:rsidRPr="00D63217">
              <w:t>Evaluation of the exposure of an organism, system, or (sub-) population to a pesticide or agent (and its derivatives)</w:t>
            </w:r>
          </w:p>
        </w:tc>
      </w:tr>
      <w:tr w:rsidR="009A7378" w:rsidRPr="00D63217" w14:paraId="56E019CD" w14:textId="77777777" w:rsidTr="00BF4B43">
        <w:trPr>
          <w:cantSplit/>
        </w:trPr>
        <w:tc>
          <w:tcPr>
            <w:tcW w:w="2014" w:type="dxa"/>
          </w:tcPr>
          <w:p w14:paraId="00FF72E3" w14:textId="77777777" w:rsidR="009A7378" w:rsidRPr="00D63217" w:rsidRDefault="009A7378" w:rsidP="00AD6B16">
            <w:pPr>
              <w:pStyle w:val="TableText"/>
            </w:pPr>
            <w:r w:rsidRPr="00D63217">
              <w:t>exposure assessment</w:t>
            </w:r>
          </w:p>
        </w:tc>
        <w:tc>
          <w:tcPr>
            <w:tcW w:w="7624" w:type="dxa"/>
          </w:tcPr>
          <w:p w14:paraId="62E71A12" w14:textId="77777777" w:rsidR="009A7378" w:rsidRPr="00D63217" w:rsidRDefault="009A7378" w:rsidP="00AD6B16">
            <w:pPr>
              <w:pStyle w:val="TableText"/>
            </w:pPr>
            <w:r w:rsidRPr="00D63217">
              <w:t>Evaluation of the exposure of an organism, system, or (sub-) population to a pesticide or agent (and its derivatives)</w:t>
            </w:r>
          </w:p>
        </w:tc>
      </w:tr>
      <w:tr w:rsidR="009A7378" w:rsidRPr="00D63217" w14:paraId="5C6BEEFA" w14:textId="77777777" w:rsidTr="00BF4B43">
        <w:trPr>
          <w:cantSplit/>
        </w:trPr>
        <w:tc>
          <w:tcPr>
            <w:tcW w:w="2014" w:type="dxa"/>
          </w:tcPr>
          <w:p w14:paraId="6E4ABD0A" w14:textId="77777777" w:rsidR="009A7378" w:rsidRPr="00D63217" w:rsidRDefault="009A7378" w:rsidP="00AD6B16">
            <w:pPr>
              <w:pStyle w:val="TableText"/>
            </w:pPr>
            <w:r w:rsidRPr="00D63217">
              <w:t>formulation</w:t>
            </w:r>
          </w:p>
        </w:tc>
        <w:tc>
          <w:tcPr>
            <w:tcW w:w="7624" w:type="dxa"/>
          </w:tcPr>
          <w:p w14:paraId="4443143B" w14:textId="77777777" w:rsidR="009A7378" w:rsidRPr="00D63217" w:rsidRDefault="009A7378" w:rsidP="00AD6B16">
            <w:pPr>
              <w:pStyle w:val="TableText"/>
            </w:pPr>
            <w:r w:rsidRPr="00D63217">
              <w:t>A combination of both active and inactive constituents to form the end use product</w:t>
            </w:r>
          </w:p>
        </w:tc>
      </w:tr>
      <w:tr w:rsidR="005D3EE1" w:rsidRPr="00D63217" w14:paraId="724637B3" w14:textId="77777777" w:rsidTr="00BF4B43">
        <w:trPr>
          <w:cantSplit/>
        </w:trPr>
        <w:tc>
          <w:tcPr>
            <w:tcW w:w="2014" w:type="dxa"/>
          </w:tcPr>
          <w:p w14:paraId="29BD3BE4" w14:textId="1E1D0970" w:rsidR="005D3EE1" w:rsidRPr="00D63217" w:rsidRDefault="005D3EE1" w:rsidP="005D3EE1">
            <w:pPr>
              <w:pStyle w:val="TableText"/>
            </w:pPr>
            <w:r w:rsidRPr="007B476B">
              <w:t>Freundlich isotherm</w:t>
            </w:r>
          </w:p>
        </w:tc>
        <w:tc>
          <w:tcPr>
            <w:tcW w:w="7624" w:type="dxa"/>
          </w:tcPr>
          <w:p w14:paraId="5BAF61C2" w14:textId="5AFFDF82" w:rsidR="005D3EE1" w:rsidRPr="00D63217" w:rsidRDefault="005D3EE1" w:rsidP="005D3EE1">
            <w:pPr>
              <w:pStyle w:val="TableText"/>
            </w:pPr>
            <w:r>
              <w:t>Empirical relationship describing the adsorption of a solute from a liquid or gaseous phase to a solid in which the quantity of material adsorbed per unit mass of adsorbent is expressed as a function of the equilibrium concentration of the sorbate.</w:t>
            </w:r>
          </w:p>
        </w:tc>
      </w:tr>
      <w:tr w:rsidR="005D3EE1" w:rsidRPr="00D63217" w14:paraId="13705F65" w14:textId="77777777" w:rsidTr="00BF4B43">
        <w:trPr>
          <w:cantSplit/>
        </w:trPr>
        <w:tc>
          <w:tcPr>
            <w:tcW w:w="2014" w:type="dxa"/>
          </w:tcPr>
          <w:p w14:paraId="6B9F9885" w14:textId="2A69AEE5" w:rsidR="005D3EE1" w:rsidRPr="007B476B" w:rsidRDefault="005D3EE1" w:rsidP="005D3EE1">
            <w:pPr>
              <w:pStyle w:val="TableText"/>
            </w:pPr>
            <w:r>
              <w:t>good laboratory practice</w:t>
            </w:r>
          </w:p>
        </w:tc>
        <w:tc>
          <w:tcPr>
            <w:tcW w:w="7624" w:type="dxa"/>
          </w:tcPr>
          <w:p w14:paraId="64AB1C7A" w14:textId="336753EB" w:rsidR="005D3EE1" w:rsidRDefault="005D3EE1" w:rsidP="005D3EE1">
            <w:pPr>
              <w:pStyle w:val="TableText"/>
            </w:pPr>
            <w:r>
              <w:t>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w:t>
            </w:r>
          </w:p>
        </w:tc>
      </w:tr>
      <w:tr w:rsidR="009A7378" w:rsidRPr="00D63217" w14:paraId="578F64EF" w14:textId="77777777" w:rsidTr="00BF4B43">
        <w:trPr>
          <w:cantSplit/>
        </w:trPr>
        <w:tc>
          <w:tcPr>
            <w:tcW w:w="2014" w:type="dxa"/>
          </w:tcPr>
          <w:p w14:paraId="33BBDAF7" w14:textId="77777777" w:rsidR="009A7378" w:rsidRPr="00D63217" w:rsidRDefault="009A7378" w:rsidP="00AD6B16">
            <w:pPr>
              <w:pStyle w:val="TableText"/>
            </w:pPr>
            <w:r w:rsidRPr="00D63217">
              <w:t>half-life</w:t>
            </w:r>
          </w:p>
        </w:tc>
        <w:tc>
          <w:tcPr>
            <w:tcW w:w="7624" w:type="dxa"/>
          </w:tcPr>
          <w:p w14:paraId="48CC1005" w14:textId="77777777" w:rsidR="009A7378" w:rsidRPr="00D63217" w:rsidRDefault="009A7378" w:rsidP="00AD6B16">
            <w:pPr>
              <w:pStyle w:val="TableText"/>
            </w:pPr>
            <w:r w:rsidRPr="00D63217">
              <w:t>The time taken for the reactant concentration to fall to one-half its initial value</w:t>
            </w:r>
          </w:p>
        </w:tc>
      </w:tr>
      <w:tr w:rsidR="009A7378" w:rsidRPr="00D63217" w14:paraId="3C35CF1C" w14:textId="77777777" w:rsidTr="00BF4B43">
        <w:trPr>
          <w:cantSplit/>
        </w:trPr>
        <w:tc>
          <w:tcPr>
            <w:tcW w:w="2014" w:type="dxa"/>
          </w:tcPr>
          <w:p w14:paraId="33200BDA" w14:textId="77777777" w:rsidR="009A7378" w:rsidRPr="00D63217" w:rsidRDefault="009A7378" w:rsidP="00AD6B16">
            <w:pPr>
              <w:pStyle w:val="TableText"/>
            </w:pPr>
            <w:r w:rsidRPr="00D63217">
              <w:t>hazard</w:t>
            </w:r>
          </w:p>
        </w:tc>
        <w:tc>
          <w:tcPr>
            <w:tcW w:w="7624" w:type="dxa"/>
          </w:tcPr>
          <w:p w14:paraId="6F737AAA" w14:textId="77777777" w:rsidR="009A7378" w:rsidRPr="00D63217" w:rsidRDefault="009A7378" w:rsidP="00AD6B16">
            <w:pPr>
              <w:pStyle w:val="TableText"/>
            </w:pPr>
            <w:r w:rsidRPr="00D63217">
              <w:t>Inherent property of a pesticide having the potential to cause adverse effects when an organism, system, or (sub-) population is exposed to that agent or situation</w:t>
            </w:r>
          </w:p>
        </w:tc>
      </w:tr>
      <w:tr w:rsidR="009A7378" w:rsidRPr="00D63217" w14:paraId="271FF9D0" w14:textId="77777777" w:rsidTr="00BF4B43">
        <w:trPr>
          <w:cantSplit/>
        </w:trPr>
        <w:tc>
          <w:tcPr>
            <w:tcW w:w="2014" w:type="dxa"/>
          </w:tcPr>
          <w:p w14:paraId="775728AE" w14:textId="77777777" w:rsidR="009A7378" w:rsidRPr="00D63217" w:rsidRDefault="009A7378" w:rsidP="00AD6B16">
            <w:pPr>
              <w:pStyle w:val="TableText"/>
            </w:pPr>
            <w:r w:rsidRPr="00D63217">
              <w:lastRenderedPageBreak/>
              <w:t>Henry’s law constant</w:t>
            </w:r>
          </w:p>
        </w:tc>
        <w:tc>
          <w:tcPr>
            <w:tcW w:w="7624" w:type="dxa"/>
          </w:tcPr>
          <w:p w14:paraId="65C08E4C" w14:textId="77777777" w:rsidR="009A7378" w:rsidRPr="00D63217" w:rsidRDefault="009A7378" w:rsidP="00AD6B16">
            <w:pPr>
              <w:pStyle w:val="TableText"/>
            </w:pPr>
            <w:r w:rsidRPr="00D63217">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9A7378" w:rsidRPr="00D63217" w14:paraId="3B679CAA" w14:textId="77777777" w:rsidTr="00BF4B43">
        <w:trPr>
          <w:cantSplit/>
        </w:trPr>
        <w:tc>
          <w:tcPr>
            <w:tcW w:w="2014" w:type="dxa"/>
          </w:tcPr>
          <w:p w14:paraId="10BF723D" w14:textId="77777777" w:rsidR="009A7378" w:rsidRPr="00D63217" w:rsidRDefault="009A7378" w:rsidP="00AD6B16">
            <w:pPr>
              <w:pStyle w:val="TableText"/>
            </w:pPr>
            <w:r w:rsidRPr="00D63217">
              <w:t>herbicide</w:t>
            </w:r>
          </w:p>
        </w:tc>
        <w:tc>
          <w:tcPr>
            <w:tcW w:w="7624" w:type="dxa"/>
          </w:tcPr>
          <w:p w14:paraId="1B8E4130" w14:textId="77777777" w:rsidR="009A7378" w:rsidRPr="00D63217" w:rsidRDefault="009A7378" w:rsidP="00AD6B16">
            <w:pPr>
              <w:pStyle w:val="TableText"/>
            </w:pPr>
            <w:r w:rsidRPr="00D63217">
              <w:t>Pesticide used for the control of unwanted plants or weeds</w:t>
            </w:r>
          </w:p>
        </w:tc>
      </w:tr>
      <w:tr w:rsidR="009A7378" w:rsidRPr="00D63217" w14:paraId="01FB6D90" w14:textId="77777777" w:rsidTr="00BF4B43">
        <w:trPr>
          <w:cantSplit/>
        </w:trPr>
        <w:tc>
          <w:tcPr>
            <w:tcW w:w="2014" w:type="dxa"/>
          </w:tcPr>
          <w:p w14:paraId="10F1F183" w14:textId="77777777" w:rsidR="009A7378" w:rsidRPr="00D63217" w:rsidRDefault="009A7378" w:rsidP="00AD6B16">
            <w:pPr>
              <w:pStyle w:val="TableText"/>
            </w:pPr>
            <w:r w:rsidRPr="00D63217">
              <w:t>hydrolysis</w:t>
            </w:r>
          </w:p>
        </w:tc>
        <w:tc>
          <w:tcPr>
            <w:tcW w:w="7624" w:type="dxa"/>
          </w:tcPr>
          <w:p w14:paraId="2CCAFA92" w14:textId="77777777" w:rsidR="009A7378" w:rsidRPr="00D63217" w:rsidRDefault="009A7378" w:rsidP="00AD6B16">
            <w:pPr>
              <w:pStyle w:val="TableText"/>
            </w:pPr>
            <w:r w:rsidRPr="00D63217">
              <w:t>Chemical decomposition induced by water</w:t>
            </w:r>
          </w:p>
        </w:tc>
      </w:tr>
      <w:tr w:rsidR="009A7378" w:rsidRPr="00D63217" w14:paraId="2CFEE63E" w14:textId="77777777" w:rsidTr="00BF4B43">
        <w:trPr>
          <w:cantSplit/>
        </w:trPr>
        <w:tc>
          <w:tcPr>
            <w:tcW w:w="2014" w:type="dxa"/>
          </w:tcPr>
          <w:p w14:paraId="25A6DB78" w14:textId="77777777" w:rsidR="009A7378" w:rsidRPr="00D63217" w:rsidRDefault="009A7378" w:rsidP="00AD6B16">
            <w:pPr>
              <w:pStyle w:val="TableText"/>
            </w:pPr>
            <w:r w:rsidRPr="00D63217">
              <w:t>indicator species</w:t>
            </w:r>
          </w:p>
        </w:tc>
        <w:tc>
          <w:tcPr>
            <w:tcW w:w="7624" w:type="dxa"/>
          </w:tcPr>
          <w:p w14:paraId="0D3E603E" w14:textId="77777777" w:rsidR="009A7378" w:rsidRPr="00D63217" w:rsidRDefault="009A7378" w:rsidP="00AD6B16">
            <w:pPr>
              <w:pStyle w:val="TableText"/>
            </w:pPr>
            <w:r w:rsidRPr="00D63217">
              <w:t>Species whose presence shows the occurrence of defined environmental conditions</w:t>
            </w:r>
          </w:p>
        </w:tc>
      </w:tr>
      <w:tr w:rsidR="005D3EE1" w:rsidRPr="00D63217" w14:paraId="7F6E39C5" w14:textId="77777777" w:rsidTr="00BF4B43">
        <w:trPr>
          <w:cantSplit/>
        </w:trPr>
        <w:tc>
          <w:tcPr>
            <w:tcW w:w="2014" w:type="dxa"/>
          </w:tcPr>
          <w:p w14:paraId="61291C05" w14:textId="558CF287" w:rsidR="005D3EE1" w:rsidRPr="00D63217" w:rsidRDefault="005D3EE1" w:rsidP="005D3EE1">
            <w:pPr>
              <w:pStyle w:val="TableText"/>
            </w:pPr>
            <w:r>
              <w:t>intake</w:t>
            </w:r>
          </w:p>
        </w:tc>
        <w:tc>
          <w:tcPr>
            <w:tcW w:w="7624" w:type="dxa"/>
          </w:tcPr>
          <w:p w14:paraId="0124E4E8" w14:textId="1B410182" w:rsidR="005D3EE1" w:rsidRPr="00D63217" w:rsidRDefault="005D3EE1" w:rsidP="005D3EE1">
            <w:pPr>
              <w:pStyle w:val="TableText"/>
            </w:pPr>
            <w:r>
              <w:t>Process by which a pesticide or agent crosses an outer exposure surface of a target without passing an absorption barrier, i.e., through ingestion or inhalation.</w:t>
            </w:r>
          </w:p>
        </w:tc>
      </w:tr>
      <w:tr w:rsidR="009A7378" w:rsidRPr="00D63217" w14:paraId="396207E8" w14:textId="77777777" w:rsidTr="00BF4B43">
        <w:trPr>
          <w:cantSplit/>
        </w:trPr>
        <w:tc>
          <w:tcPr>
            <w:tcW w:w="2014" w:type="dxa"/>
          </w:tcPr>
          <w:p w14:paraId="49D3A972" w14:textId="77777777" w:rsidR="009A7378" w:rsidRPr="00D63217" w:rsidRDefault="009A7378" w:rsidP="00AD6B16">
            <w:pPr>
              <w:pStyle w:val="TableText"/>
            </w:pPr>
            <w:r w:rsidRPr="00D63217">
              <w:t>integrated pest management</w:t>
            </w:r>
          </w:p>
        </w:tc>
        <w:tc>
          <w:tcPr>
            <w:tcW w:w="7624" w:type="dxa"/>
          </w:tcPr>
          <w:p w14:paraId="58185AD8" w14:textId="77777777" w:rsidR="009A7378" w:rsidRPr="00D63217" w:rsidRDefault="009A7378" w:rsidP="00AD6B16">
            <w:pPr>
              <w:pStyle w:val="TableText"/>
            </w:pPr>
            <w:r w:rsidRPr="00D63217">
              <w:t>Use of pest and environmental information in conjunction with available pest control technologies to prevent unacceptable levels of pest damage by the most economical means and with the least possible hazard to persons, property, and the environment</w:t>
            </w:r>
          </w:p>
        </w:tc>
      </w:tr>
      <w:tr w:rsidR="009A7378" w:rsidRPr="00D63217" w14:paraId="5E01473C" w14:textId="77777777" w:rsidTr="00BF4B43">
        <w:trPr>
          <w:cantSplit/>
        </w:trPr>
        <w:tc>
          <w:tcPr>
            <w:tcW w:w="2014" w:type="dxa"/>
          </w:tcPr>
          <w:p w14:paraId="00D6174B" w14:textId="77777777" w:rsidR="009A7378" w:rsidRPr="00D63217" w:rsidRDefault="009A7378" w:rsidP="00AD6B16">
            <w:pPr>
              <w:pStyle w:val="TableText"/>
            </w:pPr>
            <w:r w:rsidRPr="00D63217">
              <w:t>larva</w:t>
            </w:r>
          </w:p>
        </w:tc>
        <w:tc>
          <w:tcPr>
            <w:tcW w:w="7624" w:type="dxa"/>
          </w:tcPr>
          <w:p w14:paraId="30483AB7" w14:textId="77777777" w:rsidR="009A7378" w:rsidRPr="00D63217" w:rsidRDefault="009A7378" w:rsidP="00AD6B16">
            <w:pPr>
              <w:pStyle w:val="TableText"/>
            </w:pPr>
            <w:r w:rsidRPr="00D63217">
              <w:t>Recently hatched insect, fish, or other organism that has different physical characteristics than those seen in the adult, requiring metamorphosis to reach the adult body structure</w:t>
            </w:r>
          </w:p>
        </w:tc>
      </w:tr>
      <w:tr w:rsidR="005D3EE1" w:rsidRPr="00D63217" w14:paraId="362EA530" w14:textId="77777777" w:rsidTr="00BF4B43">
        <w:trPr>
          <w:cantSplit/>
        </w:trPr>
        <w:tc>
          <w:tcPr>
            <w:tcW w:w="2014" w:type="dxa"/>
          </w:tcPr>
          <w:p w14:paraId="58ADC5C7" w14:textId="5F5570BE" w:rsidR="005D3EE1" w:rsidRPr="00D63217" w:rsidRDefault="005D3EE1" w:rsidP="005D3EE1">
            <w:pPr>
              <w:pStyle w:val="TableText"/>
            </w:pPr>
            <w:r w:rsidRPr="007B476B">
              <w:t>leaching</w:t>
            </w:r>
          </w:p>
        </w:tc>
        <w:tc>
          <w:tcPr>
            <w:tcW w:w="7624" w:type="dxa"/>
          </w:tcPr>
          <w:p w14:paraId="1D894527" w14:textId="6BD31119" w:rsidR="005D3EE1" w:rsidRPr="00D63217" w:rsidRDefault="005D3EE1" w:rsidP="005D3EE1">
            <w:pPr>
              <w:pStyle w:val="TableText"/>
            </w:pPr>
            <w:r w:rsidRPr="007B476B">
              <w:t>Downward movement of pesticides into a soil profile with soil water</w:t>
            </w:r>
            <w:r>
              <w:t>.</w:t>
            </w:r>
          </w:p>
        </w:tc>
      </w:tr>
      <w:tr w:rsidR="009A7378" w:rsidRPr="00D63217" w14:paraId="0C09A542" w14:textId="77777777" w:rsidTr="00BF4B43">
        <w:trPr>
          <w:cantSplit/>
        </w:trPr>
        <w:tc>
          <w:tcPr>
            <w:tcW w:w="2014" w:type="dxa"/>
          </w:tcPr>
          <w:p w14:paraId="7216BC72" w14:textId="77777777" w:rsidR="009A7378" w:rsidRPr="00D63217" w:rsidRDefault="009A7378" w:rsidP="00AD6B16">
            <w:pPr>
              <w:pStyle w:val="TableText"/>
            </w:pPr>
            <w:r w:rsidRPr="00D63217">
              <w:t>median effective concentration</w:t>
            </w:r>
          </w:p>
        </w:tc>
        <w:tc>
          <w:tcPr>
            <w:tcW w:w="7624" w:type="dxa"/>
          </w:tcPr>
          <w:p w14:paraId="6D485C4B" w14:textId="77777777" w:rsidR="009A7378" w:rsidRPr="00D63217" w:rsidRDefault="009A7378" w:rsidP="00AD6B16">
            <w:pPr>
              <w:pStyle w:val="TableText"/>
            </w:pPr>
            <w:r w:rsidRPr="00D63217">
              <w:t>Statistically derived concentration of a pesticide in an environmental medium expected to produce a certain effect in 50 % of the test organisms in a given population under defined conditions</w:t>
            </w:r>
          </w:p>
        </w:tc>
      </w:tr>
      <w:tr w:rsidR="009A7378" w:rsidRPr="00D63217" w14:paraId="621D4161" w14:textId="77777777" w:rsidTr="00BF4B43">
        <w:trPr>
          <w:cantSplit/>
        </w:trPr>
        <w:tc>
          <w:tcPr>
            <w:tcW w:w="2014" w:type="dxa"/>
          </w:tcPr>
          <w:p w14:paraId="691579C4" w14:textId="77777777" w:rsidR="009A7378" w:rsidRPr="00D63217" w:rsidRDefault="009A7378" w:rsidP="00AD6B16">
            <w:pPr>
              <w:pStyle w:val="TableText"/>
            </w:pPr>
            <w:r w:rsidRPr="00D63217">
              <w:t>median lethal concentration</w:t>
            </w:r>
          </w:p>
        </w:tc>
        <w:tc>
          <w:tcPr>
            <w:tcW w:w="7624" w:type="dxa"/>
          </w:tcPr>
          <w:p w14:paraId="77ED3528" w14:textId="77777777" w:rsidR="009A7378" w:rsidRPr="00D63217" w:rsidRDefault="009A7378" w:rsidP="00AD6B16">
            <w:pPr>
              <w:pStyle w:val="TableText"/>
            </w:pPr>
            <w:r w:rsidRPr="00D63217">
              <w:t>Statistically derived concentration of a substance in an environmental medium expected to kill 50 % of test organisms in a given population under defined conditions</w:t>
            </w:r>
          </w:p>
        </w:tc>
      </w:tr>
      <w:tr w:rsidR="009A7378" w:rsidRPr="00D63217" w14:paraId="2953A8A0" w14:textId="77777777" w:rsidTr="00BF4B43">
        <w:trPr>
          <w:cantSplit/>
        </w:trPr>
        <w:tc>
          <w:tcPr>
            <w:tcW w:w="2014" w:type="dxa"/>
          </w:tcPr>
          <w:p w14:paraId="17621E34" w14:textId="77777777" w:rsidR="009A7378" w:rsidRPr="00D63217" w:rsidRDefault="009A7378" w:rsidP="00AD6B16">
            <w:pPr>
              <w:pStyle w:val="TableText"/>
            </w:pPr>
            <w:r w:rsidRPr="00D63217">
              <w:t>metabolite</w:t>
            </w:r>
          </w:p>
        </w:tc>
        <w:tc>
          <w:tcPr>
            <w:tcW w:w="7624" w:type="dxa"/>
          </w:tcPr>
          <w:p w14:paraId="2A2D5CF3" w14:textId="77777777" w:rsidR="009A7378" w:rsidRPr="00D63217" w:rsidRDefault="009A7378" w:rsidP="00AD6B16">
            <w:pPr>
              <w:pStyle w:val="TableText"/>
            </w:pPr>
            <w:r w:rsidRPr="00D63217">
              <w:t>Any intermediate or product resulting from metabolism</w:t>
            </w:r>
          </w:p>
        </w:tc>
      </w:tr>
      <w:tr w:rsidR="009A7378" w:rsidRPr="00D63217" w14:paraId="4D51C7E9" w14:textId="77777777" w:rsidTr="00BF4B43">
        <w:trPr>
          <w:cantSplit/>
        </w:trPr>
        <w:tc>
          <w:tcPr>
            <w:tcW w:w="2014" w:type="dxa"/>
          </w:tcPr>
          <w:p w14:paraId="0978CD82" w14:textId="77777777" w:rsidR="009A7378" w:rsidRPr="00D63217" w:rsidRDefault="009A7378" w:rsidP="00AD6B16">
            <w:pPr>
              <w:pStyle w:val="TableText"/>
            </w:pPr>
            <w:r w:rsidRPr="00D63217">
              <w:t>mineralisation</w:t>
            </w:r>
          </w:p>
        </w:tc>
        <w:tc>
          <w:tcPr>
            <w:tcW w:w="7624" w:type="dxa"/>
          </w:tcPr>
          <w:p w14:paraId="7A709D5C" w14:textId="77777777" w:rsidR="009A7378" w:rsidRPr="00D63217" w:rsidRDefault="009A7378" w:rsidP="00AD6B16">
            <w:pPr>
              <w:pStyle w:val="TableText"/>
            </w:pPr>
            <w:r w:rsidRPr="00D63217">
              <w:t>Conversion of an element from an organic form to an inorganic form. Mineralisation of pesticides most commonly refers to the microbial degradation to carbon dioxide as a terminal metabolite</w:t>
            </w:r>
          </w:p>
        </w:tc>
      </w:tr>
      <w:tr w:rsidR="009A7378" w:rsidRPr="00D63217" w14:paraId="07928BBC" w14:textId="77777777" w:rsidTr="00BF4B43">
        <w:trPr>
          <w:cantSplit/>
        </w:trPr>
        <w:tc>
          <w:tcPr>
            <w:tcW w:w="2014" w:type="dxa"/>
          </w:tcPr>
          <w:p w14:paraId="556F084A" w14:textId="77777777" w:rsidR="009A7378" w:rsidRPr="00D63217" w:rsidRDefault="009A7378" w:rsidP="00AD6B16">
            <w:pPr>
              <w:pStyle w:val="TableText"/>
            </w:pPr>
            <w:r w:rsidRPr="00D63217">
              <w:t>mode of action</w:t>
            </w:r>
          </w:p>
        </w:tc>
        <w:tc>
          <w:tcPr>
            <w:tcW w:w="7624" w:type="dxa"/>
          </w:tcPr>
          <w:p w14:paraId="1F9DE623" w14:textId="77777777" w:rsidR="009A7378" w:rsidRPr="00D63217" w:rsidRDefault="009A7378" w:rsidP="00AD6B16">
            <w:pPr>
              <w:pStyle w:val="TableText"/>
            </w:pPr>
            <w:r w:rsidRPr="00D63217">
              <w:t>Biochemical effect that occurs at the lowest dose or concentration or is the earliest among a number of biochemical effects that could, understandably, lead to the death of the pest</w:t>
            </w:r>
          </w:p>
        </w:tc>
      </w:tr>
      <w:tr w:rsidR="009A7378" w:rsidRPr="00D63217" w14:paraId="607B43C8" w14:textId="77777777" w:rsidTr="00BF4B43">
        <w:trPr>
          <w:cantSplit/>
        </w:trPr>
        <w:tc>
          <w:tcPr>
            <w:tcW w:w="2014" w:type="dxa"/>
          </w:tcPr>
          <w:p w14:paraId="1C07558F" w14:textId="77777777" w:rsidR="009A7378" w:rsidRPr="00D63217" w:rsidRDefault="009A7378" w:rsidP="00AD6B16">
            <w:pPr>
              <w:pStyle w:val="TableText"/>
            </w:pPr>
            <w:r w:rsidRPr="00D63217">
              <w:t>no observed effect level</w:t>
            </w:r>
          </w:p>
        </w:tc>
        <w:tc>
          <w:tcPr>
            <w:tcW w:w="7624" w:type="dxa"/>
          </w:tcPr>
          <w:p w14:paraId="606A1382" w14:textId="77777777" w:rsidR="009A7378" w:rsidRPr="00D63217" w:rsidRDefault="009A7378" w:rsidP="00AD6B16">
            <w:pPr>
              <w:pStyle w:val="TableText"/>
            </w:pPr>
            <w:r w:rsidRPr="00D63217">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9A7378" w:rsidRPr="00D63217" w14:paraId="2139F4D2" w14:textId="77777777" w:rsidTr="00BF4B43">
        <w:trPr>
          <w:cantSplit/>
        </w:trPr>
        <w:tc>
          <w:tcPr>
            <w:tcW w:w="2014" w:type="dxa"/>
          </w:tcPr>
          <w:p w14:paraId="73E43C86" w14:textId="77777777" w:rsidR="009A7378" w:rsidRPr="00D63217" w:rsidRDefault="009A7378" w:rsidP="00AD6B16">
            <w:pPr>
              <w:pStyle w:val="TableText"/>
            </w:pPr>
            <w:r w:rsidRPr="00D63217">
              <w:t>non-selective herbicide</w:t>
            </w:r>
          </w:p>
        </w:tc>
        <w:tc>
          <w:tcPr>
            <w:tcW w:w="7624" w:type="dxa"/>
          </w:tcPr>
          <w:p w14:paraId="15F2DDF6" w14:textId="77777777" w:rsidR="009A7378" w:rsidRPr="00D63217" w:rsidRDefault="009A7378" w:rsidP="00AD6B16">
            <w:pPr>
              <w:pStyle w:val="TableText"/>
            </w:pPr>
            <w:r w:rsidRPr="00D63217">
              <w:t>Herbicide that is generally toxic to all plants treated</w:t>
            </w:r>
          </w:p>
        </w:tc>
      </w:tr>
      <w:tr w:rsidR="009A7378" w:rsidRPr="00D63217" w14:paraId="7ED805D0" w14:textId="77777777" w:rsidTr="00BF4B43">
        <w:trPr>
          <w:cantSplit/>
        </w:trPr>
        <w:tc>
          <w:tcPr>
            <w:tcW w:w="2014" w:type="dxa"/>
          </w:tcPr>
          <w:p w14:paraId="4771D695" w14:textId="77777777" w:rsidR="009A7378" w:rsidRPr="00D63217" w:rsidRDefault="009A7378" w:rsidP="00AD6B16">
            <w:pPr>
              <w:pStyle w:val="TableText"/>
            </w:pPr>
            <w:r w:rsidRPr="00D63217">
              <w:t>non-target species</w:t>
            </w:r>
          </w:p>
        </w:tc>
        <w:tc>
          <w:tcPr>
            <w:tcW w:w="7624" w:type="dxa"/>
          </w:tcPr>
          <w:p w14:paraId="7541F81A" w14:textId="77777777" w:rsidR="009A7378" w:rsidRPr="00D63217" w:rsidRDefault="009A7378" w:rsidP="00AD6B16">
            <w:pPr>
              <w:pStyle w:val="TableText"/>
            </w:pPr>
            <w:r w:rsidRPr="00D63217">
              <w:t>Organisms that are not the intended targets of a particular use of a pesticide</w:t>
            </w:r>
          </w:p>
        </w:tc>
      </w:tr>
      <w:tr w:rsidR="009A7378" w:rsidRPr="00D63217" w14:paraId="4DE1E5D0" w14:textId="77777777" w:rsidTr="00BF4B43">
        <w:trPr>
          <w:cantSplit/>
        </w:trPr>
        <w:tc>
          <w:tcPr>
            <w:tcW w:w="2014" w:type="dxa"/>
          </w:tcPr>
          <w:p w14:paraId="4063ECE1" w14:textId="77777777" w:rsidR="009A7378" w:rsidRPr="00D63217" w:rsidRDefault="009A7378" w:rsidP="00AD6B16">
            <w:pPr>
              <w:pStyle w:val="TableText"/>
            </w:pPr>
            <w:r w:rsidRPr="00D63217">
              <w:t>partition coefficient</w:t>
            </w:r>
          </w:p>
        </w:tc>
        <w:tc>
          <w:tcPr>
            <w:tcW w:w="7624" w:type="dxa"/>
          </w:tcPr>
          <w:p w14:paraId="5483585E" w14:textId="77777777" w:rsidR="009A7378" w:rsidRPr="00D63217" w:rsidRDefault="009A7378" w:rsidP="00AD6B16">
            <w:pPr>
              <w:pStyle w:val="TableText"/>
            </w:pPr>
            <w:r w:rsidRPr="00D63217">
              <w:t>log Pow is the logarithm (base-10) of the partition coefficient between n-octanol and water</w:t>
            </w:r>
          </w:p>
        </w:tc>
      </w:tr>
      <w:tr w:rsidR="009A7378" w:rsidRPr="00D63217" w14:paraId="0AB655AA" w14:textId="77777777" w:rsidTr="00BF4B43">
        <w:trPr>
          <w:cantSplit/>
        </w:trPr>
        <w:tc>
          <w:tcPr>
            <w:tcW w:w="2014" w:type="dxa"/>
          </w:tcPr>
          <w:p w14:paraId="6E3A4A54" w14:textId="77777777" w:rsidR="009A7378" w:rsidRPr="00D63217" w:rsidRDefault="009A7378" w:rsidP="00AD6B16">
            <w:pPr>
              <w:pStyle w:val="TableText"/>
            </w:pPr>
            <w:r w:rsidRPr="00D63217">
              <w:t>persistence</w:t>
            </w:r>
          </w:p>
        </w:tc>
        <w:tc>
          <w:tcPr>
            <w:tcW w:w="7624" w:type="dxa"/>
          </w:tcPr>
          <w:p w14:paraId="4D427CB0" w14:textId="77777777" w:rsidR="009A7378" w:rsidRPr="00D63217" w:rsidRDefault="009A7378" w:rsidP="00AD6B16">
            <w:pPr>
              <w:pStyle w:val="TableText"/>
            </w:pPr>
            <w:r w:rsidRPr="00D63217">
              <w:t>Residence time of a chemical species (pesticide and/or metabolites) subjected to degradation or physical removal in a soil, crop, animal, or other defined environmental compartment</w:t>
            </w:r>
          </w:p>
        </w:tc>
      </w:tr>
      <w:tr w:rsidR="009A7378" w:rsidRPr="00D63217" w14:paraId="04777B7A" w14:textId="77777777" w:rsidTr="00BF4B43">
        <w:trPr>
          <w:cantSplit/>
        </w:trPr>
        <w:tc>
          <w:tcPr>
            <w:tcW w:w="2014" w:type="dxa"/>
          </w:tcPr>
          <w:p w14:paraId="1001198D" w14:textId="77777777" w:rsidR="009A7378" w:rsidRPr="00D63217" w:rsidRDefault="009A7378" w:rsidP="00AD6B16">
            <w:pPr>
              <w:pStyle w:val="TableText"/>
            </w:pPr>
            <w:r w:rsidRPr="00D63217">
              <w:lastRenderedPageBreak/>
              <w:t>photolysis</w:t>
            </w:r>
          </w:p>
        </w:tc>
        <w:tc>
          <w:tcPr>
            <w:tcW w:w="7624" w:type="dxa"/>
          </w:tcPr>
          <w:p w14:paraId="153DF1F2" w14:textId="77777777" w:rsidR="009A7378" w:rsidRPr="00D63217" w:rsidRDefault="009A7378" w:rsidP="00AD6B16">
            <w:pPr>
              <w:pStyle w:val="TableText"/>
            </w:pPr>
            <w:r w:rsidRPr="00D63217">
              <w:t>Chemical decomposition induced by light or other radiant energy</w:t>
            </w:r>
          </w:p>
        </w:tc>
      </w:tr>
      <w:tr w:rsidR="009A7378" w:rsidRPr="00D63217" w14:paraId="11E3A994" w14:textId="77777777" w:rsidTr="00BF4B43">
        <w:trPr>
          <w:cantSplit/>
        </w:trPr>
        <w:tc>
          <w:tcPr>
            <w:tcW w:w="2014" w:type="dxa"/>
          </w:tcPr>
          <w:p w14:paraId="76C8B163" w14:textId="77777777" w:rsidR="009A7378" w:rsidRPr="00D63217" w:rsidRDefault="009A7378" w:rsidP="00AD6B16">
            <w:pPr>
              <w:pStyle w:val="TableText"/>
            </w:pPr>
            <w:r w:rsidRPr="00D63217">
              <w:t>regulatory acceptable level</w:t>
            </w:r>
          </w:p>
        </w:tc>
        <w:tc>
          <w:tcPr>
            <w:tcW w:w="7624" w:type="dxa"/>
          </w:tcPr>
          <w:p w14:paraId="0C4A1A67" w14:textId="77777777" w:rsidR="009A7378" w:rsidRPr="00D63217" w:rsidRDefault="009A7378" w:rsidP="00AD6B16">
            <w:pPr>
              <w:pStyle w:val="TableText"/>
            </w:pPr>
            <w:r w:rsidRPr="00D63217">
              <w:t>Criterion or standard that is considered safe or without appreciable risk</w:t>
            </w:r>
          </w:p>
        </w:tc>
      </w:tr>
      <w:tr w:rsidR="009A7378" w:rsidRPr="00D63217" w14:paraId="7EF78408" w14:textId="77777777" w:rsidTr="00BF4B43">
        <w:trPr>
          <w:cantSplit/>
        </w:trPr>
        <w:tc>
          <w:tcPr>
            <w:tcW w:w="2014" w:type="dxa"/>
          </w:tcPr>
          <w:p w14:paraId="65ED432B" w14:textId="77777777" w:rsidR="009A7378" w:rsidRPr="00D63217" w:rsidRDefault="009A7378" w:rsidP="00AD6B16">
            <w:pPr>
              <w:pStyle w:val="TableText"/>
            </w:pPr>
            <w:r w:rsidRPr="00D63217">
              <w:t>runoff</w:t>
            </w:r>
          </w:p>
        </w:tc>
        <w:tc>
          <w:tcPr>
            <w:tcW w:w="7624" w:type="dxa"/>
          </w:tcPr>
          <w:p w14:paraId="5A36AF7F" w14:textId="77777777" w:rsidR="009A7378" w:rsidRPr="00D63217" w:rsidRDefault="009A7378" w:rsidP="00AD6B16">
            <w:pPr>
              <w:pStyle w:val="TableText"/>
            </w:pPr>
            <w:r w:rsidRPr="00D63217">
              <w:t>Portion of the wet precipitation on the land that ultimately reaches streams and, eventually, the sea</w:t>
            </w:r>
          </w:p>
        </w:tc>
      </w:tr>
      <w:tr w:rsidR="009A7378" w:rsidRPr="00D63217" w14:paraId="5D61AD2F" w14:textId="77777777" w:rsidTr="00BF4B43">
        <w:trPr>
          <w:cantSplit/>
        </w:trPr>
        <w:tc>
          <w:tcPr>
            <w:tcW w:w="2014" w:type="dxa"/>
          </w:tcPr>
          <w:p w14:paraId="7891327F" w14:textId="77777777" w:rsidR="009A7378" w:rsidRPr="00D63217" w:rsidRDefault="009A7378" w:rsidP="00AD6B16">
            <w:pPr>
              <w:pStyle w:val="TableText"/>
            </w:pPr>
            <w:r w:rsidRPr="00D63217">
              <w:t>soil incorporation</w:t>
            </w:r>
          </w:p>
        </w:tc>
        <w:tc>
          <w:tcPr>
            <w:tcW w:w="7624" w:type="dxa"/>
          </w:tcPr>
          <w:p w14:paraId="754B1B42" w14:textId="77777777" w:rsidR="009A7378" w:rsidRPr="00D63217" w:rsidRDefault="009A7378" w:rsidP="00AD6B16">
            <w:pPr>
              <w:pStyle w:val="TableText"/>
            </w:pPr>
            <w:r w:rsidRPr="00D63217">
              <w:t>Application of a pesticide to soil by mixing or injection into the soil body</w:t>
            </w:r>
          </w:p>
        </w:tc>
      </w:tr>
      <w:tr w:rsidR="009A7378" w:rsidRPr="00D63217" w14:paraId="3A69052B" w14:textId="77777777" w:rsidTr="00BF4B43">
        <w:trPr>
          <w:cantSplit/>
        </w:trPr>
        <w:tc>
          <w:tcPr>
            <w:tcW w:w="2014" w:type="dxa"/>
          </w:tcPr>
          <w:p w14:paraId="073DC7CF" w14:textId="77777777" w:rsidR="009A7378" w:rsidRPr="00D63217" w:rsidRDefault="009A7378" w:rsidP="00AD6B16">
            <w:pPr>
              <w:pStyle w:val="TableText"/>
            </w:pPr>
            <w:r w:rsidRPr="00D63217">
              <w:t>solubility in water</w:t>
            </w:r>
          </w:p>
        </w:tc>
        <w:tc>
          <w:tcPr>
            <w:tcW w:w="7624" w:type="dxa"/>
          </w:tcPr>
          <w:p w14:paraId="6826FA9B" w14:textId="77777777" w:rsidR="009A7378" w:rsidRPr="00D63217" w:rsidRDefault="009A7378" w:rsidP="00AD6B16">
            <w:pPr>
              <w:pStyle w:val="TableText"/>
            </w:pPr>
            <w:r w:rsidRPr="00D63217">
              <w:t>The mass of a given substance (the solute) that can dissolve in a given volume of water</w:t>
            </w:r>
          </w:p>
        </w:tc>
      </w:tr>
      <w:tr w:rsidR="009A7378" w:rsidRPr="00D63217" w14:paraId="3CC31E4A" w14:textId="77777777" w:rsidTr="00BF4B43">
        <w:trPr>
          <w:cantSplit/>
        </w:trPr>
        <w:tc>
          <w:tcPr>
            <w:tcW w:w="2014" w:type="dxa"/>
          </w:tcPr>
          <w:p w14:paraId="69F81BEF" w14:textId="77777777" w:rsidR="009A7378" w:rsidRPr="00D63217" w:rsidRDefault="009A7378" w:rsidP="00AD6B16">
            <w:pPr>
              <w:pStyle w:val="TableText"/>
            </w:pPr>
            <w:r w:rsidRPr="00D63217">
              <w:t>soluble concentrate</w:t>
            </w:r>
          </w:p>
        </w:tc>
        <w:tc>
          <w:tcPr>
            <w:tcW w:w="7624" w:type="dxa"/>
          </w:tcPr>
          <w:p w14:paraId="6E548D71" w14:textId="77777777" w:rsidR="009A7378" w:rsidRPr="00D63217" w:rsidRDefault="009A7378" w:rsidP="00AD6B16">
            <w:pPr>
              <w:pStyle w:val="TableText"/>
            </w:pPr>
            <w:r w:rsidRPr="00D63217">
              <w:t>A liquid homogenous preparation to be applied as a true solution of the active constituent after dilution with water</w:t>
            </w:r>
          </w:p>
        </w:tc>
      </w:tr>
      <w:tr w:rsidR="009A7378" w:rsidRPr="00D63217" w14:paraId="5CE9F5AE" w14:textId="77777777" w:rsidTr="00BF4B43">
        <w:trPr>
          <w:cantSplit/>
        </w:trPr>
        <w:tc>
          <w:tcPr>
            <w:tcW w:w="2014" w:type="dxa"/>
          </w:tcPr>
          <w:p w14:paraId="246DC8A3" w14:textId="77777777" w:rsidR="009A7378" w:rsidRPr="00D63217" w:rsidRDefault="009A7378" w:rsidP="00AD6B16">
            <w:pPr>
              <w:pStyle w:val="TableText"/>
            </w:pPr>
            <w:r w:rsidRPr="00D63217">
              <w:t>strong adsorption capacity – wheat bioassay</w:t>
            </w:r>
          </w:p>
        </w:tc>
        <w:tc>
          <w:tcPr>
            <w:tcW w:w="7624" w:type="dxa"/>
          </w:tcPr>
          <w:p w14:paraId="22B6E132" w14:textId="20C3D60A" w:rsidR="009A7378" w:rsidRPr="00D63217" w:rsidRDefault="005D3EE1" w:rsidP="00AD6B16">
            <w:pPr>
              <w:pStyle w:val="TableText"/>
            </w:pPr>
            <w:r w:rsidRPr="00BB7026">
              <w:t>A system of calibration by laboratory bioassay for the capacity of a soil to deactivate paraquat by adsorption. Measured as the soil concentration (mg cation/kg dry soil) at which 50% reduced root growth is observed in wheat seedlings. This is approximately equivalent to the soil concentration which, at equilibrium, results in a soil pore water concentration of 0.01 mg/L.</w:t>
            </w:r>
          </w:p>
        </w:tc>
      </w:tr>
      <w:tr w:rsidR="009A7378" w:rsidRPr="00D63217" w14:paraId="006077DE" w14:textId="77777777" w:rsidTr="00BF4B43">
        <w:trPr>
          <w:cantSplit/>
        </w:trPr>
        <w:tc>
          <w:tcPr>
            <w:tcW w:w="2014" w:type="dxa"/>
          </w:tcPr>
          <w:p w14:paraId="16830F19" w14:textId="77777777" w:rsidR="009A7378" w:rsidRPr="00D63217" w:rsidRDefault="009A7378" w:rsidP="00AD6B16">
            <w:pPr>
              <w:pStyle w:val="TableText"/>
            </w:pPr>
            <w:r w:rsidRPr="00D63217">
              <w:t>terrestrial</w:t>
            </w:r>
          </w:p>
        </w:tc>
        <w:tc>
          <w:tcPr>
            <w:tcW w:w="7624" w:type="dxa"/>
          </w:tcPr>
          <w:p w14:paraId="3CE6E15D" w14:textId="77777777" w:rsidR="009A7378" w:rsidRPr="00D63217" w:rsidRDefault="009A7378" w:rsidP="00AD6B16">
            <w:pPr>
              <w:pStyle w:val="TableText"/>
            </w:pPr>
            <w:r w:rsidRPr="00D63217">
              <w:t>Relating to land, as distinct from water or air</w:t>
            </w:r>
          </w:p>
        </w:tc>
      </w:tr>
      <w:tr w:rsidR="009A7378" w:rsidRPr="00D63217" w14:paraId="2D633326" w14:textId="77777777" w:rsidTr="00BF4B43">
        <w:trPr>
          <w:cantSplit/>
        </w:trPr>
        <w:tc>
          <w:tcPr>
            <w:tcW w:w="2014" w:type="dxa"/>
          </w:tcPr>
          <w:p w14:paraId="0FE33347" w14:textId="77777777" w:rsidR="009A7378" w:rsidRPr="00D63217" w:rsidRDefault="009A7378" w:rsidP="00AD6B16">
            <w:pPr>
              <w:pStyle w:val="TableText"/>
            </w:pPr>
            <w:r w:rsidRPr="00D63217">
              <w:t>translocation</w:t>
            </w:r>
          </w:p>
        </w:tc>
        <w:tc>
          <w:tcPr>
            <w:tcW w:w="7624" w:type="dxa"/>
          </w:tcPr>
          <w:p w14:paraId="1A32E40B" w14:textId="77777777" w:rsidR="009A7378" w:rsidRPr="00D63217" w:rsidRDefault="009A7378" w:rsidP="00AD6B16">
            <w:pPr>
              <w:pStyle w:val="TableText"/>
            </w:pPr>
            <w:r w:rsidRPr="00D63217">
              <w:t>Movement of a substance within the test system or organism</w:t>
            </w:r>
          </w:p>
        </w:tc>
      </w:tr>
      <w:tr w:rsidR="009A7378" w:rsidRPr="00D63217" w14:paraId="35341A4B" w14:textId="77777777" w:rsidTr="00BF4B43">
        <w:trPr>
          <w:cantSplit/>
        </w:trPr>
        <w:tc>
          <w:tcPr>
            <w:tcW w:w="2014" w:type="dxa"/>
          </w:tcPr>
          <w:p w14:paraId="51AE0AD5" w14:textId="77777777" w:rsidR="009A7378" w:rsidRPr="00D63217" w:rsidRDefault="009A7378" w:rsidP="00AD6B16">
            <w:pPr>
              <w:pStyle w:val="TableText"/>
            </w:pPr>
            <w:r w:rsidRPr="00D63217">
              <w:t>vapour pressure</w:t>
            </w:r>
          </w:p>
        </w:tc>
        <w:tc>
          <w:tcPr>
            <w:tcW w:w="7624" w:type="dxa"/>
          </w:tcPr>
          <w:p w14:paraId="1CE26B1E" w14:textId="77777777" w:rsidR="009A7378" w:rsidRPr="00D63217" w:rsidRDefault="009A7378" w:rsidP="00AD6B16">
            <w:pPr>
              <w:pStyle w:val="TableText"/>
            </w:pPr>
            <w:r w:rsidRPr="00D63217">
              <w:t>The pressure at which a liquid is in equilibrium with its vapour at a given temperature. It is a measure of the tendency of a material to vaporise. The higher the vapour pressure the greater the potential</w:t>
            </w:r>
          </w:p>
        </w:tc>
      </w:tr>
      <w:tr w:rsidR="009A7378" w:rsidRPr="00D63217" w14:paraId="685DDA9A" w14:textId="77777777" w:rsidTr="00BF4B43">
        <w:trPr>
          <w:cantSplit/>
        </w:trPr>
        <w:tc>
          <w:tcPr>
            <w:tcW w:w="2014" w:type="dxa"/>
          </w:tcPr>
          <w:p w14:paraId="2AE17229" w14:textId="77777777" w:rsidR="009A7378" w:rsidRPr="00D63217" w:rsidRDefault="009A7378" w:rsidP="00AD6B16">
            <w:pPr>
              <w:pStyle w:val="TableText"/>
            </w:pPr>
            <w:r w:rsidRPr="00D63217">
              <w:t>volatile</w:t>
            </w:r>
          </w:p>
        </w:tc>
        <w:tc>
          <w:tcPr>
            <w:tcW w:w="7624" w:type="dxa"/>
          </w:tcPr>
          <w:p w14:paraId="25E54A3D" w14:textId="77777777" w:rsidR="009A7378" w:rsidRPr="00D63217" w:rsidRDefault="009A7378" w:rsidP="00AD6B16">
            <w:pPr>
              <w:pStyle w:val="TableText"/>
            </w:pPr>
            <w:r w:rsidRPr="00D63217">
              <w:t>Any substance which evaporates quickly</w:t>
            </w:r>
          </w:p>
        </w:tc>
      </w:tr>
      <w:tr w:rsidR="009A7378" w:rsidRPr="00D63217" w14:paraId="145A45E4" w14:textId="77777777" w:rsidTr="00BF4B43">
        <w:trPr>
          <w:cantSplit/>
        </w:trPr>
        <w:tc>
          <w:tcPr>
            <w:tcW w:w="2014" w:type="dxa"/>
          </w:tcPr>
          <w:p w14:paraId="73983AFB" w14:textId="77777777" w:rsidR="009A7378" w:rsidRPr="00D63217" w:rsidRDefault="009A7378" w:rsidP="00AD6B16">
            <w:pPr>
              <w:pStyle w:val="TableText"/>
            </w:pPr>
            <w:r w:rsidRPr="00D63217">
              <w:t>watercourse</w:t>
            </w:r>
          </w:p>
        </w:tc>
        <w:tc>
          <w:tcPr>
            <w:tcW w:w="7624" w:type="dxa"/>
          </w:tcPr>
          <w:p w14:paraId="321BA4BF" w14:textId="77777777" w:rsidR="009A7378" w:rsidRPr="00D63217" w:rsidRDefault="009A7378" w:rsidP="00AD6B16">
            <w:pPr>
              <w:pStyle w:val="TableText"/>
            </w:pPr>
            <w:r w:rsidRPr="00D63217">
              <w:t>A river, creek or other natural watercourse (whether modified or not) in which water is contained or flows (whether permanently or from time to time); and includes:</w:t>
            </w:r>
          </w:p>
          <w:p w14:paraId="698C0D13" w14:textId="77777777" w:rsidR="009A7378" w:rsidRPr="00D63217" w:rsidRDefault="009A7378" w:rsidP="00AD6B16">
            <w:pPr>
              <w:pStyle w:val="TableText"/>
            </w:pPr>
            <w:r w:rsidRPr="00D63217">
              <w:t>a dam or reservoir that collects water flowing in a watercourse</w:t>
            </w:r>
          </w:p>
          <w:p w14:paraId="3CDE7C00" w14:textId="77777777" w:rsidR="009A7378" w:rsidRPr="00D63217" w:rsidRDefault="009A7378" w:rsidP="00AD6B16">
            <w:pPr>
              <w:pStyle w:val="TableText"/>
            </w:pPr>
            <w:r w:rsidRPr="00D63217">
              <w:t>a lake or ‘wetland’ through which water flows</w:t>
            </w:r>
          </w:p>
          <w:p w14:paraId="3E47EDA2" w14:textId="77777777" w:rsidR="009A7378" w:rsidRPr="00D63217" w:rsidRDefault="009A7378" w:rsidP="00AD6B16">
            <w:pPr>
              <w:pStyle w:val="TableText"/>
            </w:pPr>
            <w:r w:rsidRPr="00D63217">
              <w:t>a channel into which the water of a watercourse has been diverted</w:t>
            </w:r>
          </w:p>
          <w:p w14:paraId="68742D53" w14:textId="77777777" w:rsidR="009A7378" w:rsidRPr="00D63217" w:rsidRDefault="009A7378" w:rsidP="00AD6B16">
            <w:pPr>
              <w:pStyle w:val="TableText"/>
            </w:pPr>
            <w:r w:rsidRPr="00D63217">
              <w:t>part of a watercourse</w:t>
            </w:r>
          </w:p>
          <w:p w14:paraId="4BFBC250" w14:textId="77777777" w:rsidR="009A7378" w:rsidRPr="00D63217" w:rsidRDefault="009A7378" w:rsidP="00AD6B16">
            <w:pPr>
              <w:pStyle w:val="TableText"/>
            </w:pPr>
            <w:r w:rsidRPr="00D63217">
              <w:t>an estuary through which water flows.</w:t>
            </w:r>
          </w:p>
        </w:tc>
      </w:tr>
      <w:tr w:rsidR="009A7378" w:rsidRPr="00D63217" w14:paraId="4089A387" w14:textId="77777777" w:rsidTr="00BF4B43">
        <w:trPr>
          <w:cantSplit/>
        </w:trPr>
        <w:tc>
          <w:tcPr>
            <w:tcW w:w="2014" w:type="dxa"/>
          </w:tcPr>
          <w:p w14:paraId="6637F299" w14:textId="77777777" w:rsidR="009A7378" w:rsidRPr="00D63217" w:rsidRDefault="009A7378" w:rsidP="00AD6B16">
            <w:pPr>
              <w:pStyle w:val="TableText"/>
            </w:pPr>
            <w:r w:rsidRPr="00D63217">
              <w:t>wetland</w:t>
            </w:r>
          </w:p>
        </w:tc>
        <w:tc>
          <w:tcPr>
            <w:tcW w:w="7624" w:type="dxa"/>
          </w:tcPr>
          <w:p w14:paraId="0B62CF52" w14:textId="77777777" w:rsidR="009A7378" w:rsidRPr="00D63217" w:rsidRDefault="009A7378" w:rsidP="00AD6B16">
            <w:pPr>
              <w:pStyle w:val="TableText"/>
            </w:pPr>
            <w:r w:rsidRPr="00D63217">
              <w:t>An area of land where water covers the soil—all year or just at certain times of the year. They include:</w:t>
            </w:r>
          </w:p>
          <w:p w14:paraId="68B83A4E" w14:textId="77777777" w:rsidR="009A7378" w:rsidRPr="00D63217" w:rsidRDefault="009A7378" w:rsidP="00AD6B16">
            <w:pPr>
              <w:pStyle w:val="TableText"/>
            </w:pPr>
            <w:r w:rsidRPr="00D63217">
              <w:t>swamps, marshes</w:t>
            </w:r>
          </w:p>
          <w:p w14:paraId="7EA1A10B" w14:textId="77777777" w:rsidR="009A7378" w:rsidRPr="00D63217" w:rsidRDefault="009A7378" w:rsidP="00AD6B16">
            <w:pPr>
              <w:pStyle w:val="TableText"/>
            </w:pPr>
            <w:r w:rsidRPr="00D63217">
              <w:t>billabongs, lakes, lagoons</w:t>
            </w:r>
          </w:p>
          <w:p w14:paraId="19AC139E" w14:textId="77777777" w:rsidR="009A7378" w:rsidRPr="00D63217" w:rsidRDefault="009A7378" w:rsidP="00AD6B16">
            <w:pPr>
              <w:pStyle w:val="TableText"/>
            </w:pPr>
            <w:r w:rsidRPr="00D63217">
              <w:t>saltmarshes, mudflats</w:t>
            </w:r>
          </w:p>
          <w:p w14:paraId="7979482C" w14:textId="77777777" w:rsidR="009A7378" w:rsidRPr="00D63217" w:rsidRDefault="009A7378" w:rsidP="00AD6B16">
            <w:pPr>
              <w:pStyle w:val="TableText"/>
            </w:pPr>
            <w:r w:rsidRPr="00D63217">
              <w:t>mangroves, coral reefs</w:t>
            </w:r>
          </w:p>
          <w:p w14:paraId="3CD2AD88" w14:textId="77777777" w:rsidR="009A7378" w:rsidRPr="00D63217" w:rsidRDefault="009A7378" w:rsidP="00AD6B16">
            <w:pPr>
              <w:pStyle w:val="TableText"/>
            </w:pPr>
            <w:r w:rsidRPr="00D63217">
              <w:t>bogs, fens, and peatlands.</w:t>
            </w:r>
          </w:p>
          <w:p w14:paraId="79580375" w14:textId="77777777" w:rsidR="009A7378" w:rsidRPr="00D63217" w:rsidRDefault="009A7378" w:rsidP="00AD6B16">
            <w:pPr>
              <w:pStyle w:val="TableText"/>
            </w:pPr>
            <w:r w:rsidRPr="00D63217">
              <w:t>A ‘wetland’ may be natural or artificial and its water may be static or flowing, fresh, brackish or saline.</w:t>
            </w:r>
            <w:r w:rsidRPr="00D63217" w:rsidDel="00670DAB">
              <w:t xml:space="preserve"> </w:t>
            </w:r>
          </w:p>
        </w:tc>
      </w:tr>
    </w:tbl>
    <w:p w14:paraId="45E36B27" w14:textId="77777777" w:rsidR="009A7378" w:rsidRPr="00D63217" w:rsidRDefault="009A7378" w:rsidP="00803766">
      <w:pPr>
        <w:pStyle w:val="NormalText"/>
        <w:sectPr w:rsidR="009A7378" w:rsidRPr="00D63217" w:rsidSect="003023C5">
          <w:headerReference w:type="even" r:id="rId64"/>
          <w:headerReference w:type="default" r:id="rId65"/>
          <w:pgSz w:w="11906" w:h="16838" w:code="9"/>
          <w:pgMar w:top="2835" w:right="1134" w:bottom="1134" w:left="1134" w:header="1701" w:footer="680" w:gutter="0"/>
          <w:cols w:space="708"/>
          <w:docGrid w:linePitch="360"/>
        </w:sectPr>
      </w:pPr>
    </w:p>
    <w:p w14:paraId="40929068" w14:textId="77777777" w:rsidR="009A7378" w:rsidRPr="00D63217" w:rsidRDefault="009A7378" w:rsidP="00BF5259">
      <w:pPr>
        <w:pStyle w:val="GlossaryRefH1"/>
      </w:pPr>
      <w:bookmarkStart w:id="772" w:name="_Toc81569149"/>
      <w:bookmarkStart w:id="773" w:name="_Toc157602779"/>
      <w:bookmarkStart w:id="774" w:name="_Toc231480944"/>
      <w:bookmarkStart w:id="775" w:name="_Toc233036487"/>
      <w:r w:rsidRPr="00D63217">
        <w:lastRenderedPageBreak/>
        <w:t>References</w:t>
      </w:r>
      <w:bookmarkStart w:id="776" w:name="_Hlk170308990"/>
      <w:bookmarkStart w:id="777" w:name="_Toc414373834"/>
      <w:bookmarkStart w:id="778" w:name="_Toc135232588"/>
      <w:bookmarkEnd w:id="772"/>
      <w:bookmarkEnd w:id="773"/>
      <w:bookmarkEnd w:id="774"/>
      <w:bookmarkEnd w:id="775"/>
    </w:p>
    <w:p w14:paraId="63CF7674" w14:textId="6AF008AE" w:rsidR="006868E0" w:rsidRPr="00BF5259" w:rsidRDefault="006868E0" w:rsidP="009A7378">
      <w:pPr>
        <w:pStyle w:val="NormalText"/>
        <w:rPr>
          <w:szCs w:val="19"/>
        </w:rPr>
      </w:pPr>
      <w:bookmarkStart w:id="779" w:name="_Hlk220922105"/>
      <w:bookmarkEnd w:id="776"/>
      <w:r w:rsidRPr="00BF5259">
        <w:rPr>
          <w:szCs w:val="19"/>
        </w:rPr>
        <w:t>Alary J, Vergnes J-L, Coeur A and Cantin D, 1974. Residues of Herbicides Derived from Bipyridylium in Foodstuffs. II Detection and Determination of Diquat and Paraquat in Potatoes.</w:t>
      </w:r>
    </w:p>
    <w:p w14:paraId="51BACC6F" w14:textId="24DD95FB" w:rsidR="009A7378" w:rsidRPr="00BF5259" w:rsidRDefault="009A7378" w:rsidP="009A7378">
      <w:pPr>
        <w:pStyle w:val="NormalText"/>
        <w:rPr>
          <w:szCs w:val="19"/>
        </w:rPr>
      </w:pPr>
      <w:r w:rsidRPr="00BF5259">
        <w:rPr>
          <w:szCs w:val="19"/>
        </w:rPr>
        <w:t xml:space="preserve">Allison N, Hamer MJ, 1990. Acute toxicity to first instar </w:t>
      </w:r>
      <w:r w:rsidRPr="00BF5259">
        <w:rPr>
          <w:i/>
          <w:iCs/>
          <w:szCs w:val="19"/>
        </w:rPr>
        <w:t>Daphnia magna</w:t>
      </w:r>
      <w:r w:rsidRPr="00BF5259">
        <w:rPr>
          <w:szCs w:val="19"/>
        </w:rPr>
        <w:t xml:space="preserve"> of technical concentrate YF6219. Reference no. RJ0851B</w:t>
      </w:r>
    </w:p>
    <w:p w14:paraId="06419253" w14:textId="77777777" w:rsidR="009A7378" w:rsidRPr="00BF5259" w:rsidRDefault="009A7378" w:rsidP="004C40C5">
      <w:pPr>
        <w:pStyle w:val="NormalText"/>
        <w:rPr>
          <w:szCs w:val="19"/>
        </w:rPr>
      </w:pPr>
      <w:r w:rsidRPr="00BF5259">
        <w:rPr>
          <w:szCs w:val="19"/>
        </w:rPr>
        <w:t>Amondham W, Parkpian P, Polprasert C, DeLaune RD, Jugsujinda A, 2006. Paraquat adsorption, degradation, and remobilisation in tropical soils of Thailand. J Environ Science Health B41: 485-407</w:t>
      </w:r>
    </w:p>
    <w:p w14:paraId="364EC3E1" w14:textId="714EFA5D" w:rsidR="004C40C5" w:rsidRPr="00BF5259" w:rsidRDefault="004C40C5" w:rsidP="004C40C5">
      <w:pPr>
        <w:pStyle w:val="NormalText"/>
        <w:rPr>
          <w:szCs w:val="19"/>
        </w:rPr>
      </w:pPr>
      <w:r w:rsidRPr="00BF5259">
        <w:rPr>
          <w:szCs w:val="19"/>
        </w:rPr>
        <w:t>Anderson L, 1994, Paraquat: Validation of a Residue Analytical Method for the Determination of Paraquat in Animal Products. Report No. RJ 1600B.</w:t>
      </w:r>
    </w:p>
    <w:p w14:paraId="5CEB60E6" w14:textId="7DE7C50E" w:rsidR="004C40C5" w:rsidRPr="00BF5259" w:rsidRDefault="004C40C5" w:rsidP="004C40C5">
      <w:pPr>
        <w:pStyle w:val="NormalText"/>
        <w:rPr>
          <w:szCs w:val="19"/>
        </w:rPr>
      </w:pPr>
      <w:r w:rsidRPr="00BF5259">
        <w:rPr>
          <w:szCs w:val="19"/>
        </w:rPr>
        <w:t>Anderson L, 1997. Standard Operating Procedure No. RAM/004/07. The Determination of Residues of Paraquat in Animal Products – a High Performance Liquid Chromatographic Method.</w:t>
      </w:r>
    </w:p>
    <w:p w14:paraId="4EA34250" w14:textId="23D7D674" w:rsidR="004C40C5" w:rsidRPr="00BF5259" w:rsidRDefault="004C40C5" w:rsidP="00746FCD">
      <w:pPr>
        <w:pStyle w:val="NormalText"/>
        <w:rPr>
          <w:szCs w:val="19"/>
        </w:rPr>
      </w:pPr>
      <w:r w:rsidRPr="00BF5259">
        <w:rPr>
          <w:szCs w:val="19"/>
        </w:rPr>
        <w:t>Anderson L, 1995. Paraquat: Storage Stability of the Residue in Frozen Carrot, Cabbage and Wheat Grain-Final Report. Report No RJ 2011B.</w:t>
      </w:r>
    </w:p>
    <w:p w14:paraId="513853AB" w14:textId="50BCACE0" w:rsidR="004C40C5" w:rsidRPr="00BF5259" w:rsidRDefault="004C40C5" w:rsidP="004C40C5">
      <w:pPr>
        <w:pStyle w:val="NormalText"/>
        <w:rPr>
          <w:szCs w:val="19"/>
        </w:rPr>
      </w:pPr>
      <w:r w:rsidRPr="00BF5259">
        <w:rPr>
          <w:szCs w:val="19"/>
        </w:rPr>
        <w:t>Anderson L, Boseley AD and Earl M, 1991</w:t>
      </w:r>
      <w:r w:rsidR="00A46748" w:rsidRPr="00BF5259">
        <w:rPr>
          <w:szCs w:val="19"/>
        </w:rPr>
        <w:t>(a)</w:t>
      </w:r>
      <w:r w:rsidRPr="00BF5259">
        <w:rPr>
          <w:szCs w:val="19"/>
        </w:rPr>
        <w:t>. Paraquat: Storage Stability of the Residue in Frozen Eggs. Report No RJ 0912B.</w:t>
      </w:r>
    </w:p>
    <w:p w14:paraId="63655A21" w14:textId="6CD3A8E5" w:rsidR="004C40C5" w:rsidRPr="00BF5259" w:rsidRDefault="004C40C5" w:rsidP="004C40C5">
      <w:pPr>
        <w:pStyle w:val="NormalText"/>
        <w:rPr>
          <w:szCs w:val="19"/>
        </w:rPr>
      </w:pPr>
      <w:r w:rsidRPr="00BF5259">
        <w:rPr>
          <w:szCs w:val="19"/>
        </w:rPr>
        <w:t>Anderson L, Boseley AD and Earl M, 1991</w:t>
      </w:r>
      <w:r w:rsidR="00A46748" w:rsidRPr="00BF5259">
        <w:rPr>
          <w:szCs w:val="19"/>
        </w:rPr>
        <w:t>(b)</w:t>
      </w:r>
      <w:r w:rsidRPr="00BF5259">
        <w:rPr>
          <w:szCs w:val="19"/>
        </w:rPr>
        <w:t>. Paraquat: Storage Stability of the Residue in Frozen Hen Muscle Tissue. Report No RJ 0908B.</w:t>
      </w:r>
    </w:p>
    <w:p w14:paraId="4BB8CC8C" w14:textId="77777777" w:rsidR="009F2B31" w:rsidRPr="00BF5259" w:rsidRDefault="009F2B31" w:rsidP="009F2B31">
      <w:pPr>
        <w:pStyle w:val="NormalText"/>
        <w:rPr>
          <w:szCs w:val="19"/>
        </w:rPr>
      </w:pPr>
      <w:r w:rsidRPr="00BF5259">
        <w:rPr>
          <w:szCs w:val="19"/>
        </w:rPr>
        <w:t>Anderson L and Earl M, 1993. Paraquat: Residues in Olives from Trials carried out in Spain During 1991/92. RJ 1292B.</w:t>
      </w:r>
    </w:p>
    <w:p w14:paraId="34AC0952" w14:textId="48E71033" w:rsidR="00746FCD" w:rsidRPr="00BF5259" w:rsidRDefault="00746FCD" w:rsidP="00746FCD">
      <w:pPr>
        <w:pStyle w:val="NormalText"/>
        <w:rPr>
          <w:szCs w:val="19"/>
        </w:rPr>
      </w:pPr>
      <w:r w:rsidRPr="00BF5259">
        <w:rPr>
          <w:szCs w:val="19"/>
        </w:rPr>
        <w:t>Anderson L and Boseley AD, 1995. Paraquat and Diquat: Validation of an HPLC Analytical Method for the Determination of the Residues in Crops and Soil. Report No. RJ 2013B.</w:t>
      </w:r>
    </w:p>
    <w:p w14:paraId="44502D3A" w14:textId="210D9B1D" w:rsidR="00746FCD" w:rsidRPr="00BF5259" w:rsidRDefault="00746FCD" w:rsidP="00746FCD">
      <w:pPr>
        <w:pStyle w:val="NormalText"/>
        <w:rPr>
          <w:szCs w:val="19"/>
        </w:rPr>
      </w:pPr>
      <w:r w:rsidRPr="00BF5259">
        <w:rPr>
          <w:szCs w:val="19"/>
        </w:rPr>
        <w:t xml:space="preserve">Anderson L, and Boseley AD, 1997. Standard Operating Procedure No. RAM/272/01. The Determination of Residues of Paraquat and Diquat in Crops and Soil – a High Performance Liquid Chromatographic Method. </w:t>
      </w:r>
    </w:p>
    <w:p w14:paraId="1C971F05" w14:textId="253F6FFC" w:rsidR="009A7378" w:rsidRPr="00BF5259" w:rsidRDefault="009A7378" w:rsidP="009A7378">
      <w:pPr>
        <w:pStyle w:val="NormalText"/>
        <w:rPr>
          <w:szCs w:val="19"/>
        </w:rPr>
      </w:pPr>
      <w:r w:rsidRPr="00BF5259">
        <w:rPr>
          <w:szCs w:val="19"/>
        </w:rPr>
        <w:t>Anderson L, Hoag RE, Anders CW, Earl M, 1992a. Paraquat: field soil dissipation under in-use conditions in the USA during 1987-91 (Goldsboro, North Carolina). Reference no. RJ1146B</w:t>
      </w:r>
    </w:p>
    <w:p w14:paraId="6C8DC460" w14:textId="77777777" w:rsidR="009A7378" w:rsidRPr="00BF5259" w:rsidRDefault="009A7378" w:rsidP="009A7378">
      <w:pPr>
        <w:pStyle w:val="NormalText"/>
        <w:rPr>
          <w:szCs w:val="19"/>
        </w:rPr>
      </w:pPr>
      <w:r w:rsidRPr="00BF5259">
        <w:rPr>
          <w:szCs w:val="19"/>
        </w:rPr>
        <w:t>Anderson L, Hoag RE, Anders CW, Earl M, 1992b. Paraquat: field soil dissipation under in-use conditions in the USA during 1987-91 (Visalia, California). Reference no. RJ1191B</w:t>
      </w:r>
    </w:p>
    <w:p w14:paraId="15B3949C" w14:textId="77777777" w:rsidR="009A7378" w:rsidRPr="00BF5259" w:rsidRDefault="009A7378" w:rsidP="009A7378">
      <w:pPr>
        <w:pStyle w:val="NormalText"/>
        <w:rPr>
          <w:szCs w:val="19"/>
        </w:rPr>
      </w:pPr>
      <w:r w:rsidRPr="00BF5259">
        <w:rPr>
          <w:szCs w:val="19"/>
        </w:rPr>
        <w:t>Anderson L, Hoag RE, Safford J, Anders CW, Earl M, 1992c. Paraquat: field soil dissipation under in-use conditions in the USA during 1987-91 (Champaign, Illinois). Reference no. RJ1187B</w:t>
      </w:r>
    </w:p>
    <w:p w14:paraId="2558D05B" w14:textId="77777777" w:rsidR="009A7378" w:rsidRPr="00BF5259" w:rsidRDefault="009A7378" w:rsidP="009F2B31">
      <w:pPr>
        <w:pStyle w:val="NormalText"/>
        <w:rPr>
          <w:szCs w:val="19"/>
        </w:rPr>
      </w:pPr>
      <w:r w:rsidRPr="00BF5259">
        <w:rPr>
          <w:szCs w:val="19"/>
        </w:rPr>
        <w:t>Anderson L, Hoag RE, Safford J, Anders CW, Earl M, 1992d. Paraquat: field soil dissipation under in-use conditions in the USA during 1987-89 (Leland Mississippi). Reference no. RJ1206B</w:t>
      </w:r>
    </w:p>
    <w:p w14:paraId="4D1095B4" w14:textId="220465BA" w:rsidR="000F3F0F" w:rsidRPr="00BF5259" w:rsidRDefault="000F3F0F" w:rsidP="000F3F0F">
      <w:pPr>
        <w:pStyle w:val="NormalText"/>
        <w:rPr>
          <w:szCs w:val="19"/>
        </w:rPr>
      </w:pPr>
      <w:r w:rsidRPr="00BF5259">
        <w:rPr>
          <w:szCs w:val="19"/>
        </w:rPr>
        <w:lastRenderedPageBreak/>
        <w:t>Anderson L, Lant MS and Bonfanti F, 1995. Paraquat and Diquat: Residue Levels in Rice Grain and Straw from Trials in Italy During 1993. Report No. RJ 1728B.</w:t>
      </w:r>
    </w:p>
    <w:p w14:paraId="13A6AA93" w14:textId="1DBF6145" w:rsidR="000F3F0F" w:rsidRPr="00BF5259" w:rsidRDefault="000F3F0F" w:rsidP="000F3F0F">
      <w:pPr>
        <w:pStyle w:val="NormalText"/>
        <w:rPr>
          <w:szCs w:val="19"/>
        </w:rPr>
      </w:pPr>
      <w:r w:rsidRPr="00BF5259">
        <w:rPr>
          <w:szCs w:val="19"/>
        </w:rPr>
        <w:t>Anderson L and Lant MS, 1994. Paraquat and Diquat: Residue Levels in Maize from Trials carried out in Italy During 1993. Report No. RJ 1731B.</w:t>
      </w:r>
    </w:p>
    <w:p w14:paraId="27DA8880" w14:textId="77777777" w:rsidR="003C6DDF" w:rsidRPr="00BF5259" w:rsidRDefault="003C6DDF" w:rsidP="009F2B31">
      <w:pPr>
        <w:pStyle w:val="NormalText"/>
        <w:rPr>
          <w:szCs w:val="19"/>
        </w:rPr>
      </w:pPr>
      <w:r w:rsidRPr="00BF5259">
        <w:rPr>
          <w:szCs w:val="19"/>
        </w:rPr>
        <w:t xml:space="preserve">Anderson, T., Merrill, A., Eckard, M., Marvin. E., Conrad, K., Welle, K., Oberdörster, G., Sobolewski, M., and Cory-Slechta, D. (2021) Paraquat Inhalation, a Translationally Relevant Route of Exposure: Disposition to the Brain and Male-Specific Olfactory Impairment in Mice. Toxicol Sci 180, 175-185 (2021). </w:t>
      </w:r>
    </w:p>
    <w:p w14:paraId="2723D597" w14:textId="47050D42" w:rsidR="009F2B31" w:rsidRPr="00BF5259" w:rsidRDefault="009F2B31" w:rsidP="009F2B31">
      <w:pPr>
        <w:pStyle w:val="NormalText"/>
        <w:rPr>
          <w:szCs w:val="19"/>
        </w:rPr>
      </w:pPr>
      <w:r w:rsidRPr="00BF5259">
        <w:rPr>
          <w:szCs w:val="19"/>
        </w:rPr>
        <w:t xml:space="preserve">Anon., 1965(a). Field Data Sheets: Paraquat: Bananas, Honduras. (1964/1965). Report No. RIC4708. </w:t>
      </w:r>
    </w:p>
    <w:p w14:paraId="5145BE7B" w14:textId="7677E6EF" w:rsidR="009F2B31" w:rsidRPr="00BF5259" w:rsidRDefault="009F2B31" w:rsidP="009F2B31">
      <w:pPr>
        <w:pStyle w:val="NormalText"/>
        <w:rPr>
          <w:szCs w:val="19"/>
        </w:rPr>
      </w:pPr>
      <w:r w:rsidRPr="00BF5259">
        <w:rPr>
          <w:szCs w:val="19"/>
        </w:rPr>
        <w:t xml:space="preserve">Anon., 1965(b). Residue Data Sheets: Paraquat: Pineapple, Hawaii. (1964/1965). Report No. RIC4729. </w:t>
      </w:r>
    </w:p>
    <w:p w14:paraId="2D70AAEF" w14:textId="0B4B4F00" w:rsidR="009F2B31" w:rsidRPr="00BF5259" w:rsidRDefault="009F2B31" w:rsidP="009F2B31">
      <w:pPr>
        <w:pStyle w:val="NormalText"/>
        <w:rPr>
          <w:szCs w:val="19"/>
        </w:rPr>
      </w:pPr>
      <w:bookmarkStart w:id="780" w:name="_Hlk167179506"/>
      <w:r w:rsidRPr="00BF5259">
        <w:rPr>
          <w:szCs w:val="19"/>
        </w:rPr>
        <w:t>Anon., 1965(c). Residue Data Sheet: Paraquat, Walnut, California 1965, Report No RIC 4743.</w:t>
      </w:r>
    </w:p>
    <w:p w14:paraId="7132D959" w14:textId="77777777" w:rsidR="009F2B31" w:rsidRPr="00BF5259" w:rsidRDefault="009F2B31" w:rsidP="009F2B31">
      <w:pPr>
        <w:pStyle w:val="NormalText"/>
        <w:rPr>
          <w:szCs w:val="19"/>
        </w:rPr>
      </w:pPr>
      <w:r w:rsidRPr="00BF5259">
        <w:rPr>
          <w:szCs w:val="19"/>
        </w:rPr>
        <w:t>Anon., 1966. Residue Data Sheet: Paraquat, Almonds, California (1965/1966) Report No RIC 4706.</w:t>
      </w:r>
    </w:p>
    <w:p w14:paraId="219158F8" w14:textId="1E63CA68" w:rsidR="009A484C" w:rsidRPr="00BF5259" w:rsidRDefault="009F2B31" w:rsidP="009F2B31">
      <w:pPr>
        <w:pStyle w:val="NormalText"/>
        <w:rPr>
          <w:szCs w:val="19"/>
        </w:rPr>
      </w:pPr>
      <w:r w:rsidRPr="00BF5259">
        <w:rPr>
          <w:szCs w:val="19"/>
        </w:rPr>
        <w:t>Anon., 1967. Gramoxone (paraquat): Inter-row weeding. Residues in Soft Fruit and Row Crops.. Report No. RIC4737.</w:t>
      </w:r>
    </w:p>
    <w:p w14:paraId="4E91AFF0" w14:textId="23F7D853" w:rsidR="009A484C" w:rsidRPr="00BF5259" w:rsidRDefault="009A484C" w:rsidP="009F2B31">
      <w:pPr>
        <w:pStyle w:val="NormalText"/>
        <w:rPr>
          <w:szCs w:val="19"/>
        </w:rPr>
      </w:pPr>
      <w:r w:rsidRPr="00BF5259">
        <w:rPr>
          <w:szCs w:val="19"/>
        </w:rPr>
        <w:t>Anon., 1970(a). Paraquat Residues in Potato Tubers. RIC 4731.</w:t>
      </w:r>
    </w:p>
    <w:p w14:paraId="4B36518F" w14:textId="7E1A70A0" w:rsidR="000F3F0F" w:rsidRPr="00BF5259" w:rsidRDefault="000F3F0F" w:rsidP="000F3F0F">
      <w:pPr>
        <w:pStyle w:val="NormalText"/>
        <w:rPr>
          <w:szCs w:val="19"/>
        </w:rPr>
      </w:pPr>
      <w:r w:rsidRPr="00BF5259">
        <w:rPr>
          <w:szCs w:val="19"/>
        </w:rPr>
        <w:t>Anon., 1970(b) Residues in Sorghum Grain Following Desiccation with Paraquat and Diquat. Report No. RIC3424, D3.2.6/02.</w:t>
      </w:r>
    </w:p>
    <w:p w14:paraId="251F8999" w14:textId="575FA53B" w:rsidR="000F3F0F" w:rsidRPr="00BF5259" w:rsidRDefault="000F3F0F" w:rsidP="000F3F0F">
      <w:pPr>
        <w:pStyle w:val="NormalText"/>
        <w:rPr>
          <w:szCs w:val="19"/>
        </w:rPr>
      </w:pPr>
      <w:r w:rsidRPr="00BF5259">
        <w:rPr>
          <w:szCs w:val="19"/>
        </w:rPr>
        <w:t>Anon. 1970(c). Residues in Sorghum Grain Following Desiccation with Paraquat and Diquat. Report No. RIC4735, R3/66.</w:t>
      </w:r>
    </w:p>
    <w:p w14:paraId="6A03253B" w14:textId="7558B19F" w:rsidR="009F2B31" w:rsidRPr="00BF5259" w:rsidRDefault="009F2B31" w:rsidP="009F2B31">
      <w:pPr>
        <w:pStyle w:val="NormalText"/>
        <w:rPr>
          <w:szCs w:val="19"/>
        </w:rPr>
      </w:pPr>
      <w:r w:rsidRPr="00BF5259">
        <w:rPr>
          <w:szCs w:val="19"/>
        </w:rPr>
        <w:t xml:space="preserve">Anon., 1971(a). Residues of Paraquat Found in Apples, Plums, Peaches, Grapes and. Potato Tubers. Report No. AMB/KJC. </w:t>
      </w:r>
    </w:p>
    <w:p w14:paraId="64301CA3" w14:textId="77777777" w:rsidR="009F2B31" w:rsidRPr="00BF5259" w:rsidRDefault="009F2B31" w:rsidP="009F2B31">
      <w:pPr>
        <w:pStyle w:val="NormalText"/>
        <w:rPr>
          <w:szCs w:val="19"/>
        </w:rPr>
      </w:pPr>
      <w:r w:rsidRPr="00BF5259">
        <w:rPr>
          <w:szCs w:val="19"/>
        </w:rPr>
        <w:t>Anon., 1971(b). Residue Data Sheet: Paraquat, Pecans, Texas. Report No RIC 4728.</w:t>
      </w:r>
    </w:p>
    <w:p w14:paraId="085AD700" w14:textId="63E6DAB6" w:rsidR="009A484C" w:rsidRPr="00BF5259" w:rsidRDefault="009A484C" w:rsidP="009A484C">
      <w:pPr>
        <w:pStyle w:val="NormalText"/>
        <w:rPr>
          <w:szCs w:val="19"/>
        </w:rPr>
      </w:pPr>
      <w:r w:rsidRPr="00BF5259">
        <w:rPr>
          <w:szCs w:val="19"/>
        </w:rPr>
        <w:t>Anon., 1972</w:t>
      </w:r>
      <w:r w:rsidR="000F3F0F" w:rsidRPr="00BF5259">
        <w:rPr>
          <w:szCs w:val="19"/>
        </w:rPr>
        <w:t>(a)</w:t>
      </w:r>
      <w:r w:rsidRPr="00BF5259">
        <w:rPr>
          <w:szCs w:val="19"/>
        </w:rPr>
        <w:t>. Summary of Paraquat Residues Found in Soya Beans Following desiccation with Gramoxone as at 1 May 1972. Report No. RIC4736.</w:t>
      </w:r>
    </w:p>
    <w:p w14:paraId="11441358" w14:textId="71F7283B" w:rsidR="000F3F0F" w:rsidRPr="00BF5259" w:rsidRDefault="000F3F0F" w:rsidP="000F3F0F">
      <w:pPr>
        <w:pStyle w:val="NormalText"/>
        <w:rPr>
          <w:szCs w:val="19"/>
        </w:rPr>
      </w:pPr>
      <w:r w:rsidRPr="00BF5259">
        <w:rPr>
          <w:szCs w:val="19"/>
        </w:rPr>
        <w:t>Anon., 1972(b). Bipyridyl Residues in Rice Following Desiccation: Paraquat. Report No. GAW/AES7472.</w:t>
      </w:r>
    </w:p>
    <w:p w14:paraId="475298DD" w14:textId="14590000" w:rsidR="000F3F0F" w:rsidRPr="00BF5259" w:rsidRDefault="000F3F0F" w:rsidP="000F3F0F">
      <w:pPr>
        <w:pStyle w:val="NormalText"/>
        <w:rPr>
          <w:szCs w:val="19"/>
        </w:rPr>
      </w:pPr>
      <w:r w:rsidRPr="00BF5259">
        <w:rPr>
          <w:szCs w:val="19"/>
        </w:rPr>
        <w:t>Anon., 1972(c). Summary of Paraquat Residues Found in Rice Following Desiccation with Gramoxone as at 1st May 1972. Report No. GAP/KJC 8/5/72.</w:t>
      </w:r>
    </w:p>
    <w:p w14:paraId="12DF2907" w14:textId="29501271" w:rsidR="009A484C" w:rsidRPr="00BF5259" w:rsidRDefault="009A484C" w:rsidP="009A484C">
      <w:pPr>
        <w:pStyle w:val="NormalText"/>
        <w:rPr>
          <w:szCs w:val="19"/>
        </w:rPr>
      </w:pPr>
      <w:r w:rsidRPr="00BF5259">
        <w:rPr>
          <w:szCs w:val="19"/>
        </w:rPr>
        <w:t xml:space="preserve">Anon., 1973. Paraquat: Residues in Olive Fruit and Extracted Oil after Weed Killing around Tree. Report No. AMB/PTV. </w:t>
      </w:r>
    </w:p>
    <w:p w14:paraId="40CA0F0A" w14:textId="215B6BF5" w:rsidR="009A484C" w:rsidRPr="00BF5259" w:rsidRDefault="009A484C" w:rsidP="009F2B31">
      <w:pPr>
        <w:pStyle w:val="NormalText"/>
        <w:rPr>
          <w:szCs w:val="19"/>
        </w:rPr>
      </w:pPr>
      <w:r w:rsidRPr="00BF5259">
        <w:rPr>
          <w:szCs w:val="19"/>
        </w:rPr>
        <w:t>Anon., 1974. Paraquat: Potato: UK: Residue Data Sheets.</w:t>
      </w:r>
    </w:p>
    <w:p w14:paraId="7DA53EC1" w14:textId="46270FDA" w:rsidR="006868E0" w:rsidRPr="00BF5259" w:rsidRDefault="006868E0" w:rsidP="009F2B31">
      <w:pPr>
        <w:pStyle w:val="NormalText"/>
        <w:rPr>
          <w:szCs w:val="19"/>
        </w:rPr>
      </w:pPr>
      <w:r w:rsidRPr="00BF5259">
        <w:rPr>
          <w:szCs w:val="19"/>
        </w:rPr>
        <w:t>Anon., 1976. Paraquat: Residues in Poultry Feed and Safety to Poultry. Report No. R3/32.</w:t>
      </w:r>
    </w:p>
    <w:p w14:paraId="1610C9AB" w14:textId="48535AAA" w:rsidR="009F2B31" w:rsidRPr="00BF5259" w:rsidRDefault="009F2B31" w:rsidP="009F2B31">
      <w:pPr>
        <w:pStyle w:val="NormalText"/>
        <w:rPr>
          <w:szCs w:val="19"/>
        </w:rPr>
      </w:pPr>
      <w:r w:rsidRPr="00BF5259">
        <w:rPr>
          <w:szCs w:val="19"/>
        </w:rPr>
        <w:lastRenderedPageBreak/>
        <w:t>Anon., 1977. Residue Chemistry Data to Support the Addition of Pistachios to Label for Paraquat CL Use on Orchards. Report No RIC 4730.</w:t>
      </w:r>
    </w:p>
    <w:p w14:paraId="06247F81" w14:textId="77777777" w:rsidR="009A484C" w:rsidRPr="00BF5259" w:rsidRDefault="009A484C" w:rsidP="009A484C">
      <w:pPr>
        <w:pStyle w:val="NormalText"/>
        <w:rPr>
          <w:szCs w:val="19"/>
        </w:rPr>
      </w:pPr>
      <w:r w:rsidRPr="00BF5259">
        <w:rPr>
          <w:szCs w:val="19"/>
        </w:rPr>
        <w:t>Anon., 1978. Paraquat/Diquat Residue Data Sheets, Soya, Kovin Yugoslavia. Report No. RIC 4748.</w:t>
      </w:r>
    </w:p>
    <w:p w14:paraId="281C8907" w14:textId="7B9B9B42" w:rsidR="009F2B31" w:rsidRPr="00BF5259" w:rsidRDefault="009F2B31" w:rsidP="009F2B31">
      <w:pPr>
        <w:pStyle w:val="NormalText"/>
        <w:rPr>
          <w:szCs w:val="19"/>
        </w:rPr>
      </w:pPr>
      <w:r w:rsidRPr="00BF5259">
        <w:rPr>
          <w:szCs w:val="19"/>
        </w:rPr>
        <w:t>Anon., 1979. Paraquat Residues Hops (Germany. Trial Nos 7859R IV(1&amp;2) &amp; V(1&amp;2) 1978 Report No. RIC 4718.</w:t>
      </w:r>
    </w:p>
    <w:bookmarkEnd w:id="780"/>
    <w:p w14:paraId="14D8E683" w14:textId="016FEB8A" w:rsidR="008B3B60" w:rsidRPr="00BF5259" w:rsidRDefault="008B3B60" w:rsidP="009F2B31">
      <w:pPr>
        <w:pStyle w:val="NormalText"/>
        <w:rPr>
          <w:szCs w:val="19"/>
        </w:rPr>
      </w:pPr>
      <w:r w:rsidRPr="00BF5259">
        <w:rPr>
          <w:szCs w:val="19"/>
        </w:rPr>
        <w:t>Anon., 1985. Paraquat Residues Data (Non-Desiccation Uses). Report No. RIC 2632.</w:t>
      </w:r>
    </w:p>
    <w:p w14:paraId="7A16E8CD" w14:textId="66A329A7" w:rsidR="006868E0" w:rsidRPr="00BF5259" w:rsidRDefault="006868E0" w:rsidP="009F2B31">
      <w:pPr>
        <w:pStyle w:val="NormalText"/>
        <w:rPr>
          <w:szCs w:val="19"/>
        </w:rPr>
      </w:pPr>
      <w:r w:rsidRPr="00BF5259">
        <w:rPr>
          <w:szCs w:val="19"/>
        </w:rPr>
        <w:t>Anon., 1985. Residues in Milk from the Ingestion of Paraquat by Cows. Report No RIC 2486.</w:t>
      </w:r>
    </w:p>
    <w:p w14:paraId="4C244E09" w14:textId="5453805B" w:rsidR="009F2B31" w:rsidRPr="00BF5259" w:rsidRDefault="009F2B31" w:rsidP="009F2B31">
      <w:pPr>
        <w:pStyle w:val="NormalText"/>
        <w:rPr>
          <w:szCs w:val="19"/>
        </w:rPr>
      </w:pPr>
      <w:r w:rsidRPr="00BF5259">
        <w:rPr>
          <w:szCs w:val="19"/>
        </w:rPr>
        <w:t>Anon., 1987. Paraquat: Guide to Data and Documentation. Residues in Olives and Hazelnuts. Report No. RIC0284. Anon., 1971(a). Paraquat: Pome and Stone Fruit from Trials Carried out in Germany During 1990. Report No. AMB/KJC 27/9/71.</w:t>
      </w:r>
    </w:p>
    <w:p w14:paraId="3E431A7A" w14:textId="1C81E67A" w:rsidR="004C40C5" w:rsidRPr="00BF5259" w:rsidRDefault="004C40C5" w:rsidP="004C40C5">
      <w:pPr>
        <w:pStyle w:val="NormalText"/>
        <w:rPr>
          <w:szCs w:val="19"/>
        </w:rPr>
      </w:pPr>
      <w:r w:rsidRPr="00BF5259">
        <w:rPr>
          <w:szCs w:val="19"/>
        </w:rPr>
        <w:t>Anon., no date(a). Paraquat: Residues in Citrus Fruit from Trials Carried out in the USA. Report No RIC 2253.</w:t>
      </w:r>
    </w:p>
    <w:p w14:paraId="118668F3" w14:textId="4110550B" w:rsidR="004C40C5" w:rsidRPr="00BF5259" w:rsidRDefault="004C40C5" w:rsidP="004C40C5">
      <w:pPr>
        <w:pStyle w:val="NormalText"/>
        <w:rPr>
          <w:szCs w:val="19"/>
          <w:lang w:val="en-US"/>
        </w:rPr>
      </w:pPr>
      <w:r w:rsidRPr="00BF5259">
        <w:rPr>
          <w:szCs w:val="19"/>
          <w:lang w:val="en-US"/>
        </w:rPr>
        <w:t>Anon., no date(b). Bipyridylium Herbicides: Residues of Paraquat in Food Crops from 1964 and 1965 Field Trials. ICI Repo</w:t>
      </w:r>
      <w:r w:rsidR="009A484C" w:rsidRPr="00BF5259">
        <w:rPr>
          <w:szCs w:val="19"/>
          <w:lang w:val="en-US"/>
        </w:rPr>
        <w:t>r</w:t>
      </w:r>
      <w:r w:rsidRPr="00BF5259">
        <w:rPr>
          <w:szCs w:val="19"/>
          <w:lang w:val="en-US"/>
        </w:rPr>
        <w:t>t No. A.126,597.</w:t>
      </w:r>
    </w:p>
    <w:p w14:paraId="48F21C4F" w14:textId="58DC4088" w:rsidR="009A484C" w:rsidRPr="00BF5259" w:rsidRDefault="009A484C" w:rsidP="009A484C">
      <w:pPr>
        <w:pStyle w:val="NormalText"/>
        <w:rPr>
          <w:szCs w:val="19"/>
          <w:lang w:val="en-US"/>
        </w:rPr>
      </w:pPr>
      <w:r w:rsidRPr="00BF5259">
        <w:rPr>
          <w:szCs w:val="19"/>
          <w:lang w:val="en-US"/>
        </w:rPr>
        <w:t>Anon., no date(c). Bipyridylium Herbicides: Residues in Treated Crops. Results of Canadian Trials 1970-1972. Report No. RIC 2491.</w:t>
      </w:r>
    </w:p>
    <w:p w14:paraId="760B9499" w14:textId="17AE552C" w:rsidR="000F3F0F" w:rsidRPr="00BF5259" w:rsidRDefault="000F3F0F" w:rsidP="009A484C">
      <w:pPr>
        <w:pStyle w:val="NormalText"/>
        <w:rPr>
          <w:szCs w:val="19"/>
          <w:lang w:val="en-US"/>
        </w:rPr>
      </w:pPr>
      <w:r w:rsidRPr="00BF5259">
        <w:rPr>
          <w:szCs w:val="19"/>
          <w:lang w:val="en-US"/>
        </w:rPr>
        <w:t>Anon., no date(d). A Comprehensive Study of Grain Residues in Sorghum after Desiccation with Gramoxone or Reglone was made on Trials Carried out in North Mexico During 1968 and 1969. Report No. R3/18, AR 2I634.</w:t>
      </w:r>
    </w:p>
    <w:p w14:paraId="48833BDD" w14:textId="222AA23B" w:rsidR="006868E0" w:rsidRPr="00BF5259" w:rsidRDefault="006868E0" w:rsidP="009A484C">
      <w:pPr>
        <w:pStyle w:val="NormalText"/>
        <w:rPr>
          <w:szCs w:val="19"/>
          <w:lang w:val="en-US"/>
        </w:rPr>
      </w:pPr>
      <w:r w:rsidRPr="00BF5259">
        <w:rPr>
          <w:szCs w:val="19"/>
          <w:lang w:val="en-US"/>
        </w:rPr>
        <w:t>Anon., no date(e). Summary of Paraquat Residues Found in Lucerne Following Desiccation with Gramoxone. Report No RIC 4720.</w:t>
      </w:r>
    </w:p>
    <w:p w14:paraId="0A954162" w14:textId="4294AB95" w:rsidR="00BC09D3" w:rsidRPr="00BF5259" w:rsidRDefault="00BC09D3" w:rsidP="004C40C5">
      <w:pPr>
        <w:pStyle w:val="NormalText"/>
        <w:rPr>
          <w:szCs w:val="19"/>
        </w:rPr>
      </w:pPr>
      <w:r w:rsidRPr="00BF5259">
        <w:rPr>
          <w:szCs w:val="19"/>
        </w:rPr>
        <w:t>APVMA</w:t>
      </w:r>
      <w:r w:rsidR="00BE78CE" w:rsidRPr="00BF5259">
        <w:rPr>
          <w:szCs w:val="19"/>
        </w:rPr>
        <w:t xml:space="preserve"> (</w:t>
      </w:r>
      <w:r w:rsidRPr="00BF5259">
        <w:rPr>
          <w:szCs w:val="19"/>
        </w:rPr>
        <w:t>Australian Pesticides and Veterinary Medicines Authority</w:t>
      </w:r>
      <w:r w:rsidR="00BE78CE" w:rsidRPr="00BF5259">
        <w:rPr>
          <w:szCs w:val="19"/>
        </w:rPr>
        <w:t>)</w:t>
      </w:r>
      <w:r w:rsidRPr="00BF5259">
        <w:rPr>
          <w:szCs w:val="19"/>
        </w:rPr>
        <w:t xml:space="preserve">, 2022. </w:t>
      </w:r>
      <w:hyperlink r:id="rId66" w:history="1">
        <w:r w:rsidRPr="00BF5259">
          <w:rPr>
            <w:rStyle w:val="Hyperlink"/>
            <w:i/>
            <w:iCs/>
            <w:szCs w:val="19"/>
          </w:rPr>
          <w:t>Agricultural and Veterinary Chemicals Code (Agricultural Active Constituents) Standards 2022</w:t>
        </w:r>
      </w:hyperlink>
      <w:r w:rsidRPr="00BF5259">
        <w:rPr>
          <w:i/>
          <w:iCs/>
          <w:szCs w:val="19"/>
        </w:rPr>
        <w:t>,</w:t>
      </w:r>
      <w:r w:rsidRPr="00BF5259">
        <w:rPr>
          <w:szCs w:val="19"/>
        </w:rPr>
        <w:t xml:space="preserve"> </w:t>
      </w:r>
      <w:hyperlink r:id="rId67" w:history="1">
        <w:r w:rsidR="000D2126" w:rsidRPr="00BF5259">
          <w:rPr>
            <w:rStyle w:val="Hyperlink"/>
            <w:szCs w:val="19"/>
          </w:rPr>
          <w:t>https://www.legislation.gov.au/F2022L00137/latest/text</w:t>
        </w:r>
      </w:hyperlink>
    </w:p>
    <w:p w14:paraId="7E588F8C" w14:textId="4B61B1A1" w:rsidR="000D2126" w:rsidRPr="00BF5259" w:rsidRDefault="000D2126" w:rsidP="004C40C5">
      <w:pPr>
        <w:pStyle w:val="NormalText"/>
        <w:rPr>
          <w:szCs w:val="19"/>
        </w:rPr>
      </w:pPr>
      <w:r w:rsidRPr="00BF5259">
        <w:rPr>
          <w:szCs w:val="19"/>
        </w:rPr>
        <w:t xml:space="preserve">APVMA (Australian Pesticides and Veterinary Medicines Authority), 2016(a). </w:t>
      </w:r>
      <w:hyperlink r:id="rId68" w:history="1">
        <w:r w:rsidRPr="00BF5259">
          <w:rPr>
            <w:rStyle w:val="Hyperlink"/>
            <w:szCs w:val="19"/>
            <w:shd w:val="clear" w:color="auto" w:fill="FCFCFD"/>
          </w:rPr>
          <w:t>Paraquat toxicology report – summary</w:t>
        </w:r>
      </w:hyperlink>
    </w:p>
    <w:p w14:paraId="49AB676A" w14:textId="55BCD3E4" w:rsidR="000D2126" w:rsidRPr="00BF5259" w:rsidRDefault="000D2126" w:rsidP="004C40C5">
      <w:pPr>
        <w:pStyle w:val="NormalText"/>
        <w:rPr>
          <w:szCs w:val="19"/>
        </w:rPr>
      </w:pPr>
      <w:r w:rsidRPr="00BF5259">
        <w:rPr>
          <w:szCs w:val="19"/>
        </w:rPr>
        <w:t xml:space="preserve">APVMA (Australian Pesticides and Veterinary Medicines Authority), 2016(b). </w:t>
      </w:r>
      <w:hyperlink r:id="rId69" w:history="1">
        <w:r w:rsidRPr="00BF5259">
          <w:rPr>
            <w:rStyle w:val="Hyperlink"/>
            <w:szCs w:val="19"/>
            <w:shd w:val="clear" w:color="auto" w:fill="FCFCFD"/>
          </w:rPr>
          <w:t>Paraquat toxicology report – supplement I toxicology</w:t>
        </w:r>
      </w:hyperlink>
    </w:p>
    <w:p w14:paraId="0E1BA79B" w14:textId="1BD01150" w:rsidR="000D2126" w:rsidRPr="00BF5259" w:rsidRDefault="000D2126" w:rsidP="000D2126">
      <w:pPr>
        <w:spacing w:line="360" w:lineRule="auto"/>
        <w:rPr>
          <w:rFonts w:ascii="Arial" w:hAnsi="Arial" w:cs="Arial"/>
          <w:kern w:val="20"/>
          <w:sz w:val="19"/>
          <w:szCs w:val="19"/>
          <w:u w:color="000000"/>
        </w:rPr>
      </w:pPr>
      <w:r w:rsidRPr="00BF5259">
        <w:rPr>
          <w:rFonts w:ascii="Arial" w:hAnsi="Arial" w:cs="Arial"/>
          <w:kern w:val="20"/>
          <w:sz w:val="19"/>
          <w:szCs w:val="19"/>
          <w:u w:color="000000"/>
        </w:rPr>
        <w:t xml:space="preserve">APVMA (Australian Pesticides and Veterinary Medicines Authority), 2016(c). </w:t>
      </w:r>
      <w:hyperlink r:id="rId70" w:history="1">
        <w:r w:rsidRPr="00BF5259">
          <w:rPr>
            <w:rStyle w:val="Hyperlink"/>
            <w:rFonts w:ascii="Arial" w:hAnsi="Arial" w:cs="Arial"/>
            <w:kern w:val="20"/>
            <w:sz w:val="19"/>
            <w:szCs w:val="19"/>
          </w:rPr>
          <w:t>Paraquat toxicology report – supplement II neurotoxicology</w:t>
        </w:r>
      </w:hyperlink>
    </w:p>
    <w:p w14:paraId="0E00F096" w14:textId="03623C47" w:rsidR="00AA4380" w:rsidRPr="00BF5259" w:rsidRDefault="00AA4380" w:rsidP="000D2126">
      <w:pPr>
        <w:spacing w:line="360" w:lineRule="auto"/>
        <w:rPr>
          <w:rFonts w:ascii="Arial" w:hAnsi="Arial" w:cs="Arial"/>
          <w:kern w:val="20"/>
          <w:sz w:val="19"/>
          <w:szCs w:val="19"/>
          <w:u w:color="000000"/>
        </w:rPr>
      </w:pPr>
      <w:r w:rsidRPr="00BF5259">
        <w:rPr>
          <w:rFonts w:ascii="Arial" w:hAnsi="Arial" w:cs="Arial"/>
          <w:kern w:val="20"/>
          <w:sz w:val="19"/>
          <w:szCs w:val="19"/>
          <w:u w:color="000000"/>
        </w:rPr>
        <w:t xml:space="preserve">Ashby R and Finn JP, 1983 Paraquat: Toxicity and carcinogenicity study in dietary administration to rats. Interim report 1: 0-52 weeks. CM4 9PE. </w:t>
      </w:r>
    </w:p>
    <w:p w14:paraId="5B3E08ED" w14:textId="6053E83A" w:rsidR="009A7378" w:rsidRPr="00BF5259" w:rsidRDefault="000D2126" w:rsidP="000D2126">
      <w:pPr>
        <w:spacing w:line="360" w:lineRule="auto"/>
        <w:rPr>
          <w:rFonts w:ascii="Arial" w:hAnsi="Arial" w:cs="Arial"/>
          <w:kern w:val="20"/>
          <w:sz w:val="19"/>
          <w:szCs w:val="19"/>
          <w:u w:color="000000"/>
        </w:rPr>
      </w:pPr>
      <w:r w:rsidRPr="00BF5259">
        <w:rPr>
          <w:rFonts w:ascii="Arial" w:hAnsi="Arial" w:cs="Arial"/>
          <w:kern w:val="20"/>
          <w:sz w:val="19"/>
          <w:szCs w:val="19"/>
          <w:u w:color="000000"/>
        </w:rPr>
        <w:t>A</w:t>
      </w:r>
      <w:r w:rsidR="009A7378" w:rsidRPr="00BF5259">
        <w:rPr>
          <w:rFonts w:ascii="Arial" w:hAnsi="Arial" w:cs="Arial"/>
          <w:kern w:val="20"/>
          <w:sz w:val="19"/>
          <w:szCs w:val="19"/>
          <w:u w:color="000000"/>
        </w:rPr>
        <w:t>ustin HM, 1999</w:t>
      </w:r>
      <w:r w:rsidR="009A484C" w:rsidRPr="00BF5259">
        <w:rPr>
          <w:rFonts w:ascii="Arial" w:hAnsi="Arial" w:cs="Arial"/>
          <w:kern w:val="20"/>
          <w:sz w:val="19"/>
          <w:szCs w:val="19"/>
          <w:u w:color="000000"/>
        </w:rPr>
        <w:t>(</w:t>
      </w:r>
      <w:r w:rsidR="008648BF" w:rsidRPr="00BF5259">
        <w:rPr>
          <w:rFonts w:ascii="Arial" w:hAnsi="Arial" w:cs="Arial"/>
          <w:kern w:val="20"/>
          <w:sz w:val="19"/>
          <w:szCs w:val="19"/>
          <w:u w:color="000000"/>
        </w:rPr>
        <w:t>a</w:t>
      </w:r>
      <w:r w:rsidR="009A484C" w:rsidRPr="00BF5259">
        <w:rPr>
          <w:rFonts w:ascii="Arial" w:hAnsi="Arial" w:cs="Arial"/>
          <w:kern w:val="20"/>
          <w:sz w:val="19"/>
          <w:szCs w:val="19"/>
          <w:u w:color="000000"/>
        </w:rPr>
        <w:t>)</w:t>
      </w:r>
      <w:r w:rsidR="009A7378" w:rsidRPr="00BF5259">
        <w:rPr>
          <w:rFonts w:ascii="Arial" w:hAnsi="Arial" w:cs="Arial"/>
          <w:kern w:val="20"/>
          <w:sz w:val="19"/>
          <w:szCs w:val="19"/>
          <w:u w:color="000000"/>
        </w:rPr>
        <w:t>. Paraquat: a tier 2 laboratory study to determine the LC50 of a 100 g/L SL formulation to the</w:t>
      </w:r>
      <w:r w:rsidRPr="00BF5259">
        <w:rPr>
          <w:rFonts w:ascii="Arial" w:hAnsi="Arial" w:cs="Arial"/>
          <w:kern w:val="20"/>
          <w:sz w:val="19"/>
          <w:szCs w:val="19"/>
          <w:u w:color="000000"/>
        </w:rPr>
        <w:t xml:space="preserve"> p</w:t>
      </w:r>
      <w:r w:rsidR="009A7378" w:rsidRPr="00BF5259">
        <w:rPr>
          <w:rFonts w:ascii="Arial" w:hAnsi="Arial" w:cs="Arial"/>
          <w:kern w:val="20"/>
          <w:sz w:val="19"/>
          <w:szCs w:val="19"/>
          <w:u w:color="000000"/>
        </w:rPr>
        <w:t>redatory mite Typhlodromus pyri. Reference no. ER-99-25</w:t>
      </w:r>
    </w:p>
    <w:p w14:paraId="1DEA110D" w14:textId="4BE9D6B4" w:rsidR="004E3808" w:rsidRPr="00BF5259" w:rsidRDefault="004E3808" w:rsidP="004E3808">
      <w:pPr>
        <w:pStyle w:val="APVMAText"/>
        <w:rPr>
          <w:rFonts w:ascii="Arial" w:hAnsi="Arial"/>
          <w:sz w:val="19"/>
          <w:szCs w:val="19"/>
        </w:rPr>
      </w:pPr>
      <w:r w:rsidRPr="00BF5259">
        <w:rPr>
          <w:rFonts w:ascii="Arial" w:hAnsi="Arial"/>
          <w:sz w:val="19"/>
          <w:szCs w:val="19"/>
        </w:rPr>
        <w:lastRenderedPageBreak/>
        <w:t>Austin HM, 1999</w:t>
      </w:r>
      <w:r w:rsidR="008648BF" w:rsidRPr="00BF5259">
        <w:rPr>
          <w:rFonts w:ascii="Arial" w:hAnsi="Arial"/>
          <w:sz w:val="19"/>
          <w:szCs w:val="19"/>
        </w:rPr>
        <w:t>b</w:t>
      </w:r>
      <w:r w:rsidRPr="00BF5259">
        <w:rPr>
          <w:rFonts w:ascii="Arial" w:hAnsi="Arial"/>
          <w:sz w:val="19"/>
          <w:szCs w:val="19"/>
        </w:rPr>
        <w:t>. Diquat: a tier 1 laboratory study to determine the LC</w:t>
      </w:r>
      <w:r w:rsidRPr="00BF5259">
        <w:rPr>
          <w:rFonts w:ascii="Arial" w:hAnsi="Arial"/>
          <w:sz w:val="19"/>
          <w:szCs w:val="19"/>
          <w:vertAlign w:val="subscript"/>
        </w:rPr>
        <w:t>30</w:t>
      </w:r>
      <w:r w:rsidRPr="00BF5259">
        <w:rPr>
          <w:rFonts w:ascii="Arial" w:hAnsi="Arial"/>
          <w:sz w:val="19"/>
          <w:szCs w:val="19"/>
        </w:rPr>
        <w:t xml:space="preserve"> and LC</w:t>
      </w:r>
      <w:r w:rsidRPr="00BF5259">
        <w:rPr>
          <w:rFonts w:ascii="Arial" w:hAnsi="Arial"/>
          <w:sz w:val="19"/>
          <w:szCs w:val="19"/>
          <w:vertAlign w:val="subscript"/>
        </w:rPr>
        <w:t>50</w:t>
      </w:r>
      <w:r w:rsidRPr="00BF5259">
        <w:rPr>
          <w:rFonts w:ascii="Arial" w:hAnsi="Arial"/>
          <w:sz w:val="19"/>
          <w:szCs w:val="19"/>
        </w:rPr>
        <w:t xml:space="preserve"> of a 200 g/L SL formulation to the parasitic wasp </w:t>
      </w:r>
      <w:r w:rsidRPr="00BF5259">
        <w:rPr>
          <w:rFonts w:ascii="Arial" w:hAnsi="Arial"/>
          <w:i/>
          <w:iCs/>
          <w:sz w:val="19"/>
          <w:szCs w:val="19"/>
        </w:rPr>
        <w:t>Aphidius rhopalosiphi</w:t>
      </w:r>
      <w:r w:rsidRPr="00BF5259">
        <w:rPr>
          <w:rFonts w:ascii="Arial" w:hAnsi="Arial"/>
          <w:sz w:val="19"/>
          <w:szCs w:val="19"/>
        </w:rPr>
        <w:t>. Reference no. ER-99-13, PP901/0546</w:t>
      </w:r>
    </w:p>
    <w:p w14:paraId="379CE6AE" w14:textId="4091C9D5" w:rsidR="004E3808" w:rsidRPr="00BF5259" w:rsidRDefault="004E3808" w:rsidP="004E3808">
      <w:pPr>
        <w:pStyle w:val="APVMAText"/>
        <w:rPr>
          <w:rFonts w:ascii="Arial" w:hAnsi="Arial"/>
          <w:sz w:val="19"/>
          <w:szCs w:val="19"/>
        </w:rPr>
      </w:pPr>
      <w:r w:rsidRPr="00BF5259">
        <w:rPr>
          <w:rFonts w:ascii="Arial" w:hAnsi="Arial"/>
          <w:sz w:val="19"/>
          <w:szCs w:val="19"/>
        </w:rPr>
        <w:t>Austin HM, 1999</w:t>
      </w:r>
      <w:r w:rsidR="008648BF" w:rsidRPr="00BF5259">
        <w:rPr>
          <w:rFonts w:ascii="Arial" w:hAnsi="Arial"/>
          <w:sz w:val="19"/>
          <w:szCs w:val="19"/>
        </w:rPr>
        <w:t>c</w:t>
      </w:r>
      <w:r w:rsidRPr="00BF5259">
        <w:rPr>
          <w:rFonts w:ascii="Arial" w:hAnsi="Arial"/>
          <w:sz w:val="19"/>
          <w:szCs w:val="19"/>
        </w:rPr>
        <w:t>. Diquat: a tier 2 laboratory study to determine the LC</w:t>
      </w:r>
      <w:r w:rsidRPr="00BF5259">
        <w:rPr>
          <w:rFonts w:ascii="Arial" w:hAnsi="Arial"/>
          <w:sz w:val="19"/>
          <w:szCs w:val="19"/>
          <w:vertAlign w:val="subscript"/>
        </w:rPr>
        <w:t>50</w:t>
      </w:r>
      <w:r w:rsidRPr="00BF5259">
        <w:rPr>
          <w:rFonts w:ascii="Arial" w:hAnsi="Arial"/>
          <w:sz w:val="19"/>
          <w:szCs w:val="19"/>
        </w:rPr>
        <w:t xml:space="preserve"> of a 200 g/L SL formulation to the parasitic wasp </w:t>
      </w:r>
      <w:r w:rsidRPr="00BF5259">
        <w:rPr>
          <w:rFonts w:ascii="Arial" w:hAnsi="Arial"/>
          <w:i/>
          <w:iCs/>
          <w:sz w:val="19"/>
          <w:szCs w:val="19"/>
        </w:rPr>
        <w:t>Aphidius rhopalosiphi</w:t>
      </w:r>
      <w:r w:rsidRPr="00BF5259">
        <w:rPr>
          <w:rFonts w:ascii="Arial" w:hAnsi="Arial"/>
          <w:sz w:val="19"/>
          <w:szCs w:val="19"/>
        </w:rPr>
        <w:t>. Reference no. ER-99-HMA312, PP901/0550</w:t>
      </w:r>
    </w:p>
    <w:p w14:paraId="75E94C14" w14:textId="08706C48" w:rsidR="009A7378" w:rsidRPr="00BF5259" w:rsidRDefault="009A7378" w:rsidP="009A7378">
      <w:pPr>
        <w:pStyle w:val="NormalText"/>
        <w:rPr>
          <w:szCs w:val="19"/>
        </w:rPr>
      </w:pPr>
      <w:r w:rsidRPr="00BF5259">
        <w:rPr>
          <w:szCs w:val="19"/>
        </w:rPr>
        <w:t>Austin HM, Elcock VL, 1999</w:t>
      </w:r>
      <w:r w:rsidR="004E3808" w:rsidRPr="00BF5259">
        <w:rPr>
          <w:szCs w:val="19"/>
        </w:rPr>
        <w:t>a</w:t>
      </w:r>
      <w:r w:rsidRPr="00BF5259">
        <w:rPr>
          <w:szCs w:val="19"/>
        </w:rPr>
        <w:t>. Paraquat: a tier 1 laboratory study to determine the LC</w:t>
      </w:r>
      <w:r w:rsidRPr="00BF5259">
        <w:rPr>
          <w:szCs w:val="19"/>
          <w:vertAlign w:val="subscript"/>
        </w:rPr>
        <w:t>50</w:t>
      </w:r>
      <w:r w:rsidRPr="00BF5259">
        <w:rPr>
          <w:szCs w:val="19"/>
        </w:rPr>
        <w:t xml:space="preserve"> of a 100 g/L SL formulation to the predatory mite </w:t>
      </w:r>
      <w:r w:rsidRPr="00BF5259">
        <w:rPr>
          <w:i/>
          <w:iCs/>
          <w:szCs w:val="19"/>
        </w:rPr>
        <w:t>Typhlodromus pyri</w:t>
      </w:r>
      <w:r w:rsidRPr="00BF5259">
        <w:rPr>
          <w:szCs w:val="19"/>
        </w:rPr>
        <w:t>. Reference no. ER-99-12</w:t>
      </w:r>
    </w:p>
    <w:p w14:paraId="3B50BD0B" w14:textId="541635DB" w:rsidR="008648BF" w:rsidRPr="00BF5259" w:rsidRDefault="008648BF" w:rsidP="008648BF">
      <w:pPr>
        <w:pStyle w:val="APVMAText"/>
        <w:rPr>
          <w:rFonts w:ascii="Arial" w:hAnsi="Arial"/>
          <w:sz w:val="19"/>
          <w:szCs w:val="19"/>
        </w:rPr>
      </w:pPr>
      <w:r w:rsidRPr="00BF5259">
        <w:rPr>
          <w:rFonts w:ascii="Arial" w:hAnsi="Arial"/>
          <w:sz w:val="19"/>
          <w:szCs w:val="19"/>
        </w:rPr>
        <w:t>Austin HM, Elcock V, 1999b. Diquat: a tier 1 laboratory study to determine the LC</w:t>
      </w:r>
      <w:r w:rsidRPr="00BF5259">
        <w:rPr>
          <w:rFonts w:ascii="Arial" w:hAnsi="Arial"/>
          <w:sz w:val="19"/>
          <w:szCs w:val="19"/>
          <w:vertAlign w:val="subscript"/>
        </w:rPr>
        <w:t>30</w:t>
      </w:r>
      <w:r w:rsidRPr="00BF5259">
        <w:rPr>
          <w:rFonts w:ascii="Arial" w:hAnsi="Arial"/>
          <w:sz w:val="19"/>
          <w:szCs w:val="19"/>
        </w:rPr>
        <w:t xml:space="preserve"> and LC</w:t>
      </w:r>
      <w:r w:rsidRPr="00BF5259">
        <w:rPr>
          <w:rFonts w:ascii="Arial" w:hAnsi="Arial"/>
          <w:sz w:val="19"/>
          <w:szCs w:val="19"/>
          <w:vertAlign w:val="subscript"/>
        </w:rPr>
        <w:t>50</w:t>
      </w:r>
      <w:r w:rsidRPr="00BF5259">
        <w:rPr>
          <w:rFonts w:ascii="Arial" w:hAnsi="Arial"/>
          <w:sz w:val="19"/>
          <w:szCs w:val="19"/>
        </w:rPr>
        <w:t xml:space="preserve"> of a 200 g/L SL formulation to the predatory mite </w:t>
      </w:r>
      <w:r w:rsidRPr="00BF5259">
        <w:rPr>
          <w:rFonts w:ascii="Arial" w:hAnsi="Arial"/>
          <w:i/>
          <w:iCs/>
          <w:sz w:val="19"/>
          <w:szCs w:val="19"/>
        </w:rPr>
        <w:t>Typhlodromus pyri</w:t>
      </w:r>
      <w:r w:rsidRPr="00BF5259">
        <w:rPr>
          <w:rFonts w:ascii="Arial" w:hAnsi="Arial"/>
          <w:sz w:val="19"/>
          <w:szCs w:val="19"/>
        </w:rPr>
        <w:t>. Reference no. ER-99-11, PP901/0545</w:t>
      </w:r>
    </w:p>
    <w:p w14:paraId="23711428" w14:textId="44E1B654" w:rsidR="008648BF" w:rsidRPr="00BF5259" w:rsidRDefault="008648BF" w:rsidP="008648BF">
      <w:pPr>
        <w:pStyle w:val="APVMAText"/>
        <w:rPr>
          <w:rFonts w:ascii="Arial" w:hAnsi="Arial"/>
          <w:sz w:val="19"/>
          <w:szCs w:val="19"/>
        </w:rPr>
      </w:pPr>
      <w:r w:rsidRPr="00BF5259">
        <w:rPr>
          <w:rFonts w:ascii="Arial" w:hAnsi="Arial"/>
          <w:sz w:val="19"/>
          <w:szCs w:val="19"/>
        </w:rPr>
        <w:t>Austin HM, Elcock V, 1999c. Diquat: a tier 2 laboratory study to determine the LC</w:t>
      </w:r>
      <w:r w:rsidRPr="00BF5259">
        <w:rPr>
          <w:rFonts w:ascii="Arial" w:hAnsi="Arial"/>
          <w:sz w:val="19"/>
          <w:szCs w:val="19"/>
          <w:vertAlign w:val="subscript"/>
        </w:rPr>
        <w:t>50</w:t>
      </w:r>
      <w:r w:rsidRPr="00BF5259">
        <w:rPr>
          <w:rFonts w:ascii="Arial" w:hAnsi="Arial"/>
          <w:sz w:val="19"/>
          <w:szCs w:val="19"/>
        </w:rPr>
        <w:t xml:space="preserve"> of a 200 g/L SL formulation to the predatory mite </w:t>
      </w:r>
      <w:r w:rsidRPr="00BF5259">
        <w:rPr>
          <w:rFonts w:ascii="Arial" w:hAnsi="Arial"/>
          <w:i/>
          <w:iCs/>
          <w:sz w:val="19"/>
          <w:szCs w:val="19"/>
        </w:rPr>
        <w:t>Typhlodromus pyri</w:t>
      </w:r>
      <w:r w:rsidRPr="00BF5259">
        <w:rPr>
          <w:rFonts w:ascii="Arial" w:hAnsi="Arial"/>
          <w:sz w:val="19"/>
          <w:szCs w:val="19"/>
        </w:rPr>
        <w:t>. Reference no. ER-99-27, PP901/0548</w:t>
      </w:r>
    </w:p>
    <w:p w14:paraId="31689A56" w14:textId="77777777" w:rsidR="003C6DDF" w:rsidRPr="00BF5259" w:rsidRDefault="003C6DDF" w:rsidP="009A7378">
      <w:pPr>
        <w:pStyle w:val="NormalText"/>
        <w:rPr>
          <w:szCs w:val="19"/>
        </w:rPr>
      </w:pPr>
      <w:r w:rsidRPr="00BF5259">
        <w:rPr>
          <w:szCs w:val="19"/>
        </w:rPr>
        <w:t xml:space="preserve">Ayton, D. Ayton, S., Barker, A., Bush, A. and Warren, N. (2019). Parkinson's disease prevalence and the association with rurality and agricultural determinants. Parkinsonism &amp; related disorders, 61, 198–202. </w:t>
      </w:r>
    </w:p>
    <w:p w14:paraId="12188F42" w14:textId="66E319FB" w:rsidR="009A7378" w:rsidRPr="00BF5259" w:rsidRDefault="009A7378" w:rsidP="009A7378">
      <w:pPr>
        <w:pStyle w:val="NormalText"/>
        <w:rPr>
          <w:szCs w:val="19"/>
        </w:rPr>
      </w:pPr>
      <w:r w:rsidRPr="00BF5259">
        <w:rPr>
          <w:szCs w:val="19"/>
        </w:rPr>
        <w:t>Bakker F, 2005a. ZA0148 (paraquat): a field study to determine residues of a 200 g/L SL formulation (A3879BV) in row crop use (melon) in invertebrates as potential food items for birds and small mammals. Reference no. S011IRM</w:t>
      </w:r>
    </w:p>
    <w:p w14:paraId="533C9158" w14:textId="77777777" w:rsidR="009A7378" w:rsidRPr="00BF5259" w:rsidRDefault="009A7378" w:rsidP="009A7378">
      <w:pPr>
        <w:pStyle w:val="NormalText"/>
        <w:rPr>
          <w:szCs w:val="19"/>
        </w:rPr>
      </w:pPr>
      <w:r w:rsidRPr="00BF5259">
        <w:rPr>
          <w:szCs w:val="19"/>
        </w:rPr>
        <w:t>Bakker F, 2005b. ZA0148 (paraquat): a field study to determine residues of a 200 g/L SL formulation (A3879BV) in apple orchard invertebrates as potential food items for birds and mammals. Reference no. SA012IRA</w:t>
      </w:r>
    </w:p>
    <w:p w14:paraId="55A0C9EA" w14:textId="77777777" w:rsidR="009A7378" w:rsidRPr="00BF5259" w:rsidRDefault="009A7378" w:rsidP="009A7378">
      <w:pPr>
        <w:pStyle w:val="NormalText"/>
        <w:rPr>
          <w:szCs w:val="19"/>
        </w:rPr>
      </w:pPr>
      <w:r w:rsidRPr="00BF5259">
        <w:rPr>
          <w:szCs w:val="19"/>
        </w:rPr>
        <w:t xml:space="preserve">Baltazar MT, Dinis-Oliveira RJ, Martins A, de Lourdes Bastos M, Duarte JA, Guilhermino L, Carvalho F, 2014. Lysine acetylsalicylate increases the safety of a paraquat formulation to freshwater primary producers: a case study with the micro-alga </w:t>
      </w:r>
      <w:r w:rsidRPr="00BF5259">
        <w:rPr>
          <w:i/>
          <w:iCs/>
          <w:szCs w:val="19"/>
        </w:rPr>
        <w:t>Chlorella vulgaris</w:t>
      </w:r>
      <w:r w:rsidRPr="00BF5259">
        <w:rPr>
          <w:szCs w:val="19"/>
        </w:rPr>
        <w:t>. Aquat Toxicol 146: 137-143</w:t>
      </w:r>
    </w:p>
    <w:p w14:paraId="22A33293" w14:textId="77777777" w:rsidR="00370B37" w:rsidRPr="00BF5259" w:rsidRDefault="00370B37" w:rsidP="00370B37">
      <w:pPr>
        <w:pStyle w:val="APVMAText"/>
        <w:rPr>
          <w:rFonts w:ascii="Arial" w:hAnsi="Arial"/>
          <w:sz w:val="19"/>
          <w:szCs w:val="19"/>
        </w:rPr>
      </w:pPr>
      <w:r w:rsidRPr="00BF5259">
        <w:rPr>
          <w:rFonts w:ascii="Arial" w:hAnsi="Arial"/>
          <w:sz w:val="19"/>
          <w:szCs w:val="19"/>
        </w:rPr>
        <w:t xml:space="preserve">Beech P, 1997. An extended laboratory test to determine the effects of the herbicide Reglone (YF7017A), a soluble liquid formulation of diquat (200 g/L), on </w:t>
      </w:r>
      <w:r w:rsidRPr="00BF5259">
        <w:rPr>
          <w:rFonts w:ascii="Arial" w:hAnsi="Arial"/>
          <w:i/>
          <w:iCs/>
          <w:sz w:val="19"/>
          <w:szCs w:val="19"/>
        </w:rPr>
        <w:t>Aleochara bilineata</w:t>
      </w:r>
      <w:r w:rsidRPr="00BF5259">
        <w:rPr>
          <w:rFonts w:ascii="Arial" w:hAnsi="Arial"/>
          <w:sz w:val="19"/>
          <w:szCs w:val="19"/>
        </w:rPr>
        <w:t>. Reference no. PP901/0554</w:t>
      </w:r>
    </w:p>
    <w:p w14:paraId="02722429" w14:textId="77777777" w:rsidR="00370B37" w:rsidRPr="00BF5259" w:rsidRDefault="00370B37" w:rsidP="00370B37">
      <w:pPr>
        <w:pStyle w:val="APVMAText"/>
        <w:rPr>
          <w:rFonts w:ascii="Arial" w:hAnsi="Arial"/>
          <w:sz w:val="19"/>
          <w:szCs w:val="19"/>
        </w:rPr>
      </w:pPr>
      <w:r w:rsidRPr="00BF5259">
        <w:rPr>
          <w:rFonts w:ascii="Arial" w:hAnsi="Arial"/>
          <w:sz w:val="19"/>
          <w:szCs w:val="19"/>
        </w:rPr>
        <w:t>Bellet E, 1990. Effect of diquat on terrestrial plants - a tier 3 study. Reference no. PP901/0581</w:t>
      </w:r>
    </w:p>
    <w:p w14:paraId="3B43EAC8" w14:textId="77777777" w:rsidR="004E3808" w:rsidRPr="00BF5259" w:rsidRDefault="004E3808" w:rsidP="004E3808">
      <w:pPr>
        <w:pStyle w:val="APVMAText"/>
        <w:rPr>
          <w:rFonts w:ascii="Arial" w:hAnsi="Arial"/>
          <w:sz w:val="19"/>
          <w:szCs w:val="19"/>
        </w:rPr>
      </w:pPr>
      <w:r w:rsidRPr="00BF5259">
        <w:rPr>
          <w:rFonts w:ascii="Arial" w:hAnsi="Arial"/>
          <w:sz w:val="19"/>
          <w:szCs w:val="19"/>
        </w:rPr>
        <w:t xml:space="preserve">Bender EP, 2006a. Diquat technical: acute toxicity to </w:t>
      </w:r>
      <w:r w:rsidRPr="00BF5259">
        <w:rPr>
          <w:rFonts w:ascii="Arial" w:hAnsi="Arial"/>
          <w:i/>
          <w:iCs/>
          <w:sz w:val="19"/>
          <w:szCs w:val="19"/>
        </w:rPr>
        <w:t>Hyalella azteca</w:t>
      </w:r>
      <w:r w:rsidRPr="00BF5259">
        <w:rPr>
          <w:rFonts w:ascii="Arial" w:hAnsi="Arial"/>
          <w:sz w:val="19"/>
          <w:szCs w:val="19"/>
        </w:rPr>
        <w:t xml:space="preserve"> under static conditions. Reference no. 1666-CRA-510-05</w:t>
      </w:r>
    </w:p>
    <w:p w14:paraId="3792D1CC" w14:textId="77777777" w:rsidR="004E3808" w:rsidRPr="00BF5259" w:rsidRDefault="004E3808" w:rsidP="004E3808">
      <w:pPr>
        <w:pStyle w:val="APVMAText"/>
        <w:rPr>
          <w:rFonts w:ascii="Arial" w:hAnsi="Arial"/>
          <w:sz w:val="19"/>
          <w:szCs w:val="19"/>
        </w:rPr>
      </w:pPr>
      <w:r w:rsidRPr="00BF5259">
        <w:rPr>
          <w:rFonts w:ascii="Arial" w:hAnsi="Arial"/>
          <w:sz w:val="19"/>
          <w:szCs w:val="19"/>
        </w:rPr>
        <w:t>Bender EP, 2006b. Reward: acute toxicity with earthworm (</w:t>
      </w:r>
      <w:r w:rsidRPr="00BF5259">
        <w:rPr>
          <w:rFonts w:ascii="Arial" w:hAnsi="Arial"/>
          <w:i/>
          <w:iCs/>
          <w:sz w:val="19"/>
          <w:szCs w:val="19"/>
        </w:rPr>
        <w:t>Eisenia fetida</w:t>
      </w:r>
      <w:r w:rsidRPr="00BF5259">
        <w:rPr>
          <w:rFonts w:ascii="Arial" w:hAnsi="Arial"/>
          <w:sz w:val="19"/>
          <w:szCs w:val="19"/>
        </w:rPr>
        <w:t>). Reference no. 1639-EF-502-05, PP901/1967</w:t>
      </w:r>
    </w:p>
    <w:p w14:paraId="146EF3E5" w14:textId="77777777" w:rsidR="009A7378" w:rsidRPr="00BF5259" w:rsidRDefault="009A7378" w:rsidP="009A7378">
      <w:pPr>
        <w:pStyle w:val="NormalText"/>
        <w:rPr>
          <w:szCs w:val="19"/>
        </w:rPr>
      </w:pPr>
      <w:r w:rsidRPr="00BF5259">
        <w:rPr>
          <w:szCs w:val="19"/>
        </w:rPr>
        <w:t>Bradley MJ, 2015a. Paraquat dichloride: 10-day toxicity test exposing amphipods (</w:t>
      </w:r>
      <w:r w:rsidRPr="00BF5259">
        <w:rPr>
          <w:i/>
          <w:iCs/>
          <w:szCs w:val="19"/>
        </w:rPr>
        <w:t>Hyalella azteca</w:t>
      </w:r>
      <w:r w:rsidRPr="00BF5259">
        <w:rPr>
          <w:szCs w:val="19"/>
        </w:rPr>
        <w:t>) to paraquat dichloride applied to sediment under static-renewal conditions. Reference no. 1781.7017</w:t>
      </w:r>
    </w:p>
    <w:p w14:paraId="7F8F6284" w14:textId="77777777" w:rsidR="009A7378" w:rsidRPr="00BF5259" w:rsidRDefault="009A7378" w:rsidP="009A7378">
      <w:pPr>
        <w:pStyle w:val="NormalText"/>
        <w:rPr>
          <w:szCs w:val="19"/>
        </w:rPr>
      </w:pPr>
      <w:r w:rsidRPr="00BF5259">
        <w:rPr>
          <w:szCs w:val="19"/>
        </w:rPr>
        <w:t>Bradley MJ, 2015b. Paraquat dichloride: 10-day toxicity test exposing estuarine amphipods (</w:t>
      </w:r>
      <w:r w:rsidRPr="00BF5259">
        <w:rPr>
          <w:i/>
          <w:iCs/>
          <w:szCs w:val="19"/>
        </w:rPr>
        <w:t>Leptocheirus plumulosus</w:t>
      </w:r>
      <w:r w:rsidRPr="00BF5259">
        <w:rPr>
          <w:szCs w:val="19"/>
        </w:rPr>
        <w:t>) to paraquat dichloride applied to sediment under static-renewal conditions. Reference no. 1781.7018</w:t>
      </w:r>
    </w:p>
    <w:p w14:paraId="3AC36959" w14:textId="77777777" w:rsidR="009A7378" w:rsidRPr="00BF5259" w:rsidRDefault="009A7378" w:rsidP="009A7378">
      <w:pPr>
        <w:pStyle w:val="NormalText"/>
        <w:rPr>
          <w:szCs w:val="19"/>
        </w:rPr>
      </w:pPr>
      <w:r w:rsidRPr="00BF5259">
        <w:rPr>
          <w:szCs w:val="19"/>
        </w:rPr>
        <w:t>Bradley MJ, 2015c. Paraquat dichloride: 10-day toxicity test exposing midge (</w:t>
      </w:r>
      <w:r w:rsidRPr="00BF5259">
        <w:rPr>
          <w:i/>
          <w:iCs/>
          <w:szCs w:val="19"/>
        </w:rPr>
        <w:t>Chironomus dilutus</w:t>
      </w:r>
      <w:r w:rsidRPr="00BF5259">
        <w:rPr>
          <w:szCs w:val="19"/>
        </w:rPr>
        <w:t>) to paraquat dichloride applied to sediment under static-renewal conditions. Reference no. 1781.7016</w:t>
      </w:r>
    </w:p>
    <w:p w14:paraId="1259887D" w14:textId="589E6655" w:rsidR="007F1120" w:rsidRPr="00BF5259" w:rsidRDefault="007F1120" w:rsidP="007F1120">
      <w:pPr>
        <w:pStyle w:val="NormalText"/>
        <w:rPr>
          <w:szCs w:val="19"/>
        </w:rPr>
      </w:pPr>
      <w:r w:rsidRPr="00BF5259">
        <w:rPr>
          <w:szCs w:val="19"/>
        </w:rPr>
        <w:lastRenderedPageBreak/>
        <w:t>Brown N, 1994(a). Paraquat: Residues in Chick Peas (Seed and Straw) from a Trial in Australia During 1993. Report No. 94-05.</w:t>
      </w:r>
    </w:p>
    <w:p w14:paraId="10FC7255" w14:textId="4FC8ADDC" w:rsidR="007F1120" w:rsidRPr="00BF5259" w:rsidRDefault="007F1120" w:rsidP="007F1120">
      <w:pPr>
        <w:pStyle w:val="NormalText"/>
        <w:rPr>
          <w:szCs w:val="19"/>
        </w:rPr>
      </w:pPr>
      <w:r w:rsidRPr="00BF5259">
        <w:rPr>
          <w:szCs w:val="19"/>
        </w:rPr>
        <w:t>Brown N, 1994(b). Paraquat: Residues in Field Peas (Seed and Straw) from a Trial in Australia During 1993. Report No. 94-06.</w:t>
      </w:r>
    </w:p>
    <w:p w14:paraId="1505FD28" w14:textId="60C2A8BC" w:rsidR="007F1120" w:rsidRPr="00BF5259" w:rsidRDefault="007F1120" w:rsidP="009A7378">
      <w:pPr>
        <w:pStyle w:val="NormalText"/>
        <w:rPr>
          <w:szCs w:val="19"/>
        </w:rPr>
      </w:pPr>
      <w:r w:rsidRPr="00BF5259">
        <w:rPr>
          <w:szCs w:val="19"/>
        </w:rPr>
        <w:t>Brown N, 1994(c). Paraquat: Residues in Lupins (Seed and Straw) from a Trial in Australia During 1993. Report No. 94-07.</w:t>
      </w:r>
    </w:p>
    <w:p w14:paraId="69E67BB8" w14:textId="77777777" w:rsidR="006868E0" w:rsidRPr="00BF5259" w:rsidRDefault="006868E0" w:rsidP="006868E0">
      <w:pPr>
        <w:pStyle w:val="NormalText"/>
        <w:rPr>
          <w:szCs w:val="19"/>
        </w:rPr>
      </w:pPr>
      <w:r w:rsidRPr="00BF5259">
        <w:rPr>
          <w:szCs w:val="19"/>
        </w:rPr>
        <w:t>Brown N, 1994(d). Paraquat: Residues in Wheat (Grain and Straw) from a Trial in Australia During 1993. No. 94-04.</w:t>
      </w:r>
    </w:p>
    <w:p w14:paraId="3EB9B7C0" w14:textId="45EAB9B9" w:rsidR="006868E0" w:rsidRPr="00BF5259" w:rsidRDefault="006868E0" w:rsidP="006868E0">
      <w:pPr>
        <w:pStyle w:val="NormalText"/>
        <w:rPr>
          <w:szCs w:val="19"/>
        </w:rPr>
      </w:pPr>
      <w:r w:rsidRPr="00BF5259">
        <w:rPr>
          <w:szCs w:val="19"/>
        </w:rPr>
        <w:t>Brown N, 1994(e). Paraquat: Residues in Barley (Grain and Straw) from a Trial in Australia During 1993. ICI Australia Research Group Report No. 94-03.</w:t>
      </w:r>
    </w:p>
    <w:p w14:paraId="52A073F0" w14:textId="26D03001" w:rsidR="007F1120" w:rsidRPr="00BF5259" w:rsidRDefault="007F1120" w:rsidP="009A7378">
      <w:pPr>
        <w:pStyle w:val="NormalText"/>
        <w:rPr>
          <w:szCs w:val="19"/>
        </w:rPr>
      </w:pPr>
      <w:r w:rsidRPr="00BF5259">
        <w:rPr>
          <w:szCs w:val="19"/>
        </w:rPr>
        <w:t>Brown N and Marcus K, 1996. Paraquat and Diquat: Residues in Cotton from Trials in Australia During 1995. Report No. 951698.</w:t>
      </w:r>
    </w:p>
    <w:p w14:paraId="75AD5DDC" w14:textId="4AC224AE" w:rsidR="009A7378" w:rsidRPr="00BF5259" w:rsidRDefault="009A7378" w:rsidP="009A7378">
      <w:pPr>
        <w:pStyle w:val="NormalText"/>
        <w:rPr>
          <w:szCs w:val="19"/>
        </w:rPr>
      </w:pPr>
      <w:r w:rsidRPr="00BF5259">
        <w:rPr>
          <w:szCs w:val="19"/>
        </w:rPr>
        <w:t xml:space="preserve">Bruhnke C, 2007. Paraquat technical: acute effects on the honeybee </w:t>
      </w:r>
      <w:r w:rsidRPr="00BF5259">
        <w:rPr>
          <w:i/>
          <w:iCs/>
          <w:szCs w:val="19"/>
        </w:rPr>
        <w:t>Apis mellifera</w:t>
      </w:r>
      <w:r w:rsidRPr="00BF5259">
        <w:rPr>
          <w:szCs w:val="19"/>
        </w:rPr>
        <w:t xml:space="preserve"> (Hymenoptera: Apidae). Reference no. IBA112271</w:t>
      </w:r>
    </w:p>
    <w:p w14:paraId="30E4DCB9" w14:textId="5D6469AA" w:rsidR="00AA4380" w:rsidRPr="00BF5259" w:rsidRDefault="00AA4380" w:rsidP="009A7378">
      <w:pPr>
        <w:pStyle w:val="NormalText"/>
        <w:rPr>
          <w:szCs w:val="19"/>
        </w:rPr>
      </w:pPr>
      <w:r w:rsidRPr="00BF5259">
        <w:rPr>
          <w:szCs w:val="19"/>
        </w:rPr>
        <w:t>Brown MP and Whitney JC, 1984. Paraquat: Combined toxicity and carcinogenicity study in rats. Photomicrography of selected tissues. IL23 7PX</w:t>
      </w:r>
    </w:p>
    <w:p w14:paraId="76A75846" w14:textId="4304F983" w:rsidR="009D6E60" w:rsidRPr="00BF5259" w:rsidRDefault="009D6E60" w:rsidP="009A7378">
      <w:pPr>
        <w:pStyle w:val="NormalText"/>
        <w:rPr>
          <w:szCs w:val="19"/>
        </w:rPr>
      </w:pPr>
      <w:r w:rsidRPr="00BF5259">
        <w:rPr>
          <w:szCs w:val="19"/>
        </w:rPr>
        <w:t>Bugg L and Duerden L, 1994. Paraquat dichloride technical concentrate: Eye irritation to the rabbit. Report No. CTL/P/4566.</w:t>
      </w:r>
    </w:p>
    <w:p w14:paraId="16F6BBA8" w14:textId="140749CF" w:rsidR="009A7378" w:rsidRPr="00BF5259" w:rsidRDefault="009A7378" w:rsidP="009A7378">
      <w:pPr>
        <w:pStyle w:val="NormalText"/>
        <w:rPr>
          <w:szCs w:val="19"/>
        </w:rPr>
      </w:pPr>
      <w:r w:rsidRPr="00BF5259">
        <w:rPr>
          <w:szCs w:val="19"/>
        </w:rPr>
        <w:t>Bull JM, Wilkinson W, 1987. Paraquat: acute 5-day contact and oral toxicity to honey bees (</w:t>
      </w:r>
      <w:r w:rsidRPr="00BF5259">
        <w:rPr>
          <w:i/>
          <w:iCs/>
          <w:szCs w:val="19"/>
        </w:rPr>
        <w:t>Apis mellifera</w:t>
      </w:r>
      <w:r w:rsidRPr="00BF5259">
        <w:rPr>
          <w:szCs w:val="19"/>
        </w:rPr>
        <w:t>). Reference no. RJ0578B</w:t>
      </w:r>
    </w:p>
    <w:p w14:paraId="30811191" w14:textId="0EEF535F" w:rsidR="00D94AC8" w:rsidRPr="00BF5259" w:rsidRDefault="00D94AC8" w:rsidP="004C40C5">
      <w:pPr>
        <w:pStyle w:val="NormalText"/>
        <w:rPr>
          <w:szCs w:val="19"/>
        </w:rPr>
      </w:pPr>
      <w:r w:rsidRPr="00BF5259">
        <w:rPr>
          <w:szCs w:val="19"/>
        </w:rPr>
        <w:t>Bullock CH, 1983. The comparative four-hour skin irritation potential of aqueous dilutions of paraquat CL (SX-1420).</w:t>
      </w:r>
    </w:p>
    <w:p w14:paraId="3BB8F2C0" w14:textId="77777777" w:rsidR="00F3263D" w:rsidRPr="00BF5259" w:rsidRDefault="00F3263D" w:rsidP="00F3263D">
      <w:pPr>
        <w:pStyle w:val="NormalText"/>
        <w:rPr>
          <w:szCs w:val="19"/>
        </w:rPr>
      </w:pPr>
      <w:r w:rsidRPr="00BF5259">
        <w:rPr>
          <w:szCs w:val="19"/>
        </w:rPr>
        <w:t>Brühl CA, Guckenmus B, Ebeling M, Barfknecht R, 2011. Exposure reduction of seed treatments through dehusking behaviour of the wood mouse (</w:t>
      </w:r>
      <w:r w:rsidRPr="00BF5259">
        <w:rPr>
          <w:i/>
          <w:iCs/>
          <w:szCs w:val="19"/>
        </w:rPr>
        <w:t>Apodemus sylvaticus</w:t>
      </w:r>
      <w:r w:rsidRPr="00BF5259">
        <w:rPr>
          <w:szCs w:val="19"/>
        </w:rPr>
        <w:t>). Environmental Science and Pollution Research International, 18, 31-37. DOI: 10.1007/s11356-010-0351-x</w:t>
      </w:r>
    </w:p>
    <w:p w14:paraId="39CC22B9" w14:textId="44FCC792" w:rsidR="004C40C5" w:rsidRPr="00BF5259" w:rsidRDefault="004C40C5" w:rsidP="004C40C5">
      <w:pPr>
        <w:pStyle w:val="NormalText"/>
        <w:rPr>
          <w:szCs w:val="19"/>
        </w:rPr>
      </w:pPr>
      <w:r w:rsidRPr="00BF5259">
        <w:rPr>
          <w:szCs w:val="19"/>
        </w:rPr>
        <w:t>Calderbank A and Yuan SH, 1963. Bipyridylium Herbicides: Residues of Diquat and Paraquat in Food Crops. Report No. PP/2/231.</w:t>
      </w:r>
    </w:p>
    <w:p w14:paraId="6614EB60" w14:textId="77777777" w:rsidR="004C40C5" w:rsidRPr="00BF5259" w:rsidRDefault="004C40C5" w:rsidP="004C40C5">
      <w:pPr>
        <w:pStyle w:val="NormalText"/>
        <w:rPr>
          <w:szCs w:val="19"/>
        </w:rPr>
      </w:pPr>
      <w:r w:rsidRPr="00BF5259">
        <w:rPr>
          <w:szCs w:val="19"/>
        </w:rPr>
        <w:t>Calderbank A and McKenna RH, 1964. Bipyridylium Herbicides: Residues of Diquat and Paraquat in Food Crops from 1963 Trials. Report No. PP/E/292.</w:t>
      </w:r>
    </w:p>
    <w:p w14:paraId="00D1059B" w14:textId="04F28DCC" w:rsidR="00746FCD" w:rsidRPr="00BF5259" w:rsidRDefault="00746FCD" w:rsidP="004C40C5">
      <w:pPr>
        <w:pStyle w:val="NormalText"/>
        <w:rPr>
          <w:szCs w:val="19"/>
        </w:rPr>
      </w:pPr>
      <w:r w:rsidRPr="00BF5259">
        <w:rPr>
          <w:szCs w:val="19"/>
        </w:rPr>
        <w:t>Calderbank A and Slade P, 1966. The Fate of Paraquat in Plants. Outlook on Agriculture 5(2): 55-59.</w:t>
      </w:r>
    </w:p>
    <w:p w14:paraId="7C4924B9" w14:textId="590F73EF" w:rsidR="00746FCD" w:rsidRPr="00BF5259" w:rsidRDefault="00746FCD" w:rsidP="00746FCD">
      <w:pPr>
        <w:pStyle w:val="NormalText"/>
        <w:rPr>
          <w:szCs w:val="19"/>
        </w:rPr>
      </w:pPr>
      <w:r w:rsidRPr="00BF5259">
        <w:rPr>
          <w:szCs w:val="19"/>
        </w:rPr>
        <w:t>Calderbank A and McKenna RH, 1966. Excretion of the N-Methyl Quaternary Salt of Isonicotinic Acid (QINA) in the milk of a Cow. Report No. A 126,363</w:t>
      </w:r>
    </w:p>
    <w:p w14:paraId="535089E7" w14:textId="140A8AD1" w:rsidR="00B4150A" w:rsidRPr="00BF5259" w:rsidRDefault="00B4150A" w:rsidP="00746FCD">
      <w:pPr>
        <w:pStyle w:val="NormalText"/>
        <w:rPr>
          <w:szCs w:val="19"/>
        </w:rPr>
      </w:pPr>
      <w:r w:rsidRPr="00BF5259">
        <w:rPr>
          <w:szCs w:val="19"/>
        </w:rPr>
        <w:lastRenderedPageBreak/>
        <w:t>Calderbank A, McKenna RH, Stevens MA and Walley JK, 1966. Bipyridylium Herbicides: Paraquat Grazing Trial. Report No A.126,382</w:t>
      </w:r>
    </w:p>
    <w:p w14:paraId="427975DC" w14:textId="7DEEC8E4" w:rsidR="00B4150A" w:rsidRPr="00BF5259" w:rsidRDefault="00B4150A" w:rsidP="004C40C5">
      <w:pPr>
        <w:pStyle w:val="NormalText"/>
        <w:rPr>
          <w:szCs w:val="19"/>
        </w:rPr>
      </w:pPr>
      <w:r w:rsidRPr="00BF5259">
        <w:rPr>
          <w:szCs w:val="19"/>
        </w:rPr>
        <w:t>Calderbank A, McKenna RH, Stevens MA and Walley JK, 1968. Grazing Trials on Paraquat Treated Pasture. J.Sci. Fd. Agric. 19</w:t>
      </w:r>
    </w:p>
    <w:p w14:paraId="772EF750" w14:textId="15CBB207" w:rsidR="004C40C5" w:rsidRPr="00BF5259" w:rsidRDefault="004C40C5" w:rsidP="004C40C5">
      <w:pPr>
        <w:pStyle w:val="NormalText"/>
        <w:rPr>
          <w:szCs w:val="19"/>
        </w:rPr>
      </w:pPr>
      <w:r w:rsidRPr="00BF5259">
        <w:rPr>
          <w:szCs w:val="19"/>
        </w:rPr>
        <w:t>California Chemical Company, 1965. Paraquat-14C on Sugar Cane. Test Number T-612.</w:t>
      </w:r>
    </w:p>
    <w:p w14:paraId="1289E3E4" w14:textId="13EA66C6" w:rsidR="009A7378" w:rsidRPr="00BF5259" w:rsidRDefault="009A7378" w:rsidP="009A7378">
      <w:pPr>
        <w:pStyle w:val="NormalText"/>
        <w:rPr>
          <w:szCs w:val="19"/>
        </w:rPr>
      </w:pPr>
      <w:r w:rsidRPr="00BF5259">
        <w:rPr>
          <w:szCs w:val="19"/>
        </w:rPr>
        <w:t xml:space="preserve">Canning L, White JS, 1992. Paraquat: a glasshouse study to evaluate the effects on vegetative vigour of a 300 g </w:t>
      </w:r>
      <w:r w:rsidR="00FC430E" w:rsidRPr="00BF5259">
        <w:rPr>
          <w:szCs w:val="19"/>
        </w:rPr>
        <w:t>ac/</w:t>
      </w:r>
      <w:r w:rsidRPr="00BF5259">
        <w:rPr>
          <w:szCs w:val="19"/>
        </w:rPr>
        <w:t xml:space="preserve">L (2.5 </w:t>
      </w:r>
      <w:r w:rsidR="00FC430E" w:rsidRPr="00BF5259">
        <w:rPr>
          <w:szCs w:val="19"/>
        </w:rPr>
        <w:t>ac/</w:t>
      </w:r>
      <w:r w:rsidRPr="00BF5259">
        <w:rPr>
          <w:szCs w:val="19"/>
        </w:rPr>
        <w:t>US gal) soluble concentrate formulation on terrestrial non-target plants. Reference no. 92JH088</w:t>
      </w:r>
    </w:p>
    <w:p w14:paraId="3E0A0382" w14:textId="77777777" w:rsidR="00F3263D" w:rsidRPr="00BF5259" w:rsidRDefault="00F3263D" w:rsidP="00F3263D">
      <w:pPr>
        <w:pStyle w:val="NormalText"/>
        <w:rPr>
          <w:szCs w:val="19"/>
        </w:rPr>
      </w:pPr>
      <w:r w:rsidRPr="00BF5259">
        <w:rPr>
          <w:szCs w:val="19"/>
        </w:rPr>
        <w:t xml:space="preserve">Carron PL, Happold DCD, Bubela TM, 1990. Diet of two sympatric Australian subalpine rodents, </w:t>
      </w:r>
      <w:r w:rsidRPr="00BF5259">
        <w:rPr>
          <w:i/>
          <w:iCs/>
          <w:szCs w:val="19"/>
        </w:rPr>
        <w:t>Mastacomys fuscus</w:t>
      </w:r>
      <w:r w:rsidRPr="00BF5259">
        <w:rPr>
          <w:szCs w:val="19"/>
        </w:rPr>
        <w:t xml:space="preserve"> and </w:t>
      </w:r>
      <w:r w:rsidRPr="00BF5259">
        <w:rPr>
          <w:i/>
          <w:iCs/>
          <w:szCs w:val="19"/>
        </w:rPr>
        <w:t>Rattus fuscipes</w:t>
      </w:r>
      <w:r w:rsidRPr="00BF5259">
        <w:rPr>
          <w:szCs w:val="19"/>
        </w:rPr>
        <w:t>. Aust. Wildl. Res. 17: 479-489</w:t>
      </w:r>
    </w:p>
    <w:p w14:paraId="53D8CD07" w14:textId="77777777" w:rsidR="00F3263D" w:rsidRPr="00BF5259" w:rsidRDefault="00F3263D" w:rsidP="00F3263D">
      <w:pPr>
        <w:pStyle w:val="NormalText"/>
        <w:rPr>
          <w:szCs w:val="19"/>
        </w:rPr>
      </w:pPr>
      <w:r w:rsidRPr="00BF5259">
        <w:rPr>
          <w:szCs w:val="19"/>
        </w:rPr>
        <w:t xml:space="preserve">Cheal DC, 1987. The diets and dietary preferences of </w:t>
      </w:r>
      <w:r w:rsidRPr="00BF5259">
        <w:rPr>
          <w:i/>
          <w:iCs/>
          <w:szCs w:val="19"/>
        </w:rPr>
        <w:t>Rattus fuscipes</w:t>
      </w:r>
      <w:r w:rsidRPr="00BF5259">
        <w:rPr>
          <w:szCs w:val="19"/>
        </w:rPr>
        <w:t xml:space="preserve"> and </w:t>
      </w:r>
      <w:r w:rsidRPr="00BF5259">
        <w:rPr>
          <w:i/>
          <w:iCs/>
          <w:szCs w:val="19"/>
        </w:rPr>
        <w:t>Rattus lutreolus</w:t>
      </w:r>
      <w:r w:rsidRPr="00BF5259">
        <w:rPr>
          <w:szCs w:val="19"/>
        </w:rPr>
        <w:t xml:space="preserve"> at Walkerville in Victoria. Aust Wildl Res 14: 35-44</w:t>
      </w:r>
    </w:p>
    <w:p w14:paraId="4EF85CB9" w14:textId="00FF0E6B" w:rsidR="009A7378" w:rsidRPr="00BF5259" w:rsidRDefault="009A7378" w:rsidP="00F3263D">
      <w:pPr>
        <w:pStyle w:val="NormalText"/>
        <w:rPr>
          <w:szCs w:val="19"/>
        </w:rPr>
      </w:pPr>
      <w:r w:rsidRPr="00BF5259">
        <w:rPr>
          <w:szCs w:val="19"/>
        </w:rPr>
        <w:t xml:space="preserve">Cheloni G, Slaveykova VE, 2021. Morphological plasticity in </w:t>
      </w:r>
      <w:r w:rsidRPr="00BF5259">
        <w:rPr>
          <w:i/>
          <w:iCs/>
          <w:szCs w:val="19"/>
        </w:rPr>
        <w:t>Chlamydomonas reinhardtii</w:t>
      </w:r>
      <w:r w:rsidRPr="00BF5259">
        <w:rPr>
          <w:szCs w:val="19"/>
        </w:rPr>
        <w:t xml:space="preserve"> and acclimation to micropollutant stress. Aquat Toxicol 231: 105711</w:t>
      </w:r>
    </w:p>
    <w:p w14:paraId="681562FB" w14:textId="77777777" w:rsidR="008761AA" w:rsidRPr="00BF5259" w:rsidRDefault="008761AA" w:rsidP="008761AA">
      <w:pPr>
        <w:pStyle w:val="APVMAText"/>
        <w:rPr>
          <w:rFonts w:ascii="Arial" w:hAnsi="Arial"/>
          <w:sz w:val="19"/>
          <w:szCs w:val="19"/>
        </w:rPr>
      </w:pPr>
      <w:bookmarkStart w:id="781" w:name="_Hlk163820003"/>
      <w:r w:rsidRPr="00BF5259">
        <w:rPr>
          <w:rFonts w:ascii="Arial" w:hAnsi="Arial"/>
          <w:sz w:val="19"/>
          <w:szCs w:val="19"/>
        </w:rPr>
        <w:t>Clark DG, Hurst EW, 1970. The toxicity of diquat. Brit J Industr Med 27: 51-55</w:t>
      </w:r>
      <w:bookmarkEnd w:id="781"/>
    </w:p>
    <w:p w14:paraId="2909F635" w14:textId="698618FD" w:rsidR="009A7378" w:rsidRPr="00BF5259" w:rsidRDefault="009A7378" w:rsidP="009A7378">
      <w:pPr>
        <w:pStyle w:val="NormalText"/>
        <w:rPr>
          <w:szCs w:val="19"/>
        </w:rPr>
      </w:pPr>
      <w:r w:rsidRPr="00BF5259">
        <w:rPr>
          <w:szCs w:val="19"/>
        </w:rPr>
        <w:t>Claude MB, Martin KH, Gallagher SP, 2014</w:t>
      </w:r>
      <w:r w:rsidR="00C37569" w:rsidRPr="00BF5259">
        <w:rPr>
          <w:szCs w:val="19"/>
        </w:rPr>
        <w:t>(</w:t>
      </w:r>
      <w:r w:rsidRPr="00BF5259">
        <w:rPr>
          <w:szCs w:val="19"/>
        </w:rPr>
        <w:t>a</w:t>
      </w:r>
      <w:r w:rsidR="00C37569" w:rsidRPr="00BF5259">
        <w:rPr>
          <w:szCs w:val="19"/>
        </w:rPr>
        <w:t>)</w:t>
      </w:r>
      <w:r w:rsidRPr="00BF5259">
        <w:rPr>
          <w:szCs w:val="19"/>
        </w:rPr>
        <w:t>. Paraquat dichloride: a 96-hour flow-through acute toxicity test with the sheepshead minnow (</w:t>
      </w:r>
      <w:r w:rsidRPr="00BF5259">
        <w:rPr>
          <w:i/>
          <w:iCs/>
          <w:szCs w:val="19"/>
        </w:rPr>
        <w:t>Cyprinodon variegatus</w:t>
      </w:r>
      <w:r w:rsidRPr="00BF5259">
        <w:rPr>
          <w:szCs w:val="19"/>
        </w:rPr>
        <w:t>). Reference no. 528A-264</w:t>
      </w:r>
    </w:p>
    <w:p w14:paraId="7E37104A" w14:textId="25FD614A" w:rsidR="009A7378" w:rsidRPr="00BF5259" w:rsidRDefault="009A7378" w:rsidP="009A7378">
      <w:pPr>
        <w:pStyle w:val="NormalText"/>
        <w:rPr>
          <w:szCs w:val="19"/>
        </w:rPr>
      </w:pPr>
      <w:r w:rsidRPr="00BF5259">
        <w:rPr>
          <w:szCs w:val="19"/>
        </w:rPr>
        <w:t>Claude MB, Martin KH, Gallagher SP, 2014</w:t>
      </w:r>
      <w:r w:rsidR="00C37569" w:rsidRPr="00BF5259">
        <w:rPr>
          <w:szCs w:val="19"/>
        </w:rPr>
        <w:t>(</w:t>
      </w:r>
      <w:r w:rsidRPr="00BF5259">
        <w:rPr>
          <w:szCs w:val="19"/>
        </w:rPr>
        <w:t>b</w:t>
      </w:r>
      <w:r w:rsidR="00C37569" w:rsidRPr="00BF5259">
        <w:rPr>
          <w:szCs w:val="19"/>
        </w:rPr>
        <w:t>)</w:t>
      </w:r>
      <w:r w:rsidRPr="00BF5259">
        <w:rPr>
          <w:szCs w:val="19"/>
        </w:rPr>
        <w:t>. Paraquat dichloride: a 96-hour flow-through acute toxicity test with the fathead minnow (</w:t>
      </w:r>
      <w:r w:rsidRPr="00BF5259">
        <w:rPr>
          <w:i/>
          <w:iCs/>
          <w:szCs w:val="19"/>
        </w:rPr>
        <w:t>Pimephales promelas</w:t>
      </w:r>
      <w:r w:rsidRPr="00BF5259">
        <w:rPr>
          <w:szCs w:val="19"/>
        </w:rPr>
        <w:t>). Reference no. 528A-258</w:t>
      </w:r>
    </w:p>
    <w:p w14:paraId="2178DA33" w14:textId="0DCCDBD6" w:rsidR="009A7378" w:rsidRPr="00BF5259" w:rsidRDefault="009A7378" w:rsidP="009A7378">
      <w:pPr>
        <w:pStyle w:val="NormalText"/>
        <w:rPr>
          <w:szCs w:val="19"/>
        </w:rPr>
      </w:pPr>
      <w:r w:rsidRPr="00BF5259">
        <w:rPr>
          <w:szCs w:val="19"/>
        </w:rPr>
        <w:t>Claude MB, Martin KH, Gallagher SP, Bodle ES, Krueger HO, 2014</w:t>
      </w:r>
      <w:r w:rsidR="00C37569" w:rsidRPr="00BF5259">
        <w:rPr>
          <w:szCs w:val="19"/>
        </w:rPr>
        <w:t>(</w:t>
      </w:r>
      <w:r w:rsidRPr="00BF5259">
        <w:rPr>
          <w:szCs w:val="19"/>
        </w:rPr>
        <w:t>c</w:t>
      </w:r>
      <w:r w:rsidR="00C37569" w:rsidRPr="00BF5259">
        <w:rPr>
          <w:szCs w:val="19"/>
        </w:rPr>
        <w:t>)</w:t>
      </w:r>
      <w:r w:rsidRPr="00BF5259">
        <w:rPr>
          <w:szCs w:val="19"/>
        </w:rPr>
        <w:t>. Paraquat dichloride: an early life-stage toxicity test with the fathead minnow (</w:t>
      </w:r>
      <w:r w:rsidRPr="00BF5259">
        <w:rPr>
          <w:i/>
          <w:iCs/>
          <w:szCs w:val="19"/>
        </w:rPr>
        <w:t>Pimephales promelas</w:t>
      </w:r>
      <w:r w:rsidRPr="00BF5259">
        <w:rPr>
          <w:szCs w:val="19"/>
        </w:rPr>
        <w:t>). Reference no. 528A-262</w:t>
      </w:r>
    </w:p>
    <w:p w14:paraId="34579EFC" w14:textId="66F4F82F" w:rsidR="009A7378" w:rsidRPr="00BF5259" w:rsidRDefault="009A7378" w:rsidP="009A7378">
      <w:pPr>
        <w:pStyle w:val="NormalText"/>
        <w:rPr>
          <w:szCs w:val="19"/>
        </w:rPr>
      </w:pPr>
      <w:r w:rsidRPr="00BF5259">
        <w:rPr>
          <w:szCs w:val="19"/>
        </w:rPr>
        <w:t>Claude MB, Martin KH, Gallagher SP, Bodle ES, Krueger HO, 2014</w:t>
      </w:r>
      <w:r w:rsidR="00C37569" w:rsidRPr="00BF5259">
        <w:rPr>
          <w:szCs w:val="19"/>
        </w:rPr>
        <w:t>(</w:t>
      </w:r>
      <w:r w:rsidRPr="00BF5259">
        <w:rPr>
          <w:szCs w:val="19"/>
        </w:rPr>
        <w:t>d</w:t>
      </w:r>
      <w:r w:rsidR="00C37569" w:rsidRPr="00BF5259">
        <w:rPr>
          <w:szCs w:val="19"/>
        </w:rPr>
        <w:t>)</w:t>
      </w:r>
      <w:r w:rsidRPr="00BF5259">
        <w:rPr>
          <w:szCs w:val="19"/>
        </w:rPr>
        <w:t>. Paraquat dichloride: an early life-stage toxicity test with the sheepshead minnow (</w:t>
      </w:r>
      <w:r w:rsidRPr="00BF5259">
        <w:rPr>
          <w:i/>
          <w:iCs/>
          <w:szCs w:val="19"/>
        </w:rPr>
        <w:t>Cyprinodon variegatus</w:t>
      </w:r>
      <w:r w:rsidRPr="00BF5259">
        <w:rPr>
          <w:szCs w:val="19"/>
        </w:rPr>
        <w:t>). Reference no. 528A-263</w:t>
      </w:r>
    </w:p>
    <w:p w14:paraId="207AF5D3" w14:textId="78CF7C27" w:rsidR="009A7378" w:rsidRPr="00BF5259" w:rsidRDefault="009A7378" w:rsidP="009A7378">
      <w:pPr>
        <w:pStyle w:val="NormalText"/>
        <w:rPr>
          <w:szCs w:val="19"/>
        </w:rPr>
      </w:pPr>
      <w:r w:rsidRPr="00BF5259">
        <w:rPr>
          <w:szCs w:val="19"/>
        </w:rPr>
        <w:t>Claude MB, Martin KH, Gallagher SP, 2014</w:t>
      </w:r>
      <w:r w:rsidR="00C37569" w:rsidRPr="00BF5259">
        <w:rPr>
          <w:szCs w:val="19"/>
        </w:rPr>
        <w:t>(</w:t>
      </w:r>
      <w:r w:rsidRPr="00BF5259">
        <w:rPr>
          <w:szCs w:val="19"/>
        </w:rPr>
        <w:t>e</w:t>
      </w:r>
      <w:r w:rsidR="00C37569" w:rsidRPr="00BF5259">
        <w:rPr>
          <w:szCs w:val="19"/>
        </w:rPr>
        <w:t>)</w:t>
      </w:r>
      <w:r w:rsidRPr="00BF5259">
        <w:rPr>
          <w:szCs w:val="19"/>
        </w:rPr>
        <w:t>. Paraquat dichloride: a 96-hour flow-through acute toxicity test with the saltwater mysid (</w:t>
      </w:r>
      <w:r w:rsidRPr="00BF5259">
        <w:rPr>
          <w:i/>
          <w:iCs/>
          <w:szCs w:val="19"/>
        </w:rPr>
        <w:t>Americamysis bahia</w:t>
      </w:r>
      <w:r w:rsidRPr="00BF5259">
        <w:rPr>
          <w:szCs w:val="19"/>
        </w:rPr>
        <w:t>). Reference no. 528A-257</w:t>
      </w:r>
    </w:p>
    <w:p w14:paraId="2835760C" w14:textId="74D1BBCD" w:rsidR="009A7378" w:rsidRPr="00BF5259" w:rsidRDefault="009A7378" w:rsidP="009A7378">
      <w:pPr>
        <w:pStyle w:val="NormalText"/>
        <w:rPr>
          <w:szCs w:val="19"/>
        </w:rPr>
      </w:pPr>
      <w:r w:rsidRPr="00BF5259">
        <w:rPr>
          <w:szCs w:val="19"/>
        </w:rPr>
        <w:t>Claude MB, Martin KH, Gallagher SP, 2014</w:t>
      </w:r>
      <w:r w:rsidR="00C37569" w:rsidRPr="00BF5259">
        <w:rPr>
          <w:szCs w:val="19"/>
        </w:rPr>
        <w:t>(</w:t>
      </w:r>
      <w:r w:rsidRPr="00BF5259">
        <w:rPr>
          <w:szCs w:val="19"/>
        </w:rPr>
        <w:t>f</w:t>
      </w:r>
      <w:r w:rsidR="00C37569" w:rsidRPr="00BF5259">
        <w:rPr>
          <w:szCs w:val="19"/>
        </w:rPr>
        <w:t>)</w:t>
      </w:r>
      <w:r w:rsidRPr="00BF5259">
        <w:rPr>
          <w:szCs w:val="19"/>
        </w:rPr>
        <w:t>. Paraquat dichloride: a 96-hour shell deposition test with the eastern oyster (</w:t>
      </w:r>
      <w:r w:rsidRPr="00BF5259">
        <w:rPr>
          <w:i/>
          <w:iCs/>
          <w:szCs w:val="19"/>
        </w:rPr>
        <w:t>Crassostrea virginica</w:t>
      </w:r>
      <w:r w:rsidRPr="00BF5259">
        <w:rPr>
          <w:szCs w:val="19"/>
        </w:rPr>
        <w:t>). Reference no. 528A-259</w:t>
      </w:r>
    </w:p>
    <w:p w14:paraId="25FE6E65" w14:textId="30198932" w:rsidR="009A7378" w:rsidRPr="00BF5259" w:rsidRDefault="009A7378" w:rsidP="009A7378">
      <w:pPr>
        <w:pStyle w:val="NormalText"/>
        <w:rPr>
          <w:szCs w:val="19"/>
        </w:rPr>
      </w:pPr>
      <w:r w:rsidRPr="00BF5259">
        <w:rPr>
          <w:szCs w:val="19"/>
        </w:rPr>
        <w:t>Claude MB, Martin KH, Gallagher SP, 2014</w:t>
      </w:r>
      <w:r w:rsidR="00C37569" w:rsidRPr="00BF5259">
        <w:rPr>
          <w:szCs w:val="19"/>
        </w:rPr>
        <w:t>(</w:t>
      </w:r>
      <w:r w:rsidRPr="00BF5259">
        <w:rPr>
          <w:szCs w:val="19"/>
        </w:rPr>
        <w:t>g</w:t>
      </w:r>
      <w:r w:rsidR="00C37569" w:rsidRPr="00BF5259">
        <w:rPr>
          <w:szCs w:val="19"/>
        </w:rPr>
        <w:t>)</w:t>
      </w:r>
      <w:r w:rsidRPr="00BF5259">
        <w:rPr>
          <w:szCs w:val="19"/>
        </w:rPr>
        <w:t>. Paraquat dichloride: a flow-through life-cycle toxicity test with the cladoceran (</w:t>
      </w:r>
      <w:r w:rsidRPr="00BF5259">
        <w:rPr>
          <w:i/>
          <w:iCs/>
          <w:szCs w:val="19"/>
        </w:rPr>
        <w:t>Daphnia magna</w:t>
      </w:r>
      <w:r w:rsidRPr="00BF5259">
        <w:rPr>
          <w:szCs w:val="19"/>
        </w:rPr>
        <w:t>). Reference no. 528A-260</w:t>
      </w:r>
    </w:p>
    <w:p w14:paraId="2CDDEFD6" w14:textId="259235F9" w:rsidR="009A7378" w:rsidRPr="00BF5259" w:rsidRDefault="009A7378" w:rsidP="009A7378">
      <w:pPr>
        <w:pStyle w:val="NormalText"/>
        <w:rPr>
          <w:szCs w:val="19"/>
        </w:rPr>
      </w:pPr>
      <w:r w:rsidRPr="00BF5259">
        <w:rPr>
          <w:szCs w:val="19"/>
        </w:rPr>
        <w:t>Claude MB, Chafey KW, Gallagher SP, Bodle ES, Krueger HO, 2014</w:t>
      </w:r>
      <w:r w:rsidR="00C37569" w:rsidRPr="00BF5259">
        <w:rPr>
          <w:szCs w:val="19"/>
        </w:rPr>
        <w:t>(</w:t>
      </w:r>
      <w:r w:rsidRPr="00BF5259">
        <w:rPr>
          <w:szCs w:val="19"/>
        </w:rPr>
        <w:t>h</w:t>
      </w:r>
      <w:r w:rsidR="00C37569" w:rsidRPr="00BF5259">
        <w:rPr>
          <w:szCs w:val="19"/>
        </w:rPr>
        <w:t>)</w:t>
      </w:r>
      <w:r w:rsidRPr="00BF5259">
        <w:rPr>
          <w:szCs w:val="19"/>
        </w:rPr>
        <w:t>. Paraquat dichloride: a flow-through life-cycle toxicity test with the saltwater mysid (</w:t>
      </w:r>
      <w:r w:rsidRPr="00BF5259">
        <w:rPr>
          <w:i/>
          <w:iCs/>
          <w:szCs w:val="19"/>
        </w:rPr>
        <w:t>Americamysis bahia</w:t>
      </w:r>
      <w:r w:rsidRPr="00BF5259">
        <w:rPr>
          <w:szCs w:val="19"/>
        </w:rPr>
        <w:t>). Reference no. 528A-261</w:t>
      </w:r>
    </w:p>
    <w:p w14:paraId="5946A1BC" w14:textId="77777777" w:rsidR="009A7378" w:rsidRPr="00BF5259" w:rsidRDefault="009A7378" w:rsidP="004C40C5">
      <w:pPr>
        <w:pStyle w:val="NormalText"/>
        <w:rPr>
          <w:szCs w:val="19"/>
        </w:rPr>
      </w:pPr>
      <w:r w:rsidRPr="00BF5259">
        <w:rPr>
          <w:szCs w:val="19"/>
        </w:rPr>
        <w:t>Cole JFH, Wilkinson W, 1980. Paraquat and diquat: long-term high rate trial, Frensham, UK. 5. Effect on soil microarthropods. Reference no. RJ0017B</w:t>
      </w:r>
    </w:p>
    <w:p w14:paraId="2BB398FE" w14:textId="08856DDE" w:rsidR="00B4150A" w:rsidRPr="00BF5259" w:rsidRDefault="00B4150A" w:rsidP="004C40C5">
      <w:pPr>
        <w:pStyle w:val="NormalText"/>
        <w:rPr>
          <w:szCs w:val="19"/>
        </w:rPr>
      </w:pPr>
      <w:r w:rsidRPr="00BF5259">
        <w:rPr>
          <w:szCs w:val="19"/>
        </w:rPr>
        <w:lastRenderedPageBreak/>
        <w:t>Coombe NB, 1990. Paraquat: Residue Analysis in Lucerne from a Trial Carried out in South Africa During 1989. Report No. CEMR-031.</w:t>
      </w:r>
    </w:p>
    <w:p w14:paraId="2E8D052F" w14:textId="40DF75EF" w:rsidR="004C40C5" w:rsidRPr="00BF5259" w:rsidRDefault="004C40C5" w:rsidP="004C40C5">
      <w:pPr>
        <w:pStyle w:val="NormalText"/>
        <w:rPr>
          <w:szCs w:val="19"/>
        </w:rPr>
      </w:pPr>
      <w:r w:rsidRPr="00BF5259">
        <w:rPr>
          <w:szCs w:val="19"/>
        </w:rPr>
        <w:t>Coombe NB, 1994. Paraquat: Animal Tissue Method Validation SOP RAM/004/03. Report No. CEMS 299.</w:t>
      </w:r>
    </w:p>
    <w:p w14:paraId="77494D24" w14:textId="77777777" w:rsidR="004C40C5" w:rsidRPr="00BF5259" w:rsidRDefault="004C40C5" w:rsidP="004C40C5">
      <w:pPr>
        <w:pStyle w:val="NormalText"/>
        <w:rPr>
          <w:szCs w:val="19"/>
        </w:rPr>
      </w:pPr>
      <w:r w:rsidRPr="00BF5259">
        <w:rPr>
          <w:szCs w:val="19"/>
        </w:rPr>
        <w:t>Coombe NB, 1995. Storage Stability of Paraquat and Diquat Residues in Frozen Milk. Report No CEMS-319.</w:t>
      </w:r>
    </w:p>
    <w:p w14:paraId="21819D2A" w14:textId="57BC310F" w:rsidR="004C40C5" w:rsidRPr="00BF5259" w:rsidRDefault="004C40C5" w:rsidP="004C40C5">
      <w:pPr>
        <w:pStyle w:val="NormalText"/>
        <w:rPr>
          <w:szCs w:val="19"/>
        </w:rPr>
      </w:pPr>
      <w:r w:rsidRPr="00BF5259">
        <w:rPr>
          <w:szCs w:val="19"/>
        </w:rPr>
        <w:t>Coombe NB, 1995. Storage Stability of Paraquat and Diquat Residues in Frozen Coffee Beans and Bananas. Report No CEMS-300.</w:t>
      </w:r>
    </w:p>
    <w:p w14:paraId="17FB5980" w14:textId="5689FD08" w:rsidR="004C40C5" w:rsidRPr="00BF5259" w:rsidRDefault="000F3F0F" w:rsidP="009A7378">
      <w:pPr>
        <w:pStyle w:val="NormalText"/>
        <w:rPr>
          <w:szCs w:val="19"/>
        </w:rPr>
      </w:pPr>
      <w:r w:rsidRPr="00BF5259">
        <w:rPr>
          <w:szCs w:val="19"/>
        </w:rPr>
        <w:t>Cowdy C, 1976. Residue Data Sheet: Paraquat Sunflowers Bulgaria.</w:t>
      </w:r>
    </w:p>
    <w:p w14:paraId="3742286E" w14:textId="418AED21" w:rsidR="00F3263D" w:rsidRPr="00BF5259" w:rsidRDefault="00F3263D" w:rsidP="00F3263D">
      <w:pPr>
        <w:pStyle w:val="APVMAText"/>
        <w:rPr>
          <w:rFonts w:ascii="Arial" w:hAnsi="Arial"/>
          <w:sz w:val="19"/>
          <w:szCs w:val="19"/>
        </w:rPr>
      </w:pPr>
      <w:bookmarkStart w:id="782" w:name="_Hlk215135890"/>
      <w:r w:rsidRPr="00BF5259">
        <w:rPr>
          <w:rFonts w:ascii="Arial" w:hAnsi="Arial"/>
          <w:sz w:val="19"/>
          <w:szCs w:val="19"/>
        </w:rPr>
        <w:t xml:space="preserve">Dalgarno S, 2021. shinyssdtools: A web application for fitting Species Sensitivity Distributions (SSDs). Journal of Open Source Software, 6(57), 2848, </w:t>
      </w:r>
      <w:hyperlink r:id="rId71" w:history="1">
        <w:r w:rsidRPr="00BF5259">
          <w:rPr>
            <w:rStyle w:val="Hyperlink"/>
            <w:rFonts w:ascii="Arial" w:hAnsi="Arial"/>
            <w:sz w:val="19"/>
            <w:szCs w:val="19"/>
          </w:rPr>
          <w:t>https://doi.org/10.21105/joss.02848</w:t>
        </w:r>
      </w:hyperlink>
    </w:p>
    <w:bookmarkEnd w:id="782"/>
    <w:p w14:paraId="4BB25AD4" w14:textId="54C98C20" w:rsidR="00746FCD" w:rsidRPr="00BF5259" w:rsidRDefault="00746FCD" w:rsidP="00746FCD">
      <w:pPr>
        <w:pStyle w:val="NormalText"/>
        <w:rPr>
          <w:szCs w:val="19"/>
        </w:rPr>
      </w:pPr>
      <w:r w:rsidRPr="00BF5259">
        <w:rPr>
          <w:szCs w:val="19"/>
        </w:rPr>
        <w:t>Daniel JW, Edwards MJ, Slade P and Walker GH, 1971. Milk Residues Arising from the Ingestion of 14C-Paraquat by the Cow. Report No. AR 2282 A</w:t>
      </w:r>
    </w:p>
    <w:p w14:paraId="05B77D98" w14:textId="2B78234F" w:rsidR="009A7378" w:rsidRPr="00BF5259" w:rsidRDefault="009A7378" w:rsidP="009A7378">
      <w:pPr>
        <w:pStyle w:val="NormalText"/>
        <w:rPr>
          <w:szCs w:val="19"/>
        </w:rPr>
      </w:pPr>
      <w:r w:rsidRPr="00BF5259">
        <w:rPr>
          <w:szCs w:val="19"/>
        </w:rPr>
        <w:t>de Snoo GR, Scheidegger NMI, de Jong FMW, 1999. Vertebrate wildlife incidents with pesticides: a European survey. Pestic Sci 55: 47-54</w:t>
      </w:r>
    </w:p>
    <w:p w14:paraId="6B59F0F4" w14:textId="77777777" w:rsidR="009A7378" w:rsidRPr="00BF5259" w:rsidRDefault="009A7378" w:rsidP="009A7378">
      <w:pPr>
        <w:pStyle w:val="NormalText"/>
        <w:rPr>
          <w:szCs w:val="19"/>
        </w:rPr>
      </w:pPr>
      <w:r w:rsidRPr="00BF5259">
        <w:rPr>
          <w:szCs w:val="19"/>
        </w:rPr>
        <w:t>Dean GM, 2000. Paraquat: determination of the rate of photolytic degradation in natural water under laboratory conditions. Reference no. ZCA/053</w:t>
      </w:r>
    </w:p>
    <w:p w14:paraId="2A75F20E" w14:textId="24C392B2" w:rsidR="004C40C5" w:rsidRPr="00BF5259" w:rsidRDefault="004C40C5" w:rsidP="004C40C5">
      <w:pPr>
        <w:rPr>
          <w:rFonts w:ascii="Arial" w:eastAsiaTheme="minorEastAsia" w:hAnsi="Arial" w:cs="Arial"/>
          <w:sz w:val="19"/>
          <w:szCs w:val="19"/>
          <w:u w:color="000000"/>
        </w:rPr>
      </w:pPr>
      <w:r w:rsidRPr="00BF5259">
        <w:rPr>
          <w:rFonts w:ascii="Arial" w:eastAsiaTheme="minorEastAsia" w:hAnsi="Arial" w:cs="Arial"/>
          <w:sz w:val="19"/>
          <w:szCs w:val="19"/>
          <w:u w:color="000000"/>
        </w:rPr>
        <w:t>Dick JP, Taylor PS and Bonfanti F, 1995(a). Paraquat: Residues in Oranges from Trials Carried out in Italy during 1993(a). Report No RJ 1808B.</w:t>
      </w:r>
    </w:p>
    <w:p w14:paraId="15B0FED0" w14:textId="47232F56" w:rsidR="009F2B31" w:rsidRPr="00BF5259" w:rsidRDefault="009F2B31" w:rsidP="004E3808">
      <w:pPr>
        <w:pStyle w:val="APVMAText"/>
        <w:rPr>
          <w:rFonts w:ascii="Arial" w:hAnsi="Arial"/>
          <w:sz w:val="19"/>
          <w:szCs w:val="19"/>
        </w:rPr>
      </w:pPr>
      <w:r w:rsidRPr="00BF5259">
        <w:rPr>
          <w:rFonts w:ascii="Arial" w:hAnsi="Arial"/>
          <w:sz w:val="19"/>
          <w:szCs w:val="19"/>
        </w:rPr>
        <w:t>Dick JP, Taylor PS and Bonfieri F, 1995(b). Paraquat and Diquat: Residues in Olive Fruit and Oil from Trials carried out in Italy During 1993. RJ 1810B.</w:t>
      </w:r>
    </w:p>
    <w:p w14:paraId="1BCEC97E" w14:textId="1E7BFD4C" w:rsidR="004E3808" w:rsidRPr="00BF5259" w:rsidRDefault="004E3808" w:rsidP="004E3808">
      <w:pPr>
        <w:pStyle w:val="APVMAText"/>
        <w:rPr>
          <w:rFonts w:ascii="Arial" w:hAnsi="Arial"/>
          <w:sz w:val="19"/>
          <w:szCs w:val="19"/>
        </w:rPr>
      </w:pPr>
      <w:r w:rsidRPr="00BF5259">
        <w:rPr>
          <w:rFonts w:ascii="Arial" w:hAnsi="Arial"/>
          <w:sz w:val="19"/>
          <w:szCs w:val="19"/>
        </w:rPr>
        <w:t>Dionne E, 1987. Acute toxicity of diquat concentrate to eastern oysters (</w:t>
      </w:r>
      <w:r w:rsidRPr="00BF5259">
        <w:rPr>
          <w:rFonts w:ascii="Arial" w:hAnsi="Arial"/>
          <w:i/>
          <w:iCs/>
          <w:sz w:val="19"/>
          <w:szCs w:val="19"/>
        </w:rPr>
        <w:t>Crassostrea virginica</w:t>
      </w:r>
      <w:r w:rsidRPr="00BF5259">
        <w:rPr>
          <w:rFonts w:ascii="Arial" w:hAnsi="Arial"/>
          <w:sz w:val="19"/>
          <w:szCs w:val="19"/>
        </w:rPr>
        <w:t>). Reference no. PP901/0565</w:t>
      </w:r>
    </w:p>
    <w:p w14:paraId="747DBE71" w14:textId="77777777" w:rsidR="009A7378" w:rsidRPr="00BF5259" w:rsidRDefault="009A7378" w:rsidP="009A7378">
      <w:pPr>
        <w:pStyle w:val="NormalText"/>
        <w:rPr>
          <w:szCs w:val="19"/>
        </w:rPr>
      </w:pPr>
      <w:r w:rsidRPr="00BF5259">
        <w:rPr>
          <w:szCs w:val="19"/>
        </w:rPr>
        <w:t>Drew EA, Davies PI, 1980. Paraquat and diquat: long-term high rate trial, Frensham, UK. 4. Effect on soil micro-organisms and their activities. Reference no. RJ0016B</w:t>
      </w:r>
    </w:p>
    <w:p w14:paraId="7B8BD9C3" w14:textId="77777777" w:rsidR="009D6E60" w:rsidRPr="00BF5259" w:rsidRDefault="009D6E60" w:rsidP="009D6E60">
      <w:pPr>
        <w:pStyle w:val="NormalText"/>
        <w:rPr>
          <w:szCs w:val="19"/>
        </w:rPr>
      </w:pPr>
      <w:r w:rsidRPr="00BF5259">
        <w:rPr>
          <w:szCs w:val="19"/>
        </w:rPr>
        <w:t xml:space="preserve">Duerden L, 1994(a). Paraquat dichloride technical concentrate: Skin irritation to the rabbit. Report No. CTL/P/4411 </w:t>
      </w:r>
    </w:p>
    <w:p w14:paraId="16FFF45B" w14:textId="5A17D66F" w:rsidR="009A7378" w:rsidRPr="00BF5259" w:rsidRDefault="009A7378" w:rsidP="009A7378">
      <w:pPr>
        <w:pStyle w:val="NormalText"/>
        <w:rPr>
          <w:szCs w:val="19"/>
        </w:rPr>
      </w:pPr>
      <w:r w:rsidRPr="00BF5259">
        <w:rPr>
          <w:szCs w:val="19"/>
        </w:rPr>
        <w:t>Duerden L, 1994</w:t>
      </w:r>
      <w:r w:rsidR="009D6E60" w:rsidRPr="00BF5259">
        <w:rPr>
          <w:szCs w:val="19"/>
        </w:rPr>
        <w:t>(b)</w:t>
      </w:r>
      <w:r w:rsidRPr="00BF5259">
        <w:rPr>
          <w:szCs w:val="19"/>
        </w:rPr>
        <w:t>. Paraquat dichloride technical concentrate: acute oral toxicity to the rat. Reference no. CTL/P/4424</w:t>
      </w:r>
    </w:p>
    <w:p w14:paraId="57C9DD6B" w14:textId="0FBB23C7" w:rsidR="009D6E60" w:rsidRPr="00BF5259" w:rsidRDefault="009D6E60" w:rsidP="009D6E60">
      <w:pPr>
        <w:pStyle w:val="NormalText"/>
        <w:rPr>
          <w:szCs w:val="19"/>
        </w:rPr>
      </w:pPr>
      <w:r w:rsidRPr="00BF5259">
        <w:rPr>
          <w:szCs w:val="19"/>
        </w:rPr>
        <w:t>Duerden L, 1994(c) Paraquat dichloride technical concentrate: acute dermal toxicity to the rat. Report No. CTL/P/4412</w:t>
      </w:r>
    </w:p>
    <w:p w14:paraId="7872CA78" w14:textId="77777777" w:rsidR="003C6DDF" w:rsidRPr="00BF5259" w:rsidRDefault="003C6DDF" w:rsidP="00F3263D">
      <w:pPr>
        <w:pStyle w:val="NormalText"/>
        <w:rPr>
          <w:szCs w:val="19"/>
        </w:rPr>
      </w:pPr>
      <w:r w:rsidRPr="00BF5259">
        <w:rPr>
          <w:szCs w:val="19"/>
        </w:rPr>
        <w:t>Dwyer, Z., Rudyk, C., Farmer, K., Beauchamp, S., Shail, P., Derksen, A., Fortin, T., Ventura, KI., Torres, C., Ayoub, K. and Hayley, S. (2021) Characterizing the protracted neurobiological and neuroanatomical effects of paraquat in a murine model of Parkinson's disease. Neurobiol Aging, 2021. 100: p. 11-21.</w:t>
      </w:r>
    </w:p>
    <w:p w14:paraId="25652216" w14:textId="4BBEF967" w:rsidR="00F3263D" w:rsidRPr="00BF5259" w:rsidRDefault="00F3263D" w:rsidP="00F3263D">
      <w:pPr>
        <w:pStyle w:val="NormalText"/>
        <w:rPr>
          <w:szCs w:val="19"/>
        </w:rPr>
      </w:pPr>
      <w:r w:rsidRPr="00BF5259">
        <w:rPr>
          <w:szCs w:val="19"/>
        </w:rPr>
        <w:lastRenderedPageBreak/>
        <w:t>Dyer BC, 2007. Thesis: The biology of grassland melomys (</w:t>
      </w:r>
      <w:r w:rsidRPr="00BF5259">
        <w:rPr>
          <w:i/>
          <w:iCs/>
          <w:szCs w:val="19"/>
        </w:rPr>
        <w:t>Melomys burtoni</w:t>
      </w:r>
      <w:r w:rsidRPr="00BF5259">
        <w:rPr>
          <w:szCs w:val="19"/>
        </w:rPr>
        <w:t xml:space="preserve">) (Rodentia: Muridae) in far north Queensland sugarcane crops. Queensland University of Technology. </w:t>
      </w:r>
    </w:p>
    <w:p w14:paraId="744E11E9" w14:textId="77777777" w:rsidR="009A7378" w:rsidRPr="00BF5259" w:rsidRDefault="009A7378" w:rsidP="009A7378">
      <w:pPr>
        <w:pStyle w:val="NormalText"/>
        <w:rPr>
          <w:szCs w:val="19"/>
        </w:rPr>
      </w:pPr>
      <w:r w:rsidRPr="00BF5259">
        <w:rPr>
          <w:szCs w:val="19"/>
        </w:rPr>
        <w:t>Dyson JS, Chapman P, 1995. Paraquat: long-term high-rate trial, Frensham, UK, 1971-1991 - fate of soil residues. Reference no. TMJ3430B</w:t>
      </w:r>
    </w:p>
    <w:p w14:paraId="72120317" w14:textId="77777777" w:rsidR="009A7378" w:rsidRPr="00BF5259" w:rsidRDefault="009A7378" w:rsidP="009A7378">
      <w:pPr>
        <w:pStyle w:val="NormalText"/>
        <w:rPr>
          <w:szCs w:val="19"/>
        </w:rPr>
      </w:pPr>
      <w:r w:rsidRPr="00BF5259">
        <w:rPr>
          <w:szCs w:val="19"/>
        </w:rPr>
        <w:t>Dyson JS, Ferguson RE, Lane MCG, 1994. Paraquat: adsorption and desorption properties in temperate soils. Reference no. TMJ3225B</w:t>
      </w:r>
    </w:p>
    <w:p w14:paraId="380D757A" w14:textId="77777777" w:rsidR="009A7378" w:rsidRPr="00BF5259" w:rsidRDefault="009A7378" w:rsidP="009A7378">
      <w:pPr>
        <w:pStyle w:val="NormalText"/>
        <w:rPr>
          <w:szCs w:val="19"/>
        </w:rPr>
      </w:pPr>
      <w:r w:rsidRPr="00BF5259">
        <w:rPr>
          <w:szCs w:val="19"/>
        </w:rPr>
        <w:t>Dyson JS, Chapman P, Farmer K, 1995a. Paraquat: long-term soil trial at Goldsboro, USA, 1979-1991 - fate of soil residues. Reference no. TMJ3329B</w:t>
      </w:r>
    </w:p>
    <w:p w14:paraId="7760A75A" w14:textId="77777777" w:rsidR="009A7378" w:rsidRPr="00BF5259" w:rsidRDefault="009A7378" w:rsidP="009A7378">
      <w:pPr>
        <w:pStyle w:val="NormalText"/>
        <w:rPr>
          <w:szCs w:val="19"/>
        </w:rPr>
      </w:pPr>
      <w:r w:rsidRPr="00BF5259">
        <w:rPr>
          <w:szCs w:val="19"/>
        </w:rPr>
        <w:t>Dyson JS, Kirsch O, Stevens JEB, 1995b. Paraquat: long-term soil trial at Goldsboro, USA, 1979-1991 - trial description and crop measurements. Reference no. TMJ3328B</w:t>
      </w:r>
    </w:p>
    <w:p w14:paraId="350F0A67" w14:textId="10FF04ED" w:rsidR="009A484C" w:rsidRPr="00BF5259" w:rsidRDefault="009A484C" w:rsidP="009A7378">
      <w:pPr>
        <w:pStyle w:val="NormalText"/>
        <w:rPr>
          <w:szCs w:val="19"/>
        </w:rPr>
      </w:pPr>
      <w:r w:rsidRPr="00BF5259">
        <w:rPr>
          <w:szCs w:val="19"/>
        </w:rPr>
        <w:t>Earl M and Anderson L, 1991. Paraquat: Residue in Potatoes from Trials Carried out in West Germany During 1990. Report No. RJ 1040B</w:t>
      </w:r>
    </w:p>
    <w:p w14:paraId="763E8B9F" w14:textId="77777777" w:rsidR="007F1120" w:rsidRPr="00BF5259" w:rsidRDefault="007F1120" w:rsidP="007F1120">
      <w:pPr>
        <w:pStyle w:val="NormalText"/>
        <w:rPr>
          <w:szCs w:val="19"/>
        </w:rPr>
      </w:pPr>
      <w:r w:rsidRPr="00BF5259">
        <w:rPr>
          <w:szCs w:val="19"/>
        </w:rPr>
        <w:t>Earl M and Muir GT, 1988. Paraquat/Diquat: Residues in Soyabeans from a Trial carried out in Brazil during 1986. Report No M4827B.</w:t>
      </w:r>
    </w:p>
    <w:p w14:paraId="00FBC538" w14:textId="454BB2C3" w:rsidR="00A84757" w:rsidRPr="00BF5259" w:rsidRDefault="00A84757" w:rsidP="00A84757">
      <w:pPr>
        <w:pStyle w:val="NormalText"/>
        <w:rPr>
          <w:szCs w:val="19"/>
        </w:rPr>
      </w:pPr>
      <w:r w:rsidRPr="00BF5259">
        <w:rPr>
          <w:szCs w:val="19"/>
        </w:rPr>
        <w:t>Earl M, Boseley AD, Muir GT and Anderson L, 1989(a). Paraquat: Storage Stability of the Residue in Frozen Carrot, Cabbage and Wheat Grain at &lt;-18oC (Interim). Report No RJ0729B.</w:t>
      </w:r>
    </w:p>
    <w:p w14:paraId="52012653" w14:textId="33ADE9E0" w:rsidR="009A7378" w:rsidRPr="00BF5259" w:rsidRDefault="009A7378" w:rsidP="009A7378">
      <w:pPr>
        <w:pStyle w:val="NormalText"/>
        <w:rPr>
          <w:szCs w:val="19"/>
        </w:rPr>
      </w:pPr>
      <w:r w:rsidRPr="00BF5259">
        <w:rPr>
          <w:szCs w:val="19"/>
        </w:rPr>
        <w:t>Earl M, Anderson L, Muir GT, 1989</w:t>
      </w:r>
      <w:r w:rsidR="00A84757" w:rsidRPr="00BF5259">
        <w:rPr>
          <w:szCs w:val="19"/>
        </w:rPr>
        <w:t>(b)</w:t>
      </w:r>
      <w:r w:rsidRPr="00BF5259">
        <w:rPr>
          <w:szCs w:val="19"/>
        </w:rPr>
        <w:t>. Paraquat: short-term field soil dissipation under in-use condi</w:t>
      </w:r>
      <w:r w:rsidR="009A484C" w:rsidRPr="00BF5259">
        <w:rPr>
          <w:szCs w:val="19"/>
        </w:rPr>
        <w:t>t</w:t>
      </w:r>
      <w:r w:rsidRPr="00BF5259">
        <w:rPr>
          <w:szCs w:val="19"/>
        </w:rPr>
        <w:t>ions in the USA (Sussex County, Delaware) during 1987-89. Reference no. RJ0776B</w:t>
      </w:r>
    </w:p>
    <w:p w14:paraId="6B3288C1" w14:textId="69B2E11E" w:rsidR="004C40C5" w:rsidRPr="00BF5259" w:rsidRDefault="004C40C5" w:rsidP="009F2B31">
      <w:pPr>
        <w:pStyle w:val="NormalText"/>
        <w:rPr>
          <w:szCs w:val="19"/>
        </w:rPr>
      </w:pPr>
      <w:r w:rsidRPr="00BF5259">
        <w:rPr>
          <w:szCs w:val="19"/>
        </w:rPr>
        <w:t>Earl M and Boseley AD, 1988</w:t>
      </w:r>
      <w:r w:rsidR="009F2B31" w:rsidRPr="00BF5259">
        <w:rPr>
          <w:szCs w:val="19"/>
        </w:rPr>
        <w:t>(a)</w:t>
      </w:r>
      <w:r w:rsidRPr="00BF5259">
        <w:rPr>
          <w:szCs w:val="19"/>
        </w:rPr>
        <w:t>. Paraquat: Storage Stability of the Residue in Frozen Hen Muscle Tissue. Report No M4846B.</w:t>
      </w:r>
    </w:p>
    <w:p w14:paraId="4998AE23" w14:textId="555FF8DC" w:rsidR="004C40C5" w:rsidRPr="00BF5259" w:rsidRDefault="004C40C5" w:rsidP="009F2B31">
      <w:pPr>
        <w:pStyle w:val="NormalText"/>
        <w:rPr>
          <w:szCs w:val="19"/>
        </w:rPr>
      </w:pPr>
      <w:r w:rsidRPr="00BF5259">
        <w:rPr>
          <w:szCs w:val="19"/>
        </w:rPr>
        <w:t>Earl M and Boseley AD, 1988</w:t>
      </w:r>
      <w:r w:rsidR="009F2B31" w:rsidRPr="00BF5259">
        <w:rPr>
          <w:szCs w:val="19"/>
        </w:rPr>
        <w:t>(b)</w:t>
      </w:r>
      <w:r w:rsidRPr="00BF5259">
        <w:rPr>
          <w:szCs w:val="19"/>
        </w:rPr>
        <w:t>. Paraquat: Storage Stability of the Residue in Frozen Eggs. Report No M4847B.</w:t>
      </w:r>
    </w:p>
    <w:p w14:paraId="2BFB3627" w14:textId="6BBF1306" w:rsidR="00255E26" w:rsidRPr="00BF5259" w:rsidRDefault="00255E26" w:rsidP="00255E26">
      <w:pPr>
        <w:pStyle w:val="NormalText"/>
        <w:rPr>
          <w:szCs w:val="19"/>
        </w:rPr>
      </w:pPr>
      <w:r w:rsidRPr="00BF5259">
        <w:rPr>
          <w:szCs w:val="19"/>
        </w:rPr>
        <w:t>Earl M and Boseley AD, 1988(c). Paraquat: Residue Transfer Study with Laying Hens on a Diet Containing the Herbicide. Report No. RJ0703B.</w:t>
      </w:r>
    </w:p>
    <w:p w14:paraId="3508DC00" w14:textId="77777777" w:rsidR="004C40C5" w:rsidRPr="00BF5259" w:rsidRDefault="004C40C5" w:rsidP="009F2B31">
      <w:pPr>
        <w:pStyle w:val="NormalText"/>
        <w:rPr>
          <w:szCs w:val="19"/>
        </w:rPr>
      </w:pPr>
      <w:r w:rsidRPr="00BF5259">
        <w:rPr>
          <w:szCs w:val="19"/>
        </w:rPr>
        <w:t>Edwards MJ, 1974. Paraquat Residue Summary: Residues in Vegetables and Grapes Following Post-Emergence Treatment with Paraquat for Weed Control. Report No TMJ 1030 A(R).</w:t>
      </w:r>
    </w:p>
    <w:p w14:paraId="28FB9FF4" w14:textId="77777777" w:rsidR="004C40C5" w:rsidRPr="00BF5259" w:rsidRDefault="004C40C5" w:rsidP="009F2B31">
      <w:pPr>
        <w:pStyle w:val="NormalText"/>
        <w:rPr>
          <w:szCs w:val="19"/>
        </w:rPr>
      </w:pPr>
      <w:r w:rsidRPr="00BF5259">
        <w:rPr>
          <w:szCs w:val="19"/>
        </w:rPr>
        <w:t xml:space="preserve">Earl M and Anderson L, 1992. Paraquat: Residues in Grapes from Trials Carried out in Germany During 1990. Report No. RJ 1051B </w:t>
      </w:r>
    </w:p>
    <w:p w14:paraId="0E1BCA4E" w14:textId="77777777" w:rsidR="00B4150A" w:rsidRPr="00BF5259" w:rsidRDefault="00B4150A" w:rsidP="00B4150A">
      <w:pPr>
        <w:pStyle w:val="NormalText"/>
        <w:rPr>
          <w:szCs w:val="19"/>
        </w:rPr>
      </w:pPr>
      <w:r w:rsidRPr="00BF5259">
        <w:rPr>
          <w:szCs w:val="19"/>
        </w:rPr>
        <w:t>Edwards MJ, 1974. Paraquat Residue Summary: Residues in Vegetables and Grapes Following Post-Emergence Treatment with Paraquat for Weed Control. Report No TMJ 1030 A(R).</w:t>
      </w:r>
    </w:p>
    <w:p w14:paraId="7DF1E39C" w14:textId="0E731F7B" w:rsidR="00B4150A" w:rsidRPr="00BF5259" w:rsidRDefault="00B4150A" w:rsidP="00B4150A">
      <w:pPr>
        <w:pStyle w:val="NormalText"/>
        <w:rPr>
          <w:szCs w:val="19"/>
        </w:rPr>
      </w:pPr>
      <w:r w:rsidRPr="00BF5259">
        <w:rPr>
          <w:szCs w:val="19"/>
        </w:rPr>
        <w:t>Edwards MJ, Hemingway GJ, Kinch RJ, and Slade DA, 1974. Paraquat: Residue and Toxicology Trial with Cows Fed on Treated Grass. Report No. AR 2465A.</w:t>
      </w:r>
    </w:p>
    <w:p w14:paraId="16E04841" w14:textId="0734AD6D" w:rsidR="00B4150A" w:rsidRPr="00BF5259" w:rsidRDefault="00B4150A" w:rsidP="00B4150A">
      <w:pPr>
        <w:pStyle w:val="NormalText"/>
        <w:rPr>
          <w:szCs w:val="19"/>
        </w:rPr>
      </w:pPr>
      <w:r w:rsidRPr="00BF5259">
        <w:rPr>
          <w:szCs w:val="19"/>
        </w:rPr>
        <w:lastRenderedPageBreak/>
        <w:t>Edwards MJ, Hayward GJ, Ward RJ and Iswaran TJ, 1977. Paraquat: Residue and Toxicology Trial with Cows Fed Grass Sprayed with Gramoxone under Dry Conditions. Report No. AR 2713A.</w:t>
      </w:r>
    </w:p>
    <w:p w14:paraId="11281718" w14:textId="242DF5A5" w:rsidR="009A7378" w:rsidRPr="00BF5259" w:rsidRDefault="009A7378" w:rsidP="009F2B31">
      <w:pPr>
        <w:pStyle w:val="NormalText"/>
        <w:rPr>
          <w:szCs w:val="19"/>
        </w:rPr>
      </w:pPr>
      <w:r w:rsidRPr="00BF5259">
        <w:rPr>
          <w:szCs w:val="19"/>
        </w:rPr>
        <w:t>Edwards PJ, 1980. Paraquat and diquat: long-term high rate trial, Frensham, UK. 3. Effect on earthworms. Reference no. RJ0015B</w:t>
      </w:r>
    </w:p>
    <w:p w14:paraId="4A0ABE7F" w14:textId="77777777" w:rsidR="009A7378" w:rsidRPr="00BF5259" w:rsidRDefault="009A7378" w:rsidP="009A7378">
      <w:pPr>
        <w:pStyle w:val="NormalText"/>
        <w:rPr>
          <w:szCs w:val="19"/>
        </w:rPr>
      </w:pPr>
      <w:r w:rsidRPr="00BF5259">
        <w:rPr>
          <w:szCs w:val="19"/>
        </w:rPr>
        <w:t>Edwards PJ, Coulson JM, 1993. Paraquat: toxicity to the earthworm Eisenia foetida of a 200 g/L SL formulation. Reference no. TMJ3067B</w:t>
      </w:r>
    </w:p>
    <w:p w14:paraId="193AF29E" w14:textId="77777777" w:rsidR="009A7378" w:rsidRPr="00BF5259" w:rsidRDefault="009A7378" w:rsidP="009A7378">
      <w:pPr>
        <w:pStyle w:val="NormalText"/>
        <w:rPr>
          <w:szCs w:val="19"/>
        </w:rPr>
      </w:pPr>
      <w:r w:rsidRPr="00BF5259">
        <w:rPr>
          <w:szCs w:val="19"/>
        </w:rPr>
        <w:t>Edwards PJ, Fletcher MR, Berny P, 2000. Review of the factors affecting the decline of the European brown hare, Lepus europaeus (Pallas, 1778) and the use of wildlife incident data to evaluate the significance of paraquat. Agric Ecosyst Environ 79: 95-103</w:t>
      </w:r>
    </w:p>
    <w:p w14:paraId="057A6122" w14:textId="77777777" w:rsidR="009A7378" w:rsidRPr="00BF5259" w:rsidRDefault="009A7378" w:rsidP="009A7378">
      <w:pPr>
        <w:pStyle w:val="NormalText"/>
        <w:rPr>
          <w:szCs w:val="19"/>
        </w:rPr>
      </w:pPr>
      <w:bookmarkStart w:id="783" w:name="_Hlk157606667"/>
      <w:r w:rsidRPr="00BF5259">
        <w:rPr>
          <w:szCs w:val="19"/>
        </w:rPr>
        <w:t xml:space="preserve">EFSA (European Food Safety Authority), 2009. Guidance document on risk assessment for birds &amp; mammals on request from EFSA. EFSA Journal 7(12): 1438, doi: 10.2903/j.efsa.2009.1438 </w:t>
      </w:r>
    </w:p>
    <w:p w14:paraId="46D2F2F2" w14:textId="77777777" w:rsidR="00F3263D" w:rsidRPr="00BF5259" w:rsidRDefault="00F3263D" w:rsidP="00F3263D">
      <w:pPr>
        <w:pStyle w:val="NormalText"/>
        <w:rPr>
          <w:szCs w:val="19"/>
        </w:rPr>
      </w:pPr>
      <w:r w:rsidRPr="00BF5259">
        <w:rPr>
          <w:szCs w:val="19"/>
        </w:rPr>
        <w:t xml:space="preserve">EFSA (European Food Safety Authority), 2013a. Guidance on tiered risk assessment for plant protection products for aquatic organisms in edge-of-field surface waters. EFSA Journal 11(7):3290. doi:10.2903/j.efsa.2013.3290. </w:t>
      </w:r>
    </w:p>
    <w:p w14:paraId="25BF0AFA" w14:textId="77777777" w:rsidR="00F3263D" w:rsidRPr="00BF5259" w:rsidRDefault="00F3263D" w:rsidP="00F3263D">
      <w:pPr>
        <w:pStyle w:val="NormalText"/>
        <w:rPr>
          <w:szCs w:val="19"/>
        </w:rPr>
      </w:pPr>
      <w:r w:rsidRPr="00BF5259">
        <w:rPr>
          <w:szCs w:val="19"/>
        </w:rPr>
        <w:t>EFSA (European Food Safety Authority), 2013b. Guidance on the risk assessment of plant protection products on bees (</w:t>
      </w:r>
      <w:r w:rsidRPr="00BF5259">
        <w:rPr>
          <w:i/>
          <w:iCs/>
          <w:szCs w:val="19"/>
        </w:rPr>
        <w:t>Apis mellifera</w:t>
      </w:r>
      <w:r w:rsidRPr="00BF5259">
        <w:rPr>
          <w:szCs w:val="19"/>
        </w:rPr>
        <w:t xml:space="preserve">, </w:t>
      </w:r>
      <w:r w:rsidRPr="00BF5259">
        <w:rPr>
          <w:i/>
          <w:iCs/>
          <w:szCs w:val="19"/>
        </w:rPr>
        <w:t>Bombus</w:t>
      </w:r>
      <w:r w:rsidRPr="00BF5259">
        <w:rPr>
          <w:szCs w:val="19"/>
        </w:rPr>
        <w:t xml:space="preserve"> spp. and solitary bees). EFSA Journal 11(7): 3295. doi:10.2903/j.efsa.2013.3295.</w:t>
      </w:r>
    </w:p>
    <w:p w14:paraId="42ECFEA3" w14:textId="6ED26AAF" w:rsidR="009A7378" w:rsidRPr="00BF5259" w:rsidRDefault="009A7378" w:rsidP="009A7378">
      <w:pPr>
        <w:pStyle w:val="NormalText"/>
        <w:rPr>
          <w:szCs w:val="19"/>
        </w:rPr>
      </w:pPr>
      <w:r w:rsidRPr="00BF5259">
        <w:rPr>
          <w:szCs w:val="19"/>
        </w:rPr>
        <w:t xml:space="preserve">EFSA (European Food Safety Authority), 2020. Scientific report of EFSA on the ‘repair action’ of the FOCUS surface water scenarios. EFSA Journal 18(6):6119, 301 pp. </w:t>
      </w:r>
      <w:hyperlink r:id="rId72" w:history="1">
        <w:r w:rsidRPr="00BF5259">
          <w:rPr>
            <w:szCs w:val="19"/>
          </w:rPr>
          <w:t>doi.org/10.2903/j.efsa.2020.6119</w:t>
        </w:r>
      </w:hyperlink>
      <w:bookmarkEnd w:id="783"/>
    </w:p>
    <w:p w14:paraId="56DF460C" w14:textId="77777777" w:rsidR="00AC7F42" w:rsidRPr="00BF5259" w:rsidRDefault="00AC7F42" w:rsidP="00AC7F42">
      <w:pPr>
        <w:pStyle w:val="NormalText"/>
        <w:rPr>
          <w:szCs w:val="19"/>
        </w:rPr>
      </w:pPr>
      <w:r w:rsidRPr="00BF5259">
        <w:rPr>
          <w:szCs w:val="19"/>
        </w:rPr>
        <w:t>EFSA (European Food Safety Authority), 2023. Guidance on the risk assessment for Birds and Mammals. EFSA Journal 2023;21(2):7790, 300 pp.</w:t>
      </w:r>
    </w:p>
    <w:p w14:paraId="18F19047" w14:textId="77777777" w:rsidR="009A7378" w:rsidRPr="00BF5259" w:rsidRDefault="009A7378" w:rsidP="009A7378">
      <w:pPr>
        <w:pStyle w:val="NormalText"/>
        <w:rPr>
          <w:szCs w:val="19"/>
        </w:rPr>
      </w:pPr>
      <w:r w:rsidRPr="00BF5259">
        <w:rPr>
          <w:szCs w:val="19"/>
        </w:rPr>
        <w:t>Evans PG, 2006. The fate of paraquat in an irrigated sweet corn plot in Thailand. Reference no. 05-N508</w:t>
      </w:r>
    </w:p>
    <w:p w14:paraId="0638BE33" w14:textId="76E6F9D8" w:rsidR="009A7378" w:rsidRPr="00BF5259" w:rsidRDefault="009A7378" w:rsidP="009A7378">
      <w:pPr>
        <w:pStyle w:val="NormalText"/>
        <w:rPr>
          <w:szCs w:val="19"/>
        </w:rPr>
      </w:pPr>
      <w:r w:rsidRPr="00BF5259">
        <w:rPr>
          <w:szCs w:val="19"/>
        </w:rPr>
        <w:t>Farnworth MJ, Jones BK, 1993. The toxicity of paraquat to rabbits following oral administration. Reference no. CTL/R/1164</w:t>
      </w:r>
    </w:p>
    <w:p w14:paraId="6D5FCBFD" w14:textId="5D0F1FA1" w:rsidR="00C864C8" w:rsidRPr="00BF5259" w:rsidRDefault="00C864C8" w:rsidP="009A7378">
      <w:pPr>
        <w:pStyle w:val="NormalText"/>
        <w:rPr>
          <w:szCs w:val="19"/>
        </w:rPr>
      </w:pPr>
      <w:r w:rsidRPr="00BF5259">
        <w:rPr>
          <w:szCs w:val="19"/>
        </w:rPr>
        <w:t xml:space="preserve">Farnworth M, Foster J, Lock E, 1993. The toxicity of paraquat to rabbits following oral administration. </w:t>
      </w:r>
    </w:p>
    <w:p w14:paraId="7D62B805" w14:textId="5CD07EC7" w:rsidR="00BC09D3" w:rsidRPr="00BF5259" w:rsidRDefault="00BC09D3" w:rsidP="00BC09D3">
      <w:pPr>
        <w:pStyle w:val="NormalText"/>
        <w:rPr>
          <w:szCs w:val="19"/>
        </w:rPr>
      </w:pPr>
      <w:r w:rsidRPr="00BF5259">
        <w:rPr>
          <w:szCs w:val="19"/>
        </w:rPr>
        <w:t>FAO</w:t>
      </w:r>
      <w:r w:rsidR="00BE78CE" w:rsidRPr="00BF5259">
        <w:rPr>
          <w:szCs w:val="19"/>
        </w:rPr>
        <w:t xml:space="preserve"> (</w:t>
      </w:r>
      <w:r w:rsidRPr="00BF5259">
        <w:rPr>
          <w:szCs w:val="19"/>
        </w:rPr>
        <w:t>Food and Agriculture Organisation of the United Nations</w:t>
      </w:r>
      <w:r w:rsidR="00BE78CE" w:rsidRPr="00BF5259">
        <w:rPr>
          <w:szCs w:val="19"/>
        </w:rPr>
        <w:t>)</w:t>
      </w:r>
      <w:r w:rsidRPr="00BF5259">
        <w:rPr>
          <w:szCs w:val="19"/>
        </w:rPr>
        <w:t>, 2021. FAO Specifications and evaluations for agricultural pesticides – Paraquat dichloride, https://openknowledge.fao.org/server/api/core/bitstreams/05621e49-cae8-4985-865d-9be6f1c6be40/content</w:t>
      </w:r>
    </w:p>
    <w:p w14:paraId="49E56C2A" w14:textId="09BC5673" w:rsidR="009A7378" w:rsidRPr="00BF5259" w:rsidRDefault="009A7378" w:rsidP="009A7378">
      <w:pPr>
        <w:pStyle w:val="NormalText"/>
        <w:rPr>
          <w:szCs w:val="19"/>
        </w:rPr>
      </w:pPr>
      <w:r w:rsidRPr="00BF5259">
        <w:rPr>
          <w:szCs w:val="19"/>
        </w:rPr>
        <w:t>Fink R, Beavers JB, Grimes JB, Joiner G, Faulcon J, Cadby V, Anthony M, Brown R, 1979. Paraquat dichloride technical salt (SX-1142): acute oral LD</w:t>
      </w:r>
      <w:r w:rsidRPr="00BF5259">
        <w:rPr>
          <w:szCs w:val="19"/>
          <w:vertAlign w:val="subscript"/>
        </w:rPr>
        <w:t>50</w:t>
      </w:r>
      <w:r w:rsidRPr="00BF5259">
        <w:rPr>
          <w:szCs w:val="19"/>
        </w:rPr>
        <w:t xml:space="preserve"> bobwhite quail. Reference no. 162-121</w:t>
      </w:r>
    </w:p>
    <w:p w14:paraId="01736599" w14:textId="7B0692A3" w:rsidR="009A7378" w:rsidRPr="00BF5259" w:rsidRDefault="009A7378" w:rsidP="009A7378">
      <w:pPr>
        <w:pStyle w:val="NormalText"/>
        <w:rPr>
          <w:szCs w:val="19"/>
        </w:rPr>
      </w:pPr>
      <w:r w:rsidRPr="00BF5259">
        <w:rPr>
          <w:szCs w:val="19"/>
        </w:rPr>
        <w:t>Fink R, Beavers JB, Joiner G, Faulcon J, Morgan S, Cadby V, Tiller N, Merriken D, Diener M, Rohde CH, 1982</w:t>
      </w:r>
      <w:r w:rsidR="00187029" w:rsidRPr="00BF5259">
        <w:rPr>
          <w:szCs w:val="19"/>
        </w:rPr>
        <w:t>a</w:t>
      </w:r>
      <w:r w:rsidRPr="00BF5259">
        <w:rPr>
          <w:szCs w:val="19"/>
        </w:rPr>
        <w:t>. Paraquat technical (SX-1305): one-generation reproduction - mallard duck. Reference no. 162-145</w:t>
      </w:r>
    </w:p>
    <w:p w14:paraId="78CED523" w14:textId="697EFCC0" w:rsidR="00187029" w:rsidRPr="00BF5259" w:rsidRDefault="00187029" w:rsidP="00187029">
      <w:pPr>
        <w:pStyle w:val="APVMAText"/>
        <w:rPr>
          <w:rFonts w:ascii="Arial" w:hAnsi="Arial"/>
          <w:sz w:val="19"/>
          <w:szCs w:val="19"/>
        </w:rPr>
      </w:pPr>
      <w:bookmarkStart w:id="784" w:name="_Hlk154136199"/>
      <w:r w:rsidRPr="00BF5259">
        <w:rPr>
          <w:rFonts w:ascii="Arial" w:hAnsi="Arial"/>
          <w:sz w:val="19"/>
          <w:szCs w:val="19"/>
        </w:rPr>
        <w:t>Fink R, Beavers J, Joiner G, 1982b. Diquat technical (SX1260): acute oral LD</w:t>
      </w:r>
      <w:r w:rsidRPr="00BF5259">
        <w:rPr>
          <w:rFonts w:ascii="Arial" w:hAnsi="Arial"/>
          <w:sz w:val="19"/>
          <w:szCs w:val="19"/>
          <w:vertAlign w:val="subscript"/>
        </w:rPr>
        <w:t>50</w:t>
      </w:r>
      <w:r w:rsidRPr="00BF5259">
        <w:rPr>
          <w:rFonts w:ascii="Arial" w:hAnsi="Arial"/>
          <w:sz w:val="19"/>
          <w:szCs w:val="19"/>
        </w:rPr>
        <w:t xml:space="preserve"> - mallard duck. Reference no. 4143</w:t>
      </w:r>
      <w:bookmarkEnd w:id="784"/>
    </w:p>
    <w:p w14:paraId="430D45FF" w14:textId="77777777" w:rsidR="009A7378" w:rsidRPr="00BF5259" w:rsidRDefault="009A7378" w:rsidP="009A7378">
      <w:pPr>
        <w:pStyle w:val="NormalText"/>
        <w:rPr>
          <w:szCs w:val="19"/>
        </w:rPr>
      </w:pPr>
      <w:r w:rsidRPr="00BF5259">
        <w:rPr>
          <w:szCs w:val="19"/>
        </w:rPr>
        <w:lastRenderedPageBreak/>
        <w:t>Fletcher K, 1967. Toxicity tests on gramoxone (LTS) for registration in the USSR. Reference no. IHR/213</w:t>
      </w:r>
    </w:p>
    <w:p w14:paraId="01CF754D" w14:textId="718B7484" w:rsidR="00B4150A" w:rsidRPr="00BF5259" w:rsidRDefault="00B4150A" w:rsidP="009A7378">
      <w:pPr>
        <w:pStyle w:val="NormalText"/>
        <w:rPr>
          <w:szCs w:val="19"/>
        </w:rPr>
      </w:pPr>
      <w:r w:rsidRPr="00BF5259">
        <w:rPr>
          <w:szCs w:val="19"/>
        </w:rPr>
        <w:t>Fletcher IC, 1972 Residue Data Sheets, Paraquat and Diquat, Pasture, Australia. Trial Ref. No. AIWP-72-MB101.</w:t>
      </w:r>
    </w:p>
    <w:p w14:paraId="778F1018" w14:textId="77777777" w:rsidR="00B4150A" w:rsidRPr="00BF5259" w:rsidRDefault="00B4150A" w:rsidP="00B4150A">
      <w:pPr>
        <w:rPr>
          <w:rFonts w:ascii="Arial" w:hAnsi="Arial" w:cs="Arial"/>
          <w:kern w:val="20"/>
          <w:sz w:val="19"/>
          <w:szCs w:val="19"/>
          <w:u w:color="000000"/>
        </w:rPr>
      </w:pPr>
      <w:r w:rsidRPr="00BF5259">
        <w:rPr>
          <w:rFonts w:ascii="Arial" w:hAnsi="Arial" w:cs="Arial"/>
          <w:kern w:val="20"/>
          <w:sz w:val="19"/>
          <w:szCs w:val="19"/>
          <w:u w:color="000000"/>
        </w:rPr>
        <w:t>Fletcher D, 1974. Residue Study with Paraquat Dichloride in White Leghorn Chickens. Report No. 651-05403.</w:t>
      </w:r>
    </w:p>
    <w:p w14:paraId="250B8020" w14:textId="77777777" w:rsidR="00AC7F42" w:rsidRPr="00BF5259" w:rsidRDefault="00AC7F42" w:rsidP="00AC7F42">
      <w:pPr>
        <w:pStyle w:val="NormalText"/>
        <w:rPr>
          <w:szCs w:val="19"/>
        </w:rPr>
      </w:pPr>
      <w:r w:rsidRPr="00BF5259">
        <w:rPr>
          <w:szCs w:val="19"/>
        </w:rPr>
        <w:t>Fuller S, Dryer B, 2008. An integrated pest management strategy for climbing rat in the far-north Queensland sugarcane production system : SRDC final report QUT003. BSES Limited Publication.</w:t>
      </w:r>
    </w:p>
    <w:p w14:paraId="6F430FF1" w14:textId="61958FF9" w:rsidR="009A7378" w:rsidRPr="00BF5259" w:rsidRDefault="009A7378" w:rsidP="009A7378">
      <w:pPr>
        <w:pStyle w:val="NormalText"/>
        <w:rPr>
          <w:szCs w:val="19"/>
        </w:rPr>
      </w:pPr>
      <w:r w:rsidRPr="00BF5259">
        <w:rPr>
          <w:szCs w:val="19"/>
        </w:rPr>
        <w:t xml:space="preserve">Gill A, Austin HM, 1996. The effects of paraquat on the predatory mite </w:t>
      </w:r>
      <w:r w:rsidRPr="00BF5259">
        <w:rPr>
          <w:i/>
          <w:iCs/>
          <w:szCs w:val="19"/>
        </w:rPr>
        <w:t>Typhlodromus pyri</w:t>
      </w:r>
      <w:r w:rsidRPr="00BF5259">
        <w:rPr>
          <w:szCs w:val="19"/>
        </w:rPr>
        <w:t>. Reference no. ER-96-06</w:t>
      </w:r>
    </w:p>
    <w:p w14:paraId="38F10327" w14:textId="77777777" w:rsidR="004E3808" w:rsidRPr="00BF5259" w:rsidRDefault="004E3808" w:rsidP="00BF5259">
      <w:pPr>
        <w:pStyle w:val="NormalText"/>
        <w:rPr>
          <w:szCs w:val="19"/>
        </w:rPr>
      </w:pPr>
      <w:r w:rsidRPr="00BF5259">
        <w:rPr>
          <w:szCs w:val="19"/>
        </w:rPr>
        <w:t>Gough HJ, Collins I, Jackson D, 1987. Diquat: acute 5-day contact and oral toxicity to honey bees (</w:t>
      </w:r>
      <w:r w:rsidRPr="00BF5259">
        <w:rPr>
          <w:i/>
          <w:iCs/>
          <w:szCs w:val="19"/>
        </w:rPr>
        <w:t>Apis mellifera</w:t>
      </w:r>
      <w:r w:rsidRPr="00BF5259">
        <w:rPr>
          <w:szCs w:val="19"/>
        </w:rPr>
        <w:t>). Reference no. RJ055B</w:t>
      </w:r>
    </w:p>
    <w:p w14:paraId="4A8826A3" w14:textId="77777777" w:rsidR="008648BF" w:rsidRPr="00BF5259" w:rsidRDefault="008648BF" w:rsidP="008648BF">
      <w:pPr>
        <w:pStyle w:val="APVMAText"/>
        <w:rPr>
          <w:rFonts w:ascii="Arial" w:hAnsi="Arial"/>
          <w:sz w:val="19"/>
          <w:szCs w:val="19"/>
        </w:rPr>
      </w:pPr>
      <w:bookmarkStart w:id="785" w:name="_Hlk164681913"/>
      <w:r w:rsidRPr="00BF5259">
        <w:rPr>
          <w:rFonts w:ascii="Arial" w:hAnsi="Arial"/>
          <w:sz w:val="19"/>
          <w:szCs w:val="19"/>
        </w:rPr>
        <w:t xml:space="preserve">Gough HJ, McMullin LC, Canning L, Jackson D, White JS, 1991. Diquat: laboratory toxicity to the carabid beetle </w:t>
      </w:r>
      <w:r w:rsidRPr="00BF5259">
        <w:rPr>
          <w:rFonts w:ascii="Arial" w:hAnsi="Arial"/>
          <w:i/>
          <w:iCs/>
          <w:sz w:val="19"/>
          <w:szCs w:val="19"/>
        </w:rPr>
        <w:t>Pterostichus melanarius</w:t>
      </w:r>
      <w:r w:rsidRPr="00BF5259">
        <w:rPr>
          <w:rFonts w:ascii="Arial" w:hAnsi="Arial"/>
          <w:sz w:val="19"/>
          <w:szCs w:val="19"/>
        </w:rPr>
        <w:t xml:space="preserve">, a lycosid spider </w:t>
      </w:r>
      <w:r w:rsidRPr="00BF5259">
        <w:rPr>
          <w:rFonts w:ascii="Arial" w:hAnsi="Arial"/>
          <w:i/>
          <w:iCs/>
          <w:sz w:val="19"/>
          <w:szCs w:val="19"/>
        </w:rPr>
        <w:t>Pardosa</w:t>
      </w:r>
      <w:r w:rsidRPr="00BF5259">
        <w:rPr>
          <w:rFonts w:ascii="Arial" w:hAnsi="Arial"/>
          <w:sz w:val="19"/>
          <w:szCs w:val="19"/>
        </w:rPr>
        <w:t xml:space="preserve"> spp and larvae of the green lacewing </w:t>
      </w:r>
      <w:r w:rsidRPr="00BF5259">
        <w:rPr>
          <w:rFonts w:ascii="Arial" w:hAnsi="Arial"/>
          <w:i/>
          <w:iCs/>
          <w:sz w:val="19"/>
          <w:szCs w:val="19"/>
        </w:rPr>
        <w:t>Chrysoperla carnea</w:t>
      </w:r>
      <w:r w:rsidRPr="00BF5259">
        <w:rPr>
          <w:rFonts w:ascii="Arial" w:hAnsi="Arial"/>
          <w:sz w:val="19"/>
          <w:szCs w:val="19"/>
        </w:rPr>
        <w:t xml:space="preserve"> of residues of a 200 g/L aqueous formulation. Reference no. RJ0922E</w:t>
      </w:r>
    </w:p>
    <w:bookmarkEnd w:id="785"/>
    <w:p w14:paraId="7AC780B7" w14:textId="77777777" w:rsidR="009A7378" w:rsidRPr="00BF5259" w:rsidRDefault="009A7378" w:rsidP="009A7378">
      <w:pPr>
        <w:pStyle w:val="NormalText"/>
        <w:rPr>
          <w:szCs w:val="19"/>
        </w:rPr>
      </w:pPr>
      <w:r w:rsidRPr="00BF5259">
        <w:rPr>
          <w:szCs w:val="19"/>
        </w:rPr>
        <w:t>Gowman MA, Wilkison W, Riley D, 1993. Paraquat: long-term ecological trial at Jealott's Hill, UK, 1964-90. 2. Residues in the soil. Reference no. TMJ3053B</w:t>
      </w:r>
    </w:p>
    <w:p w14:paraId="635F2B91" w14:textId="77777777" w:rsidR="00746FCD" w:rsidRPr="00BF5259" w:rsidRDefault="00746FCD" w:rsidP="00746FCD">
      <w:pPr>
        <w:rPr>
          <w:rFonts w:ascii="Arial" w:hAnsi="Arial" w:cs="Arial"/>
          <w:kern w:val="20"/>
          <w:sz w:val="19"/>
          <w:szCs w:val="19"/>
          <w:u w:color="000000"/>
        </w:rPr>
      </w:pPr>
      <w:r w:rsidRPr="00BF5259">
        <w:rPr>
          <w:rFonts w:ascii="Arial" w:hAnsi="Arial" w:cs="Arial"/>
          <w:kern w:val="20"/>
          <w:sz w:val="19"/>
          <w:szCs w:val="19"/>
          <w:u w:color="000000"/>
        </w:rPr>
        <w:t xml:space="preserve">Grout SJ, 1994a. Paraquat: Quantification and Characterisation of Radioactive Residues in Root and Leafy Crop after Preplant Soil Treatment. Report Number RJ1595B. </w:t>
      </w:r>
    </w:p>
    <w:p w14:paraId="7A982D26" w14:textId="77777777" w:rsidR="00746FCD" w:rsidRPr="00BF5259" w:rsidRDefault="00746FCD" w:rsidP="00746FCD">
      <w:pPr>
        <w:rPr>
          <w:rFonts w:ascii="Arial" w:hAnsi="Arial" w:cs="Arial"/>
          <w:kern w:val="20"/>
          <w:sz w:val="19"/>
          <w:szCs w:val="19"/>
          <w:u w:color="000000"/>
        </w:rPr>
      </w:pPr>
      <w:r w:rsidRPr="00BF5259">
        <w:rPr>
          <w:rFonts w:ascii="Arial" w:hAnsi="Arial" w:cs="Arial"/>
          <w:kern w:val="20"/>
          <w:sz w:val="19"/>
          <w:szCs w:val="19"/>
          <w:u w:color="000000"/>
        </w:rPr>
        <w:t>Grout SJ, 1994b. Paraquat: Quantification and Characterisation of Radioactive Residues in Root and Oilseed Crop after Desiccant Treatment of Foliage. Report No RJ1683.</w:t>
      </w:r>
    </w:p>
    <w:p w14:paraId="66510DF4" w14:textId="77777777" w:rsidR="00746FCD" w:rsidRPr="00BF5259" w:rsidRDefault="00746FCD" w:rsidP="00746FCD">
      <w:pPr>
        <w:rPr>
          <w:rFonts w:ascii="Arial" w:hAnsi="Arial" w:cs="Arial"/>
          <w:kern w:val="20"/>
          <w:sz w:val="19"/>
          <w:szCs w:val="19"/>
          <w:u w:color="000000"/>
        </w:rPr>
      </w:pPr>
      <w:r w:rsidRPr="00BF5259">
        <w:rPr>
          <w:rFonts w:ascii="Arial" w:hAnsi="Arial" w:cs="Arial"/>
          <w:kern w:val="20"/>
          <w:sz w:val="19"/>
          <w:szCs w:val="19"/>
          <w:u w:color="000000"/>
        </w:rPr>
        <w:t>Grout SJ, 1996. Addendum number 1 to Paraquat: Quantification and Characterisation of Radioactive Residues in Root and Oilseed Crop after Desiccant Treatment of Foliage. Report Number RJ1683-ADD1.</w:t>
      </w:r>
    </w:p>
    <w:p w14:paraId="62344E5C" w14:textId="77777777" w:rsidR="00C864C8" w:rsidRPr="00BF5259" w:rsidRDefault="00C864C8" w:rsidP="00C864C8">
      <w:pPr>
        <w:pStyle w:val="NormalText"/>
        <w:rPr>
          <w:szCs w:val="19"/>
        </w:rPr>
      </w:pPr>
      <w:r w:rsidRPr="00BF5259">
        <w:rPr>
          <w:szCs w:val="19"/>
        </w:rPr>
        <w:t xml:space="preserve">Hamer MJ, 1998. Paraquat: sediment toxicity test with </w:t>
      </w:r>
      <w:r w:rsidRPr="00BF5259">
        <w:rPr>
          <w:i/>
          <w:iCs/>
          <w:szCs w:val="19"/>
        </w:rPr>
        <w:t>Chironomus riparius</w:t>
      </w:r>
      <w:r w:rsidRPr="00BF5259">
        <w:rPr>
          <w:szCs w:val="19"/>
        </w:rPr>
        <w:t>. Reference no. RJ2649B</w:t>
      </w:r>
    </w:p>
    <w:p w14:paraId="2CBB15BE" w14:textId="2E3613D5" w:rsidR="009A7378" w:rsidRPr="00BF5259" w:rsidRDefault="009A7378" w:rsidP="009A7378">
      <w:pPr>
        <w:pStyle w:val="NormalText"/>
        <w:rPr>
          <w:szCs w:val="19"/>
        </w:rPr>
      </w:pPr>
      <w:r w:rsidRPr="00BF5259">
        <w:rPr>
          <w:szCs w:val="19"/>
        </w:rPr>
        <w:t xml:space="preserve">Hamer MJ, Ashwell JA, 1997. Paraquat: BBA toxicity test with sediment-dwelling </w:t>
      </w:r>
      <w:r w:rsidRPr="00BF5259">
        <w:rPr>
          <w:i/>
          <w:iCs/>
          <w:szCs w:val="19"/>
        </w:rPr>
        <w:t>Chironomus riparius</w:t>
      </w:r>
      <w:r w:rsidRPr="00BF5259">
        <w:rPr>
          <w:szCs w:val="19"/>
        </w:rPr>
        <w:t>. Reference no. RJ2392B</w:t>
      </w:r>
    </w:p>
    <w:p w14:paraId="203DD465" w14:textId="77777777" w:rsidR="009A7378" w:rsidRPr="00BF5259" w:rsidRDefault="009A7378" w:rsidP="009A7378">
      <w:pPr>
        <w:pStyle w:val="NormalText"/>
        <w:rPr>
          <w:szCs w:val="19"/>
        </w:rPr>
      </w:pPr>
      <w:r w:rsidRPr="00BF5259">
        <w:rPr>
          <w:szCs w:val="19"/>
        </w:rPr>
        <w:t>Hance RJ, Byast TH, Smith PD, 1980. Apparent decomposition of paraquat in soil. Soil Biol Biochem 12: 447-448</w:t>
      </w:r>
    </w:p>
    <w:p w14:paraId="7ADF52AA" w14:textId="0974E40E" w:rsidR="00D94AC8" w:rsidRPr="00BF5259" w:rsidRDefault="00D94AC8" w:rsidP="009A7378">
      <w:pPr>
        <w:pStyle w:val="NormalText"/>
        <w:rPr>
          <w:szCs w:val="19"/>
        </w:rPr>
      </w:pPr>
      <w:r w:rsidRPr="00BF5259">
        <w:rPr>
          <w:szCs w:val="19"/>
        </w:rPr>
        <w:t xml:space="preserve">Hathaway D, 1966. Report to ICI Ltd: acute aerosol inhalation toxicity study on paraquat dichloride. Industrial Bio-Test Laboratories Inc. </w:t>
      </w:r>
    </w:p>
    <w:p w14:paraId="7F09ED45" w14:textId="69F1C354" w:rsidR="009A7378" w:rsidRPr="00BF5259" w:rsidRDefault="009A7378" w:rsidP="009A7378">
      <w:pPr>
        <w:pStyle w:val="NormalText"/>
        <w:rPr>
          <w:szCs w:val="19"/>
        </w:rPr>
      </w:pPr>
      <w:r w:rsidRPr="00BF5259">
        <w:rPr>
          <w:szCs w:val="19"/>
        </w:rPr>
        <w:t>Hayes SE, 2006. Paraquat dichloride: calculation half-life by reaction with atmospheric hydroxyl radicals. Reference no. T003479-01</w:t>
      </w:r>
    </w:p>
    <w:p w14:paraId="131E04E1" w14:textId="77777777" w:rsidR="009A484C" w:rsidRPr="00BF5259" w:rsidRDefault="009A484C" w:rsidP="00746FCD">
      <w:pPr>
        <w:pStyle w:val="NormalText"/>
        <w:rPr>
          <w:szCs w:val="19"/>
        </w:rPr>
      </w:pPr>
      <w:r w:rsidRPr="00BF5259">
        <w:rPr>
          <w:szCs w:val="19"/>
        </w:rPr>
        <w:t>Hayward GJ and Robbins AJ, 1981. Paraquat Residues on Soyabean from 1981 Brazil Trials. Report No PP148B022.</w:t>
      </w:r>
    </w:p>
    <w:p w14:paraId="0BA7243B" w14:textId="7AF00AB9" w:rsidR="009A484C" w:rsidRPr="00BF5259" w:rsidRDefault="009A484C" w:rsidP="00746FCD">
      <w:pPr>
        <w:pStyle w:val="NormalText"/>
        <w:rPr>
          <w:szCs w:val="19"/>
        </w:rPr>
      </w:pPr>
      <w:r w:rsidRPr="00BF5259">
        <w:rPr>
          <w:szCs w:val="19"/>
        </w:rPr>
        <w:t>Hayward GJ and Robbins AJ, 1981. Paraquat Residues on Soyabean from a 1981 Trial in Brazil. ICI Plant Protection, Berkshire, UK. Report No PP148B030.</w:t>
      </w:r>
    </w:p>
    <w:p w14:paraId="54F14111" w14:textId="54DBB477" w:rsidR="00746FCD" w:rsidRPr="00BF5259" w:rsidRDefault="00746FCD" w:rsidP="00746FCD">
      <w:pPr>
        <w:pStyle w:val="NormalText"/>
        <w:rPr>
          <w:szCs w:val="19"/>
        </w:rPr>
      </w:pPr>
      <w:r w:rsidRPr="00BF5259">
        <w:rPr>
          <w:szCs w:val="19"/>
        </w:rPr>
        <w:lastRenderedPageBreak/>
        <w:t>Hendley P, Leahey JP, Spinks CA, Neale D and Carpenter PK, 1976(a). Paraquat: Metabolism and Residue Studies in Goats. Report No. AR2694A</w:t>
      </w:r>
    </w:p>
    <w:p w14:paraId="1798AF5A" w14:textId="378844DB" w:rsidR="00746FCD" w:rsidRPr="00BF5259" w:rsidRDefault="00746FCD" w:rsidP="00746FCD">
      <w:pPr>
        <w:pStyle w:val="NormalText"/>
        <w:rPr>
          <w:szCs w:val="19"/>
        </w:rPr>
      </w:pPr>
      <w:r w:rsidRPr="00BF5259">
        <w:rPr>
          <w:szCs w:val="19"/>
        </w:rPr>
        <w:t>Hendley P, Leahey JP and Spinks CA, 1976(b). Paraquat: Metabolism and Residues in Hens. Report No. AR 2676 A</w:t>
      </w:r>
    </w:p>
    <w:p w14:paraId="7F541B7C" w14:textId="122F262F" w:rsidR="00B4150A" w:rsidRPr="00BF5259" w:rsidRDefault="00B4150A" w:rsidP="00BF5259">
      <w:pPr>
        <w:pStyle w:val="NormalText"/>
        <w:rPr>
          <w:szCs w:val="19"/>
        </w:rPr>
      </w:pPr>
      <w:r w:rsidRPr="00BF5259">
        <w:rPr>
          <w:szCs w:val="19"/>
        </w:rPr>
        <w:t>Hemingway RJ, Edwards MJ, Jagatheeswaran T, Davis JA and Hayward G, 1975. Paraquat: Residue Transfer and Toxicology Trial in Young Growing Pigs. Report No. AR 2572A.</w:t>
      </w:r>
    </w:p>
    <w:p w14:paraId="6FE4AF5F" w14:textId="31B9C411" w:rsidR="00746FCD" w:rsidRPr="00BF5259" w:rsidRDefault="00746FCD" w:rsidP="00BF5259">
      <w:pPr>
        <w:pStyle w:val="NormalText"/>
        <w:rPr>
          <w:szCs w:val="19"/>
        </w:rPr>
      </w:pPr>
      <w:r w:rsidRPr="00BF5259">
        <w:rPr>
          <w:szCs w:val="19"/>
        </w:rPr>
        <w:t>Hemingway RJ, Leahey JP, Griggs RE and Davis JA, 1972. Paraquat: Metabolism in Sheep. Report No. AR 2359 A</w:t>
      </w:r>
    </w:p>
    <w:p w14:paraId="3AE07451" w14:textId="1A79CEF7" w:rsidR="009A7378" w:rsidRPr="00BF5259" w:rsidRDefault="009A7378" w:rsidP="009A7378">
      <w:pPr>
        <w:pStyle w:val="NormalText"/>
        <w:rPr>
          <w:szCs w:val="19"/>
        </w:rPr>
      </w:pPr>
      <w:r w:rsidRPr="00BF5259">
        <w:rPr>
          <w:szCs w:val="19"/>
        </w:rPr>
        <w:t>Heylings JR, Farnworth MJ, 1992. Paraquat: acute oral toxicity and absorption in the mouse. Reference no. CTL/R/1119</w:t>
      </w:r>
    </w:p>
    <w:p w14:paraId="4FDB11D4" w14:textId="2E21FAD0" w:rsidR="009A7378" w:rsidRPr="00BF5259" w:rsidRDefault="009A7378" w:rsidP="009A7378">
      <w:pPr>
        <w:pStyle w:val="NormalText"/>
        <w:rPr>
          <w:szCs w:val="19"/>
        </w:rPr>
      </w:pPr>
      <w:r w:rsidRPr="00BF5259">
        <w:rPr>
          <w:szCs w:val="19"/>
        </w:rPr>
        <w:t>Hill EF, Heath RG, Spann JW, Williams JD, 1975. Lethal dietary toxicities of environmental pollutants to birds. Special Scientific Report - Wildlife no. 191</w:t>
      </w:r>
    </w:p>
    <w:p w14:paraId="31807B69" w14:textId="77777777" w:rsidR="000F58D5" w:rsidRPr="00BF5259" w:rsidRDefault="000F58D5" w:rsidP="000F58D5">
      <w:pPr>
        <w:pStyle w:val="APVMAText"/>
        <w:rPr>
          <w:rFonts w:ascii="Arial" w:hAnsi="Arial"/>
          <w:sz w:val="19"/>
          <w:szCs w:val="19"/>
        </w:rPr>
      </w:pPr>
      <w:r w:rsidRPr="00BF5259">
        <w:rPr>
          <w:rFonts w:ascii="Arial" w:hAnsi="Arial"/>
          <w:sz w:val="19"/>
          <w:szCs w:val="19"/>
        </w:rPr>
        <w:t>Hoberg J, 1987. Acute toxicity of diquat concentrate to mysid shrimp (</w:t>
      </w:r>
      <w:r w:rsidRPr="00BF5259">
        <w:rPr>
          <w:rFonts w:ascii="Arial" w:hAnsi="Arial"/>
          <w:i/>
          <w:iCs/>
          <w:sz w:val="19"/>
          <w:szCs w:val="19"/>
        </w:rPr>
        <w:t>Mysidopsis bahia</w:t>
      </w:r>
      <w:r w:rsidRPr="00BF5259">
        <w:rPr>
          <w:rFonts w:ascii="Arial" w:hAnsi="Arial"/>
          <w:sz w:val="19"/>
          <w:szCs w:val="19"/>
        </w:rPr>
        <w:t>). Reference no. 981.0287.6111.510</w:t>
      </w:r>
    </w:p>
    <w:p w14:paraId="2247DA05" w14:textId="77777777" w:rsidR="009A7378" w:rsidRPr="00BF5259" w:rsidRDefault="009A7378" w:rsidP="009A7378">
      <w:pPr>
        <w:pStyle w:val="NormalText"/>
        <w:rPr>
          <w:szCs w:val="19"/>
        </w:rPr>
      </w:pPr>
      <w:r w:rsidRPr="00BF5259">
        <w:rPr>
          <w:szCs w:val="19"/>
        </w:rPr>
        <w:t>Hodge MCE, Palmer S, Weight TM, Wilson J, 1978. Paraquat dichloride: teratogenicity study in the rat. Reference no. CTL/P/365</w:t>
      </w:r>
    </w:p>
    <w:p w14:paraId="544BD49A" w14:textId="340B4C98" w:rsidR="00771D0A" w:rsidRPr="00BF5259" w:rsidRDefault="00771D0A" w:rsidP="00187029">
      <w:pPr>
        <w:pStyle w:val="APVMAText"/>
        <w:rPr>
          <w:rFonts w:ascii="Arial" w:hAnsi="Arial"/>
          <w:sz w:val="19"/>
          <w:szCs w:val="19"/>
        </w:rPr>
      </w:pPr>
      <w:r w:rsidRPr="00BF5259">
        <w:rPr>
          <w:rFonts w:ascii="Arial" w:hAnsi="Arial"/>
          <w:sz w:val="19"/>
          <w:szCs w:val="19"/>
        </w:rPr>
        <w:t>Hodge MCE, Banham PB, Davies S, Doss A and Taylor K, 1980. 28-day study to determine the toxicity of technical paraquat liquor in the Charles River CD rat. Report no. CTL/P/435.</w:t>
      </w:r>
    </w:p>
    <w:p w14:paraId="02B8FEA2" w14:textId="6D46E854" w:rsidR="00187029" w:rsidRPr="00BF5259" w:rsidRDefault="00187029" w:rsidP="00187029">
      <w:pPr>
        <w:pStyle w:val="APVMAText"/>
        <w:rPr>
          <w:rFonts w:ascii="Arial" w:hAnsi="Arial"/>
          <w:sz w:val="19"/>
          <w:szCs w:val="19"/>
        </w:rPr>
      </w:pPr>
      <w:r w:rsidRPr="00BF5259">
        <w:rPr>
          <w:rFonts w:ascii="Arial" w:hAnsi="Arial"/>
          <w:sz w:val="19"/>
          <w:szCs w:val="19"/>
        </w:rPr>
        <w:t>Hubbard PM, 2013. Diquat dibromide: an acute oral toxicity study with the zebra finch using a sequential testing procedure. Reference no. 528-366</w:t>
      </w:r>
    </w:p>
    <w:p w14:paraId="3983A9CA" w14:textId="77777777" w:rsidR="009A7378" w:rsidRPr="00BF5259" w:rsidRDefault="009A7378" w:rsidP="009A7378">
      <w:pPr>
        <w:pStyle w:val="NormalText"/>
        <w:rPr>
          <w:szCs w:val="19"/>
        </w:rPr>
      </w:pPr>
      <w:r w:rsidRPr="00BF5259">
        <w:rPr>
          <w:szCs w:val="19"/>
        </w:rPr>
        <w:t>Hubbard P, Martin K, Beavers J, 2014. Paraquat dichloride: an acute oral toxicity study with zebra finch using a sequential testing procedure. Reference no. 528-416</w:t>
      </w:r>
    </w:p>
    <w:p w14:paraId="0B157829" w14:textId="77777777" w:rsidR="009A7378" w:rsidRPr="00BF5259" w:rsidRDefault="009A7378" w:rsidP="009A7378">
      <w:pPr>
        <w:pStyle w:val="NormalText"/>
        <w:rPr>
          <w:szCs w:val="19"/>
        </w:rPr>
      </w:pPr>
      <w:r w:rsidRPr="00BF5259">
        <w:rPr>
          <w:szCs w:val="19"/>
        </w:rPr>
        <w:t>Igarashi A, 1980. Paraquat dichloride: AT-5 rats three gen IIAR 1. Reference no. RIC2814</w:t>
      </w:r>
    </w:p>
    <w:p w14:paraId="2458D73D" w14:textId="625C709C" w:rsidR="00AA4380" w:rsidRPr="00BF5259" w:rsidRDefault="00AA4380" w:rsidP="00AA4380">
      <w:pPr>
        <w:pStyle w:val="NormalText"/>
        <w:rPr>
          <w:szCs w:val="19"/>
        </w:rPr>
      </w:pPr>
      <w:r w:rsidRPr="00BF5259">
        <w:rPr>
          <w:szCs w:val="19"/>
        </w:rPr>
        <w:t>Ishmael J and Godley M, 1983. Paraquat: Lifetime feeding study in rats. Histopathological examination of lungs.</w:t>
      </w:r>
    </w:p>
    <w:p w14:paraId="658ED540" w14:textId="77777777" w:rsidR="00AA4380" w:rsidRPr="00BF5259" w:rsidRDefault="00AA4380" w:rsidP="009A7378">
      <w:pPr>
        <w:pStyle w:val="NormalText"/>
        <w:rPr>
          <w:szCs w:val="19"/>
        </w:rPr>
      </w:pPr>
      <w:r w:rsidRPr="00BF5259">
        <w:rPr>
          <w:szCs w:val="19"/>
        </w:rPr>
        <w:t>Ishmael J, 1987. Paraquat: Lifetime feeding study in rats. A histopathological review of slides from the head region.</w:t>
      </w:r>
    </w:p>
    <w:p w14:paraId="51AF8533" w14:textId="4B250071" w:rsidR="009A7378" w:rsidRPr="00BF5259" w:rsidRDefault="009A7378" w:rsidP="009A7378">
      <w:pPr>
        <w:pStyle w:val="NormalText"/>
        <w:rPr>
          <w:szCs w:val="19"/>
        </w:rPr>
      </w:pPr>
      <w:r w:rsidRPr="00BF5259">
        <w:rPr>
          <w:szCs w:val="19"/>
        </w:rPr>
        <w:t xml:space="preserve">Jackson D, McMullin LC, Canning L, White JS, 1991. Gramoxone 100: investigation of the toxicity of the formulation (containing paraquat dichloride) to the carabid beetle </w:t>
      </w:r>
      <w:r w:rsidRPr="00BF5259">
        <w:rPr>
          <w:i/>
          <w:iCs/>
          <w:szCs w:val="19"/>
        </w:rPr>
        <w:t>P. melanarius</w:t>
      </w:r>
      <w:r w:rsidRPr="00BF5259">
        <w:rPr>
          <w:szCs w:val="19"/>
        </w:rPr>
        <w:t xml:space="preserve"> and a lycosid spider. Reference no. RJ0928B</w:t>
      </w:r>
    </w:p>
    <w:p w14:paraId="5595DA3B" w14:textId="77777777" w:rsidR="009A7378" w:rsidRPr="00BF5259" w:rsidRDefault="009A7378" w:rsidP="009A7378">
      <w:pPr>
        <w:pStyle w:val="NormalText"/>
        <w:rPr>
          <w:szCs w:val="19"/>
        </w:rPr>
      </w:pPr>
      <w:r w:rsidRPr="00BF5259">
        <w:rPr>
          <w:szCs w:val="19"/>
        </w:rPr>
        <w:t>Jamers A, de Coen W, 2010. Effect assessment of the herbicide paraquat on a green alga using differential gene expression and biochemical biomarkers. Environ Toxicol Chem 29(4): 893-901</w:t>
      </w:r>
    </w:p>
    <w:p w14:paraId="70E1E811" w14:textId="77777777" w:rsidR="009A7378" w:rsidRPr="00BF5259" w:rsidRDefault="009A7378" w:rsidP="009A7378">
      <w:pPr>
        <w:pStyle w:val="NormalText"/>
        <w:rPr>
          <w:szCs w:val="19"/>
        </w:rPr>
      </w:pPr>
      <w:r w:rsidRPr="00BF5259">
        <w:rPr>
          <w:szCs w:val="19"/>
        </w:rPr>
        <w:t>Johnson A, 1998. Paraquat: acute oral LD50 to the mallard duck. Reference no. ISN399/963860</w:t>
      </w:r>
    </w:p>
    <w:p w14:paraId="02E5EC7E" w14:textId="3C4653D1" w:rsidR="00545EF7" w:rsidRPr="00BF5259" w:rsidRDefault="00545EF7" w:rsidP="00E13BA9">
      <w:pPr>
        <w:pStyle w:val="NormalText"/>
        <w:rPr>
          <w:szCs w:val="19"/>
        </w:rPr>
      </w:pPr>
      <w:r w:rsidRPr="00BF5259">
        <w:rPr>
          <w:szCs w:val="19"/>
        </w:rPr>
        <w:lastRenderedPageBreak/>
        <w:t xml:space="preserve">JMPR (Joint FAO/WHO Meeting on Pesticide Residues), 2003. </w:t>
      </w:r>
      <w:hyperlink r:id="rId73" w:history="1">
        <w:r w:rsidRPr="00BF5259">
          <w:rPr>
            <w:rStyle w:val="Hyperlink"/>
            <w:szCs w:val="19"/>
          </w:rPr>
          <w:t>https://apps.who.int/pesticide-residues-jmpr-database/Document/176</w:t>
        </w:r>
      </w:hyperlink>
    </w:p>
    <w:p w14:paraId="329272CC" w14:textId="3304E729" w:rsidR="00A84757" w:rsidRPr="00BF5259" w:rsidRDefault="00A84757" w:rsidP="00E13BA9">
      <w:pPr>
        <w:pStyle w:val="NormalText"/>
        <w:rPr>
          <w:szCs w:val="19"/>
        </w:rPr>
      </w:pPr>
      <w:r w:rsidRPr="00BF5259">
        <w:rPr>
          <w:szCs w:val="19"/>
        </w:rPr>
        <w:t>JMPR (Joint FAO/WHO Meeting on Pesticide Residues), 2004.</w:t>
      </w:r>
      <w:r w:rsidR="00A46748" w:rsidRPr="00BF5259">
        <w:rPr>
          <w:szCs w:val="19"/>
        </w:rPr>
        <w:t xml:space="preserve"> </w:t>
      </w:r>
      <w:hyperlink r:id="rId74" w:history="1">
        <w:r w:rsidR="00545EF7" w:rsidRPr="00BF5259">
          <w:rPr>
            <w:rStyle w:val="Hyperlink"/>
            <w:szCs w:val="19"/>
          </w:rPr>
          <w:t>http://www.fao.org/fileadmin/templates/agphome/documents/Pests_Pesticides/JMPR/Reports_1991-2006/report2004jmpr.pdf</w:t>
        </w:r>
      </w:hyperlink>
      <w:r w:rsidR="00545EF7" w:rsidRPr="00BF5259">
        <w:rPr>
          <w:szCs w:val="19"/>
        </w:rPr>
        <w:t xml:space="preserve"> </w:t>
      </w:r>
    </w:p>
    <w:p w14:paraId="01C896A1" w14:textId="773B21F4" w:rsidR="00E13BA9" w:rsidRPr="00BF5259" w:rsidRDefault="00E13BA9" w:rsidP="00E13BA9">
      <w:pPr>
        <w:pStyle w:val="NormalText"/>
        <w:rPr>
          <w:szCs w:val="19"/>
          <w:lang w:val="en-US"/>
        </w:rPr>
      </w:pPr>
      <w:r w:rsidRPr="00BF5259">
        <w:rPr>
          <w:szCs w:val="19"/>
          <w:lang w:val="en-US"/>
        </w:rPr>
        <w:t xml:space="preserve">Kalinowski AE, Doe JE, Chart IS, Gore CW, Godley MJ, Hollis K, Robinson M and Woolen B, 1983(a). Paraquat: 1 Year feeding study in dogs. </w:t>
      </w:r>
    </w:p>
    <w:p w14:paraId="279434D2" w14:textId="57571EB6" w:rsidR="00E13BA9" w:rsidRPr="00BF5259" w:rsidRDefault="00E13BA9" w:rsidP="00E13BA9">
      <w:pPr>
        <w:pStyle w:val="NormalText"/>
        <w:rPr>
          <w:szCs w:val="19"/>
          <w:lang w:val="en-US"/>
        </w:rPr>
      </w:pPr>
      <w:r w:rsidRPr="00BF5259">
        <w:rPr>
          <w:szCs w:val="19"/>
          <w:lang w:val="en-US"/>
        </w:rPr>
        <w:t>Kalinowski AE, Doe JE, Chart IS, Gore CW, Godley MJ, Hollis K, Robinson M and Woolen B, 1983(b). Paraquat: 1 Year feeding study in dogs. Individual animal data.</w:t>
      </w:r>
    </w:p>
    <w:p w14:paraId="0BF42FA8" w14:textId="7F3B78BF" w:rsidR="004C40C5" w:rsidRPr="00BF5259" w:rsidRDefault="004C40C5" w:rsidP="004C40C5">
      <w:pPr>
        <w:pStyle w:val="NormalText"/>
        <w:rPr>
          <w:szCs w:val="19"/>
          <w:lang w:val="en-US"/>
        </w:rPr>
      </w:pPr>
      <w:r w:rsidRPr="00BF5259">
        <w:rPr>
          <w:szCs w:val="19"/>
          <w:lang w:val="en-US"/>
        </w:rPr>
        <w:t>Kennedy SH and French DA, 1981. Residues in Apples Following use of a Mixed Paraquat/MCPA Formulation for Weed Control in Orchards. Trial Nos: 8053 Rs – V1/V2/V3/V4.</w:t>
      </w:r>
    </w:p>
    <w:p w14:paraId="31C710DF" w14:textId="77777777" w:rsidR="0066413E" w:rsidRPr="00BF5259" w:rsidRDefault="0066413E" w:rsidP="0066413E">
      <w:pPr>
        <w:pStyle w:val="NormalText"/>
        <w:rPr>
          <w:szCs w:val="19"/>
        </w:rPr>
      </w:pPr>
      <w:r w:rsidRPr="00BF5259">
        <w:rPr>
          <w:szCs w:val="19"/>
        </w:rPr>
        <w:t>Kennedy SH and Robbins AJ, 1982. Paraquat Residues on Soyabean from 1982 Brazil Trials. Report No PP148B029.</w:t>
      </w:r>
    </w:p>
    <w:p w14:paraId="431CF89E" w14:textId="77777777" w:rsidR="0066413E" w:rsidRPr="00BF5259" w:rsidRDefault="0066413E" w:rsidP="0066413E">
      <w:pPr>
        <w:pStyle w:val="NormalText"/>
        <w:rPr>
          <w:szCs w:val="19"/>
        </w:rPr>
      </w:pPr>
      <w:r w:rsidRPr="00BF5259">
        <w:rPr>
          <w:szCs w:val="19"/>
        </w:rPr>
        <w:t>Kennedy SH, Robbins AJ and Ruskin Y, 1983. Paraquat Residues on Soyabean Grains from 1983 Brazilian Trials. Report No PP148B032.</w:t>
      </w:r>
    </w:p>
    <w:p w14:paraId="45404884" w14:textId="03CF4F2C" w:rsidR="008B3B60" w:rsidRPr="00BF5259" w:rsidRDefault="008B3B60" w:rsidP="0066413E">
      <w:pPr>
        <w:pStyle w:val="NormalText"/>
        <w:rPr>
          <w:szCs w:val="19"/>
        </w:rPr>
      </w:pPr>
      <w:r w:rsidRPr="00BF5259">
        <w:rPr>
          <w:szCs w:val="19"/>
        </w:rPr>
        <w:t>Kennedy SH, 1984(a). Paraquat/Diquat: Residues on Vegetables from Trials Carried out During 1983 in West Germany. Report No. M3720B.</w:t>
      </w:r>
    </w:p>
    <w:p w14:paraId="20E5F927" w14:textId="77777777" w:rsidR="009A484C" w:rsidRPr="00BF5259" w:rsidRDefault="009A484C" w:rsidP="009A484C">
      <w:pPr>
        <w:rPr>
          <w:rFonts w:ascii="Arial" w:hAnsi="Arial" w:cs="Arial"/>
          <w:kern w:val="20"/>
          <w:sz w:val="19"/>
          <w:szCs w:val="19"/>
          <w:u w:color="000000"/>
        </w:rPr>
      </w:pPr>
      <w:r w:rsidRPr="00BF5259">
        <w:rPr>
          <w:rFonts w:ascii="Arial" w:hAnsi="Arial" w:cs="Arial"/>
          <w:kern w:val="20"/>
          <w:sz w:val="19"/>
          <w:szCs w:val="19"/>
          <w:u w:color="000000"/>
        </w:rPr>
        <w:t>Kennedy SH, 1984(b). Diuron/Paraquat: Residues on Beans from Trials Carried out During 1983 in Guatemala. Report No. M3756B</w:t>
      </w:r>
    </w:p>
    <w:p w14:paraId="2D95F75C" w14:textId="3EA37D52" w:rsidR="000F3F0F" w:rsidRPr="00BF5259" w:rsidRDefault="000F3F0F" w:rsidP="004C40C5">
      <w:pPr>
        <w:pStyle w:val="NormalText"/>
        <w:rPr>
          <w:szCs w:val="19"/>
        </w:rPr>
      </w:pPr>
      <w:r w:rsidRPr="00BF5259">
        <w:rPr>
          <w:szCs w:val="19"/>
        </w:rPr>
        <w:t>Kennedy SH, 1984(c). Diquat/Paraquat: Residues on Rice from Trials carried out during 1983 in Guatemala. Report No. M3739B.</w:t>
      </w:r>
    </w:p>
    <w:p w14:paraId="78AFFABB" w14:textId="1E8139AF" w:rsidR="000F3F0F" w:rsidRPr="00BF5259" w:rsidRDefault="000F3F0F" w:rsidP="004C40C5">
      <w:pPr>
        <w:pStyle w:val="NormalText"/>
        <w:rPr>
          <w:szCs w:val="19"/>
        </w:rPr>
      </w:pPr>
      <w:r w:rsidRPr="00BF5259">
        <w:rPr>
          <w:szCs w:val="19"/>
        </w:rPr>
        <w:t>Kennedy SH, 1984(d). Diuron/Paraquat: Residues on Maize from Trials carried out During 1983 in Guatemala. Report No. M3740B.</w:t>
      </w:r>
    </w:p>
    <w:p w14:paraId="659BE5A3" w14:textId="77777777" w:rsidR="00B4150A" w:rsidRPr="00BF5259" w:rsidRDefault="00B4150A" w:rsidP="00B4150A">
      <w:pPr>
        <w:pStyle w:val="NormalText"/>
        <w:rPr>
          <w:szCs w:val="19"/>
        </w:rPr>
      </w:pPr>
      <w:r w:rsidRPr="00BF5259">
        <w:rPr>
          <w:szCs w:val="19"/>
        </w:rPr>
        <w:t>Kennedy SH, 1985. Paraquat: Residues in Olive Oil from a trial carried out during 1985 in Greece. M3982B.</w:t>
      </w:r>
    </w:p>
    <w:p w14:paraId="39E4C5AC" w14:textId="77777777" w:rsidR="000F3F0F" w:rsidRPr="00BF5259" w:rsidRDefault="000F3F0F" w:rsidP="000F3F0F">
      <w:pPr>
        <w:pStyle w:val="NormalText"/>
        <w:rPr>
          <w:szCs w:val="19"/>
        </w:rPr>
      </w:pPr>
      <w:r w:rsidRPr="00BF5259">
        <w:rPr>
          <w:szCs w:val="19"/>
        </w:rPr>
        <w:t>Kennedy SH, 1987. Paraquat/Diquat: Residues in Olives from Trials carried out in Spain During 1987. M 4580B.</w:t>
      </w:r>
    </w:p>
    <w:p w14:paraId="2590BDD4" w14:textId="62173248" w:rsidR="009A7378" w:rsidRPr="00BF5259" w:rsidRDefault="009A7378" w:rsidP="004C40C5">
      <w:pPr>
        <w:pStyle w:val="NormalText"/>
        <w:rPr>
          <w:szCs w:val="19"/>
        </w:rPr>
      </w:pPr>
      <w:r w:rsidRPr="00BF5259">
        <w:rPr>
          <w:szCs w:val="19"/>
        </w:rPr>
        <w:t>Kendall DA, Smith BD, Chinn NE, 1989. A field study of the effects of paraquat and glyphosate herbicides on the invertebrate fauna of arable farmland in SW England. Reference no. RIC1821</w:t>
      </w:r>
    </w:p>
    <w:p w14:paraId="3CCF25FD" w14:textId="77777777" w:rsidR="009A7378" w:rsidRPr="00BF5259" w:rsidRDefault="009A7378" w:rsidP="009A7378">
      <w:pPr>
        <w:pStyle w:val="NormalText"/>
        <w:rPr>
          <w:szCs w:val="19"/>
        </w:rPr>
      </w:pPr>
      <w:r w:rsidRPr="00BF5259">
        <w:rPr>
          <w:szCs w:val="19"/>
        </w:rPr>
        <w:t>Kimbrough RD, Gaines TB, 1970. Toxicity of paraquat to rats and its effect on rat lungs. Toxicol Appl Pharmacol 17: 679-690</w:t>
      </w:r>
    </w:p>
    <w:p w14:paraId="71F128AF" w14:textId="77777777" w:rsidR="009A7378" w:rsidRPr="00BF5259" w:rsidRDefault="009A7378" w:rsidP="009A7378">
      <w:pPr>
        <w:pStyle w:val="NormalText"/>
        <w:rPr>
          <w:szCs w:val="19"/>
        </w:rPr>
      </w:pPr>
      <w:r w:rsidRPr="00BF5259">
        <w:rPr>
          <w:szCs w:val="19"/>
        </w:rPr>
        <w:t>Kuet SF, Pinheiro SI, Laverty B, 2001. Paraquat: rate of intrinsic biodegradability. Reference no. 01JH005</w:t>
      </w:r>
    </w:p>
    <w:p w14:paraId="4BB2B03E" w14:textId="66B345E7" w:rsidR="009A7378" w:rsidRPr="00BF5259" w:rsidRDefault="009A7378" w:rsidP="009A7378">
      <w:pPr>
        <w:pStyle w:val="NormalText"/>
        <w:rPr>
          <w:szCs w:val="19"/>
        </w:rPr>
      </w:pPr>
      <w:r w:rsidRPr="00BF5259">
        <w:rPr>
          <w:szCs w:val="19"/>
        </w:rPr>
        <w:t>Lane MCG, Bouwman JJ, 2000. Paraquat: long-term high rate trials in the Netherlands III - paraquat residues in soil and effects on crops 1992-1996. Reference no. 92JH117</w:t>
      </w:r>
    </w:p>
    <w:p w14:paraId="21201F4E" w14:textId="77777777" w:rsidR="009A7378" w:rsidRPr="00BF5259" w:rsidRDefault="009A7378" w:rsidP="009A7378">
      <w:pPr>
        <w:pStyle w:val="NormalText"/>
        <w:rPr>
          <w:szCs w:val="19"/>
        </w:rPr>
      </w:pPr>
      <w:r w:rsidRPr="00BF5259">
        <w:rPr>
          <w:szCs w:val="19"/>
        </w:rPr>
        <w:lastRenderedPageBreak/>
        <w:t>Lane MCG, Bouwman JJ, Bewick DW, 1992. Paraquat: long-term high rate trials in the Netherlands (1986-1991). Reference no. RJ1186B</w:t>
      </w:r>
    </w:p>
    <w:p w14:paraId="685DB293" w14:textId="77777777" w:rsidR="009A7378" w:rsidRPr="00BF5259" w:rsidRDefault="009A7378" w:rsidP="009A7378">
      <w:pPr>
        <w:pStyle w:val="NormalText"/>
        <w:rPr>
          <w:szCs w:val="19"/>
        </w:rPr>
      </w:pPr>
      <w:r w:rsidRPr="00BF5259">
        <w:rPr>
          <w:szCs w:val="19"/>
        </w:rPr>
        <w:t>Lane MCG, Ngim JCK, 2000. Paraquat: long-term high rate trials Malaysia (1989-1999). Reference no. 89JH331</w:t>
      </w:r>
    </w:p>
    <w:p w14:paraId="52E8A72C" w14:textId="0C384A9C" w:rsidR="00055535" w:rsidRPr="00BF5259" w:rsidRDefault="00055535" w:rsidP="009A7378">
      <w:pPr>
        <w:pStyle w:val="NormalText"/>
        <w:rPr>
          <w:szCs w:val="19"/>
        </w:rPr>
      </w:pPr>
      <w:r w:rsidRPr="00BF5259">
        <w:rPr>
          <w:szCs w:val="19"/>
        </w:rPr>
        <w:t>Lane MCG, Vaughan P, 1997. Paraquat strong adsorption capacity – wheat bioassay of earthworm testing soil</w:t>
      </w:r>
    </w:p>
    <w:p w14:paraId="5F4B58AC" w14:textId="09566836" w:rsidR="00746FCD" w:rsidRPr="00BF5259" w:rsidRDefault="00746FCD" w:rsidP="009A7378">
      <w:pPr>
        <w:pStyle w:val="NormalText"/>
        <w:rPr>
          <w:szCs w:val="19"/>
        </w:rPr>
      </w:pPr>
      <w:r w:rsidRPr="00BF5259">
        <w:rPr>
          <w:szCs w:val="19"/>
        </w:rPr>
        <w:t>Leah</w:t>
      </w:r>
      <w:r w:rsidR="00A84757" w:rsidRPr="00BF5259">
        <w:rPr>
          <w:szCs w:val="19"/>
        </w:rPr>
        <w:t>e</w:t>
      </w:r>
      <w:r w:rsidRPr="00BF5259">
        <w:rPr>
          <w:szCs w:val="19"/>
        </w:rPr>
        <w:t>y J, 1975. The Evaluation of the Hazards of Pesticide Residues on Crops Used for Animal Feedstuff, Illustrated by Recent Studies for the Fate of the Bipyridyl Herbicides in Animals. Report No. R3/33.</w:t>
      </w:r>
    </w:p>
    <w:p w14:paraId="5E1097B2" w14:textId="50435C74" w:rsidR="00746FCD" w:rsidRPr="00BF5259" w:rsidRDefault="00746FCD" w:rsidP="009A7378">
      <w:pPr>
        <w:pStyle w:val="NormalText"/>
        <w:rPr>
          <w:szCs w:val="19"/>
        </w:rPr>
      </w:pPr>
      <w:r w:rsidRPr="00BF5259">
        <w:rPr>
          <w:szCs w:val="19"/>
        </w:rPr>
        <w:t>Leahey JP, Hemingway RJ, Davis JA and Griggs RE, 1972. Paraquat: Metabolism in a Cow. Report No.AR2374A</w:t>
      </w:r>
    </w:p>
    <w:p w14:paraId="06D10F9C" w14:textId="6754B6F5" w:rsidR="00B4150A" w:rsidRPr="00BF5259" w:rsidRDefault="00B4150A" w:rsidP="009A7378">
      <w:pPr>
        <w:pStyle w:val="NormalText"/>
        <w:rPr>
          <w:szCs w:val="19"/>
        </w:rPr>
      </w:pPr>
      <w:r w:rsidRPr="00BF5259">
        <w:rPr>
          <w:szCs w:val="19"/>
        </w:rPr>
        <w:t>Leary JB, 1974. Paraquat-Chicken Feeding Study. File No. 741.11 PQ.</w:t>
      </w:r>
    </w:p>
    <w:p w14:paraId="0A3E6361" w14:textId="26F65F52" w:rsidR="00B14A2D" w:rsidRPr="00BF5259" w:rsidRDefault="00B14A2D" w:rsidP="009A7378">
      <w:pPr>
        <w:pStyle w:val="NormalText"/>
        <w:rPr>
          <w:szCs w:val="19"/>
        </w:rPr>
      </w:pPr>
      <w:r w:rsidRPr="00BF5259">
        <w:rPr>
          <w:szCs w:val="19"/>
        </w:rPr>
        <w:t xml:space="preserve">Life Science Research Institute, 1984. Paraquat: Combined toxicity and carcinogenicity study in rats. Volume IX, Final report. Report no: CTL/C/1225. </w:t>
      </w:r>
    </w:p>
    <w:p w14:paraId="42AFEC0A" w14:textId="28E3F96C" w:rsidR="00AC7F42" w:rsidRPr="00BF5259" w:rsidRDefault="00AC7F42" w:rsidP="00AC7F42">
      <w:pPr>
        <w:pStyle w:val="NormalText"/>
        <w:rPr>
          <w:szCs w:val="19"/>
        </w:rPr>
      </w:pPr>
      <w:r w:rsidRPr="00BF5259">
        <w:rPr>
          <w:szCs w:val="19"/>
        </w:rPr>
        <w:t>Linder G, Richmond ME, 1990. Feed aversion in small mammals as a potential source of hazard reduction for environmental chemicals: Agrichemical case studies. Environmental Toxicology and Chemistry, 9(1), 95–105.</w:t>
      </w:r>
    </w:p>
    <w:p w14:paraId="6D9896ED" w14:textId="6A11281F" w:rsidR="009A7378" w:rsidRPr="00BF5259" w:rsidRDefault="009A7378" w:rsidP="009A7378">
      <w:pPr>
        <w:pStyle w:val="NormalText"/>
        <w:rPr>
          <w:szCs w:val="19"/>
        </w:rPr>
      </w:pPr>
      <w:r w:rsidRPr="00BF5259">
        <w:rPr>
          <w:szCs w:val="19"/>
        </w:rPr>
        <w:t>Lindsay S, Banham PB, Godley MJ, Moreland S, Wickramaratne GA, Woolen BH, 1982</w:t>
      </w:r>
      <w:r w:rsidR="004A4FC3" w:rsidRPr="00BF5259">
        <w:rPr>
          <w:szCs w:val="19"/>
        </w:rPr>
        <w:t>(</w:t>
      </w:r>
      <w:r w:rsidRPr="00BF5259">
        <w:rPr>
          <w:szCs w:val="19"/>
        </w:rPr>
        <w:t>a</w:t>
      </w:r>
      <w:r w:rsidR="004A4FC3" w:rsidRPr="00BF5259">
        <w:rPr>
          <w:szCs w:val="19"/>
        </w:rPr>
        <w:t>)</w:t>
      </w:r>
      <w:r w:rsidRPr="00BF5259">
        <w:rPr>
          <w:szCs w:val="19"/>
        </w:rPr>
        <w:t>. Paraquat: multigeneration reproduction study in rats - three generations. Reference no. CTL/P/719</w:t>
      </w:r>
    </w:p>
    <w:p w14:paraId="11E30706" w14:textId="575F72EA" w:rsidR="009A7378" w:rsidRPr="00BF5259" w:rsidRDefault="009A7378" w:rsidP="009A7378">
      <w:pPr>
        <w:pStyle w:val="NormalText"/>
        <w:rPr>
          <w:szCs w:val="19"/>
        </w:rPr>
      </w:pPr>
      <w:r w:rsidRPr="00BF5259">
        <w:rPr>
          <w:szCs w:val="19"/>
        </w:rPr>
        <w:t>Lindsay S, Banham PB, Godley MJ, Moreland S, Wickramaratne GA, Woolen BH, 1982</w:t>
      </w:r>
      <w:r w:rsidR="004A4FC3" w:rsidRPr="00BF5259">
        <w:rPr>
          <w:szCs w:val="19"/>
        </w:rPr>
        <w:t>(</w:t>
      </w:r>
      <w:r w:rsidRPr="00BF5259">
        <w:rPr>
          <w:szCs w:val="19"/>
        </w:rPr>
        <w:t>b</w:t>
      </w:r>
      <w:r w:rsidR="004A4FC3" w:rsidRPr="00BF5259">
        <w:rPr>
          <w:szCs w:val="19"/>
        </w:rPr>
        <w:t>)</w:t>
      </w:r>
      <w:r w:rsidRPr="00BF5259">
        <w:rPr>
          <w:szCs w:val="19"/>
        </w:rPr>
        <w:t>. Paraquat: multigeneration reproduction study in rats - two generations. Reference no. CTL/P/649</w:t>
      </w:r>
    </w:p>
    <w:p w14:paraId="20790041" w14:textId="77777777" w:rsidR="00A215D5" w:rsidRPr="00BF5259" w:rsidRDefault="00A215D5" w:rsidP="00A215D5">
      <w:pPr>
        <w:pStyle w:val="NormalText"/>
        <w:rPr>
          <w:szCs w:val="19"/>
        </w:rPr>
      </w:pPr>
      <w:r w:rsidRPr="00BF5259">
        <w:rPr>
          <w:szCs w:val="19"/>
        </w:rPr>
        <w:t>Litchfield MH, 1969. Grazing Trial on Paraquat–Treated Pasture. Report No IHR/257</w:t>
      </w:r>
    </w:p>
    <w:p w14:paraId="4D912DA5" w14:textId="77777777" w:rsidR="009A7378" w:rsidRPr="00BF5259" w:rsidRDefault="009A7378" w:rsidP="009A7378">
      <w:pPr>
        <w:pStyle w:val="NormalText"/>
        <w:rPr>
          <w:szCs w:val="19"/>
        </w:rPr>
      </w:pPr>
      <w:r w:rsidRPr="00BF5259">
        <w:rPr>
          <w:szCs w:val="19"/>
        </w:rPr>
        <w:t xml:space="preserve">Long KWJ, Dempsey M, Gillings E, Shillbeer N, 1996. Paraquat: degradation of </w:t>
      </w:r>
      <w:r w:rsidRPr="00BF5259">
        <w:rPr>
          <w:szCs w:val="19"/>
          <w:vertAlign w:val="superscript"/>
        </w:rPr>
        <w:t>14</w:t>
      </w:r>
      <w:r w:rsidRPr="00BF5259">
        <w:rPr>
          <w:szCs w:val="19"/>
        </w:rPr>
        <w:t>C-labelled material in natural sediment-water systems. Reference no. BL5569/B</w:t>
      </w:r>
    </w:p>
    <w:p w14:paraId="584F9F23" w14:textId="433E9FE3" w:rsidR="00746FCD" w:rsidRPr="00BF5259" w:rsidRDefault="00746FCD" w:rsidP="00746FCD">
      <w:pPr>
        <w:pStyle w:val="APVMAText"/>
        <w:rPr>
          <w:rFonts w:ascii="Arial" w:hAnsi="Arial"/>
          <w:sz w:val="19"/>
          <w:szCs w:val="19"/>
        </w:rPr>
      </w:pPr>
      <w:r w:rsidRPr="00BF5259">
        <w:rPr>
          <w:rFonts w:ascii="Arial" w:hAnsi="Arial"/>
          <w:sz w:val="19"/>
          <w:szCs w:val="19"/>
        </w:rPr>
        <w:t>Leahey JP, Hendley P and Spinks CA, 1976. Metabolism and Residues in Pigs Using 14C-Methyl Labelled Paraquat. Report No. AR 2694 A</w:t>
      </w:r>
    </w:p>
    <w:p w14:paraId="6336BC36" w14:textId="77777777" w:rsidR="00746FCD" w:rsidRPr="00BF5259" w:rsidRDefault="00746FCD" w:rsidP="00746FCD">
      <w:pPr>
        <w:pStyle w:val="APVMAText"/>
        <w:rPr>
          <w:rFonts w:ascii="Arial" w:hAnsi="Arial"/>
          <w:sz w:val="19"/>
          <w:szCs w:val="19"/>
        </w:rPr>
      </w:pPr>
      <w:r w:rsidRPr="00BF5259">
        <w:rPr>
          <w:rFonts w:ascii="Arial" w:hAnsi="Arial"/>
          <w:sz w:val="19"/>
          <w:szCs w:val="19"/>
        </w:rPr>
        <w:t>Lythgoe RE, and Howard EF, 1995a. Paraquat: Excretion and Tissue Retention of a Single Oral Dose (1mg/kg) in the Rat. Report no. CTL/P4683.</w:t>
      </w:r>
    </w:p>
    <w:p w14:paraId="23F46439" w14:textId="77777777" w:rsidR="00746FCD" w:rsidRPr="00BF5259" w:rsidRDefault="00746FCD" w:rsidP="00746FCD">
      <w:pPr>
        <w:pStyle w:val="APVMAText"/>
        <w:rPr>
          <w:rFonts w:ascii="Arial" w:hAnsi="Arial"/>
          <w:sz w:val="19"/>
          <w:szCs w:val="19"/>
        </w:rPr>
      </w:pPr>
      <w:r w:rsidRPr="00BF5259">
        <w:rPr>
          <w:rFonts w:ascii="Arial" w:hAnsi="Arial"/>
          <w:sz w:val="19"/>
          <w:szCs w:val="19"/>
        </w:rPr>
        <w:t>Lythgoe RE, and Howard EF, 1995b. Paraquat: Excretion and Tissue Retention of a Single Oral Dose (50 mg/kg) in the Rat. Report no. CTL/P4684.</w:t>
      </w:r>
    </w:p>
    <w:p w14:paraId="135A8E5C" w14:textId="5488A7D2" w:rsidR="00746FCD" w:rsidRPr="00BF5259" w:rsidRDefault="00746FCD" w:rsidP="00746FCD">
      <w:pPr>
        <w:pStyle w:val="APVMAText"/>
        <w:rPr>
          <w:rFonts w:ascii="Arial" w:hAnsi="Arial"/>
          <w:sz w:val="19"/>
          <w:szCs w:val="19"/>
        </w:rPr>
      </w:pPr>
      <w:r w:rsidRPr="00BF5259">
        <w:rPr>
          <w:rFonts w:ascii="Arial" w:hAnsi="Arial"/>
          <w:sz w:val="19"/>
          <w:szCs w:val="19"/>
        </w:rPr>
        <w:t>Lythgoe RE, and Howard EF, 1995c.</w:t>
      </w:r>
      <w:r w:rsidRPr="00BF5259">
        <w:rPr>
          <w:rFonts w:ascii="Arial" w:hAnsi="Arial"/>
          <w:sz w:val="19"/>
          <w:szCs w:val="19"/>
        </w:rPr>
        <w:tab/>
        <w:t>Paraquat: Excretion and Tissue Retention of a Single Oral Dose (1mg/kg) in the Rat Following Repeat Dosing. Report no. CTL/P4685.</w:t>
      </w:r>
    </w:p>
    <w:p w14:paraId="161F6991" w14:textId="4679166F" w:rsidR="00746FCD" w:rsidRPr="00BF5259" w:rsidRDefault="00746FCD" w:rsidP="004E3808">
      <w:pPr>
        <w:pStyle w:val="APVMAText"/>
        <w:rPr>
          <w:rFonts w:ascii="Arial" w:hAnsi="Arial"/>
          <w:sz w:val="19"/>
          <w:szCs w:val="19"/>
        </w:rPr>
      </w:pPr>
      <w:r w:rsidRPr="00BF5259">
        <w:rPr>
          <w:rFonts w:ascii="Arial" w:hAnsi="Arial"/>
          <w:sz w:val="19"/>
          <w:szCs w:val="19"/>
        </w:rPr>
        <w:t>MacPherson D, 1995 Paraquat: Biotransformation in the Rat. Report no. CTL/P4806.</w:t>
      </w:r>
    </w:p>
    <w:p w14:paraId="53F5DE94" w14:textId="220788FF" w:rsidR="004E3808" w:rsidRPr="00BF5259" w:rsidRDefault="004E3808" w:rsidP="004E3808">
      <w:pPr>
        <w:pStyle w:val="APVMAText"/>
        <w:rPr>
          <w:rFonts w:ascii="Arial" w:hAnsi="Arial"/>
          <w:sz w:val="19"/>
          <w:szCs w:val="19"/>
        </w:rPr>
      </w:pPr>
      <w:r w:rsidRPr="00BF5259">
        <w:rPr>
          <w:rFonts w:ascii="Arial" w:hAnsi="Arial"/>
          <w:sz w:val="19"/>
          <w:szCs w:val="19"/>
        </w:rPr>
        <w:t>Magor SE, Shillabeer N, 2001. Diquat dibromide: toxicity to duckweed (</w:t>
      </w:r>
      <w:r w:rsidRPr="00BF5259">
        <w:rPr>
          <w:rFonts w:ascii="Arial" w:hAnsi="Arial"/>
          <w:i/>
          <w:iCs/>
          <w:sz w:val="19"/>
          <w:szCs w:val="19"/>
        </w:rPr>
        <w:t>Lemna gibba</w:t>
      </w:r>
      <w:r w:rsidRPr="00BF5259">
        <w:rPr>
          <w:rFonts w:ascii="Arial" w:hAnsi="Arial"/>
          <w:sz w:val="19"/>
          <w:szCs w:val="19"/>
        </w:rPr>
        <w:t>). Reference no. PP901/0571</w:t>
      </w:r>
    </w:p>
    <w:p w14:paraId="61991B38" w14:textId="5F4296F9" w:rsidR="00771D0A" w:rsidRPr="00BF5259" w:rsidRDefault="00771D0A" w:rsidP="00771D0A">
      <w:pPr>
        <w:pStyle w:val="APVMAText"/>
        <w:rPr>
          <w:rFonts w:ascii="Arial" w:hAnsi="Arial"/>
          <w:sz w:val="19"/>
          <w:szCs w:val="19"/>
        </w:rPr>
      </w:pPr>
      <w:r w:rsidRPr="00BF5259">
        <w:rPr>
          <w:rFonts w:ascii="Arial" w:hAnsi="Arial"/>
          <w:sz w:val="19"/>
          <w:szCs w:val="19"/>
        </w:rPr>
        <w:lastRenderedPageBreak/>
        <w:t xml:space="preserve">Maita K and Saito T, 1980. AT-5: subacute toxicity study in mice. Report no. RIC2566. Lab and Sponsor: Toxicology Division, Institute of Environmental Toxicology, Kodaira, Tokyo, Japan. Unpublished. </w:t>
      </w:r>
    </w:p>
    <w:p w14:paraId="6F528950" w14:textId="6832C5CB" w:rsidR="00771D0A" w:rsidRPr="00BF5259" w:rsidRDefault="00771D0A" w:rsidP="00771D0A">
      <w:pPr>
        <w:pStyle w:val="APVMAText"/>
        <w:rPr>
          <w:rFonts w:ascii="Arial" w:hAnsi="Arial"/>
          <w:sz w:val="19"/>
          <w:szCs w:val="19"/>
        </w:rPr>
      </w:pPr>
      <w:r w:rsidRPr="00BF5259">
        <w:rPr>
          <w:rFonts w:ascii="Arial" w:hAnsi="Arial"/>
          <w:sz w:val="19"/>
          <w:szCs w:val="19"/>
        </w:rPr>
        <w:t>Maita K, Saito T, Tsuda S and Shirasu Y, 1980. Report on subacute toxicity of AT-5 in rats. Report no. RIC2565. Lab/Sponsor: Toxicology Division, Institute of Environmental Toxicology, Kodaira, Tokyo, Japan. Unpublished.</w:t>
      </w:r>
    </w:p>
    <w:p w14:paraId="37FD1F07" w14:textId="4E174F85" w:rsidR="007F1120" w:rsidRPr="00BF5259" w:rsidRDefault="007F1120" w:rsidP="00370B37">
      <w:pPr>
        <w:pStyle w:val="APVMAText"/>
        <w:rPr>
          <w:rFonts w:ascii="Arial" w:hAnsi="Arial"/>
          <w:sz w:val="19"/>
          <w:szCs w:val="19"/>
        </w:rPr>
      </w:pPr>
      <w:r w:rsidRPr="00BF5259">
        <w:rPr>
          <w:rFonts w:ascii="Arial" w:hAnsi="Arial"/>
          <w:sz w:val="19"/>
          <w:szCs w:val="19"/>
        </w:rPr>
        <w:t>Marcus K, 1993 (a). Paraquat: Residues in Chick Peas (Whole Plant &amp; Seed) from a Trial in Australia During 1992. Report No. 93-06.</w:t>
      </w:r>
    </w:p>
    <w:p w14:paraId="0F01BD22" w14:textId="6D51C59A" w:rsidR="007F1120" w:rsidRPr="00BF5259" w:rsidRDefault="007F1120" w:rsidP="007F1120">
      <w:pPr>
        <w:pStyle w:val="APVMAText"/>
        <w:rPr>
          <w:rFonts w:ascii="Arial" w:hAnsi="Arial"/>
          <w:sz w:val="19"/>
          <w:szCs w:val="19"/>
        </w:rPr>
      </w:pPr>
      <w:r w:rsidRPr="00BF5259">
        <w:rPr>
          <w:rFonts w:ascii="Arial" w:hAnsi="Arial"/>
          <w:sz w:val="19"/>
          <w:szCs w:val="19"/>
        </w:rPr>
        <w:t>Marcus K, 1993(b). Paraquat: Residues in Lupins (Whole Plant &amp; Seed) from a Trial in Australia During 1992. Report No. 93-05.</w:t>
      </w:r>
    </w:p>
    <w:p w14:paraId="138E93AD" w14:textId="751693C3" w:rsidR="007F1120" w:rsidRPr="00BF5259" w:rsidRDefault="007F1120" w:rsidP="007F1120">
      <w:pPr>
        <w:pStyle w:val="APVMAText"/>
        <w:rPr>
          <w:rFonts w:ascii="Arial" w:hAnsi="Arial"/>
          <w:sz w:val="19"/>
          <w:szCs w:val="19"/>
        </w:rPr>
      </w:pPr>
      <w:r w:rsidRPr="00BF5259">
        <w:rPr>
          <w:rFonts w:ascii="Arial" w:hAnsi="Arial"/>
          <w:sz w:val="19"/>
          <w:szCs w:val="19"/>
        </w:rPr>
        <w:t>Marcus K, 1993(c). Paraquat: Residues in Field Peas (Whole Plant &amp; Seed) from a Trial in Australia During 1992. Report No. 93-04.</w:t>
      </w:r>
    </w:p>
    <w:p w14:paraId="17F49FA7" w14:textId="7056B511" w:rsidR="000F3F0F" w:rsidRPr="00BF5259" w:rsidRDefault="000F3F0F" w:rsidP="000F3F0F">
      <w:pPr>
        <w:pStyle w:val="APVMAText"/>
        <w:rPr>
          <w:rFonts w:ascii="Arial" w:hAnsi="Arial"/>
          <w:sz w:val="19"/>
          <w:szCs w:val="19"/>
        </w:rPr>
      </w:pPr>
      <w:r w:rsidRPr="00BF5259">
        <w:rPr>
          <w:rFonts w:ascii="Arial" w:hAnsi="Arial"/>
          <w:sz w:val="19"/>
          <w:szCs w:val="19"/>
        </w:rPr>
        <w:t>Marcus K, 1996. Paraquat: Residues in Canola (Seeds and Whole Plant) from Trials in Australia During 1994. Report No. 961253/379.</w:t>
      </w:r>
    </w:p>
    <w:p w14:paraId="373E70E7" w14:textId="1C00556A" w:rsidR="00A179E8" w:rsidRPr="00BF5259" w:rsidRDefault="00A179E8" w:rsidP="00A179E8">
      <w:pPr>
        <w:pStyle w:val="FootnoteText"/>
        <w:rPr>
          <w:rFonts w:eastAsiaTheme="minorEastAsia"/>
          <w:spacing w:val="0"/>
          <w:kern w:val="0"/>
          <w:sz w:val="19"/>
          <w:szCs w:val="19"/>
        </w:rPr>
      </w:pPr>
      <w:r w:rsidRPr="00BF5259">
        <w:rPr>
          <w:rFonts w:eastAsiaTheme="minorEastAsia"/>
          <w:spacing w:val="0"/>
          <w:kern w:val="0"/>
          <w:sz w:val="19"/>
          <w:szCs w:val="19"/>
        </w:rPr>
        <w:t xml:space="preserve">Markell A, 2023 Paraquat dichloride (PP148) – Determination of Vapor Pressure Report Number 8526377 </w:t>
      </w:r>
    </w:p>
    <w:p w14:paraId="40719B94" w14:textId="68D69E10" w:rsidR="00370B37" w:rsidRPr="00BF5259" w:rsidRDefault="00370B37" w:rsidP="00370B37">
      <w:pPr>
        <w:pStyle w:val="APVMAText"/>
        <w:rPr>
          <w:rFonts w:ascii="Arial" w:hAnsi="Arial"/>
          <w:sz w:val="19"/>
          <w:szCs w:val="19"/>
        </w:rPr>
      </w:pPr>
      <w:r w:rsidRPr="00BF5259">
        <w:rPr>
          <w:rFonts w:ascii="Arial" w:hAnsi="Arial"/>
          <w:sz w:val="19"/>
          <w:szCs w:val="19"/>
        </w:rPr>
        <w:t>Martin JA, 2013. Diquat dibromide: evaluation of the phytotoxicity to non-target terrestrial plants vegetative vigor test. Reference no. PP901-10893, 1781.6872</w:t>
      </w:r>
    </w:p>
    <w:p w14:paraId="5591032F" w14:textId="77777777" w:rsidR="009A7378" w:rsidRPr="00BF5259" w:rsidRDefault="009A7378" w:rsidP="009A7378">
      <w:pPr>
        <w:pStyle w:val="NormalText"/>
        <w:rPr>
          <w:szCs w:val="19"/>
        </w:rPr>
      </w:pPr>
      <w:r w:rsidRPr="00BF5259">
        <w:rPr>
          <w:szCs w:val="19"/>
        </w:rPr>
        <w:t>Martin JA, 2014a. Paraquat dichloride (A7813Q): seedling emergence test. Reference no. 1781.6948</w:t>
      </w:r>
    </w:p>
    <w:p w14:paraId="3733FFA9" w14:textId="77777777" w:rsidR="009A7378" w:rsidRPr="00BF5259" w:rsidRDefault="009A7378" w:rsidP="009A7378">
      <w:pPr>
        <w:pStyle w:val="NormalText"/>
        <w:rPr>
          <w:szCs w:val="19"/>
        </w:rPr>
      </w:pPr>
      <w:r w:rsidRPr="00BF5259">
        <w:rPr>
          <w:szCs w:val="19"/>
        </w:rPr>
        <w:t>Martin JA, 2014b. Paraquat dichloride (A7813Q): vegetative vigor test. Reference no. 1781.6947</w:t>
      </w:r>
    </w:p>
    <w:p w14:paraId="7E521E21" w14:textId="77777777" w:rsidR="009F2B31" w:rsidRPr="00BF5259" w:rsidRDefault="009F2B31" w:rsidP="009F2B31">
      <w:pPr>
        <w:pStyle w:val="NormalText"/>
        <w:rPr>
          <w:szCs w:val="19"/>
        </w:rPr>
      </w:pPr>
      <w:r w:rsidRPr="00BF5259">
        <w:rPr>
          <w:szCs w:val="19"/>
        </w:rPr>
        <w:t>Massey JA, 1987(a). Paraquat/Diquat: Residues in Olives from Trials carried out in Spain During 1986. M 4531B.</w:t>
      </w:r>
    </w:p>
    <w:p w14:paraId="29728AB4" w14:textId="77777777" w:rsidR="009A484C" w:rsidRPr="00BF5259" w:rsidRDefault="009A484C" w:rsidP="009A484C">
      <w:pPr>
        <w:pStyle w:val="NormalText"/>
        <w:rPr>
          <w:szCs w:val="19"/>
        </w:rPr>
      </w:pPr>
      <w:r w:rsidRPr="00BF5259">
        <w:rPr>
          <w:szCs w:val="19"/>
        </w:rPr>
        <w:t>Massey J. 1987(b). Paraquat/Diquat: Residues on Vegetables from Trials Carried out During 1983 in West Germany. Report No. M4415B.</w:t>
      </w:r>
    </w:p>
    <w:p w14:paraId="1151FFCB" w14:textId="5B9976E1" w:rsidR="009A484C" w:rsidRPr="00BF5259" w:rsidRDefault="009A484C" w:rsidP="009A484C">
      <w:pPr>
        <w:pStyle w:val="NormalText"/>
        <w:rPr>
          <w:szCs w:val="19"/>
        </w:rPr>
      </w:pPr>
      <w:r w:rsidRPr="00BF5259">
        <w:rPr>
          <w:szCs w:val="19"/>
        </w:rPr>
        <w:t>Massey J, 1987(c). Paraquat: Residues in Vegetables from Trials Carried out in New York State, USA During 1986. Report No. M4539B.</w:t>
      </w:r>
    </w:p>
    <w:p w14:paraId="69BE6C94" w14:textId="4542A7C4" w:rsidR="008B3B60" w:rsidRPr="00BF5259" w:rsidRDefault="009A484C" w:rsidP="009A484C">
      <w:pPr>
        <w:pStyle w:val="NormalText"/>
        <w:rPr>
          <w:szCs w:val="19"/>
        </w:rPr>
      </w:pPr>
      <w:r w:rsidRPr="00BF5259">
        <w:rPr>
          <w:szCs w:val="19"/>
        </w:rPr>
        <w:t>Massey J, (1987(d). Paraquat/Diquat: Residues in Lettuce from Trials Carried out in West Germany During 1984. Report No. M4416B.</w:t>
      </w:r>
    </w:p>
    <w:p w14:paraId="5879FB16" w14:textId="77777777" w:rsidR="00AC7F42" w:rsidRPr="00BF5259" w:rsidRDefault="00AC7F42" w:rsidP="00AC7F42">
      <w:pPr>
        <w:pStyle w:val="APVMAText"/>
        <w:rPr>
          <w:rFonts w:ascii="Arial" w:hAnsi="Arial"/>
          <w:sz w:val="19"/>
          <w:szCs w:val="19"/>
        </w:rPr>
      </w:pPr>
      <w:r w:rsidRPr="00BF5259">
        <w:rPr>
          <w:rFonts w:ascii="Arial" w:hAnsi="Arial"/>
          <w:sz w:val="19"/>
          <w:szCs w:val="19"/>
        </w:rPr>
        <w:t>McCall J, Robinson P, 1990. Diquat Dibromide: Acute Oral Toxicity Study to the Rat. Report no. CTL/P/2999.</w:t>
      </w:r>
    </w:p>
    <w:p w14:paraId="2E2908D8" w14:textId="0AB96541" w:rsidR="003C6DDF" w:rsidRPr="00BF5259" w:rsidRDefault="003C6DDF" w:rsidP="008B3B60">
      <w:pPr>
        <w:pStyle w:val="NormalText"/>
        <w:rPr>
          <w:szCs w:val="19"/>
        </w:rPr>
      </w:pPr>
      <w:r w:rsidRPr="00BF5259">
        <w:rPr>
          <w:szCs w:val="19"/>
        </w:rPr>
        <w:t>McGwin G and Griffin RL. (2022) An ecological study regarding the association between paraquat exposure and end stage renal disease. Environmental Health 21, 127.</w:t>
      </w:r>
    </w:p>
    <w:p w14:paraId="65995CB5" w14:textId="7E2D6282" w:rsidR="003C6DDF" w:rsidRPr="00BF5259" w:rsidRDefault="003C6DDF" w:rsidP="008B3B60">
      <w:pPr>
        <w:pStyle w:val="NormalText"/>
        <w:rPr>
          <w:szCs w:val="19"/>
        </w:rPr>
      </w:pPr>
      <w:r w:rsidRPr="00BF5259">
        <w:rPr>
          <w:szCs w:val="19"/>
        </w:rPr>
        <w:t>Milanese, C., Cerri, S., Ulusoy, A., Gornati, S.V., Plat, A., Gabriels, S., Blandini, F.,Di Monte, D.A., Hoeijmakers, J.H. and Mastroberardino, P.G. (2018) Activation of the DNA damage response in vivo in synucleinopathy models of Parkinson's disease. Cell Death Dis, 9, 818.</w:t>
      </w:r>
    </w:p>
    <w:p w14:paraId="60E3CB36" w14:textId="78B8D391" w:rsidR="009A7378" w:rsidRPr="00BF5259" w:rsidRDefault="009A7378" w:rsidP="008B3B60">
      <w:pPr>
        <w:pStyle w:val="NormalText"/>
        <w:rPr>
          <w:szCs w:val="19"/>
        </w:rPr>
      </w:pPr>
      <w:r w:rsidRPr="00BF5259">
        <w:rPr>
          <w:szCs w:val="19"/>
        </w:rPr>
        <w:lastRenderedPageBreak/>
        <w:t>Mohammad M, Itoh K, Suyama K</w:t>
      </w:r>
      <w:r w:rsidRPr="00BF5259">
        <w:rPr>
          <w:szCs w:val="19"/>
        </w:rPr>
        <w:tab/>
        <w:t>2010</w:t>
      </w:r>
      <w:r w:rsidRPr="00BF5259">
        <w:rPr>
          <w:szCs w:val="19"/>
        </w:rPr>
        <w:tab/>
        <w:t xml:space="preserve">Effects of herbicides on </w:t>
      </w:r>
      <w:r w:rsidRPr="00BF5259">
        <w:rPr>
          <w:i/>
          <w:iCs/>
          <w:szCs w:val="19"/>
        </w:rPr>
        <w:t>Lemna gibba</w:t>
      </w:r>
      <w:r w:rsidRPr="00BF5259">
        <w:rPr>
          <w:szCs w:val="19"/>
        </w:rPr>
        <w:t xml:space="preserve"> and recovery from damage after prolonged exposure. Arch Environ Contam Toxicol 58: 605-612</w:t>
      </w:r>
    </w:p>
    <w:p w14:paraId="1DF7C823" w14:textId="77777777" w:rsidR="009A7378" w:rsidRPr="00BF5259" w:rsidRDefault="009A7378" w:rsidP="009A7378">
      <w:pPr>
        <w:pStyle w:val="NormalText"/>
        <w:rPr>
          <w:szCs w:val="19"/>
        </w:rPr>
      </w:pPr>
      <w:r w:rsidRPr="00BF5259">
        <w:rPr>
          <w:szCs w:val="19"/>
        </w:rPr>
        <w:t>Muller K, Roy B, 1997. Paraquat and diquat: long term trial on a soil with a very low SAC-WB at Meckering, Western Australia, 1971-1995: trial description, crop measurements and fate of soil residues. Reference no. TMJ3653B</w:t>
      </w:r>
    </w:p>
    <w:p w14:paraId="0EBB0A91" w14:textId="562F4A3D" w:rsidR="009D6E60" w:rsidRPr="00BF5259" w:rsidRDefault="009D6E60" w:rsidP="009A7378">
      <w:pPr>
        <w:pStyle w:val="NormalText"/>
        <w:rPr>
          <w:szCs w:val="19"/>
        </w:rPr>
      </w:pPr>
      <w:r w:rsidRPr="00BF5259">
        <w:rPr>
          <w:szCs w:val="19"/>
        </w:rPr>
        <w:t>Murray RE and Gibson JE, 1972. A comparative study of paraquat intoxication in rats, guinea pigs and monkeys. Exp Mol Pathol 17: 317-325.</w:t>
      </w:r>
    </w:p>
    <w:p w14:paraId="45C5A14F" w14:textId="2C4FDC16" w:rsidR="009A7378" w:rsidRPr="00BF5259" w:rsidRDefault="009A7378" w:rsidP="009A7378">
      <w:pPr>
        <w:pStyle w:val="NormalText"/>
        <w:rPr>
          <w:szCs w:val="19"/>
        </w:rPr>
      </w:pPr>
      <w:r w:rsidRPr="00BF5259">
        <w:rPr>
          <w:szCs w:val="19"/>
        </w:rPr>
        <w:t>Murray RE, Gibson J, 1974. Paraquat disposition in rats, guinea pigs and monkeys. Toxicol Appl Pharmacol 27: 283-291</w:t>
      </w:r>
    </w:p>
    <w:p w14:paraId="240C38F5" w14:textId="77777777" w:rsidR="004E3808" w:rsidRPr="00BF5259" w:rsidRDefault="004E3808" w:rsidP="004E3808">
      <w:pPr>
        <w:pStyle w:val="APVMAText"/>
        <w:rPr>
          <w:rFonts w:ascii="Arial" w:hAnsi="Arial"/>
          <w:sz w:val="19"/>
          <w:szCs w:val="19"/>
        </w:rPr>
      </w:pPr>
      <w:r w:rsidRPr="00BF5259">
        <w:rPr>
          <w:rFonts w:ascii="Arial" w:hAnsi="Arial"/>
          <w:sz w:val="19"/>
          <w:szCs w:val="19"/>
        </w:rPr>
        <w:t>Nagai T, 2019. Sensitivity differences among seven algal species to 12 herbicides with various modes of action. J Pestic Sci 44:225-232</w:t>
      </w:r>
    </w:p>
    <w:p w14:paraId="62E8CAB3" w14:textId="77777777" w:rsidR="00187029" w:rsidRPr="00BF5259" w:rsidRDefault="00187029" w:rsidP="00187029">
      <w:pPr>
        <w:pStyle w:val="APVMAText"/>
        <w:rPr>
          <w:rFonts w:ascii="Arial" w:hAnsi="Arial"/>
          <w:sz w:val="19"/>
          <w:szCs w:val="19"/>
        </w:rPr>
      </w:pPr>
      <w:r w:rsidRPr="00BF5259">
        <w:rPr>
          <w:rFonts w:ascii="Arial" w:hAnsi="Arial"/>
          <w:sz w:val="19"/>
          <w:szCs w:val="19"/>
        </w:rPr>
        <w:t>Nicholson R, 1987. Acute toxicity of diquat concentrate to sheepshead minnow (</w:t>
      </w:r>
      <w:r w:rsidRPr="00BF5259">
        <w:rPr>
          <w:rFonts w:ascii="Arial" w:hAnsi="Arial"/>
          <w:i/>
          <w:iCs/>
          <w:sz w:val="19"/>
          <w:szCs w:val="19"/>
        </w:rPr>
        <w:t>Cyprinodon variegatus</w:t>
      </w:r>
      <w:r w:rsidRPr="00BF5259">
        <w:rPr>
          <w:rFonts w:ascii="Arial" w:hAnsi="Arial"/>
          <w:sz w:val="19"/>
          <w:szCs w:val="19"/>
        </w:rPr>
        <w:t>). Reference no. 981.0287.6110.500</w:t>
      </w:r>
    </w:p>
    <w:p w14:paraId="49CA2F30" w14:textId="77777777" w:rsidR="009A7378" w:rsidRPr="00BF5259" w:rsidRDefault="009A7378" w:rsidP="009A7378">
      <w:pPr>
        <w:pStyle w:val="NormalText"/>
        <w:rPr>
          <w:szCs w:val="19"/>
        </w:rPr>
      </w:pPr>
      <w:r w:rsidRPr="00BF5259">
        <w:rPr>
          <w:szCs w:val="19"/>
        </w:rPr>
        <w:t xml:space="preserve">Noack M, 2007. Paraquat technical: acute immobilisation test (static 48h) to </w:t>
      </w:r>
      <w:r w:rsidRPr="00BF5259">
        <w:rPr>
          <w:i/>
          <w:iCs/>
          <w:szCs w:val="19"/>
        </w:rPr>
        <w:t>Daphnia magna</w:t>
      </w:r>
      <w:r w:rsidRPr="00BF5259">
        <w:rPr>
          <w:szCs w:val="19"/>
        </w:rPr>
        <w:t>. Reference no. DAI112272</w:t>
      </w:r>
    </w:p>
    <w:p w14:paraId="6121951E" w14:textId="77777777" w:rsidR="00AC7F42" w:rsidRPr="00BF5259" w:rsidRDefault="00AC7F42" w:rsidP="00AC7F42">
      <w:pPr>
        <w:pStyle w:val="NormalText"/>
        <w:rPr>
          <w:szCs w:val="19"/>
        </w:rPr>
      </w:pPr>
      <w:r w:rsidRPr="00BF5259">
        <w:rPr>
          <w:szCs w:val="19"/>
        </w:rPr>
        <w:t>Northern Zone, 2020. Pesticide risk assessment for birds and mammals. Selection of relevant species and development of standard scenarios for higher tier risk assessment in the Northern Zone in accordance with Regulation EC 1107/2009, version 2.1</w:t>
      </w:r>
    </w:p>
    <w:p w14:paraId="76EFC3FA" w14:textId="0B52B30F" w:rsidR="00746FCD" w:rsidRPr="00BF5259" w:rsidRDefault="00746FCD" w:rsidP="00746FCD">
      <w:pPr>
        <w:pStyle w:val="NormalText"/>
        <w:rPr>
          <w:szCs w:val="19"/>
        </w:rPr>
      </w:pPr>
      <w:r w:rsidRPr="00BF5259">
        <w:rPr>
          <w:szCs w:val="19"/>
        </w:rPr>
        <w:t>Oliver C and Hemingway RJ, 1974a. A Study of the Metabolism and Residues in Hens and their Eggs. Report No. AR 2511 A</w:t>
      </w:r>
    </w:p>
    <w:p w14:paraId="29DC6041" w14:textId="02162F07" w:rsidR="00746FCD" w:rsidRPr="00BF5259" w:rsidRDefault="00746FCD" w:rsidP="00746FCD">
      <w:pPr>
        <w:pStyle w:val="NormalText"/>
        <w:rPr>
          <w:szCs w:val="19"/>
        </w:rPr>
      </w:pPr>
      <w:r w:rsidRPr="00BF5259">
        <w:rPr>
          <w:szCs w:val="19"/>
        </w:rPr>
        <w:t>Oliver C and Hemingway RJ, 1974b. A Study of the Metabolism and Residues in Hens and their Eggs (Addendum to AR 2511A). Report No. TMJ 1015A</w:t>
      </w:r>
    </w:p>
    <w:p w14:paraId="6C8115F5" w14:textId="3202A0B7" w:rsidR="009A7378" w:rsidRPr="00BF5259" w:rsidRDefault="009A7378" w:rsidP="009A7378">
      <w:pPr>
        <w:pStyle w:val="NormalText"/>
        <w:rPr>
          <w:szCs w:val="19"/>
        </w:rPr>
      </w:pPr>
      <w:r w:rsidRPr="00BF5259">
        <w:rPr>
          <w:szCs w:val="19"/>
        </w:rPr>
        <w:t xml:space="preserve">Pack DE, 1982. Long-term exposure of </w:t>
      </w:r>
      <w:r w:rsidRPr="00BF5259">
        <w:rPr>
          <w:szCs w:val="19"/>
          <w:vertAlign w:val="superscript"/>
        </w:rPr>
        <w:t>14</w:t>
      </w:r>
      <w:r w:rsidRPr="00BF5259">
        <w:rPr>
          <w:szCs w:val="19"/>
        </w:rPr>
        <w:t>C-paraquat on a sandy soil to California sunlight. Reference no. RJ0168B</w:t>
      </w:r>
    </w:p>
    <w:p w14:paraId="2F3449D2" w14:textId="77777777" w:rsidR="009A7378" w:rsidRPr="00BF5259" w:rsidRDefault="009A7378" w:rsidP="009A7378">
      <w:pPr>
        <w:pStyle w:val="NormalText"/>
        <w:rPr>
          <w:szCs w:val="19"/>
        </w:rPr>
      </w:pPr>
      <w:r w:rsidRPr="00BF5259">
        <w:rPr>
          <w:szCs w:val="19"/>
        </w:rPr>
        <w:t>Parker S, Leahey J, 1988. Paraquat: aqueous photolysis at pH 7. Reference no. R0633B</w:t>
      </w:r>
    </w:p>
    <w:p w14:paraId="07A3A61F" w14:textId="77777777" w:rsidR="00501C81" w:rsidRPr="00BF5259" w:rsidRDefault="00501C81" w:rsidP="00501C81">
      <w:pPr>
        <w:pStyle w:val="APVMAText"/>
        <w:rPr>
          <w:rFonts w:ascii="Arial" w:hAnsi="Arial"/>
          <w:sz w:val="19"/>
          <w:szCs w:val="19"/>
        </w:rPr>
      </w:pPr>
      <w:r w:rsidRPr="00BF5259">
        <w:rPr>
          <w:rFonts w:ascii="Arial" w:hAnsi="Arial"/>
          <w:sz w:val="19"/>
          <w:szCs w:val="19"/>
        </w:rPr>
        <w:t>Paul E, Simonin H, Symula J, 1994. The toxicity of diquat, endothall and fluridone to the early life stages of fish. J Freshw Ecol 9(3): 229-239</w:t>
      </w:r>
      <w:r w:rsidRPr="00BF5259">
        <w:rPr>
          <w:rFonts w:ascii="Arial" w:hAnsi="Arial"/>
          <w:sz w:val="19"/>
          <w:szCs w:val="19"/>
        </w:rPr>
        <w:tab/>
      </w:r>
    </w:p>
    <w:p w14:paraId="097DF91D" w14:textId="77777777" w:rsidR="003C6DDF" w:rsidRPr="00BF5259" w:rsidRDefault="003C6DDF" w:rsidP="009A7378">
      <w:pPr>
        <w:pStyle w:val="NormalText"/>
        <w:rPr>
          <w:szCs w:val="19"/>
        </w:rPr>
      </w:pPr>
      <w:r w:rsidRPr="00BF5259">
        <w:rPr>
          <w:szCs w:val="19"/>
        </w:rPr>
        <w:t>Paul KC, Cockburn M, Gong Y, Bronstein J, Ritz B. (2024) Agricultural paraquat dichloride use and Parkinson’s disease in California Central Valley.Int J Epidemiol. 2024 Feb 1;53(1):dyae004.</w:t>
      </w:r>
    </w:p>
    <w:p w14:paraId="0400D3D6" w14:textId="3E637B4C" w:rsidR="009A7378" w:rsidRPr="00BF5259" w:rsidRDefault="009A7378" w:rsidP="009A7378">
      <w:pPr>
        <w:pStyle w:val="NormalText"/>
        <w:rPr>
          <w:szCs w:val="19"/>
        </w:rPr>
      </w:pPr>
      <w:r w:rsidRPr="00BF5259">
        <w:rPr>
          <w:szCs w:val="19"/>
        </w:rPr>
        <w:t xml:space="preserve">Petto R, 1993. Effects of Gramoxone 100 on </w:t>
      </w:r>
      <w:r w:rsidRPr="00BF5259">
        <w:rPr>
          <w:i/>
          <w:iCs/>
          <w:szCs w:val="19"/>
        </w:rPr>
        <w:t>Aleochara bilineata</w:t>
      </w:r>
      <w:r w:rsidRPr="00BF5259">
        <w:rPr>
          <w:szCs w:val="19"/>
        </w:rPr>
        <w:t xml:space="preserve"> Gyll (Coleoptera, Staphylinidae) in the laboratory. Reference no. RCC405000</w:t>
      </w:r>
    </w:p>
    <w:p w14:paraId="2ECB645A" w14:textId="77777777" w:rsidR="009A7378" w:rsidRPr="00BF5259" w:rsidRDefault="009A7378" w:rsidP="009A7378">
      <w:pPr>
        <w:pStyle w:val="NormalText"/>
        <w:rPr>
          <w:szCs w:val="19"/>
        </w:rPr>
      </w:pPr>
      <w:r w:rsidRPr="00BF5259">
        <w:rPr>
          <w:szCs w:val="19"/>
        </w:rPr>
        <w:t>Platford RF, 1983. The octanol-water partitioning of some hydrophobic and hydrophilic compounds. Chemosphere 12(7-8): 1107-1111</w:t>
      </w:r>
    </w:p>
    <w:p w14:paraId="5C05FAF8" w14:textId="77777777" w:rsidR="00AC7F42" w:rsidRPr="00BF5259" w:rsidRDefault="00AC7F42" w:rsidP="00AC7F42">
      <w:pPr>
        <w:pStyle w:val="APVMAText"/>
        <w:rPr>
          <w:rFonts w:ascii="Arial" w:hAnsi="Arial"/>
          <w:sz w:val="19"/>
          <w:szCs w:val="19"/>
        </w:rPr>
      </w:pPr>
      <w:r w:rsidRPr="00BF5259">
        <w:rPr>
          <w:rFonts w:ascii="Arial" w:hAnsi="Arial"/>
          <w:sz w:val="19"/>
          <w:szCs w:val="19"/>
        </w:rPr>
        <w:lastRenderedPageBreak/>
        <w:t>Pooles A, 2008. Diquat SL (A1412H) - Acute Oral Toxicity in the Rat - Up and Down-procedure. Report no. 2364/0323.</w:t>
      </w:r>
    </w:p>
    <w:p w14:paraId="41DEB588" w14:textId="77777777" w:rsidR="00370B37" w:rsidRPr="00BF5259" w:rsidRDefault="00370B37" w:rsidP="00370B37">
      <w:pPr>
        <w:pStyle w:val="APVMAText"/>
        <w:rPr>
          <w:rFonts w:ascii="Arial" w:hAnsi="Arial"/>
          <w:sz w:val="19"/>
          <w:szCs w:val="19"/>
        </w:rPr>
      </w:pPr>
      <w:r w:rsidRPr="00BF5259">
        <w:rPr>
          <w:rFonts w:ascii="Arial" w:hAnsi="Arial"/>
          <w:sz w:val="19"/>
          <w:szCs w:val="19"/>
        </w:rPr>
        <w:t>Porch J, Krueger H, 1999. Diquat: a toxicity test to determine the effects of the test substance on vegetative vigor of two species of plants. Reference no. PP901/0580</w:t>
      </w:r>
    </w:p>
    <w:p w14:paraId="0409DEE4" w14:textId="2816C023" w:rsidR="006868E0" w:rsidRPr="00BF5259" w:rsidRDefault="004C40C5" w:rsidP="009A7378">
      <w:pPr>
        <w:pStyle w:val="NormalText"/>
        <w:rPr>
          <w:szCs w:val="19"/>
        </w:rPr>
      </w:pPr>
      <w:r w:rsidRPr="00BF5259">
        <w:rPr>
          <w:szCs w:val="19"/>
        </w:rPr>
        <w:t>Reeve N, 1970. Summary of Paraquat Residues Found in Various Cereal Crops, Rice and Sorghum Fodder Crops, Potatoes, Various Fruit and Vegetable Crops. Report No RIC 2635.</w:t>
      </w:r>
    </w:p>
    <w:p w14:paraId="54242132" w14:textId="0BD5D916" w:rsidR="006868E0" w:rsidRPr="00BF5259" w:rsidRDefault="006868E0" w:rsidP="009A7378">
      <w:pPr>
        <w:pStyle w:val="NormalText"/>
        <w:rPr>
          <w:szCs w:val="19"/>
        </w:rPr>
      </w:pPr>
      <w:r w:rsidRPr="00BF5259">
        <w:rPr>
          <w:szCs w:val="19"/>
        </w:rPr>
        <w:t>Reeve M, 1972. Residue Data Sheets, Paraquat and Diquat, Wheat, NZ. Notebook No. 3145.</w:t>
      </w:r>
    </w:p>
    <w:p w14:paraId="4BD59F98" w14:textId="549430E2" w:rsidR="009A7378" w:rsidRPr="00BF5259" w:rsidRDefault="009A7378" w:rsidP="009A7378">
      <w:pPr>
        <w:pStyle w:val="NormalText"/>
        <w:rPr>
          <w:szCs w:val="19"/>
        </w:rPr>
      </w:pPr>
      <w:r w:rsidRPr="00BF5259">
        <w:rPr>
          <w:szCs w:val="19"/>
        </w:rPr>
        <w:t>Ricketts DC, 1999. The microbial biodegradation of paraquat in soil. Pestic Sci 55: 596-598</w:t>
      </w:r>
    </w:p>
    <w:p w14:paraId="2A46EBF3" w14:textId="77777777" w:rsidR="008761AA" w:rsidRPr="00BF5259" w:rsidRDefault="008761AA" w:rsidP="008761AA">
      <w:pPr>
        <w:pStyle w:val="APVMAText"/>
        <w:rPr>
          <w:rFonts w:ascii="Arial" w:hAnsi="Arial"/>
          <w:sz w:val="19"/>
          <w:szCs w:val="19"/>
        </w:rPr>
      </w:pPr>
      <w:bookmarkStart w:id="786" w:name="_Hlk154136189"/>
      <w:r w:rsidRPr="00BF5259">
        <w:rPr>
          <w:rFonts w:ascii="Arial" w:hAnsi="Arial"/>
          <w:sz w:val="19"/>
          <w:szCs w:val="19"/>
        </w:rPr>
        <w:t>Rittenhouse JR, 1979. The acute oral toxicity of Diquat Water Weed Killer (SX1085). Reference no. 1396/37:67</w:t>
      </w:r>
    </w:p>
    <w:bookmarkEnd w:id="786"/>
    <w:p w14:paraId="5D586E52" w14:textId="77777777" w:rsidR="009A7378" w:rsidRPr="00BF5259" w:rsidRDefault="009A7378" w:rsidP="009A7378">
      <w:pPr>
        <w:pStyle w:val="NormalText"/>
        <w:rPr>
          <w:szCs w:val="19"/>
        </w:rPr>
      </w:pPr>
      <w:r w:rsidRPr="00BF5259">
        <w:rPr>
          <w:szCs w:val="19"/>
        </w:rPr>
        <w:t>Robbins AJ, Lane MCG, Riley D, 1988. Paraquat: adsorption and desorption equilibrium in soils. Reference no. RJ0662B</w:t>
      </w:r>
    </w:p>
    <w:p w14:paraId="3E8ED3B9" w14:textId="77777777" w:rsidR="00AC7F42" w:rsidRPr="00BF5259" w:rsidRDefault="00AC7F42" w:rsidP="00AC7F42">
      <w:pPr>
        <w:pStyle w:val="APVMAText"/>
        <w:rPr>
          <w:rFonts w:ascii="Arial" w:hAnsi="Arial"/>
          <w:sz w:val="19"/>
          <w:szCs w:val="19"/>
        </w:rPr>
      </w:pPr>
      <w:r w:rsidRPr="00BF5259">
        <w:rPr>
          <w:rFonts w:ascii="Arial" w:hAnsi="Arial"/>
          <w:sz w:val="19"/>
          <w:szCs w:val="19"/>
        </w:rPr>
        <w:t>Roberts N, Fairley C, 1980. The acute oral toxicity (LD</w:t>
      </w:r>
      <w:r w:rsidRPr="00BF5259">
        <w:rPr>
          <w:rFonts w:ascii="Arial" w:hAnsi="Arial"/>
          <w:sz w:val="19"/>
          <w:szCs w:val="19"/>
          <w:vertAlign w:val="subscript"/>
        </w:rPr>
        <w:t>50</w:t>
      </w:r>
      <w:r w:rsidRPr="00BF5259">
        <w:rPr>
          <w:rFonts w:ascii="Arial" w:hAnsi="Arial"/>
          <w:sz w:val="19"/>
          <w:szCs w:val="19"/>
        </w:rPr>
        <w:t>) of diquat to the partridge. Reference no. 311WL/8054</w:t>
      </w:r>
    </w:p>
    <w:p w14:paraId="248D3368" w14:textId="77777777" w:rsidR="009A7378" w:rsidRPr="00BF5259" w:rsidRDefault="009A7378" w:rsidP="009A7378">
      <w:pPr>
        <w:pStyle w:val="NormalText"/>
        <w:rPr>
          <w:szCs w:val="19"/>
        </w:rPr>
      </w:pPr>
      <w:r w:rsidRPr="00BF5259">
        <w:rPr>
          <w:szCs w:val="19"/>
        </w:rPr>
        <w:t>Roberts TR, Dyson JS, Lane MCG, 2002. Deactivation of the biological activity of paraquat in the soil environment: a review of long-term environmental fate. J Agric Food Chem 50: 3623-3631</w:t>
      </w:r>
    </w:p>
    <w:p w14:paraId="5C140DAB" w14:textId="5E160138" w:rsidR="004C40C5" w:rsidRPr="00BF5259" w:rsidRDefault="004C40C5" w:rsidP="004C40C5">
      <w:pPr>
        <w:pStyle w:val="NormalText"/>
        <w:rPr>
          <w:szCs w:val="19"/>
        </w:rPr>
      </w:pPr>
      <w:r w:rsidRPr="00BF5259">
        <w:rPr>
          <w:szCs w:val="19"/>
        </w:rPr>
        <w:t>Roper EM, 1989(a). Stability of Weathered Residues of Paraquat on Birdsfoot Trefoil Forage and Hay in Frozen Storage (WRC-89-091). Report No. TMR 0025B.</w:t>
      </w:r>
    </w:p>
    <w:p w14:paraId="7CC33EA7" w14:textId="0E0D5D8A" w:rsidR="004C40C5" w:rsidRPr="00BF5259" w:rsidRDefault="004C40C5" w:rsidP="004C40C5">
      <w:pPr>
        <w:pStyle w:val="NormalText"/>
        <w:rPr>
          <w:szCs w:val="19"/>
        </w:rPr>
      </w:pPr>
      <w:r w:rsidRPr="00BF5259">
        <w:rPr>
          <w:szCs w:val="19"/>
        </w:rPr>
        <w:t>Roper EM, 1989(b). Stability of Paraquat Residues in Frozen Prune Samples. (WRC-89-123). Report No. TMR 3661B.</w:t>
      </w:r>
    </w:p>
    <w:p w14:paraId="796153D7" w14:textId="25F5C75B" w:rsidR="004C40C5" w:rsidRPr="00BF5259" w:rsidRDefault="004C40C5" w:rsidP="004C40C5">
      <w:pPr>
        <w:pStyle w:val="NormalText"/>
        <w:rPr>
          <w:szCs w:val="19"/>
        </w:rPr>
      </w:pPr>
      <w:r w:rsidRPr="00BF5259">
        <w:rPr>
          <w:szCs w:val="19"/>
        </w:rPr>
        <w:t>Roper EM, 1989(c). Stability of Paraquat Residues in Frozen Potato Samples. (WRC-89-124). Report No. TMR 3662B.</w:t>
      </w:r>
    </w:p>
    <w:p w14:paraId="4608858D" w14:textId="314ABCA6" w:rsidR="004C40C5" w:rsidRPr="00BF5259" w:rsidRDefault="004C40C5" w:rsidP="004C40C5">
      <w:pPr>
        <w:pStyle w:val="NormalText"/>
        <w:rPr>
          <w:szCs w:val="19"/>
        </w:rPr>
      </w:pPr>
      <w:r w:rsidRPr="00BF5259">
        <w:rPr>
          <w:szCs w:val="19"/>
        </w:rPr>
        <w:t>Roper EM, 1989(d). Stability of Paraquat Residues in Frozen Tomato Samples. (WRC-89-125). Report No. TMR 3663B.</w:t>
      </w:r>
    </w:p>
    <w:p w14:paraId="046DE946" w14:textId="60EDC7E5" w:rsidR="004C40C5" w:rsidRPr="00BF5259" w:rsidRDefault="004C40C5" w:rsidP="004C40C5">
      <w:pPr>
        <w:pStyle w:val="NormalText"/>
        <w:rPr>
          <w:szCs w:val="19"/>
        </w:rPr>
      </w:pPr>
      <w:r w:rsidRPr="00BF5259">
        <w:rPr>
          <w:szCs w:val="19"/>
        </w:rPr>
        <w:t>Roper EM, 1989(e). Stability of Paraquat Residues in Frozen Corn Grain Samples. (WRC-89-126). Report No. TMR 3664B.</w:t>
      </w:r>
    </w:p>
    <w:p w14:paraId="572FF7EE" w14:textId="3324268D" w:rsidR="004C40C5" w:rsidRPr="00BF5259" w:rsidRDefault="004C40C5" w:rsidP="004C40C5">
      <w:pPr>
        <w:pStyle w:val="NormalText"/>
        <w:rPr>
          <w:szCs w:val="19"/>
        </w:rPr>
      </w:pPr>
      <w:r w:rsidRPr="00BF5259">
        <w:rPr>
          <w:szCs w:val="19"/>
        </w:rPr>
        <w:t>Roper EM, 1989(f). Stability of Paraquat Residues in Frozen Corn Fodder Samples. (WRC-89-127). Report No. TMR 3665B.</w:t>
      </w:r>
    </w:p>
    <w:p w14:paraId="5884C56D" w14:textId="278A7EED" w:rsidR="004C40C5" w:rsidRPr="00BF5259" w:rsidRDefault="004C40C5" w:rsidP="004C40C5">
      <w:pPr>
        <w:pStyle w:val="NormalText"/>
        <w:rPr>
          <w:szCs w:val="19"/>
        </w:rPr>
      </w:pPr>
      <w:r w:rsidRPr="00BF5259">
        <w:rPr>
          <w:szCs w:val="19"/>
        </w:rPr>
        <w:t>Roper EM, 1989(g). Stability of Paraquat Residues in Frozen Corn Forage Samples. (WRC-89-128). Report No. TMR 3666B.</w:t>
      </w:r>
    </w:p>
    <w:p w14:paraId="4C0EB1D5" w14:textId="1D1A943B" w:rsidR="004C40C5" w:rsidRPr="00BF5259" w:rsidRDefault="004C40C5" w:rsidP="004C40C5">
      <w:pPr>
        <w:pStyle w:val="NormalText"/>
        <w:rPr>
          <w:szCs w:val="19"/>
        </w:rPr>
      </w:pPr>
      <w:r w:rsidRPr="00BF5259">
        <w:rPr>
          <w:szCs w:val="19"/>
        </w:rPr>
        <w:t>Roper EM, 1989(h). Stability of Paraquat Residues in Frozen Corn Silage Samples. (WRC-89-129). Report No. TMR 3667B.</w:t>
      </w:r>
    </w:p>
    <w:p w14:paraId="124490DB" w14:textId="77777777" w:rsidR="004C40C5" w:rsidRPr="00BF5259" w:rsidRDefault="004C40C5" w:rsidP="004C40C5">
      <w:pPr>
        <w:pStyle w:val="NormalText"/>
        <w:rPr>
          <w:szCs w:val="19"/>
        </w:rPr>
      </w:pPr>
      <w:r w:rsidRPr="00BF5259">
        <w:rPr>
          <w:szCs w:val="19"/>
        </w:rPr>
        <w:lastRenderedPageBreak/>
        <w:t>Roper EM, 1989(i). Paraquat: Magnitude of Residues in Fresh Market and Dried Prunes (WRC-89-120). Report No. TMU 3657B.</w:t>
      </w:r>
    </w:p>
    <w:p w14:paraId="3CDBE329" w14:textId="77777777" w:rsidR="009F2B31" w:rsidRPr="00BF5259" w:rsidRDefault="009F2B31" w:rsidP="009F2B31">
      <w:pPr>
        <w:pStyle w:val="NormalText"/>
        <w:rPr>
          <w:szCs w:val="19"/>
          <w:lang w:val="en-US"/>
        </w:rPr>
      </w:pPr>
      <w:r w:rsidRPr="00BF5259">
        <w:rPr>
          <w:szCs w:val="19"/>
          <w:lang w:val="en-US"/>
        </w:rPr>
        <w:t>Roper EM, 1989(j). Paraquat: Magnitude of Residues in Olives and Processing Fractions (WRC-89-105). Report No. TMR0039B.</w:t>
      </w:r>
    </w:p>
    <w:p w14:paraId="2D0E44A0" w14:textId="43C94E8A" w:rsidR="009F2B31" w:rsidRPr="00BF5259" w:rsidRDefault="009F2B31" w:rsidP="009F2B31">
      <w:pPr>
        <w:pStyle w:val="NormalText"/>
        <w:rPr>
          <w:szCs w:val="19"/>
          <w:lang w:val="en-US"/>
        </w:rPr>
      </w:pPr>
      <w:r w:rsidRPr="00BF5259">
        <w:rPr>
          <w:szCs w:val="19"/>
          <w:lang w:val="en-US"/>
        </w:rPr>
        <w:t>Roper EM, 1989(k). Paraquat: Magnitude of Residues in Fresh and Dried Figs (WRC-89-081). Report No. TMR0015B.</w:t>
      </w:r>
    </w:p>
    <w:p w14:paraId="36E14521" w14:textId="574E45E4" w:rsidR="009F2B31" w:rsidRPr="00BF5259" w:rsidRDefault="009F2B31" w:rsidP="009F2B31">
      <w:pPr>
        <w:pStyle w:val="NormalText"/>
        <w:rPr>
          <w:szCs w:val="19"/>
          <w:lang w:val="en-US"/>
        </w:rPr>
      </w:pPr>
      <w:r w:rsidRPr="00BF5259">
        <w:rPr>
          <w:szCs w:val="19"/>
          <w:lang w:val="en-US"/>
        </w:rPr>
        <w:t>Roper EM, 1989(l). Paraquat: Magnitude of Residues in Hops and Processing Fractions (WRC-89-104). Report No. TMR0038B.</w:t>
      </w:r>
    </w:p>
    <w:p w14:paraId="23A9E323" w14:textId="77777777" w:rsidR="009A484C" w:rsidRPr="00BF5259" w:rsidRDefault="009A484C" w:rsidP="009A484C">
      <w:pPr>
        <w:pStyle w:val="NormalText"/>
        <w:rPr>
          <w:szCs w:val="19"/>
          <w:lang w:val="en-US"/>
        </w:rPr>
      </w:pPr>
      <w:r w:rsidRPr="00BF5259">
        <w:rPr>
          <w:szCs w:val="19"/>
          <w:lang w:val="en-US"/>
        </w:rPr>
        <w:t>Roper EM, 1989(m). Paraquat: Magnitude of Residues in Potatoes and Processing Fractions (WRC-89-088). Report No. TMR0022B.</w:t>
      </w:r>
    </w:p>
    <w:p w14:paraId="64BBABC1" w14:textId="77777777" w:rsidR="009A484C" w:rsidRPr="00BF5259" w:rsidRDefault="009A484C" w:rsidP="009A484C">
      <w:pPr>
        <w:pStyle w:val="NormalText"/>
        <w:rPr>
          <w:szCs w:val="19"/>
          <w:lang w:val="en-US"/>
        </w:rPr>
      </w:pPr>
      <w:r w:rsidRPr="00BF5259">
        <w:rPr>
          <w:szCs w:val="19"/>
          <w:lang w:val="en-US"/>
        </w:rPr>
        <w:t>Roper EM, 1989(n). Paraquat: Magnitude of Residues in Sugar Beet Tops and Roots (WRC-89-097). Report No. TMR0031B.</w:t>
      </w:r>
    </w:p>
    <w:p w14:paraId="231D0C6F" w14:textId="6A6A25D0" w:rsidR="009A484C" w:rsidRPr="00BF5259" w:rsidRDefault="009A484C" w:rsidP="009A484C">
      <w:pPr>
        <w:pStyle w:val="NormalText"/>
        <w:rPr>
          <w:szCs w:val="19"/>
          <w:lang w:val="en-US"/>
        </w:rPr>
      </w:pPr>
      <w:r w:rsidRPr="00BF5259">
        <w:rPr>
          <w:szCs w:val="19"/>
          <w:lang w:val="en-US"/>
        </w:rPr>
        <w:t>Roper EM, 1989(o). Paraquat: Magnitude of Residues in Turnip Tops (WRC-89-096). Report No. TMR0030B.</w:t>
      </w:r>
    </w:p>
    <w:p w14:paraId="2EA4E51F" w14:textId="1FB54E76" w:rsidR="009A484C" w:rsidRPr="00BF5259" w:rsidRDefault="009A484C" w:rsidP="009A484C">
      <w:pPr>
        <w:pStyle w:val="NormalText"/>
        <w:rPr>
          <w:szCs w:val="19"/>
          <w:lang w:val="en-US"/>
        </w:rPr>
      </w:pPr>
      <w:r w:rsidRPr="00BF5259">
        <w:rPr>
          <w:szCs w:val="19"/>
          <w:lang w:val="en-US"/>
        </w:rPr>
        <w:t>Roper EM, 1989(p). Paraquat: Magnitude of Residues in Cucumbers, Melons and Summer Squash. (WRC-89-083). Report No. TMR0017B.</w:t>
      </w:r>
    </w:p>
    <w:p w14:paraId="3C8D3822" w14:textId="77777777" w:rsidR="009A484C" w:rsidRPr="00BF5259" w:rsidRDefault="009A484C" w:rsidP="009A484C">
      <w:pPr>
        <w:pStyle w:val="NormalText"/>
        <w:rPr>
          <w:szCs w:val="19"/>
          <w:lang w:val="en-US"/>
        </w:rPr>
      </w:pPr>
      <w:r w:rsidRPr="00BF5259">
        <w:rPr>
          <w:szCs w:val="19"/>
          <w:lang w:val="en-US"/>
        </w:rPr>
        <w:t>Roper EM, 1989(q). Paraquat: Magnitude of Residues in Whole Tomatoes and Processing Fractions (WRC-89-090). Report No. TMR0024B.</w:t>
      </w:r>
    </w:p>
    <w:p w14:paraId="09651742" w14:textId="2E063F43" w:rsidR="009A484C" w:rsidRPr="00BF5259" w:rsidRDefault="009A484C" w:rsidP="009A484C">
      <w:pPr>
        <w:pStyle w:val="NormalText"/>
        <w:rPr>
          <w:szCs w:val="19"/>
          <w:lang w:val="en-US"/>
        </w:rPr>
      </w:pPr>
      <w:r w:rsidRPr="00BF5259">
        <w:rPr>
          <w:szCs w:val="19"/>
          <w:lang w:val="en-US"/>
        </w:rPr>
        <w:t>Roper EM, 1989(r). Paraquat: Magnitude of Residues in Fresh Market Tomatoes (Exaggerated Rate) (WRC-89-087). Report No. TMR0021B.</w:t>
      </w:r>
    </w:p>
    <w:p w14:paraId="5456D992" w14:textId="68171A96" w:rsidR="009A484C" w:rsidRPr="00BF5259" w:rsidRDefault="009A484C" w:rsidP="009A484C">
      <w:pPr>
        <w:pStyle w:val="NormalText"/>
        <w:rPr>
          <w:szCs w:val="19"/>
          <w:lang w:val="en-US"/>
        </w:rPr>
      </w:pPr>
      <w:r w:rsidRPr="00BF5259">
        <w:rPr>
          <w:szCs w:val="19"/>
          <w:lang w:val="en-US"/>
        </w:rPr>
        <w:t>Roper EM, 1989(s). Paraquat: Magnitude of Residues in Soybean Forage, Hay, and Seed (WRC-89-115). Report No. TMR0049B.</w:t>
      </w:r>
    </w:p>
    <w:p w14:paraId="5A0A821A" w14:textId="77777777" w:rsidR="007F1120" w:rsidRPr="00BF5259" w:rsidRDefault="007F1120" w:rsidP="007F1120">
      <w:pPr>
        <w:pStyle w:val="NormalText"/>
        <w:rPr>
          <w:szCs w:val="19"/>
        </w:rPr>
      </w:pPr>
      <w:r w:rsidRPr="00BF5259">
        <w:rPr>
          <w:szCs w:val="19"/>
        </w:rPr>
        <w:t>Roper EM, 1989(t). Paraquat: Magnitude of Residues in Soybean Forage, Hay, and Seed, Harvest Aid Use (WRC-89-107). Report No. TMR0041B.</w:t>
      </w:r>
    </w:p>
    <w:p w14:paraId="632524A0" w14:textId="77777777" w:rsidR="007F1120" w:rsidRPr="00BF5259" w:rsidRDefault="007F1120" w:rsidP="007F1120">
      <w:pPr>
        <w:pStyle w:val="NormalText"/>
        <w:rPr>
          <w:szCs w:val="19"/>
        </w:rPr>
      </w:pPr>
      <w:r w:rsidRPr="00BF5259">
        <w:rPr>
          <w:szCs w:val="19"/>
        </w:rPr>
        <w:t>Roper EM, 1989(u). Paraquat: Magnitude of Residues in Soybean Forage and Hay, (WRC-89-111). Report No. TMR0045B.</w:t>
      </w:r>
    </w:p>
    <w:p w14:paraId="79363854" w14:textId="77777777" w:rsidR="007F1120" w:rsidRPr="00BF5259" w:rsidRDefault="007F1120" w:rsidP="007F1120">
      <w:pPr>
        <w:pStyle w:val="NormalText"/>
        <w:rPr>
          <w:szCs w:val="19"/>
        </w:rPr>
      </w:pPr>
      <w:r w:rsidRPr="00BF5259">
        <w:rPr>
          <w:szCs w:val="19"/>
        </w:rPr>
        <w:t>Roper EM, 1989(v). Paraquat: Magnitude of Residues in Sunflower Forage and Seeds, (WRC-89-95). Report No. TMR0029B.</w:t>
      </w:r>
    </w:p>
    <w:p w14:paraId="63D30D06" w14:textId="48CA5192" w:rsidR="000F3F0F" w:rsidRPr="00BF5259" w:rsidRDefault="000F3F0F" w:rsidP="000F3F0F">
      <w:pPr>
        <w:pStyle w:val="NormalText"/>
        <w:rPr>
          <w:szCs w:val="19"/>
        </w:rPr>
      </w:pPr>
      <w:r w:rsidRPr="00BF5259">
        <w:rPr>
          <w:szCs w:val="19"/>
        </w:rPr>
        <w:t>Roper EM, 1989(w). Paraquat: Magnitude of Residues in Sorghum (WRC-89-116). Report No. TMR0050B.</w:t>
      </w:r>
    </w:p>
    <w:p w14:paraId="24985305" w14:textId="77777777" w:rsidR="000F3F0F" w:rsidRPr="00BF5259" w:rsidRDefault="000F3F0F" w:rsidP="000F3F0F">
      <w:pPr>
        <w:pStyle w:val="NormalText"/>
        <w:rPr>
          <w:szCs w:val="19"/>
        </w:rPr>
      </w:pPr>
      <w:r w:rsidRPr="00BF5259">
        <w:rPr>
          <w:szCs w:val="19"/>
        </w:rPr>
        <w:t>Roper EM, 1989(x). Paraquat: Magnitude of Residues in Field Corn Forage, Silage, Kernels and Fodder (WRC-89-106). Report No. TMR0040B.</w:t>
      </w:r>
    </w:p>
    <w:p w14:paraId="0E4E6581" w14:textId="77777777" w:rsidR="000F3F0F" w:rsidRPr="00BF5259" w:rsidRDefault="000F3F0F" w:rsidP="000F3F0F">
      <w:pPr>
        <w:pStyle w:val="NormalText"/>
        <w:rPr>
          <w:szCs w:val="19"/>
        </w:rPr>
      </w:pPr>
      <w:r w:rsidRPr="00BF5259">
        <w:rPr>
          <w:szCs w:val="19"/>
        </w:rPr>
        <w:t>Roper EM, 1989(y). Paraquat: Magnitude of Residues in Wheat Forage, Straw and Grain (WRC 89-109). Report No. TMR0043B.</w:t>
      </w:r>
    </w:p>
    <w:p w14:paraId="4CC8E789" w14:textId="5112CA3C" w:rsidR="000F3F0F" w:rsidRPr="00BF5259" w:rsidRDefault="006868E0" w:rsidP="000F3F0F">
      <w:pPr>
        <w:pStyle w:val="NormalText"/>
        <w:rPr>
          <w:szCs w:val="19"/>
        </w:rPr>
      </w:pPr>
      <w:r w:rsidRPr="00BF5259">
        <w:rPr>
          <w:szCs w:val="19"/>
        </w:rPr>
        <w:lastRenderedPageBreak/>
        <w:t>Roper EM, 1989(z). Paraquat: Magnitude of Residues in Potatoes and Processing Fractions (WRC-89-088). Report No. TMR0022B.</w:t>
      </w:r>
    </w:p>
    <w:p w14:paraId="5ACA27CA" w14:textId="77777777" w:rsidR="006868E0" w:rsidRPr="00BF5259" w:rsidRDefault="006868E0" w:rsidP="006868E0">
      <w:pPr>
        <w:pStyle w:val="NormalText"/>
        <w:rPr>
          <w:szCs w:val="19"/>
        </w:rPr>
      </w:pPr>
      <w:r w:rsidRPr="00BF5259">
        <w:rPr>
          <w:szCs w:val="19"/>
        </w:rPr>
        <w:t>Roper EM, 1989(aa). Paraquat: Magnitude of Residues in Wheat Processing Fractions. Report No. TMR0034B.</w:t>
      </w:r>
    </w:p>
    <w:p w14:paraId="051EAD5E" w14:textId="77777777" w:rsidR="006868E0" w:rsidRPr="00BF5259" w:rsidRDefault="006868E0" w:rsidP="006868E0">
      <w:pPr>
        <w:pStyle w:val="NormalText"/>
        <w:rPr>
          <w:szCs w:val="19"/>
        </w:rPr>
      </w:pPr>
      <w:r w:rsidRPr="00BF5259">
        <w:rPr>
          <w:szCs w:val="19"/>
        </w:rPr>
        <w:t>Roper EM, 1989(ab). Paraquat: Magnitude of Residues in Sorghum and Processing Fractions (WRC-89-103). Report No. TMR0037B.</w:t>
      </w:r>
    </w:p>
    <w:p w14:paraId="2D19F390" w14:textId="77777777" w:rsidR="006868E0" w:rsidRPr="00BF5259" w:rsidRDefault="006868E0" w:rsidP="006868E0">
      <w:pPr>
        <w:pStyle w:val="NormalText"/>
        <w:rPr>
          <w:szCs w:val="19"/>
        </w:rPr>
      </w:pPr>
      <w:r w:rsidRPr="00BF5259">
        <w:rPr>
          <w:szCs w:val="19"/>
        </w:rPr>
        <w:t>Roper EM, 1989(ac). Paraquat: Magnitude of Residues in Field Corn Grain and Processing Fractions (WRC-89-112). Report No. TMR0046B.</w:t>
      </w:r>
    </w:p>
    <w:p w14:paraId="70C69550" w14:textId="77777777" w:rsidR="006868E0" w:rsidRPr="00BF5259" w:rsidRDefault="006868E0" w:rsidP="006868E0">
      <w:pPr>
        <w:pStyle w:val="NormalText"/>
        <w:rPr>
          <w:szCs w:val="19"/>
        </w:rPr>
      </w:pPr>
      <w:r w:rsidRPr="00BF5259">
        <w:rPr>
          <w:szCs w:val="19"/>
        </w:rPr>
        <w:t>Roper EM, 1989(ad). Paraquat: Magnitude of Residues in Sugarcane and Processing Fractions. Report No. TMR0035B.</w:t>
      </w:r>
    </w:p>
    <w:p w14:paraId="79DBDCEF" w14:textId="77777777" w:rsidR="006868E0" w:rsidRPr="00BF5259" w:rsidRDefault="006868E0" w:rsidP="006868E0">
      <w:pPr>
        <w:pStyle w:val="NormalText"/>
        <w:rPr>
          <w:szCs w:val="19"/>
        </w:rPr>
      </w:pPr>
      <w:r w:rsidRPr="00BF5259">
        <w:rPr>
          <w:szCs w:val="19"/>
        </w:rPr>
        <w:t>Roper EM, 1989(ae). Paraquat: Magnitude of Residues in Sugar Beet Processing Fractions (WRC-89-102). Report No. TMR0036B.</w:t>
      </w:r>
    </w:p>
    <w:p w14:paraId="76A35D08" w14:textId="5E4022D6" w:rsidR="006868E0" w:rsidRPr="00BF5259" w:rsidRDefault="006868E0" w:rsidP="006868E0">
      <w:pPr>
        <w:pStyle w:val="NormalText"/>
        <w:rPr>
          <w:szCs w:val="19"/>
        </w:rPr>
      </w:pPr>
      <w:r w:rsidRPr="00BF5259">
        <w:rPr>
          <w:szCs w:val="19"/>
        </w:rPr>
        <w:t>Roper EM, 1989(af). Paraquat: Magnitude of Residues in Pineapple and Processing Fractions 1988 (WRC-89-121). Report No. TMR0058B.</w:t>
      </w:r>
    </w:p>
    <w:p w14:paraId="4624FC7D" w14:textId="77777777" w:rsidR="006868E0" w:rsidRPr="00BF5259" w:rsidRDefault="006868E0" w:rsidP="006868E0">
      <w:pPr>
        <w:pStyle w:val="NormalText"/>
        <w:rPr>
          <w:szCs w:val="19"/>
        </w:rPr>
      </w:pPr>
      <w:r w:rsidRPr="00BF5259">
        <w:rPr>
          <w:szCs w:val="19"/>
        </w:rPr>
        <w:t>Roper EM, 1989(ag). Paraquat: Magnitude of Residues in Grass Forage and Hay (Eastern Pastures) (WRC-89-98). Report No. TMR0032B.</w:t>
      </w:r>
    </w:p>
    <w:p w14:paraId="0D2D6A1F" w14:textId="77777777" w:rsidR="006868E0" w:rsidRPr="00BF5259" w:rsidRDefault="006868E0" w:rsidP="006868E0">
      <w:pPr>
        <w:pStyle w:val="NormalText"/>
        <w:rPr>
          <w:szCs w:val="19"/>
        </w:rPr>
      </w:pPr>
      <w:r w:rsidRPr="00BF5259">
        <w:rPr>
          <w:szCs w:val="19"/>
        </w:rPr>
        <w:t>Roper EM, 1989(ah). Paraquat: Magnitude of Residues in Grass Forage and Hay (Western Use Rangeland)(WRC-89-099). Report No. TMR0033B.</w:t>
      </w:r>
    </w:p>
    <w:p w14:paraId="4C4B029F" w14:textId="78D23D71" w:rsidR="006868E0" w:rsidRPr="00BF5259" w:rsidRDefault="006868E0" w:rsidP="006868E0">
      <w:pPr>
        <w:pStyle w:val="NormalText"/>
        <w:rPr>
          <w:szCs w:val="19"/>
        </w:rPr>
      </w:pPr>
      <w:r w:rsidRPr="00BF5259">
        <w:rPr>
          <w:szCs w:val="19"/>
        </w:rPr>
        <w:t>Roper EM, 1989ai). Paraquat: Magnitude of Residues in Pasture Grass (Western Use Pastures) (WRC 89-110). Report No. TMR0044B.</w:t>
      </w:r>
    </w:p>
    <w:p w14:paraId="616D5EE9" w14:textId="7755909E" w:rsidR="006868E0" w:rsidRPr="00BF5259" w:rsidRDefault="006868E0" w:rsidP="006868E0">
      <w:pPr>
        <w:pStyle w:val="NormalText"/>
        <w:rPr>
          <w:szCs w:val="19"/>
        </w:rPr>
      </w:pPr>
      <w:r w:rsidRPr="00BF5259">
        <w:rPr>
          <w:szCs w:val="19"/>
        </w:rPr>
        <w:t>Roper EM, 1989(aj). Paraquat: Magnitude of Residues in Alfalfa Hay, Forage and Meal (WRC 89-80). Report No. TMR0014B.</w:t>
      </w:r>
    </w:p>
    <w:p w14:paraId="0E095F13" w14:textId="77777777" w:rsidR="006868E0" w:rsidRPr="00BF5259" w:rsidRDefault="006868E0" w:rsidP="006868E0">
      <w:pPr>
        <w:pStyle w:val="NormalText"/>
        <w:rPr>
          <w:szCs w:val="19"/>
        </w:rPr>
      </w:pPr>
      <w:r w:rsidRPr="00BF5259">
        <w:rPr>
          <w:szCs w:val="19"/>
        </w:rPr>
        <w:t>Roper EM, 1989(ak). Paraquat: Magnitude of Residues in Green Bean Hay (WRC-89-084). Report No. TMR0018B.</w:t>
      </w:r>
    </w:p>
    <w:p w14:paraId="0E69E089" w14:textId="77777777" w:rsidR="006868E0" w:rsidRPr="00BF5259" w:rsidRDefault="006868E0" w:rsidP="006868E0">
      <w:pPr>
        <w:pStyle w:val="NormalText"/>
        <w:rPr>
          <w:szCs w:val="19"/>
        </w:rPr>
      </w:pPr>
      <w:r w:rsidRPr="00BF5259">
        <w:rPr>
          <w:szCs w:val="19"/>
        </w:rPr>
        <w:t>Roper EM, 1989(al). Paraquat: Magnitude of Residues in Green Pea Hay (WRC-89-085). Report No. TMR0019B.</w:t>
      </w:r>
    </w:p>
    <w:p w14:paraId="030C334D" w14:textId="77777777" w:rsidR="006868E0" w:rsidRPr="00BF5259" w:rsidRDefault="006868E0" w:rsidP="006868E0">
      <w:pPr>
        <w:pStyle w:val="NormalText"/>
        <w:rPr>
          <w:szCs w:val="19"/>
        </w:rPr>
      </w:pPr>
      <w:r w:rsidRPr="00BF5259">
        <w:rPr>
          <w:szCs w:val="19"/>
        </w:rPr>
        <w:t>Roper EM, 1989(am). Paraquat: Magnitude of Residues in Clover Forage and Hay (WRC-89-089). Report No. TMR0023B.</w:t>
      </w:r>
    </w:p>
    <w:p w14:paraId="7E5ACB47" w14:textId="77777777" w:rsidR="006868E0" w:rsidRPr="00BF5259" w:rsidRDefault="006868E0" w:rsidP="006868E0">
      <w:pPr>
        <w:pStyle w:val="NormalText"/>
        <w:rPr>
          <w:szCs w:val="19"/>
        </w:rPr>
      </w:pPr>
      <w:r w:rsidRPr="00BF5259">
        <w:rPr>
          <w:szCs w:val="19"/>
        </w:rPr>
        <w:t>Roper EM, 1989(an). Paraquat: Magnitude of Residues in Soybean Forage and Hay (WRC 89-111). Report No. TMR0045B.</w:t>
      </w:r>
    </w:p>
    <w:p w14:paraId="25B636DF" w14:textId="77777777" w:rsidR="006868E0" w:rsidRPr="00BF5259" w:rsidRDefault="006868E0" w:rsidP="006868E0">
      <w:pPr>
        <w:pStyle w:val="NormalText"/>
        <w:rPr>
          <w:szCs w:val="19"/>
        </w:rPr>
      </w:pPr>
      <w:r w:rsidRPr="00BF5259">
        <w:rPr>
          <w:szCs w:val="19"/>
        </w:rPr>
        <w:t>Roper EM, 1989(ao). Gramoxone Super: Residues of Paraquat: in Birdsfoot Trefoil Forage and Hay, 1988 (WRC-89-130). Report No. TMU 3672B.</w:t>
      </w:r>
    </w:p>
    <w:p w14:paraId="44AC5ABF" w14:textId="77777777" w:rsidR="006868E0" w:rsidRPr="00BF5259" w:rsidRDefault="006868E0" w:rsidP="006868E0">
      <w:pPr>
        <w:pStyle w:val="NormalText"/>
        <w:rPr>
          <w:szCs w:val="19"/>
        </w:rPr>
      </w:pPr>
      <w:r w:rsidRPr="00BF5259">
        <w:rPr>
          <w:szCs w:val="19"/>
        </w:rPr>
        <w:t>Roper EM, 1989(ap). Paraquat: Magnitude of Residues in Sweet Corn Forage and Ears (WRC-89-086). Report No. TMR0020B.</w:t>
      </w:r>
    </w:p>
    <w:p w14:paraId="3A6BDEBD" w14:textId="721793C6" w:rsidR="006868E0" w:rsidRPr="00BF5259" w:rsidRDefault="006868E0" w:rsidP="006868E0">
      <w:pPr>
        <w:pStyle w:val="NormalText"/>
        <w:rPr>
          <w:szCs w:val="19"/>
        </w:rPr>
      </w:pPr>
      <w:r w:rsidRPr="00BF5259">
        <w:rPr>
          <w:szCs w:val="19"/>
        </w:rPr>
        <w:lastRenderedPageBreak/>
        <w:t>Roper EM, 1989(aq). Paraquat: Magnitude of Residues in Field Corn Forage, Silage, Kernels and Fodder (WRC-89-106). Report No. TMR0040B.</w:t>
      </w:r>
    </w:p>
    <w:p w14:paraId="4F53A24A" w14:textId="77777777" w:rsidR="007F1120" w:rsidRPr="00BF5259" w:rsidRDefault="007F1120" w:rsidP="007F1120">
      <w:pPr>
        <w:pStyle w:val="NormalText"/>
        <w:rPr>
          <w:szCs w:val="19"/>
        </w:rPr>
      </w:pPr>
      <w:r w:rsidRPr="00BF5259">
        <w:rPr>
          <w:szCs w:val="19"/>
        </w:rPr>
        <w:t>Roper EM, 1990. Gramoxone Super: Magnitude of the Residues of Paraquat: in Cotton Gin Trash. Report No. RR 90-056B.</w:t>
      </w:r>
    </w:p>
    <w:p w14:paraId="5D3D0328" w14:textId="77777777" w:rsidR="007F1120" w:rsidRPr="00BF5259" w:rsidRDefault="007F1120" w:rsidP="007F1120">
      <w:pPr>
        <w:pStyle w:val="NormalText"/>
        <w:rPr>
          <w:szCs w:val="19"/>
        </w:rPr>
      </w:pPr>
      <w:r w:rsidRPr="00BF5259">
        <w:rPr>
          <w:szCs w:val="19"/>
        </w:rPr>
        <w:t>Roper EM, 1993. Gramoxone Extra: Residues of Paraquat in Soybean Grain Dust Following Harvest Aid Application (WRC-93-145). Report No. RR 93-081B.</w:t>
      </w:r>
    </w:p>
    <w:p w14:paraId="7F9D0898" w14:textId="77777777" w:rsidR="007F1120" w:rsidRPr="00BF5259" w:rsidRDefault="007F1120" w:rsidP="007F1120">
      <w:pPr>
        <w:pStyle w:val="NormalText"/>
        <w:rPr>
          <w:szCs w:val="19"/>
        </w:rPr>
      </w:pPr>
      <w:r w:rsidRPr="00BF5259">
        <w:rPr>
          <w:szCs w:val="19"/>
        </w:rPr>
        <w:t>Roper EM, 1994. Gramoxone Extra: Residues of Paraquat: in Cotton Seed Following-Emergence and Pre-Harvest Desiccation Applications. Report No. RR 94-038B.</w:t>
      </w:r>
    </w:p>
    <w:p w14:paraId="45405C79" w14:textId="77777777" w:rsidR="000F3F0F" w:rsidRPr="00BF5259" w:rsidRDefault="000F3F0F" w:rsidP="000F3F0F">
      <w:pPr>
        <w:rPr>
          <w:rFonts w:ascii="Arial" w:hAnsi="Arial" w:cs="Arial"/>
          <w:kern w:val="20"/>
          <w:sz w:val="19"/>
          <w:szCs w:val="19"/>
        </w:rPr>
      </w:pPr>
      <w:r w:rsidRPr="00BF5259">
        <w:rPr>
          <w:rFonts w:ascii="Arial" w:hAnsi="Arial" w:cs="Arial"/>
          <w:kern w:val="20"/>
          <w:sz w:val="19"/>
          <w:szCs w:val="19"/>
        </w:rPr>
        <w:t>Roper EM, 1995. Paraquat: Magnitude of the Residues of Paraquat on Sunflowers from Trials Conducted in the USA During 1994. Report No. RR 95-057B</w:t>
      </w:r>
    </w:p>
    <w:p w14:paraId="3DF1F7CA" w14:textId="128B709A" w:rsidR="007F1120" w:rsidRPr="00BF5259" w:rsidRDefault="007F1120" w:rsidP="007F1120">
      <w:pPr>
        <w:pStyle w:val="NormalText"/>
        <w:rPr>
          <w:szCs w:val="19"/>
        </w:rPr>
      </w:pPr>
      <w:r w:rsidRPr="00BF5259">
        <w:rPr>
          <w:szCs w:val="19"/>
        </w:rPr>
        <w:t>Roper EM and Elvira DJ, 1996(a). Paraquat: Residue levels on Soybean Aspirated Grain Fractions from a Trial in the United States (WRC-96-047) (WINO 13627). Report No. RR 96-031B.</w:t>
      </w:r>
    </w:p>
    <w:p w14:paraId="1E224DB4" w14:textId="4F1D1B03" w:rsidR="007F1120" w:rsidRPr="00BF5259" w:rsidRDefault="007F1120" w:rsidP="007F1120">
      <w:pPr>
        <w:pStyle w:val="NormalText"/>
        <w:rPr>
          <w:szCs w:val="19"/>
        </w:rPr>
      </w:pPr>
      <w:r w:rsidRPr="00BF5259">
        <w:rPr>
          <w:szCs w:val="19"/>
        </w:rPr>
        <w:t>Roper EM and Elvira DJ, 1996(b). Gramoxone Extra: Paraquat: Residues on Cotton Seed and Gin Byproducts from Trials Conducted in the United States During 1995. Report No. RR 96-041B.</w:t>
      </w:r>
    </w:p>
    <w:p w14:paraId="744F3F8B" w14:textId="533F3208" w:rsidR="00746FCD" w:rsidRPr="00BF5259" w:rsidRDefault="007F1120" w:rsidP="00255E26">
      <w:pPr>
        <w:pStyle w:val="NormalText"/>
        <w:rPr>
          <w:szCs w:val="19"/>
        </w:rPr>
      </w:pPr>
      <w:r w:rsidRPr="00BF5259">
        <w:rPr>
          <w:szCs w:val="19"/>
        </w:rPr>
        <w:t>Roy W, 1973. Residue Data Sheet: Paraquat Lupins Western Australia ICI Australia Western Australia Notebook No. 3319.</w:t>
      </w:r>
    </w:p>
    <w:p w14:paraId="35BEB527" w14:textId="77777777" w:rsidR="003C6DDF" w:rsidRPr="00BF5259" w:rsidRDefault="003C6DDF" w:rsidP="009A7378">
      <w:pPr>
        <w:pStyle w:val="NormalText"/>
        <w:rPr>
          <w:szCs w:val="19"/>
        </w:rPr>
      </w:pPr>
      <w:r w:rsidRPr="00BF5259">
        <w:rPr>
          <w:szCs w:val="19"/>
        </w:rPr>
        <w:t>Sanders, L.H., et al., (2017) Editor's Highlight: Base Excision Repair Variants and Pesticide Exposure Increase Parkinson's Disease Risk. Toxicol Sci, 2017. 158(1): p. 188-198.</w:t>
      </w:r>
    </w:p>
    <w:p w14:paraId="68B4DB73" w14:textId="7BD5021B" w:rsidR="00255E26" w:rsidRPr="00BF5259" w:rsidRDefault="00255E26" w:rsidP="009A7378">
      <w:pPr>
        <w:pStyle w:val="NormalText"/>
        <w:rPr>
          <w:szCs w:val="19"/>
        </w:rPr>
      </w:pPr>
      <w:r w:rsidRPr="00BF5259">
        <w:rPr>
          <w:szCs w:val="19"/>
        </w:rPr>
        <w:t>Sarfety AB, 1963. Diquat &amp; Paraquat: Observational Trials on Toxicity to Sheep and Cattle. Report No. D4.1/02, RIC 3775.</w:t>
      </w:r>
    </w:p>
    <w:p w14:paraId="57F9DAAC" w14:textId="1297E83B" w:rsidR="009A7378" w:rsidRPr="00BF5259" w:rsidRDefault="009A7378" w:rsidP="009A7378">
      <w:pPr>
        <w:pStyle w:val="NormalText"/>
        <w:rPr>
          <w:szCs w:val="19"/>
        </w:rPr>
      </w:pPr>
      <w:r w:rsidRPr="00BF5259">
        <w:rPr>
          <w:szCs w:val="19"/>
        </w:rPr>
        <w:t>Sartori F, Vidrio E, 2018. Environmental fate and ecotoxicology of paraquat: a California perspective. Toxicol Environ Chem 100: 479-517</w:t>
      </w:r>
    </w:p>
    <w:p w14:paraId="2746D3AD" w14:textId="77777777" w:rsidR="009A7378" w:rsidRPr="00BF5259" w:rsidRDefault="009A7378" w:rsidP="009A7378">
      <w:pPr>
        <w:pStyle w:val="NormalText"/>
        <w:rPr>
          <w:szCs w:val="19"/>
        </w:rPr>
      </w:pPr>
      <w:r w:rsidRPr="00BF5259">
        <w:rPr>
          <w:szCs w:val="19"/>
        </w:rPr>
        <w:t>Scheerbaum D, 2007a. Paraquat technical: fish (rainbow trout) acute toxicity test, static 96h. Reference no. FAR112272</w:t>
      </w:r>
    </w:p>
    <w:p w14:paraId="6333497F" w14:textId="77777777" w:rsidR="009A7378" w:rsidRPr="00BF5259" w:rsidRDefault="009A7378" w:rsidP="009A7378">
      <w:pPr>
        <w:pStyle w:val="NormalText"/>
        <w:rPr>
          <w:szCs w:val="19"/>
        </w:rPr>
      </w:pPr>
      <w:r w:rsidRPr="00BF5259">
        <w:rPr>
          <w:szCs w:val="19"/>
        </w:rPr>
        <w:t xml:space="preserve">Scheerbaum D, 2007b. Paraquat technical: alga growth inhibition test with </w:t>
      </w:r>
      <w:r w:rsidRPr="00BF5259">
        <w:rPr>
          <w:i/>
          <w:iCs/>
          <w:szCs w:val="19"/>
        </w:rPr>
        <w:t>Pseudokirchneriella subcapitata</w:t>
      </w:r>
      <w:r w:rsidRPr="00BF5259">
        <w:rPr>
          <w:szCs w:val="19"/>
        </w:rPr>
        <w:t>, 96h. Reference no. SPO112271</w:t>
      </w:r>
    </w:p>
    <w:p w14:paraId="0B1BE52B" w14:textId="77777777" w:rsidR="00370B37" w:rsidRPr="00BF5259" w:rsidRDefault="00370B37" w:rsidP="00370B37">
      <w:pPr>
        <w:pStyle w:val="APVMAText"/>
        <w:rPr>
          <w:rFonts w:ascii="Arial" w:hAnsi="Arial"/>
          <w:sz w:val="19"/>
          <w:szCs w:val="19"/>
        </w:rPr>
      </w:pPr>
      <w:r w:rsidRPr="00BF5259">
        <w:rPr>
          <w:rFonts w:ascii="Arial" w:hAnsi="Arial"/>
          <w:sz w:val="19"/>
          <w:szCs w:val="19"/>
        </w:rPr>
        <w:t>Schulz L, 2007. Diquat SL (A1412A): effects on the activity of soil microflora (nitrogen transformation test). Reference no. 1639-BCN-500-05, PP901/1968</w:t>
      </w:r>
    </w:p>
    <w:p w14:paraId="57F1DEAB" w14:textId="78B41DD7" w:rsidR="000A6F31" w:rsidRPr="00526F99" w:rsidRDefault="000A6F31" w:rsidP="00746FCD">
      <w:pPr>
        <w:pStyle w:val="NormalText"/>
        <w:rPr>
          <w:szCs w:val="19"/>
        </w:rPr>
      </w:pPr>
      <w:r w:rsidRPr="00526F99">
        <w:rPr>
          <w:szCs w:val="19"/>
        </w:rPr>
        <w:t>Sheppard DB, 1981. Paraquat thirteen week (dietary administration) toxicity in beagles. Report no. CTL/C/1027.</w:t>
      </w:r>
    </w:p>
    <w:p w14:paraId="10591F60" w14:textId="77777777" w:rsidR="003C6DDF" w:rsidRPr="00BF5259" w:rsidRDefault="003C6DDF" w:rsidP="003C6DDF">
      <w:pPr>
        <w:pStyle w:val="NormalText"/>
        <w:rPr>
          <w:szCs w:val="19"/>
        </w:rPr>
      </w:pPr>
      <w:r w:rsidRPr="00526F99">
        <w:rPr>
          <w:szCs w:val="19"/>
        </w:rPr>
        <w:t>Shrestha S, Parks CG,</w:t>
      </w:r>
      <w:r w:rsidRPr="00BF5259">
        <w:rPr>
          <w:szCs w:val="19"/>
        </w:rPr>
        <w:t xml:space="preserve"> Keil AP, Umbach DM, Lerro CC, Lynch CF, Chen H, Blair A, Koutros S, Hofmann JN, Beane Freeman LE, Sandler DP. (2019). Overall, and cause-specific mortality in a cohort of farmers and their spouses. Occup Environ Med. Sep;76(9):632-643. doi: 10.1136/oemed-2019-105724.</w:t>
      </w:r>
    </w:p>
    <w:p w14:paraId="72CAD974" w14:textId="77777777" w:rsidR="003C6DDF" w:rsidRPr="00BF5259" w:rsidRDefault="003C6DDF" w:rsidP="003C6DDF">
      <w:pPr>
        <w:pStyle w:val="NormalText"/>
        <w:rPr>
          <w:szCs w:val="19"/>
        </w:rPr>
      </w:pPr>
      <w:r w:rsidRPr="00BF5259">
        <w:rPr>
          <w:szCs w:val="19"/>
        </w:rPr>
        <w:lastRenderedPageBreak/>
        <w:t>Shrestha, S., et al. (2020). Pesticide use and incident Parkinson's disease in a cohort of farmers and their spouses." Environ Res 191: 110186.</w:t>
      </w:r>
    </w:p>
    <w:p w14:paraId="17D37465" w14:textId="1D7D8102" w:rsidR="00746FCD" w:rsidRPr="00BF5259" w:rsidRDefault="00746FCD" w:rsidP="003C6DDF">
      <w:pPr>
        <w:pStyle w:val="NormalText"/>
        <w:rPr>
          <w:szCs w:val="19"/>
        </w:rPr>
      </w:pPr>
      <w:r w:rsidRPr="00BF5259">
        <w:rPr>
          <w:szCs w:val="19"/>
        </w:rPr>
        <w:t>Slade P, 1965. Photochemical Degradation of Paraquat. Nature 207: 515-516.</w:t>
      </w:r>
    </w:p>
    <w:p w14:paraId="75C31C97" w14:textId="77777777" w:rsidR="00746FCD" w:rsidRPr="00BF5259" w:rsidRDefault="00746FCD" w:rsidP="00746FCD">
      <w:pPr>
        <w:pStyle w:val="NormalText"/>
        <w:rPr>
          <w:szCs w:val="19"/>
        </w:rPr>
      </w:pPr>
      <w:r w:rsidRPr="00BF5259">
        <w:rPr>
          <w:szCs w:val="19"/>
        </w:rPr>
        <w:t xml:space="preserve">Slade P, 1966a. Possible Appearance of Degradation Products of Paraquat in Crops. </w:t>
      </w:r>
    </w:p>
    <w:p w14:paraId="23B88D2C" w14:textId="77777777" w:rsidR="00746FCD" w:rsidRPr="00BF5259" w:rsidRDefault="00746FCD" w:rsidP="00746FCD">
      <w:pPr>
        <w:pStyle w:val="NormalText"/>
        <w:rPr>
          <w:szCs w:val="19"/>
        </w:rPr>
      </w:pPr>
      <w:r w:rsidRPr="00BF5259">
        <w:rPr>
          <w:szCs w:val="19"/>
        </w:rPr>
        <w:t>Slade P, 1966b. Bipyridylium Herbicides: Residues in Potato Tubers following Haulm Desiccation with 14C-Paraquat. Central File Number A 126,351</w:t>
      </w:r>
    </w:p>
    <w:p w14:paraId="11170AAB" w14:textId="6DA20B78" w:rsidR="00746FCD" w:rsidRPr="00BF5259" w:rsidRDefault="00746FCD" w:rsidP="00746FCD">
      <w:pPr>
        <w:pStyle w:val="NormalText"/>
        <w:rPr>
          <w:szCs w:val="19"/>
        </w:rPr>
      </w:pPr>
      <w:r w:rsidRPr="00BF5259">
        <w:rPr>
          <w:szCs w:val="19"/>
        </w:rPr>
        <w:t>Slade P, 1973. Excretion, Metabolism and Accumulation of Paraquat. Report No. R2/57</w:t>
      </w:r>
    </w:p>
    <w:p w14:paraId="4DD50DF1" w14:textId="77777777" w:rsidR="00746FCD" w:rsidRPr="00BF5259" w:rsidRDefault="00746FCD" w:rsidP="00746FCD">
      <w:pPr>
        <w:pStyle w:val="NormalText"/>
        <w:rPr>
          <w:szCs w:val="19"/>
        </w:rPr>
      </w:pPr>
      <w:r w:rsidRPr="00BF5259">
        <w:rPr>
          <w:szCs w:val="19"/>
        </w:rPr>
        <w:t xml:space="preserve">Slade P, and Bell EG, 1966. Bipyridylium Herbicides: The Movement of Paraquat in Plants. Central File Number A 126,364. </w:t>
      </w:r>
    </w:p>
    <w:p w14:paraId="481CC9EC" w14:textId="77777777" w:rsidR="00E12793" w:rsidRPr="00BF5259" w:rsidRDefault="00E12793" w:rsidP="004E3808">
      <w:pPr>
        <w:pStyle w:val="NormalText"/>
        <w:rPr>
          <w:szCs w:val="19"/>
        </w:rPr>
      </w:pPr>
      <w:r w:rsidRPr="00526F99">
        <w:rPr>
          <w:szCs w:val="19"/>
        </w:rPr>
        <w:t>Smeyne RJ, Breckenridge CB, Beck M, Jiao Y, Butt MT, Wolf JC, Zadory D, Minnema DJ, Sturgess NC, Travis KZ, Cook AR, Smith L</w:t>
      </w:r>
      <w:r w:rsidRPr="00BF5259">
        <w:rPr>
          <w:szCs w:val="19"/>
        </w:rPr>
        <w:t xml:space="preserve">L, and Botham PA. 2016. Assessment of the effects of MPTP and paraquat on dopaminergic neurons and microglia in the substantia nigra pars compacta of C57BL/6 mice. PLoS One. 11(10): e0164094. </w:t>
      </w:r>
    </w:p>
    <w:p w14:paraId="75A7E19E" w14:textId="40423CA1" w:rsidR="004E3808" w:rsidRPr="00BF5259" w:rsidRDefault="004E3808" w:rsidP="004E3808">
      <w:pPr>
        <w:pStyle w:val="NormalText"/>
        <w:rPr>
          <w:szCs w:val="19"/>
        </w:rPr>
      </w:pPr>
      <w:r w:rsidRPr="00BF5259">
        <w:rPr>
          <w:szCs w:val="19"/>
        </w:rPr>
        <w:t xml:space="preserve">Smyth DV, Shillabeer N, 2000. Paraquat dichloride: toxicity to the freshwater diatom </w:t>
      </w:r>
      <w:r w:rsidRPr="00BF5259">
        <w:rPr>
          <w:i/>
          <w:iCs/>
          <w:szCs w:val="19"/>
        </w:rPr>
        <w:t>Navicula pelliculosa</w:t>
      </w:r>
      <w:r w:rsidRPr="00BF5259">
        <w:rPr>
          <w:szCs w:val="19"/>
        </w:rPr>
        <w:t xml:space="preserve"> in the presence of sediment. Reference no. AG0463/B</w:t>
      </w:r>
    </w:p>
    <w:p w14:paraId="12CF5438" w14:textId="77777777" w:rsidR="004E3808" w:rsidRPr="00BF5259" w:rsidRDefault="004E3808" w:rsidP="004E3808">
      <w:pPr>
        <w:pStyle w:val="NormalText"/>
        <w:rPr>
          <w:szCs w:val="19"/>
        </w:rPr>
      </w:pPr>
      <w:r w:rsidRPr="00BF5259">
        <w:rPr>
          <w:szCs w:val="19"/>
        </w:rPr>
        <w:t xml:space="preserve">Smyth DV, Tapp JF, Sankey SA, Stanley RD, 1990a. Paraquat: determination of toxicity to the green alga </w:t>
      </w:r>
      <w:r w:rsidRPr="00BF5259">
        <w:rPr>
          <w:i/>
          <w:iCs/>
          <w:szCs w:val="19"/>
        </w:rPr>
        <w:t>Selenastrum capricornutum</w:t>
      </w:r>
      <w:r w:rsidRPr="00BF5259">
        <w:rPr>
          <w:szCs w:val="19"/>
        </w:rPr>
        <w:t>. Reference no. BL3748/B</w:t>
      </w:r>
    </w:p>
    <w:p w14:paraId="36DE966D" w14:textId="77777777" w:rsidR="004E3808" w:rsidRPr="00BF5259" w:rsidRDefault="004E3808" w:rsidP="004E3808">
      <w:pPr>
        <w:pStyle w:val="NormalText"/>
        <w:rPr>
          <w:szCs w:val="19"/>
        </w:rPr>
      </w:pPr>
      <w:r w:rsidRPr="00BF5259">
        <w:rPr>
          <w:szCs w:val="19"/>
        </w:rPr>
        <w:t xml:space="preserve">Smyth DV, Tapp JF, Sankey SA, Stanley RD, 1990b. Paraquat: determination of toxicity of a 10% formulation (Gramoxone 100) to the green alga </w:t>
      </w:r>
      <w:r w:rsidRPr="00BF5259">
        <w:rPr>
          <w:i/>
          <w:iCs/>
          <w:szCs w:val="19"/>
        </w:rPr>
        <w:t>Selenastrum capricornutum</w:t>
      </w:r>
      <w:r w:rsidRPr="00BF5259">
        <w:rPr>
          <w:szCs w:val="19"/>
        </w:rPr>
        <w:t>. Reference no. BL3896/B</w:t>
      </w:r>
    </w:p>
    <w:p w14:paraId="41976913" w14:textId="77777777" w:rsidR="009A7378" w:rsidRPr="00BF5259" w:rsidRDefault="009A7378" w:rsidP="009A7378">
      <w:pPr>
        <w:pStyle w:val="NormalText"/>
        <w:rPr>
          <w:szCs w:val="19"/>
        </w:rPr>
      </w:pPr>
      <w:r w:rsidRPr="00BF5259">
        <w:rPr>
          <w:szCs w:val="19"/>
        </w:rPr>
        <w:t xml:space="preserve">Smyth DV, Sankey SA, Penwell AJ, 1992a. Paraquat dichloride: toxicity to the green alga </w:t>
      </w:r>
      <w:r w:rsidRPr="00BF5259">
        <w:rPr>
          <w:i/>
          <w:iCs/>
          <w:szCs w:val="19"/>
        </w:rPr>
        <w:t>Selenastrum capricornutum</w:t>
      </w:r>
      <w:r w:rsidRPr="00BF5259">
        <w:rPr>
          <w:szCs w:val="19"/>
        </w:rPr>
        <w:t>. Reference no. BL4578/B</w:t>
      </w:r>
    </w:p>
    <w:p w14:paraId="68A6D2DE" w14:textId="77777777" w:rsidR="009A7378" w:rsidRPr="00BF5259" w:rsidRDefault="009A7378" w:rsidP="009A7378">
      <w:pPr>
        <w:pStyle w:val="NormalText"/>
        <w:rPr>
          <w:szCs w:val="19"/>
        </w:rPr>
      </w:pPr>
      <w:r w:rsidRPr="00BF5259">
        <w:rPr>
          <w:szCs w:val="19"/>
        </w:rPr>
        <w:t xml:space="preserve">Smyth DV, Sankey SA, Cornish SK, 1992b. Paraquat dichloride: toxicity to the freshwater diatom </w:t>
      </w:r>
      <w:r w:rsidRPr="00BF5259">
        <w:rPr>
          <w:i/>
          <w:iCs/>
          <w:szCs w:val="19"/>
        </w:rPr>
        <w:t>Navicula pellicolosa</w:t>
      </w:r>
      <w:r w:rsidRPr="00BF5259">
        <w:rPr>
          <w:szCs w:val="19"/>
        </w:rPr>
        <w:t>. Reference no. BN4464/B</w:t>
      </w:r>
    </w:p>
    <w:p w14:paraId="62F48E1A" w14:textId="77777777" w:rsidR="009A7378" w:rsidRPr="00BF5259" w:rsidRDefault="009A7378" w:rsidP="009A7378">
      <w:pPr>
        <w:pStyle w:val="NormalText"/>
        <w:rPr>
          <w:szCs w:val="19"/>
        </w:rPr>
      </w:pPr>
      <w:r w:rsidRPr="00BF5259">
        <w:rPr>
          <w:szCs w:val="19"/>
        </w:rPr>
        <w:t xml:space="preserve">Smyth DV, Sankey SA, Cornish SK, 1992c. Paraquat dichloride: toxicity to the blue-green alga </w:t>
      </w:r>
      <w:r w:rsidRPr="00BF5259">
        <w:rPr>
          <w:i/>
          <w:iCs/>
          <w:szCs w:val="19"/>
        </w:rPr>
        <w:t>Anabaena flos-aquae</w:t>
      </w:r>
      <w:r w:rsidRPr="00BF5259">
        <w:rPr>
          <w:szCs w:val="19"/>
        </w:rPr>
        <w:t>. Reference no. BL4579/B</w:t>
      </w:r>
    </w:p>
    <w:p w14:paraId="5AFC5429" w14:textId="77777777" w:rsidR="009A7378" w:rsidRPr="00BF5259" w:rsidRDefault="009A7378" w:rsidP="009A7378">
      <w:pPr>
        <w:pStyle w:val="NormalText"/>
        <w:rPr>
          <w:szCs w:val="19"/>
        </w:rPr>
      </w:pPr>
      <w:r w:rsidRPr="00BF5259">
        <w:rPr>
          <w:szCs w:val="19"/>
        </w:rPr>
        <w:t xml:space="preserve">Smyth DV, Sankey SA, Penwell AJ, 1992d. Paraquat dichloride: toxicity to the marine alga </w:t>
      </w:r>
      <w:r w:rsidRPr="00BF5259">
        <w:rPr>
          <w:i/>
          <w:iCs/>
          <w:szCs w:val="19"/>
        </w:rPr>
        <w:t>Skelenonema costatum</w:t>
      </w:r>
      <w:r w:rsidRPr="00BF5259">
        <w:rPr>
          <w:szCs w:val="19"/>
        </w:rPr>
        <w:t>. Reference no. BL4580/B</w:t>
      </w:r>
    </w:p>
    <w:p w14:paraId="1D358522" w14:textId="77777777" w:rsidR="009A7378" w:rsidRPr="00BF5259" w:rsidRDefault="009A7378" w:rsidP="009A7378">
      <w:pPr>
        <w:pStyle w:val="NormalText"/>
        <w:rPr>
          <w:szCs w:val="19"/>
        </w:rPr>
      </w:pPr>
      <w:r w:rsidRPr="00BF5259">
        <w:rPr>
          <w:szCs w:val="19"/>
        </w:rPr>
        <w:t xml:space="preserve">Smyth DV, Sankey SA, Cornish SK, Penwell AJ, 1992e. Paraquat dichloride: toxicity to the duckweed </w:t>
      </w:r>
      <w:r w:rsidRPr="00BF5259">
        <w:rPr>
          <w:i/>
          <w:iCs/>
          <w:szCs w:val="19"/>
        </w:rPr>
        <w:t>Lemna gibba</w:t>
      </w:r>
      <w:r w:rsidRPr="00BF5259">
        <w:rPr>
          <w:szCs w:val="19"/>
        </w:rPr>
        <w:t>. Reference no. BL4493/B</w:t>
      </w:r>
    </w:p>
    <w:p w14:paraId="0F7B4A6C" w14:textId="77777777" w:rsidR="004E3808" w:rsidRPr="00BF5259" w:rsidRDefault="004E3808" w:rsidP="004E3808">
      <w:pPr>
        <w:pStyle w:val="APVMAText"/>
        <w:rPr>
          <w:rFonts w:ascii="Arial" w:hAnsi="Arial"/>
          <w:sz w:val="19"/>
          <w:szCs w:val="19"/>
        </w:rPr>
      </w:pPr>
      <w:r w:rsidRPr="00BF5259">
        <w:rPr>
          <w:rFonts w:ascii="Arial" w:hAnsi="Arial"/>
          <w:sz w:val="19"/>
          <w:szCs w:val="19"/>
        </w:rPr>
        <w:t xml:space="preserve">Smyth DV, Kent SJ, Shillabeer N, 1998a. Diquat: toxicity to the freshwater diatom </w:t>
      </w:r>
      <w:r w:rsidRPr="00BF5259">
        <w:rPr>
          <w:rFonts w:ascii="Arial" w:hAnsi="Arial"/>
          <w:i/>
          <w:iCs/>
          <w:sz w:val="19"/>
          <w:szCs w:val="19"/>
        </w:rPr>
        <w:t>Navicula pelliculosa</w:t>
      </w:r>
      <w:r w:rsidRPr="00BF5259">
        <w:rPr>
          <w:rFonts w:ascii="Arial" w:hAnsi="Arial"/>
          <w:sz w:val="19"/>
          <w:szCs w:val="19"/>
        </w:rPr>
        <w:t>. Reference no. PP901/0579, BL6150/B</w:t>
      </w:r>
    </w:p>
    <w:p w14:paraId="07E2DD5E" w14:textId="77777777" w:rsidR="004E3808" w:rsidRPr="00BF5259" w:rsidRDefault="004E3808" w:rsidP="004E3808">
      <w:pPr>
        <w:pStyle w:val="APVMAText"/>
        <w:rPr>
          <w:rFonts w:ascii="Arial" w:hAnsi="Arial"/>
          <w:sz w:val="19"/>
          <w:szCs w:val="19"/>
        </w:rPr>
      </w:pPr>
      <w:r w:rsidRPr="00BF5259">
        <w:rPr>
          <w:rFonts w:ascii="Arial" w:hAnsi="Arial"/>
          <w:sz w:val="19"/>
          <w:szCs w:val="19"/>
        </w:rPr>
        <w:t xml:space="preserve">Smyth DV, Kent SJ, Shillabeer N, 1998b. Diquat: toxicity to the blue-green alga </w:t>
      </w:r>
      <w:r w:rsidRPr="00BF5259">
        <w:rPr>
          <w:rFonts w:ascii="Arial" w:hAnsi="Arial"/>
          <w:i/>
          <w:iCs/>
          <w:sz w:val="19"/>
          <w:szCs w:val="19"/>
        </w:rPr>
        <w:t>Anabaena flos-aquae</w:t>
      </w:r>
      <w:r w:rsidRPr="00BF5259">
        <w:rPr>
          <w:rFonts w:ascii="Arial" w:hAnsi="Arial"/>
          <w:sz w:val="19"/>
          <w:szCs w:val="19"/>
        </w:rPr>
        <w:t>. Reference no. BL6148/B, PP901/0578</w:t>
      </w:r>
    </w:p>
    <w:p w14:paraId="2553013E" w14:textId="77777777" w:rsidR="004E3808" w:rsidRPr="00BF5259" w:rsidRDefault="004E3808" w:rsidP="004E3808">
      <w:pPr>
        <w:pStyle w:val="APVMAText"/>
        <w:rPr>
          <w:rFonts w:ascii="Arial" w:hAnsi="Arial"/>
          <w:sz w:val="19"/>
          <w:szCs w:val="19"/>
        </w:rPr>
      </w:pPr>
      <w:r w:rsidRPr="00BF5259">
        <w:rPr>
          <w:rFonts w:ascii="Arial" w:hAnsi="Arial"/>
          <w:sz w:val="19"/>
          <w:szCs w:val="19"/>
        </w:rPr>
        <w:lastRenderedPageBreak/>
        <w:t xml:space="preserve">Smyth DV, Kent SJ, Shillabeer N, 1998c. Diquat: toxicity to the marine alga </w:t>
      </w:r>
      <w:r w:rsidRPr="00BF5259">
        <w:rPr>
          <w:rFonts w:ascii="Arial" w:hAnsi="Arial"/>
          <w:i/>
          <w:iCs/>
          <w:sz w:val="19"/>
          <w:szCs w:val="19"/>
        </w:rPr>
        <w:t>Skeletonema costatum</w:t>
      </w:r>
      <w:r w:rsidRPr="00BF5259">
        <w:rPr>
          <w:rFonts w:ascii="Arial" w:hAnsi="Arial"/>
          <w:sz w:val="19"/>
          <w:szCs w:val="19"/>
        </w:rPr>
        <w:t>. Reference no. BL6149/B, PP901/0577</w:t>
      </w:r>
    </w:p>
    <w:p w14:paraId="7513E1B6" w14:textId="687690D8" w:rsidR="008A3449" w:rsidRPr="00BF5259" w:rsidRDefault="008A3449" w:rsidP="00746FCD">
      <w:pPr>
        <w:pStyle w:val="NormalText"/>
        <w:rPr>
          <w:szCs w:val="19"/>
        </w:rPr>
      </w:pPr>
      <w:r w:rsidRPr="00BF5259">
        <w:rPr>
          <w:szCs w:val="19"/>
        </w:rPr>
        <w:t xml:space="preserve">Sotheran MF, Banham PB, Doss A </w:t>
      </w:r>
      <w:r w:rsidR="00FB0840" w:rsidRPr="00BF5259">
        <w:rPr>
          <w:szCs w:val="19"/>
        </w:rPr>
        <w:t>and</w:t>
      </w:r>
      <w:r w:rsidRPr="00BF5259">
        <w:rPr>
          <w:szCs w:val="19"/>
        </w:rPr>
        <w:t xml:space="preserve"> Weight TM</w:t>
      </w:r>
      <w:r w:rsidR="00FB0840" w:rsidRPr="00BF5259">
        <w:rPr>
          <w:szCs w:val="19"/>
        </w:rPr>
        <w:t>,</w:t>
      </w:r>
      <w:r w:rsidRPr="00BF5259">
        <w:rPr>
          <w:szCs w:val="19"/>
        </w:rPr>
        <w:t xml:space="preserve"> 1979</w:t>
      </w:r>
      <w:r w:rsidR="00FB0840" w:rsidRPr="00BF5259">
        <w:rPr>
          <w:szCs w:val="19"/>
        </w:rPr>
        <w:t>.</w:t>
      </w:r>
      <w:r w:rsidRPr="00BF5259">
        <w:rPr>
          <w:szCs w:val="19"/>
        </w:rPr>
        <w:t xml:space="preserve"> Paraquat: A study to compare the toxicity or pure and technical paraquat in mice at two starting ages. Report No. CTL/P/415.</w:t>
      </w:r>
    </w:p>
    <w:p w14:paraId="3157224D" w14:textId="3EC3B56D" w:rsidR="00746FCD" w:rsidRPr="00BF5259" w:rsidRDefault="00746FCD" w:rsidP="00746FCD">
      <w:pPr>
        <w:pStyle w:val="NormalText"/>
        <w:rPr>
          <w:szCs w:val="19"/>
        </w:rPr>
      </w:pPr>
      <w:r w:rsidRPr="00BF5259">
        <w:rPr>
          <w:szCs w:val="19"/>
        </w:rPr>
        <w:t>Spinks CA, Hendley P, Leahey JP and Carpenter PK, 1976. Metabolism and Residues in Pigs Using 14C-Ring Labelled Paraquat. Report No. AR 2692 A</w:t>
      </w:r>
    </w:p>
    <w:p w14:paraId="2A3899FE" w14:textId="77777777" w:rsidR="009A7378" w:rsidRPr="00BF5259" w:rsidRDefault="009A7378" w:rsidP="009A7378">
      <w:pPr>
        <w:pStyle w:val="NormalText"/>
        <w:rPr>
          <w:szCs w:val="19"/>
        </w:rPr>
      </w:pPr>
      <w:r w:rsidRPr="00BF5259">
        <w:rPr>
          <w:szCs w:val="19"/>
        </w:rPr>
        <w:t>Stevens JEB, Bewick DW, 1991. Paraquat: a survey of residues and deactivation capacities of soils in the United Kingdom. Reference no. RJ0594B</w:t>
      </w:r>
    </w:p>
    <w:p w14:paraId="58786A0E" w14:textId="77777777" w:rsidR="009A7378" w:rsidRPr="00BF5259" w:rsidRDefault="009A7378" w:rsidP="009A7378">
      <w:pPr>
        <w:pStyle w:val="NormalText"/>
        <w:rPr>
          <w:szCs w:val="19"/>
        </w:rPr>
      </w:pPr>
      <w:r w:rsidRPr="00BF5259">
        <w:rPr>
          <w:szCs w:val="19"/>
        </w:rPr>
        <w:t>Stevens JEB, Bewick DW, Palmieri R, 1988. Paraquat: a survey of residues and deactivation capacities of soils in Italy. Reference no. RJ0594B</w:t>
      </w:r>
    </w:p>
    <w:p w14:paraId="350EADAE" w14:textId="7EAC0C21" w:rsidR="00746FCD" w:rsidRPr="00BF5259" w:rsidRDefault="00746FCD" w:rsidP="00746FCD">
      <w:pPr>
        <w:pStyle w:val="NormalText"/>
        <w:rPr>
          <w:szCs w:val="19"/>
        </w:rPr>
      </w:pPr>
      <w:r w:rsidRPr="00BF5259">
        <w:rPr>
          <w:szCs w:val="19"/>
        </w:rPr>
        <w:t>Stevens MA and Walley JK, 1965. Metabolism of 14C-Diquat and 14C-Paraquat in Cattle. Report No. IHR/177</w:t>
      </w:r>
    </w:p>
    <w:p w14:paraId="4F0784C2" w14:textId="39C53FCD" w:rsidR="00746FCD" w:rsidRPr="00BF5259" w:rsidRDefault="00746FCD" w:rsidP="00746FCD">
      <w:pPr>
        <w:pStyle w:val="NormalText"/>
        <w:rPr>
          <w:szCs w:val="19"/>
        </w:rPr>
      </w:pPr>
      <w:r w:rsidRPr="00BF5259">
        <w:rPr>
          <w:szCs w:val="19"/>
        </w:rPr>
        <w:t>Stevens MA, Walker GH and Walley JK, 1965. Excretion of 14C-Paraquat by the Cow. Report No. IHR/164</w:t>
      </w:r>
    </w:p>
    <w:p w14:paraId="02D62012" w14:textId="6C50E2DF" w:rsidR="00746FCD" w:rsidRPr="00BF5259" w:rsidRDefault="00746FCD" w:rsidP="009A7378">
      <w:pPr>
        <w:pStyle w:val="NormalText"/>
        <w:rPr>
          <w:szCs w:val="19"/>
        </w:rPr>
      </w:pPr>
      <w:r w:rsidRPr="00BF5259">
        <w:rPr>
          <w:szCs w:val="19"/>
        </w:rPr>
        <w:t>Stevens MA and Walley JK, 1966. Tissue and Milk Residues arising from Ingestion of Single Doses of Diquat and Paraquat by Cattle. J. Sci. Fd. Agric. 17 (October).</w:t>
      </w:r>
    </w:p>
    <w:p w14:paraId="1E89918D" w14:textId="1D7DEC12" w:rsidR="009A7378" w:rsidRPr="00BF5259" w:rsidRDefault="009A7378" w:rsidP="009A7378">
      <w:pPr>
        <w:pStyle w:val="NormalText"/>
        <w:rPr>
          <w:szCs w:val="19"/>
        </w:rPr>
      </w:pPr>
      <w:r w:rsidRPr="00BF5259">
        <w:rPr>
          <w:szCs w:val="19"/>
        </w:rPr>
        <w:t>Stevenson JH, 1978. The acute toxicity of unformulated pesticides to worker honey bees (</w:t>
      </w:r>
      <w:r w:rsidRPr="00BF5259">
        <w:rPr>
          <w:i/>
          <w:iCs/>
          <w:szCs w:val="19"/>
        </w:rPr>
        <w:t>Apis mellifera</w:t>
      </w:r>
      <w:r w:rsidRPr="00BF5259">
        <w:rPr>
          <w:szCs w:val="19"/>
        </w:rPr>
        <w:t xml:space="preserve"> L.). Plant Pathol 27(1): 38-40</w:t>
      </w:r>
    </w:p>
    <w:p w14:paraId="1EA1885F" w14:textId="77777777" w:rsidR="009A7378" w:rsidRPr="00BF5259" w:rsidRDefault="009A7378" w:rsidP="009A7378">
      <w:pPr>
        <w:pStyle w:val="NormalText"/>
        <w:rPr>
          <w:szCs w:val="19"/>
        </w:rPr>
      </w:pPr>
      <w:r w:rsidRPr="00BF5259">
        <w:rPr>
          <w:szCs w:val="19"/>
        </w:rPr>
        <w:t xml:space="preserve">Sucahyo D, van Straalen NM, Krave A, van Gestel CAM, 2008. Acute toxicity of pesticides to the tropical freshwater shrimp </w:t>
      </w:r>
      <w:r w:rsidRPr="00BF5259">
        <w:rPr>
          <w:i/>
          <w:iCs/>
          <w:szCs w:val="19"/>
        </w:rPr>
        <w:t>Cardina laevis</w:t>
      </w:r>
      <w:r w:rsidRPr="00BF5259">
        <w:rPr>
          <w:szCs w:val="19"/>
        </w:rPr>
        <w:t>. Ecotoxicol Environ Saf 69: 421-427</w:t>
      </w:r>
    </w:p>
    <w:p w14:paraId="3B1DAB31" w14:textId="77777777" w:rsidR="003C6DDF" w:rsidRPr="00BF5259" w:rsidRDefault="003C6DDF" w:rsidP="009A7378">
      <w:pPr>
        <w:pStyle w:val="NormalText"/>
        <w:rPr>
          <w:szCs w:val="19"/>
        </w:rPr>
      </w:pPr>
      <w:r w:rsidRPr="00BF5259">
        <w:rPr>
          <w:szCs w:val="19"/>
        </w:rPr>
        <w:t>Sun, J., Agarwal, S.,Desai , T., Ju, D., Chang, Y., Liao, S., Ho , T., Yeh, Y., Kuo, W., Lin. Y., and Huang, C. (2023) Cryptotanshinone protects against oxidative stress in the paraquat-induced Parkinson's disease model. Environmental toxicology, 38(1), 39–48</w:t>
      </w:r>
    </w:p>
    <w:p w14:paraId="35F95631" w14:textId="5BB147D5" w:rsidR="009A7378" w:rsidRPr="00BF5259" w:rsidRDefault="009A7378" w:rsidP="009A7378">
      <w:pPr>
        <w:pStyle w:val="NormalText"/>
        <w:rPr>
          <w:szCs w:val="19"/>
        </w:rPr>
      </w:pPr>
      <w:r w:rsidRPr="00BF5259">
        <w:rPr>
          <w:szCs w:val="19"/>
        </w:rPr>
        <w:t>Sutton P, Bernard JL, Mensink B, Edwards P, 2004. Paraquat: wildlife incident monitoring data for hares - a summary of the available data on hares from WIIS (1974-2002), SAGIR (1984-2003) and CIDC (1983-2002) . Reference no. RAJ0253B</w:t>
      </w:r>
    </w:p>
    <w:p w14:paraId="0FB7BF2E" w14:textId="3D445D21" w:rsidR="008B3B60" w:rsidRPr="00BF5259" w:rsidRDefault="008B3B60" w:rsidP="008B3B60">
      <w:pPr>
        <w:pStyle w:val="NormalText"/>
        <w:rPr>
          <w:szCs w:val="19"/>
        </w:rPr>
      </w:pPr>
      <w:r w:rsidRPr="00BF5259">
        <w:rPr>
          <w:szCs w:val="19"/>
        </w:rPr>
        <w:t>Swaine H, 1983</w:t>
      </w:r>
      <w:r w:rsidR="009A484C" w:rsidRPr="00BF5259">
        <w:rPr>
          <w:szCs w:val="19"/>
        </w:rPr>
        <w:t>(a)</w:t>
      </w:r>
      <w:r w:rsidRPr="00BF5259">
        <w:rPr>
          <w:szCs w:val="19"/>
        </w:rPr>
        <w:t>. Paraquat Residue on Onions from Trials Carried out During 1983 in West Germany. Report No. TMR0038B.</w:t>
      </w:r>
    </w:p>
    <w:p w14:paraId="50784466" w14:textId="18E25EBD" w:rsidR="009A484C" w:rsidRPr="00BF5259" w:rsidRDefault="009A484C" w:rsidP="009A484C">
      <w:pPr>
        <w:rPr>
          <w:rFonts w:ascii="Arial" w:hAnsi="Arial" w:cs="Arial"/>
          <w:kern w:val="20"/>
          <w:sz w:val="19"/>
          <w:szCs w:val="19"/>
          <w:u w:color="000000"/>
        </w:rPr>
      </w:pPr>
      <w:r w:rsidRPr="00BF5259">
        <w:rPr>
          <w:rFonts w:ascii="Arial" w:hAnsi="Arial" w:cs="Arial"/>
          <w:kern w:val="20"/>
          <w:sz w:val="19"/>
          <w:szCs w:val="19"/>
          <w:u w:color="000000"/>
        </w:rPr>
        <w:t>Swaine H, 1983(b). Paraquat Residue Data on Lettuce from Trials Carried out During 1983 in West Germany. Report No. PP148B034.</w:t>
      </w:r>
    </w:p>
    <w:p w14:paraId="396C59B0" w14:textId="3FA41FE9" w:rsidR="009A7378" w:rsidRPr="00BF5259" w:rsidRDefault="009A7378" w:rsidP="009A7378">
      <w:pPr>
        <w:pStyle w:val="NormalText"/>
        <w:rPr>
          <w:szCs w:val="19"/>
        </w:rPr>
      </w:pPr>
      <w:r w:rsidRPr="00BF5259">
        <w:rPr>
          <w:szCs w:val="19"/>
        </w:rPr>
        <w:t xml:space="preserve">Tagun R, Boxall ABA, 2018. The response of </w:t>
      </w:r>
      <w:r w:rsidRPr="00BF5259">
        <w:rPr>
          <w:i/>
          <w:iCs/>
          <w:szCs w:val="19"/>
        </w:rPr>
        <w:t>Lemna minor</w:t>
      </w:r>
      <w:r w:rsidRPr="00BF5259">
        <w:rPr>
          <w:szCs w:val="19"/>
        </w:rPr>
        <w:t xml:space="preserve"> to mixtures of pesticides that are commonly used in Thailand. Bull Environ Contam Toxicol 100(4): 516-523</w:t>
      </w:r>
      <w:r w:rsidR="00034E3A" w:rsidRPr="00BF5259">
        <w:rPr>
          <w:szCs w:val="19"/>
        </w:rPr>
        <w:t>.</w:t>
      </w:r>
    </w:p>
    <w:p w14:paraId="432916AD" w14:textId="05203E2B" w:rsidR="009A7378" w:rsidRPr="00BF5259" w:rsidRDefault="009A7378" w:rsidP="009A7378">
      <w:pPr>
        <w:pStyle w:val="NormalText"/>
        <w:rPr>
          <w:szCs w:val="19"/>
        </w:rPr>
      </w:pPr>
      <w:r w:rsidRPr="00BF5259">
        <w:rPr>
          <w:szCs w:val="19"/>
        </w:rPr>
        <w:t>Tapp JF, Sankey SA, Caunter JE, Stanley RD, Adams DS, 1990</w:t>
      </w:r>
      <w:r w:rsidR="00D94AC8" w:rsidRPr="00BF5259">
        <w:rPr>
          <w:szCs w:val="19"/>
        </w:rPr>
        <w:t>(</w:t>
      </w:r>
      <w:r w:rsidRPr="00BF5259">
        <w:rPr>
          <w:szCs w:val="19"/>
        </w:rPr>
        <w:t>a</w:t>
      </w:r>
      <w:r w:rsidR="00D94AC8" w:rsidRPr="00BF5259">
        <w:rPr>
          <w:szCs w:val="19"/>
        </w:rPr>
        <w:t>)</w:t>
      </w:r>
      <w:r w:rsidRPr="00BF5259">
        <w:rPr>
          <w:szCs w:val="19"/>
        </w:rPr>
        <w:t>. Paraquat: determination of acute toxicity to rainbow trout (</w:t>
      </w:r>
      <w:r w:rsidRPr="00BF5259">
        <w:rPr>
          <w:i/>
          <w:iCs/>
          <w:szCs w:val="19"/>
        </w:rPr>
        <w:t>Salmo gairdneri</w:t>
      </w:r>
      <w:r w:rsidRPr="00BF5259">
        <w:rPr>
          <w:szCs w:val="19"/>
        </w:rPr>
        <w:t>). Reference no. BL3801/B</w:t>
      </w:r>
      <w:r w:rsidR="00034E3A" w:rsidRPr="00BF5259">
        <w:rPr>
          <w:szCs w:val="19"/>
        </w:rPr>
        <w:t>.</w:t>
      </w:r>
    </w:p>
    <w:p w14:paraId="1A57BE65" w14:textId="5C384B2B" w:rsidR="009A7378" w:rsidRPr="00BF5259" w:rsidRDefault="009A7378" w:rsidP="009A7378">
      <w:pPr>
        <w:pStyle w:val="NormalText"/>
        <w:rPr>
          <w:szCs w:val="19"/>
        </w:rPr>
      </w:pPr>
      <w:r w:rsidRPr="00BF5259">
        <w:rPr>
          <w:szCs w:val="19"/>
        </w:rPr>
        <w:lastRenderedPageBreak/>
        <w:t>Tapp JF, Sankey SA, Caunter JE, Stanley RD, 1990</w:t>
      </w:r>
      <w:r w:rsidR="00D94AC8" w:rsidRPr="00BF5259">
        <w:rPr>
          <w:szCs w:val="19"/>
        </w:rPr>
        <w:t>(</w:t>
      </w:r>
      <w:r w:rsidRPr="00BF5259">
        <w:rPr>
          <w:szCs w:val="19"/>
        </w:rPr>
        <w:t>b</w:t>
      </w:r>
      <w:r w:rsidR="00D94AC8" w:rsidRPr="00BF5259">
        <w:rPr>
          <w:szCs w:val="19"/>
        </w:rPr>
        <w:t>)</w:t>
      </w:r>
      <w:r w:rsidRPr="00BF5259">
        <w:rPr>
          <w:szCs w:val="19"/>
        </w:rPr>
        <w:t>. Paraquat: determination of acute toxicity of a 10% formulation (Gramoxone 100) to rainbow trout. Reference no. BL3914/B</w:t>
      </w:r>
      <w:r w:rsidR="00034E3A" w:rsidRPr="00BF5259">
        <w:rPr>
          <w:szCs w:val="19"/>
        </w:rPr>
        <w:t>.</w:t>
      </w:r>
    </w:p>
    <w:p w14:paraId="332FF079" w14:textId="3F35B01A" w:rsidR="009A7378" w:rsidRPr="00BF5259" w:rsidRDefault="009A7378" w:rsidP="009A7378">
      <w:pPr>
        <w:pStyle w:val="NormalText"/>
        <w:rPr>
          <w:szCs w:val="19"/>
        </w:rPr>
      </w:pPr>
      <w:r w:rsidRPr="00BF5259">
        <w:rPr>
          <w:szCs w:val="19"/>
        </w:rPr>
        <w:t>Tapp JF, Sankey SA, Caunter JE, Stanley RD, Penwell AJ, 1990</w:t>
      </w:r>
      <w:r w:rsidR="00D94AC8" w:rsidRPr="00BF5259">
        <w:rPr>
          <w:szCs w:val="19"/>
        </w:rPr>
        <w:t>(</w:t>
      </w:r>
      <w:r w:rsidRPr="00BF5259">
        <w:rPr>
          <w:szCs w:val="19"/>
        </w:rPr>
        <w:t>c</w:t>
      </w:r>
      <w:r w:rsidR="00D94AC8" w:rsidRPr="00BF5259">
        <w:rPr>
          <w:szCs w:val="19"/>
        </w:rPr>
        <w:t>)</w:t>
      </w:r>
      <w:r w:rsidRPr="00BF5259">
        <w:rPr>
          <w:szCs w:val="19"/>
        </w:rPr>
        <w:t>. Paraquat: determination of acute toxicity to mirror carp (</w:t>
      </w:r>
      <w:r w:rsidRPr="00BF5259">
        <w:rPr>
          <w:i/>
          <w:iCs/>
          <w:szCs w:val="19"/>
        </w:rPr>
        <w:t>Cyprinus carpio</w:t>
      </w:r>
      <w:r w:rsidRPr="00BF5259">
        <w:rPr>
          <w:szCs w:val="19"/>
        </w:rPr>
        <w:t>). Reference no. BL3800/B</w:t>
      </w:r>
      <w:r w:rsidR="00034E3A" w:rsidRPr="00BF5259">
        <w:rPr>
          <w:szCs w:val="19"/>
        </w:rPr>
        <w:t>.</w:t>
      </w:r>
    </w:p>
    <w:p w14:paraId="51292C3F" w14:textId="15FFD158" w:rsidR="009A7378" w:rsidRPr="00BF5259" w:rsidRDefault="009A7378" w:rsidP="009A7378">
      <w:pPr>
        <w:pStyle w:val="NormalText"/>
        <w:rPr>
          <w:szCs w:val="19"/>
        </w:rPr>
      </w:pPr>
      <w:r w:rsidRPr="00BF5259">
        <w:rPr>
          <w:szCs w:val="19"/>
        </w:rPr>
        <w:t>Tapp JF, Sankey SA, Caunter JE, Stanley RD, Penwell AJ, 1990</w:t>
      </w:r>
      <w:r w:rsidR="00D94AC8" w:rsidRPr="00BF5259">
        <w:rPr>
          <w:szCs w:val="19"/>
        </w:rPr>
        <w:t>(</w:t>
      </w:r>
      <w:r w:rsidRPr="00BF5259">
        <w:rPr>
          <w:szCs w:val="19"/>
        </w:rPr>
        <w:t>d</w:t>
      </w:r>
      <w:r w:rsidR="00D94AC8" w:rsidRPr="00BF5259">
        <w:rPr>
          <w:szCs w:val="19"/>
        </w:rPr>
        <w:t>)</w:t>
      </w:r>
      <w:r w:rsidRPr="00BF5259">
        <w:rPr>
          <w:szCs w:val="19"/>
        </w:rPr>
        <w:t>. Paraquat: determination of the 21-day LC</w:t>
      </w:r>
      <w:r w:rsidRPr="00BF5259">
        <w:rPr>
          <w:szCs w:val="19"/>
          <w:vertAlign w:val="subscript"/>
        </w:rPr>
        <w:t>50</w:t>
      </w:r>
      <w:r w:rsidRPr="00BF5259">
        <w:rPr>
          <w:szCs w:val="19"/>
        </w:rPr>
        <w:t xml:space="preserve"> to rainbow trout (</w:t>
      </w:r>
      <w:r w:rsidRPr="00BF5259">
        <w:rPr>
          <w:i/>
          <w:iCs/>
          <w:szCs w:val="19"/>
        </w:rPr>
        <w:t>Salmo gairdneri</w:t>
      </w:r>
      <w:r w:rsidRPr="00BF5259">
        <w:rPr>
          <w:szCs w:val="19"/>
        </w:rPr>
        <w:t>)</w:t>
      </w:r>
      <w:r w:rsidRPr="00BF5259">
        <w:rPr>
          <w:szCs w:val="19"/>
        </w:rPr>
        <w:tab/>
        <w:t>BL3860/B</w:t>
      </w:r>
      <w:r w:rsidR="00034E3A" w:rsidRPr="00BF5259">
        <w:rPr>
          <w:szCs w:val="19"/>
        </w:rPr>
        <w:t>.</w:t>
      </w:r>
    </w:p>
    <w:p w14:paraId="06ABBF1E" w14:textId="3B9084A6" w:rsidR="00D94AC8" w:rsidRPr="00BF5259" w:rsidRDefault="00D94AC8" w:rsidP="009A7378">
      <w:pPr>
        <w:pStyle w:val="NormalText"/>
        <w:rPr>
          <w:szCs w:val="19"/>
        </w:rPr>
      </w:pPr>
      <w:r w:rsidRPr="00BF5259">
        <w:rPr>
          <w:szCs w:val="19"/>
        </w:rPr>
        <w:t>Thompson JD, Cushman JR and Wong ZA, 1985. Modified Buehler test for the skin sensitisation potential of paraquat 3 concentrate (SX-1465). Study no: SOCAL 2355</w:t>
      </w:r>
    </w:p>
    <w:p w14:paraId="2C77ECCB" w14:textId="3F0F52B0" w:rsidR="004A4FC3" w:rsidRPr="00BF5259" w:rsidRDefault="004A4FC3" w:rsidP="004A4FC3">
      <w:pPr>
        <w:pStyle w:val="NormalText"/>
        <w:rPr>
          <w:szCs w:val="19"/>
        </w:rPr>
      </w:pPr>
      <w:r w:rsidRPr="00BF5259">
        <w:rPr>
          <w:szCs w:val="19"/>
        </w:rPr>
        <w:t xml:space="preserve">Tinston DJ, 1991(a). Paraquat: Second embryotoxicity study in the rabbit. Report no: CTL/T/2730. </w:t>
      </w:r>
    </w:p>
    <w:p w14:paraId="6A364EED" w14:textId="4B99F927" w:rsidR="004A4FC3" w:rsidRPr="00BF5259" w:rsidRDefault="004A4FC3" w:rsidP="004A4FC3">
      <w:pPr>
        <w:pStyle w:val="NormalText"/>
        <w:rPr>
          <w:szCs w:val="19"/>
        </w:rPr>
      </w:pPr>
      <w:r w:rsidRPr="00BF5259">
        <w:rPr>
          <w:szCs w:val="19"/>
        </w:rPr>
        <w:t xml:space="preserve">Tinston DJ, 1991(b) Paraquat: Teratogenicity study in the rabbit. Report no: CTL/T/2749. </w:t>
      </w:r>
    </w:p>
    <w:p w14:paraId="3E6138C8" w14:textId="122C3C7B" w:rsidR="004A4FC3" w:rsidRPr="00BF5259" w:rsidRDefault="004A4FC3" w:rsidP="004A4FC3">
      <w:pPr>
        <w:pStyle w:val="NormalText"/>
        <w:rPr>
          <w:szCs w:val="19"/>
        </w:rPr>
      </w:pPr>
      <w:r w:rsidRPr="00BF5259">
        <w:rPr>
          <w:szCs w:val="19"/>
        </w:rPr>
        <w:t>Tinston DJ, 1991(c) Paraquat: Second teratogenicity study in the rabbit. Report no: CTL/T/2763.</w:t>
      </w:r>
    </w:p>
    <w:p w14:paraId="71CBA766" w14:textId="77777777" w:rsidR="003C6DDF" w:rsidRPr="00BF5259" w:rsidRDefault="003C6DDF" w:rsidP="009A7378">
      <w:pPr>
        <w:pStyle w:val="NormalText"/>
        <w:rPr>
          <w:szCs w:val="19"/>
        </w:rPr>
      </w:pPr>
      <w:r w:rsidRPr="00BF5259">
        <w:rPr>
          <w:szCs w:val="19"/>
        </w:rPr>
        <w:t>Tomenson JA, Campbell C. (2021) Mortality from Parkinson's disease and other causes among a workforce manufacturing paraquat: an updated retrospective cohort study. J Occup Med Toxicol 16, 20 (2021).</w:t>
      </w:r>
    </w:p>
    <w:p w14:paraId="0B49BD06" w14:textId="5AF7DC4F" w:rsidR="00255E26" w:rsidRPr="00BF5259" w:rsidRDefault="00255E26" w:rsidP="009A7378">
      <w:pPr>
        <w:pStyle w:val="NormalText"/>
        <w:rPr>
          <w:szCs w:val="19"/>
        </w:rPr>
      </w:pPr>
      <w:r w:rsidRPr="00BF5259">
        <w:rPr>
          <w:szCs w:val="19"/>
        </w:rPr>
        <w:t>Toral D and Kay BL, 1964. Pasturing of Sheep on Paraquat Treated Forage. Project No. 114-118 W 64-5.</w:t>
      </w:r>
    </w:p>
    <w:p w14:paraId="25A64E76" w14:textId="07414071" w:rsidR="003C6DDF" w:rsidRPr="00BF5259" w:rsidRDefault="003C6DDF" w:rsidP="009A7378">
      <w:pPr>
        <w:pStyle w:val="NormalText"/>
        <w:rPr>
          <w:szCs w:val="19"/>
        </w:rPr>
      </w:pPr>
      <w:r w:rsidRPr="00BF5259">
        <w:rPr>
          <w:szCs w:val="19"/>
        </w:rPr>
        <w:t>Torres-Rojas, C., Zhao, W., Zhuang, D., P O'Callaghan, J., Lu, L., Mulligan, M., Williams, R., and Jones, B. (2022). Paraquat Toxicogenetics: Strain-Related Reduction of Tyrosine Hydroxylase Staining in Substantia Nigra in Mice. Front Toxicol, 2021. 3: p. 722518.</w:t>
      </w:r>
    </w:p>
    <w:p w14:paraId="33934202" w14:textId="6CB5679B" w:rsidR="009A7378" w:rsidRPr="00BF5259" w:rsidRDefault="009A7378" w:rsidP="009A7378">
      <w:pPr>
        <w:pStyle w:val="NormalText"/>
        <w:rPr>
          <w:szCs w:val="19"/>
        </w:rPr>
      </w:pPr>
      <w:r w:rsidRPr="00BF5259">
        <w:rPr>
          <w:szCs w:val="19"/>
        </w:rPr>
        <w:t>Upton BP, Hendley P, Skidmore MW, 1985. Paraquat: hydrolytic stability in water at pH 5, 7 and 9. Reference no. RJ0436B</w:t>
      </w:r>
      <w:r w:rsidR="00034E3A" w:rsidRPr="00BF5259">
        <w:rPr>
          <w:szCs w:val="19"/>
        </w:rPr>
        <w:t>.</w:t>
      </w:r>
    </w:p>
    <w:p w14:paraId="5DF72D16" w14:textId="4A471609" w:rsidR="00A51A5F" w:rsidRPr="00BF5259" w:rsidRDefault="00A51A5F" w:rsidP="009A7378">
      <w:pPr>
        <w:pStyle w:val="NormalText"/>
        <w:rPr>
          <w:szCs w:val="19"/>
        </w:rPr>
      </w:pPr>
      <w:r w:rsidRPr="00BF5259">
        <w:rPr>
          <w:szCs w:val="19"/>
        </w:rPr>
        <w:t xml:space="preserve">US EPA, 2021(a). Occupational Pesticide Handler Unit Exposure Surrogate Reference Table. </w:t>
      </w:r>
      <w:hyperlink r:id="rId75" w:history="1">
        <w:r w:rsidRPr="00BF5259">
          <w:rPr>
            <w:rStyle w:val="Hyperlink"/>
            <w:szCs w:val="19"/>
          </w:rPr>
          <w:t>https://www.epa.gov/sites/default/files/2021-05/documents/occupational-pesticide-handler-unit-exposure-surrogate-reference-table-may-2021.pdf</w:t>
        </w:r>
      </w:hyperlink>
      <w:r w:rsidRPr="00BF5259">
        <w:rPr>
          <w:szCs w:val="19"/>
        </w:rPr>
        <w:t xml:space="preserve"> </w:t>
      </w:r>
    </w:p>
    <w:p w14:paraId="6D92CB0D" w14:textId="17DD4D2D" w:rsidR="00604BE6" w:rsidRPr="00BF5259" w:rsidRDefault="00604BE6" w:rsidP="00604BE6">
      <w:pPr>
        <w:pStyle w:val="NormalText"/>
        <w:rPr>
          <w:szCs w:val="19"/>
        </w:rPr>
      </w:pPr>
      <w:r w:rsidRPr="00BF5259">
        <w:rPr>
          <w:szCs w:val="19"/>
        </w:rPr>
        <w:t xml:space="preserve">US EPA (2019a). Paraquat Dichloride: Systematic review of the literature to evaluate the relationship between paraquat dichloride exposure and Parkinson’s disease.  </w:t>
      </w:r>
    </w:p>
    <w:p w14:paraId="043A87D1" w14:textId="0EF9B2FD" w:rsidR="00604BE6" w:rsidRPr="00BF5259" w:rsidRDefault="00604BE6" w:rsidP="00604BE6">
      <w:pPr>
        <w:pStyle w:val="NormalText"/>
        <w:rPr>
          <w:szCs w:val="19"/>
        </w:rPr>
      </w:pPr>
      <w:r w:rsidRPr="00BF5259">
        <w:rPr>
          <w:szCs w:val="19"/>
        </w:rPr>
        <w:t xml:space="preserve">US EPA (2019b). Paraquat Dichloride: Tier II Epidemiology Report. </w:t>
      </w:r>
    </w:p>
    <w:p w14:paraId="59D2493E" w14:textId="15B170B3" w:rsidR="00604BE6" w:rsidRPr="00BF5259" w:rsidRDefault="00604BE6" w:rsidP="00604BE6">
      <w:pPr>
        <w:pStyle w:val="NormalText"/>
        <w:rPr>
          <w:szCs w:val="19"/>
        </w:rPr>
      </w:pPr>
      <w:r w:rsidRPr="00BF5259">
        <w:rPr>
          <w:szCs w:val="19"/>
        </w:rPr>
        <w:t xml:space="preserve">US EPA (2019c) Paraquat Dichloride: Draft Human Health Risk Assessment in Support of Registration Review. </w:t>
      </w:r>
    </w:p>
    <w:p w14:paraId="06371A12" w14:textId="1D22C452" w:rsidR="00A51A5F" w:rsidRPr="00BF5259" w:rsidRDefault="00A51A5F" w:rsidP="00604BE6">
      <w:pPr>
        <w:pStyle w:val="NormalText"/>
        <w:rPr>
          <w:szCs w:val="19"/>
        </w:rPr>
      </w:pPr>
      <w:r w:rsidRPr="00BF5259">
        <w:rPr>
          <w:szCs w:val="19"/>
        </w:rPr>
        <w:t>US EPA, 2021(b). Occupational Pesticide Post-application Exposure Data and calculator (March 2021)</w:t>
      </w:r>
    </w:p>
    <w:p w14:paraId="339255DF" w14:textId="279ADBC4" w:rsidR="00604BE6" w:rsidRPr="00BF5259" w:rsidRDefault="00604BE6" w:rsidP="009A7378">
      <w:pPr>
        <w:pStyle w:val="NormalText"/>
        <w:rPr>
          <w:szCs w:val="19"/>
        </w:rPr>
      </w:pPr>
      <w:r w:rsidRPr="00BF5259">
        <w:rPr>
          <w:szCs w:val="19"/>
        </w:rPr>
        <w:t>US EPA (2025). PARAQUAT: Review of the Volatilization Potential of Paraquat from Field Uses</w:t>
      </w:r>
    </w:p>
    <w:p w14:paraId="33580764" w14:textId="5302F588" w:rsidR="009A7378" w:rsidRPr="00BF5259" w:rsidRDefault="009A7378" w:rsidP="009A7378">
      <w:pPr>
        <w:pStyle w:val="NormalText"/>
        <w:rPr>
          <w:szCs w:val="19"/>
        </w:rPr>
      </w:pPr>
      <w:r w:rsidRPr="00BF5259">
        <w:rPr>
          <w:szCs w:val="19"/>
        </w:rPr>
        <w:t>Vickers JA, Hurt AD, Bewick DW, 1989</w:t>
      </w:r>
      <w:r w:rsidR="00D94AC8" w:rsidRPr="00BF5259">
        <w:rPr>
          <w:szCs w:val="19"/>
        </w:rPr>
        <w:t>(</w:t>
      </w:r>
      <w:r w:rsidRPr="00BF5259">
        <w:rPr>
          <w:szCs w:val="19"/>
        </w:rPr>
        <w:t>a</w:t>
      </w:r>
      <w:r w:rsidR="00D94AC8" w:rsidRPr="00BF5259">
        <w:rPr>
          <w:szCs w:val="19"/>
        </w:rPr>
        <w:t>)</w:t>
      </w:r>
      <w:r w:rsidRPr="00BF5259">
        <w:rPr>
          <w:szCs w:val="19"/>
        </w:rPr>
        <w:t>. Paraquat: degradation in aerobic soil. Reference no. RJ0788B</w:t>
      </w:r>
      <w:r w:rsidR="00034E3A" w:rsidRPr="00BF5259">
        <w:rPr>
          <w:szCs w:val="19"/>
        </w:rPr>
        <w:t>.</w:t>
      </w:r>
    </w:p>
    <w:p w14:paraId="532057CD" w14:textId="3FD4462A" w:rsidR="009A7378" w:rsidRPr="00BF5259" w:rsidRDefault="009A7378" w:rsidP="009A7378">
      <w:pPr>
        <w:pStyle w:val="NormalText"/>
        <w:rPr>
          <w:szCs w:val="19"/>
        </w:rPr>
      </w:pPr>
      <w:r w:rsidRPr="00BF5259">
        <w:rPr>
          <w:szCs w:val="19"/>
        </w:rPr>
        <w:t>Vickers JA, Hurt AD, Bewick DW, 1989</w:t>
      </w:r>
      <w:r w:rsidR="00DE6E15" w:rsidRPr="00BF5259">
        <w:rPr>
          <w:szCs w:val="19"/>
        </w:rPr>
        <w:t>(</w:t>
      </w:r>
      <w:r w:rsidRPr="00BF5259">
        <w:rPr>
          <w:szCs w:val="19"/>
        </w:rPr>
        <w:t>b</w:t>
      </w:r>
      <w:r w:rsidR="00DE6E15" w:rsidRPr="00BF5259">
        <w:rPr>
          <w:szCs w:val="19"/>
        </w:rPr>
        <w:t>)</w:t>
      </w:r>
      <w:r w:rsidRPr="00BF5259">
        <w:rPr>
          <w:szCs w:val="19"/>
        </w:rPr>
        <w:t>. Paraquat: degradation in anaerobic soil. Reference no. RJ0810B</w:t>
      </w:r>
      <w:r w:rsidR="00034E3A" w:rsidRPr="00BF5259">
        <w:rPr>
          <w:szCs w:val="19"/>
        </w:rPr>
        <w:t>.</w:t>
      </w:r>
    </w:p>
    <w:p w14:paraId="147A0170" w14:textId="761C80DD" w:rsidR="004C40C5" w:rsidRPr="00BF5259" w:rsidRDefault="004C40C5" w:rsidP="004C40C5">
      <w:pPr>
        <w:pStyle w:val="APVMAText"/>
        <w:rPr>
          <w:rFonts w:ascii="Arial" w:hAnsi="Arial"/>
          <w:sz w:val="19"/>
          <w:szCs w:val="19"/>
        </w:rPr>
      </w:pPr>
      <w:r w:rsidRPr="00BF5259">
        <w:rPr>
          <w:rFonts w:ascii="Arial" w:hAnsi="Arial"/>
          <w:sz w:val="19"/>
          <w:szCs w:val="19"/>
        </w:rPr>
        <w:lastRenderedPageBreak/>
        <w:t>Vickers JA, Hurt AD and Bewick DW, 1990. Paraquat: Rotational Crop Study. Report No RJ 0867B.</w:t>
      </w:r>
    </w:p>
    <w:p w14:paraId="379CF556" w14:textId="317797AF" w:rsidR="004E3808" w:rsidRPr="00BF5259" w:rsidRDefault="004E3808" w:rsidP="004E3808">
      <w:pPr>
        <w:pStyle w:val="APVMAText"/>
        <w:rPr>
          <w:rFonts w:ascii="Arial" w:hAnsi="Arial"/>
          <w:sz w:val="19"/>
          <w:szCs w:val="19"/>
        </w:rPr>
      </w:pPr>
      <w:r w:rsidRPr="00BF5259">
        <w:rPr>
          <w:rFonts w:ascii="Arial" w:hAnsi="Arial"/>
          <w:sz w:val="19"/>
          <w:szCs w:val="19"/>
        </w:rPr>
        <w:t xml:space="preserve">Volz E, 2004. Diquat dibromide: acute toxicity to </w:t>
      </w:r>
      <w:r w:rsidRPr="00BF5259">
        <w:rPr>
          <w:rFonts w:ascii="Arial" w:hAnsi="Arial"/>
          <w:i/>
          <w:iCs/>
          <w:sz w:val="19"/>
          <w:szCs w:val="19"/>
        </w:rPr>
        <w:t>Daphnia magna</w:t>
      </w:r>
      <w:r w:rsidRPr="00BF5259">
        <w:rPr>
          <w:rFonts w:ascii="Arial" w:hAnsi="Arial"/>
          <w:sz w:val="19"/>
          <w:szCs w:val="19"/>
        </w:rPr>
        <w:t xml:space="preserve"> in a 48-hour immobilization test. Reference no. 857211</w:t>
      </w:r>
      <w:r w:rsidR="00034E3A" w:rsidRPr="00BF5259">
        <w:rPr>
          <w:rFonts w:ascii="Arial" w:hAnsi="Arial"/>
          <w:sz w:val="19"/>
          <w:szCs w:val="19"/>
        </w:rPr>
        <w:t>.</w:t>
      </w:r>
    </w:p>
    <w:p w14:paraId="5EEDC0FC" w14:textId="15607555" w:rsidR="004C40C5" w:rsidRPr="00BF5259" w:rsidRDefault="004C40C5" w:rsidP="004C40C5">
      <w:pPr>
        <w:pStyle w:val="APVMAText"/>
        <w:rPr>
          <w:rFonts w:ascii="Arial" w:hAnsi="Arial"/>
          <w:sz w:val="19"/>
          <w:szCs w:val="19"/>
        </w:rPr>
      </w:pPr>
      <w:r w:rsidRPr="00BF5259">
        <w:rPr>
          <w:rFonts w:ascii="Arial" w:hAnsi="Arial"/>
          <w:sz w:val="19"/>
          <w:szCs w:val="19"/>
        </w:rPr>
        <w:t>Wilkinson W, 1980. Paraquat: and Diquat: Long-term High Rate Trial, Frensham, UK. 1. Management of Site, Effect on Crops and Weeds and Residues in Crops. Report No RJ 0013B.</w:t>
      </w:r>
    </w:p>
    <w:p w14:paraId="0DE1AA66" w14:textId="3E88A83B" w:rsidR="00255E26" w:rsidRPr="00BF5259" w:rsidRDefault="00255E26" w:rsidP="00255E26">
      <w:pPr>
        <w:pStyle w:val="NormalText"/>
        <w:rPr>
          <w:szCs w:val="19"/>
        </w:rPr>
      </w:pPr>
      <w:r w:rsidRPr="00BF5259">
        <w:rPr>
          <w:szCs w:val="19"/>
        </w:rPr>
        <w:t>Walley JK, Calderbank A and McKenna RH, 1966. Bipyridylium Herbicides: Paraquat Grazing Trials - Horses and Cattle. Report No A.126,701</w:t>
      </w:r>
      <w:r w:rsidR="00034E3A" w:rsidRPr="00BF5259">
        <w:rPr>
          <w:szCs w:val="19"/>
        </w:rPr>
        <w:t>.</w:t>
      </w:r>
    </w:p>
    <w:p w14:paraId="764AE677" w14:textId="717CC100" w:rsidR="003C6DDF" w:rsidRPr="00BF5259" w:rsidRDefault="003C6DDF" w:rsidP="00255E26">
      <w:pPr>
        <w:pStyle w:val="NormalText"/>
        <w:rPr>
          <w:szCs w:val="19"/>
        </w:rPr>
      </w:pPr>
      <w:r w:rsidRPr="00BF5259">
        <w:rPr>
          <w:szCs w:val="19"/>
        </w:rPr>
        <w:t xml:space="preserve">Wang, D., Yu, T., Liu, Y., Yan, J., Guo, Y., Jing, Y., Yang, X., Song, Y. and Tian, Y. (2016) DNA damage preceding dopamine neuron degeneration in A53T human alpha-synuclein transgenic mice. Biochem Biophys Res Commun, 481, 104-110.13.    </w:t>
      </w:r>
    </w:p>
    <w:p w14:paraId="799B63EB" w14:textId="1BAAA259" w:rsidR="007F1120" w:rsidRPr="00BF5259" w:rsidRDefault="007F1120" w:rsidP="007F1120">
      <w:pPr>
        <w:pStyle w:val="NormalText"/>
        <w:rPr>
          <w:szCs w:val="19"/>
        </w:rPr>
      </w:pPr>
      <w:r w:rsidRPr="00BF5259">
        <w:rPr>
          <w:szCs w:val="19"/>
        </w:rPr>
        <w:t>Ward R, 1979. Paraquat and Diquat: Residues in Sunflower and Sorghum (Argentina). Report No. RIC3487, R3/33.</w:t>
      </w:r>
    </w:p>
    <w:p w14:paraId="69F35D63" w14:textId="77777777" w:rsidR="00AC7F42" w:rsidRPr="00BF5259" w:rsidRDefault="00AC7F42" w:rsidP="00AC7F42">
      <w:pPr>
        <w:pStyle w:val="NormalText"/>
        <w:rPr>
          <w:szCs w:val="19"/>
        </w:rPr>
      </w:pPr>
      <w:r w:rsidRPr="00BF5259">
        <w:rPr>
          <w:szCs w:val="19"/>
        </w:rPr>
        <w:t>Watts CHS, 1977. The foods eaten by some Australian rodents (Muridae). Aust Wildl Res 4: 151-157</w:t>
      </w:r>
    </w:p>
    <w:p w14:paraId="385282C5" w14:textId="77777777" w:rsidR="00AC7F42" w:rsidRPr="00BF5259" w:rsidRDefault="00AC7F42" w:rsidP="00AC7F42">
      <w:pPr>
        <w:pStyle w:val="APVMAText"/>
        <w:rPr>
          <w:rFonts w:ascii="Arial" w:hAnsi="Arial"/>
          <w:sz w:val="19"/>
          <w:szCs w:val="19"/>
        </w:rPr>
      </w:pPr>
      <w:r w:rsidRPr="00BF5259">
        <w:rPr>
          <w:rFonts w:ascii="Arial" w:hAnsi="Arial"/>
          <w:sz w:val="19"/>
          <w:szCs w:val="19"/>
        </w:rPr>
        <w:t xml:space="preserve">Watts CHS, Braithwaite RW, 1978. The diet of </w:t>
      </w:r>
      <w:r w:rsidRPr="00BF5259">
        <w:rPr>
          <w:rFonts w:ascii="Arial" w:hAnsi="Arial"/>
          <w:i/>
          <w:iCs/>
          <w:sz w:val="19"/>
          <w:szCs w:val="19"/>
        </w:rPr>
        <w:t>Rattus lutreolus</w:t>
      </w:r>
      <w:r w:rsidRPr="00BF5259">
        <w:rPr>
          <w:rFonts w:ascii="Arial" w:hAnsi="Arial"/>
          <w:sz w:val="19"/>
          <w:szCs w:val="19"/>
        </w:rPr>
        <w:t xml:space="preserve"> and five other rodents in Southern Victoria. Aust Wildl Res 5: 47-57</w:t>
      </w:r>
    </w:p>
    <w:p w14:paraId="1AD53076" w14:textId="4D949053" w:rsidR="009A7378" w:rsidRPr="00BF5259" w:rsidRDefault="009A7378" w:rsidP="009A7378">
      <w:pPr>
        <w:pStyle w:val="NormalText"/>
        <w:rPr>
          <w:szCs w:val="19"/>
        </w:rPr>
      </w:pPr>
      <w:r w:rsidRPr="00BF5259">
        <w:rPr>
          <w:szCs w:val="19"/>
        </w:rPr>
        <w:t>White GA, 2010. Paraquat dichloride: physical/chemical tests. Reference no. J17306</w:t>
      </w:r>
      <w:r w:rsidR="00034E3A" w:rsidRPr="00BF5259">
        <w:rPr>
          <w:szCs w:val="19"/>
        </w:rPr>
        <w:t>.</w:t>
      </w:r>
    </w:p>
    <w:p w14:paraId="011830FE" w14:textId="0BDDD416" w:rsidR="00746FCD" w:rsidRPr="00BF5259" w:rsidRDefault="00746FCD" w:rsidP="009A7378">
      <w:pPr>
        <w:pStyle w:val="NormalText"/>
        <w:rPr>
          <w:szCs w:val="19"/>
        </w:rPr>
      </w:pPr>
      <w:r w:rsidRPr="00BF5259">
        <w:rPr>
          <w:szCs w:val="19"/>
        </w:rPr>
        <w:t>WHO, 1984. Paraquat and Diquat. Environmental Health Criteria</w:t>
      </w:r>
      <w:r w:rsidR="00034E3A" w:rsidRPr="00BF5259">
        <w:rPr>
          <w:szCs w:val="19"/>
        </w:rPr>
        <w:t>.</w:t>
      </w:r>
    </w:p>
    <w:p w14:paraId="28D21833" w14:textId="2333064C" w:rsidR="00A47E5E" w:rsidRPr="00BF5259" w:rsidRDefault="00A47E5E" w:rsidP="009A7378">
      <w:pPr>
        <w:pStyle w:val="NormalText"/>
        <w:rPr>
          <w:szCs w:val="19"/>
        </w:rPr>
      </w:pPr>
      <w:r w:rsidRPr="00BF5259">
        <w:rPr>
          <w:szCs w:val="19"/>
        </w:rPr>
        <w:t>WHO, 2008. Consultations and workshops: Dietary Exposure Assessment of Chemicals in Food: Report of a joint FAO/WHO Consultation, Annapolis, Maryland, USA, 2-6 May 2005.</w:t>
      </w:r>
    </w:p>
    <w:p w14:paraId="1FFEABFD" w14:textId="1FC7D774" w:rsidR="007F1120" w:rsidRPr="00BF5259" w:rsidRDefault="007F1120" w:rsidP="007F1120">
      <w:pPr>
        <w:pStyle w:val="NormalText"/>
        <w:rPr>
          <w:szCs w:val="19"/>
        </w:rPr>
      </w:pPr>
      <w:r w:rsidRPr="00BF5259">
        <w:rPr>
          <w:szCs w:val="19"/>
        </w:rPr>
        <w:t>Wilde DJ, 1978. Residue Data Sheet: Paraquat Sesame Venezuela.</w:t>
      </w:r>
    </w:p>
    <w:p w14:paraId="7FB0E24D" w14:textId="77777777" w:rsidR="009A7378" w:rsidRPr="00BF5259" w:rsidRDefault="009A7378" w:rsidP="009A7378">
      <w:pPr>
        <w:pStyle w:val="NormalText"/>
        <w:rPr>
          <w:szCs w:val="19"/>
        </w:rPr>
      </w:pPr>
      <w:r w:rsidRPr="00BF5259">
        <w:rPr>
          <w:szCs w:val="19"/>
        </w:rPr>
        <w:t>Wilkinson W, Edwards PJ, 1993. Paraquat: long-term ecological trial at Jealott’s Hill, UK, 1964-1990. 5. Effect on earthworms (Lumbricidae) and potworms (Enchytraeidae), and residues in earthworms and slugs. Reference no. TMJ3056B</w:t>
      </w:r>
    </w:p>
    <w:p w14:paraId="16679A8D" w14:textId="44D128FB" w:rsidR="00AC7F42" w:rsidRPr="00BF5259" w:rsidRDefault="007F1120" w:rsidP="007F1120">
      <w:pPr>
        <w:pStyle w:val="NormalText"/>
        <w:rPr>
          <w:szCs w:val="19"/>
        </w:rPr>
      </w:pPr>
      <w:r w:rsidRPr="00BF5259">
        <w:rPr>
          <w:szCs w:val="19"/>
        </w:rPr>
        <w:t>Williams I, 1989(a). Residue Data Sheets, Paraquat, Peanuts, Kingaroy, Australia.</w:t>
      </w:r>
    </w:p>
    <w:p w14:paraId="45935570" w14:textId="1F310582" w:rsidR="008B550C" w:rsidRPr="00BF5259" w:rsidRDefault="007F1120" w:rsidP="002E0803">
      <w:pPr>
        <w:pStyle w:val="NormalText"/>
        <w:keepNext/>
        <w:keepLines/>
        <w:tabs>
          <w:tab w:val="left" w:pos="2058"/>
        </w:tabs>
        <w:spacing w:before="0" w:after="80" w:line="360" w:lineRule="exact"/>
        <w:rPr>
          <w:szCs w:val="19"/>
        </w:rPr>
      </w:pPr>
      <w:r w:rsidRPr="00BF5259">
        <w:rPr>
          <w:szCs w:val="19"/>
        </w:rPr>
        <w:t>Williams I, 1989(b). Residue Data Sheets, Paraquat/Diquat, Peanuts, Kingaroy, Australia.</w:t>
      </w:r>
      <w:bookmarkEnd w:id="777"/>
      <w:bookmarkEnd w:id="778"/>
    </w:p>
    <w:p w14:paraId="06DF8508" w14:textId="77777777" w:rsidR="00AC7F42" w:rsidRPr="00BF5259" w:rsidRDefault="00AC7F42" w:rsidP="00AC7F42">
      <w:pPr>
        <w:pStyle w:val="NormalText"/>
        <w:rPr>
          <w:szCs w:val="19"/>
        </w:rPr>
      </w:pPr>
      <w:r w:rsidRPr="00BF5259">
        <w:rPr>
          <w:szCs w:val="19"/>
        </w:rPr>
        <w:t>Wilson J, Whisson D, 1993. The management of rodents in North Queensland canefields. BSES Limited Publication.</w:t>
      </w:r>
    </w:p>
    <w:p w14:paraId="03B6884D" w14:textId="34EA9A1F" w:rsidR="00C86799" w:rsidRPr="00BF5259" w:rsidRDefault="00C86799" w:rsidP="00C86799">
      <w:pPr>
        <w:pStyle w:val="NormalText"/>
        <w:keepNext/>
        <w:keepLines/>
        <w:tabs>
          <w:tab w:val="left" w:pos="2058"/>
        </w:tabs>
        <w:spacing w:before="0" w:after="80" w:line="360" w:lineRule="exact"/>
        <w:rPr>
          <w:szCs w:val="19"/>
        </w:rPr>
      </w:pPr>
      <w:r w:rsidRPr="00BF5259">
        <w:rPr>
          <w:szCs w:val="19"/>
        </w:rPr>
        <w:lastRenderedPageBreak/>
        <w:t xml:space="preserve">Woolsgrove BW, 1983. Paraquat: Combined toxicity and carcinogenicity study in rats. Report no: 82/ILY217/328 </w:t>
      </w:r>
    </w:p>
    <w:p w14:paraId="665DAE83" w14:textId="4570F7A5" w:rsidR="00C86799" w:rsidRPr="00BF5259" w:rsidRDefault="00C86799" w:rsidP="00C86799">
      <w:pPr>
        <w:pStyle w:val="NormalText"/>
        <w:keepNext/>
        <w:keepLines/>
        <w:tabs>
          <w:tab w:val="left" w:pos="2058"/>
        </w:tabs>
        <w:spacing w:before="0" w:after="80" w:line="360" w:lineRule="exact"/>
        <w:rPr>
          <w:szCs w:val="19"/>
        </w:rPr>
      </w:pPr>
      <w:r w:rsidRPr="00BF5259">
        <w:rPr>
          <w:szCs w:val="19"/>
        </w:rPr>
        <w:t>Woolsgrove BW and Ashby R, 1985. Paraquat: Combined toxicity and carcinogenicity study in rats. Supplementary information on numbers of protocol tissues examined. Amended supplement to LSR Report no: 82/ILY217/328.</w:t>
      </w:r>
      <w:bookmarkEnd w:id="779"/>
    </w:p>
    <w:p w14:paraId="55868B1F" w14:textId="32782004" w:rsidR="00604BE6" w:rsidRPr="00BF5259" w:rsidRDefault="00E12793" w:rsidP="00E12793">
      <w:pPr>
        <w:pStyle w:val="NormalText"/>
        <w:keepNext/>
        <w:keepLines/>
        <w:tabs>
          <w:tab w:val="left" w:pos="2058"/>
        </w:tabs>
        <w:spacing w:before="0" w:after="80" w:line="360" w:lineRule="exact"/>
        <w:rPr>
          <w:szCs w:val="19"/>
        </w:rPr>
      </w:pPr>
      <w:r w:rsidRPr="00BF5259">
        <w:rPr>
          <w:szCs w:val="19"/>
        </w:rPr>
        <w:t>Yuan Y, Shrestha S, Luo Z, Li C, Plassman BL, Parks CG, Hofmann JN, Beane Freeman LE, Sandler DP, Chen H. High Pesticide Exposure Events and Dream-Enacting Behaviors Among US Farmers. Mov Disord. 2022 May;37(5):962-971.</w:t>
      </w:r>
    </w:p>
    <w:sectPr w:rsidR="00604BE6" w:rsidRPr="00BF5259">
      <w:headerReference w:type="even" r:id="rId76"/>
      <w:headerReference w:type="default" r:id="rId7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29F1" w14:textId="77777777" w:rsidR="00506D7A" w:rsidRDefault="00506D7A">
      <w:r>
        <w:separator/>
      </w:r>
    </w:p>
    <w:p w14:paraId="6047DBDD" w14:textId="77777777" w:rsidR="00506D7A" w:rsidRDefault="00506D7A"/>
    <w:p w14:paraId="3FCA9AE8" w14:textId="77777777" w:rsidR="00506D7A" w:rsidRDefault="00506D7A"/>
  </w:endnote>
  <w:endnote w:type="continuationSeparator" w:id="0">
    <w:p w14:paraId="1B187823" w14:textId="77777777" w:rsidR="00506D7A" w:rsidRDefault="00506D7A">
      <w:r>
        <w:continuationSeparator/>
      </w:r>
    </w:p>
    <w:p w14:paraId="14C594C2" w14:textId="77777777" w:rsidR="00506D7A" w:rsidRDefault="00506D7A"/>
    <w:p w14:paraId="7AE8993C" w14:textId="77777777" w:rsidR="00506D7A" w:rsidRDefault="00506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F796" w14:textId="77777777" w:rsidR="00B014D2" w:rsidRPr="003D7941" w:rsidRDefault="00B014D2" w:rsidP="003D7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DD42" w14:textId="77777777" w:rsidR="00506D7A" w:rsidRDefault="00506D7A">
      <w:r>
        <w:separator/>
      </w:r>
    </w:p>
  </w:footnote>
  <w:footnote w:type="continuationSeparator" w:id="0">
    <w:p w14:paraId="7AD724FE" w14:textId="77777777" w:rsidR="00506D7A" w:rsidRDefault="00506D7A">
      <w:pPr>
        <w:spacing w:line="180" w:lineRule="exact"/>
      </w:pPr>
      <w:r>
        <w:continuationSeparator/>
      </w:r>
    </w:p>
    <w:p w14:paraId="2AB32860" w14:textId="77777777" w:rsidR="00506D7A" w:rsidRDefault="00506D7A"/>
    <w:p w14:paraId="3620A758" w14:textId="77777777" w:rsidR="00506D7A" w:rsidRDefault="00506D7A"/>
  </w:footnote>
  <w:footnote w:type="continuationNotice" w:id="1">
    <w:p w14:paraId="0280F66C" w14:textId="77777777" w:rsidR="00506D7A" w:rsidRDefault="00506D7A"/>
    <w:p w14:paraId="287A3BB1" w14:textId="77777777" w:rsidR="00506D7A" w:rsidRDefault="00506D7A"/>
    <w:p w14:paraId="7450C074" w14:textId="77777777" w:rsidR="00506D7A" w:rsidRDefault="00506D7A"/>
  </w:footnote>
  <w:footnote w:id="2">
    <w:p w14:paraId="7058A6F2" w14:textId="656688C2" w:rsidR="003D620E" w:rsidRDefault="003D620E" w:rsidP="003D620E">
      <w:pPr>
        <w:pStyle w:val="FootnoteText"/>
      </w:pPr>
      <w:r>
        <w:rPr>
          <w:rStyle w:val="FootnoteReference"/>
        </w:rPr>
        <w:footnoteRef/>
      </w:r>
      <w:r>
        <w:t xml:space="preserve">Mode of Action tables maintained by Croplife are available at the link below (accessed May 2026) </w:t>
      </w:r>
      <w:hyperlink r:id="rId1" w:history="1">
        <w:r w:rsidRPr="00B6571C">
          <w:rPr>
            <w:rStyle w:val="Hyperlink"/>
          </w:rPr>
          <w:t>https://www.croplife.org.au/resources/programs/resistance-management/herbicide-moa-table-4/</w:t>
        </w:r>
      </w:hyperlink>
      <w:r>
        <w:t xml:space="preserve"> </w:t>
      </w:r>
    </w:p>
  </w:footnote>
  <w:footnote w:id="3">
    <w:p w14:paraId="30B793E2" w14:textId="56015174" w:rsidR="00EB6047" w:rsidRDefault="00EB6047" w:rsidP="00BC7F18">
      <w:pPr>
        <w:pStyle w:val="SourceTableNote"/>
      </w:pPr>
      <w:r>
        <w:rPr>
          <w:rStyle w:val="FootnoteReference"/>
        </w:rPr>
        <w:footnoteRef/>
      </w:r>
      <w:r>
        <w:t xml:space="preserve"> </w:t>
      </w:r>
      <w:r w:rsidRPr="00D63217">
        <w:t>As a NOAEL from an animal study was used to estimate risks, an acceptable MOE ≥ 100 was considered acceptable. This value is based on a 10-fold uncertainty factor (UF) for intra-species and 10-fold UF for inter-species differences.</w:t>
      </w:r>
    </w:p>
  </w:footnote>
  <w:footnote w:id="4">
    <w:p w14:paraId="7E1789FF" w14:textId="123A4E7D" w:rsidR="00D87FA4" w:rsidRDefault="00D87FA4" w:rsidP="00D87FA4">
      <w:pPr>
        <w:pStyle w:val="FootnoteText"/>
      </w:pPr>
      <w:r>
        <w:rPr>
          <w:rStyle w:val="FootnoteReference"/>
        </w:rPr>
        <w:footnoteRef/>
      </w:r>
      <w:r>
        <w:t xml:space="preserve"> </w:t>
      </w:r>
      <w:r w:rsidR="00883B13">
        <w:t>A</w:t>
      </w:r>
      <w:r w:rsidR="00AD5A34">
        <w:t xml:space="preserve">lthough </w:t>
      </w:r>
      <w:r>
        <w:t xml:space="preserve">mixer/loader exposure is acceptable with open mixing/loading with the specified PPE for certain uses, closed mixing/loading is </w:t>
      </w:r>
      <w:r w:rsidR="006C5342">
        <w:t xml:space="preserve">required </w:t>
      </w:r>
      <w:r w:rsidR="00AD5A34">
        <w:t>for all uses</w:t>
      </w:r>
      <w:r>
        <w:t xml:space="preserve"> to minimise the likelihood of decanting into unacceptable containers </w:t>
      </w:r>
      <w:r w:rsidR="00541FEC">
        <w:t xml:space="preserve">which may lead to </w:t>
      </w:r>
      <w:r>
        <w:t>consequential accidental exposure.</w:t>
      </w:r>
    </w:p>
  </w:footnote>
  <w:footnote w:id="5">
    <w:p w14:paraId="7D644C3A" w14:textId="6D76A4D1" w:rsidR="0026037A" w:rsidRDefault="0026037A" w:rsidP="0026037A">
      <w:pPr>
        <w:pStyle w:val="FootnoteText"/>
      </w:pPr>
      <w:r>
        <w:rPr>
          <w:rStyle w:val="FootnoteReference"/>
        </w:rPr>
        <w:footnoteRef/>
      </w:r>
      <w:r>
        <w:t xml:space="preserve"> Note that</w:t>
      </w:r>
      <w:r w:rsidR="00AD5A34">
        <w:t xml:space="preserve"> although</w:t>
      </w:r>
      <w:r>
        <w:t xml:space="preserve"> mixer/loader exposure is acceptable with open mixing/loading with the specified PPE for certain uses, </w:t>
      </w:r>
      <w:r w:rsidR="005D6792">
        <w:t>en</w:t>
      </w:r>
      <w:r>
        <w:t xml:space="preserve">closed mixing/loading is </w:t>
      </w:r>
      <w:r w:rsidR="006C5342">
        <w:t xml:space="preserve">required for </w:t>
      </w:r>
      <w:r w:rsidR="00AD5A34">
        <w:t>all uses</w:t>
      </w:r>
      <w:r>
        <w:t xml:space="preserve"> to minimise the likelihood of decanting into unacceptable containers which may lead to consequential accidental exposure.</w:t>
      </w:r>
    </w:p>
  </w:footnote>
  <w:footnote w:id="6">
    <w:p w14:paraId="7A6AA7E4" w14:textId="4EB13B57" w:rsidR="00C0077E" w:rsidRDefault="00C0077E">
      <w:pPr>
        <w:pStyle w:val="FootnoteText"/>
      </w:pPr>
      <w:r>
        <w:rPr>
          <w:rStyle w:val="FootnoteReference"/>
        </w:rPr>
        <w:footnoteRef/>
      </w:r>
      <w:r>
        <w:t xml:space="preserve"> </w:t>
      </w:r>
      <w:r w:rsidRPr="00C0077E">
        <w:t>https://www.apvma.gov.au/crop-groups</w:t>
      </w:r>
    </w:p>
  </w:footnote>
  <w:footnote w:id="7">
    <w:p w14:paraId="6FDEDFD7" w14:textId="77777777" w:rsidR="00130AB3" w:rsidRDefault="00130AB3" w:rsidP="00130AB3">
      <w:pPr>
        <w:pStyle w:val="FootnoteText"/>
      </w:pPr>
      <w:r>
        <w:rPr>
          <w:rStyle w:val="FootnoteReference"/>
        </w:rPr>
        <w:footnoteRef/>
      </w:r>
      <w:r>
        <w:t xml:space="preserve"> Food and Agriculture Organisation of the United Nations (FAO), 2023. </w:t>
      </w:r>
      <w:hyperlink r:id="rId2" w:history="1">
        <w:r w:rsidRPr="00FD3FA5">
          <w:rPr>
            <w:rStyle w:val="Hyperlink"/>
            <w:i/>
          </w:rPr>
          <w:t>Codex Alimentarius, International Food Standards</w:t>
        </w:r>
        <w:r w:rsidRPr="00FD3FA5">
          <w:rPr>
            <w:rStyle w:val="Hyperlink"/>
          </w:rPr>
          <w:t>,</w:t>
        </w:r>
      </w:hyperlink>
      <w:r>
        <w:t xml:space="preserve"> FAO website, accessed December 2023.</w:t>
      </w:r>
    </w:p>
  </w:footnote>
  <w:footnote w:id="8">
    <w:p w14:paraId="543E347D" w14:textId="77777777" w:rsidR="00130AB3" w:rsidRDefault="00130AB3" w:rsidP="00130AB3">
      <w:pPr>
        <w:pStyle w:val="FootnoteText"/>
      </w:pPr>
      <w:r>
        <w:rPr>
          <w:rStyle w:val="FootnoteReference"/>
        </w:rPr>
        <w:footnoteRef/>
      </w:r>
      <w:r>
        <w:t xml:space="preserve"> European Commission (EC), </w:t>
      </w:r>
      <w:hyperlink r:id="rId3" w:history="1">
        <w:r w:rsidRPr="00C10312">
          <w:rPr>
            <w:rStyle w:val="Hyperlink"/>
            <w:i/>
          </w:rPr>
          <w:t>EU Pesticides Database</w:t>
        </w:r>
      </w:hyperlink>
      <w:r w:rsidRPr="009118FF">
        <w:t>,</w:t>
      </w:r>
      <w:r>
        <w:t xml:space="preserve"> EC website, accessed December 2023.</w:t>
      </w:r>
    </w:p>
  </w:footnote>
  <w:footnote w:id="9">
    <w:p w14:paraId="71708323" w14:textId="77777777" w:rsidR="00130AB3" w:rsidRDefault="00130AB3" w:rsidP="00130AB3">
      <w:pPr>
        <w:pStyle w:val="FootnoteText"/>
      </w:pPr>
      <w:r>
        <w:rPr>
          <w:rStyle w:val="FootnoteReference"/>
        </w:rPr>
        <w:footnoteRef/>
      </w:r>
      <w:r>
        <w:t xml:space="preserve"> Japanese Food Chemistry Research Foundation (JFCRPF), 2023. </w:t>
      </w:r>
      <w:hyperlink r:id="rId4" w:history="1">
        <w:r w:rsidRPr="00FD3FA5">
          <w:rPr>
            <w:rStyle w:val="Hyperlink"/>
            <w:i/>
          </w:rPr>
          <w:t>Table of MRLs for Agricultural Chemicals,</w:t>
        </w:r>
      </w:hyperlink>
      <w:r>
        <w:rPr>
          <w:i/>
        </w:rPr>
        <w:t xml:space="preserve"> </w:t>
      </w:r>
      <w:r>
        <w:t>JFCRPF website, accessed December 2023.</w:t>
      </w:r>
    </w:p>
  </w:footnote>
  <w:footnote w:id="10">
    <w:p w14:paraId="0463CCDB" w14:textId="77777777" w:rsidR="00130AB3" w:rsidRDefault="00130AB3" w:rsidP="00130AB3">
      <w:pPr>
        <w:pStyle w:val="FootnoteText"/>
      </w:pPr>
      <w:r>
        <w:rPr>
          <w:rStyle w:val="FootnoteReference"/>
        </w:rPr>
        <w:footnoteRef/>
      </w:r>
      <w:r>
        <w:t xml:space="preserve"> Ministry of Food and Drug Safety Korea, 2023. </w:t>
      </w:r>
      <w:hyperlink r:id="rId5" w:history="1">
        <w:r w:rsidRPr="00E534D3">
          <w:rPr>
            <w:rStyle w:val="Hyperlink"/>
            <w:i/>
            <w:iCs/>
          </w:rPr>
          <w:t>MRLs in Pesticides</w:t>
        </w:r>
      </w:hyperlink>
      <w:r>
        <w:t>, accessed December 2023.</w:t>
      </w:r>
    </w:p>
  </w:footnote>
  <w:footnote w:id="11">
    <w:p w14:paraId="03B699D8" w14:textId="77777777" w:rsidR="00130AB3" w:rsidRDefault="00130AB3" w:rsidP="00130AB3">
      <w:pPr>
        <w:pStyle w:val="FootnoteText"/>
      </w:pPr>
      <w:r>
        <w:rPr>
          <w:rStyle w:val="FootnoteReference"/>
        </w:rPr>
        <w:footnoteRef/>
      </w:r>
      <w:r>
        <w:t xml:space="preserve"> Laws &amp; Regulations Database of the Republic of China (Taiwan),2023. </w:t>
      </w:r>
      <w:hyperlink r:id="rId6" w:history="1">
        <w:r w:rsidRPr="00E534D3">
          <w:rPr>
            <w:rStyle w:val="Hyperlink"/>
            <w:i/>
            <w:iCs/>
          </w:rPr>
          <w:t>Standards for Pesticide Residue Limits in Foods</w:t>
        </w:r>
      </w:hyperlink>
      <w:r>
        <w:t>, accessed December 2023.</w:t>
      </w:r>
    </w:p>
  </w:footnote>
  <w:footnote w:id="12">
    <w:p w14:paraId="0F38B45C" w14:textId="77777777" w:rsidR="00130AB3" w:rsidRDefault="00130AB3" w:rsidP="00130AB3">
      <w:pPr>
        <w:pStyle w:val="FootnoteText"/>
      </w:pPr>
      <w:r>
        <w:rPr>
          <w:rStyle w:val="FootnoteReference"/>
        </w:rPr>
        <w:footnoteRef/>
      </w:r>
      <w:r>
        <w:t xml:space="preserve"> Electronic Code of Federal Regulations (</w:t>
      </w:r>
      <w:r w:rsidRPr="00FD3FA5">
        <w:t>eCFR</w:t>
      </w:r>
      <w:r>
        <w:t>), 2023.</w:t>
      </w:r>
      <w:r w:rsidRPr="00FD3FA5">
        <w:rPr>
          <w:i/>
        </w:rPr>
        <w:t xml:space="preserve"> </w:t>
      </w:r>
      <w:hyperlink r:id="rId7" w:history="1">
        <w:r w:rsidRPr="00FD3FA5">
          <w:rPr>
            <w:rStyle w:val="Hyperlink"/>
            <w:i/>
          </w:rPr>
          <w:t>USA Electronic Code of Federal Regulations,</w:t>
        </w:r>
      </w:hyperlink>
      <w:r>
        <w:rPr>
          <w:i/>
        </w:rPr>
        <w:t xml:space="preserve"> </w:t>
      </w:r>
      <w:r w:rsidRPr="00FD3FA5">
        <w:t>eCFR</w:t>
      </w:r>
      <w:r>
        <w:t xml:space="preserve"> website, accessed December 2023.</w:t>
      </w:r>
    </w:p>
  </w:footnote>
  <w:footnote w:id="13">
    <w:p w14:paraId="350D255C" w14:textId="1F108221" w:rsidR="00301113" w:rsidRPr="00301113" w:rsidRDefault="00301113">
      <w:pPr>
        <w:pStyle w:val="FootnoteText"/>
        <w:rPr>
          <w:lang w:val="en-GB"/>
        </w:rPr>
      </w:pPr>
      <w:r>
        <w:rPr>
          <w:rStyle w:val="FootnoteReference"/>
        </w:rPr>
        <w:footnoteRef/>
      </w:r>
      <w:r>
        <w:t xml:space="preserve"> </w:t>
      </w:r>
      <w:r>
        <w:rPr>
          <w:lang w:val="en-GB"/>
        </w:rPr>
        <w:t>For products containing</w:t>
      </w:r>
      <w:r w:rsidR="00C417CD">
        <w:rPr>
          <w:lang w:val="en-GB"/>
        </w:rPr>
        <w:t xml:space="preserve"> only</w:t>
      </w:r>
      <w:r>
        <w:rPr>
          <w:lang w:val="en-GB"/>
        </w:rPr>
        <w:t xml:space="preserve"> paraquat categorisation is based on the broad use type</w:t>
      </w:r>
      <w:r w:rsidR="00C417CD">
        <w:rPr>
          <w:lang w:val="en-GB"/>
        </w:rPr>
        <w:t>. F</w:t>
      </w:r>
      <w:r>
        <w:rPr>
          <w:lang w:val="en-GB"/>
        </w:rPr>
        <w:t>or mixed active products the categor</w:t>
      </w:r>
      <w:r w:rsidR="00C417CD">
        <w:rPr>
          <w:lang w:val="en-GB"/>
        </w:rPr>
        <w:t>ies</w:t>
      </w:r>
      <w:r>
        <w:rPr>
          <w:lang w:val="en-GB"/>
        </w:rPr>
        <w:t xml:space="preserve"> group use situations associated with specific combinations of actives (irrespective of the broader use type)</w:t>
      </w:r>
    </w:p>
  </w:footnote>
  <w:footnote w:id="14">
    <w:p w14:paraId="33F9C17D" w14:textId="092C077E" w:rsidR="000C05C7" w:rsidRDefault="000C05C7" w:rsidP="000C05C7">
      <w:pPr>
        <w:pStyle w:val="FootnoteText"/>
        <w:spacing w:before="0" w:line="240" w:lineRule="auto"/>
      </w:pPr>
      <w:r>
        <w:rPr>
          <w:rStyle w:val="FootnoteReference"/>
        </w:rPr>
        <w:footnoteRef/>
      </w:r>
      <w:r>
        <w:t xml:space="preserve"> Includes spray topping to prevent ryegrass toxicity</w:t>
      </w:r>
    </w:p>
  </w:footnote>
  <w:footnote w:id="15">
    <w:p w14:paraId="6B433D78" w14:textId="77777777" w:rsidR="00643E20" w:rsidRDefault="00643E20" w:rsidP="005F322A">
      <w:pPr>
        <w:pStyle w:val="FootnoteText"/>
        <w:spacing w:before="0" w:line="240" w:lineRule="auto"/>
      </w:pPr>
      <w:r>
        <w:rPr>
          <w:rStyle w:val="FootnoteReference"/>
        </w:rPr>
        <w:footnoteRef/>
      </w:r>
      <w:r>
        <w:t xml:space="preserve"> </w:t>
      </w:r>
      <w:r w:rsidRPr="00CA642A">
        <w:t>Assuming a maximum of 40% of an orchard is treated, each application is equivalent to 1</w:t>
      </w:r>
      <w:r>
        <w:t>3</w:t>
      </w:r>
      <w:r w:rsidRPr="00CA642A">
        <w:t>0 g ac/ha across the entire orchard</w:t>
      </w:r>
    </w:p>
  </w:footnote>
  <w:footnote w:id="16">
    <w:p w14:paraId="241272A5" w14:textId="77777777" w:rsidR="007B375C" w:rsidRPr="00464329" w:rsidRDefault="007B375C" w:rsidP="007B375C">
      <w:pPr>
        <w:pStyle w:val="FootnoteText"/>
        <w:rPr>
          <w:lang w:val="en-GB"/>
        </w:rPr>
      </w:pPr>
      <w:r>
        <w:rPr>
          <w:rStyle w:val="FootnoteReference"/>
        </w:rPr>
        <w:footnoteRef/>
      </w:r>
      <w:r>
        <w:t xml:space="preserve"> </w:t>
      </w:r>
      <w:r>
        <w:rPr>
          <w:lang w:val="en-GB"/>
        </w:rPr>
        <w:t>Consistent with EFSA (2013)</w:t>
      </w:r>
    </w:p>
  </w:footnote>
  <w:footnote w:id="17">
    <w:p w14:paraId="6C035DB6" w14:textId="39BDD666" w:rsidR="007B375C" w:rsidRPr="007B375C" w:rsidRDefault="007B375C">
      <w:pPr>
        <w:pStyle w:val="FootnoteText"/>
        <w:rPr>
          <w:lang w:val="en-GB"/>
        </w:rPr>
      </w:pPr>
      <w:r>
        <w:rPr>
          <w:rStyle w:val="FootnoteReference"/>
        </w:rPr>
        <w:footnoteRef/>
      </w:r>
      <w:r>
        <w:t xml:space="preserve"> </w:t>
      </w:r>
      <w:r>
        <w:rPr>
          <w:lang w:val="en-GB"/>
        </w:rPr>
        <w:t>Calculated using Shinyssdtools (Version 0.4.0) (</w:t>
      </w:r>
      <w:r w:rsidRPr="00521F3A">
        <w:t>Dalgarno</w:t>
      </w:r>
      <w:r>
        <w:t xml:space="preserve"> 2021; </w:t>
      </w:r>
      <w:hyperlink r:id="rId8" w:history="1">
        <w:r w:rsidRPr="00B51DC0">
          <w:rPr>
            <w:rStyle w:val="Hyperlink"/>
          </w:rPr>
          <w:t>https://bcgov-env.shinyapps.io/ssdtools/</w:t>
        </w:r>
      </w:hyperlink>
      <w:r>
        <w:t>)</w:t>
      </w:r>
    </w:p>
  </w:footnote>
  <w:footnote w:id="18">
    <w:p w14:paraId="64133A94" w14:textId="25A8CF0C" w:rsidR="008A42E8" w:rsidRPr="008A42E8" w:rsidRDefault="008A42E8">
      <w:pPr>
        <w:pStyle w:val="FootnoteText"/>
        <w:rPr>
          <w:lang w:val="en-GB"/>
        </w:rPr>
      </w:pPr>
      <w:r>
        <w:rPr>
          <w:rStyle w:val="FootnoteReference"/>
        </w:rPr>
        <w:footnoteRef/>
      </w:r>
      <w:r>
        <w:t xml:space="preserve"> </w:t>
      </w:r>
      <w:r>
        <w:rPr>
          <w:lang w:val="en-GB"/>
        </w:rPr>
        <w:t>Calculated using Shinyssdtools (Version 0.4.0) (</w:t>
      </w:r>
      <w:r w:rsidRPr="00521F3A">
        <w:t>Dalgarno</w:t>
      </w:r>
      <w:r>
        <w:t xml:space="preserve"> 2021; </w:t>
      </w:r>
      <w:hyperlink r:id="rId9" w:history="1">
        <w:r w:rsidRPr="00B51DC0">
          <w:rPr>
            <w:rStyle w:val="Hyperlink"/>
          </w:rPr>
          <w:t>https://bcgov-env.shinyapps.io/ssdtools/</w:t>
        </w:r>
      </w:hyperlink>
      <w:r>
        <w:t>)</w:t>
      </w:r>
    </w:p>
  </w:footnote>
  <w:footnote w:id="19">
    <w:p w14:paraId="438AF64E" w14:textId="6A7307DA" w:rsidR="0054150E" w:rsidRPr="0054150E" w:rsidRDefault="0054150E">
      <w:pPr>
        <w:pStyle w:val="FootnoteText"/>
        <w:rPr>
          <w:lang w:val="en-GB"/>
        </w:rPr>
      </w:pPr>
      <w:r>
        <w:rPr>
          <w:rStyle w:val="FootnoteReference"/>
        </w:rPr>
        <w:footnoteRef/>
      </w:r>
      <w:r>
        <w:t xml:space="preserve"> </w:t>
      </w:r>
      <w:r>
        <w:rPr>
          <w:lang w:val="en-GB"/>
        </w:rPr>
        <w:t>Values in parentheses are the rates adjusted for the fraction of the field treated (FFT)</w:t>
      </w:r>
    </w:p>
  </w:footnote>
  <w:footnote w:id="20">
    <w:p w14:paraId="1FF34002" w14:textId="607F1F61" w:rsidR="00A0348D" w:rsidRPr="00A0348D" w:rsidRDefault="00A0348D">
      <w:pPr>
        <w:pStyle w:val="FootnoteText"/>
        <w:rPr>
          <w:lang w:val="en-GB"/>
        </w:rPr>
      </w:pPr>
      <w:r>
        <w:rPr>
          <w:rStyle w:val="FootnoteReference"/>
        </w:rPr>
        <w:footnoteRef/>
      </w:r>
      <w:r>
        <w:t xml:space="preserve"> </w:t>
      </w:r>
      <w:r>
        <w:rPr>
          <w:lang w:val="en-GB"/>
        </w:rPr>
        <w:t xml:space="preserve">The maximum supported rate represents the application rate per application, for the stated number of applications and interval (e.g. for 2 applications and a </w:t>
      </w:r>
      <w:r w:rsidR="00DC7C17">
        <w:rPr>
          <w:lang w:val="en-GB"/>
        </w:rPr>
        <w:t>7-day</w:t>
      </w:r>
      <w:r>
        <w:rPr>
          <w:lang w:val="en-GB"/>
        </w:rPr>
        <w:t xml:space="preserve"> interval a maximum rate of 144 g ac/ha would be per application, for this number of applications and interval)</w:t>
      </w:r>
    </w:p>
  </w:footnote>
  <w:footnote w:id="21">
    <w:p w14:paraId="0953F80D" w14:textId="2703B828" w:rsidR="0054150E" w:rsidRPr="0054150E" w:rsidRDefault="0054150E">
      <w:pPr>
        <w:pStyle w:val="FootnoteText"/>
        <w:rPr>
          <w:lang w:val="en-GB"/>
        </w:rPr>
      </w:pPr>
      <w:r>
        <w:rPr>
          <w:rStyle w:val="FootnoteReference"/>
        </w:rPr>
        <w:footnoteRef/>
      </w:r>
      <w:r>
        <w:t xml:space="preserve"> </w:t>
      </w:r>
      <w:r>
        <w:rPr>
          <w:lang w:val="en-GB"/>
        </w:rPr>
        <w:t>Where grazing occurs immediately before application for lucerne, the risk assessment only considers up to BBCH 19 to account for the limited crop cover</w:t>
      </w:r>
    </w:p>
  </w:footnote>
  <w:footnote w:id="22">
    <w:p w14:paraId="736A9F8B" w14:textId="77777777" w:rsidR="00B744EF" w:rsidRPr="001F120D" w:rsidRDefault="00B744EF" w:rsidP="00B744EF">
      <w:pPr>
        <w:pStyle w:val="FootnoteText"/>
        <w:rPr>
          <w:lang w:val="en-GB"/>
        </w:rPr>
      </w:pPr>
      <w:r>
        <w:rPr>
          <w:rStyle w:val="FootnoteReference"/>
        </w:rPr>
        <w:footnoteRef/>
      </w:r>
      <w:r>
        <w:t xml:space="preserve"> </w:t>
      </w:r>
      <w:r>
        <w:rPr>
          <w:lang w:val="en-GB"/>
        </w:rPr>
        <w:t>Concentration in the top 5 cm of soil (mg ac/kg ds) = application rate (g ac/ha) ∕ 750, this calculation assumes a dry soil bulk density of 1500 kg/m</w:t>
      </w:r>
      <w:r w:rsidRPr="00DD36D6">
        <w:rPr>
          <w:vertAlign w:val="superscript"/>
          <w:lang w:val="en-GB"/>
        </w:rPr>
        <w:t>3</w:t>
      </w:r>
    </w:p>
  </w:footnote>
  <w:footnote w:id="23">
    <w:p w14:paraId="5C778F9B" w14:textId="77777777" w:rsidR="00B744EF" w:rsidRPr="00862D0D" w:rsidRDefault="00B744EF" w:rsidP="00B744EF">
      <w:pPr>
        <w:pStyle w:val="FootnoteText"/>
        <w:rPr>
          <w:lang w:val="en-GB"/>
        </w:rPr>
      </w:pPr>
      <w:r>
        <w:rPr>
          <w:rStyle w:val="FootnoteReference"/>
        </w:rPr>
        <w:footnoteRef/>
      </w:r>
      <w:r>
        <w:t xml:space="preserve"> </w:t>
      </w:r>
      <w:r>
        <w:rPr>
          <w:lang w:val="en-GB"/>
        </w:rPr>
        <w:t xml:space="preserve">1140 g ac/ha is at the upper end of actual on-label application rates and has been used for all calculations in this discussion to aid comparison. After accounting for spot spraying and optical spot spraying the maximum on-label rate is currently 1505 g ac/ha. </w:t>
      </w:r>
    </w:p>
  </w:footnote>
  <w:footnote w:id="24">
    <w:p w14:paraId="71CD0DBD" w14:textId="77777777" w:rsidR="00B744EF" w:rsidRPr="00EE6B39" w:rsidRDefault="00B744EF" w:rsidP="00B744EF">
      <w:pPr>
        <w:pStyle w:val="FootnoteText"/>
        <w:rPr>
          <w:lang w:val="en-GB"/>
        </w:rPr>
      </w:pPr>
      <w:r>
        <w:rPr>
          <w:rStyle w:val="FootnoteReference"/>
        </w:rPr>
        <w:footnoteRef/>
      </w:r>
      <w:r>
        <w:t xml:space="preserve"> </w:t>
      </w:r>
      <w:r>
        <w:rPr>
          <w:lang w:val="en-GB"/>
        </w:rPr>
        <w:t>Concentration in the top 5 cm of soil (mg ac/kg ds) = application rate (g ac/ha) ∕ 750 × (1 – F</w:t>
      </w:r>
      <w:r w:rsidRPr="00D51653">
        <w:rPr>
          <w:vertAlign w:val="subscript"/>
          <w:lang w:val="en-GB"/>
        </w:rPr>
        <w:t>int</w:t>
      </w:r>
      <w:r>
        <w:rPr>
          <w:lang w:val="en-GB"/>
        </w:rPr>
        <w:t xml:space="preserve"> × 0.5), where F</w:t>
      </w:r>
      <w:r w:rsidRPr="00D51653">
        <w:rPr>
          <w:vertAlign w:val="subscript"/>
          <w:lang w:val="en-GB"/>
        </w:rPr>
        <w:t>int</w:t>
      </w:r>
      <w:r>
        <w:rPr>
          <w:lang w:val="en-GB"/>
        </w:rPr>
        <w:t xml:space="preserve"> is the interception factor (between 0-1) and half the intercepted fraction is assumed to be washed into the soil by irrigation or rainwater  </w:t>
      </w:r>
    </w:p>
  </w:footnote>
  <w:footnote w:id="25">
    <w:p w14:paraId="62950318" w14:textId="77777777" w:rsidR="00B744EF" w:rsidRPr="00CE7DF3" w:rsidRDefault="00B744EF" w:rsidP="00B744EF">
      <w:pPr>
        <w:pStyle w:val="FootnoteText"/>
        <w:rPr>
          <w:lang w:val="en-GB"/>
        </w:rPr>
      </w:pPr>
      <w:r>
        <w:rPr>
          <w:rStyle w:val="FootnoteReference"/>
        </w:rPr>
        <w:footnoteRef/>
      </w:r>
      <w:r>
        <w:t xml:space="preserve"> </w:t>
      </w:r>
      <w:bookmarkStart w:id="501" w:name="_Hlk215838498"/>
      <w:r>
        <w:t xml:space="preserve">Cumulative </w:t>
      </w:r>
      <w:r>
        <w:rPr>
          <w:lang w:val="en-GB"/>
        </w:rPr>
        <w:t>peak concentrations in soil are calculated using the same approach as the HSE PEC soil calculator (</w:t>
      </w:r>
      <w:hyperlink r:id="rId10" w:history="1">
        <w:r w:rsidRPr="00602C36">
          <w:rPr>
            <w:rStyle w:val="Hyperlink"/>
            <w:lang w:val="en-GB"/>
          </w:rPr>
          <w:t>https://www.hse.gov.uk/pesticides/data-requirements-handbook/fate/environmental-fate-models.htm</w:t>
        </w:r>
      </w:hyperlink>
      <w:r>
        <w:rPr>
          <w:lang w:val="en-GB"/>
        </w:rPr>
        <w:t>).</w:t>
      </w:r>
      <w:bookmarkEnd w:id="501"/>
    </w:p>
  </w:footnote>
  <w:footnote w:id="26">
    <w:p w14:paraId="17077D31" w14:textId="77777777" w:rsidR="007B375C" w:rsidRPr="0041709B" w:rsidRDefault="007B375C" w:rsidP="007B375C">
      <w:pPr>
        <w:pStyle w:val="FootnoteText"/>
        <w:rPr>
          <w:lang w:val="en-GB"/>
        </w:rPr>
      </w:pPr>
      <w:r>
        <w:rPr>
          <w:rStyle w:val="FootnoteReference"/>
        </w:rPr>
        <w:footnoteRef/>
      </w:r>
      <w:r>
        <w:t xml:space="preserve"> </w:t>
      </w:r>
      <w:r>
        <w:rPr>
          <w:lang w:val="en-GB"/>
        </w:rPr>
        <w:t>The use situation for ‘long term weed control’ is not sufficiently well defined to identify the relevant risk assessment scenario(s) for terrestrial vertebrates. Therefore, this use cannot be considered further without clarification of the use situation, so that an appropriate risk assessment can be conducted.</w:t>
      </w:r>
    </w:p>
  </w:footnote>
  <w:footnote w:id="27">
    <w:p w14:paraId="60CB4302" w14:textId="77777777" w:rsidR="00931B9D" w:rsidRPr="00843FE9" w:rsidRDefault="00931B9D" w:rsidP="00931B9D">
      <w:pPr>
        <w:pStyle w:val="FootnoteText"/>
        <w:rPr>
          <w:lang w:val="en-GB"/>
        </w:rPr>
      </w:pPr>
      <w:r>
        <w:rPr>
          <w:rStyle w:val="FootnoteReference"/>
        </w:rPr>
        <w:footnoteRef/>
      </w:r>
      <w:r>
        <w:t xml:space="preserve"> RAL = LD</w:t>
      </w:r>
      <w:r w:rsidRPr="00843FE9">
        <w:rPr>
          <w:vertAlign w:val="subscript"/>
        </w:rPr>
        <w:t>50</w:t>
      </w:r>
      <w:r>
        <w:t xml:space="preserve"> × </w:t>
      </w:r>
      <w:r w:rsidRPr="00843FE9">
        <w:t xml:space="preserve">LOC 0.4 </w:t>
      </w:r>
      <w:r>
        <w:t>∕</w:t>
      </w:r>
      <w:r w:rsidRPr="00843FE9">
        <w:t xml:space="preserve"> ExpE 2.4 </w:t>
      </w:r>
      <w:r>
        <w:t>×</w:t>
      </w:r>
      <w:r w:rsidRPr="00843FE9">
        <w:t xml:space="preserve"> 1000</w:t>
      </w:r>
    </w:p>
  </w:footnote>
  <w:footnote w:id="28">
    <w:p w14:paraId="3F1B44C0" w14:textId="183AB0D8" w:rsidR="008A42E8" w:rsidRPr="008A42E8" w:rsidRDefault="008A42E8">
      <w:pPr>
        <w:pStyle w:val="FootnoteText"/>
        <w:rPr>
          <w:lang w:val="en-GB"/>
        </w:rPr>
      </w:pPr>
      <w:r>
        <w:rPr>
          <w:rStyle w:val="FootnoteReference"/>
        </w:rPr>
        <w:footnoteRef/>
      </w:r>
      <w:r>
        <w:t xml:space="preserve"> </w:t>
      </w:r>
      <w:r>
        <w:rPr>
          <w:lang w:val="en-GB"/>
        </w:rPr>
        <w:t>Calculated using Shinyssdtools (Version 0.4.0) (</w:t>
      </w:r>
      <w:r w:rsidRPr="00521F3A">
        <w:t>Dalgarno</w:t>
      </w:r>
      <w:r>
        <w:t xml:space="preserve"> 2021; </w:t>
      </w:r>
      <w:hyperlink r:id="rId11" w:history="1">
        <w:r w:rsidRPr="00B51DC0">
          <w:rPr>
            <w:rStyle w:val="Hyperlink"/>
          </w:rPr>
          <w:t>https://bcgov-env.shinyapps.io/ssdtools/</w:t>
        </w:r>
      </w:hyperlink>
      <w:r>
        <w:t>)</w:t>
      </w:r>
    </w:p>
  </w:footnote>
  <w:footnote w:id="29">
    <w:p w14:paraId="780C3790" w14:textId="77777777" w:rsidR="006D7C8D" w:rsidRPr="002E0E89" w:rsidRDefault="006D7C8D" w:rsidP="002E0E89">
      <w:pPr>
        <w:pStyle w:val="FootnoteText"/>
        <w:rPr>
          <w:lang w:val="en-GB"/>
        </w:rPr>
      </w:pPr>
      <w:r>
        <w:rPr>
          <w:rStyle w:val="FootnoteReference"/>
        </w:rPr>
        <w:footnoteRef/>
      </w:r>
      <w:r>
        <w:t xml:space="preserve"> </w:t>
      </w:r>
      <w:r>
        <w:rPr>
          <w:lang w:val="en-GB"/>
        </w:rPr>
        <w:t>The use situation for ‘long term weed control’ is not sufficiently well defined to identify the relevant risk assessment scenario(s) for terrestrial vertebrates. The risk is concluded to be unacceptable.</w:t>
      </w:r>
    </w:p>
  </w:footnote>
  <w:footnote w:id="30">
    <w:p w14:paraId="24DA3412" w14:textId="77777777" w:rsidR="006D7C8D" w:rsidRPr="00F17BCA" w:rsidRDefault="006D7C8D" w:rsidP="006D7C8D">
      <w:pPr>
        <w:pStyle w:val="FootnoteText"/>
        <w:rPr>
          <w:lang w:val="en-GB"/>
        </w:rPr>
      </w:pPr>
      <w:r>
        <w:rPr>
          <w:rStyle w:val="FootnoteReference"/>
        </w:rPr>
        <w:footnoteRef/>
      </w:r>
      <w:r>
        <w:t xml:space="preserve"> </w:t>
      </w:r>
      <w:r>
        <w:rPr>
          <w:lang w:val="en-GB"/>
        </w:rPr>
        <w:t>Includes use in vineyards</w:t>
      </w:r>
    </w:p>
  </w:footnote>
  <w:footnote w:id="31">
    <w:p w14:paraId="4A637517" w14:textId="77777777" w:rsidR="006D7C8D" w:rsidRPr="002E0E89" w:rsidRDefault="006D7C8D" w:rsidP="006D7C8D">
      <w:pPr>
        <w:pStyle w:val="FootnoteText"/>
        <w:rPr>
          <w:lang w:val="en-GB"/>
        </w:rPr>
      </w:pPr>
      <w:r>
        <w:rPr>
          <w:rStyle w:val="FootnoteReference"/>
        </w:rPr>
        <w:footnoteRef/>
      </w:r>
      <w:r>
        <w:t xml:space="preserve"> </w:t>
      </w:r>
      <w:r>
        <w:rPr>
          <w:lang w:val="en-GB"/>
        </w:rPr>
        <w:t>The use situation for ‘long term weed control’ is not sufficiently well defined to identify the relevant risk assessment scenario(s) for terrestrial vertebrates. The risk is concluded to be unacceptable.</w:t>
      </w:r>
    </w:p>
  </w:footnote>
  <w:footnote w:id="32">
    <w:p w14:paraId="7DBF4DAE" w14:textId="290274C9" w:rsidR="0041212E" w:rsidRPr="0041212E" w:rsidRDefault="0041212E">
      <w:pPr>
        <w:pStyle w:val="FootnoteText"/>
        <w:rPr>
          <w:lang w:val="en-GB"/>
        </w:rPr>
      </w:pPr>
      <w:r>
        <w:rPr>
          <w:rStyle w:val="FootnoteReference"/>
        </w:rPr>
        <w:footnoteRef/>
      </w:r>
      <w:r>
        <w:t xml:space="preserve"> </w:t>
      </w:r>
      <w:r>
        <w:rPr>
          <w:lang w:val="en-GB"/>
        </w:rPr>
        <w:t>Application rates reflect the total active substances (diquat and paraquat)</w:t>
      </w:r>
    </w:p>
  </w:footnote>
  <w:footnote w:id="33">
    <w:p w14:paraId="5CE5FAAE" w14:textId="6B03D47F" w:rsidR="0041212E" w:rsidRPr="0041212E" w:rsidRDefault="0041212E">
      <w:pPr>
        <w:pStyle w:val="FootnoteText"/>
        <w:rPr>
          <w:lang w:val="en-GB"/>
        </w:rPr>
      </w:pPr>
      <w:r>
        <w:rPr>
          <w:rStyle w:val="FootnoteReference"/>
        </w:rPr>
        <w:footnoteRef/>
      </w:r>
      <w:r>
        <w:t xml:space="preserve"> </w:t>
      </w:r>
      <w:r>
        <w:rPr>
          <w:lang w:val="en-GB"/>
        </w:rPr>
        <w:t>Application rates reflect the paraquat content only</w:t>
      </w:r>
    </w:p>
  </w:footnote>
  <w:footnote w:id="34">
    <w:p w14:paraId="52169AB9" w14:textId="77777777" w:rsidR="005D147C" w:rsidRPr="0041212E" w:rsidRDefault="005D147C" w:rsidP="005D147C">
      <w:pPr>
        <w:pStyle w:val="FootnoteText"/>
        <w:rPr>
          <w:lang w:val="en-GB"/>
        </w:rPr>
      </w:pPr>
      <w:r>
        <w:rPr>
          <w:rStyle w:val="FootnoteReference"/>
        </w:rPr>
        <w:footnoteRef/>
      </w:r>
      <w:r>
        <w:t xml:space="preserve"> </w:t>
      </w:r>
      <w:r>
        <w:rPr>
          <w:lang w:val="en-GB"/>
        </w:rPr>
        <w:t>Application rates reflect the total active substances (diquat and paraquat)</w:t>
      </w:r>
    </w:p>
  </w:footnote>
  <w:footnote w:id="35">
    <w:p w14:paraId="4F2A1732" w14:textId="6B8F648D" w:rsidR="00B86689" w:rsidRPr="00B86689" w:rsidRDefault="00B86689">
      <w:pPr>
        <w:pStyle w:val="FootnoteText"/>
        <w:rPr>
          <w:lang w:val="en-GB"/>
        </w:rPr>
      </w:pPr>
      <w:r>
        <w:rPr>
          <w:rStyle w:val="FootnoteReference"/>
        </w:rPr>
        <w:footnoteRef/>
      </w:r>
      <w:r>
        <w:t xml:space="preserve"> </w:t>
      </w:r>
      <w:r>
        <w:rPr>
          <w:lang w:val="en-GB"/>
        </w:rPr>
        <w:t>The use situation for ‘long term weed control’ is not sufficiently well defined to identify the relevant risk assessment scenario(s) for terrestrial vertebrates. The risk is concluded to be unacceptable.</w:t>
      </w:r>
    </w:p>
  </w:footnote>
  <w:footnote w:id="36">
    <w:p w14:paraId="14CB418A" w14:textId="77777777" w:rsidR="000D1077" w:rsidRPr="0041212E" w:rsidRDefault="000D1077" w:rsidP="005D147C">
      <w:pPr>
        <w:pStyle w:val="FootnoteText"/>
        <w:rPr>
          <w:lang w:val="en-GB"/>
        </w:rPr>
      </w:pPr>
      <w:r>
        <w:rPr>
          <w:rStyle w:val="FootnoteReference"/>
        </w:rPr>
        <w:footnoteRef/>
      </w:r>
      <w:r>
        <w:t xml:space="preserve"> </w:t>
      </w:r>
      <w:r>
        <w:rPr>
          <w:lang w:val="en-GB"/>
        </w:rPr>
        <w:t>Application rates reflect the paraquat content only</w:t>
      </w:r>
    </w:p>
  </w:footnote>
  <w:footnote w:id="37">
    <w:p w14:paraId="4936B170" w14:textId="3E152FBB" w:rsidR="00E42007" w:rsidRPr="00E42007" w:rsidRDefault="00E42007">
      <w:pPr>
        <w:pStyle w:val="FootnoteText"/>
        <w:rPr>
          <w:lang w:val="en-GB"/>
        </w:rPr>
      </w:pPr>
      <w:r>
        <w:rPr>
          <w:rStyle w:val="FootnoteReference"/>
        </w:rPr>
        <w:footnoteRef/>
      </w:r>
      <w:r>
        <w:t xml:space="preserve"> </w:t>
      </w:r>
      <w:bookmarkStart w:id="605" w:name="_Hlk214977383"/>
      <w:r>
        <w:rPr>
          <w:lang w:val="en-GB"/>
        </w:rPr>
        <w:t>https://www.bvl.bund.de/SharedDocs/Downloads/04_Pflanzenschutzmittel/zul_umwelt_eva_prog-EN.html?nn=11010942</w:t>
      </w:r>
      <w:bookmarkEnd w:id="605"/>
    </w:p>
  </w:footnote>
  <w:footnote w:id="38">
    <w:p w14:paraId="17DBD95F" w14:textId="77777777" w:rsidR="001D51F5" w:rsidRDefault="001D51F5" w:rsidP="001D51F5">
      <w:pPr>
        <w:pStyle w:val="FootnoteText"/>
      </w:pPr>
      <w:r>
        <w:rPr>
          <w:rStyle w:val="FootnoteReference"/>
        </w:rPr>
        <w:footnoteRef/>
      </w:r>
      <w:r>
        <w:t xml:space="preserve"> </w:t>
      </w:r>
      <w:r w:rsidRPr="00A54B4C">
        <w:t>See Table 10 in Paraquat Final Review Technical Report for PPE and work rate restrictions</w:t>
      </w:r>
    </w:p>
  </w:footnote>
  <w:footnote w:id="39">
    <w:p w14:paraId="682EE1AF" w14:textId="77777777" w:rsidR="001D51F5" w:rsidRDefault="001D51F5" w:rsidP="001D51F5">
      <w:pPr>
        <w:pStyle w:val="FootnoteText"/>
      </w:pPr>
      <w:r>
        <w:rPr>
          <w:rStyle w:val="FootnoteReference"/>
        </w:rPr>
        <w:footnoteRef/>
      </w:r>
      <w:r>
        <w:t xml:space="preserve"> Note only lower rates of range supported</w:t>
      </w:r>
    </w:p>
  </w:footnote>
  <w:footnote w:id="40">
    <w:p w14:paraId="6994DE0C" w14:textId="77777777" w:rsidR="001D51F5" w:rsidRDefault="001D51F5" w:rsidP="001D51F5">
      <w:pPr>
        <w:pStyle w:val="FootnoteText"/>
      </w:pPr>
      <w:r>
        <w:rPr>
          <w:rStyle w:val="FootnoteReference"/>
        </w:rPr>
        <w:footnoteRef/>
      </w:r>
      <w:r>
        <w:t xml:space="preserve"> Spray topping in vetch is not supported although these uses are grouped on current labels, as it is a pasture legume rather than a pulse</w:t>
      </w:r>
    </w:p>
  </w:footnote>
  <w:footnote w:id="41">
    <w:p w14:paraId="66518D74" w14:textId="77777777" w:rsidR="009D6BD0" w:rsidRDefault="009D6BD0" w:rsidP="009D6BD0">
      <w:pPr>
        <w:pStyle w:val="FootnoteText"/>
      </w:pPr>
      <w:r>
        <w:rPr>
          <w:rStyle w:val="FootnoteReference"/>
        </w:rPr>
        <w:footnoteRef/>
      </w:r>
      <w:r>
        <w:t xml:space="preserve"> See Table 11 in Diquat Final Review Technical Report for PPE and work rate restrictions</w:t>
      </w:r>
    </w:p>
  </w:footnote>
  <w:footnote w:id="42">
    <w:p w14:paraId="61AC792D" w14:textId="77777777" w:rsidR="009D6BD0" w:rsidRDefault="009D6BD0" w:rsidP="009D6BD0">
      <w:pPr>
        <w:pStyle w:val="FootnoteText"/>
      </w:pPr>
      <w:r>
        <w:rPr>
          <w:rStyle w:val="FootnoteReference"/>
        </w:rPr>
        <w:footnoteRef/>
      </w:r>
      <w:r>
        <w:t xml:space="preserve"> Note only lower rates of range supported</w:t>
      </w:r>
    </w:p>
  </w:footnote>
  <w:footnote w:id="43">
    <w:p w14:paraId="0B32C6C2" w14:textId="77777777" w:rsidR="009A7378" w:rsidRPr="00E53283" w:rsidRDefault="009A7378" w:rsidP="00017CE7">
      <w:pPr>
        <w:pStyle w:val="FootnoteText"/>
        <w:spacing w:before="0" w:line="240" w:lineRule="auto"/>
      </w:pPr>
      <w:r w:rsidRPr="00017CE7">
        <w:rPr>
          <w:rStyle w:val="FootnoteReference"/>
        </w:rPr>
        <w:footnoteRef/>
      </w:r>
      <w:r w:rsidRPr="00E53283">
        <w:t xml:space="preserve"> </w:t>
      </w:r>
      <w:bookmarkStart w:id="659" w:name="_Hlk157166022"/>
      <w:r w:rsidRPr="00E53283">
        <w:t>All toxicity values are reported in terms of the active constituent which is defined as the paraquat cation</w:t>
      </w:r>
      <w:bookmarkEnd w:id="659"/>
      <w:r w:rsidRPr="00E53283">
        <w:t>. Dietary endpoints in mg ac/kg feed were converted to mg ac/kg bw/d using a default conversion factor (0.1) when food consumption data were not available</w:t>
      </w:r>
    </w:p>
  </w:footnote>
  <w:footnote w:id="44">
    <w:p w14:paraId="3E7DD51C" w14:textId="5550219B" w:rsidR="00017CE7" w:rsidRPr="00A70C86" w:rsidRDefault="00017CE7" w:rsidP="00A70C86">
      <w:pPr>
        <w:pStyle w:val="FootnoteText"/>
      </w:pPr>
      <w:r w:rsidRPr="00A70C86">
        <w:rPr>
          <w:rStyle w:val="FootnoteReference"/>
        </w:rPr>
        <w:footnoteRef/>
      </w:r>
      <w:r w:rsidRPr="00A70C86">
        <w:t xml:space="preserve"> All formulations contain 115 g/L diquat, which comprises 46% of the total active constituent</w:t>
      </w:r>
    </w:p>
  </w:footnote>
  <w:footnote w:id="45">
    <w:p w14:paraId="7C65576E" w14:textId="0E52E058" w:rsidR="00017CE7" w:rsidRPr="00A70C86" w:rsidRDefault="00017CE7" w:rsidP="00A70C86">
      <w:pPr>
        <w:pStyle w:val="FootnoteText"/>
      </w:pPr>
      <w:r w:rsidRPr="00A70C86">
        <w:rPr>
          <w:rStyle w:val="FootnoteReference"/>
        </w:rPr>
        <w:footnoteRef/>
      </w:r>
      <w:r w:rsidRPr="00A70C86">
        <w:t xml:space="preserve"> All formulations contain 135 g/L paraquat, which comprises 54% of the total active constituent</w:t>
      </w:r>
    </w:p>
  </w:footnote>
  <w:footnote w:id="46">
    <w:p w14:paraId="56D80302" w14:textId="77777777" w:rsidR="00017CE7" w:rsidRDefault="00017CE7" w:rsidP="00A70C86">
      <w:pPr>
        <w:pStyle w:val="FootnoteText"/>
      </w:pPr>
      <w:r w:rsidRPr="00A70C86">
        <w:rPr>
          <w:rStyle w:val="FootnoteReference"/>
        </w:rPr>
        <w:footnoteRef/>
      </w:r>
      <w:r w:rsidRPr="00A70C86">
        <w:rPr>
          <w:vertAlign w:val="superscript"/>
        </w:rPr>
        <w:t xml:space="preserve"> </w:t>
      </w:r>
      <w:r w:rsidRPr="00A70C86">
        <w:t xml:space="preserve">Refer to </w:t>
      </w:r>
      <w:r w:rsidRPr="00A70C86">
        <w:rPr>
          <w:b/>
          <w:bCs/>
        </w:rPr>
        <w:t>APVMA Risk Assessment Manual</w:t>
      </w:r>
      <w:r w:rsidRPr="00A70C86">
        <w:t xml:space="preserve"> </w:t>
      </w:r>
      <w:r w:rsidRPr="00A70C86">
        <w:rPr>
          <w:b/>
          <w:bCs/>
        </w:rPr>
        <w:t>– Environment</w:t>
      </w:r>
      <w:r w:rsidRPr="00A70C86">
        <w:t xml:space="preserve"> for calculation method to predict combination toxicity</w:t>
      </w:r>
    </w:p>
  </w:footnote>
  <w:footnote w:id="47">
    <w:p w14:paraId="37F83ADE" w14:textId="77777777" w:rsidR="00017CE7" w:rsidRDefault="00017CE7" w:rsidP="008761AA">
      <w:pPr>
        <w:pStyle w:val="FootnoteText"/>
        <w:spacing w:before="0" w:line="240" w:lineRule="auto"/>
      </w:pPr>
      <w:r>
        <w:rPr>
          <w:rStyle w:val="FootnoteReference"/>
        </w:rPr>
        <w:footnoteRef/>
      </w:r>
      <w:r>
        <w:t xml:space="preserve"> All ‘measured’ endpoints have been adjusted to account for rapid dissipation from the water column under natural conditions (adjusted EC</w:t>
      </w:r>
      <w:r w:rsidRPr="001A66F0">
        <w:rPr>
          <w:vertAlign w:val="subscript"/>
        </w:rPr>
        <w:t>50</w:t>
      </w:r>
      <w:r>
        <w:t xml:space="preserve"> = measured EC</w:t>
      </w:r>
      <w:r w:rsidRPr="001A66F0">
        <w:rPr>
          <w:vertAlign w:val="subscript"/>
        </w:rPr>
        <w:t>50</w:t>
      </w:r>
      <w:r>
        <w:t xml:space="preserve"> / (1 – EXP (exposure days * (-ln(2)/DT</w:t>
      </w:r>
      <w:r w:rsidRPr="001A66F0">
        <w:rPr>
          <w:vertAlign w:val="subscript"/>
        </w:rPr>
        <w:t>50</w:t>
      </w:r>
      <w:r>
        <w:t xml:space="preserve"> 7.0 days))) (exposure days * ln(2)/DT</w:t>
      </w:r>
      <w:r w:rsidRPr="001A66F0">
        <w:rPr>
          <w:vertAlign w:val="subscript"/>
        </w:rPr>
        <w:t>50</w:t>
      </w:r>
      <w:r>
        <w:t xml:space="preserve"> 7.0 days). The more conservative water DT</w:t>
      </w:r>
      <w:r w:rsidRPr="00AC5DC9">
        <w:rPr>
          <w:vertAlign w:val="subscript"/>
        </w:rPr>
        <w:t>50</w:t>
      </w:r>
      <w:r>
        <w:t xml:space="preserve"> of 7 days for paraquat has been utilised to adjust the endpoints for both chemicals to avoid artificially skewing the relative toxicity contributions toward paraquat.</w:t>
      </w:r>
    </w:p>
  </w:footnote>
  <w:footnote w:id="48">
    <w:p w14:paraId="48F73A01" w14:textId="25C2AAB8" w:rsidR="00017CE7" w:rsidRPr="001A66F0" w:rsidRDefault="00017CE7" w:rsidP="008761AA">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9">
    <w:p w14:paraId="4F790CA8" w14:textId="1D3AC9BF" w:rsidR="00017CE7" w:rsidRDefault="00017CE7" w:rsidP="008761AA">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50">
    <w:p w14:paraId="71E77021" w14:textId="77777777" w:rsidR="00017CE7" w:rsidRDefault="00017CE7" w:rsidP="008761AA">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 predicted values are based on adjusted toxicity values to account for rapid dissipation of both active constituents from the water column</w:t>
      </w:r>
    </w:p>
  </w:footnote>
  <w:footnote w:id="51">
    <w:p w14:paraId="56C59FCB" w14:textId="77777777" w:rsidR="00017CE7" w:rsidRDefault="00017CE7" w:rsidP="008761AA">
      <w:pPr>
        <w:pStyle w:val="FootnoteText"/>
        <w:spacing w:before="0" w:line="240" w:lineRule="auto"/>
      </w:pPr>
      <w:r>
        <w:rPr>
          <w:rStyle w:val="FootnoteReference"/>
        </w:rPr>
        <w:footnoteRef/>
      </w:r>
      <w:r>
        <w:t xml:space="preserve"> Where toxicity data are not available, the endpoint for the most sensitive species was selected to predict combination toxicity</w:t>
      </w:r>
    </w:p>
  </w:footnote>
  <w:footnote w:id="52">
    <w:p w14:paraId="769007AF" w14:textId="4A40A1A4" w:rsidR="00017CE7" w:rsidRDefault="00017CE7" w:rsidP="008761AA">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53">
    <w:p w14:paraId="0E83B5B8" w14:textId="5640A3CB" w:rsidR="00017CE7" w:rsidRDefault="00017CE7" w:rsidP="008761AA">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54">
    <w:p w14:paraId="6DDF121B" w14:textId="77777777" w:rsidR="00017CE7" w:rsidRDefault="00017CE7" w:rsidP="008761AA">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55">
    <w:p w14:paraId="21C693D7" w14:textId="660404B5" w:rsidR="00017CE7" w:rsidRDefault="00017CE7" w:rsidP="008761AA">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56">
    <w:p w14:paraId="5A2266A9" w14:textId="790A61C8" w:rsidR="00017CE7" w:rsidRDefault="00017CE7" w:rsidP="008761AA">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57">
    <w:p w14:paraId="74C94D23" w14:textId="77777777" w:rsidR="00017CE7" w:rsidRDefault="00017CE7" w:rsidP="008761AA">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58">
    <w:p w14:paraId="69A13F8F" w14:textId="375A75DC" w:rsidR="00017CE7" w:rsidRDefault="00017CE7" w:rsidP="008761AA">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59">
    <w:p w14:paraId="6A1036ED" w14:textId="28A6F277" w:rsidR="00017CE7" w:rsidRDefault="00017CE7" w:rsidP="008761AA">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60">
    <w:p w14:paraId="0B18041B" w14:textId="77777777" w:rsidR="00017CE7" w:rsidRDefault="00017CE7" w:rsidP="008761AA">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61">
    <w:p w14:paraId="336249C4" w14:textId="1B91653F" w:rsidR="00017CE7" w:rsidRDefault="00017CE7" w:rsidP="008761AA">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62">
    <w:p w14:paraId="5CB4A264" w14:textId="5DBBF84B" w:rsidR="00017CE7" w:rsidRDefault="00017CE7" w:rsidP="008761AA">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63">
    <w:p w14:paraId="18C6CD64" w14:textId="77777777" w:rsidR="00017CE7" w:rsidRDefault="00017CE7" w:rsidP="008761AA">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64">
    <w:p w14:paraId="169D3E29" w14:textId="77777777" w:rsidR="00A502AC" w:rsidRPr="00401A10" w:rsidRDefault="00A502AC" w:rsidP="00A502AC">
      <w:pPr>
        <w:pStyle w:val="FootnoteText"/>
        <w:rPr>
          <w:lang w:val="en-GB"/>
        </w:rPr>
      </w:pPr>
      <w:r>
        <w:rPr>
          <w:rStyle w:val="FootnoteReference"/>
        </w:rPr>
        <w:footnoteRef/>
      </w:r>
      <w:r>
        <w:t xml:space="preserve"> </w:t>
      </w:r>
      <w:r>
        <w:rPr>
          <w:lang w:val="en-GB"/>
        </w:rPr>
        <w:t>The maximum on-label use rates for each set of use situations are indicated, there may be lower rates which have not been reproduced for the sake of brevity</w:t>
      </w:r>
    </w:p>
  </w:footnote>
  <w:footnote w:id="65">
    <w:p w14:paraId="2966735A" w14:textId="77777777" w:rsidR="00A502AC" w:rsidRPr="000F6C7D" w:rsidRDefault="00A502AC" w:rsidP="00A502AC">
      <w:pPr>
        <w:pStyle w:val="FootnoteText"/>
        <w:rPr>
          <w:lang w:val="en-GB"/>
        </w:rPr>
      </w:pPr>
      <w:r>
        <w:rPr>
          <w:rStyle w:val="FootnoteReference"/>
        </w:rPr>
        <w:footnoteRef/>
      </w:r>
      <w:r>
        <w:t xml:space="preserve"> T</w:t>
      </w:r>
      <w:r>
        <w:rPr>
          <w:lang w:val="en-GB"/>
        </w:rPr>
        <w:t>he use situations market gardens, row crops and vegetables are imprecisely defined such that it is not clear whether an FFT refinement would be appropriate, and if it were what a suitably conservative value would be. Additional information would be required to justify an appropriate FFT factor.</w:t>
      </w:r>
    </w:p>
  </w:footnote>
  <w:footnote w:id="66">
    <w:p w14:paraId="5A640FF9" w14:textId="77777777" w:rsidR="00A502AC" w:rsidRPr="006E13AA" w:rsidRDefault="00A502AC" w:rsidP="00A502AC">
      <w:pPr>
        <w:pStyle w:val="FootnoteText"/>
        <w:rPr>
          <w:lang w:val="en-GB"/>
        </w:rPr>
      </w:pPr>
      <w:r>
        <w:rPr>
          <w:rStyle w:val="FootnoteReference"/>
        </w:rPr>
        <w:footnoteRef/>
      </w:r>
      <w:r>
        <w:t xml:space="preserve"> </w:t>
      </w:r>
      <w:bookmarkStart w:id="714" w:name="_Hlk199493104"/>
      <w:r>
        <w:rPr>
          <w:lang w:val="en-GB"/>
        </w:rPr>
        <w:t>For sugarcane situations the maize crop group has been used, as a specific crop group for sugarcane is not defined in EFSA 2009. For both over the top and inter-row sprays the generic focal species present at BBCH 10-19 have been modelled. Whilst the inter-row spray may occur from the 3-4 leaf stage up to the formation of the true stem the application method means the interception assumed at later growth stages is not appropriate. So, for the purposes of a Tier 1 risk assessment the earlier growth stage without interception has been used to establish feeding guilds potentially at risk.</w:t>
      </w:r>
      <w:bookmarkEnd w:id="714"/>
    </w:p>
  </w:footnote>
  <w:footnote w:id="67">
    <w:p w14:paraId="4BC599D9" w14:textId="77777777" w:rsidR="00A502AC" w:rsidRPr="007A25E0" w:rsidRDefault="00A502AC" w:rsidP="00A502AC">
      <w:pPr>
        <w:pStyle w:val="FootnoteText"/>
        <w:rPr>
          <w:lang w:val="en-GB"/>
        </w:rPr>
      </w:pPr>
      <w:r>
        <w:rPr>
          <w:rStyle w:val="FootnoteReference"/>
        </w:rPr>
        <w:footnoteRef/>
      </w:r>
      <w:r>
        <w:t xml:space="preserve"> </w:t>
      </w:r>
      <w:bookmarkStart w:id="715" w:name="_Hlk198734928"/>
      <w:r>
        <w:rPr>
          <w:lang w:val="en-GB"/>
        </w:rPr>
        <w:t>Where grazing occurs immediately before application for lucerne, the risk assessment only considers up to BBCH 19 to account for the limited crop cover</w:t>
      </w:r>
      <w:bookmarkEnd w:id="715"/>
    </w:p>
  </w:footnote>
  <w:footnote w:id="68">
    <w:p w14:paraId="50E27809" w14:textId="77777777" w:rsidR="00CE1436" w:rsidRPr="005C53B4" w:rsidRDefault="00CE1436" w:rsidP="00CE1436">
      <w:pPr>
        <w:pStyle w:val="FootnoteText"/>
        <w:rPr>
          <w:lang w:val="en-GB"/>
        </w:rPr>
      </w:pPr>
      <w:r>
        <w:rPr>
          <w:rStyle w:val="FootnoteReference"/>
        </w:rPr>
        <w:footnoteRef/>
      </w:r>
      <w:r>
        <w:t xml:space="preserve"> </w:t>
      </w:r>
      <w:r w:rsidRPr="00FA5D60">
        <w:rPr>
          <w:i/>
          <w:iCs/>
        </w:rPr>
        <w:t>A. platyrhynchos</w:t>
      </w:r>
      <w:r>
        <w:t xml:space="preserve"> exhibited inconsistent (weeks 2, 12, 14 and 16) and slight (≤20%), but statistically significant, reductions in food consumption compared to the control at 100 ppm of paraquat ions in the feed, the maximum tested concentration, in a long-term exposure study (Fink et al. 1982). </w:t>
      </w:r>
    </w:p>
  </w:footnote>
  <w:footnote w:id="69">
    <w:p w14:paraId="1B23D048" w14:textId="77777777" w:rsidR="00CE1436" w:rsidRPr="00114EB4" w:rsidRDefault="00CE1436" w:rsidP="00CE1436">
      <w:pPr>
        <w:pStyle w:val="FootnoteText"/>
        <w:rPr>
          <w:lang w:val="en-GB"/>
        </w:rPr>
      </w:pPr>
      <w:r>
        <w:rPr>
          <w:rStyle w:val="FootnoteReference"/>
        </w:rPr>
        <w:footnoteRef/>
      </w:r>
      <w:r>
        <w:t xml:space="preserve"> </w:t>
      </w:r>
      <w:hyperlink r:id="rId12" w:history="1">
        <w:r w:rsidRPr="00691916">
          <w:rPr>
            <w:rStyle w:val="Hyperlink"/>
          </w:rPr>
          <w:t>https://www.apvma.gov.au/registrations-and-permits/data-guidelines/risk-assessment-manuals/environment/appendix-a</w:t>
        </w:r>
      </w:hyperlink>
    </w:p>
  </w:footnote>
  <w:footnote w:id="70">
    <w:p w14:paraId="47FA19EC" w14:textId="77777777" w:rsidR="00CE1436" w:rsidRPr="00880493" w:rsidRDefault="00CE1436" w:rsidP="00CE1436">
      <w:pPr>
        <w:pStyle w:val="FootnoteText"/>
        <w:rPr>
          <w:lang w:val="en-GB"/>
        </w:rPr>
      </w:pPr>
      <w:r>
        <w:rPr>
          <w:rStyle w:val="FootnoteReference"/>
        </w:rPr>
        <w:footnoteRef/>
      </w:r>
      <w:r>
        <w:t xml:space="preserve"> </w:t>
      </w:r>
      <w:r>
        <w:rPr>
          <w:lang w:val="en-GB"/>
        </w:rPr>
        <w:t>For the over-the-top spray use an updated interception factor (0.25, based on maize as reported in EFSA 2020) could be considered, as the risk assessment assumes the diet constitutes non-crop foliage. For simplicity and given the weight-of-evidence argument (see the following text) this has not been included in the quantitative risk assessment at this time.</w:t>
      </w:r>
    </w:p>
  </w:footnote>
  <w:footnote w:id="71">
    <w:p w14:paraId="60C13C50" w14:textId="77777777" w:rsidR="00CE1436" w:rsidRPr="00A774C5" w:rsidRDefault="00CE1436" w:rsidP="00CE1436">
      <w:pPr>
        <w:pStyle w:val="FootnoteText"/>
        <w:rPr>
          <w:lang w:val="en-GB"/>
        </w:rPr>
      </w:pPr>
      <w:r>
        <w:rPr>
          <w:rStyle w:val="FootnoteReference"/>
        </w:rPr>
        <w:footnoteRef/>
      </w:r>
      <w:r>
        <w:t xml:space="preserve"> </w:t>
      </w:r>
      <w:r>
        <w:rPr>
          <w:lang w:val="en-GB"/>
        </w:rPr>
        <w:t>Implying stable local populations despite current management practices.</w:t>
      </w:r>
    </w:p>
  </w:footnote>
  <w:footnote w:id="72">
    <w:p w14:paraId="7033B123" w14:textId="77777777" w:rsidR="00CE1436" w:rsidRPr="00B45BF2" w:rsidRDefault="00CE1436" w:rsidP="00CE1436">
      <w:pPr>
        <w:pStyle w:val="FootnoteText"/>
        <w:rPr>
          <w:lang w:val="en-GB"/>
        </w:rPr>
      </w:pPr>
      <w:r>
        <w:rPr>
          <w:rStyle w:val="FootnoteReference"/>
        </w:rPr>
        <w:footnoteRef/>
      </w:r>
      <w:r>
        <w:t xml:space="preserve"> </w:t>
      </w:r>
      <w:r w:rsidRPr="000739B8">
        <w:rPr>
          <w:i/>
          <w:iCs/>
          <w:lang w:val="en-GB"/>
        </w:rPr>
        <w:t>Rattus rattus</w:t>
      </w:r>
      <w:r>
        <w:rPr>
          <w:lang w:val="en-GB"/>
        </w:rPr>
        <w:t xml:space="preserve"> and </w:t>
      </w:r>
      <w:r w:rsidRPr="000739B8">
        <w:rPr>
          <w:i/>
          <w:iCs/>
          <w:lang w:val="en-GB"/>
        </w:rPr>
        <w:t xml:space="preserve">Mus </w:t>
      </w:r>
      <w:r>
        <w:rPr>
          <w:i/>
          <w:iCs/>
          <w:lang w:val="en-GB"/>
        </w:rPr>
        <w:t>musculus</w:t>
      </w:r>
      <w:r>
        <w:rPr>
          <w:lang w:val="en-GB"/>
        </w:rPr>
        <w:t xml:space="preserve"> were also captured.</w:t>
      </w:r>
    </w:p>
  </w:footnote>
  <w:footnote w:id="73">
    <w:p w14:paraId="0A1F7106" w14:textId="77777777" w:rsidR="00CE1436" w:rsidRPr="003408D7" w:rsidRDefault="00CE1436" w:rsidP="00CE1436">
      <w:pPr>
        <w:pStyle w:val="FootnoteText"/>
        <w:rPr>
          <w:lang w:val="en-GB"/>
        </w:rPr>
      </w:pPr>
      <w:r>
        <w:rPr>
          <w:rStyle w:val="FootnoteReference"/>
        </w:rPr>
        <w:footnoteRef/>
      </w:r>
      <w:r>
        <w:t xml:space="preserve"> </w:t>
      </w:r>
      <w:r>
        <w:rPr>
          <w:lang w:val="en-GB"/>
        </w:rPr>
        <w:t xml:space="preserve">Conservative option used given the limitations of the available data, as opposed to non-grass weeds typically assumed for omnivorous mammals. </w:t>
      </w:r>
    </w:p>
  </w:footnote>
  <w:footnote w:id="74">
    <w:p w14:paraId="733F9678" w14:textId="77777777" w:rsidR="00CE1436" w:rsidRPr="009074D1" w:rsidRDefault="00CE1436" w:rsidP="00CE1436">
      <w:pPr>
        <w:pStyle w:val="FootnoteText"/>
        <w:rPr>
          <w:lang w:val="en-GB"/>
        </w:rPr>
      </w:pPr>
      <w:r>
        <w:rPr>
          <w:rStyle w:val="FootnoteReference"/>
        </w:rPr>
        <w:footnoteRef/>
      </w:r>
      <w:r>
        <w:t xml:space="preserve"> </w:t>
      </w:r>
      <w:r>
        <w:rPr>
          <w:lang w:val="en-GB"/>
        </w:rPr>
        <w:t>Values in parentheses are the maximum rates adjusted for the fraction of the field treated (FFT)</w:t>
      </w:r>
    </w:p>
  </w:footnote>
  <w:footnote w:id="75">
    <w:p w14:paraId="697C68A3" w14:textId="6FE79F81" w:rsidR="00CE1436" w:rsidRPr="00616F51" w:rsidRDefault="00CE1436" w:rsidP="00CE1436">
      <w:pPr>
        <w:pStyle w:val="FootnoteText"/>
        <w:rPr>
          <w:lang w:val="en-GB"/>
        </w:rPr>
      </w:pPr>
      <w:r>
        <w:rPr>
          <w:rStyle w:val="FootnoteReference"/>
        </w:rPr>
        <w:footnoteRef/>
      </w:r>
      <w:r>
        <w:t xml:space="preserve"> </w:t>
      </w:r>
      <w:r>
        <w:rPr>
          <w:lang w:val="en-GB"/>
        </w:rPr>
        <w:t xml:space="preserve">For all use rates, an acceptable risk will have been concluded for use rates less than or equal to the maximum acceptable rate. The overall conclusion (Yes/No) only relates to whether all uses can be considered to have passed the risk assessment. The overall conclusion accounts for any fraction of the field treated (FFT) refinements as detailed in </w:t>
      </w:r>
      <w:r w:rsidR="00034F32">
        <w:rPr>
          <w:lang w:val="en-GB"/>
        </w:rPr>
        <w:fldChar w:fldCharType="begin"/>
      </w:r>
      <w:r w:rsidR="00034F32">
        <w:rPr>
          <w:lang w:val="en-GB"/>
        </w:rPr>
        <w:instrText xml:space="preserve"> REF _Ref168386682 \h </w:instrText>
      </w:r>
      <w:r w:rsidR="00034F32">
        <w:rPr>
          <w:lang w:val="en-GB"/>
        </w:rPr>
      </w:r>
      <w:r w:rsidR="00034F32">
        <w:rPr>
          <w:lang w:val="en-GB"/>
        </w:rPr>
        <w:fldChar w:fldCharType="separate"/>
      </w:r>
      <w:r w:rsidR="008A397D" w:rsidRPr="00D63217">
        <w:t xml:space="preserve">Table </w:t>
      </w:r>
      <w:r w:rsidR="008A397D">
        <w:rPr>
          <w:noProof/>
        </w:rPr>
        <w:t>74</w:t>
      </w:r>
      <w:r w:rsidR="00034F32">
        <w:rPr>
          <w:lang w:val="en-GB"/>
        </w:rPr>
        <w:fldChar w:fldCharType="end"/>
      </w:r>
      <w:r>
        <w:rPr>
          <w:lang w:val="en-GB"/>
        </w:rPr>
        <w:t>.</w:t>
      </w:r>
    </w:p>
  </w:footnote>
  <w:footnote w:id="76">
    <w:p w14:paraId="64C7168B" w14:textId="77777777" w:rsidR="00CE1436" w:rsidRPr="007A25E0" w:rsidRDefault="00CE1436" w:rsidP="00CE1436">
      <w:pPr>
        <w:pStyle w:val="FootnoteText"/>
        <w:rPr>
          <w:lang w:val="en-GB"/>
        </w:rPr>
      </w:pPr>
      <w:r>
        <w:rPr>
          <w:rStyle w:val="FootnoteReference"/>
        </w:rPr>
        <w:footnoteRef/>
      </w:r>
      <w:r>
        <w:t xml:space="preserve"> </w:t>
      </w:r>
      <w:r>
        <w:rPr>
          <w:lang w:val="en-GB"/>
        </w:rPr>
        <w:t>Where grazing occurs immediately before application for lucerne, the risk assessment only considers up to BBCH 19 to account for the limited crop cover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E56" w14:textId="3841A8CB" w:rsidR="004A1DF1" w:rsidRDefault="004A1DF1" w:rsidP="004A1DF1">
    <w:pPr>
      <w:pStyle w:val="EvenHeader"/>
      <w:pBdr>
        <w:bottom w:val="single" w:sz="4" w:space="2" w:color="auto"/>
      </w:pBdr>
    </w:pPr>
    <w:r>
      <w:rPr>
        <w:rStyle w:val="PageNumber"/>
        <w:b w:val="0"/>
        <w:caps/>
        <w:szCs w:val="24"/>
      </w:rPr>
      <w:fldChar w:fldCharType="begin"/>
    </w:r>
    <w:r>
      <w:rPr>
        <w:rStyle w:val="PageNumber"/>
        <w:bCs w:val="0"/>
        <w:szCs w:val="24"/>
      </w:rPr>
      <w:instrText xml:space="preserve"> PAGE </w:instrText>
    </w:r>
    <w:r>
      <w:rPr>
        <w:rStyle w:val="PageNumber"/>
        <w:b w:val="0"/>
        <w:caps/>
        <w:szCs w:val="24"/>
      </w:rPr>
      <w:fldChar w:fldCharType="separate"/>
    </w:r>
    <w:r>
      <w:rPr>
        <w:rStyle w:val="PageNumber"/>
        <w:b w:val="0"/>
        <w:caps/>
      </w:rPr>
      <w:t>iv</w:t>
    </w:r>
    <w:r>
      <w:rPr>
        <w:rStyle w:val="PageNumber"/>
        <w:b w:val="0"/>
        <w:caps/>
        <w:szCs w:val="24"/>
      </w:rPr>
      <w:fldChar w:fldCharType="end"/>
    </w:r>
    <w:r>
      <w:tab/>
    </w:r>
    <w:r w:rsidRPr="004A1DF1">
      <w:t xml:space="preserve">Paraquat </w:t>
    </w:r>
    <w:r w:rsidR="0057207A" w:rsidRPr="0057207A">
      <w:t>Final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9B9B" w14:textId="19090BF5" w:rsidR="00EB6779" w:rsidRDefault="00EB6779" w:rsidP="00EB6779">
    <w:pPr>
      <w:pStyle w:val="OddHeader"/>
      <w:tabs>
        <w:tab w:val="clear" w:pos="9072"/>
        <w:tab w:val="right" w:pos="2694"/>
      </w:tabs>
      <w:jc w:val="right"/>
    </w:pPr>
    <w:r w:rsidRPr="00EB6779">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384E" w14:textId="6F9ED3C9" w:rsidR="00EB6779" w:rsidRDefault="00EB6779" w:rsidP="00EB677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37</w:t>
    </w:r>
    <w:r>
      <w:rPr>
        <w:rStyle w:val="PageNumber"/>
        <w:b w:val="0"/>
        <w:caps/>
        <w:szCs w:val="24"/>
      </w:rPr>
      <w:fldChar w:fldCharType="end"/>
    </w:r>
    <w:r>
      <w:tab/>
    </w:r>
    <w:r w:rsidRPr="0057207A">
      <w:t>Paraquat Final Review Technical Report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8CB9" w14:textId="0C4D9E9C" w:rsidR="00EB6779" w:rsidRDefault="00EB6779" w:rsidP="00EB6779">
    <w:pPr>
      <w:pStyle w:val="OddHeader"/>
      <w:tabs>
        <w:tab w:val="clear" w:pos="9072"/>
        <w:tab w:val="right" w:pos="2694"/>
      </w:tabs>
      <w:jc w:val="right"/>
    </w:pPr>
    <w:r w:rsidRPr="00EB6779">
      <w:t>Environmental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5DAE" w14:textId="77777777" w:rsidR="00EB6779" w:rsidRDefault="00EB6779" w:rsidP="00EB677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77</w:t>
    </w:r>
    <w:r>
      <w:rPr>
        <w:rStyle w:val="PageNumber"/>
        <w:b w:val="0"/>
        <w:caps/>
        <w:szCs w:val="24"/>
      </w:rPr>
      <w:fldChar w:fldCharType="end"/>
    </w:r>
    <w:r>
      <w:tab/>
    </w:r>
    <w:r w:rsidRPr="0057207A">
      <w:t>Paraquat Final Review Technical Report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9E9" w14:textId="479383E0" w:rsidR="006C07A5" w:rsidRDefault="006C07A5" w:rsidP="006C07A5">
    <w:pPr>
      <w:pStyle w:val="OddHeader"/>
      <w:tabs>
        <w:tab w:val="clear" w:pos="9072"/>
        <w:tab w:val="right" w:pos="1701"/>
      </w:tabs>
      <w:jc w:val="right"/>
    </w:pPr>
    <w:r w:rsidRPr="006C07A5">
      <w:t>Spray drift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ADF3" w14:textId="14861645" w:rsidR="006C07A5" w:rsidRDefault="006C07A5" w:rsidP="006C07A5">
    <w:pPr>
      <w:pStyle w:val="OddHeader"/>
      <w:tabs>
        <w:tab w:val="clear" w:pos="9072"/>
        <w:tab w:val="right" w:pos="1701"/>
      </w:tabs>
      <w:jc w:val="right"/>
    </w:pPr>
    <w:r>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213F" w14:textId="66122FD2" w:rsidR="001A46FA" w:rsidRPr="001A46FA" w:rsidRDefault="001A46FA" w:rsidP="001A46F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6684" w14:textId="764E851C" w:rsidR="006C07A5" w:rsidRDefault="006C07A5" w:rsidP="006C07A5">
    <w:pPr>
      <w:pStyle w:val="OddHeader"/>
      <w:tabs>
        <w:tab w:val="clear" w:pos="9072"/>
        <w:tab w:val="right" w:pos="5245"/>
      </w:tabs>
      <w:jc w:val="right"/>
    </w:pPr>
    <w:r w:rsidRPr="006C07A5">
      <w:t>Appendix B – Listing of environmental endpoints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997" w14:textId="77777777" w:rsidR="006C07A5" w:rsidRDefault="006C07A5" w:rsidP="006C07A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117</w:t>
    </w:r>
    <w:r>
      <w:rPr>
        <w:rStyle w:val="PageNumber"/>
        <w:b w:val="0"/>
        <w:caps/>
        <w:szCs w:val="24"/>
      </w:rPr>
      <w:fldChar w:fldCharType="end"/>
    </w:r>
    <w:r>
      <w:tab/>
    </w:r>
    <w:r w:rsidRPr="0057207A">
      <w:t>Paraquat Final Review Technical Report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04D5" w14:textId="77777777" w:rsidR="006C07A5" w:rsidRDefault="006C07A5" w:rsidP="006C07A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135</w:t>
    </w:r>
    <w:r>
      <w:rPr>
        <w:rStyle w:val="PageNumber"/>
        <w:b w:val="0"/>
        <w:caps/>
        <w:szCs w:val="24"/>
      </w:rPr>
      <w:fldChar w:fldCharType="end"/>
    </w:r>
    <w:r>
      <w:tab/>
    </w:r>
    <w:r w:rsidRPr="0057207A">
      <w:t>Paraquat Final Review Technical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1D4" w14:textId="77777777" w:rsidR="004A1DF1" w:rsidRDefault="004A1DF1" w:rsidP="004A1DF1">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C797" w14:textId="643030A6" w:rsidR="006C07A5" w:rsidRDefault="006C07A5" w:rsidP="006C07A5">
    <w:pPr>
      <w:pStyle w:val="OddHeader"/>
      <w:tabs>
        <w:tab w:val="clear" w:pos="9072"/>
        <w:tab w:val="right" w:pos="5245"/>
      </w:tabs>
      <w:jc w:val="right"/>
    </w:pPr>
    <w:r w:rsidRPr="006C07A5">
      <w:t>Appendix C – Terrestrial vertebrate assessments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146</w:t>
    </w:r>
    <w:r>
      <w:rPr>
        <w:rStyle w:val="PageNumber"/>
        <w:rFonts w:cs="Times New Roman"/>
        <w:b w:val="0"/>
        <w:bCs w:val="0"/>
        <w:caps/>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7468" w14:textId="77777777" w:rsidR="006C07A5" w:rsidRDefault="006C07A5" w:rsidP="006C07A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145</w:t>
    </w:r>
    <w:r>
      <w:rPr>
        <w:rStyle w:val="PageNumber"/>
        <w:b w:val="0"/>
        <w:caps/>
        <w:szCs w:val="24"/>
      </w:rPr>
      <w:fldChar w:fldCharType="end"/>
    </w:r>
    <w:r>
      <w:tab/>
    </w:r>
    <w:r w:rsidRPr="0057207A">
      <w:t>Paraquat Final Review Technical Report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7BC8" w14:textId="23B8C140" w:rsidR="006C07A5" w:rsidRDefault="006C07A5" w:rsidP="006C07A5">
    <w:pPr>
      <w:pStyle w:val="OddHeader"/>
      <w:tabs>
        <w:tab w:val="clear" w:pos="9072"/>
        <w:tab w:val="right" w:pos="4395"/>
      </w:tabs>
      <w:jc w:val="right"/>
    </w:pPr>
    <w:r w:rsidRPr="006C07A5">
      <w:t>Appendix D – PBT and POP assessments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3A6" w14:textId="77777777" w:rsidR="006C07A5" w:rsidRDefault="006C07A5" w:rsidP="006C07A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187</w:t>
    </w:r>
    <w:r>
      <w:rPr>
        <w:rStyle w:val="PageNumber"/>
        <w:b w:val="0"/>
        <w:caps/>
        <w:szCs w:val="24"/>
      </w:rPr>
      <w:fldChar w:fldCharType="end"/>
    </w:r>
    <w:r>
      <w:tab/>
    </w:r>
    <w:r w:rsidRPr="0057207A">
      <w:t>Paraquat Final Review Technical Report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91DA" w14:textId="4E579A67" w:rsidR="006C07A5" w:rsidRDefault="006C07A5" w:rsidP="006C07A5">
    <w:pPr>
      <w:pStyle w:val="OddHeader"/>
      <w:tabs>
        <w:tab w:val="clear" w:pos="9072"/>
        <w:tab w:val="right" w:pos="3402"/>
      </w:tabs>
      <w:jc w:val="right"/>
    </w:pPr>
    <w:r w:rsidRPr="006C07A5">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6728" w14:textId="77777777" w:rsidR="006C07A5" w:rsidRDefault="006C07A5" w:rsidP="006C07A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189</w:t>
    </w:r>
    <w:r>
      <w:rPr>
        <w:rStyle w:val="PageNumber"/>
        <w:b w:val="0"/>
        <w:caps/>
        <w:szCs w:val="24"/>
      </w:rPr>
      <w:fldChar w:fldCharType="end"/>
    </w:r>
    <w:r>
      <w:tab/>
    </w:r>
    <w:r w:rsidRPr="0057207A">
      <w:t>Paraquat Final Review Technical Report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6EA3" w14:textId="1F48BC1F" w:rsidR="006C07A5" w:rsidRDefault="006C07A5" w:rsidP="006C07A5">
    <w:pPr>
      <w:pStyle w:val="OddHeader"/>
      <w:tabs>
        <w:tab w:val="clear" w:pos="9072"/>
        <w:tab w:val="right" w:pos="1560"/>
      </w:tabs>
      <w:jc w:val="right"/>
    </w:pPr>
    <w:r w:rsidRPr="006C07A5">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98D6" w14:textId="77777777" w:rsidR="006C07A5" w:rsidRDefault="006C07A5" w:rsidP="006C07A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193</w:t>
    </w:r>
    <w:r>
      <w:rPr>
        <w:rStyle w:val="PageNumber"/>
        <w:b w:val="0"/>
        <w:caps/>
        <w:szCs w:val="24"/>
      </w:rPr>
      <w:fldChar w:fldCharType="end"/>
    </w:r>
    <w:r>
      <w:tab/>
    </w:r>
    <w:r w:rsidRPr="0057207A">
      <w:t>Paraquat Final Review Technical Report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75DB" w14:textId="6DC74672" w:rsidR="003353CC" w:rsidRDefault="003353CC" w:rsidP="003353CC">
    <w:pPr>
      <w:pStyle w:val="OddHeader"/>
      <w:tabs>
        <w:tab w:val="clear" w:pos="9072"/>
        <w:tab w:val="right" w:pos="1843"/>
      </w:tabs>
      <w:jc w:val="right"/>
    </w:pPr>
    <w:r w:rsidRPr="003353CC">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087C72BC" w:rsidR="00D23D6A" w:rsidRDefault="00D23D6A">
    <w:pPr>
      <w:pStyle w:val="OddHeader"/>
    </w:pPr>
    <w:r>
      <w:tab/>
    </w:r>
    <w:r w:rsidR="00FA75CD" w:rsidRPr="00FA75CD">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8E65" w14:textId="77777777" w:rsidR="004A1DF1" w:rsidRDefault="004A1DF1" w:rsidP="004A1DF1">
    <w:pPr>
      <w:pStyle w:val="EvenHeader"/>
      <w:pBdr>
        <w:bottom w:val="single" w:sz="4" w:space="2" w:color="auto"/>
      </w:pBdr>
    </w:pPr>
    <w:r>
      <w:rPr>
        <w:rStyle w:val="PageNumber"/>
        <w:b w:val="0"/>
        <w:caps/>
        <w:szCs w:val="24"/>
      </w:rPr>
      <w:fldChar w:fldCharType="begin"/>
    </w:r>
    <w:r>
      <w:rPr>
        <w:rStyle w:val="PageNumber"/>
        <w:bCs w:val="0"/>
        <w:szCs w:val="24"/>
      </w:rPr>
      <w:instrText xml:space="preserve"> PAGE </w:instrText>
    </w:r>
    <w:r>
      <w:rPr>
        <w:rStyle w:val="PageNumber"/>
        <w:b w:val="0"/>
        <w:caps/>
        <w:szCs w:val="24"/>
      </w:rPr>
      <w:fldChar w:fldCharType="separate"/>
    </w:r>
    <w:r>
      <w:rPr>
        <w:rStyle w:val="PageNumber"/>
        <w:b w:val="0"/>
        <w:caps/>
      </w:rPr>
      <w:t>iv</w:t>
    </w:r>
    <w:r>
      <w:rPr>
        <w:rStyle w:val="PageNumber"/>
        <w:b w:val="0"/>
        <w:caps/>
        <w:szCs w:val="24"/>
      </w:rPr>
      <w:fldChar w:fldCharType="end"/>
    </w:r>
    <w:r>
      <w:tab/>
    </w:r>
    <w:r w:rsidRPr="004A1DF1">
      <w:t>Paraquat Review Technical Report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0AF9" w14:textId="3B2FC2DA" w:rsidR="0057207A" w:rsidRDefault="0057207A" w:rsidP="0057207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Pr="0057207A">
      <w:t>Paraquat Final Review Technical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DE40" w14:textId="21CE1059" w:rsidR="0057207A" w:rsidRDefault="0057207A" w:rsidP="0057207A">
    <w:pPr>
      <w:pStyle w:val="OddHeader"/>
      <w:tabs>
        <w:tab w:val="clear" w:pos="9072"/>
        <w:tab w:val="right" w:pos="2268"/>
      </w:tabs>
      <w:jc w:val="right"/>
    </w:pPr>
    <w:r w:rsidRPr="0057207A">
      <w:t>Executive summary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3A77" w14:textId="0771BE1E" w:rsidR="0057207A" w:rsidRDefault="0057207A" w:rsidP="0057207A">
    <w:pPr>
      <w:pStyle w:val="OddHeader"/>
      <w:tabs>
        <w:tab w:val="clear" w:pos="9072"/>
        <w:tab w:val="right" w:pos="1843"/>
      </w:tabs>
      <w:jc w:val="right"/>
    </w:pPr>
    <w:r w:rsidRPr="0057207A">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8674" w14:textId="17FFB1A2" w:rsidR="0057207A" w:rsidRDefault="0057207A" w:rsidP="0057207A">
    <w:pPr>
      <w:pStyle w:val="OddHeader"/>
      <w:tabs>
        <w:tab w:val="clear" w:pos="9072"/>
        <w:tab w:val="right" w:pos="1701"/>
      </w:tabs>
      <w:jc w:val="right"/>
    </w:pPr>
    <w:r w:rsidRPr="0057207A">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B593" w14:textId="5D7CB49B" w:rsidR="00EB6779" w:rsidRDefault="00EB6779" w:rsidP="0057207A">
    <w:pPr>
      <w:pStyle w:val="OddHeader"/>
      <w:tabs>
        <w:tab w:val="clear" w:pos="9072"/>
        <w:tab w:val="right" w:pos="1701"/>
      </w:tabs>
      <w:jc w:val="right"/>
    </w:pPr>
    <w:r w:rsidRPr="00EB6779">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7461" w14:textId="3FFD98BA" w:rsidR="00EB6779" w:rsidRDefault="00EB6779" w:rsidP="00EB6779">
    <w:pPr>
      <w:pStyle w:val="OddHeader"/>
      <w:tabs>
        <w:tab w:val="clear" w:pos="9072"/>
        <w:tab w:val="right" w:pos="3119"/>
      </w:tabs>
      <w:jc w:val="right"/>
    </w:pPr>
    <w:r w:rsidRPr="00EB6779">
      <w:t>Worker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4DA"/>
    <w:multiLevelType w:val="hybridMultilevel"/>
    <w:tmpl w:val="484C1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682F8D"/>
    <w:multiLevelType w:val="hybridMultilevel"/>
    <w:tmpl w:val="F2F2B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7BE530C"/>
    <w:multiLevelType w:val="hybridMultilevel"/>
    <w:tmpl w:val="6F466F8C"/>
    <w:lvl w:ilvl="0" w:tplc="486E2C38">
      <w:start w:val="1"/>
      <w:numFmt w:val="lowerLetter"/>
      <w:pStyle w:val="appendixsub-heading-2"/>
      <w:lvlText w:val="%1)"/>
      <w:lvlJc w:val="left"/>
      <w:pPr>
        <w:tabs>
          <w:tab w:val="num" w:pos="1176"/>
        </w:tabs>
        <w:ind w:left="1176" w:hanging="360"/>
      </w:pPr>
    </w:lvl>
    <w:lvl w:ilvl="1" w:tplc="D6588CE4" w:tentative="1">
      <w:start w:val="1"/>
      <w:numFmt w:val="lowerLetter"/>
      <w:lvlText w:val="%2."/>
      <w:lvlJc w:val="left"/>
      <w:pPr>
        <w:tabs>
          <w:tab w:val="num" w:pos="1894"/>
        </w:tabs>
        <w:ind w:left="1894" w:hanging="360"/>
      </w:pPr>
    </w:lvl>
    <w:lvl w:ilvl="2" w:tplc="82186DBA" w:tentative="1">
      <w:start w:val="1"/>
      <w:numFmt w:val="lowerRoman"/>
      <w:lvlText w:val="%3."/>
      <w:lvlJc w:val="right"/>
      <w:pPr>
        <w:tabs>
          <w:tab w:val="num" w:pos="2614"/>
        </w:tabs>
        <w:ind w:left="2614" w:hanging="180"/>
      </w:pPr>
    </w:lvl>
    <w:lvl w:ilvl="3" w:tplc="16BA225E" w:tentative="1">
      <w:start w:val="1"/>
      <w:numFmt w:val="decimal"/>
      <w:lvlText w:val="%4."/>
      <w:lvlJc w:val="left"/>
      <w:pPr>
        <w:tabs>
          <w:tab w:val="num" w:pos="3334"/>
        </w:tabs>
        <w:ind w:left="3334" w:hanging="360"/>
      </w:pPr>
    </w:lvl>
    <w:lvl w:ilvl="4" w:tplc="DFD46554" w:tentative="1">
      <w:start w:val="1"/>
      <w:numFmt w:val="lowerLetter"/>
      <w:lvlText w:val="%5."/>
      <w:lvlJc w:val="left"/>
      <w:pPr>
        <w:tabs>
          <w:tab w:val="num" w:pos="4054"/>
        </w:tabs>
        <w:ind w:left="4054" w:hanging="360"/>
      </w:pPr>
    </w:lvl>
    <w:lvl w:ilvl="5" w:tplc="A0903D14" w:tentative="1">
      <w:start w:val="1"/>
      <w:numFmt w:val="lowerRoman"/>
      <w:lvlText w:val="%6."/>
      <w:lvlJc w:val="right"/>
      <w:pPr>
        <w:tabs>
          <w:tab w:val="num" w:pos="4774"/>
        </w:tabs>
        <w:ind w:left="4774" w:hanging="180"/>
      </w:pPr>
    </w:lvl>
    <w:lvl w:ilvl="6" w:tplc="A1945198" w:tentative="1">
      <w:start w:val="1"/>
      <w:numFmt w:val="decimal"/>
      <w:lvlText w:val="%7."/>
      <w:lvlJc w:val="left"/>
      <w:pPr>
        <w:tabs>
          <w:tab w:val="num" w:pos="5494"/>
        </w:tabs>
        <w:ind w:left="5494" w:hanging="360"/>
      </w:pPr>
    </w:lvl>
    <w:lvl w:ilvl="7" w:tplc="978678FA" w:tentative="1">
      <w:start w:val="1"/>
      <w:numFmt w:val="lowerLetter"/>
      <w:lvlText w:val="%8."/>
      <w:lvlJc w:val="left"/>
      <w:pPr>
        <w:tabs>
          <w:tab w:val="num" w:pos="6214"/>
        </w:tabs>
        <w:ind w:left="6214" w:hanging="360"/>
      </w:pPr>
    </w:lvl>
    <w:lvl w:ilvl="8" w:tplc="9BCA2370" w:tentative="1">
      <w:start w:val="1"/>
      <w:numFmt w:val="lowerRoman"/>
      <w:lvlText w:val="%9."/>
      <w:lvlJc w:val="right"/>
      <w:pPr>
        <w:tabs>
          <w:tab w:val="num" w:pos="6934"/>
        </w:tabs>
        <w:ind w:left="6934" w:hanging="180"/>
      </w:pPr>
    </w:lvl>
  </w:abstractNum>
  <w:abstractNum w:abstractNumId="20" w15:restartNumberingAfterBreak="0">
    <w:nsid w:val="29747AC8"/>
    <w:multiLevelType w:val="multilevel"/>
    <w:tmpl w:val="46360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991AF7"/>
    <w:multiLevelType w:val="multilevel"/>
    <w:tmpl w:val="BA000072"/>
    <w:lvl w:ilvl="0">
      <w:start w:val="1"/>
      <w:numFmt w:val="decimal"/>
      <w:lvlText w:val="%1"/>
      <w:lvlJc w:val="left"/>
      <w:pPr>
        <w:tabs>
          <w:tab w:val="num" w:pos="1032"/>
        </w:tabs>
        <w:ind w:left="1032" w:hanging="432"/>
      </w:pPr>
      <w:rPr>
        <w:rFonts w:hint="default"/>
      </w:rPr>
    </w:lvl>
    <w:lvl w:ilvl="1">
      <w:start w:val="1"/>
      <w:numFmt w:val="decimal"/>
      <w:lvlText w:val="%1.%2"/>
      <w:lvlJc w:val="left"/>
      <w:pPr>
        <w:tabs>
          <w:tab w:val="num" w:pos="6814"/>
        </w:tabs>
        <w:ind w:left="6814"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umberedHeading7"/>
      <w:lvlText w:val="%1.%2.%3.%4"/>
      <w:lvlJc w:val="left"/>
      <w:pPr>
        <w:tabs>
          <w:tab w:val="num" w:pos="864"/>
        </w:tabs>
        <w:ind w:left="864" w:hanging="864"/>
      </w:pPr>
      <w:rPr>
        <w:rFonts w:hint="default"/>
      </w:rPr>
    </w:lvl>
    <w:lvl w:ilvl="4">
      <w:start w:val="1"/>
      <w:numFmt w:val="decimal"/>
      <w:pStyle w:val="NumberedHeading8"/>
      <w:lvlText w:val="%1.%2.%3.%4.%5"/>
      <w:lvlJc w:val="left"/>
      <w:pPr>
        <w:tabs>
          <w:tab w:val="num" w:pos="1008"/>
        </w:tabs>
        <w:ind w:left="1008" w:hanging="1008"/>
      </w:pPr>
      <w:rPr>
        <w:rFonts w:hint="default"/>
      </w:rPr>
    </w:lvl>
    <w:lvl w:ilvl="5">
      <w:start w:val="1"/>
      <w:numFmt w:val="decimal"/>
      <w:pStyle w:val="NumberedHeading9"/>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23" w15:restartNumberingAfterBreak="0">
    <w:nsid w:val="30851622"/>
    <w:multiLevelType w:val="multilevel"/>
    <w:tmpl w:val="8822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31C96"/>
    <w:multiLevelType w:val="hybridMultilevel"/>
    <w:tmpl w:val="AF34E9F6"/>
    <w:lvl w:ilvl="0" w:tplc="B0E012BA">
      <w:start w:val="1"/>
      <w:numFmt w:val="upperRoman"/>
      <w:pStyle w:val="Appendix"/>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D90D9B"/>
    <w:multiLevelType w:val="hybridMultilevel"/>
    <w:tmpl w:val="2EB4F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9121CC"/>
    <w:multiLevelType w:val="hybridMultilevel"/>
    <w:tmpl w:val="42726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3" w15:restartNumberingAfterBreak="0">
    <w:nsid w:val="5C1A2484"/>
    <w:multiLevelType w:val="multilevel"/>
    <w:tmpl w:val="D40EC932"/>
    <w:lvl w:ilvl="0">
      <w:start w:val="1"/>
      <w:numFmt w:val="decimal"/>
      <w:pStyle w:val="Tabletitle"/>
      <w:lvlText w:val="Table %1:"/>
      <w:lvlJc w:val="left"/>
      <w:pPr>
        <w:tabs>
          <w:tab w:val="num" w:pos="1134"/>
        </w:tabs>
        <w:ind w:left="1134" w:hanging="1134"/>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6" w15:restartNumberingAfterBreak="0">
    <w:nsid w:val="6CB95607"/>
    <w:multiLevelType w:val="hybridMultilevel"/>
    <w:tmpl w:val="2EC0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7B5972"/>
    <w:multiLevelType w:val="hybridMultilevel"/>
    <w:tmpl w:val="B71AF67E"/>
    <w:lvl w:ilvl="0" w:tplc="8E0022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B63264"/>
    <w:multiLevelType w:val="multilevel"/>
    <w:tmpl w:val="B2FA94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962674A"/>
    <w:multiLevelType w:val="multilevel"/>
    <w:tmpl w:val="75EC7AB0"/>
    <w:lvl w:ilvl="0">
      <w:start w:val="1"/>
      <w:numFmt w:val="decimal"/>
      <w:pStyle w:val="AHN4"/>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4"/>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FD02506"/>
    <w:multiLevelType w:val="hybridMultilevel"/>
    <w:tmpl w:val="49EEA1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0331678">
    <w:abstractNumId w:val="24"/>
  </w:num>
  <w:num w:numId="2" w16cid:durableId="335302058">
    <w:abstractNumId w:val="13"/>
  </w:num>
  <w:num w:numId="3" w16cid:durableId="1905488232">
    <w:abstractNumId w:val="16"/>
  </w:num>
  <w:num w:numId="4" w16cid:durableId="741297798">
    <w:abstractNumId w:val="24"/>
  </w:num>
  <w:num w:numId="5" w16cid:durableId="491216777">
    <w:abstractNumId w:val="25"/>
  </w:num>
  <w:num w:numId="6" w16cid:durableId="1143350196">
    <w:abstractNumId w:val="11"/>
  </w:num>
  <w:num w:numId="7" w16cid:durableId="195391456">
    <w:abstractNumId w:val="27"/>
  </w:num>
  <w:num w:numId="8" w16cid:durableId="394165628">
    <w:abstractNumId w:val="12"/>
  </w:num>
  <w:num w:numId="9" w16cid:durableId="860585435">
    <w:abstractNumId w:val="31"/>
  </w:num>
  <w:num w:numId="10" w16cid:durableId="1677993948">
    <w:abstractNumId w:val="39"/>
  </w:num>
  <w:num w:numId="11" w16cid:durableId="451822193">
    <w:abstractNumId w:val="22"/>
  </w:num>
  <w:num w:numId="12" w16cid:durableId="688679417">
    <w:abstractNumId w:val="33"/>
  </w:num>
  <w:num w:numId="13" w16cid:durableId="1265766699">
    <w:abstractNumId w:val="19"/>
  </w:num>
  <w:num w:numId="14" w16cid:durableId="1066732072">
    <w:abstractNumId w:val="28"/>
  </w:num>
  <w:num w:numId="15" w16cid:durableId="740181162">
    <w:abstractNumId w:val="36"/>
  </w:num>
  <w:num w:numId="16" w16cid:durableId="169874366">
    <w:abstractNumId w:val="15"/>
  </w:num>
  <w:num w:numId="17" w16cid:durableId="1320034597">
    <w:abstractNumId w:val="37"/>
  </w:num>
  <w:num w:numId="18" w16cid:durableId="2141799927">
    <w:abstractNumId w:val="29"/>
  </w:num>
  <w:num w:numId="19" w16cid:durableId="1913930069">
    <w:abstractNumId w:val="40"/>
  </w:num>
  <w:num w:numId="20" w16cid:durableId="595360487">
    <w:abstractNumId w:val="32"/>
  </w:num>
  <w:num w:numId="21" w16cid:durableId="168184807">
    <w:abstractNumId w:val="26"/>
  </w:num>
  <w:num w:numId="22" w16cid:durableId="1458797406">
    <w:abstractNumId w:val="21"/>
  </w:num>
  <w:num w:numId="23" w16cid:durableId="209610050">
    <w:abstractNumId w:val="35"/>
  </w:num>
  <w:num w:numId="24" w16cid:durableId="6300715">
    <w:abstractNumId w:val="14"/>
  </w:num>
  <w:num w:numId="25" w16cid:durableId="10427515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133774">
    <w:abstractNumId w:val="9"/>
  </w:num>
  <w:num w:numId="27" w16cid:durableId="389156344">
    <w:abstractNumId w:val="7"/>
  </w:num>
  <w:num w:numId="28" w16cid:durableId="1847551268">
    <w:abstractNumId w:val="6"/>
  </w:num>
  <w:num w:numId="29" w16cid:durableId="88477859">
    <w:abstractNumId w:val="5"/>
  </w:num>
  <w:num w:numId="30" w16cid:durableId="1513258771">
    <w:abstractNumId w:val="4"/>
  </w:num>
  <w:num w:numId="31" w16cid:durableId="881287777">
    <w:abstractNumId w:val="8"/>
  </w:num>
  <w:num w:numId="32" w16cid:durableId="1913268409">
    <w:abstractNumId w:val="3"/>
  </w:num>
  <w:num w:numId="33" w16cid:durableId="1870416234">
    <w:abstractNumId w:val="2"/>
  </w:num>
  <w:num w:numId="34" w16cid:durableId="981926333">
    <w:abstractNumId w:val="1"/>
  </w:num>
  <w:num w:numId="35" w16cid:durableId="2079667576">
    <w:abstractNumId w:val="0"/>
  </w:num>
  <w:num w:numId="36" w16cid:durableId="1259558567">
    <w:abstractNumId w:val="18"/>
    <w:lvlOverride w:ilvl="0">
      <w:startOverride w:val="1"/>
    </w:lvlOverride>
    <w:lvlOverride w:ilvl="1"/>
    <w:lvlOverride w:ilvl="2"/>
    <w:lvlOverride w:ilvl="3"/>
    <w:lvlOverride w:ilvl="4"/>
    <w:lvlOverride w:ilvl="5"/>
    <w:lvlOverride w:ilvl="6"/>
    <w:lvlOverride w:ilvl="7"/>
    <w:lvlOverride w:ilvl="8"/>
  </w:num>
  <w:num w:numId="37" w16cid:durableId="1220097315">
    <w:abstractNumId w:val="18"/>
  </w:num>
  <w:num w:numId="38" w16cid:durableId="646785712">
    <w:abstractNumId w:val="34"/>
  </w:num>
  <w:num w:numId="39" w16cid:durableId="1692802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178394">
    <w:abstractNumId w:val="38"/>
  </w:num>
  <w:num w:numId="41" w16cid:durableId="1881479866">
    <w:abstractNumId w:val="20"/>
  </w:num>
  <w:num w:numId="42" w16cid:durableId="442916913">
    <w:abstractNumId w:val="15"/>
  </w:num>
  <w:num w:numId="43" w16cid:durableId="1768309447">
    <w:abstractNumId w:val="23"/>
  </w:num>
  <w:num w:numId="44" w16cid:durableId="1403287990">
    <w:abstractNumId w:val="10"/>
  </w:num>
  <w:num w:numId="45" w16cid:durableId="2033649754">
    <w:abstractNumId w:val="16"/>
    <w:lvlOverride w:ilvl="0">
      <w:startOverride w:val="1"/>
    </w:lvlOverride>
  </w:num>
  <w:num w:numId="46" w16cid:durableId="1635721576">
    <w:abstractNumId w:val="16"/>
    <w:lvlOverride w:ilvl="0">
      <w:startOverride w:val="1"/>
    </w:lvlOverride>
  </w:num>
  <w:num w:numId="47" w16cid:durableId="790705704">
    <w:abstractNumId w:val="16"/>
    <w:lvlOverride w:ilvl="0">
      <w:startOverride w:val="1"/>
    </w:lvlOverride>
  </w:num>
  <w:num w:numId="48" w16cid:durableId="12651011">
    <w:abstractNumId w:val="30"/>
  </w:num>
  <w:num w:numId="49" w16cid:durableId="1759520483">
    <w:abstractNumId w:val="17"/>
  </w:num>
  <w:num w:numId="50" w16cid:durableId="25467579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n-AU" w:vendorID="6" w:dllVersion="2" w:checkStyle="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FD4"/>
    <w:rsid w:val="000042B8"/>
    <w:rsid w:val="00004F9C"/>
    <w:rsid w:val="000055DD"/>
    <w:rsid w:val="00006F27"/>
    <w:rsid w:val="00007183"/>
    <w:rsid w:val="00010316"/>
    <w:rsid w:val="00012881"/>
    <w:rsid w:val="00012C56"/>
    <w:rsid w:val="0001491A"/>
    <w:rsid w:val="00014EF4"/>
    <w:rsid w:val="00016CF2"/>
    <w:rsid w:val="00017CE7"/>
    <w:rsid w:val="000200ED"/>
    <w:rsid w:val="00020F64"/>
    <w:rsid w:val="0002154D"/>
    <w:rsid w:val="000237A6"/>
    <w:rsid w:val="00024386"/>
    <w:rsid w:val="00025586"/>
    <w:rsid w:val="00025E45"/>
    <w:rsid w:val="0002745F"/>
    <w:rsid w:val="0003174A"/>
    <w:rsid w:val="00034E3A"/>
    <w:rsid w:val="00034F32"/>
    <w:rsid w:val="000369EA"/>
    <w:rsid w:val="000406E7"/>
    <w:rsid w:val="00040B5C"/>
    <w:rsid w:val="000417A3"/>
    <w:rsid w:val="00043C78"/>
    <w:rsid w:val="000443D8"/>
    <w:rsid w:val="000471EE"/>
    <w:rsid w:val="00047308"/>
    <w:rsid w:val="0004732D"/>
    <w:rsid w:val="00047A14"/>
    <w:rsid w:val="00051DD9"/>
    <w:rsid w:val="00051F0F"/>
    <w:rsid w:val="00055527"/>
    <w:rsid w:val="00055535"/>
    <w:rsid w:val="00055B6B"/>
    <w:rsid w:val="0006168F"/>
    <w:rsid w:val="00061859"/>
    <w:rsid w:val="0006257C"/>
    <w:rsid w:val="00065499"/>
    <w:rsid w:val="000668CE"/>
    <w:rsid w:val="00067828"/>
    <w:rsid w:val="00067E74"/>
    <w:rsid w:val="00070348"/>
    <w:rsid w:val="000709A0"/>
    <w:rsid w:val="00070BBD"/>
    <w:rsid w:val="00070BFE"/>
    <w:rsid w:val="00072B60"/>
    <w:rsid w:val="00073417"/>
    <w:rsid w:val="0007353B"/>
    <w:rsid w:val="000744E4"/>
    <w:rsid w:val="00075B57"/>
    <w:rsid w:val="000765C1"/>
    <w:rsid w:val="0007663C"/>
    <w:rsid w:val="00081FD0"/>
    <w:rsid w:val="00082101"/>
    <w:rsid w:val="0008350E"/>
    <w:rsid w:val="000867BF"/>
    <w:rsid w:val="00086F9A"/>
    <w:rsid w:val="00087816"/>
    <w:rsid w:val="00087F7B"/>
    <w:rsid w:val="00090ABD"/>
    <w:rsid w:val="000951B1"/>
    <w:rsid w:val="00095B0D"/>
    <w:rsid w:val="00096163"/>
    <w:rsid w:val="00096375"/>
    <w:rsid w:val="00096C89"/>
    <w:rsid w:val="00096D18"/>
    <w:rsid w:val="000973A8"/>
    <w:rsid w:val="000A2CEE"/>
    <w:rsid w:val="000A3608"/>
    <w:rsid w:val="000A5D4F"/>
    <w:rsid w:val="000A6F31"/>
    <w:rsid w:val="000A7EF6"/>
    <w:rsid w:val="000B007A"/>
    <w:rsid w:val="000B02B1"/>
    <w:rsid w:val="000B5215"/>
    <w:rsid w:val="000B59B9"/>
    <w:rsid w:val="000B7926"/>
    <w:rsid w:val="000C014B"/>
    <w:rsid w:val="000C05C7"/>
    <w:rsid w:val="000C1A2F"/>
    <w:rsid w:val="000C2C1B"/>
    <w:rsid w:val="000C4015"/>
    <w:rsid w:val="000C4743"/>
    <w:rsid w:val="000C4A74"/>
    <w:rsid w:val="000C50C7"/>
    <w:rsid w:val="000C58C9"/>
    <w:rsid w:val="000C6D7D"/>
    <w:rsid w:val="000C701A"/>
    <w:rsid w:val="000C765A"/>
    <w:rsid w:val="000D045A"/>
    <w:rsid w:val="000D08B5"/>
    <w:rsid w:val="000D1077"/>
    <w:rsid w:val="000D2126"/>
    <w:rsid w:val="000D44BF"/>
    <w:rsid w:val="000D49ED"/>
    <w:rsid w:val="000D5000"/>
    <w:rsid w:val="000D6804"/>
    <w:rsid w:val="000D6B69"/>
    <w:rsid w:val="000E1326"/>
    <w:rsid w:val="000E13FB"/>
    <w:rsid w:val="000E15B1"/>
    <w:rsid w:val="000E2377"/>
    <w:rsid w:val="000E3153"/>
    <w:rsid w:val="000E372E"/>
    <w:rsid w:val="000E6408"/>
    <w:rsid w:val="000F3F0F"/>
    <w:rsid w:val="000F48E3"/>
    <w:rsid w:val="000F58D5"/>
    <w:rsid w:val="000F77B3"/>
    <w:rsid w:val="00104818"/>
    <w:rsid w:val="001049A0"/>
    <w:rsid w:val="00105A54"/>
    <w:rsid w:val="00107E54"/>
    <w:rsid w:val="001114E2"/>
    <w:rsid w:val="0011328B"/>
    <w:rsid w:val="001135D2"/>
    <w:rsid w:val="0011600F"/>
    <w:rsid w:val="00117486"/>
    <w:rsid w:val="00120E00"/>
    <w:rsid w:val="00121387"/>
    <w:rsid w:val="00121A73"/>
    <w:rsid w:val="0012216E"/>
    <w:rsid w:val="001251E7"/>
    <w:rsid w:val="001258FA"/>
    <w:rsid w:val="00127D78"/>
    <w:rsid w:val="0013021D"/>
    <w:rsid w:val="0013068D"/>
    <w:rsid w:val="00130AB3"/>
    <w:rsid w:val="00132908"/>
    <w:rsid w:val="00132C4B"/>
    <w:rsid w:val="00133AC3"/>
    <w:rsid w:val="00134232"/>
    <w:rsid w:val="00134C23"/>
    <w:rsid w:val="0013597C"/>
    <w:rsid w:val="00136787"/>
    <w:rsid w:val="00136A7E"/>
    <w:rsid w:val="00141999"/>
    <w:rsid w:val="00141CFF"/>
    <w:rsid w:val="00142DE9"/>
    <w:rsid w:val="00143B86"/>
    <w:rsid w:val="00143F5A"/>
    <w:rsid w:val="00145BA8"/>
    <w:rsid w:val="0015035C"/>
    <w:rsid w:val="001503E6"/>
    <w:rsid w:val="001512E9"/>
    <w:rsid w:val="00152843"/>
    <w:rsid w:val="00152BE1"/>
    <w:rsid w:val="001534D8"/>
    <w:rsid w:val="00153B4F"/>
    <w:rsid w:val="001563A2"/>
    <w:rsid w:val="00157546"/>
    <w:rsid w:val="00157E5D"/>
    <w:rsid w:val="00160477"/>
    <w:rsid w:val="00162D9E"/>
    <w:rsid w:val="00163AF3"/>
    <w:rsid w:val="00163EA7"/>
    <w:rsid w:val="001651D9"/>
    <w:rsid w:val="00166465"/>
    <w:rsid w:val="00167BB3"/>
    <w:rsid w:val="001710A3"/>
    <w:rsid w:val="001711E8"/>
    <w:rsid w:val="001712E2"/>
    <w:rsid w:val="00171490"/>
    <w:rsid w:val="001720E4"/>
    <w:rsid w:val="001746DD"/>
    <w:rsid w:val="00174E15"/>
    <w:rsid w:val="0018161A"/>
    <w:rsid w:val="00181F3D"/>
    <w:rsid w:val="0018338F"/>
    <w:rsid w:val="00184190"/>
    <w:rsid w:val="0018497D"/>
    <w:rsid w:val="00187029"/>
    <w:rsid w:val="00193533"/>
    <w:rsid w:val="00196FFE"/>
    <w:rsid w:val="001A096D"/>
    <w:rsid w:val="001A23BB"/>
    <w:rsid w:val="001A2FFB"/>
    <w:rsid w:val="001A33A0"/>
    <w:rsid w:val="001A3DB4"/>
    <w:rsid w:val="001A46FA"/>
    <w:rsid w:val="001A629D"/>
    <w:rsid w:val="001A72EA"/>
    <w:rsid w:val="001B160C"/>
    <w:rsid w:val="001B1D35"/>
    <w:rsid w:val="001B1F00"/>
    <w:rsid w:val="001B2865"/>
    <w:rsid w:val="001B335C"/>
    <w:rsid w:val="001B33E0"/>
    <w:rsid w:val="001B3607"/>
    <w:rsid w:val="001B435C"/>
    <w:rsid w:val="001B45C8"/>
    <w:rsid w:val="001B4C99"/>
    <w:rsid w:val="001B5CA5"/>
    <w:rsid w:val="001B72FD"/>
    <w:rsid w:val="001C311D"/>
    <w:rsid w:val="001C470D"/>
    <w:rsid w:val="001C4E94"/>
    <w:rsid w:val="001C5089"/>
    <w:rsid w:val="001C5F44"/>
    <w:rsid w:val="001C5FEF"/>
    <w:rsid w:val="001C627C"/>
    <w:rsid w:val="001C6607"/>
    <w:rsid w:val="001C7134"/>
    <w:rsid w:val="001C77A8"/>
    <w:rsid w:val="001D1247"/>
    <w:rsid w:val="001D1567"/>
    <w:rsid w:val="001D298E"/>
    <w:rsid w:val="001D3257"/>
    <w:rsid w:val="001D487A"/>
    <w:rsid w:val="001D51F5"/>
    <w:rsid w:val="001D55E7"/>
    <w:rsid w:val="001D59C4"/>
    <w:rsid w:val="001D5F45"/>
    <w:rsid w:val="001D6377"/>
    <w:rsid w:val="001D6A9C"/>
    <w:rsid w:val="001D6AF2"/>
    <w:rsid w:val="001D700B"/>
    <w:rsid w:val="001E0C35"/>
    <w:rsid w:val="001E0FCA"/>
    <w:rsid w:val="001E203A"/>
    <w:rsid w:val="001E2D63"/>
    <w:rsid w:val="001E3285"/>
    <w:rsid w:val="001E638F"/>
    <w:rsid w:val="001E65F3"/>
    <w:rsid w:val="001F0DC7"/>
    <w:rsid w:val="001F1627"/>
    <w:rsid w:val="001F55BC"/>
    <w:rsid w:val="001F6038"/>
    <w:rsid w:val="001F7978"/>
    <w:rsid w:val="001F7AC8"/>
    <w:rsid w:val="00203F06"/>
    <w:rsid w:val="0020575E"/>
    <w:rsid w:val="002071F4"/>
    <w:rsid w:val="00207789"/>
    <w:rsid w:val="002133C1"/>
    <w:rsid w:val="00214955"/>
    <w:rsid w:val="00216F0E"/>
    <w:rsid w:val="002237EE"/>
    <w:rsid w:val="0022632D"/>
    <w:rsid w:val="002279DA"/>
    <w:rsid w:val="00227A9F"/>
    <w:rsid w:val="00227CF8"/>
    <w:rsid w:val="00227DD8"/>
    <w:rsid w:val="00236E16"/>
    <w:rsid w:val="0023706E"/>
    <w:rsid w:val="002375FD"/>
    <w:rsid w:val="00240061"/>
    <w:rsid w:val="0024013A"/>
    <w:rsid w:val="00244889"/>
    <w:rsid w:val="00245444"/>
    <w:rsid w:val="00247CBF"/>
    <w:rsid w:val="00250996"/>
    <w:rsid w:val="00250D52"/>
    <w:rsid w:val="00251636"/>
    <w:rsid w:val="002516A2"/>
    <w:rsid w:val="0025418F"/>
    <w:rsid w:val="00255E26"/>
    <w:rsid w:val="00256652"/>
    <w:rsid w:val="0026037A"/>
    <w:rsid w:val="00261464"/>
    <w:rsid w:val="0026493F"/>
    <w:rsid w:val="00265FA6"/>
    <w:rsid w:val="002668D4"/>
    <w:rsid w:val="00266ECB"/>
    <w:rsid w:val="002728D8"/>
    <w:rsid w:val="00272DCD"/>
    <w:rsid w:val="00276518"/>
    <w:rsid w:val="00276DDC"/>
    <w:rsid w:val="002776E0"/>
    <w:rsid w:val="00277D56"/>
    <w:rsid w:val="00280720"/>
    <w:rsid w:val="0028098F"/>
    <w:rsid w:val="00281B26"/>
    <w:rsid w:val="00282A32"/>
    <w:rsid w:val="002830F3"/>
    <w:rsid w:val="0028336D"/>
    <w:rsid w:val="00285048"/>
    <w:rsid w:val="0028616F"/>
    <w:rsid w:val="0028753B"/>
    <w:rsid w:val="00287DD3"/>
    <w:rsid w:val="0029135D"/>
    <w:rsid w:val="00292542"/>
    <w:rsid w:val="002936F2"/>
    <w:rsid w:val="00293CC9"/>
    <w:rsid w:val="002946C5"/>
    <w:rsid w:val="00294A15"/>
    <w:rsid w:val="002A1B20"/>
    <w:rsid w:val="002A1EC1"/>
    <w:rsid w:val="002A3239"/>
    <w:rsid w:val="002A394F"/>
    <w:rsid w:val="002A3B18"/>
    <w:rsid w:val="002A4F2C"/>
    <w:rsid w:val="002A4FBB"/>
    <w:rsid w:val="002A5EE4"/>
    <w:rsid w:val="002A69DD"/>
    <w:rsid w:val="002A7091"/>
    <w:rsid w:val="002B0672"/>
    <w:rsid w:val="002B1C3A"/>
    <w:rsid w:val="002B1D49"/>
    <w:rsid w:val="002B2BD2"/>
    <w:rsid w:val="002B327C"/>
    <w:rsid w:val="002B5703"/>
    <w:rsid w:val="002B660F"/>
    <w:rsid w:val="002B7B2B"/>
    <w:rsid w:val="002C08A7"/>
    <w:rsid w:val="002C1082"/>
    <w:rsid w:val="002C3D34"/>
    <w:rsid w:val="002C653A"/>
    <w:rsid w:val="002C68CD"/>
    <w:rsid w:val="002C73EA"/>
    <w:rsid w:val="002D0FA5"/>
    <w:rsid w:val="002D2A21"/>
    <w:rsid w:val="002D2EBC"/>
    <w:rsid w:val="002D359C"/>
    <w:rsid w:val="002D400D"/>
    <w:rsid w:val="002D47CC"/>
    <w:rsid w:val="002D484C"/>
    <w:rsid w:val="002D7494"/>
    <w:rsid w:val="002D7616"/>
    <w:rsid w:val="002D7779"/>
    <w:rsid w:val="002E0803"/>
    <w:rsid w:val="002E0881"/>
    <w:rsid w:val="002E1AF5"/>
    <w:rsid w:val="002E1B30"/>
    <w:rsid w:val="002E20AC"/>
    <w:rsid w:val="002E29C8"/>
    <w:rsid w:val="002E52EE"/>
    <w:rsid w:val="002E550F"/>
    <w:rsid w:val="002E6782"/>
    <w:rsid w:val="002E7306"/>
    <w:rsid w:val="002E779A"/>
    <w:rsid w:val="002F1483"/>
    <w:rsid w:val="002F187B"/>
    <w:rsid w:val="002F1F58"/>
    <w:rsid w:val="002F1FAB"/>
    <w:rsid w:val="002F269C"/>
    <w:rsid w:val="002F339B"/>
    <w:rsid w:val="002F4591"/>
    <w:rsid w:val="002F4EA7"/>
    <w:rsid w:val="002F588B"/>
    <w:rsid w:val="002F6837"/>
    <w:rsid w:val="002F78E5"/>
    <w:rsid w:val="00300AF1"/>
    <w:rsid w:val="00301113"/>
    <w:rsid w:val="003023C5"/>
    <w:rsid w:val="0030255E"/>
    <w:rsid w:val="00304E9C"/>
    <w:rsid w:val="00306C6F"/>
    <w:rsid w:val="00307BDC"/>
    <w:rsid w:val="00307F56"/>
    <w:rsid w:val="00313304"/>
    <w:rsid w:val="00313874"/>
    <w:rsid w:val="0031487D"/>
    <w:rsid w:val="003160DC"/>
    <w:rsid w:val="00316564"/>
    <w:rsid w:val="003240EA"/>
    <w:rsid w:val="00324B65"/>
    <w:rsid w:val="00325358"/>
    <w:rsid w:val="003275F8"/>
    <w:rsid w:val="00327FC1"/>
    <w:rsid w:val="00330CF8"/>
    <w:rsid w:val="00334873"/>
    <w:rsid w:val="00334A1E"/>
    <w:rsid w:val="003351B2"/>
    <w:rsid w:val="003353CC"/>
    <w:rsid w:val="00336554"/>
    <w:rsid w:val="0034019B"/>
    <w:rsid w:val="0034031F"/>
    <w:rsid w:val="003417AD"/>
    <w:rsid w:val="003426ED"/>
    <w:rsid w:val="00344430"/>
    <w:rsid w:val="003445B2"/>
    <w:rsid w:val="00344D63"/>
    <w:rsid w:val="003458EB"/>
    <w:rsid w:val="00346134"/>
    <w:rsid w:val="003462B4"/>
    <w:rsid w:val="00347883"/>
    <w:rsid w:val="00347C98"/>
    <w:rsid w:val="003501E7"/>
    <w:rsid w:val="003506C5"/>
    <w:rsid w:val="00354824"/>
    <w:rsid w:val="003548BB"/>
    <w:rsid w:val="00355112"/>
    <w:rsid w:val="003557CC"/>
    <w:rsid w:val="003566A3"/>
    <w:rsid w:val="00363750"/>
    <w:rsid w:val="003651DE"/>
    <w:rsid w:val="00366DC5"/>
    <w:rsid w:val="00370B37"/>
    <w:rsid w:val="003714BF"/>
    <w:rsid w:val="0037275F"/>
    <w:rsid w:val="00373EF1"/>
    <w:rsid w:val="0037470B"/>
    <w:rsid w:val="00374931"/>
    <w:rsid w:val="00380318"/>
    <w:rsid w:val="00381544"/>
    <w:rsid w:val="003855C4"/>
    <w:rsid w:val="00385651"/>
    <w:rsid w:val="00386C1F"/>
    <w:rsid w:val="003904CC"/>
    <w:rsid w:val="00390BE8"/>
    <w:rsid w:val="00393E2F"/>
    <w:rsid w:val="00394F10"/>
    <w:rsid w:val="00396B8A"/>
    <w:rsid w:val="003A12EC"/>
    <w:rsid w:val="003A17E6"/>
    <w:rsid w:val="003A2242"/>
    <w:rsid w:val="003A3788"/>
    <w:rsid w:val="003A46D0"/>
    <w:rsid w:val="003A47FC"/>
    <w:rsid w:val="003A4902"/>
    <w:rsid w:val="003A558F"/>
    <w:rsid w:val="003A6CA3"/>
    <w:rsid w:val="003A752D"/>
    <w:rsid w:val="003A78CF"/>
    <w:rsid w:val="003B0833"/>
    <w:rsid w:val="003B2071"/>
    <w:rsid w:val="003B26D9"/>
    <w:rsid w:val="003B2728"/>
    <w:rsid w:val="003B2DEA"/>
    <w:rsid w:val="003B437F"/>
    <w:rsid w:val="003B60F4"/>
    <w:rsid w:val="003B6A71"/>
    <w:rsid w:val="003B6F82"/>
    <w:rsid w:val="003B79E4"/>
    <w:rsid w:val="003C0891"/>
    <w:rsid w:val="003C1338"/>
    <w:rsid w:val="003C155C"/>
    <w:rsid w:val="003C3D84"/>
    <w:rsid w:val="003C5A13"/>
    <w:rsid w:val="003C5A92"/>
    <w:rsid w:val="003C5C86"/>
    <w:rsid w:val="003C5ECF"/>
    <w:rsid w:val="003C5F23"/>
    <w:rsid w:val="003C6933"/>
    <w:rsid w:val="003C6DDF"/>
    <w:rsid w:val="003D0B46"/>
    <w:rsid w:val="003D0BB7"/>
    <w:rsid w:val="003D1E7E"/>
    <w:rsid w:val="003D3E7C"/>
    <w:rsid w:val="003D5020"/>
    <w:rsid w:val="003D620E"/>
    <w:rsid w:val="003D6A18"/>
    <w:rsid w:val="003D775E"/>
    <w:rsid w:val="003D7941"/>
    <w:rsid w:val="003E061B"/>
    <w:rsid w:val="003E6480"/>
    <w:rsid w:val="003F08EA"/>
    <w:rsid w:val="003F2145"/>
    <w:rsid w:val="003F36F0"/>
    <w:rsid w:val="003F6784"/>
    <w:rsid w:val="003F6C14"/>
    <w:rsid w:val="003F6C71"/>
    <w:rsid w:val="00400099"/>
    <w:rsid w:val="00401831"/>
    <w:rsid w:val="00402321"/>
    <w:rsid w:val="00403F6B"/>
    <w:rsid w:val="00404055"/>
    <w:rsid w:val="004041B9"/>
    <w:rsid w:val="0040473F"/>
    <w:rsid w:val="00406083"/>
    <w:rsid w:val="00406436"/>
    <w:rsid w:val="004070E1"/>
    <w:rsid w:val="00410B2F"/>
    <w:rsid w:val="00411062"/>
    <w:rsid w:val="004120C2"/>
    <w:rsid w:val="0041212E"/>
    <w:rsid w:val="0041228F"/>
    <w:rsid w:val="00412703"/>
    <w:rsid w:val="0041288D"/>
    <w:rsid w:val="004128B4"/>
    <w:rsid w:val="00412AA8"/>
    <w:rsid w:val="004137E2"/>
    <w:rsid w:val="00414E85"/>
    <w:rsid w:val="00415324"/>
    <w:rsid w:val="0041559F"/>
    <w:rsid w:val="00416299"/>
    <w:rsid w:val="00416584"/>
    <w:rsid w:val="004165EA"/>
    <w:rsid w:val="00416F5D"/>
    <w:rsid w:val="0041791E"/>
    <w:rsid w:val="004207F7"/>
    <w:rsid w:val="00420DC5"/>
    <w:rsid w:val="0042269F"/>
    <w:rsid w:val="0042363B"/>
    <w:rsid w:val="00423949"/>
    <w:rsid w:val="00427944"/>
    <w:rsid w:val="00427DA3"/>
    <w:rsid w:val="004301A9"/>
    <w:rsid w:val="00430918"/>
    <w:rsid w:val="0043285A"/>
    <w:rsid w:val="00432AA0"/>
    <w:rsid w:val="00432E28"/>
    <w:rsid w:val="00434748"/>
    <w:rsid w:val="00436FE4"/>
    <w:rsid w:val="0043778E"/>
    <w:rsid w:val="00440EAB"/>
    <w:rsid w:val="00444045"/>
    <w:rsid w:val="00444260"/>
    <w:rsid w:val="00444FF1"/>
    <w:rsid w:val="00445260"/>
    <w:rsid w:val="00446460"/>
    <w:rsid w:val="0044679A"/>
    <w:rsid w:val="0044679C"/>
    <w:rsid w:val="00450EDB"/>
    <w:rsid w:val="00450F06"/>
    <w:rsid w:val="004518A1"/>
    <w:rsid w:val="00453244"/>
    <w:rsid w:val="00460558"/>
    <w:rsid w:val="004616C8"/>
    <w:rsid w:val="00461D26"/>
    <w:rsid w:val="00461FA8"/>
    <w:rsid w:val="00462C7F"/>
    <w:rsid w:val="00464C64"/>
    <w:rsid w:val="00467B7D"/>
    <w:rsid w:val="00470304"/>
    <w:rsid w:val="00470ADD"/>
    <w:rsid w:val="00470C5D"/>
    <w:rsid w:val="00472A13"/>
    <w:rsid w:val="00473575"/>
    <w:rsid w:val="00475330"/>
    <w:rsid w:val="00475951"/>
    <w:rsid w:val="0048020A"/>
    <w:rsid w:val="004808C6"/>
    <w:rsid w:val="00482292"/>
    <w:rsid w:val="00482C48"/>
    <w:rsid w:val="00482F65"/>
    <w:rsid w:val="004856FF"/>
    <w:rsid w:val="00485871"/>
    <w:rsid w:val="0048742C"/>
    <w:rsid w:val="00487A30"/>
    <w:rsid w:val="0049054D"/>
    <w:rsid w:val="00490974"/>
    <w:rsid w:val="00492F33"/>
    <w:rsid w:val="00493245"/>
    <w:rsid w:val="004932D5"/>
    <w:rsid w:val="00493AA8"/>
    <w:rsid w:val="00494BA7"/>
    <w:rsid w:val="00495BB7"/>
    <w:rsid w:val="0049603E"/>
    <w:rsid w:val="004963FA"/>
    <w:rsid w:val="00497F5A"/>
    <w:rsid w:val="004A1DF1"/>
    <w:rsid w:val="004A2F4E"/>
    <w:rsid w:val="004A4FC3"/>
    <w:rsid w:val="004A6293"/>
    <w:rsid w:val="004A6294"/>
    <w:rsid w:val="004A65A5"/>
    <w:rsid w:val="004B0069"/>
    <w:rsid w:val="004B0073"/>
    <w:rsid w:val="004B05CD"/>
    <w:rsid w:val="004B2C39"/>
    <w:rsid w:val="004C0B89"/>
    <w:rsid w:val="004C2412"/>
    <w:rsid w:val="004C40C5"/>
    <w:rsid w:val="004D17DA"/>
    <w:rsid w:val="004D2C4F"/>
    <w:rsid w:val="004D4E89"/>
    <w:rsid w:val="004D508E"/>
    <w:rsid w:val="004D56AE"/>
    <w:rsid w:val="004D588B"/>
    <w:rsid w:val="004D6DBB"/>
    <w:rsid w:val="004D6EB9"/>
    <w:rsid w:val="004D7143"/>
    <w:rsid w:val="004D7709"/>
    <w:rsid w:val="004D7C7F"/>
    <w:rsid w:val="004E0090"/>
    <w:rsid w:val="004E036F"/>
    <w:rsid w:val="004E35A0"/>
    <w:rsid w:val="004E35C6"/>
    <w:rsid w:val="004E3808"/>
    <w:rsid w:val="004E6613"/>
    <w:rsid w:val="004F27AB"/>
    <w:rsid w:val="004F2F77"/>
    <w:rsid w:val="004F3A25"/>
    <w:rsid w:val="004F5F3B"/>
    <w:rsid w:val="004F69F6"/>
    <w:rsid w:val="00500D6B"/>
    <w:rsid w:val="00501C81"/>
    <w:rsid w:val="005029F1"/>
    <w:rsid w:val="00504353"/>
    <w:rsid w:val="00504A8D"/>
    <w:rsid w:val="00504FE9"/>
    <w:rsid w:val="00505BDD"/>
    <w:rsid w:val="005064D5"/>
    <w:rsid w:val="00506D7A"/>
    <w:rsid w:val="005077BC"/>
    <w:rsid w:val="00510B6B"/>
    <w:rsid w:val="00511764"/>
    <w:rsid w:val="0051266A"/>
    <w:rsid w:val="005141E3"/>
    <w:rsid w:val="00515F30"/>
    <w:rsid w:val="005177B3"/>
    <w:rsid w:val="00520963"/>
    <w:rsid w:val="005229C6"/>
    <w:rsid w:val="00522E27"/>
    <w:rsid w:val="0052473A"/>
    <w:rsid w:val="00526F99"/>
    <w:rsid w:val="00530242"/>
    <w:rsid w:val="0053231C"/>
    <w:rsid w:val="00532B63"/>
    <w:rsid w:val="00533573"/>
    <w:rsid w:val="005336D6"/>
    <w:rsid w:val="0054150E"/>
    <w:rsid w:val="00541CF6"/>
    <w:rsid w:val="00541FEC"/>
    <w:rsid w:val="00545EF7"/>
    <w:rsid w:val="005500EE"/>
    <w:rsid w:val="00550F6A"/>
    <w:rsid w:val="005527B9"/>
    <w:rsid w:val="0055398A"/>
    <w:rsid w:val="00556804"/>
    <w:rsid w:val="0055684F"/>
    <w:rsid w:val="005569FA"/>
    <w:rsid w:val="00557976"/>
    <w:rsid w:val="00560E83"/>
    <w:rsid w:val="00562031"/>
    <w:rsid w:val="00563297"/>
    <w:rsid w:val="00563A6D"/>
    <w:rsid w:val="00564F11"/>
    <w:rsid w:val="005651DB"/>
    <w:rsid w:val="005654A4"/>
    <w:rsid w:val="00565AC5"/>
    <w:rsid w:val="00566590"/>
    <w:rsid w:val="00570F41"/>
    <w:rsid w:val="00571ADD"/>
    <w:rsid w:val="0057207A"/>
    <w:rsid w:val="00572131"/>
    <w:rsid w:val="00572D44"/>
    <w:rsid w:val="00572E71"/>
    <w:rsid w:val="005762F5"/>
    <w:rsid w:val="00580DF4"/>
    <w:rsid w:val="005829A0"/>
    <w:rsid w:val="005857CB"/>
    <w:rsid w:val="00585B03"/>
    <w:rsid w:val="00585F97"/>
    <w:rsid w:val="005863B0"/>
    <w:rsid w:val="0058748C"/>
    <w:rsid w:val="00587524"/>
    <w:rsid w:val="00591886"/>
    <w:rsid w:val="00593069"/>
    <w:rsid w:val="00593E05"/>
    <w:rsid w:val="0059522F"/>
    <w:rsid w:val="00596617"/>
    <w:rsid w:val="005A0921"/>
    <w:rsid w:val="005A0EA6"/>
    <w:rsid w:val="005A0FB6"/>
    <w:rsid w:val="005A2BA6"/>
    <w:rsid w:val="005A402D"/>
    <w:rsid w:val="005A477F"/>
    <w:rsid w:val="005A57B4"/>
    <w:rsid w:val="005A60F7"/>
    <w:rsid w:val="005A7422"/>
    <w:rsid w:val="005B0AE2"/>
    <w:rsid w:val="005B2548"/>
    <w:rsid w:val="005B3970"/>
    <w:rsid w:val="005B53F9"/>
    <w:rsid w:val="005B5CD1"/>
    <w:rsid w:val="005B7617"/>
    <w:rsid w:val="005B767D"/>
    <w:rsid w:val="005C0D30"/>
    <w:rsid w:val="005C1E35"/>
    <w:rsid w:val="005C2BFC"/>
    <w:rsid w:val="005C375E"/>
    <w:rsid w:val="005C412B"/>
    <w:rsid w:val="005C5C37"/>
    <w:rsid w:val="005C6CD8"/>
    <w:rsid w:val="005C7FD5"/>
    <w:rsid w:val="005D0E7A"/>
    <w:rsid w:val="005D144D"/>
    <w:rsid w:val="005D147C"/>
    <w:rsid w:val="005D1A47"/>
    <w:rsid w:val="005D2C80"/>
    <w:rsid w:val="005D3EE1"/>
    <w:rsid w:val="005D3F4B"/>
    <w:rsid w:val="005D6792"/>
    <w:rsid w:val="005E11DF"/>
    <w:rsid w:val="005E1758"/>
    <w:rsid w:val="005E2DEB"/>
    <w:rsid w:val="005E37FD"/>
    <w:rsid w:val="005E3C98"/>
    <w:rsid w:val="005E419F"/>
    <w:rsid w:val="005F01FD"/>
    <w:rsid w:val="005F0ADD"/>
    <w:rsid w:val="005F22A6"/>
    <w:rsid w:val="005F25C0"/>
    <w:rsid w:val="005F322A"/>
    <w:rsid w:val="005F3CF0"/>
    <w:rsid w:val="005F5DAB"/>
    <w:rsid w:val="005F6F05"/>
    <w:rsid w:val="006006BE"/>
    <w:rsid w:val="00600960"/>
    <w:rsid w:val="00604BE6"/>
    <w:rsid w:val="00605325"/>
    <w:rsid w:val="006108FB"/>
    <w:rsid w:val="006110AE"/>
    <w:rsid w:val="00612984"/>
    <w:rsid w:val="006141B9"/>
    <w:rsid w:val="006147E3"/>
    <w:rsid w:val="00616845"/>
    <w:rsid w:val="00616937"/>
    <w:rsid w:val="00617382"/>
    <w:rsid w:val="0061790A"/>
    <w:rsid w:val="00617A57"/>
    <w:rsid w:val="00620ACA"/>
    <w:rsid w:val="0062466B"/>
    <w:rsid w:val="006255C0"/>
    <w:rsid w:val="00625D86"/>
    <w:rsid w:val="0062653F"/>
    <w:rsid w:val="0062659D"/>
    <w:rsid w:val="00626DF6"/>
    <w:rsid w:val="00627C0C"/>
    <w:rsid w:val="00632F3F"/>
    <w:rsid w:val="0063692A"/>
    <w:rsid w:val="00637628"/>
    <w:rsid w:val="00637890"/>
    <w:rsid w:val="00637B27"/>
    <w:rsid w:val="00637F01"/>
    <w:rsid w:val="00642943"/>
    <w:rsid w:val="00643052"/>
    <w:rsid w:val="00643761"/>
    <w:rsid w:val="00643E20"/>
    <w:rsid w:val="00644EBA"/>
    <w:rsid w:val="0064579C"/>
    <w:rsid w:val="00646678"/>
    <w:rsid w:val="00646BAB"/>
    <w:rsid w:val="0065238C"/>
    <w:rsid w:val="00653723"/>
    <w:rsid w:val="00656973"/>
    <w:rsid w:val="00657A28"/>
    <w:rsid w:val="006625E9"/>
    <w:rsid w:val="006625F7"/>
    <w:rsid w:val="0066413E"/>
    <w:rsid w:val="0066529F"/>
    <w:rsid w:val="00665369"/>
    <w:rsid w:val="00673016"/>
    <w:rsid w:val="006731F4"/>
    <w:rsid w:val="00673406"/>
    <w:rsid w:val="0067504A"/>
    <w:rsid w:val="006754A6"/>
    <w:rsid w:val="00676DCC"/>
    <w:rsid w:val="00681B59"/>
    <w:rsid w:val="0068267E"/>
    <w:rsid w:val="006859B4"/>
    <w:rsid w:val="00685E25"/>
    <w:rsid w:val="006868E0"/>
    <w:rsid w:val="006868E1"/>
    <w:rsid w:val="00687659"/>
    <w:rsid w:val="00687D81"/>
    <w:rsid w:val="00687F21"/>
    <w:rsid w:val="006909B4"/>
    <w:rsid w:val="00691F32"/>
    <w:rsid w:val="00692862"/>
    <w:rsid w:val="00693B9F"/>
    <w:rsid w:val="006946E4"/>
    <w:rsid w:val="006A1C5F"/>
    <w:rsid w:val="006A394E"/>
    <w:rsid w:val="006A399F"/>
    <w:rsid w:val="006A51A3"/>
    <w:rsid w:val="006A596B"/>
    <w:rsid w:val="006A74B2"/>
    <w:rsid w:val="006A7EE4"/>
    <w:rsid w:val="006B08B8"/>
    <w:rsid w:val="006B255B"/>
    <w:rsid w:val="006B2CEE"/>
    <w:rsid w:val="006B433C"/>
    <w:rsid w:val="006B4C9C"/>
    <w:rsid w:val="006B4FD6"/>
    <w:rsid w:val="006B7BC4"/>
    <w:rsid w:val="006C07A5"/>
    <w:rsid w:val="006C08BC"/>
    <w:rsid w:val="006C0E18"/>
    <w:rsid w:val="006C1AE6"/>
    <w:rsid w:val="006C1FC5"/>
    <w:rsid w:val="006C29EC"/>
    <w:rsid w:val="006C30E5"/>
    <w:rsid w:val="006C3D20"/>
    <w:rsid w:val="006C5342"/>
    <w:rsid w:val="006C6506"/>
    <w:rsid w:val="006C7F2E"/>
    <w:rsid w:val="006D0B1C"/>
    <w:rsid w:val="006D0D01"/>
    <w:rsid w:val="006D0FFD"/>
    <w:rsid w:val="006D14FA"/>
    <w:rsid w:val="006D28E0"/>
    <w:rsid w:val="006D3022"/>
    <w:rsid w:val="006D6058"/>
    <w:rsid w:val="006D7C8D"/>
    <w:rsid w:val="006D7DB5"/>
    <w:rsid w:val="006E1113"/>
    <w:rsid w:val="006E2753"/>
    <w:rsid w:val="006E2C5A"/>
    <w:rsid w:val="006E33F7"/>
    <w:rsid w:val="006E53C7"/>
    <w:rsid w:val="006E562B"/>
    <w:rsid w:val="006F075F"/>
    <w:rsid w:val="006F0D47"/>
    <w:rsid w:val="006F0DB1"/>
    <w:rsid w:val="006F0F8C"/>
    <w:rsid w:val="006F13F0"/>
    <w:rsid w:val="006F21D5"/>
    <w:rsid w:val="006F3715"/>
    <w:rsid w:val="006F3D02"/>
    <w:rsid w:val="006F5E52"/>
    <w:rsid w:val="006F5F19"/>
    <w:rsid w:val="006F6016"/>
    <w:rsid w:val="006F7A68"/>
    <w:rsid w:val="00700C27"/>
    <w:rsid w:val="00700FB0"/>
    <w:rsid w:val="007027BE"/>
    <w:rsid w:val="00702B7D"/>
    <w:rsid w:val="00703C3B"/>
    <w:rsid w:val="00704EF6"/>
    <w:rsid w:val="00711593"/>
    <w:rsid w:val="00714FFE"/>
    <w:rsid w:val="00717C14"/>
    <w:rsid w:val="00720F9F"/>
    <w:rsid w:val="0072113F"/>
    <w:rsid w:val="00723B69"/>
    <w:rsid w:val="0072569E"/>
    <w:rsid w:val="007275CF"/>
    <w:rsid w:val="00733E5C"/>
    <w:rsid w:val="00733F2B"/>
    <w:rsid w:val="00734103"/>
    <w:rsid w:val="007349D4"/>
    <w:rsid w:val="00741DEC"/>
    <w:rsid w:val="00743346"/>
    <w:rsid w:val="0074436D"/>
    <w:rsid w:val="0074626D"/>
    <w:rsid w:val="0074626E"/>
    <w:rsid w:val="00746296"/>
    <w:rsid w:val="00746FCD"/>
    <w:rsid w:val="00751795"/>
    <w:rsid w:val="00752A77"/>
    <w:rsid w:val="007531BA"/>
    <w:rsid w:val="0075336D"/>
    <w:rsid w:val="00753522"/>
    <w:rsid w:val="00753CC7"/>
    <w:rsid w:val="00753E30"/>
    <w:rsid w:val="007540C4"/>
    <w:rsid w:val="00754646"/>
    <w:rsid w:val="00756DD1"/>
    <w:rsid w:val="00757654"/>
    <w:rsid w:val="00757AD7"/>
    <w:rsid w:val="00760F08"/>
    <w:rsid w:val="0076110E"/>
    <w:rsid w:val="007640C8"/>
    <w:rsid w:val="00765C13"/>
    <w:rsid w:val="00766B65"/>
    <w:rsid w:val="00767AB2"/>
    <w:rsid w:val="00770B96"/>
    <w:rsid w:val="00771D0A"/>
    <w:rsid w:val="007735C2"/>
    <w:rsid w:val="00773622"/>
    <w:rsid w:val="00774035"/>
    <w:rsid w:val="00774B82"/>
    <w:rsid w:val="007750B9"/>
    <w:rsid w:val="007760AD"/>
    <w:rsid w:val="007762B8"/>
    <w:rsid w:val="00777793"/>
    <w:rsid w:val="00777F6F"/>
    <w:rsid w:val="00782993"/>
    <w:rsid w:val="007833A6"/>
    <w:rsid w:val="00783D18"/>
    <w:rsid w:val="007846D8"/>
    <w:rsid w:val="00785561"/>
    <w:rsid w:val="00787B91"/>
    <w:rsid w:val="0079040D"/>
    <w:rsid w:val="00790782"/>
    <w:rsid w:val="00792CE9"/>
    <w:rsid w:val="0079344F"/>
    <w:rsid w:val="00794B71"/>
    <w:rsid w:val="0079503F"/>
    <w:rsid w:val="0079772A"/>
    <w:rsid w:val="00797B8B"/>
    <w:rsid w:val="007A0DA9"/>
    <w:rsid w:val="007A1516"/>
    <w:rsid w:val="007A18E6"/>
    <w:rsid w:val="007A203B"/>
    <w:rsid w:val="007A27EB"/>
    <w:rsid w:val="007A3312"/>
    <w:rsid w:val="007A38AC"/>
    <w:rsid w:val="007A390D"/>
    <w:rsid w:val="007A41D1"/>
    <w:rsid w:val="007A4432"/>
    <w:rsid w:val="007A49D1"/>
    <w:rsid w:val="007A507F"/>
    <w:rsid w:val="007A6DA8"/>
    <w:rsid w:val="007A7FBF"/>
    <w:rsid w:val="007B189F"/>
    <w:rsid w:val="007B24A5"/>
    <w:rsid w:val="007B2F63"/>
    <w:rsid w:val="007B375C"/>
    <w:rsid w:val="007B4929"/>
    <w:rsid w:val="007B5F6B"/>
    <w:rsid w:val="007B6688"/>
    <w:rsid w:val="007B7ABA"/>
    <w:rsid w:val="007C02A7"/>
    <w:rsid w:val="007C09BC"/>
    <w:rsid w:val="007C0C3B"/>
    <w:rsid w:val="007C19B9"/>
    <w:rsid w:val="007C3207"/>
    <w:rsid w:val="007C338F"/>
    <w:rsid w:val="007C494C"/>
    <w:rsid w:val="007D1375"/>
    <w:rsid w:val="007D20D4"/>
    <w:rsid w:val="007D27EC"/>
    <w:rsid w:val="007D2FA8"/>
    <w:rsid w:val="007D482F"/>
    <w:rsid w:val="007D4DE1"/>
    <w:rsid w:val="007D56CF"/>
    <w:rsid w:val="007E07B2"/>
    <w:rsid w:val="007E13F3"/>
    <w:rsid w:val="007E28B2"/>
    <w:rsid w:val="007E3ABE"/>
    <w:rsid w:val="007E420B"/>
    <w:rsid w:val="007E6082"/>
    <w:rsid w:val="007E61AD"/>
    <w:rsid w:val="007E6AC5"/>
    <w:rsid w:val="007E6ACF"/>
    <w:rsid w:val="007F0146"/>
    <w:rsid w:val="007F1120"/>
    <w:rsid w:val="007F34C5"/>
    <w:rsid w:val="007F3C1B"/>
    <w:rsid w:val="007F5A83"/>
    <w:rsid w:val="00801078"/>
    <w:rsid w:val="00801DD6"/>
    <w:rsid w:val="0080355A"/>
    <w:rsid w:val="00803766"/>
    <w:rsid w:val="00803873"/>
    <w:rsid w:val="00804DBD"/>
    <w:rsid w:val="00805524"/>
    <w:rsid w:val="00810FB6"/>
    <w:rsid w:val="00811588"/>
    <w:rsid w:val="00814181"/>
    <w:rsid w:val="00814810"/>
    <w:rsid w:val="00815E26"/>
    <w:rsid w:val="00816969"/>
    <w:rsid w:val="008207A1"/>
    <w:rsid w:val="00820B32"/>
    <w:rsid w:val="0082221E"/>
    <w:rsid w:val="00822A43"/>
    <w:rsid w:val="00823244"/>
    <w:rsid w:val="008233BA"/>
    <w:rsid w:val="008234CE"/>
    <w:rsid w:val="008246E2"/>
    <w:rsid w:val="00825EF2"/>
    <w:rsid w:val="0082641D"/>
    <w:rsid w:val="0083054B"/>
    <w:rsid w:val="00831ED6"/>
    <w:rsid w:val="00832D38"/>
    <w:rsid w:val="0083390D"/>
    <w:rsid w:val="0083407F"/>
    <w:rsid w:val="00834BE6"/>
    <w:rsid w:val="00834E0F"/>
    <w:rsid w:val="008359EE"/>
    <w:rsid w:val="00835DE6"/>
    <w:rsid w:val="008362F6"/>
    <w:rsid w:val="008366A3"/>
    <w:rsid w:val="0083677B"/>
    <w:rsid w:val="00836A9B"/>
    <w:rsid w:val="0083733E"/>
    <w:rsid w:val="00837559"/>
    <w:rsid w:val="008405D5"/>
    <w:rsid w:val="00841C5F"/>
    <w:rsid w:val="00842923"/>
    <w:rsid w:val="008440A0"/>
    <w:rsid w:val="008445FF"/>
    <w:rsid w:val="00846BDE"/>
    <w:rsid w:val="00847050"/>
    <w:rsid w:val="00847262"/>
    <w:rsid w:val="0084776D"/>
    <w:rsid w:val="00847BA4"/>
    <w:rsid w:val="00852393"/>
    <w:rsid w:val="00854253"/>
    <w:rsid w:val="008542FD"/>
    <w:rsid w:val="008545E1"/>
    <w:rsid w:val="00857B77"/>
    <w:rsid w:val="00857DE3"/>
    <w:rsid w:val="00857DE6"/>
    <w:rsid w:val="008606AF"/>
    <w:rsid w:val="00860B66"/>
    <w:rsid w:val="008617AD"/>
    <w:rsid w:val="00862E63"/>
    <w:rsid w:val="00863091"/>
    <w:rsid w:val="008647BD"/>
    <w:rsid w:val="008648BF"/>
    <w:rsid w:val="008648F1"/>
    <w:rsid w:val="00864A06"/>
    <w:rsid w:val="008677ED"/>
    <w:rsid w:val="00870D1F"/>
    <w:rsid w:val="008716A2"/>
    <w:rsid w:val="008729DA"/>
    <w:rsid w:val="00872D23"/>
    <w:rsid w:val="0087305E"/>
    <w:rsid w:val="00875B69"/>
    <w:rsid w:val="008761AA"/>
    <w:rsid w:val="00876989"/>
    <w:rsid w:val="00880C8D"/>
    <w:rsid w:val="00882633"/>
    <w:rsid w:val="0088266D"/>
    <w:rsid w:val="00882EDB"/>
    <w:rsid w:val="00883134"/>
    <w:rsid w:val="00883B13"/>
    <w:rsid w:val="0088408A"/>
    <w:rsid w:val="00886670"/>
    <w:rsid w:val="00887736"/>
    <w:rsid w:val="00892292"/>
    <w:rsid w:val="008934A6"/>
    <w:rsid w:val="00894247"/>
    <w:rsid w:val="0089529F"/>
    <w:rsid w:val="00897D6B"/>
    <w:rsid w:val="008A00C8"/>
    <w:rsid w:val="008A0BB7"/>
    <w:rsid w:val="008A20FE"/>
    <w:rsid w:val="008A2149"/>
    <w:rsid w:val="008A3449"/>
    <w:rsid w:val="008A397D"/>
    <w:rsid w:val="008A42E8"/>
    <w:rsid w:val="008A7071"/>
    <w:rsid w:val="008B05BF"/>
    <w:rsid w:val="008B290B"/>
    <w:rsid w:val="008B3B60"/>
    <w:rsid w:val="008B416E"/>
    <w:rsid w:val="008B550C"/>
    <w:rsid w:val="008B6D07"/>
    <w:rsid w:val="008C0823"/>
    <w:rsid w:val="008C218F"/>
    <w:rsid w:val="008C5807"/>
    <w:rsid w:val="008C5C0D"/>
    <w:rsid w:val="008C6B9D"/>
    <w:rsid w:val="008C6E0C"/>
    <w:rsid w:val="008C6EF2"/>
    <w:rsid w:val="008C7957"/>
    <w:rsid w:val="008D48C1"/>
    <w:rsid w:val="008D5F6E"/>
    <w:rsid w:val="008D694B"/>
    <w:rsid w:val="008E0B74"/>
    <w:rsid w:val="008E10D9"/>
    <w:rsid w:val="008E351B"/>
    <w:rsid w:val="008E4ED4"/>
    <w:rsid w:val="008E6ED0"/>
    <w:rsid w:val="008F0FFD"/>
    <w:rsid w:val="008F14C4"/>
    <w:rsid w:val="008F2F45"/>
    <w:rsid w:val="008F3784"/>
    <w:rsid w:val="008F49BA"/>
    <w:rsid w:val="008F5D01"/>
    <w:rsid w:val="008F75CD"/>
    <w:rsid w:val="008F7DF4"/>
    <w:rsid w:val="00902912"/>
    <w:rsid w:val="00902A9B"/>
    <w:rsid w:val="009039E1"/>
    <w:rsid w:val="0090679D"/>
    <w:rsid w:val="00906A60"/>
    <w:rsid w:val="00911502"/>
    <w:rsid w:val="009116C1"/>
    <w:rsid w:val="00911AD2"/>
    <w:rsid w:val="00913DE0"/>
    <w:rsid w:val="00914BB1"/>
    <w:rsid w:val="00915D91"/>
    <w:rsid w:val="00915E06"/>
    <w:rsid w:val="009165F8"/>
    <w:rsid w:val="0091664D"/>
    <w:rsid w:val="00916B1F"/>
    <w:rsid w:val="00920B9F"/>
    <w:rsid w:val="00921442"/>
    <w:rsid w:val="0092187F"/>
    <w:rsid w:val="0092523A"/>
    <w:rsid w:val="00926E9E"/>
    <w:rsid w:val="009278A0"/>
    <w:rsid w:val="00931B9D"/>
    <w:rsid w:val="0093687E"/>
    <w:rsid w:val="0093791A"/>
    <w:rsid w:val="00940C9C"/>
    <w:rsid w:val="00941FB2"/>
    <w:rsid w:val="00944935"/>
    <w:rsid w:val="00944976"/>
    <w:rsid w:val="00944C71"/>
    <w:rsid w:val="00950049"/>
    <w:rsid w:val="00950C31"/>
    <w:rsid w:val="009517AE"/>
    <w:rsid w:val="00952737"/>
    <w:rsid w:val="009549AB"/>
    <w:rsid w:val="0095647E"/>
    <w:rsid w:val="00960340"/>
    <w:rsid w:val="009627B1"/>
    <w:rsid w:val="009651B9"/>
    <w:rsid w:val="009654C7"/>
    <w:rsid w:val="00965E83"/>
    <w:rsid w:val="00970DD6"/>
    <w:rsid w:val="00972247"/>
    <w:rsid w:val="00972C76"/>
    <w:rsid w:val="0097467C"/>
    <w:rsid w:val="00974E5E"/>
    <w:rsid w:val="009761E3"/>
    <w:rsid w:val="00977499"/>
    <w:rsid w:val="00980E89"/>
    <w:rsid w:val="0098195D"/>
    <w:rsid w:val="009832F6"/>
    <w:rsid w:val="009841AB"/>
    <w:rsid w:val="0098578C"/>
    <w:rsid w:val="009860C4"/>
    <w:rsid w:val="00987B7C"/>
    <w:rsid w:val="00990180"/>
    <w:rsid w:val="009911FE"/>
    <w:rsid w:val="00992863"/>
    <w:rsid w:val="00995E1B"/>
    <w:rsid w:val="009A09DC"/>
    <w:rsid w:val="009A2B0F"/>
    <w:rsid w:val="009A33C7"/>
    <w:rsid w:val="009A4448"/>
    <w:rsid w:val="009A4562"/>
    <w:rsid w:val="009A484C"/>
    <w:rsid w:val="009A6A35"/>
    <w:rsid w:val="009A6D14"/>
    <w:rsid w:val="009A7378"/>
    <w:rsid w:val="009A7614"/>
    <w:rsid w:val="009B1B58"/>
    <w:rsid w:val="009B31C0"/>
    <w:rsid w:val="009B5C6C"/>
    <w:rsid w:val="009B6ACE"/>
    <w:rsid w:val="009B6DF9"/>
    <w:rsid w:val="009B75F2"/>
    <w:rsid w:val="009C1C95"/>
    <w:rsid w:val="009C201F"/>
    <w:rsid w:val="009C2FBC"/>
    <w:rsid w:val="009C3E46"/>
    <w:rsid w:val="009C6C41"/>
    <w:rsid w:val="009D0B68"/>
    <w:rsid w:val="009D0E59"/>
    <w:rsid w:val="009D323F"/>
    <w:rsid w:val="009D452E"/>
    <w:rsid w:val="009D61A7"/>
    <w:rsid w:val="009D63AF"/>
    <w:rsid w:val="009D6AB1"/>
    <w:rsid w:val="009D6BD0"/>
    <w:rsid w:val="009D6E60"/>
    <w:rsid w:val="009D7A00"/>
    <w:rsid w:val="009E06A3"/>
    <w:rsid w:val="009E16E8"/>
    <w:rsid w:val="009E2202"/>
    <w:rsid w:val="009E2AD6"/>
    <w:rsid w:val="009E2E5C"/>
    <w:rsid w:val="009E3AB9"/>
    <w:rsid w:val="009E7CCE"/>
    <w:rsid w:val="009F151E"/>
    <w:rsid w:val="009F16FF"/>
    <w:rsid w:val="009F1925"/>
    <w:rsid w:val="009F1D2B"/>
    <w:rsid w:val="009F2B31"/>
    <w:rsid w:val="009F38B7"/>
    <w:rsid w:val="009F4B25"/>
    <w:rsid w:val="009F6608"/>
    <w:rsid w:val="009F6B56"/>
    <w:rsid w:val="009F6E58"/>
    <w:rsid w:val="00A018D0"/>
    <w:rsid w:val="00A01B38"/>
    <w:rsid w:val="00A01F9F"/>
    <w:rsid w:val="00A0348D"/>
    <w:rsid w:val="00A038E8"/>
    <w:rsid w:val="00A07B66"/>
    <w:rsid w:val="00A07DBF"/>
    <w:rsid w:val="00A10084"/>
    <w:rsid w:val="00A110C9"/>
    <w:rsid w:val="00A14266"/>
    <w:rsid w:val="00A14847"/>
    <w:rsid w:val="00A14FEB"/>
    <w:rsid w:val="00A179E8"/>
    <w:rsid w:val="00A20199"/>
    <w:rsid w:val="00A201A4"/>
    <w:rsid w:val="00A20893"/>
    <w:rsid w:val="00A215D5"/>
    <w:rsid w:val="00A22DC4"/>
    <w:rsid w:val="00A23729"/>
    <w:rsid w:val="00A23BED"/>
    <w:rsid w:val="00A2448D"/>
    <w:rsid w:val="00A25FD3"/>
    <w:rsid w:val="00A300B2"/>
    <w:rsid w:val="00A301F2"/>
    <w:rsid w:val="00A31A2B"/>
    <w:rsid w:val="00A35765"/>
    <w:rsid w:val="00A41308"/>
    <w:rsid w:val="00A42010"/>
    <w:rsid w:val="00A42BD2"/>
    <w:rsid w:val="00A440E4"/>
    <w:rsid w:val="00A46139"/>
    <w:rsid w:val="00A46748"/>
    <w:rsid w:val="00A46C7F"/>
    <w:rsid w:val="00A47137"/>
    <w:rsid w:val="00A476A9"/>
    <w:rsid w:val="00A47E5E"/>
    <w:rsid w:val="00A502AC"/>
    <w:rsid w:val="00A51A5F"/>
    <w:rsid w:val="00A55616"/>
    <w:rsid w:val="00A55B77"/>
    <w:rsid w:val="00A55E7A"/>
    <w:rsid w:val="00A560B6"/>
    <w:rsid w:val="00A56D87"/>
    <w:rsid w:val="00A572A2"/>
    <w:rsid w:val="00A611EF"/>
    <w:rsid w:val="00A617AD"/>
    <w:rsid w:val="00A618E4"/>
    <w:rsid w:val="00A6283D"/>
    <w:rsid w:val="00A6309F"/>
    <w:rsid w:val="00A6335F"/>
    <w:rsid w:val="00A66116"/>
    <w:rsid w:val="00A672A0"/>
    <w:rsid w:val="00A679CE"/>
    <w:rsid w:val="00A70C86"/>
    <w:rsid w:val="00A713A4"/>
    <w:rsid w:val="00A7227C"/>
    <w:rsid w:val="00A72D55"/>
    <w:rsid w:val="00A7465B"/>
    <w:rsid w:val="00A77CE7"/>
    <w:rsid w:val="00A77CEE"/>
    <w:rsid w:val="00A812AC"/>
    <w:rsid w:val="00A81999"/>
    <w:rsid w:val="00A81CBA"/>
    <w:rsid w:val="00A84757"/>
    <w:rsid w:val="00A8593B"/>
    <w:rsid w:val="00A87101"/>
    <w:rsid w:val="00A9129B"/>
    <w:rsid w:val="00A9150C"/>
    <w:rsid w:val="00A923D3"/>
    <w:rsid w:val="00A92F0A"/>
    <w:rsid w:val="00A94F24"/>
    <w:rsid w:val="00A958E3"/>
    <w:rsid w:val="00A96720"/>
    <w:rsid w:val="00A9690D"/>
    <w:rsid w:val="00A96DB3"/>
    <w:rsid w:val="00A96FC3"/>
    <w:rsid w:val="00AA049B"/>
    <w:rsid w:val="00AA0914"/>
    <w:rsid w:val="00AA0DCB"/>
    <w:rsid w:val="00AA1649"/>
    <w:rsid w:val="00AA4380"/>
    <w:rsid w:val="00AA6FA5"/>
    <w:rsid w:val="00AA79B4"/>
    <w:rsid w:val="00AB01C0"/>
    <w:rsid w:val="00AB1FD5"/>
    <w:rsid w:val="00AB20F4"/>
    <w:rsid w:val="00AB2C7B"/>
    <w:rsid w:val="00AB4F6E"/>
    <w:rsid w:val="00AB5583"/>
    <w:rsid w:val="00AB5811"/>
    <w:rsid w:val="00AB5C3A"/>
    <w:rsid w:val="00AB60B5"/>
    <w:rsid w:val="00AB659C"/>
    <w:rsid w:val="00AC06D7"/>
    <w:rsid w:val="00AC372C"/>
    <w:rsid w:val="00AC3F2E"/>
    <w:rsid w:val="00AC50E3"/>
    <w:rsid w:val="00AC7398"/>
    <w:rsid w:val="00AC7F42"/>
    <w:rsid w:val="00AD322F"/>
    <w:rsid w:val="00AD3EB8"/>
    <w:rsid w:val="00AD5500"/>
    <w:rsid w:val="00AD5A34"/>
    <w:rsid w:val="00AD6267"/>
    <w:rsid w:val="00AD6AD1"/>
    <w:rsid w:val="00AD6B16"/>
    <w:rsid w:val="00AD6FC5"/>
    <w:rsid w:val="00AD7BEF"/>
    <w:rsid w:val="00AE08C3"/>
    <w:rsid w:val="00AE0901"/>
    <w:rsid w:val="00AE167A"/>
    <w:rsid w:val="00AE2FD9"/>
    <w:rsid w:val="00AE3FA7"/>
    <w:rsid w:val="00AE7638"/>
    <w:rsid w:val="00AE7AE0"/>
    <w:rsid w:val="00AE7BDF"/>
    <w:rsid w:val="00AF04DC"/>
    <w:rsid w:val="00AF125A"/>
    <w:rsid w:val="00AF180C"/>
    <w:rsid w:val="00AF232A"/>
    <w:rsid w:val="00AF23D3"/>
    <w:rsid w:val="00AF28E1"/>
    <w:rsid w:val="00AF41FB"/>
    <w:rsid w:val="00AF4242"/>
    <w:rsid w:val="00AF4C63"/>
    <w:rsid w:val="00AF5C16"/>
    <w:rsid w:val="00AF73BD"/>
    <w:rsid w:val="00B014D2"/>
    <w:rsid w:val="00B04155"/>
    <w:rsid w:val="00B0488F"/>
    <w:rsid w:val="00B05454"/>
    <w:rsid w:val="00B0777F"/>
    <w:rsid w:val="00B103E6"/>
    <w:rsid w:val="00B1047B"/>
    <w:rsid w:val="00B119A5"/>
    <w:rsid w:val="00B14A2D"/>
    <w:rsid w:val="00B15647"/>
    <w:rsid w:val="00B16D2F"/>
    <w:rsid w:val="00B20878"/>
    <w:rsid w:val="00B209A7"/>
    <w:rsid w:val="00B236B9"/>
    <w:rsid w:val="00B246FB"/>
    <w:rsid w:val="00B257F2"/>
    <w:rsid w:val="00B266A5"/>
    <w:rsid w:val="00B27675"/>
    <w:rsid w:val="00B27771"/>
    <w:rsid w:val="00B320E9"/>
    <w:rsid w:val="00B35030"/>
    <w:rsid w:val="00B35353"/>
    <w:rsid w:val="00B35AE6"/>
    <w:rsid w:val="00B35F99"/>
    <w:rsid w:val="00B4150A"/>
    <w:rsid w:val="00B43B3F"/>
    <w:rsid w:val="00B46104"/>
    <w:rsid w:val="00B47BE5"/>
    <w:rsid w:val="00B50074"/>
    <w:rsid w:val="00B5034F"/>
    <w:rsid w:val="00B50671"/>
    <w:rsid w:val="00B51386"/>
    <w:rsid w:val="00B53AC2"/>
    <w:rsid w:val="00B55143"/>
    <w:rsid w:val="00B553B4"/>
    <w:rsid w:val="00B55A2C"/>
    <w:rsid w:val="00B560A6"/>
    <w:rsid w:val="00B56C38"/>
    <w:rsid w:val="00B57785"/>
    <w:rsid w:val="00B57ECE"/>
    <w:rsid w:val="00B65433"/>
    <w:rsid w:val="00B66BB1"/>
    <w:rsid w:val="00B67268"/>
    <w:rsid w:val="00B70721"/>
    <w:rsid w:val="00B744EF"/>
    <w:rsid w:val="00B75397"/>
    <w:rsid w:val="00B753F8"/>
    <w:rsid w:val="00B76531"/>
    <w:rsid w:val="00B767DC"/>
    <w:rsid w:val="00B76FB7"/>
    <w:rsid w:val="00B80806"/>
    <w:rsid w:val="00B81339"/>
    <w:rsid w:val="00B83153"/>
    <w:rsid w:val="00B84833"/>
    <w:rsid w:val="00B84961"/>
    <w:rsid w:val="00B86312"/>
    <w:rsid w:val="00B86689"/>
    <w:rsid w:val="00B8771A"/>
    <w:rsid w:val="00B91FE7"/>
    <w:rsid w:val="00B92C92"/>
    <w:rsid w:val="00B9311A"/>
    <w:rsid w:val="00B9331C"/>
    <w:rsid w:val="00B94007"/>
    <w:rsid w:val="00B95122"/>
    <w:rsid w:val="00BA13FF"/>
    <w:rsid w:val="00BA22A0"/>
    <w:rsid w:val="00BA3CD4"/>
    <w:rsid w:val="00BA6833"/>
    <w:rsid w:val="00BB2557"/>
    <w:rsid w:val="00BB4EA7"/>
    <w:rsid w:val="00BB4F59"/>
    <w:rsid w:val="00BB6246"/>
    <w:rsid w:val="00BB6AE5"/>
    <w:rsid w:val="00BC09D3"/>
    <w:rsid w:val="00BC0B49"/>
    <w:rsid w:val="00BC3510"/>
    <w:rsid w:val="00BC352A"/>
    <w:rsid w:val="00BC35D3"/>
    <w:rsid w:val="00BC36DF"/>
    <w:rsid w:val="00BC5423"/>
    <w:rsid w:val="00BC5DF6"/>
    <w:rsid w:val="00BC7034"/>
    <w:rsid w:val="00BC7494"/>
    <w:rsid w:val="00BC7F18"/>
    <w:rsid w:val="00BD021C"/>
    <w:rsid w:val="00BD2289"/>
    <w:rsid w:val="00BD45ED"/>
    <w:rsid w:val="00BD55DB"/>
    <w:rsid w:val="00BD596F"/>
    <w:rsid w:val="00BD680D"/>
    <w:rsid w:val="00BD6811"/>
    <w:rsid w:val="00BD697D"/>
    <w:rsid w:val="00BD70E8"/>
    <w:rsid w:val="00BD7589"/>
    <w:rsid w:val="00BD7F66"/>
    <w:rsid w:val="00BE0496"/>
    <w:rsid w:val="00BE07C6"/>
    <w:rsid w:val="00BE2DD6"/>
    <w:rsid w:val="00BE362F"/>
    <w:rsid w:val="00BE3AFF"/>
    <w:rsid w:val="00BE3D0D"/>
    <w:rsid w:val="00BE6B8B"/>
    <w:rsid w:val="00BE71B9"/>
    <w:rsid w:val="00BE7256"/>
    <w:rsid w:val="00BE78CE"/>
    <w:rsid w:val="00BF0B77"/>
    <w:rsid w:val="00BF0F06"/>
    <w:rsid w:val="00BF2279"/>
    <w:rsid w:val="00BF30A5"/>
    <w:rsid w:val="00BF3333"/>
    <w:rsid w:val="00BF4123"/>
    <w:rsid w:val="00BF44B1"/>
    <w:rsid w:val="00BF4C90"/>
    <w:rsid w:val="00BF5068"/>
    <w:rsid w:val="00BF5259"/>
    <w:rsid w:val="00BF5A51"/>
    <w:rsid w:val="00BF6E6B"/>
    <w:rsid w:val="00C0077E"/>
    <w:rsid w:val="00C01D85"/>
    <w:rsid w:val="00C04125"/>
    <w:rsid w:val="00C044EC"/>
    <w:rsid w:val="00C06468"/>
    <w:rsid w:val="00C06EBD"/>
    <w:rsid w:val="00C07F2C"/>
    <w:rsid w:val="00C11067"/>
    <w:rsid w:val="00C13C20"/>
    <w:rsid w:val="00C14BEE"/>
    <w:rsid w:val="00C166F0"/>
    <w:rsid w:val="00C17BA9"/>
    <w:rsid w:val="00C2055B"/>
    <w:rsid w:val="00C20FA3"/>
    <w:rsid w:val="00C2168A"/>
    <w:rsid w:val="00C23B3B"/>
    <w:rsid w:val="00C23C09"/>
    <w:rsid w:val="00C247D9"/>
    <w:rsid w:val="00C25069"/>
    <w:rsid w:val="00C25343"/>
    <w:rsid w:val="00C25478"/>
    <w:rsid w:val="00C256E7"/>
    <w:rsid w:val="00C26ABF"/>
    <w:rsid w:val="00C27265"/>
    <w:rsid w:val="00C304D3"/>
    <w:rsid w:val="00C31B1A"/>
    <w:rsid w:val="00C32BF7"/>
    <w:rsid w:val="00C34EAB"/>
    <w:rsid w:val="00C35194"/>
    <w:rsid w:val="00C36537"/>
    <w:rsid w:val="00C37370"/>
    <w:rsid w:val="00C37399"/>
    <w:rsid w:val="00C37569"/>
    <w:rsid w:val="00C40A07"/>
    <w:rsid w:val="00C417CD"/>
    <w:rsid w:val="00C4354B"/>
    <w:rsid w:val="00C4598F"/>
    <w:rsid w:val="00C47F56"/>
    <w:rsid w:val="00C501FF"/>
    <w:rsid w:val="00C50294"/>
    <w:rsid w:val="00C52B84"/>
    <w:rsid w:val="00C5384A"/>
    <w:rsid w:val="00C53C96"/>
    <w:rsid w:val="00C53EA3"/>
    <w:rsid w:val="00C547B4"/>
    <w:rsid w:val="00C576AC"/>
    <w:rsid w:val="00C6011F"/>
    <w:rsid w:val="00C62E4E"/>
    <w:rsid w:val="00C65249"/>
    <w:rsid w:val="00C661E3"/>
    <w:rsid w:val="00C6730A"/>
    <w:rsid w:val="00C716AF"/>
    <w:rsid w:val="00C716B3"/>
    <w:rsid w:val="00C72D60"/>
    <w:rsid w:val="00C73D24"/>
    <w:rsid w:val="00C73ECE"/>
    <w:rsid w:val="00C74D2D"/>
    <w:rsid w:val="00C756A0"/>
    <w:rsid w:val="00C756FA"/>
    <w:rsid w:val="00C77335"/>
    <w:rsid w:val="00C773DF"/>
    <w:rsid w:val="00C776FC"/>
    <w:rsid w:val="00C82391"/>
    <w:rsid w:val="00C82F1C"/>
    <w:rsid w:val="00C83254"/>
    <w:rsid w:val="00C8489B"/>
    <w:rsid w:val="00C85385"/>
    <w:rsid w:val="00C860D1"/>
    <w:rsid w:val="00C864C8"/>
    <w:rsid w:val="00C86799"/>
    <w:rsid w:val="00C87BDC"/>
    <w:rsid w:val="00C9067B"/>
    <w:rsid w:val="00C908E7"/>
    <w:rsid w:val="00C909A4"/>
    <w:rsid w:val="00C9328A"/>
    <w:rsid w:val="00C9339F"/>
    <w:rsid w:val="00C95323"/>
    <w:rsid w:val="00C9656F"/>
    <w:rsid w:val="00CA17DC"/>
    <w:rsid w:val="00CA1D20"/>
    <w:rsid w:val="00CA2FF7"/>
    <w:rsid w:val="00CA349F"/>
    <w:rsid w:val="00CA44DB"/>
    <w:rsid w:val="00CA583C"/>
    <w:rsid w:val="00CA7482"/>
    <w:rsid w:val="00CA7A3D"/>
    <w:rsid w:val="00CA7D37"/>
    <w:rsid w:val="00CB01F6"/>
    <w:rsid w:val="00CB0214"/>
    <w:rsid w:val="00CB0A15"/>
    <w:rsid w:val="00CB0ECE"/>
    <w:rsid w:val="00CB245F"/>
    <w:rsid w:val="00CB3B46"/>
    <w:rsid w:val="00CB7464"/>
    <w:rsid w:val="00CB7F34"/>
    <w:rsid w:val="00CC121D"/>
    <w:rsid w:val="00CC2670"/>
    <w:rsid w:val="00CC27AC"/>
    <w:rsid w:val="00CC28DB"/>
    <w:rsid w:val="00CC3CF0"/>
    <w:rsid w:val="00CC518B"/>
    <w:rsid w:val="00CC675F"/>
    <w:rsid w:val="00CC6952"/>
    <w:rsid w:val="00CC6A6F"/>
    <w:rsid w:val="00CC7E65"/>
    <w:rsid w:val="00CC7EBC"/>
    <w:rsid w:val="00CD0870"/>
    <w:rsid w:val="00CD230C"/>
    <w:rsid w:val="00CD4226"/>
    <w:rsid w:val="00CD4B55"/>
    <w:rsid w:val="00CD5347"/>
    <w:rsid w:val="00CD5656"/>
    <w:rsid w:val="00CD5B5E"/>
    <w:rsid w:val="00CD6650"/>
    <w:rsid w:val="00CD6B0B"/>
    <w:rsid w:val="00CD7166"/>
    <w:rsid w:val="00CE1436"/>
    <w:rsid w:val="00CE43CB"/>
    <w:rsid w:val="00CE456A"/>
    <w:rsid w:val="00CE5E09"/>
    <w:rsid w:val="00CE65BF"/>
    <w:rsid w:val="00CE6B92"/>
    <w:rsid w:val="00CE7F45"/>
    <w:rsid w:val="00CF0504"/>
    <w:rsid w:val="00CF4892"/>
    <w:rsid w:val="00CF4920"/>
    <w:rsid w:val="00CF59C8"/>
    <w:rsid w:val="00CF5EE4"/>
    <w:rsid w:val="00CF7047"/>
    <w:rsid w:val="00CF70BD"/>
    <w:rsid w:val="00CF730E"/>
    <w:rsid w:val="00D008BE"/>
    <w:rsid w:val="00D0151C"/>
    <w:rsid w:val="00D02BDC"/>
    <w:rsid w:val="00D04EC6"/>
    <w:rsid w:val="00D04F81"/>
    <w:rsid w:val="00D10F59"/>
    <w:rsid w:val="00D11533"/>
    <w:rsid w:val="00D1509A"/>
    <w:rsid w:val="00D151AC"/>
    <w:rsid w:val="00D1581F"/>
    <w:rsid w:val="00D20C79"/>
    <w:rsid w:val="00D238E3"/>
    <w:rsid w:val="00D23D6A"/>
    <w:rsid w:val="00D25B3A"/>
    <w:rsid w:val="00D261EB"/>
    <w:rsid w:val="00D27BFB"/>
    <w:rsid w:val="00D308B1"/>
    <w:rsid w:val="00D311BA"/>
    <w:rsid w:val="00D32941"/>
    <w:rsid w:val="00D33706"/>
    <w:rsid w:val="00D344FC"/>
    <w:rsid w:val="00D3519B"/>
    <w:rsid w:val="00D357C3"/>
    <w:rsid w:val="00D368B4"/>
    <w:rsid w:val="00D4143D"/>
    <w:rsid w:val="00D41A73"/>
    <w:rsid w:val="00D421E6"/>
    <w:rsid w:val="00D4353F"/>
    <w:rsid w:val="00D440F1"/>
    <w:rsid w:val="00D45CA5"/>
    <w:rsid w:val="00D461C3"/>
    <w:rsid w:val="00D47015"/>
    <w:rsid w:val="00D47AFE"/>
    <w:rsid w:val="00D505AD"/>
    <w:rsid w:val="00D51EA7"/>
    <w:rsid w:val="00D5278C"/>
    <w:rsid w:val="00D53099"/>
    <w:rsid w:val="00D536B4"/>
    <w:rsid w:val="00D5599E"/>
    <w:rsid w:val="00D5687C"/>
    <w:rsid w:val="00D60275"/>
    <w:rsid w:val="00D63217"/>
    <w:rsid w:val="00D638A6"/>
    <w:rsid w:val="00D644C0"/>
    <w:rsid w:val="00D6768D"/>
    <w:rsid w:val="00D67788"/>
    <w:rsid w:val="00D7201A"/>
    <w:rsid w:val="00D73A53"/>
    <w:rsid w:val="00D73C4B"/>
    <w:rsid w:val="00D74D42"/>
    <w:rsid w:val="00D76412"/>
    <w:rsid w:val="00D810E3"/>
    <w:rsid w:val="00D82658"/>
    <w:rsid w:val="00D84F19"/>
    <w:rsid w:val="00D8589B"/>
    <w:rsid w:val="00D8687A"/>
    <w:rsid w:val="00D8689F"/>
    <w:rsid w:val="00D86B5C"/>
    <w:rsid w:val="00D86C44"/>
    <w:rsid w:val="00D874AA"/>
    <w:rsid w:val="00D87B4A"/>
    <w:rsid w:val="00D87D4C"/>
    <w:rsid w:val="00D87FA4"/>
    <w:rsid w:val="00D90072"/>
    <w:rsid w:val="00D901C7"/>
    <w:rsid w:val="00D90221"/>
    <w:rsid w:val="00D915E2"/>
    <w:rsid w:val="00D918AF"/>
    <w:rsid w:val="00D92167"/>
    <w:rsid w:val="00D9318E"/>
    <w:rsid w:val="00D942C8"/>
    <w:rsid w:val="00D94AC8"/>
    <w:rsid w:val="00D96147"/>
    <w:rsid w:val="00DA0763"/>
    <w:rsid w:val="00DA0C94"/>
    <w:rsid w:val="00DA0D97"/>
    <w:rsid w:val="00DA137F"/>
    <w:rsid w:val="00DA171F"/>
    <w:rsid w:val="00DA1C73"/>
    <w:rsid w:val="00DA203D"/>
    <w:rsid w:val="00DA3446"/>
    <w:rsid w:val="00DA35E0"/>
    <w:rsid w:val="00DA3B98"/>
    <w:rsid w:val="00DA468A"/>
    <w:rsid w:val="00DA62E9"/>
    <w:rsid w:val="00DA74F2"/>
    <w:rsid w:val="00DB2AAA"/>
    <w:rsid w:val="00DB2DD0"/>
    <w:rsid w:val="00DB3BF5"/>
    <w:rsid w:val="00DB449F"/>
    <w:rsid w:val="00DB4B7C"/>
    <w:rsid w:val="00DB5287"/>
    <w:rsid w:val="00DB6E6C"/>
    <w:rsid w:val="00DB7657"/>
    <w:rsid w:val="00DB7A89"/>
    <w:rsid w:val="00DC050F"/>
    <w:rsid w:val="00DC0671"/>
    <w:rsid w:val="00DC0AD7"/>
    <w:rsid w:val="00DC15E7"/>
    <w:rsid w:val="00DC502B"/>
    <w:rsid w:val="00DC57D0"/>
    <w:rsid w:val="00DC7C17"/>
    <w:rsid w:val="00DD08E2"/>
    <w:rsid w:val="00DD22FD"/>
    <w:rsid w:val="00DD2363"/>
    <w:rsid w:val="00DD2C1E"/>
    <w:rsid w:val="00DD45DA"/>
    <w:rsid w:val="00DE187D"/>
    <w:rsid w:val="00DE389B"/>
    <w:rsid w:val="00DE6E15"/>
    <w:rsid w:val="00DF0C46"/>
    <w:rsid w:val="00DF10C5"/>
    <w:rsid w:val="00DF26A9"/>
    <w:rsid w:val="00DF40B4"/>
    <w:rsid w:val="00DF5058"/>
    <w:rsid w:val="00DF6FFA"/>
    <w:rsid w:val="00E00CDC"/>
    <w:rsid w:val="00E02417"/>
    <w:rsid w:val="00E02998"/>
    <w:rsid w:val="00E05C5D"/>
    <w:rsid w:val="00E07728"/>
    <w:rsid w:val="00E07CC8"/>
    <w:rsid w:val="00E103CE"/>
    <w:rsid w:val="00E12392"/>
    <w:rsid w:val="00E12793"/>
    <w:rsid w:val="00E132D7"/>
    <w:rsid w:val="00E13BA9"/>
    <w:rsid w:val="00E142D7"/>
    <w:rsid w:val="00E14A9C"/>
    <w:rsid w:val="00E20A88"/>
    <w:rsid w:val="00E2347E"/>
    <w:rsid w:val="00E24CF6"/>
    <w:rsid w:val="00E276BF"/>
    <w:rsid w:val="00E27A08"/>
    <w:rsid w:val="00E30533"/>
    <w:rsid w:val="00E318E3"/>
    <w:rsid w:val="00E31FB4"/>
    <w:rsid w:val="00E32094"/>
    <w:rsid w:val="00E32263"/>
    <w:rsid w:val="00E33D53"/>
    <w:rsid w:val="00E343CB"/>
    <w:rsid w:val="00E35DE7"/>
    <w:rsid w:val="00E372B4"/>
    <w:rsid w:val="00E37325"/>
    <w:rsid w:val="00E3787C"/>
    <w:rsid w:val="00E37AB6"/>
    <w:rsid w:val="00E37ED7"/>
    <w:rsid w:val="00E409AD"/>
    <w:rsid w:val="00E41018"/>
    <w:rsid w:val="00E41FED"/>
    <w:rsid w:val="00E42007"/>
    <w:rsid w:val="00E422CB"/>
    <w:rsid w:val="00E43C0A"/>
    <w:rsid w:val="00E45567"/>
    <w:rsid w:val="00E476C8"/>
    <w:rsid w:val="00E479FB"/>
    <w:rsid w:val="00E47DB4"/>
    <w:rsid w:val="00E51489"/>
    <w:rsid w:val="00E53283"/>
    <w:rsid w:val="00E5360C"/>
    <w:rsid w:val="00E545C6"/>
    <w:rsid w:val="00E63F18"/>
    <w:rsid w:val="00E66126"/>
    <w:rsid w:val="00E66183"/>
    <w:rsid w:val="00E66753"/>
    <w:rsid w:val="00E70101"/>
    <w:rsid w:val="00E70840"/>
    <w:rsid w:val="00E748E7"/>
    <w:rsid w:val="00E74F8B"/>
    <w:rsid w:val="00E76063"/>
    <w:rsid w:val="00E76EDA"/>
    <w:rsid w:val="00E77589"/>
    <w:rsid w:val="00E83DF5"/>
    <w:rsid w:val="00E84746"/>
    <w:rsid w:val="00E87801"/>
    <w:rsid w:val="00E900C3"/>
    <w:rsid w:val="00E904C8"/>
    <w:rsid w:val="00E90862"/>
    <w:rsid w:val="00E92230"/>
    <w:rsid w:val="00E955B5"/>
    <w:rsid w:val="00E95B89"/>
    <w:rsid w:val="00E97570"/>
    <w:rsid w:val="00EA22DA"/>
    <w:rsid w:val="00EA44BF"/>
    <w:rsid w:val="00EA473A"/>
    <w:rsid w:val="00EA511C"/>
    <w:rsid w:val="00EA607E"/>
    <w:rsid w:val="00EA64DA"/>
    <w:rsid w:val="00EB04EB"/>
    <w:rsid w:val="00EB093E"/>
    <w:rsid w:val="00EB2F45"/>
    <w:rsid w:val="00EB2F75"/>
    <w:rsid w:val="00EB4879"/>
    <w:rsid w:val="00EB517E"/>
    <w:rsid w:val="00EB6047"/>
    <w:rsid w:val="00EB6779"/>
    <w:rsid w:val="00EB7131"/>
    <w:rsid w:val="00EC0552"/>
    <w:rsid w:val="00EC2591"/>
    <w:rsid w:val="00EC2A2E"/>
    <w:rsid w:val="00EC447E"/>
    <w:rsid w:val="00EC6994"/>
    <w:rsid w:val="00ED0DC5"/>
    <w:rsid w:val="00ED406D"/>
    <w:rsid w:val="00ED49C0"/>
    <w:rsid w:val="00ED5112"/>
    <w:rsid w:val="00ED5C19"/>
    <w:rsid w:val="00ED5DFE"/>
    <w:rsid w:val="00ED75CD"/>
    <w:rsid w:val="00EE1446"/>
    <w:rsid w:val="00EE25AF"/>
    <w:rsid w:val="00EE297E"/>
    <w:rsid w:val="00EE520A"/>
    <w:rsid w:val="00EE5B09"/>
    <w:rsid w:val="00EF158E"/>
    <w:rsid w:val="00EF6BB1"/>
    <w:rsid w:val="00F00160"/>
    <w:rsid w:val="00F00C19"/>
    <w:rsid w:val="00F012C6"/>
    <w:rsid w:val="00F0383D"/>
    <w:rsid w:val="00F04131"/>
    <w:rsid w:val="00F05F9A"/>
    <w:rsid w:val="00F06860"/>
    <w:rsid w:val="00F16080"/>
    <w:rsid w:val="00F1760C"/>
    <w:rsid w:val="00F212BE"/>
    <w:rsid w:val="00F21B39"/>
    <w:rsid w:val="00F236F2"/>
    <w:rsid w:val="00F24EA1"/>
    <w:rsid w:val="00F26039"/>
    <w:rsid w:val="00F30BDA"/>
    <w:rsid w:val="00F32129"/>
    <w:rsid w:val="00F3263D"/>
    <w:rsid w:val="00F32F3B"/>
    <w:rsid w:val="00F33A4F"/>
    <w:rsid w:val="00F35CF7"/>
    <w:rsid w:val="00F50E9F"/>
    <w:rsid w:val="00F51AA7"/>
    <w:rsid w:val="00F5390C"/>
    <w:rsid w:val="00F555C9"/>
    <w:rsid w:val="00F56484"/>
    <w:rsid w:val="00F56C76"/>
    <w:rsid w:val="00F62656"/>
    <w:rsid w:val="00F63A95"/>
    <w:rsid w:val="00F653E5"/>
    <w:rsid w:val="00F65BAA"/>
    <w:rsid w:val="00F6733A"/>
    <w:rsid w:val="00F67359"/>
    <w:rsid w:val="00F703A7"/>
    <w:rsid w:val="00F73353"/>
    <w:rsid w:val="00F733E8"/>
    <w:rsid w:val="00F77F13"/>
    <w:rsid w:val="00F80C93"/>
    <w:rsid w:val="00F82818"/>
    <w:rsid w:val="00F8508F"/>
    <w:rsid w:val="00F85490"/>
    <w:rsid w:val="00F85B01"/>
    <w:rsid w:val="00F86015"/>
    <w:rsid w:val="00F867AE"/>
    <w:rsid w:val="00F86C6B"/>
    <w:rsid w:val="00F8773B"/>
    <w:rsid w:val="00F902E4"/>
    <w:rsid w:val="00F9121A"/>
    <w:rsid w:val="00F916A0"/>
    <w:rsid w:val="00F91B80"/>
    <w:rsid w:val="00F9244A"/>
    <w:rsid w:val="00F92A4A"/>
    <w:rsid w:val="00F96F17"/>
    <w:rsid w:val="00F9767C"/>
    <w:rsid w:val="00FA0099"/>
    <w:rsid w:val="00FA07C3"/>
    <w:rsid w:val="00FA0DFC"/>
    <w:rsid w:val="00FA2115"/>
    <w:rsid w:val="00FA21EC"/>
    <w:rsid w:val="00FA54CB"/>
    <w:rsid w:val="00FA620D"/>
    <w:rsid w:val="00FA698A"/>
    <w:rsid w:val="00FA75CD"/>
    <w:rsid w:val="00FB0015"/>
    <w:rsid w:val="00FB0840"/>
    <w:rsid w:val="00FB6FFB"/>
    <w:rsid w:val="00FC09D2"/>
    <w:rsid w:val="00FC100E"/>
    <w:rsid w:val="00FC1605"/>
    <w:rsid w:val="00FC198C"/>
    <w:rsid w:val="00FC369E"/>
    <w:rsid w:val="00FC430E"/>
    <w:rsid w:val="00FD08BD"/>
    <w:rsid w:val="00FD2726"/>
    <w:rsid w:val="00FD2D7B"/>
    <w:rsid w:val="00FD344F"/>
    <w:rsid w:val="00FD5C04"/>
    <w:rsid w:val="00FD5E5E"/>
    <w:rsid w:val="00FD60E3"/>
    <w:rsid w:val="00FD7E9B"/>
    <w:rsid w:val="00FE2D97"/>
    <w:rsid w:val="00FE39CB"/>
    <w:rsid w:val="00FE3E5F"/>
    <w:rsid w:val="00FE54CA"/>
    <w:rsid w:val="00FE5F77"/>
    <w:rsid w:val="00FE6868"/>
    <w:rsid w:val="00FE7485"/>
    <w:rsid w:val="00FF1066"/>
    <w:rsid w:val="00FF19CD"/>
    <w:rsid w:val="00FF1F24"/>
    <w:rsid w:val="00FF2771"/>
    <w:rsid w:val="00FF3737"/>
    <w:rsid w:val="00FF47B4"/>
    <w:rsid w:val="00FF5F7A"/>
    <w:rsid w:val="00FF7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3"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 w:unhideWhenUsed="1" w:qFormat="1"/>
    <w:lsdException w:name="annotation text" w:semiHidden="1" w:uiPriority="4" w:unhideWhenUsed="1"/>
    <w:lsdException w:name="header" w:semiHidden="1" w:uiPriority="4" w:unhideWhenUsed="1"/>
    <w:lsdException w:name="footer" w:semiHidden="1" w:uiPriority="4"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iPriority="0" w:unhideWhenUsed="1"/>
    <w:lsdException w:name="page number" w:semiHidden="1" w:uiPriority="4"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4" w:unhideWhenUsed="1"/>
    <w:lsdException w:name="Strong" w:uiPriority="22"/>
    <w:lsdException w:name="Emphasis" w:uiPriority="4"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qFormat/>
    <w:rsid w:val="00A6335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APVMA_H1,H1"/>
    <w:basedOn w:val="NormalText"/>
    <w:next w:val="NormalText"/>
    <w:link w:val="Heading1Char"/>
    <w:qFormat/>
    <w:rsid w:val="007D482F"/>
    <w:pPr>
      <w:keepNext/>
      <w:keepLines/>
      <w:pageBreakBefore/>
      <w:numPr>
        <w:numId w:val="16"/>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qFormat/>
    <w:rsid w:val="007D482F"/>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3"/>
    <w:qFormat/>
    <w:rsid w:val="00C52B84"/>
    <w:pPr>
      <w:numPr>
        <w:ilvl w:val="2"/>
      </w:numPr>
      <w:tabs>
        <w:tab w:val="num" w:pos="907"/>
      </w:tabs>
      <w:spacing w:before="320" w:line="280" w:lineRule="exact"/>
      <w:ind w:left="907" w:hanging="907"/>
      <w:outlineLvl w:val="2"/>
    </w:pPr>
    <w:rPr>
      <w:sz w:val="24"/>
      <w:szCs w:val="26"/>
    </w:rPr>
  </w:style>
  <w:style w:type="paragraph" w:styleId="Heading4">
    <w:name w:val="heading 4"/>
    <w:aliases w:val="APVMA_H4,H4,bro Titre 4,h4"/>
    <w:basedOn w:val="Heading3"/>
    <w:next w:val="NormalText"/>
    <w:link w:val="Heading4Char"/>
    <w:uiPriority w:val="4"/>
    <w:rsid w:val="007D482F"/>
    <w:pPr>
      <w:numPr>
        <w:ilvl w:val="3"/>
      </w:numPr>
      <w:spacing w:before="280" w:line="260" w:lineRule="exact"/>
      <w:outlineLvl w:val="3"/>
    </w:pPr>
    <w:rPr>
      <w:sz w:val="22"/>
      <w:szCs w:val="28"/>
    </w:rPr>
  </w:style>
  <w:style w:type="paragraph" w:styleId="Heading5">
    <w:name w:val="heading 5"/>
    <w:aliases w:val="APVMA_H5,H5,bro Titre 5"/>
    <w:basedOn w:val="Heading4"/>
    <w:next w:val="NormalText"/>
    <w:uiPriority w:val="4"/>
    <w:rsid w:val="007D482F"/>
    <w:pPr>
      <w:numPr>
        <w:ilvl w:val="4"/>
      </w:numPr>
      <w:tabs>
        <w:tab w:val="num" w:pos="907"/>
      </w:tabs>
      <w:spacing w:before="260"/>
      <w:outlineLvl w:val="4"/>
    </w:pPr>
    <w:rPr>
      <w:sz w:val="21"/>
      <w:szCs w:val="26"/>
    </w:rPr>
  </w:style>
  <w:style w:type="paragraph" w:styleId="Heading6">
    <w:name w:val="heading 6"/>
    <w:basedOn w:val="Normal"/>
    <w:next w:val="Normal"/>
    <w:uiPriority w:val="4"/>
    <w:rsid w:val="007D482F"/>
    <w:pPr>
      <w:numPr>
        <w:ilvl w:val="5"/>
        <w:numId w:val="16"/>
      </w:numPr>
      <w:spacing w:before="240" w:after="60"/>
      <w:outlineLvl w:val="5"/>
    </w:pPr>
    <w:rPr>
      <w:rFonts w:ascii="Times New Roman" w:hAnsi="Times New Roman"/>
      <w:b/>
      <w:bCs/>
    </w:rPr>
  </w:style>
  <w:style w:type="paragraph" w:styleId="Heading7">
    <w:name w:val="heading 7"/>
    <w:basedOn w:val="Normal"/>
    <w:next w:val="Normal"/>
    <w:uiPriority w:val="4"/>
    <w:rsid w:val="007D482F"/>
    <w:pPr>
      <w:numPr>
        <w:ilvl w:val="6"/>
        <w:numId w:val="16"/>
      </w:numPr>
      <w:spacing w:before="240" w:after="60"/>
      <w:outlineLvl w:val="6"/>
    </w:pPr>
    <w:rPr>
      <w:rFonts w:ascii="Times New Roman" w:hAnsi="Times New Roman"/>
    </w:rPr>
  </w:style>
  <w:style w:type="paragraph" w:styleId="Heading8">
    <w:name w:val="heading 8"/>
    <w:basedOn w:val="Normal"/>
    <w:next w:val="Normal"/>
    <w:uiPriority w:val="4"/>
    <w:rsid w:val="007D482F"/>
    <w:pPr>
      <w:numPr>
        <w:ilvl w:val="7"/>
        <w:numId w:val="16"/>
      </w:numPr>
      <w:spacing w:before="240" w:after="60"/>
      <w:outlineLvl w:val="7"/>
    </w:pPr>
    <w:rPr>
      <w:rFonts w:ascii="Times New Roman" w:hAnsi="Times New Roman"/>
      <w:i/>
      <w:iCs/>
    </w:rPr>
  </w:style>
  <w:style w:type="paragraph" w:styleId="Heading9">
    <w:name w:val="heading 9"/>
    <w:basedOn w:val="Normal"/>
    <w:next w:val="Normal"/>
    <w:uiPriority w:val="4"/>
    <w:rsid w:val="007D482F"/>
    <w:pPr>
      <w:numPr>
        <w:ilvl w:val="8"/>
        <w:numId w:val="16"/>
      </w:numPr>
      <w:spacing w:before="240" w:after="60"/>
      <w:outlineLvl w:val="8"/>
    </w:pPr>
    <w:rPr>
      <w:rFonts w:cs="Arial"/>
    </w:rPr>
  </w:style>
  <w:style w:type="character" w:default="1" w:styleId="DefaultParagraphFont">
    <w:name w:val="Default Paragraph Font"/>
    <w:uiPriority w:val="1"/>
    <w:semiHidden/>
    <w:unhideWhenUsed/>
    <w:rsid w:val="00A633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335F"/>
  </w:style>
  <w:style w:type="paragraph" w:customStyle="1" w:styleId="NormalText">
    <w:name w:val="Normal Text"/>
    <w:basedOn w:val="Normal"/>
    <w:link w:val="NormalTextChar"/>
    <w:qFormat/>
    <w:rsid w:val="005F3CF0"/>
    <w:pPr>
      <w:suppressAutoHyphens/>
      <w:spacing w:before="240" w:after="240" w:line="280" w:lineRule="exact"/>
    </w:pPr>
    <w:rPr>
      <w:rFonts w:ascii="Arial" w:hAnsi="Arial" w:cs="Arial"/>
      <w:kern w:val="20"/>
      <w:sz w:val="19"/>
      <w:u w:color="000000"/>
    </w:rPr>
  </w:style>
  <w:style w:type="paragraph" w:styleId="CommentText">
    <w:name w:val="annotation text"/>
    <w:link w:val="CommentTextChar"/>
    <w:uiPriority w:val="4"/>
    <w:rsid w:val="007D482F"/>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7D482F"/>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uiPriority w:val="4"/>
    <w:rsid w:val="007D482F"/>
    <w:pPr>
      <w:spacing w:after="0" w:line="180" w:lineRule="exact"/>
      <w:ind w:left="227" w:hanging="227"/>
    </w:pPr>
    <w:rPr>
      <w:spacing w:val="6"/>
      <w:sz w:val="16"/>
      <w:szCs w:val="20"/>
    </w:rPr>
  </w:style>
  <w:style w:type="character" w:styleId="Emphasis">
    <w:name w:val="Emphasis"/>
    <w:uiPriority w:val="4"/>
    <w:rsid w:val="007D482F"/>
    <w:rPr>
      <w:i/>
      <w:iCs/>
    </w:rPr>
  </w:style>
  <w:style w:type="paragraph" w:styleId="TOC2">
    <w:name w:val="toc 2"/>
    <w:aliases w:val="ToC - Level 2,APVMA_TOC 2"/>
    <w:basedOn w:val="Normal"/>
    <w:uiPriority w:val="39"/>
    <w:rsid w:val="00585F97"/>
    <w:pPr>
      <w:tabs>
        <w:tab w:val="right" w:pos="9639"/>
      </w:tabs>
      <w:spacing w:before="60" w:line="280" w:lineRule="exact"/>
      <w:ind w:left="454" w:hanging="454"/>
    </w:pPr>
    <w:rPr>
      <w:rFonts w:ascii="Arial" w:hAnsi="Arial"/>
      <w:b/>
      <w:noProof/>
      <w:color w:val="000000"/>
      <w:sz w:val="18"/>
    </w:rPr>
  </w:style>
  <w:style w:type="paragraph" w:styleId="TOC3">
    <w:name w:val="toc 3"/>
    <w:aliases w:val="ToC - Level 3,APVMA_TOC 3"/>
    <w:basedOn w:val="Normal"/>
    <w:uiPriority w:val="39"/>
    <w:rsid w:val="00585F97"/>
    <w:pPr>
      <w:tabs>
        <w:tab w:val="right" w:pos="9639"/>
      </w:tabs>
      <w:spacing w:before="40" w:line="240" w:lineRule="exact"/>
      <w:ind w:left="454"/>
    </w:pPr>
    <w:rPr>
      <w:rFonts w:ascii="Arial" w:hAnsi="Arial"/>
      <w:noProof/>
      <w:sz w:val="18"/>
    </w:rPr>
  </w:style>
  <w:style w:type="paragraph" w:styleId="TOC4">
    <w:name w:val="toc 4"/>
    <w:basedOn w:val="Normal"/>
    <w:next w:val="Normal"/>
    <w:autoRedefine/>
    <w:uiPriority w:val="39"/>
    <w:rsid w:val="007D482F"/>
    <w:pPr>
      <w:ind w:left="600"/>
    </w:pPr>
  </w:style>
  <w:style w:type="paragraph" w:styleId="TOC5">
    <w:name w:val="toc 5"/>
    <w:basedOn w:val="Normal"/>
    <w:next w:val="Normal"/>
    <w:autoRedefine/>
    <w:uiPriority w:val="39"/>
    <w:rsid w:val="007D482F"/>
    <w:pPr>
      <w:ind w:left="800"/>
    </w:pPr>
  </w:style>
  <w:style w:type="paragraph" w:styleId="TOC6">
    <w:name w:val="toc 6"/>
    <w:basedOn w:val="Normal"/>
    <w:next w:val="Normal"/>
    <w:autoRedefine/>
    <w:uiPriority w:val="39"/>
    <w:rsid w:val="007D482F"/>
    <w:pPr>
      <w:ind w:left="1200"/>
    </w:pPr>
  </w:style>
  <w:style w:type="paragraph" w:styleId="TOC7">
    <w:name w:val="toc 7"/>
    <w:basedOn w:val="Normal"/>
    <w:next w:val="Normal"/>
    <w:autoRedefine/>
    <w:uiPriority w:val="39"/>
    <w:rsid w:val="007D482F"/>
    <w:pPr>
      <w:ind w:left="1440"/>
    </w:pPr>
  </w:style>
  <w:style w:type="paragraph" w:styleId="TOC8">
    <w:name w:val="toc 8"/>
    <w:basedOn w:val="Normal"/>
    <w:next w:val="Normal"/>
    <w:autoRedefine/>
    <w:uiPriority w:val="39"/>
    <w:rsid w:val="007D482F"/>
    <w:pPr>
      <w:ind w:left="1680"/>
    </w:pPr>
  </w:style>
  <w:style w:type="paragraph" w:styleId="TOC9">
    <w:name w:val="toc 9"/>
    <w:basedOn w:val="Normal"/>
    <w:next w:val="Normal"/>
    <w:autoRedefine/>
    <w:uiPriority w:val="39"/>
    <w:rsid w:val="007D482F"/>
    <w:pPr>
      <w:ind w:left="1920"/>
    </w:pPr>
  </w:style>
  <w:style w:type="character" w:styleId="Hyperlink">
    <w:name w:val="Hyperlink"/>
    <w:uiPriority w:val="99"/>
    <w:rsid w:val="007D482F"/>
    <w:rPr>
      <w:color w:val="0000FF"/>
      <w:u w:val="single"/>
    </w:rPr>
  </w:style>
  <w:style w:type="paragraph" w:customStyle="1" w:styleId="TableBullet">
    <w:name w:val="TableBullet"/>
    <w:basedOn w:val="TableText"/>
    <w:uiPriority w:val="4"/>
    <w:rsid w:val="007D482F"/>
    <w:pPr>
      <w:numPr>
        <w:numId w:val="7"/>
      </w:numPr>
      <w:spacing w:after="60"/>
    </w:pPr>
  </w:style>
  <w:style w:type="paragraph" w:customStyle="1" w:styleId="TableText">
    <w:name w:val="TableText"/>
    <w:basedOn w:val="NormalText"/>
    <w:uiPriority w:val="4"/>
    <w:qFormat/>
    <w:rsid w:val="007D482F"/>
    <w:pPr>
      <w:spacing w:before="120" w:after="120" w:line="210" w:lineRule="exact"/>
    </w:pPr>
    <w:rPr>
      <w:spacing w:val="6"/>
      <w:sz w:val="17"/>
    </w:rPr>
  </w:style>
  <w:style w:type="paragraph" w:customStyle="1" w:styleId="TableHead">
    <w:name w:val="TableHead"/>
    <w:basedOn w:val="TableText"/>
    <w:uiPriority w:val="4"/>
    <w:qFormat/>
    <w:rsid w:val="007D482F"/>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rsid w:val="007D482F"/>
    <w:pPr>
      <w:numPr>
        <w:numId w:val="3"/>
      </w:numPr>
      <w:spacing w:before="120" w:after="120"/>
    </w:pPr>
  </w:style>
  <w:style w:type="paragraph" w:styleId="Header">
    <w:name w:val="header"/>
    <w:basedOn w:val="Normal"/>
    <w:link w:val="HeaderChar"/>
    <w:uiPriority w:val="4"/>
    <w:rsid w:val="007D482F"/>
    <w:pPr>
      <w:tabs>
        <w:tab w:val="center" w:pos="4153"/>
        <w:tab w:val="right" w:pos="8306"/>
      </w:tabs>
    </w:pPr>
  </w:style>
  <w:style w:type="character" w:styleId="Strong">
    <w:name w:val="Strong"/>
    <w:uiPriority w:val="4"/>
    <w:rsid w:val="007D482F"/>
    <w:rPr>
      <w:b/>
      <w:bCs/>
    </w:rPr>
  </w:style>
  <w:style w:type="paragraph" w:styleId="Footer">
    <w:name w:val="footer"/>
    <w:basedOn w:val="Normal"/>
    <w:link w:val="FooterChar"/>
    <w:uiPriority w:val="4"/>
    <w:rsid w:val="007D482F"/>
    <w:pPr>
      <w:tabs>
        <w:tab w:val="center" w:pos="4153"/>
        <w:tab w:val="right" w:pos="8306"/>
      </w:tabs>
    </w:pPr>
  </w:style>
  <w:style w:type="character" w:styleId="PageNumber">
    <w:name w:val="page number"/>
    <w:aliases w:val="APVMA Page Number"/>
    <w:uiPriority w:val="4"/>
    <w:rsid w:val="007D482F"/>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7D482F"/>
    <w:pPr>
      <w:spacing w:before="0" w:after="0" w:line="280" w:lineRule="atLeast"/>
    </w:pPr>
    <w:rPr>
      <w:spacing w:val="6"/>
      <w:sz w:val="16"/>
    </w:rPr>
  </w:style>
  <w:style w:type="character" w:styleId="CommentReference">
    <w:name w:val="annotation reference"/>
    <w:uiPriority w:val="4"/>
    <w:rsid w:val="007D482F"/>
    <w:rPr>
      <w:sz w:val="16"/>
      <w:szCs w:val="16"/>
    </w:rPr>
  </w:style>
  <w:style w:type="paragraph" w:customStyle="1" w:styleId="EvenHeader">
    <w:name w:val="Even_Header"/>
    <w:basedOn w:val="OddHeader"/>
    <w:uiPriority w:val="4"/>
    <w:rsid w:val="007D482F"/>
    <w:pPr>
      <w:tabs>
        <w:tab w:val="clear" w:pos="9072"/>
        <w:tab w:val="left" w:pos="567"/>
      </w:tabs>
      <w:ind w:left="567" w:hanging="567"/>
    </w:pPr>
  </w:style>
  <w:style w:type="paragraph" w:customStyle="1" w:styleId="Bullet1">
    <w:name w:val="Bullet1"/>
    <w:basedOn w:val="NormalText"/>
    <w:link w:val="Bullet1Char"/>
    <w:uiPriority w:val="4"/>
    <w:qFormat/>
    <w:rsid w:val="007D482F"/>
    <w:pPr>
      <w:numPr>
        <w:numId w:val="4"/>
      </w:numPr>
      <w:spacing w:before="120" w:after="120"/>
    </w:pPr>
  </w:style>
  <w:style w:type="paragraph" w:customStyle="1" w:styleId="TableHeadRight">
    <w:name w:val="TableHead_Right"/>
    <w:basedOn w:val="TableHead"/>
    <w:uiPriority w:val="4"/>
    <w:rsid w:val="007D482F"/>
    <w:pPr>
      <w:jc w:val="right"/>
    </w:pPr>
  </w:style>
  <w:style w:type="paragraph" w:customStyle="1" w:styleId="Bullet2">
    <w:name w:val="Bullet2"/>
    <w:basedOn w:val="Bullet1"/>
    <w:link w:val="Bullet2Char"/>
    <w:uiPriority w:val="4"/>
    <w:qFormat/>
    <w:rsid w:val="007D482F"/>
    <w:pPr>
      <w:numPr>
        <w:numId w:val="2"/>
      </w:numPr>
      <w:spacing w:before="60"/>
    </w:pPr>
  </w:style>
  <w:style w:type="character" w:styleId="FootnoteReference">
    <w:name w:val="footnote reference"/>
    <w:uiPriority w:val="4"/>
    <w:rsid w:val="007D482F"/>
    <w:rPr>
      <w:vertAlign w:val="superscript"/>
    </w:rPr>
  </w:style>
  <w:style w:type="paragraph" w:customStyle="1" w:styleId="Quotes">
    <w:name w:val="Quotes"/>
    <w:basedOn w:val="NormalText"/>
    <w:uiPriority w:val="4"/>
    <w:rsid w:val="007D482F"/>
    <w:pPr>
      <w:ind w:left="567" w:right="567"/>
    </w:pPr>
    <w:rPr>
      <w:rFonts w:ascii="Franklin Gothic Medium" w:hAnsi="Franklin Gothic Medium"/>
      <w:sz w:val="20"/>
    </w:rPr>
  </w:style>
  <w:style w:type="paragraph" w:customStyle="1" w:styleId="TableTextRight">
    <w:name w:val="TableText_Right"/>
    <w:basedOn w:val="TableText"/>
    <w:uiPriority w:val="4"/>
    <w:rsid w:val="007D482F"/>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rsid w:val="007D482F"/>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rsid w:val="007D482F"/>
    <w:pPr>
      <w:pageBreakBefore w:val="0"/>
      <w:outlineLvl w:val="9"/>
    </w:pPr>
    <w:rPr>
      <w:bCs/>
      <w:szCs w:val="20"/>
    </w:rPr>
  </w:style>
  <w:style w:type="paragraph" w:customStyle="1" w:styleId="TableSubHead">
    <w:name w:val="Table_SubHead"/>
    <w:basedOn w:val="TableHead"/>
    <w:uiPriority w:val="4"/>
    <w:rsid w:val="007D482F"/>
    <w:rPr>
      <w:color w:val="5C2946"/>
    </w:rPr>
  </w:style>
  <w:style w:type="paragraph" w:styleId="TableofFigures">
    <w:name w:val="table of figures"/>
    <w:aliases w:val="APVMA_ToF"/>
    <w:basedOn w:val="TOC3"/>
    <w:uiPriority w:val="99"/>
    <w:rsid w:val="007D482F"/>
    <w:pPr>
      <w:ind w:left="851" w:hanging="851"/>
    </w:pPr>
  </w:style>
  <w:style w:type="paragraph" w:customStyle="1" w:styleId="OddHeader">
    <w:name w:val="Odd_Header"/>
    <w:basedOn w:val="NormalText"/>
    <w:uiPriority w:val="4"/>
    <w:rsid w:val="007D482F"/>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7D482F"/>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7D482F"/>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rsid w:val="007D482F"/>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rsid w:val="007D482F"/>
    <w:pPr>
      <w:spacing w:before="960"/>
    </w:pPr>
    <w:rPr>
      <w:color w:val="666666"/>
    </w:rPr>
  </w:style>
  <w:style w:type="paragraph" w:customStyle="1" w:styleId="APVMAAddress">
    <w:name w:val="APVMA_Address"/>
    <w:basedOn w:val="NormalText"/>
    <w:uiPriority w:val="4"/>
    <w:rsid w:val="007D482F"/>
    <w:pPr>
      <w:tabs>
        <w:tab w:val="left" w:pos="1361"/>
      </w:tabs>
      <w:spacing w:before="0" w:after="60"/>
      <w:ind w:left="567"/>
    </w:pPr>
    <w:rPr>
      <w:bCs/>
    </w:rPr>
  </w:style>
  <w:style w:type="paragraph" w:customStyle="1" w:styleId="APVMATextIndented">
    <w:name w:val="APVMA_Text_Indented"/>
    <w:basedOn w:val="NormalText"/>
    <w:uiPriority w:val="4"/>
    <w:rsid w:val="007D482F"/>
    <w:pPr>
      <w:ind w:left="340"/>
    </w:pPr>
  </w:style>
  <w:style w:type="paragraph" w:customStyle="1" w:styleId="APVMAImprintText">
    <w:name w:val="APVMA_Imprint_Text"/>
    <w:basedOn w:val="Normal"/>
    <w:rsid w:val="007D482F"/>
    <w:pPr>
      <w:spacing w:before="120" w:after="120" w:line="240" w:lineRule="exact"/>
    </w:pPr>
    <w:rPr>
      <w:spacing w:val="6"/>
    </w:rPr>
  </w:style>
  <w:style w:type="paragraph" w:customStyle="1" w:styleId="AppendixH1">
    <w:name w:val="Appendix_H1"/>
    <w:basedOn w:val="PreliminariesH1"/>
    <w:next w:val="NormalText"/>
    <w:uiPriority w:val="4"/>
    <w:rsid w:val="007D482F"/>
    <w:pPr>
      <w:tabs>
        <w:tab w:val="left" w:pos="2058"/>
      </w:tabs>
      <w:ind w:left="2044" w:hanging="2044"/>
    </w:pPr>
  </w:style>
  <w:style w:type="character" w:styleId="FollowedHyperlink">
    <w:name w:val="FollowedHyperlink"/>
    <w:uiPriority w:val="4"/>
    <w:semiHidden/>
    <w:rsid w:val="007D482F"/>
    <w:rPr>
      <w:color w:val="800080"/>
      <w:u w:val="single"/>
    </w:rPr>
  </w:style>
  <w:style w:type="paragraph" w:customStyle="1" w:styleId="PreliminariesH1">
    <w:name w:val="Preliminaries_H1"/>
    <w:basedOn w:val="Heading1"/>
    <w:next w:val="NormalText"/>
    <w:uiPriority w:val="4"/>
    <w:rsid w:val="007A49D1"/>
    <w:pPr>
      <w:numPr>
        <w:numId w:val="0"/>
      </w:numPr>
    </w:pPr>
    <w:rPr>
      <w:bCs/>
      <w:szCs w:val="30"/>
    </w:rPr>
  </w:style>
  <w:style w:type="paragraph" w:customStyle="1" w:styleId="PreliminariesH2">
    <w:name w:val="Preliminaries_H2"/>
    <w:basedOn w:val="Heading2"/>
    <w:next w:val="NormalText"/>
    <w:uiPriority w:val="4"/>
    <w:rsid w:val="007A49D1"/>
    <w:pPr>
      <w:numPr>
        <w:ilvl w:val="0"/>
        <w:numId w:val="0"/>
      </w:numPr>
      <w:tabs>
        <w:tab w:val="num" w:pos="907"/>
      </w:tabs>
    </w:pPr>
  </w:style>
  <w:style w:type="paragraph" w:customStyle="1" w:styleId="PreliminariesH3">
    <w:name w:val="Preliminaries_H3"/>
    <w:basedOn w:val="Heading3"/>
    <w:uiPriority w:val="4"/>
    <w:rsid w:val="007A49D1"/>
    <w:pPr>
      <w:numPr>
        <w:ilvl w:val="0"/>
        <w:numId w:val="0"/>
      </w:numPr>
    </w:pPr>
  </w:style>
  <w:style w:type="paragraph" w:customStyle="1" w:styleId="GlossaryRefH1">
    <w:name w:val="Glossary/Ref_H1"/>
    <w:basedOn w:val="PreliminariesH1"/>
    <w:uiPriority w:val="4"/>
    <w:rsid w:val="007D482F"/>
    <w:pPr>
      <w:spacing w:after="240"/>
    </w:pPr>
  </w:style>
  <w:style w:type="paragraph" w:customStyle="1" w:styleId="APVMAImage">
    <w:name w:val="APVMA_Image"/>
    <w:basedOn w:val="Normal"/>
    <w:uiPriority w:val="4"/>
    <w:rsid w:val="007D482F"/>
    <w:pPr>
      <w:spacing w:before="240" w:after="240"/>
    </w:pPr>
  </w:style>
  <w:style w:type="paragraph" w:customStyle="1" w:styleId="ListAlpha">
    <w:name w:val="List_Alpha"/>
    <w:basedOn w:val="NormalText"/>
    <w:uiPriority w:val="4"/>
    <w:qFormat/>
    <w:rsid w:val="007D482F"/>
    <w:pPr>
      <w:numPr>
        <w:numId w:val="6"/>
      </w:numPr>
      <w:spacing w:before="120" w:after="120"/>
    </w:pPr>
  </w:style>
  <w:style w:type="paragraph" w:customStyle="1" w:styleId="AppendixH2">
    <w:name w:val="Appendix_H2"/>
    <w:basedOn w:val="PreliminariesH2"/>
    <w:next w:val="NormalText"/>
    <w:uiPriority w:val="4"/>
    <w:rsid w:val="007D482F"/>
    <w:rPr>
      <w:bCs/>
    </w:rPr>
  </w:style>
  <w:style w:type="paragraph" w:customStyle="1" w:styleId="AppendixH3">
    <w:name w:val="Appendix_H3"/>
    <w:basedOn w:val="PreliminariesH3"/>
    <w:next w:val="NormalText"/>
    <w:uiPriority w:val="4"/>
    <w:rsid w:val="007D482F"/>
  </w:style>
  <w:style w:type="paragraph" w:customStyle="1" w:styleId="APVMABullet3">
    <w:name w:val="APVMA_Bullet3"/>
    <w:basedOn w:val="Bullet2"/>
    <w:uiPriority w:val="4"/>
    <w:rsid w:val="007D482F"/>
    <w:pPr>
      <w:numPr>
        <w:numId w:val="5"/>
      </w:numPr>
      <w:spacing w:before="120"/>
      <w:ind w:left="1020" w:hanging="340"/>
    </w:pPr>
  </w:style>
  <w:style w:type="paragraph" w:customStyle="1" w:styleId="APVMASectionTitle">
    <w:name w:val="APVMA_Section_Title"/>
    <w:basedOn w:val="Normal"/>
    <w:uiPriority w:val="4"/>
    <w:rsid w:val="007D482F"/>
    <w:pPr>
      <w:spacing w:before="840"/>
      <w:jc w:val="right"/>
    </w:pPr>
    <w:rPr>
      <w:rFonts w:ascii="Trebuchet MS" w:hAnsi="Trebuchet MS"/>
      <w:caps/>
      <w:color w:val="53284F"/>
      <w:sz w:val="48"/>
    </w:rPr>
  </w:style>
  <w:style w:type="paragraph" w:customStyle="1" w:styleId="APVMACoverDate">
    <w:name w:val="APVMA_Cover_Date"/>
    <w:basedOn w:val="Normal"/>
    <w:uiPriority w:val="4"/>
    <w:rsid w:val="007D482F"/>
    <w:rPr>
      <w:rFonts w:ascii="Orator Std" w:hAnsi="Orator Std"/>
      <w:caps/>
      <w:color w:val="F8F8F8"/>
    </w:rPr>
  </w:style>
  <w:style w:type="paragraph" w:styleId="BalloonText">
    <w:name w:val="Balloon Text"/>
    <w:basedOn w:val="Normal"/>
    <w:link w:val="BalloonTextChar"/>
    <w:uiPriority w:val="99"/>
    <w:semiHidden/>
    <w:unhideWhenUsed/>
    <w:rsid w:val="007D4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2F"/>
    <w:rPr>
      <w:rFonts w:ascii="Segoe UI" w:hAnsi="Segoe UI" w:cs="Segoe UI"/>
      <w:color w:val="1A1B1A" w:themeColor="text1" w:themeShade="80"/>
      <w:sz w:val="18"/>
      <w:szCs w:val="18"/>
      <w:lang w:eastAsia="en-US"/>
    </w:rPr>
  </w:style>
  <w:style w:type="character" w:styleId="PlaceholderText">
    <w:name w:val="Placeholder Text"/>
    <w:basedOn w:val="DefaultParagraphFont"/>
    <w:uiPriority w:val="99"/>
    <w:semiHidden/>
    <w:rsid w:val="007D482F"/>
    <w:rPr>
      <w:color w:val="808080"/>
    </w:rPr>
  </w:style>
  <w:style w:type="character" w:customStyle="1" w:styleId="Superscript">
    <w:name w:val="Superscript"/>
    <w:basedOn w:val="DefaultParagraphFont"/>
    <w:uiPriority w:val="1"/>
    <w:qFormat/>
    <w:rsid w:val="007D482F"/>
    <w:rPr>
      <w:vertAlign w:val="superscript"/>
    </w:rPr>
  </w:style>
  <w:style w:type="character" w:customStyle="1" w:styleId="APVMASubscript">
    <w:name w:val="APVMA_Subscript"/>
    <w:basedOn w:val="DefaultParagraphFont"/>
    <w:uiPriority w:val="1"/>
    <w:rsid w:val="007D482F"/>
    <w:rPr>
      <w:vertAlign w:val="subscript"/>
    </w:rPr>
  </w:style>
  <w:style w:type="character" w:customStyle="1" w:styleId="CommentTextChar">
    <w:name w:val="Comment Text Char"/>
    <w:basedOn w:val="DefaultParagraphFont"/>
    <w:link w:val="CommentText"/>
    <w:uiPriority w:val="4"/>
    <w:rsid w:val="007D482F"/>
    <w:rPr>
      <w:rFonts w:ascii="Arial" w:hAnsi="Arial"/>
      <w:lang w:eastAsia="en-US"/>
    </w:rPr>
  </w:style>
  <w:style w:type="paragraph" w:customStyle="1" w:styleId="TOCH1">
    <w:name w:val="TOC H1"/>
    <w:basedOn w:val="TOAHeading"/>
    <w:uiPriority w:val="4"/>
    <w:rsid w:val="00841C5F"/>
    <w:pPr>
      <w:numPr>
        <w:numId w:val="0"/>
      </w:numPr>
      <w:spacing w:after="240"/>
    </w:pPr>
  </w:style>
  <w:style w:type="paragraph" w:customStyle="1" w:styleId="Coverdate">
    <w:name w:val="Cover date"/>
    <w:basedOn w:val="CoverSubtitle"/>
    <w:uiPriority w:val="4"/>
    <w:rsid w:val="007D482F"/>
    <w:pPr>
      <w:jc w:val="center"/>
    </w:pPr>
    <w:rPr>
      <w:sz w:val="28"/>
    </w:rPr>
  </w:style>
  <w:style w:type="paragraph" w:customStyle="1" w:styleId="Boxcaption">
    <w:name w:val="Box caption"/>
    <w:basedOn w:val="Caption"/>
    <w:uiPriority w:val="4"/>
    <w:rsid w:val="007D482F"/>
  </w:style>
  <w:style w:type="paragraph" w:customStyle="1" w:styleId="Boxtext">
    <w:name w:val="Box text"/>
    <w:basedOn w:val="TableText"/>
    <w:uiPriority w:val="4"/>
    <w:rsid w:val="007D482F"/>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7D482F"/>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7D482F"/>
    <w:rPr>
      <w:rFonts w:ascii="Arial" w:hAnsi="Arial"/>
      <w:b/>
      <w:bCs/>
      <w:color w:val="1A1B1A" w:themeColor="text1" w:themeShade="80"/>
      <w:lang w:eastAsia="en-US"/>
    </w:rPr>
  </w:style>
  <w:style w:type="paragraph" w:styleId="Revision">
    <w:name w:val="Revision"/>
    <w:hidden/>
    <w:uiPriority w:val="99"/>
    <w:semiHidden/>
    <w:rsid w:val="007D482F"/>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7D482F"/>
    <w:pPr>
      <w:spacing w:before="1440"/>
      <w:jc w:val="center"/>
    </w:pPr>
    <w:rPr>
      <w:i/>
      <w:noProof/>
      <w:sz w:val="28"/>
      <w:szCs w:val="28"/>
    </w:rPr>
  </w:style>
  <w:style w:type="character" w:customStyle="1" w:styleId="NormalTextChar">
    <w:name w:val="Normal Text Char"/>
    <w:basedOn w:val="DefaultParagraphFont"/>
    <w:link w:val="NormalText"/>
    <w:rsid w:val="005F3CF0"/>
    <w:rPr>
      <w:rFonts w:ascii="Arial" w:eastAsiaTheme="minorHAnsi" w:hAnsi="Arial" w:cs="Arial"/>
      <w:kern w:val="20"/>
      <w:sz w:val="19"/>
      <w:szCs w:val="22"/>
      <w:u w:color="000000"/>
      <w:lang w:eastAsia="en-US"/>
      <w14:ligatures w14:val="standardContextual"/>
    </w:rPr>
  </w:style>
  <w:style w:type="character" w:customStyle="1" w:styleId="Bullet1Char">
    <w:name w:val="Bullet1 Char"/>
    <w:basedOn w:val="NormalTextChar"/>
    <w:link w:val="Bullet1"/>
    <w:uiPriority w:val="4"/>
    <w:rsid w:val="007D482F"/>
    <w:rPr>
      <w:rFonts w:ascii="Arial" w:eastAsiaTheme="minorHAnsi" w:hAnsi="Arial" w:cs="Arial"/>
      <w:color w:val="1A1B1A" w:themeColor="text1" w:themeShade="80"/>
      <w:kern w:val="20"/>
      <w:sz w:val="19"/>
      <w:szCs w:val="24"/>
      <w:u w:color="000000"/>
      <w:lang w:eastAsia="en-US"/>
      <w14:ligatures w14:val="standardContextual"/>
    </w:rPr>
  </w:style>
  <w:style w:type="character" w:customStyle="1" w:styleId="Bullet2Char">
    <w:name w:val="Bullet2 Char"/>
    <w:basedOn w:val="Bullet1Char"/>
    <w:link w:val="Bullet2"/>
    <w:uiPriority w:val="4"/>
    <w:rsid w:val="007D482F"/>
    <w:rPr>
      <w:rFonts w:ascii="Arial" w:eastAsiaTheme="minorHAnsi" w:hAnsi="Arial" w:cs="Arial"/>
      <w:color w:val="1A1B1A" w:themeColor="text1" w:themeShade="80"/>
      <w:kern w:val="20"/>
      <w:sz w:val="19"/>
      <w:szCs w:val="24"/>
      <w:u w:color="000000"/>
      <w:lang w:eastAsia="en-US"/>
      <w14:ligatures w14:val="standardContextual"/>
    </w:rPr>
  </w:style>
  <w:style w:type="character" w:customStyle="1" w:styleId="BulletendashChar">
    <w:name w:val="Bullet en dash Char"/>
    <w:basedOn w:val="Bullet2Char"/>
    <w:link w:val="Bulletendash"/>
    <w:uiPriority w:val="4"/>
    <w:rsid w:val="007D482F"/>
    <w:rPr>
      <w:rFonts w:ascii="Arial" w:eastAsiaTheme="minorHAnsi" w:hAnsi="Arial" w:cs="Arial"/>
      <w:i/>
      <w:noProof/>
      <w:color w:val="1A1B1A" w:themeColor="text1" w:themeShade="80"/>
      <w:kern w:val="20"/>
      <w:sz w:val="28"/>
      <w:szCs w:val="28"/>
      <w:u w:color="000000"/>
      <w:lang w:eastAsia="en-US"/>
      <w14:ligatures w14:val="standardContextual"/>
    </w:rPr>
  </w:style>
  <w:style w:type="paragraph" w:customStyle="1" w:styleId="Figurecaption">
    <w:name w:val="Figure caption"/>
    <w:basedOn w:val="Caption"/>
    <w:link w:val="FigurecaptionChar"/>
    <w:uiPriority w:val="4"/>
    <w:qFormat/>
    <w:rsid w:val="007D482F"/>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7D482F"/>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7D482F"/>
    <w:rPr>
      <w:rFonts w:ascii="Franklin Gothic Medium" w:hAnsi="Franklin Gothic Medium"/>
      <w:color w:val="5C2946"/>
      <w:szCs w:val="24"/>
      <w:lang w:eastAsia="en-US"/>
    </w:rPr>
  </w:style>
  <w:style w:type="paragraph" w:customStyle="1" w:styleId="APVMAPreliminariesH2">
    <w:name w:val="APVMA_Preliminaries_H2"/>
    <w:basedOn w:val="Heading2"/>
    <w:next w:val="NormalText"/>
    <w:uiPriority w:val="4"/>
    <w:rsid w:val="00DF10C5"/>
    <w:pPr>
      <w:numPr>
        <w:ilvl w:val="0"/>
      </w:numPr>
      <w:tabs>
        <w:tab w:val="num" w:pos="907"/>
      </w:tabs>
    </w:pPr>
  </w:style>
  <w:style w:type="paragraph" w:customStyle="1" w:styleId="APVMAPreliminariesH3">
    <w:name w:val="APVMA_Preliminaries_H3"/>
    <w:basedOn w:val="Heading3"/>
    <w:uiPriority w:val="4"/>
    <w:rsid w:val="00DF10C5"/>
    <w:pPr>
      <w:numPr>
        <w:ilvl w:val="0"/>
        <w:numId w:val="0"/>
      </w:numPr>
      <w:tabs>
        <w:tab w:val="num" w:pos="0"/>
      </w:tabs>
    </w:pPr>
  </w:style>
  <w:style w:type="table" w:styleId="TableGrid">
    <w:name w:val="Table Grid"/>
    <w:aliases w:val="DAR007,Signature Table"/>
    <w:basedOn w:val="TableNormal"/>
    <w:uiPriority w:val="39"/>
    <w:rsid w:val="00DF1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ableText">
    <w:name w:val="APVMA_TableText"/>
    <w:basedOn w:val="NormalText"/>
    <w:link w:val="APVMATableTextChar"/>
    <w:uiPriority w:val="4"/>
    <w:qFormat/>
    <w:rsid w:val="0011328B"/>
    <w:pPr>
      <w:spacing w:before="120" w:after="120" w:line="210" w:lineRule="exact"/>
    </w:pPr>
    <w:rPr>
      <w:spacing w:val="6"/>
      <w:sz w:val="17"/>
    </w:rPr>
  </w:style>
  <w:style w:type="paragraph" w:customStyle="1" w:styleId="APVMATableHead">
    <w:name w:val="APVMA_TableHead"/>
    <w:basedOn w:val="APVMATableText"/>
    <w:uiPriority w:val="4"/>
    <w:qFormat/>
    <w:rsid w:val="0011328B"/>
    <w:pPr>
      <w:keepNext/>
      <w:keepLines/>
      <w:spacing w:before="60" w:after="60" w:line="240" w:lineRule="exact"/>
    </w:pPr>
    <w:rPr>
      <w:rFonts w:ascii="Franklin Gothic Medium" w:hAnsi="Franklin Gothic Medium"/>
      <w:bCs/>
      <w:color w:val="F8F8F8"/>
      <w:sz w:val="18"/>
    </w:rPr>
  </w:style>
  <w:style w:type="character" w:customStyle="1" w:styleId="APVMATableTextChar">
    <w:name w:val="APVMA_TableText Char"/>
    <w:link w:val="APVMATableText"/>
    <w:uiPriority w:val="4"/>
    <w:rsid w:val="0011328B"/>
    <w:rPr>
      <w:rFonts w:ascii="Arial" w:hAnsi="Arial" w:cs="Arial"/>
      <w:spacing w:val="6"/>
      <w:kern w:val="20"/>
      <w:sz w:val="17"/>
      <w:szCs w:val="24"/>
      <w:u w:color="000000"/>
      <w:lang w:eastAsia="en-US"/>
    </w:rPr>
  </w:style>
  <w:style w:type="character" w:customStyle="1" w:styleId="FootnoteTextChar">
    <w:name w:val="Footnote Text Char"/>
    <w:aliases w:val="APVMA_Footnote Char,DAR001 Char,Tabellenanmerkung Char,EFSA op_Footnote Char,FEEDAP Op_Footnote Char"/>
    <w:basedOn w:val="DefaultParagraphFont"/>
    <w:link w:val="FootnoteText"/>
    <w:uiPriority w:val="4"/>
    <w:rsid w:val="0011328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9C6C41"/>
    <w:pPr>
      <w:tabs>
        <w:tab w:val="num" w:pos="227"/>
      </w:tabs>
      <w:spacing w:after="60"/>
      <w:ind w:left="227" w:hanging="227"/>
    </w:pPr>
  </w:style>
  <w:style w:type="paragraph" w:customStyle="1" w:styleId="APVMAText">
    <w:name w:val="APVMA_Text"/>
    <w:basedOn w:val="Normal"/>
    <w:link w:val="APVMATextChar"/>
    <w:qFormat/>
    <w:rsid w:val="00A01B38"/>
    <w:pPr>
      <w:suppressAutoHyphens/>
      <w:spacing w:before="240" w:after="240" w:line="280" w:lineRule="exact"/>
    </w:pPr>
    <w:rPr>
      <w:rFonts w:eastAsiaTheme="minorEastAsia" w:cs="Arial"/>
      <w:sz w:val="20"/>
      <w:u w:color="000000"/>
    </w:rPr>
  </w:style>
  <w:style w:type="character" w:customStyle="1" w:styleId="APVMATextChar">
    <w:name w:val="APVMA_Text Char"/>
    <w:basedOn w:val="DefaultParagraphFont"/>
    <w:link w:val="APVMAText"/>
    <w:locked/>
    <w:rsid w:val="00A01B38"/>
    <w:rPr>
      <w:rFonts w:ascii="Arial" w:eastAsiaTheme="minorEastAsia" w:hAnsi="Arial" w:cs="Arial"/>
      <w:szCs w:val="24"/>
      <w:u w:color="000000"/>
      <w:lang w:eastAsia="en-US"/>
    </w:rPr>
  </w:style>
  <w:style w:type="paragraph" w:styleId="BodyText">
    <w:name w:val="Body Text"/>
    <w:aliases w:val="style5,bt"/>
    <w:basedOn w:val="Normal"/>
    <w:link w:val="BodyTextChar"/>
    <w:unhideWhenUsed/>
    <w:qFormat/>
    <w:rsid w:val="005F322A"/>
    <w:pPr>
      <w:spacing w:after="120"/>
    </w:pPr>
    <w:rPr>
      <w:sz w:val="20"/>
    </w:rPr>
  </w:style>
  <w:style w:type="character" w:customStyle="1" w:styleId="BodyTextChar">
    <w:name w:val="Body Text Char"/>
    <w:aliases w:val="style5 Char,bt Char"/>
    <w:basedOn w:val="DefaultParagraphFont"/>
    <w:link w:val="BodyText"/>
    <w:rsid w:val="005F322A"/>
    <w:rPr>
      <w:rFonts w:ascii="Arial" w:hAnsi="Arial"/>
      <w:szCs w:val="24"/>
      <w:lang w:eastAsia="en-US"/>
    </w:rPr>
  </w:style>
  <w:style w:type="paragraph" w:customStyle="1" w:styleId="Default">
    <w:name w:val="Default"/>
    <w:link w:val="DefaultChar"/>
    <w:rsid w:val="00E84746"/>
    <w:pPr>
      <w:autoSpaceDE w:val="0"/>
      <w:autoSpaceDN w:val="0"/>
      <w:adjustRightInd w:val="0"/>
    </w:pPr>
    <w:rPr>
      <w:color w:val="000000"/>
      <w:sz w:val="24"/>
      <w:szCs w:val="24"/>
    </w:rPr>
  </w:style>
  <w:style w:type="character" w:customStyle="1" w:styleId="DefaultChar">
    <w:name w:val="Default Char"/>
    <w:link w:val="Default"/>
    <w:rsid w:val="00E84746"/>
    <w:rPr>
      <w:color w:val="000000"/>
      <w:sz w:val="24"/>
      <w:szCs w:val="24"/>
    </w:rPr>
  </w:style>
  <w:style w:type="paragraph" w:customStyle="1" w:styleId="APVMAOddHeader">
    <w:name w:val="APVMA_Odd_Header"/>
    <w:basedOn w:val="NormalText"/>
    <w:uiPriority w:val="4"/>
    <w:rsid w:val="005D0E7A"/>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ListNumbered">
    <w:name w:val="APVMA_List_Numbered"/>
    <w:basedOn w:val="NormalText"/>
    <w:uiPriority w:val="4"/>
    <w:qFormat/>
    <w:rsid w:val="009A7378"/>
    <w:pPr>
      <w:tabs>
        <w:tab w:val="num" w:pos="340"/>
      </w:tabs>
      <w:spacing w:before="120" w:after="120"/>
      <w:ind w:left="340" w:hanging="340"/>
    </w:pPr>
  </w:style>
  <w:style w:type="paragraph" w:customStyle="1" w:styleId="APVMASourceTableNote">
    <w:name w:val="APVMA_Source/TableNote"/>
    <w:basedOn w:val="NormalText"/>
    <w:uiPriority w:val="4"/>
    <w:rsid w:val="009A7378"/>
    <w:pPr>
      <w:spacing w:before="0" w:after="0" w:line="280" w:lineRule="atLeast"/>
    </w:pPr>
    <w:rPr>
      <w:i/>
      <w:spacing w:val="6"/>
      <w:sz w:val="16"/>
    </w:rPr>
  </w:style>
  <w:style w:type="paragraph" w:customStyle="1" w:styleId="APVMAEvenHeader">
    <w:name w:val="APVMA_Even_Header"/>
    <w:basedOn w:val="APVMAOddHeader"/>
    <w:uiPriority w:val="4"/>
    <w:rsid w:val="009A7378"/>
    <w:pPr>
      <w:tabs>
        <w:tab w:val="clear" w:pos="9072"/>
        <w:tab w:val="left" w:pos="567"/>
      </w:tabs>
      <w:ind w:left="567" w:hanging="567"/>
    </w:pPr>
  </w:style>
  <w:style w:type="paragraph" w:customStyle="1" w:styleId="APVMATableHeadRight">
    <w:name w:val="APVMA_TableHead_Right"/>
    <w:basedOn w:val="APVMATableHead"/>
    <w:uiPriority w:val="4"/>
    <w:rsid w:val="009A7378"/>
    <w:pPr>
      <w:jc w:val="right"/>
    </w:pPr>
  </w:style>
  <w:style w:type="paragraph" w:customStyle="1" w:styleId="APVMAQuote">
    <w:name w:val="APVMA_Quote"/>
    <w:basedOn w:val="NormalText"/>
    <w:uiPriority w:val="4"/>
    <w:rsid w:val="009A7378"/>
    <w:pPr>
      <w:ind w:left="567" w:right="567"/>
    </w:pPr>
  </w:style>
  <w:style w:type="paragraph" w:customStyle="1" w:styleId="APVMATableTextRight">
    <w:name w:val="APVMA_TableText_Right"/>
    <w:basedOn w:val="APVMATableText"/>
    <w:uiPriority w:val="4"/>
    <w:rsid w:val="009A7378"/>
    <w:pPr>
      <w:jc w:val="right"/>
    </w:pPr>
  </w:style>
  <w:style w:type="paragraph" w:customStyle="1" w:styleId="APVMATableSubHead">
    <w:name w:val="APVMA_Table_SubHead"/>
    <w:basedOn w:val="APVMATableHead"/>
    <w:uiPriority w:val="4"/>
    <w:rsid w:val="009A7378"/>
    <w:rPr>
      <w:color w:val="5C2946"/>
    </w:rPr>
  </w:style>
  <w:style w:type="paragraph" w:customStyle="1" w:styleId="APVMACoverTitle">
    <w:name w:val="APVMA_Cover_Title"/>
    <w:basedOn w:val="Normal"/>
    <w:uiPriority w:val="4"/>
    <w:qFormat/>
    <w:rsid w:val="009A7378"/>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9A7378"/>
    <w:pPr>
      <w:spacing w:before="12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9A7378"/>
    <w:pPr>
      <w:tabs>
        <w:tab w:val="left" w:pos="2058"/>
      </w:tabs>
      <w:ind w:left="2044" w:hanging="2044"/>
    </w:pPr>
  </w:style>
  <w:style w:type="paragraph" w:customStyle="1" w:styleId="APVMAPreliminariesH1">
    <w:name w:val="APVMA_Preliminaries_H1"/>
    <w:basedOn w:val="Heading1"/>
    <w:next w:val="NormalText"/>
    <w:uiPriority w:val="4"/>
    <w:rsid w:val="009A7378"/>
    <w:rPr>
      <w:bCs/>
      <w:caps/>
      <w:szCs w:val="30"/>
    </w:rPr>
  </w:style>
  <w:style w:type="paragraph" w:customStyle="1" w:styleId="APVMAGlossaryRefH1">
    <w:name w:val="APVMA_Glossary/Ref_H1"/>
    <w:basedOn w:val="APVMAPreliminariesH1"/>
    <w:uiPriority w:val="4"/>
    <w:rsid w:val="009A7378"/>
  </w:style>
  <w:style w:type="paragraph" w:customStyle="1" w:styleId="APVMAListAlpha">
    <w:name w:val="APVMA_List_Alpha"/>
    <w:basedOn w:val="NormalText"/>
    <w:uiPriority w:val="4"/>
    <w:qFormat/>
    <w:rsid w:val="009A7378"/>
    <w:pPr>
      <w:tabs>
        <w:tab w:val="num" w:pos="340"/>
      </w:tabs>
      <w:spacing w:before="120" w:after="120"/>
      <w:ind w:left="340" w:hanging="340"/>
    </w:pPr>
  </w:style>
  <w:style w:type="paragraph" w:customStyle="1" w:styleId="APVMAAppendixH2">
    <w:name w:val="APVMA_Appendix_H2"/>
    <w:basedOn w:val="APVMAPreliminariesH2"/>
    <w:next w:val="NormalText"/>
    <w:uiPriority w:val="4"/>
    <w:rsid w:val="009A7378"/>
    <w:rPr>
      <w:bCs/>
    </w:rPr>
  </w:style>
  <w:style w:type="paragraph" w:customStyle="1" w:styleId="APVMAAppendixH3">
    <w:name w:val="APVMA_Appendix_H3"/>
    <w:basedOn w:val="APVMAPreliminariesH3"/>
    <w:next w:val="NormalText"/>
    <w:uiPriority w:val="4"/>
    <w:rsid w:val="009A7378"/>
  </w:style>
  <w:style w:type="character" w:customStyle="1" w:styleId="APVMASuperscript">
    <w:name w:val="APVMA_Superscript"/>
    <w:basedOn w:val="DefaultParagraphFont"/>
    <w:uiPriority w:val="1"/>
    <w:qFormat/>
    <w:rsid w:val="009A7378"/>
    <w:rPr>
      <w:vertAlign w:val="superscript"/>
    </w:rPr>
  </w:style>
  <w:style w:type="table" w:styleId="GridTable4">
    <w:name w:val="Grid Table 4"/>
    <w:basedOn w:val="TableNormal"/>
    <w:uiPriority w:val="49"/>
    <w:rsid w:val="009A7378"/>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insideV w:val="single" w:sz="4" w:space="0" w:color="848884" w:themeColor="text1" w:themeTint="99"/>
      </w:tblBorders>
    </w:tblPr>
    <w:tblStylePr w:type="firstRow">
      <w:rPr>
        <w:b/>
        <w:bCs/>
        <w:color w:val="EAAB00" w:themeColor="background1"/>
      </w:rPr>
      <w:tblPr/>
      <w:tcPr>
        <w:tcBorders>
          <w:top w:val="single" w:sz="4" w:space="0" w:color="353735" w:themeColor="text1"/>
          <w:left w:val="single" w:sz="4" w:space="0" w:color="353735" w:themeColor="text1"/>
          <w:bottom w:val="single" w:sz="4" w:space="0" w:color="353735" w:themeColor="text1"/>
          <w:right w:val="single" w:sz="4" w:space="0" w:color="353735" w:themeColor="text1"/>
          <w:insideH w:val="nil"/>
          <w:insideV w:val="nil"/>
        </w:tcBorders>
        <w:shd w:val="clear" w:color="auto" w:fill="353735" w:themeFill="text1"/>
      </w:tcPr>
    </w:tblStylePr>
    <w:tblStylePr w:type="lastRow">
      <w:rPr>
        <w:b/>
        <w:bCs/>
      </w:rPr>
      <w:tblPr/>
      <w:tcPr>
        <w:tcBorders>
          <w:top w:val="double" w:sz="4" w:space="0" w:color="353735" w:themeColor="text1"/>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styleId="GridTable1Light-Accent5">
    <w:name w:val="Grid Table 1 Light Accent 5"/>
    <w:basedOn w:val="TableNormal"/>
    <w:uiPriority w:val="46"/>
    <w:rsid w:val="009A7378"/>
    <w:tblPr>
      <w:tblStyleRowBandSize w:val="1"/>
      <w:tblStyleColBandSize w:val="1"/>
      <w:tblBorders>
        <w:top w:val="single" w:sz="4" w:space="0" w:color="CC96C7" w:themeColor="accent5" w:themeTint="66"/>
        <w:left w:val="single" w:sz="4" w:space="0" w:color="CC96C7" w:themeColor="accent5" w:themeTint="66"/>
        <w:bottom w:val="single" w:sz="4" w:space="0" w:color="CC96C7" w:themeColor="accent5" w:themeTint="66"/>
        <w:right w:val="single" w:sz="4" w:space="0" w:color="CC96C7" w:themeColor="accent5" w:themeTint="66"/>
        <w:insideH w:val="single" w:sz="4" w:space="0" w:color="CC96C7" w:themeColor="accent5" w:themeTint="66"/>
        <w:insideV w:val="single" w:sz="4" w:space="0" w:color="CC96C7" w:themeColor="accent5" w:themeTint="66"/>
      </w:tblBorders>
    </w:tblPr>
    <w:tblStylePr w:type="firstRow">
      <w:rPr>
        <w:b/>
        <w:bCs/>
      </w:rPr>
      <w:tblPr/>
      <w:tcPr>
        <w:tcBorders>
          <w:bottom w:val="single" w:sz="12" w:space="0" w:color="B362AB" w:themeColor="accent5" w:themeTint="99"/>
        </w:tcBorders>
      </w:tcPr>
    </w:tblStylePr>
    <w:tblStylePr w:type="lastRow">
      <w:rPr>
        <w:b/>
        <w:bCs/>
      </w:rPr>
      <w:tblPr/>
      <w:tcPr>
        <w:tcBorders>
          <w:top w:val="double" w:sz="2" w:space="0" w:color="B362AB" w:themeColor="accent5" w:themeTint="99"/>
        </w:tcBorders>
      </w:tcPr>
    </w:tblStylePr>
    <w:tblStylePr w:type="firstCol">
      <w:rPr>
        <w:b/>
        <w:bCs/>
      </w:rPr>
    </w:tblStylePr>
    <w:tblStylePr w:type="lastCol">
      <w:rPr>
        <w:b/>
        <w:bCs/>
      </w:rPr>
    </w:tblStylePr>
  </w:style>
  <w:style w:type="character" w:customStyle="1" w:styleId="Heading3Char">
    <w:name w:val="Heading 3 Char"/>
    <w:aliases w:val="APVMA_H3 Char,H3 Char,bro Titre 3 Char,h3 Char"/>
    <w:basedOn w:val="DefaultParagraphFont"/>
    <w:link w:val="Heading3"/>
    <w:uiPriority w:val="3"/>
    <w:rsid w:val="00C52B84"/>
    <w:rPr>
      <w:rFonts w:ascii="Franklin Gothic Medium" w:eastAsiaTheme="minorHAnsi" w:hAnsi="Franklin Gothic Medium" w:cs="Arial"/>
      <w:color w:val="5C2946"/>
      <w:sz w:val="24"/>
      <w:szCs w:val="26"/>
      <w:u w:color="000000"/>
      <w:lang w:eastAsia="en-US"/>
      <w14:ligatures w14:val="standardContextual"/>
    </w:rPr>
  </w:style>
  <w:style w:type="character" w:customStyle="1" w:styleId="Heading2Char">
    <w:name w:val="Heading 2 Char"/>
    <w:aliases w:val="APVMA_H2 Char,H2 Char,bro Titre 2 Char,h2 Char,heading2 Char"/>
    <w:basedOn w:val="DefaultParagraphFont"/>
    <w:link w:val="Heading2"/>
    <w:rsid w:val="009A7378"/>
    <w:rPr>
      <w:rFonts w:ascii="Franklin Gothic Medium" w:hAnsi="Franklin Gothic Medium" w:cs="Arial"/>
      <w:color w:val="5C2946"/>
      <w:sz w:val="28"/>
      <w:szCs w:val="28"/>
      <w:u w:color="000000"/>
      <w:lang w:eastAsia="en-US"/>
    </w:rPr>
  </w:style>
  <w:style w:type="paragraph" w:styleId="NormalWeb">
    <w:name w:val="Normal (Web)"/>
    <w:basedOn w:val="Normal"/>
    <w:uiPriority w:val="99"/>
    <w:semiHidden/>
    <w:unhideWhenUsed/>
    <w:rsid w:val="009A7378"/>
    <w:pPr>
      <w:spacing w:beforeAutospacing="1" w:afterAutospacing="1"/>
    </w:pPr>
    <w:rPr>
      <w:rFonts w:ascii="Times New Roman" w:hAnsi="Times New Roman"/>
      <w:lang w:eastAsia="en-AU"/>
    </w:rPr>
  </w:style>
  <w:style w:type="paragraph" w:styleId="BodyText2">
    <w:name w:val="Body Text 2"/>
    <w:basedOn w:val="Normal"/>
    <w:link w:val="BodyText2Char"/>
    <w:semiHidden/>
    <w:rsid w:val="009A7378"/>
    <w:rPr>
      <w:rFonts w:ascii="Times New Roman" w:hAnsi="Times New Roman"/>
      <w:sz w:val="18"/>
      <w:szCs w:val="20"/>
      <w:lang w:val="en-GB"/>
    </w:rPr>
  </w:style>
  <w:style w:type="character" w:customStyle="1" w:styleId="BodyText2Char">
    <w:name w:val="Body Text 2 Char"/>
    <w:basedOn w:val="DefaultParagraphFont"/>
    <w:link w:val="BodyText2"/>
    <w:semiHidden/>
    <w:rsid w:val="009A7378"/>
    <w:rPr>
      <w:sz w:val="18"/>
      <w:lang w:val="en-GB" w:eastAsia="en-US"/>
    </w:rPr>
  </w:style>
  <w:style w:type="character" w:customStyle="1" w:styleId="mw-cite-backlink">
    <w:name w:val="mw-cite-backlink"/>
    <w:basedOn w:val="DefaultParagraphFont"/>
    <w:rsid w:val="009A7378"/>
  </w:style>
  <w:style w:type="character" w:customStyle="1" w:styleId="cite-accessibility-label1">
    <w:name w:val="cite-accessibility-label1"/>
    <w:basedOn w:val="DefaultParagraphFont"/>
    <w:rsid w:val="009A7378"/>
    <w:rPr>
      <w:bdr w:val="none" w:sz="0" w:space="0" w:color="auto" w:frame="1"/>
    </w:rPr>
  </w:style>
  <w:style w:type="character" w:customStyle="1" w:styleId="citation">
    <w:name w:val="citation"/>
    <w:basedOn w:val="DefaultParagraphFont"/>
    <w:rsid w:val="009A7378"/>
  </w:style>
  <w:style w:type="character" w:customStyle="1" w:styleId="z3988">
    <w:name w:val="z3988"/>
    <w:basedOn w:val="DefaultParagraphFont"/>
    <w:rsid w:val="009A7378"/>
  </w:style>
  <w:style w:type="character" w:styleId="HTMLCite">
    <w:name w:val="HTML Cite"/>
    <w:basedOn w:val="DefaultParagraphFont"/>
    <w:uiPriority w:val="99"/>
    <w:semiHidden/>
    <w:unhideWhenUsed/>
    <w:rsid w:val="009A7378"/>
    <w:rPr>
      <w:i/>
      <w:iCs/>
    </w:rPr>
  </w:style>
  <w:style w:type="paragraph" w:styleId="ListParagraph">
    <w:name w:val="List Paragraph"/>
    <w:basedOn w:val="Normal"/>
    <w:uiPriority w:val="34"/>
    <w:qFormat/>
    <w:rsid w:val="009A7378"/>
    <w:pPr>
      <w:ind w:left="720"/>
      <w:contextualSpacing/>
    </w:pPr>
    <w:rPr>
      <w:sz w:val="20"/>
    </w:rPr>
  </w:style>
  <w:style w:type="character" w:customStyle="1" w:styleId="FooterChar">
    <w:name w:val="Footer Char"/>
    <w:basedOn w:val="DefaultParagraphFont"/>
    <w:link w:val="Footer"/>
    <w:uiPriority w:val="4"/>
    <w:rsid w:val="009A7378"/>
    <w:rPr>
      <w:rFonts w:ascii="Arial" w:hAnsi="Arial"/>
      <w:color w:val="1A1B1A" w:themeColor="text1" w:themeShade="80"/>
      <w:sz w:val="16"/>
      <w:szCs w:val="24"/>
      <w:lang w:eastAsia="en-US"/>
    </w:rPr>
  </w:style>
  <w:style w:type="paragraph" w:customStyle="1" w:styleId="Tabletext0">
    <w:name w:val="Table text"/>
    <w:basedOn w:val="Normal"/>
    <w:qFormat/>
    <w:rsid w:val="009A7378"/>
    <w:pPr>
      <w:jc w:val="center"/>
    </w:pPr>
    <w:rPr>
      <w:rFonts w:ascii="Times New Roman" w:hAnsi="Times New Roman"/>
      <w:sz w:val="20"/>
      <w:lang w:eastAsia="en-AU"/>
    </w:rPr>
  </w:style>
  <w:style w:type="paragraph" w:styleId="ListBullet2">
    <w:name w:val="List Bullet 2"/>
    <w:basedOn w:val="Normal"/>
    <w:uiPriority w:val="8"/>
    <w:unhideWhenUsed/>
    <w:qFormat/>
    <w:rsid w:val="009A7378"/>
    <w:pPr>
      <w:tabs>
        <w:tab w:val="num" w:pos="643"/>
      </w:tabs>
      <w:ind w:left="643" w:hanging="360"/>
      <w:contextualSpacing/>
    </w:pPr>
    <w:rPr>
      <w:rFonts w:cs="Arial"/>
      <w:lang w:eastAsia="en-AU"/>
    </w:rPr>
  </w:style>
  <w:style w:type="paragraph" w:customStyle="1" w:styleId="TableNumberLevel1">
    <w:name w:val="Table: Number Level 1"/>
    <w:aliases w:val="Table N1"/>
    <w:basedOn w:val="Normal"/>
    <w:uiPriority w:val="12"/>
    <w:qFormat/>
    <w:rsid w:val="009A7378"/>
    <w:pPr>
      <w:numPr>
        <w:numId w:val="8"/>
      </w:numPr>
      <w:tabs>
        <w:tab w:val="clear" w:pos="567"/>
        <w:tab w:val="num" w:pos="851"/>
      </w:tabs>
      <w:spacing w:before="60" w:after="60"/>
      <w:ind w:left="851" w:hanging="851"/>
    </w:pPr>
    <w:rPr>
      <w:rFonts w:cs="Arial"/>
      <w:sz w:val="20"/>
      <w:lang w:eastAsia="en-AU"/>
    </w:rPr>
  </w:style>
  <w:style w:type="paragraph" w:customStyle="1" w:styleId="TableNumberLevel2">
    <w:name w:val="Table: Number Level 2"/>
    <w:basedOn w:val="Normal"/>
    <w:uiPriority w:val="12"/>
    <w:rsid w:val="009A7378"/>
    <w:pPr>
      <w:numPr>
        <w:ilvl w:val="1"/>
        <w:numId w:val="8"/>
      </w:numPr>
      <w:tabs>
        <w:tab w:val="clear" w:pos="567"/>
        <w:tab w:val="num" w:pos="851"/>
        <w:tab w:val="num" w:pos="1440"/>
      </w:tabs>
      <w:spacing w:before="60" w:after="60"/>
      <w:ind w:left="1440" w:hanging="360"/>
    </w:pPr>
    <w:rPr>
      <w:rFonts w:cs="Arial"/>
      <w:sz w:val="20"/>
      <w:lang w:eastAsia="en-AU"/>
    </w:rPr>
  </w:style>
  <w:style w:type="paragraph" w:customStyle="1" w:styleId="TableNumberLevel3">
    <w:name w:val="Table: Number Level 3"/>
    <w:basedOn w:val="Normal"/>
    <w:uiPriority w:val="12"/>
    <w:rsid w:val="009A7378"/>
    <w:pPr>
      <w:numPr>
        <w:ilvl w:val="2"/>
        <w:numId w:val="8"/>
      </w:numPr>
      <w:tabs>
        <w:tab w:val="clear" w:pos="567"/>
        <w:tab w:val="num" w:pos="1418"/>
        <w:tab w:val="num" w:pos="2160"/>
      </w:tabs>
      <w:spacing w:before="60" w:after="60"/>
      <w:ind w:left="2160" w:hanging="180"/>
    </w:pPr>
    <w:rPr>
      <w:rFonts w:cs="Arial"/>
      <w:sz w:val="20"/>
      <w:lang w:eastAsia="en-AU"/>
    </w:rPr>
  </w:style>
  <w:style w:type="paragraph" w:customStyle="1" w:styleId="TableNumberLevel4">
    <w:name w:val="Table: Number Level 4"/>
    <w:basedOn w:val="Normal"/>
    <w:uiPriority w:val="12"/>
    <w:rsid w:val="009A7378"/>
    <w:pPr>
      <w:numPr>
        <w:ilvl w:val="3"/>
        <w:numId w:val="8"/>
      </w:numPr>
      <w:tabs>
        <w:tab w:val="clear" w:pos="850"/>
        <w:tab w:val="num" w:pos="1418"/>
        <w:tab w:val="num" w:pos="2880"/>
      </w:tabs>
      <w:spacing w:after="60"/>
      <w:ind w:left="2880" w:hanging="360"/>
    </w:pPr>
    <w:rPr>
      <w:rFonts w:cs="Arial"/>
      <w:sz w:val="20"/>
      <w:lang w:eastAsia="en-AU"/>
    </w:rPr>
  </w:style>
  <w:style w:type="paragraph" w:customStyle="1" w:styleId="TableNumberLevel5">
    <w:name w:val="Table: Number Level 5"/>
    <w:basedOn w:val="Normal"/>
    <w:uiPriority w:val="12"/>
    <w:semiHidden/>
    <w:rsid w:val="009A7378"/>
    <w:pPr>
      <w:numPr>
        <w:ilvl w:val="4"/>
        <w:numId w:val="8"/>
      </w:numPr>
      <w:tabs>
        <w:tab w:val="clear" w:pos="1134"/>
        <w:tab w:val="num" w:pos="1418"/>
        <w:tab w:val="num" w:pos="3600"/>
      </w:tabs>
      <w:spacing w:after="60"/>
      <w:ind w:left="3600" w:hanging="360"/>
    </w:pPr>
    <w:rPr>
      <w:rFonts w:cs="Arial"/>
      <w:sz w:val="20"/>
      <w:lang w:eastAsia="en-AU"/>
    </w:rPr>
  </w:style>
  <w:style w:type="paragraph" w:customStyle="1" w:styleId="TableNumberLevel6">
    <w:name w:val="Table: Number Level 6"/>
    <w:basedOn w:val="Normal"/>
    <w:uiPriority w:val="12"/>
    <w:semiHidden/>
    <w:rsid w:val="009A7378"/>
    <w:pPr>
      <w:numPr>
        <w:ilvl w:val="5"/>
        <w:numId w:val="8"/>
      </w:numPr>
      <w:tabs>
        <w:tab w:val="clear" w:pos="1417"/>
        <w:tab w:val="num" w:pos="4320"/>
      </w:tabs>
      <w:spacing w:after="60"/>
      <w:ind w:left="4320" w:hanging="180"/>
    </w:pPr>
    <w:rPr>
      <w:rFonts w:cs="Arial"/>
      <w:sz w:val="20"/>
      <w:lang w:eastAsia="en-AU"/>
    </w:rPr>
  </w:style>
  <w:style w:type="paragraph" w:customStyle="1" w:styleId="TableNumberLevel7">
    <w:name w:val="Table: Number Level 7"/>
    <w:basedOn w:val="Normal"/>
    <w:uiPriority w:val="12"/>
    <w:semiHidden/>
    <w:rsid w:val="009A7378"/>
    <w:pPr>
      <w:numPr>
        <w:ilvl w:val="6"/>
        <w:numId w:val="8"/>
      </w:numPr>
      <w:tabs>
        <w:tab w:val="clear" w:pos="1701"/>
        <w:tab w:val="num" w:pos="1296"/>
        <w:tab w:val="num" w:pos="5040"/>
      </w:tabs>
      <w:spacing w:after="60"/>
      <w:ind w:left="5040" w:hanging="360"/>
    </w:pPr>
    <w:rPr>
      <w:rFonts w:cs="Arial"/>
      <w:sz w:val="20"/>
      <w:lang w:eastAsia="en-AU"/>
    </w:rPr>
  </w:style>
  <w:style w:type="paragraph" w:customStyle="1" w:styleId="TableNumberLevel8">
    <w:name w:val="Table: Number Level 8"/>
    <w:basedOn w:val="Normal"/>
    <w:uiPriority w:val="12"/>
    <w:semiHidden/>
    <w:rsid w:val="009A7378"/>
    <w:pPr>
      <w:numPr>
        <w:ilvl w:val="7"/>
        <w:numId w:val="8"/>
      </w:numPr>
      <w:tabs>
        <w:tab w:val="clear" w:pos="1984"/>
        <w:tab w:val="num" w:pos="1440"/>
        <w:tab w:val="num" w:pos="5760"/>
      </w:tabs>
      <w:spacing w:after="60"/>
      <w:ind w:left="5760" w:hanging="360"/>
    </w:pPr>
    <w:rPr>
      <w:rFonts w:cs="Arial"/>
      <w:sz w:val="20"/>
      <w:lang w:eastAsia="en-AU"/>
    </w:rPr>
  </w:style>
  <w:style w:type="paragraph" w:customStyle="1" w:styleId="TableNumberLevel9">
    <w:name w:val="Table: Number Level 9"/>
    <w:basedOn w:val="Normal"/>
    <w:uiPriority w:val="12"/>
    <w:semiHidden/>
    <w:rsid w:val="009A7378"/>
    <w:pPr>
      <w:numPr>
        <w:ilvl w:val="8"/>
        <w:numId w:val="8"/>
      </w:numPr>
      <w:tabs>
        <w:tab w:val="clear" w:pos="2268"/>
        <w:tab w:val="num" w:pos="1584"/>
        <w:tab w:val="num" w:pos="6480"/>
      </w:tabs>
      <w:spacing w:after="60"/>
      <w:ind w:left="6480" w:hanging="180"/>
    </w:pPr>
    <w:rPr>
      <w:rFonts w:cs="Arial"/>
      <w:sz w:val="20"/>
      <w:lang w:eastAsia="en-AU"/>
    </w:rPr>
  </w:style>
  <w:style w:type="paragraph" w:customStyle="1" w:styleId="MRLTableText">
    <w:name w:val="MRL Table Text"/>
    <w:basedOn w:val="Normal"/>
    <w:rsid w:val="009A7378"/>
    <w:pPr>
      <w:spacing w:before="60" w:after="60" w:line="280" w:lineRule="exact"/>
    </w:pPr>
    <w:rPr>
      <w:rFonts w:ascii="Times New Roman" w:hAnsi="Times New Roman"/>
    </w:rPr>
  </w:style>
  <w:style w:type="paragraph" w:customStyle="1" w:styleId="MRLActiveName">
    <w:name w:val="MRL Active Name"/>
    <w:basedOn w:val="Normal"/>
    <w:rsid w:val="009A7378"/>
    <w:pPr>
      <w:spacing w:before="120" w:after="120"/>
    </w:pPr>
    <w:rPr>
      <w:rFonts w:ascii="Times New Roman" w:hAnsi="Times New Roman"/>
      <w:b/>
      <w:bCs/>
    </w:rPr>
  </w:style>
  <w:style w:type="paragraph" w:customStyle="1" w:styleId="MRLTableCaption">
    <w:name w:val="MRL Table Caption"/>
    <w:basedOn w:val="Normal"/>
    <w:next w:val="BodyText"/>
    <w:rsid w:val="009A7378"/>
    <w:pPr>
      <w:keepNext/>
      <w:spacing w:before="120" w:after="120" w:line="280" w:lineRule="atLeast"/>
      <w:ind w:left="1134" w:hanging="1134"/>
    </w:pPr>
    <w:rPr>
      <w:rFonts w:ascii="Times New Roman" w:hAnsi="Times New Roman"/>
      <w:b/>
      <w:spacing w:val="6"/>
    </w:rPr>
  </w:style>
  <w:style w:type="paragraph" w:customStyle="1" w:styleId="MRLTableHeading">
    <w:name w:val="MRL Table Heading"/>
    <w:basedOn w:val="Normal"/>
    <w:rsid w:val="009A7378"/>
    <w:pPr>
      <w:spacing w:before="60" w:after="60"/>
    </w:pPr>
    <w:rPr>
      <w:rFonts w:ascii="Times New Roman" w:hAnsi="Times New Roman"/>
      <w:b/>
    </w:rPr>
  </w:style>
  <w:style w:type="paragraph" w:customStyle="1" w:styleId="MRLValue">
    <w:name w:val="MRL Value"/>
    <w:basedOn w:val="MRLTableText"/>
    <w:rsid w:val="009A7378"/>
    <w:pPr>
      <w:tabs>
        <w:tab w:val="decimal" w:pos="792"/>
      </w:tabs>
      <w:jc w:val="both"/>
    </w:pPr>
  </w:style>
  <w:style w:type="paragraph" w:customStyle="1" w:styleId="MRLTableBullet">
    <w:name w:val="MRL Table Bullet"/>
    <w:basedOn w:val="MRLTableText"/>
    <w:rsid w:val="009A7378"/>
    <w:pPr>
      <w:numPr>
        <w:numId w:val="9"/>
      </w:numPr>
      <w:tabs>
        <w:tab w:val="clear" w:pos="284"/>
      </w:tabs>
      <w:ind w:left="720" w:hanging="360"/>
    </w:pPr>
    <w:rPr>
      <w:noProof/>
      <w:lang w:val="en-US"/>
    </w:rPr>
  </w:style>
  <w:style w:type="paragraph" w:customStyle="1" w:styleId="paragraph">
    <w:name w:val="paragraph"/>
    <w:aliases w:val="a"/>
    <w:basedOn w:val="Normal"/>
    <w:link w:val="paragraphChar"/>
    <w:rsid w:val="009A7378"/>
    <w:pPr>
      <w:tabs>
        <w:tab w:val="right" w:pos="1531"/>
      </w:tabs>
      <w:spacing w:before="40"/>
      <w:ind w:left="1644" w:hanging="1644"/>
    </w:pPr>
    <w:rPr>
      <w:rFonts w:ascii="Times New Roman" w:hAnsi="Times New Roman"/>
      <w:szCs w:val="20"/>
      <w:lang w:eastAsia="en-AU"/>
    </w:rPr>
  </w:style>
  <w:style w:type="character" w:customStyle="1" w:styleId="paragraphChar">
    <w:name w:val="paragraph Char"/>
    <w:aliases w:val="a Char"/>
    <w:basedOn w:val="DefaultParagraphFont"/>
    <w:link w:val="paragraph"/>
    <w:rsid w:val="009A7378"/>
    <w:rPr>
      <w:sz w:val="22"/>
    </w:rPr>
  </w:style>
  <w:style w:type="character" w:customStyle="1" w:styleId="Heading1Char">
    <w:name w:val="Heading 1 Char"/>
    <w:aliases w:val="APVMA_H1 Char,H1 Char"/>
    <w:basedOn w:val="DefaultParagraphFont"/>
    <w:link w:val="Heading1"/>
    <w:rsid w:val="009A7378"/>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9A7378"/>
    <w:pPr>
      <w:spacing w:before="240" w:after="240" w:line="280" w:lineRule="exact"/>
    </w:pPr>
    <w:rPr>
      <w:color w:val="3366FF"/>
      <w:sz w:val="18"/>
    </w:rPr>
  </w:style>
  <w:style w:type="character" w:styleId="UnresolvedMention">
    <w:name w:val="Unresolved Mention"/>
    <w:basedOn w:val="DefaultParagraphFont"/>
    <w:uiPriority w:val="99"/>
    <w:semiHidden/>
    <w:unhideWhenUsed/>
    <w:rsid w:val="009A7378"/>
    <w:rPr>
      <w:color w:val="605E5C"/>
      <w:shd w:val="clear" w:color="auto" w:fill="E1DFDD"/>
    </w:rPr>
  </w:style>
  <w:style w:type="paragraph" w:customStyle="1" w:styleId="pf0">
    <w:name w:val="pf0"/>
    <w:basedOn w:val="Normal"/>
    <w:rsid w:val="009A7378"/>
    <w:pPr>
      <w:spacing w:beforeAutospacing="1" w:afterAutospacing="1"/>
    </w:pPr>
    <w:rPr>
      <w:rFonts w:ascii="Times New Roman" w:hAnsi="Times New Roman"/>
      <w:u w:color="000000"/>
      <w:lang w:eastAsia="en-AU"/>
    </w:rPr>
  </w:style>
  <w:style w:type="paragraph" w:customStyle="1" w:styleId="FAOparagraph">
    <w:name w:val="FAO paragraph"/>
    <w:basedOn w:val="Normal"/>
    <w:uiPriority w:val="99"/>
    <w:rsid w:val="009A7378"/>
    <w:pPr>
      <w:spacing w:before="240" w:after="120"/>
      <w:ind w:firstLine="720"/>
      <w:jc w:val="both"/>
    </w:pPr>
    <w:rPr>
      <w:rFonts w:ascii="Times New Roman" w:eastAsia="MS Mincho" w:hAnsi="Times New Roman"/>
      <w:szCs w:val="20"/>
      <w:u w:color="000000"/>
      <w:lang w:val="en-US"/>
    </w:rPr>
  </w:style>
  <w:style w:type="paragraph" w:customStyle="1" w:styleId="APVMABullet1">
    <w:name w:val="APVMA_Bullet1"/>
    <w:basedOn w:val="APVMAText"/>
    <w:rsid w:val="009A7378"/>
    <w:pPr>
      <w:tabs>
        <w:tab w:val="num" w:pos="340"/>
      </w:tabs>
      <w:spacing w:before="120" w:after="120"/>
      <w:ind w:left="340" w:hanging="340"/>
    </w:pPr>
    <w:rPr>
      <w:rFonts w:eastAsia="Times New Roman"/>
    </w:rPr>
  </w:style>
  <w:style w:type="character" w:customStyle="1" w:styleId="Heading4Char">
    <w:name w:val="Heading 4 Char"/>
    <w:aliases w:val="APVMA_H4 Char,H4 Char,bro Titre 4 Char,h4 Char"/>
    <w:basedOn w:val="DefaultParagraphFont"/>
    <w:link w:val="Heading4"/>
    <w:uiPriority w:val="4"/>
    <w:rsid w:val="009A7378"/>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9A7378"/>
    <w:pPr>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9A7378"/>
    <w:rPr>
      <w:rFonts w:ascii="Arial" w:eastAsiaTheme="minorHAnsi" w:hAnsi="Arial" w:cs="Arial"/>
      <w:noProof/>
      <w:color w:val="1A1B1A" w:themeColor="text1" w:themeShade="80"/>
      <w:kern w:val="20"/>
      <w:sz w:val="18"/>
      <w:szCs w:val="24"/>
      <w:u w:color="000000"/>
      <w:lang w:val="en-US" w:eastAsia="en-US"/>
      <w14:ligatures w14:val="standardContextual"/>
    </w:rPr>
  </w:style>
  <w:style w:type="paragraph" w:customStyle="1" w:styleId="EndNoteBibliography">
    <w:name w:val="EndNote Bibliography"/>
    <w:basedOn w:val="Normal"/>
    <w:link w:val="EndNoteBibliographyChar"/>
    <w:rsid w:val="009A7378"/>
    <w:rPr>
      <w:rFonts w:cs="Arial"/>
      <w:noProof/>
      <w:kern w:val="20"/>
      <w:sz w:val="18"/>
      <w:u w:color="000000"/>
      <w:lang w:val="en-US"/>
    </w:rPr>
  </w:style>
  <w:style w:type="character" w:customStyle="1" w:styleId="EndNoteBibliographyChar">
    <w:name w:val="EndNote Bibliography Char"/>
    <w:basedOn w:val="NormalTextChar"/>
    <w:link w:val="EndNoteBibliography"/>
    <w:rsid w:val="009A7378"/>
    <w:rPr>
      <w:rFonts w:ascii="Arial" w:eastAsiaTheme="minorHAnsi" w:hAnsi="Arial" w:cs="Arial"/>
      <w:noProof/>
      <w:color w:val="1A1B1A" w:themeColor="text1" w:themeShade="80"/>
      <w:kern w:val="20"/>
      <w:sz w:val="18"/>
      <w:szCs w:val="24"/>
      <w:u w:color="000000"/>
      <w:lang w:val="en-US" w:eastAsia="en-US"/>
      <w14:ligatures w14:val="standardContextual"/>
    </w:rPr>
  </w:style>
  <w:style w:type="paragraph" w:customStyle="1" w:styleId="AHN1">
    <w:name w:val="A_H_N_1"/>
    <w:basedOn w:val="Normal"/>
    <w:next w:val="Normal"/>
    <w:uiPriority w:val="99"/>
    <w:rsid w:val="009A7378"/>
    <w:pPr>
      <w:keepNext/>
      <w:keepLines/>
      <w:tabs>
        <w:tab w:val="num" w:pos="360"/>
        <w:tab w:val="num" w:pos="851"/>
      </w:tabs>
      <w:spacing w:before="360" w:after="360"/>
      <w:ind w:left="851"/>
      <w:contextualSpacing/>
      <w:outlineLvl w:val="0"/>
    </w:pPr>
    <w:rPr>
      <w:rFonts w:ascii="Times New Roman Bold" w:hAnsi="Times New Roman Bold"/>
      <w:b/>
      <w:sz w:val="32"/>
      <w:lang w:eastAsia="en-AU"/>
    </w:rPr>
  </w:style>
  <w:style w:type="paragraph" w:customStyle="1" w:styleId="AHN2">
    <w:name w:val="A_H_N_2"/>
    <w:basedOn w:val="Normal"/>
    <w:next w:val="Normal"/>
    <w:uiPriority w:val="99"/>
    <w:rsid w:val="009A7378"/>
    <w:pPr>
      <w:keepNext/>
      <w:keepLines/>
      <w:numPr>
        <w:ilvl w:val="5"/>
        <w:numId w:val="10"/>
      </w:numPr>
      <w:tabs>
        <w:tab w:val="clear" w:pos="1418"/>
        <w:tab w:val="num" w:pos="360"/>
        <w:tab w:val="num" w:pos="851"/>
      </w:tabs>
      <w:spacing w:before="240" w:after="120"/>
      <w:ind w:left="851" w:firstLine="0"/>
      <w:outlineLvl w:val="1"/>
    </w:pPr>
    <w:rPr>
      <w:rFonts w:ascii="Times New Roman Bold" w:hAnsi="Times New Roman Bold"/>
      <w:b/>
      <w:sz w:val="28"/>
      <w:lang w:eastAsia="en-AU"/>
    </w:rPr>
  </w:style>
  <w:style w:type="paragraph" w:customStyle="1" w:styleId="AHN3">
    <w:name w:val="A_H_N_3"/>
    <w:basedOn w:val="Normal"/>
    <w:next w:val="Normal"/>
    <w:uiPriority w:val="99"/>
    <w:rsid w:val="009A7378"/>
    <w:pPr>
      <w:keepNext/>
      <w:keepLines/>
      <w:numPr>
        <w:ilvl w:val="2"/>
        <w:numId w:val="10"/>
      </w:numPr>
      <w:tabs>
        <w:tab w:val="clear" w:pos="1418"/>
        <w:tab w:val="num" w:pos="360"/>
      </w:tabs>
      <w:spacing w:before="120" w:after="240"/>
      <w:ind w:left="0" w:firstLine="0"/>
      <w:outlineLvl w:val="2"/>
    </w:pPr>
    <w:rPr>
      <w:rFonts w:ascii="Times New Roman" w:hAnsi="Times New Roman"/>
      <w:b/>
      <w:i/>
      <w:sz w:val="28"/>
      <w:lang w:eastAsia="en-AU"/>
    </w:rPr>
  </w:style>
  <w:style w:type="paragraph" w:customStyle="1" w:styleId="AHN4">
    <w:name w:val="A_H_N_4"/>
    <w:basedOn w:val="Normal"/>
    <w:next w:val="Normal"/>
    <w:uiPriority w:val="99"/>
    <w:rsid w:val="009A7378"/>
    <w:pPr>
      <w:keepNext/>
      <w:keepLines/>
      <w:numPr>
        <w:ilvl w:val="3"/>
        <w:numId w:val="10"/>
      </w:numPr>
      <w:tabs>
        <w:tab w:val="clear" w:pos="1418"/>
        <w:tab w:val="num" w:pos="360"/>
      </w:tabs>
      <w:spacing w:before="120" w:after="240"/>
      <w:ind w:left="0" w:firstLine="0"/>
      <w:outlineLvl w:val="3"/>
    </w:pPr>
    <w:rPr>
      <w:rFonts w:ascii="Times New Roman" w:hAnsi="Times New Roman"/>
      <w:b/>
      <w:lang w:eastAsia="en-AU"/>
    </w:rPr>
  </w:style>
  <w:style w:type="paragraph" w:customStyle="1" w:styleId="AHN5">
    <w:name w:val="A_H_N_5"/>
    <w:basedOn w:val="Normal"/>
    <w:next w:val="Normal"/>
    <w:uiPriority w:val="99"/>
    <w:rsid w:val="009A7378"/>
    <w:pPr>
      <w:tabs>
        <w:tab w:val="num" w:pos="1418"/>
      </w:tabs>
      <w:spacing w:before="120" w:after="240"/>
      <w:ind w:left="1418" w:hanging="851"/>
      <w:jc w:val="both"/>
      <w:outlineLvl w:val="4"/>
    </w:pPr>
    <w:rPr>
      <w:rFonts w:ascii="Times New Roman" w:hAnsi="Times New Roman"/>
      <w:lang w:eastAsia="en-AU"/>
    </w:rPr>
  </w:style>
  <w:style w:type="paragraph" w:customStyle="1" w:styleId="AHN6">
    <w:name w:val="A_H_N_6"/>
    <w:basedOn w:val="Normal"/>
    <w:next w:val="Normal"/>
    <w:uiPriority w:val="99"/>
    <w:rsid w:val="009A7378"/>
    <w:pPr>
      <w:keepNext/>
      <w:keepLines/>
      <w:tabs>
        <w:tab w:val="num" w:pos="1418"/>
      </w:tabs>
      <w:spacing w:before="120" w:after="240"/>
      <w:ind w:left="1418" w:hanging="851"/>
      <w:jc w:val="both"/>
      <w:outlineLvl w:val="5"/>
    </w:pPr>
    <w:rPr>
      <w:rFonts w:ascii="Times New Roman" w:hAnsi="Times New Roman"/>
      <w:i/>
      <w:lang w:eastAsia="en-AU"/>
    </w:rPr>
  </w:style>
  <w:style w:type="paragraph" w:customStyle="1" w:styleId="AT">
    <w:name w:val="A_T"/>
    <w:link w:val="ATChar"/>
    <w:rsid w:val="009A7378"/>
    <w:pPr>
      <w:spacing w:before="120" w:after="240"/>
      <w:jc w:val="both"/>
    </w:pPr>
    <w:rPr>
      <w:sz w:val="24"/>
      <w:szCs w:val="24"/>
    </w:rPr>
  </w:style>
  <w:style w:type="character" w:customStyle="1" w:styleId="ATChar">
    <w:name w:val="A_T Char"/>
    <w:basedOn w:val="DefaultParagraphFont"/>
    <w:link w:val="AT"/>
    <w:locked/>
    <w:rsid w:val="009A7378"/>
    <w:rPr>
      <w:sz w:val="24"/>
      <w:szCs w:val="24"/>
    </w:rPr>
  </w:style>
  <w:style w:type="table" w:customStyle="1" w:styleId="TableGrid1">
    <w:name w:val="Table Grid1"/>
    <w:basedOn w:val="TableNormal"/>
    <w:next w:val="TableGrid"/>
    <w:uiPriority w:val="39"/>
    <w:rsid w:val="009A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A7378"/>
  </w:style>
  <w:style w:type="paragraph" w:customStyle="1" w:styleId="AReference">
    <w:name w:val="A_Reference"/>
    <w:basedOn w:val="AT"/>
    <w:link w:val="AReferenceChar"/>
    <w:rsid w:val="009A7378"/>
    <w:pPr>
      <w:keepLines/>
      <w:ind w:left="720" w:hanging="720"/>
      <w:jc w:val="left"/>
    </w:pPr>
    <w:rPr>
      <w:sz w:val="20"/>
    </w:rPr>
  </w:style>
  <w:style w:type="character" w:customStyle="1" w:styleId="AReferenceChar">
    <w:name w:val="A_Reference Char"/>
    <w:link w:val="AReference"/>
    <w:rsid w:val="009A7378"/>
    <w:rPr>
      <w:szCs w:val="24"/>
    </w:rPr>
  </w:style>
  <w:style w:type="paragraph" w:customStyle="1" w:styleId="ATTableNotes">
    <w:name w:val="A_T_Table_Notes"/>
    <w:basedOn w:val="Normal"/>
    <w:rsid w:val="009A7378"/>
    <w:pPr>
      <w:spacing w:before="40"/>
      <w:jc w:val="both"/>
    </w:pPr>
    <w:rPr>
      <w:rFonts w:ascii="Calibri" w:hAnsi="Calibri"/>
      <w:b/>
      <w:bCs/>
      <w:szCs w:val="20"/>
      <w:lang w:eastAsia="en-AU"/>
    </w:rPr>
  </w:style>
  <w:style w:type="character" w:customStyle="1" w:styleId="Mention1">
    <w:name w:val="Mention1"/>
    <w:basedOn w:val="DefaultParagraphFont"/>
    <w:uiPriority w:val="99"/>
    <w:semiHidden/>
    <w:unhideWhenUsed/>
    <w:rsid w:val="009A7378"/>
    <w:rPr>
      <w:color w:val="2B579A"/>
      <w:shd w:val="clear" w:color="auto" w:fill="E6E6E6"/>
    </w:rPr>
  </w:style>
  <w:style w:type="character" w:customStyle="1" w:styleId="Mention2">
    <w:name w:val="Mention2"/>
    <w:basedOn w:val="DefaultParagraphFont"/>
    <w:uiPriority w:val="99"/>
    <w:semiHidden/>
    <w:unhideWhenUsed/>
    <w:rsid w:val="009A7378"/>
    <w:rPr>
      <w:color w:val="2B579A"/>
      <w:shd w:val="clear" w:color="auto" w:fill="E6E6E6"/>
    </w:rPr>
  </w:style>
  <w:style w:type="character" w:customStyle="1" w:styleId="UnresolvedMention1">
    <w:name w:val="Unresolved Mention1"/>
    <w:basedOn w:val="DefaultParagraphFont"/>
    <w:uiPriority w:val="99"/>
    <w:semiHidden/>
    <w:unhideWhenUsed/>
    <w:rsid w:val="009A7378"/>
    <w:rPr>
      <w:color w:val="605E5C"/>
      <w:shd w:val="clear" w:color="auto" w:fill="E1DFDD"/>
    </w:rPr>
  </w:style>
  <w:style w:type="paragraph" w:customStyle="1" w:styleId="APVMANumberedHeading1">
    <w:name w:val="APVMA Numbered Heading 1"/>
    <w:basedOn w:val="Heading1"/>
    <w:next w:val="Normal"/>
    <w:qFormat/>
    <w:rsid w:val="009A7378"/>
    <w:pPr>
      <w:keepLines w:val="0"/>
      <w:pageBreakBefore w:val="0"/>
      <w:tabs>
        <w:tab w:val="num" w:pos="360"/>
        <w:tab w:val="left" w:pos="851"/>
      </w:tabs>
      <w:suppressAutoHyphens w:val="0"/>
      <w:spacing w:before="240" w:after="360" w:line="240" w:lineRule="auto"/>
      <w:ind w:left="680" w:hanging="680"/>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9A7378"/>
    <w:pPr>
      <w:keepLines w:val="0"/>
      <w:numPr>
        <w:ilvl w:val="0"/>
      </w:numPr>
      <w:tabs>
        <w:tab w:val="num" w:pos="360"/>
        <w:tab w:val="left" w:pos="851"/>
        <w:tab w:val="num" w:pos="907"/>
      </w:tabs>
      <w:suppressAutoHyphens w:val="0"/>
      <w:spacing w:before="240" w:after="120" w:line="240" w:lineRule="auto"/>
      <w:ind w:left="964" w:hanging="680"/>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9A7378"/>
    <w:pPr>
      <w:keepLines w:val="0"/>
      <w:numPr>
        <w:ilvl w:val="0"/>
      </w:numPr>
      <w:tabs>
        <w:tab w:val="num" w:pos="360"/>
        <w:tab w:val="num" w:pos="907"/>
      </w:tabs>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9A7378"/>
    <w:pPr>
      <w:keepLines w:val="0"/>
      <w:numPr>
        <w:ilvl w:val="0"/>
      </w:numPr>
      <w:tabs>
        <w:tab w:val="num" w:pos="360"/>
        <w:tab w:val="num" w:pos="907"/>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9A7378"/>
    <w:pPr>
      <w:keepNext w:val="0"/>
      <w:keepLines w:val="0"/>
      <w:numPr>
        <w:ilvl w:val="0"/>
      </w:numPr>
      <w:tabs>
        <w:tab w:val="num" w:pos="360"/>
        <w:tab w:val="num" w:pos="907"/>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9A7378"/>
    <w:pPr>
      <w:tabs>
        <w:tab w:val="num" w:pos="360"/>
      </w:tabs>
      <w:ind w:left="4320" w:hanging="360"/>
    </w:pPr>
    <w:rPr>
      <w:lang w:eastAsia="en-AU"/>
    </w:rPr>
  </w:style>
  <w:style w:type="paragraph" w:customStyle="1" w:styleId="NumberedHeading7">
    <w:name w:val="Numbered Heading 7"/>
    <w:basedOn w:val="Heading7"/>
    <w:next w:val="Normal"/>
    <w:rsid w:val="009A7378"/>
    <w:pPr>
      <w:numPr>
        <w:numId w:val="11"/>
      </w:numPr>
      <w:tabs>
        <w:tab w:val="clear" w:pos="1296"/>
        <w:tab w:val="num" w:pos="360"/>
      </w:tabs>
      <w:ind w:left="5040" w:hanging="360"/>
    </w:pPr>
    <w:rPr>
      <w:lang w:eastAsia="en-AU"/>
    </w:rPr>
  </w:style>
  <w:style w:type="paragraph" w:customStyle="1" w:styleId="NumberedHeading8">
    <w:name w:val="Numbered Heading 8"/>
    <w:basedOn w:val="Heading8"/>
    <w:next w:val="Normal"/>
    <w:rsid w:val="009A7378"/>
    <w:pPr>
      <w:numPr>
        <w:numId w:val="11"/>
      </w:numPr>
      <w:tabs>
        <w:tab w:val="clear" w:pos="1440"/>
        <w:tab w:val="num" w:pos="360"/>
      </w:tabs>
      <w:ind w:left="5760" w:hanging="360"/>
    </w:pPr>
    <w:rPr>
      <w:lang w:eastAsia="en-AU"/>
    </w:rPr>
  </w:style>
  <w:style w:type="paragraph" w:customStyle="1" w:styleId="NumberedHeading9">
    <w:name w:val="Numbered Heading 9"/>
    <w:basedOn w:val="Heading9"/>
    <w:next w:val="Normal"/>
    <w:rsid w:val="009A7378"/>
    <w:pPr>
      <w:numPr>
        <w:numId w:val="11"/>
      </w:numPr>
      <w:tabs>
        <w:tab w:val="clear" w:pos="1584"/>
        <w:tab w:val="num" w:pos="360"/>
      </w:tabs>
      <w:ind w:left="6480" w:hanging="360"/>
    </w:pPr>
    <w:rPr>
      <w:rFonts w:ascii="Times New Roman" w:hAnsi="Times New Roman"/>
      <w:lang w:eastAsia="en-AU"/>
    </w:rPr>
  </w:style>
  <w:style w:type="paragraph" w:customStyle="1" w:styleId="APVMAbodytext">
    <w:name w:val="APVMA body text"/>
    <w:basedOn w:val="BodyText"/>
    <w:qFormat/>
    <w:rsid w:val="009A7378"/>
    <w:pPr>
      <w:spacing w:after="0"/>
    </w:pPr>
    <w:rPr>
      <w:rFonts w:ascii="Times New Roman" w:hAnsi="Times New Roman"/>
      <w:bCs/>
      <w:color w:val="000000"/>
      <w:sz w:val="22"/>
    </w:rPr>
  </w:style>
  <w:style w:type="paragraph" w:styleId="TOCHeading">
    <w:name w:val="TOC Heading"/>
    <w:basedOn w:val="Heading1"/>
    <w:next w:val="Normal"/>
    <w:uiPriority w:val="39"/>
    <w:unhideWhenUsed/>
    <w:rsid w:val="009A7378"/>
    <w:pPr>
      <w:pageBreakBefore w:val="0"/>
      <w:suppressAutoHyphens w:val="0"/>
      <w:spacing w:before="240" w:after="0" w:line="240" w:lineRule="auto"/>
      <w:ind w:left="568" w:hanging="284"/>
      <w:jc w:val="both"/>
      <w:outlineLvl w:val="9"/>
    </w:pPr>
    <w:rPr>
      <w:rFonts w:asciiTheme="majorHAnsi" w:eastAsiaTheme="majorEastAsia" w:hAnsiTheme="majorHAnsi" w:cstheme="majorBidi"/>
      <w:color w:val="7E9BA8" w:themeColor="accent1" w:themeShade="BF"/>
      <w:kern w:val="0"/>
      <w:lang w:val="en-US"/>
    </w:rPr>
  </w:style>
  <w:style w:type="character" w:customStyle="1" w:styleId="HeaderChar">
    <w:name w:val="Header Char"/>
    <w:basedOn w:val="DefaultParagraphFont"/>
    <w:link w:val="Header"/>
    <w:uiPriority w:val="4"/>
    <w:rsid w:val="009A7378"/>
    <w:rPr>
      <w:rFonts w:ascii="Arial" w:hAnsi="Arial"/>
      <w:color w:val="1A1B1A" w:themeColor="text1" w:themeShade="80"/>
      <w:sz w:val="16"/>
      <w:szCs w:val="24"/>
      <w:lang w:eastAsia="en-US"/>
    </w:rPr>
  </w:style>
  <w:style w:type="paragraph" w:styleId="BodyTextIndent2">
    <w:name w:val="Body Text Indent 2"/>
    <w:basedOn w:val="Normal"/>
    <w:link w:val="BodyTextIndent2Char"/>
    <w:semiHidden/>
    <w:rsid w:val="00130AB3"/>
    <w:pPr>
      <w:spacing w:after="120" w:line="480" w:lineRule="auto"/>
      <w:ind w:left="283"/>
      <w:jc w:val="both"/>
    </w:pPr>
    <w:rPr>
      <w:rFonts w:ascii="Times New Roman" w:hAnsi="Times New Roman"/>
    </w:rPr>
  </w:style>
  <w:style w:type="character" w:customStyle="1" w:styleId="BodyTextIndent2Char">
    <w:name w:val="Body Text Indent 2 Char"/>
    <w:basedOn w:val="DefaultParagraphFont"/>
    <w:link w:val="BodyTextIndent2"/>
    <w:semiHidden/>
    <w:rsid w:val="00130AB3"/>
    <w:rPr>
      <w:sz w:val="24"/>
      <w:szCs w:val="24"/>
      <w:lang w:eastAsia="en-US"/>
    </w:rPr>
  </w:style>
  <w:style w:type="paragraph" w:customStyle="1" w:styleId="Notes">
    <w:name w:val="Notes"/>
    <w:basedOn w:val="Normal"/>
    <w:rsid w:val="00130AB3"/>
    <w:pPr>
      <w:tabs>
        <w:tab w:val="num" w:pos="360"/>
      </w:tabs>
      <w:jc w:val="both"/>
    </w:pPr>
    <w:rPr>
      <w:rFonts w:ascii="Times New Roman" w:hAnsi="Times New Roman"/>
      <w:bCs/>
      <w:color w:val="FF0000"/>
    </w:rPr>
  </w:style>
  <w:style w:type="paragraph" w:styleId="DocumentMap">
    <w:name w:val="Document Map"/>
    <w:basedOn w:val="Normal"/>
    <w:link w:val="DocumentMapChar"/>
    <w:semiHidden/>
    <w:rsid w:val="00130AB3"/>
    <w:pPr>
      <w:shd w:val="clear" w:color="auto" w:fill="000080"/>
      <w:jc w:val="both"/>
    </w:pPr>
    <w:rPr>
      <w:rFonts w:ascii="Tahoma" w:hAnsi="Tahoma" w:cs="Tahoma"/>
    </w:rPr>
  </w:style>
  <w:style w:type="character" w:customStyle="1" w:styleId="DocumentMapChar">
    <w:name w:val="Document Map Char"/>
    <w:basedOn w:val="DefaultParagraphFont"/>
    <w:link w:val="DocumentMap"/>
    <w:semiHidden/>
    <w:rsid w:val="00130AB3"/>
    <w:rPr>
      <w:rFonts w:ascii="Tahoma" w:hAnsi="Tahoma" w:cs="Tahoma"/>
      <w:sz w:val="24"/>
      <w:szCs w:val="24"/>
      <w:shd w:val="clear" w:color="auto" w:fill="000080"/>
      <w:lang w:eastAsia="en-US"/>
    </w:rPr>
  </w:style>
  <w:style w:type="paragraph" w:customStyle="1" w:styleId="Recommendations">
    <w:name w:val="Recommendations"/>
    <w:basedOn w:val="Normal"/>
    <w:rsid w:val="00130AB3"/>
    <w:pPr>
      <w:tabs>
        <w:tab w:val="num" w:pos="360"/>
      </w:tabs>
      <w:spacing w:after="120"/>
      <w:ind w:left="360" w:hanging="360"/>
      <w:jc w:val="both"/>
    </w:pPr>
    <w:rPr>
      <w:rFonts w:ascii="Times New Roman" w:hAnsi="Times New Roman"/>
    </w:rPr>
  </w:style>
  <w:style w:type="paragraph" w:customStyle="1" w:styleId="TableNumber">
    <w:name w:val="Table Number"/>
    <w:basedOn w:val="Normal"/>
    <w:next w:val="Normal"/>
    <w:rsid w:val="00130AB3"/>
    <w:pPr>
      <w:tabs>
        <w:tab w:val="num" w:pos="1080"/>
        <w:tab w:val="left" w:pos="1134"/>
      </w:tabs>
      <w:jc w:val="both"/>
    </w:pPr>
    <w:rPr>
      <w:rFonts w:ascii="Times New Roman" w:hAnsi="Times New Roman"/>
      <w:color w:val="000000"/>
    </w:rPr>
  </w:style>
  <w:style w:type="paragraph" w:styleId="MessageHeader">
    <w:name w:val="Message Header"/>
    <w:basedOn w:val="Normal"/>
    <w:link w:val="MessageHeaderChar"/>
    <w:semiHidden/>
    <w:rsid w:val="00130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cs="Arial"/>
      <w:sz w:val="2"/>
    </w:rPr>
  </w:style>
  <w:style w:type="character" w:customStyle="1" w:styleId="MessageHeaderChar">
    <w:name w:val="Message Header Char"/>
    <w:basedOn w:val="DefaultParagraphFont"/>
    <w:link w:val="MessageHeader"/>
    <w:semiHidden/>
    <w:rsid w:val="00130AB3"/>
    <w:rPr>
      <w:rFonts w:ascii="Arial" w:hAnsi="Arial" w:cs="Arial"/>
      <w:sz w:val="2"/>
      <w:szCs w:val="24"/>
      <w:shd w:val="pct20" w:color="auto" w:fill="auto"/>
      <w:lang w:eastAsia="en-US"/>
    </w:rPr>
  </w:style>
  <w:style w:type="paragraph" w:styleId="Title">
    <w:name w:val="Title"/>
    <w:basedOn w:val="Normal"/>
    <w:link w:val="TitleChar"/>
    <w:rsid w:val="00130AB3"/>
    <w:pPr>
      <w:spacing w:before="240" w:after="60"/>
      <w:jc w:val="center"/>
    </w:pPr>
    <w:rPr>
      <w:rFonts w:cs="Arial"/>
      <w:b/>
      <w:bCs/>
      <w:kern w:val="28"/>
      <w:sz w:val="2"/>
      <w:szCs w:val="32"/>
    </w:rPr>
  </w:style>
  <w:style w:type="character" w:customStyle="1" w:styleId="TitleChar">
    <w:name w:val="Title Char"/>
    <w:basedOn w:val="DefaultParagraphFont"/>
    <w:link w:val="Title"/>
    <w:rsid w:val="00130AB3"/>
    <w:rPr>
      <w:rFonts w:ascii="Arial" w:hAnsi="Arial" w:cs="Arial"/>
      <w:b/>
      <w:bCs/>
      <w:kern w:val="28"/>
      <w:sz w:val="2"/>
      <w:szCs w:val="32"/>
      <w:lang w:eastAsia="en-US"/>
    </w:rPr>
  </w:style>
  <w:style w:type="paragraph" w:styleId="TableofAuthorities">
    <w:name w:val="table of authorities"/>
    <w:basedOn w:val="Normal"/>
    <w:next w:val="Normal"/>
    <w:semiHidden/>
    <w:rsid w:val="00130AB3"/>
    <w:pPr>
      <w:ind w:left="240" w:hanging="240"/>
      <w:jc w:val="both"/>
    </w:pPr>
    <w:rPr>
      <w:rFonts w:ascii="Times New Roman" w:hAnsi="Times New Roman"/>
      <w:sz w:val="2"/>
    </w:rPr>
  </w:style>
  <w:style w:type="paragraph" w:styleId="Subtitle">
    <w:name w:val="Subtitle"/>
    <w:basedOn w:val="Normal"/>
    <w:link w:val="SubtitleChar"/>
    <w:rsid w:val="00130AB3"/>
    <w:pPr>
      <w:spacing w:after="60"/>
      <w:jc w:val="center"/>
    </w:pPr>
    <w:rPr>
      <w:rFonts w:cs="Arial"/>
      <w:sz w:val="2"/>
    </w:rPr>
  </w:style>
  <w:style w:type="character" w:customStyle="1" w:styleId="SubtitleChar">
    <w:name w:val="Subtitle Char"/>
    <w:basedOn w:val="DefaultParagraphFont"/>
    <w:link w:val="Subtitle"/>
    <w:rsid w:val="00130AB3"/>
    <w:rPr>
      <w:rFonts w:ascii="Arial" w:hAnsi="Arial" w:cs="Arial"/>
      <w:sz w:val="2"/>
      <w:szCs w:val="24"/>
      <w:lang w:eastAsia="en-US"/>
    </w:rPr>
  </w:style>
  <w:style w:type="paragraph" w:styleId="Signature">
    <w:name w:val="Signature"/>
    <w:basedOn w:val="Normal"/>
    <w:link w:val="SignatureChar"/>
    <w:semiHidden/>
    <w:rsid w:val="00130AB3"/>
    <w:pPr>
      <w:ind w:left="4252"/>
      <w:jc w:val="both"/>
    </w:pPr>
    <w:rPr>
      <w:rFonts w:ascii="Times New Roman" w:hAnsi="Times New Roman"/>
      <w:sz w:val="2"/>
    </w:rPr>
  </w:style>
  <w:style w:type="character" w:customStyle="1" w:styleId="SignatureChar">
    <w:name w:val="Signature Char"/>
    <w:basedOn w:val="DefaultParagraphFont"/>
    <w:link w:val="Signature"/>
    <w:semiHidden/>
    <w:rsid w:val="00130AB3"/>
    <w:rPr>
      <w:sz w:val="2"/>
      <w:szCs w:val="24"/>
      <w:lang w:eastAsia="en-US"/>
    </w:rPr>
  </w:style>
  <w:style w:type="paragraph" w:styleId="Salutation">
    <w:name w:val="Salutation"/>
    <w:basedOn w:val="Normal"/>
    <w:next w:val="Normal"/>
    <w:link w:val="SalutationChar"/>
    <w:semiHidden/>
    <w:rsid w:val="00130AB3"/>
    <w:pPr>
      <w:jc w:val="both"/>
    </w:pPr>
    <w:rPr>
      <w:rFonts w:ascii="Times New Roman" w:hAnsi="Times New Roman"/>
      <w:sz w:val="2"/>
    </w:rPr>
  </w:style>
  <w:style w:type="character" w:customStyle="1" w:styleId="SalutationChar">
    <w:name w:val="Salutation Char"/>
    <w:basedOn w:val="DefaultParagraphFont"/>
    <w:link w:val="Salutation"/>
    <w:semiHidden/>
    <w:rsid w:val="00130AB3"/>
    <w:rPr>
      <w:sz w:val="2"/>
      <w:szCs w:val="24"/>
      <w:lang w:eastAsia="en-US"/>
    </w:rPr>
  </w:style>
  <w:style w:type="paragraph" w:styleId="PlainText">
    <w:name w:val="Plain Text"/>
    <w:basedOn w:val="Normal"/>
    <w:link w:val="PlainTextChar"/>
    <w:semiHidden/>
    <w:rsid w:val="00130AB3"/>
    <w:pPr>
      <w:jc w:val="both"/>
    </w:pPr>
    <w:rPr>
      <w:rFonts w:ascii="Courier New" w:hAnsi="Courier New" w:cs="Courier New"/>
      <w:sz w:val="2"/>
    </w:rPr>
  </w:style>
  <w:style w:type="character" w:customStyle="1" w:styleId="PlainTextChar">
    <w:name w:val="Plain Text Char"/>
    <w:basedOn w:val="DefaultParagraphFont"/>
    <w:link w:val="PlainText"/>
    <w:semiHidden/>
    <w:rsid w:val="00130AB3"/>
    <w:rPr>
      <w:rFonts w:ascii="Courier New" w:hAnsi="Courier New" w:cs="Courier New"/>
      <w:sz w:val="2"/>
      <w:szCs w:val="24"/>
      <w:lang w:eastAsia="en-US"/>
    </w:rPr>
  </w:style>
  <w:style w:type="paragraph" w:styleId="NoteHeading">
    <w:name w:val="Note Heading"/>
    <w:basedOn w:val="Normal"/>
    <w:next w:val="Normal"/>
    <w:link w:val="NoteHeadingChar"/>
    <w:semiHidden/>
    <w:rsid w:val="00130AB3"/>
    <w:pPr>
      <w:jc w:val="both"/>
    </w:pPr>
    <w:rPr>
      <w:rFonts w:ascii="Times New Roman" w:hAnsi="Times New Roman"/>
      <w:sz w:val="2"/>
    </w:rPr>
  </w:style>
  <w:style w:type="character" w:customStyle="1" w:styleId="NoteHeadingChar">
    <w:name w:val="Note Heading Char"/>
    <w:basedOn w:val="DefaultParagraphFont"/>
    <w:link w:val="NoteHeading"/>
    <w:semiHidden/>
    <w:rsid w:val="00130AB3"/>
    <w:rPr>
      <w:sz w:val="2"/>
      <w:szCs w:val="24"/>
      <w:lang w:eastAsia="en-US"/>
    </w:rPr>
  </w:style>
  <w:style w:type="paragraph" w:styleId="NormalIndent">
    <w:name w:val="Normal Indent"/>
    <w:basedOn w:val="Normal"/>
    <w:semiHidden/>
    <w:rsid w:val="00130AB3"/>
    <w:pPr>
      <w:ind w:left="720"/>
      <w:jc w:val="both"/>
    </w:pPr>
    <w:rPr>
      <w:rFonts w:ascii="Times New Roman" w:hAnsi="Times New Roman"/>
      <w:sz w:val="2"/>
    </w:rPr>
  </w:style>
  <w:style w:type="paragraph" w:styleId="MacroText">
    <w:name w:val="macro"/>
    <w:link w:val="MacroTextChar"/>
    <w:semiHidden/>
    <w:rsid w:val="00130AB3"/>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
      <w:lang w:eastAsia="en-US"/>
    </w:rPr>
  </w:style>
  <w:style w:type="character" w:customStyle="1" w:styleId="MacroTextChar">
    <w:name w:val="Macro Text Char"/>
    <w:basedOn w:val="DefaultParagraphFont"/>
    <w:link w:val="MacroText"/>
    <w:semiHidden/>
    <w:rsid w:val="00130AB3"/>
    <w:rPr>
      <w:rFonts w:ascii="Courier New" w:hAnsi="Courier New" w:cs="Courier New"/>
      <w:sz w:val="2"/>
      <w:lang w:eastAsia="en-US"/>
    </w:rPr>
  </w:style>
  <w:style w:type="paragraph" w:styleId="BodyTextIndent">
    <w:name w:val="Body Text Indent"/>
    <w:basedOn w:val="Normal"/>
    <w:link w:val="BodyTextIndentChar"/>
    <w:semiHidden/>
    <w:rsid w:val="00130AB3"/>
    <w:pPr>
      <w:ind w:left="720"/>
    </w:pPr>
    <w:rPr>
      <w:rFonts w:ascii="Times New Roman" w:hAnsi="Times New Roman"/>
      <w:szCs w:val="20"/>
    </w:rPr>
  </w:style>
  <w:style w:type="character" w:customStyle="1" w:styleId="BodyTextIndentChar">
    <w:name w:val="Body Text Indent Char"/>
    <w:basedOn w:val="DefaultParagraphFont"/>
    <w:link w:val="BodyTextIndent"/>
    <w:semiHidden/>
    <w:rsid w:val="00130AB3"/>
    <w:rPr>
      <w:sz w:val="22"/>
      <w:lang w:eastAsia="en-US"/>
    </w:rPr>
  </w:style>
  <w:style w:type="paragraph" w:customStyle="1" w:styleId="Normaltext0">
    <w:name w:val="Normal text"/>
    <w:basedOn w:val="Normal"/>
    <w:rsid w:val="00130AB3"/>
    <w:pPr>
      <w:spacing w:before="60" w:after="60"/>
      <w:jc w:val="both"/>
    </w:pPr>
    <w:rPr>
      <w:rFonts w:ascii="Times New Roman" w:hAnsi="Times New Roman"/>
      <w:szCs w:val="20"/>
    </w:rPr>
  </w:style>
  <w:style w:type="paragraph" w:customStyle="1" w:styleId="Appendix1">
    <w:name w:val="Appendix 1"/>
    <w:basedOn w:val="Normal"/>
    <w:next w:val="Normal"/>
    <w:rsid w:val="00130AB3"/>
    <w:pPr>
      <w:spacing w:before="120" w:after="120"/>
      <w:outlineLvl w:val="0"/>
    </w:pPr>
    <w:rPr>
      <w:rFonts w:ascii="Times New Roman" w:hAnsi="Times New Roman"/>
      <w:b/>
    </w:rPr>
  </w:style>
  <w:style w:type="paragraph" w:customStyle="1" w:styleId="Tabletitle">
    <w:name w:val="Table title"/>
    <w:basedOn w:val="Normal"/>
    <w:next w:val="Normal"/>
    <w:rsid w:val="00130AB3"/>
    <w:pPr>
      <w:numPr>
        <w:numId w:val="12"/>
      </w:numPr>
    </w:pPr>
    <w:rPr>
      <w:rFonts w:ascii="Times New Roman" w:hAnsi="Times New Roman"/>
      <w:b/>
      <w:szCs w:val="20"/>
      <w:lang w:val="en-GB"/>
    </w:rPr>
  </w:style>
  <w:style w:type="paragraph" w:customStyle="1" w:styleId="appendixsub-heading-2">
    <w:name w:val="appendix sub-heading-2"/>
    <w:basedOn w:val="BodyText"/>
    <w:next w:val="BodyText"/>
    <w:rsid w:val="00130AB3"/>
    <w:pPr>
      <w:numPr>
        <w:numId w:val="13"/>
      </w:numPr>
      <w:spacing w:before="120"/>
      <w:outlineLvl w:val="2"/>
    </w:pPr>
    <w:rPr>
      <w:rFonts w:ascii="Times New Roman" w:hAnsi="Times New Roman"/>
      <w:b/>
      <w:sz w:val="24"/>
      <w:szCs w:val="20"/>
      <w:lang w:val="en-GB"/>
    </w:rPr>
  </w:style>
  <w:style w:type="paragraph" w:customStyle="1" w:styleId="Appendix">
    <w:name w:val="Appendix"/>
    <w:basedOn w:val="Normal"/>
    <w:next w:val="BodyText"/>
    <w:rsid w:val="00130AB3"/>
    <w:pPr>
      <w:pageBreakBefore/>
      <w:numPr>
        <w:numId w:val="14"/>
      </w:numPr>
      <w:spacing w:before="240" w:after="240"/>
      <w:jc w:val="center"/>
      <w:outlineLvl w:val="0"/>
    </w:pPr>
    <w:rPr>
      <w:rFonts w:ascii="Times New Roman" w:hAnsi="Times New Roman"/>
      <w:b/>
      <w:caps/>
      <w:szCs w:val="20"/>
      <w:lang w:val="en-GB"/>
    </w:rPr>
  </w:style>
  <w:style w:type="paragraph" w:customStyle="1" w:styleId="Style1">
    <w:name w:val="Style 1"/>
    <w:basedOn w:val="Normal"/>
    <w:rsid w:val="00130AB3"/>
    <w:pPr>
      <w:widowControl w:val="0"/>
      <w:autoSpaceDE w:val="0"/>
      <w:autoSpaceDN w:val="0"/>
      <w:spacing w:after="108"/>
      <w:ind w:right="180"/>
      <w:jc w:val="right"/>
    </w:pPr>
    <w:rPr>
      <w:rFonts w:ascii="Times New Roman" w:hAnsi="Times New Roman"/>
      <w:lang w:val="en-US"/>
    </w:rPr>
  </w:style>
  <w:style w:type="paragraph" w:styleId="BodyText3">
    <w:name w:val="Body Text 3"/>
    <w:basedOn w:val="Normal"/>
    <w:link w:val="BodyText3Char"/>
    <w:semiHidden/>
    <w:rsid w:val="00130AB3"/>
    <w:pPr>
      <w:jc w:val="both"/>
    </w:pPr>
    <w:rPr>
      <w:rFonts w:ascii="Times New Roman" w:hAnsi="Times New Roman"/>
      <w:sz w:val="18"/>
    </w:rPr>
  </w:style>
  <w:style w:type="character" w:customStyle="1" w:styleId="BodyText3Char">
    <w:name w:val="Body Text 3 Char"/>
    <w:basedOn w:val="DefaultParagraphFont"/>
    <w:link w:val="BodyText3"/>
    <w:semiHidden/>
    <w:rsid w:val="00130AB3"/>
    <w:rPr>
      <w:sz w:val="18"/>
      <w:szCs w:val="24"/>
      <w:lang w:eastAsia="en-US"/>
    </w:rPr>
  </w:style>
  <w:style w:type="paragraph" w:styleId="BodyTextIndent3">
    <w:name w:val="Body Text Indent 3"/>
    <w:basedOn w:val="Normal"/>
    <w:link w:val="BodyTextIndent3Char"/>
    <w:semiHidden/>
    <w:rsid w:val="00130AB3"/>
    <w:pPr>
      <w:ind w:left="1418" w:hanging="1418"/>
      <w:jc w:val="both"/>
    </w:pPr>
    <w:rPr>
      <w:rFonts w:ascii="Times New Roman" w:hAnsi="Times New Roman"/>
    </w:rPr>
  </w:style>
  <w:style w:type="character" w:customStyle="1" w:styleId="BodyTextIndent3Char">
    <w:name w:val="Body Text Indent 3 Char"/>
    <w:basedOn w:val="DefaultParagraphFont"/>
    <w:link w:val="BodyTextIndent3"/>
    <w:semiHidden/>
    <w:rsid w:val="00130AB3"/>
    <w:rPr>
      <w:sz w:val="24"/>
      <w:szCs w:val="24"/>
      <w:lang w:eastAsia="en-US"/>
    </w:rPr>
  </w:style>
  <w:style w:type="paragraph" w:customStyle="1" w:styleId="Normalsinglespace">
    <w:name w:val="Normal single space"/>
    <w:basedOn w:val="Normal"/>
    <w:rsid w:val="00130AB3"/>
    <w:pPr>
      <w:spacing w:before="120"/>
    </w:pPr>
    <w:rPr>
      <w:rFonts w:ascii="Times New Roman" w:hAnsi="Times New Roman"/>
      <w:szCs w:val="20"/>
    </w:rPr>
  </w:style>
  <w:style w:type="paragraph" w:customStyle="1" w:styleId="tabletext1">
    <w:name w:val="table text"/>
    <w:basedOn w:val="Normal"/>
    <w:rsid w:val="00130AB3"/>
    <w:rPr>
      <w:rFonts w:ascii="Times New Roman" w:hAnsi="Times New Roman"/>
      <w:sz w:val="20"/>
      <w:szCs w:val="20"/>
    </w:rPr>
  </w:style>
  <w:style w:type="paragraph" w:customStyle="1" w:styleId="9pt6pt">
    <w:name w:val="スタイル 9 pt 左揃え 段落後 :  6 pt"/>
    <w:basedOn w:val="Normal"/>
    <w:rsid w:val="00130AB3"/>
    <w:pPr>
      <w:keepLines/>
      <w:tabs>
        <w:tab w:val="left" w:pos="720"/>
      </w:tabs>
      <w:adjustRightInd w:val="0"/>
      <w:snapToGrid w:val="0"/>
      <w:spacing w:after="120"/>
    </w:pPr>
    <w:rPr>
      <w:rFonts w:ascii="Times New Roman" w:eastAsia="MS Mincho" w:hAnsi="Times New Roman" w:cs="MS Mincho"/>
      <w:sz w:val="18"/>
      <w:szCs w:val="20"/>
      <w:lang w:val="en-GB" w:eastAsia="ja-JP"/>
    </w:rPr>
  </w:style>
  <w:style w:type="character" w:styleId="LineNumber">
    <w:name w:val="line number"/>
    <w:basedOn w:val="DefaultParagraphFont"/>
    <w:semiHidden/>
    <w:rsid w:val="00130AB3"/>
  </w:style>
  <w:style w:type="paragraph" w:customStyle="1" w:styleId="RefBody">
    <w:name w:val="Ref Body"/>
    <w:basedOn w:val="Normal"/>
    <w:rsid w:val="00130AB3"/>
    <w:pPr>
      <w:tabs>
        <w:tab w:val="left" w:pos="720"/>
      </w:tabs>
      <w:overflowPunct w:val="0"/>
      <w:autoSpaceDE w:val="0"/>
      <w:autoSpaceDN w:val="0"/>
      <w:adjustRightInd w:val="0"/>
      <w:ind w:left="720" w:hanging="720"/>
      <w:textAlignment w:val="baseline"/>
    </w:pPr>
    <w:rPr>
      <w:rFonts w:ascii="Times New Roman" w:eastAsia="MS Mincho" w:hAnsi="Times New Roman"/>
      <w:sz w:val="20"/>
      <w:szCs w:val="20"/>
      <w:lang w:val="en-GB"/>
    </w:rPr>
  </w:style>
  <w:style w:type="paragraph" w:customStyle="1" w:styleId="reptit">
    <w:name w:val="reptit"/>
    <w:basedOn w:val="Normal"/>
    <w:rsid w:val="00130AB3"/>
    <w:pPr>
      <w:tabs>
        <w:tab w:val="left" w:pos="720"/>
        <w:tab w:val="left" w:pos="1077"/>
        <w:tab w:val="left" w:pos="1440"/>
      </w:tabs>
      <w:overflowPunct w:val="0"/>
      <w:autoSpaceDE w:val="0"/>
      <w:autoSpaceDN w:val="0"/>
      <w:adjustRightInd w:val="0"/>
      <w:spacing w:before="120"/>
      <w:textAlignment w:val="baseline"/>
    </w:pPr>
    <w:rPr>
      <w:rFonts w:ascii="Times New Roman" w:eastAsia="MS Mincho" w:hAnsi="Times New Roman"/>
      <w:szCs w:val="20"/>
      <w:lang w:val="en-GB"/>
    </w:rPr>
  </w:style>
  <w:style w:type="paragraph" w:customStyle="1" w:styleId="TableText2">
    <w:name w:val="Table Text"/>
    <w:basedOn w:val="Normal"/>
    <w:rsid w:val="00130AB3"/>
    <w:pPr>
      <w:tabs>
        <w:tab w:val="left" w:pos="720"/>
      </w:tabs>
      <w:overflowPunct w:val="0"/>
      <w:autoSpaceDE w:val="0"/>
      <w:autoSpaceDN w:val="0"/>
      <w:adjustRightInd w:val="0"/>
      <w:spacing w:before="60" w:after="60"/>
      <w:textAlignment w:val="baseline"/>
    </w:pPr>
    <w:rPr>
      <w:rFonts w:ascii="Times New Roman" w:eastAsia="MS Mincho" w:hAnsi="Times New Roman"/>
      <w:sz w:val="20"/>
      <w:szCs w:val="20"/>
      <w:lang w:val="en-GB"/>
    </w:rPr>
  </w:style>
  <w:style w:type="paragraph" w:customStyle="1" w:styleId="xl52">
    <w:name w:val="xl52"/>
    <w:basedOn w:val="Normal"/>
    <w:rsid w:val="00130AB3"/>
    <w:pPr>
      <w:pBdr>
        <w:bottom w:val="double" w:sz="6" w:space="0" w:color="auto"/>
      </w:pBdr>
      <w:tabs>
        <w:tab w:val="left" w:pos="720"/>
      </w:tabs>
      <w:spacing w:beforeAutospacing="1" w:afterAutospacing="1"/>
      <w:jc w:val="center"/>
    </w:pPr>
    <w:rPr>
      <w:rFonts w:eastAsia="MS Mincho" w:cs="Arial"/>
      <w:lang w:val="en-GB"/>
    </w:rPr>
  </w:style>
  <w:style w:type="paragraph" w:customStyle="1" w:styleId="xl53">
    <w:name w:val="xl53"/>
    <w:basedOn w:val="Normal"/>
    <w:rsid w:val="00130AB3"/>
    <w:pPr>
      <w:pBdr>
        <w:bottom w:val="double" w:sz="6" w:space="0" w:color="auto"/>
        <w:right w:val="single" w:sz="4" w:space="0" w:color="auto"/>
      </w:pBdr>
      <w:tabs>
        <w:tab w:val="left" w:pos="720"/>
      </w:tabs>
      <w:spacing w:beforeAutospacing="1" w:afterAutospacing="1"/>
      <w:jc w:val="center"/>
    </w:pPr>
    <w:rPr>
      <w:rFonts w:eastAsia="MS Mincho" w:cs="Arial"/>
      <w:lang w:val="en-GB"/>
    </w:rPr>
  </w:style>
  <w:style w:type="paragraph" w:customStyle="1" w:styleId="xl54">
    <w:name w:val="xl54"/>
    <w:basedOn w:val="Normal"/>
    <w:rsid w:val="00130AB3"/>
    <w:pPr>
      <w:pBdr>
        <w:bottom w:val="double" w:sz="6" w:space="0" w:color="auto"/>
      </w:pBdr>
      <w:tabs>
        <w:tab w:val="left" w:pos="720"/>
      </w:tabs>
      <w:spacing w:beforeAutospacing="1" w:afterAutospacing="1"/>
      <w:jc w:val="center"/>
    </w:pPr>
    <w:rPr>
      <w:rFonts w:eastAsia="MS Mincho" w:cs="Arial"/>
      <w:lang w:val="en-GB"/>
    </w:rPr>
  </w:style>
  <w:style w:type="paragraph" w:customStyle="1" w:styleId="xl55">
    <w:name w:val="xl55"/>
    <w:basedOn w:val="Normal"/>
    <w:rsid w:val="00130AB3"/>
    <w:pPr>
      <w:pBdr>
        <w:bottom w:val="double" w:sz="6" w:space="0" w:color="auto"/>
        <w:right w:val="double" w:sz="6" w:space="0" w:color="auto"/>
      </w:pBdr>
      <w:tabs>
        <w:tab w:val="left" w:pos="720"/>
      </w:tabs>
      <w:spacing w:beforeAutospacing="1" w:afterAutospacing="1"/>
      <w:jc w:val="center"/>
    </w:pPr>
    <w:rPr>
      <w:rFonts w:eastAsia="MS Mincho" w:cs="Arial"/>
      <w:lang w:val="en-GB"/>
    </w:rPr>
  </w:style>
  <w:style w:type="paragraph" w:customStyle="1" w:styleId="xl56">
    <w:name w:val="xl56"/>
    <w:basedOn w:val="Normal"/>
    <w:rsid w:val="00130AB3"/>
    <w:pPr>
      <w:pBdr>
        <w:top w:val="double" w:sz="6" w:space="0" w:color="auto"/>
        <w:left w:val="single" w:sz="4" w:space="0" w:color="auto"/>
        <w:right w:val="single" w:sz="4" w:space="0" w:color="auto"/>
      </w:pBdr>
      <w:tabs>
        <w:tab w:val="left" w:pos="720"/>
      </w:tabs>
      <w:spacing w:beforeAutospacing="1" w:afterAutospacing="1"/>
      <w:jc w:val="center"/>
    </w:pPr>
    <w:rPr>
      <w:rFonts w:ascii="Times New Roman" w:eastAsia="MS Mincho" w:hAnsi="Times New Roman"/>
      <w:b/>
      <w:bCs/>
      <w:lang w:val="en-GB"/>
    </w:rPr>
  </w:style>
  <w:style w:type="paragraph" w:customStyle="1" w:styleId="xl57">
    <w:name w:val="xl57"/>
    <w:basedOn w:val="Normal"/>
    <w:rsid w:val="00130AB3"/>
    <w:pPr>
      <w:pBdr>
        <w:left w:val="single" w:sz="4" w:space="0" w:color="auto"/>
        <w:bottom w:val="double" w:sz="6" w:space="0" w:color="auto"/>
        <w:right w:val="single" w:sz="4" w:space="0" w:color="auto"/>
      </w:pBdr>
      <w:tabs>
        <w:tab w:val="left" w:pos="720"/>
      </w:tabs>
      <w:spacing w:beforeAutospacing="1" w:afterAutospacing="1"/>
      <w:jc w:val="center"/>
    </w:pPr>
    <w:rPr>
      <w:rFonts w:ascii="Times New Roman" w:eastAsia="MS Mincho" w:hAnsi="Times New Roman"/>
      <w:b/>
      <w:bCs/>
      <w:lang w:val="en-GB"/>
    </w:rPr>
  </w:style>
  <w:style w:type="paragraph" w:customStyle="1" w:styleId="xl58">
    <w:name w:val="xl58"/>
    <w:basedOn w:val="Normal"/>
    <w:rsid w:val="00130AB3"/>
    <w:pPr>
      <w:pBdr>
        <w:top w:val="double" w:sz="6" w:space="0" w:color="auto"/>
        <w:left w:val="single" w:sz="4" w:space="0" w:color="auto"/>
        <w:right w:val="single" w:sz="4" w:space="0" w:color="auto"/>
      </w:pBdr>
      <w:tabs>
        <w:tab w:val="left" w:pos="720"/>
      </w:tabs>
      <w:spacing w:beforeAutospacing="1" w:afterAutospacing="1"/>
      <w:jc w:val="center"/>
    </w:pPr>
    <w:rPr>
      <w:rFonts w:ascii="Times New Roman" w:eastAsia="MS Mincho" w:hAnsi="Times New Roman"/>
      <w:lang w:val="en-GB"/>
    </w:rPr>
  </w:style>
  <w:style w:type="paragraph" w:customStyle="1" w:styleId="xl59">
    <w:name w:val="xl59"/>
    <w:basedOn w:val="Normal"/>
    <w:rsid w:val="00130AB3"/>
    <w:pPr>
      <w:pBdr>
        <w:left w:val="single" w:sz="4" w:space="0" w:color="auto"/>
        <w:bottom w:val="double" w:sz="6" w:space="0" w:color="auto"/>
        <w:right w:val="single" w:sz="4" w:space="0" w:color="auto"/>
      </w:pBdr>
      <w:tabs>
        <w:tab w:val="left" w:pos="720"/>
      </w:tabs>
      <w:spacing w:beforeAutospacing="1" w:afterAutospacing="1"/>
      <w:jc w:val="center"/>
    </w:pPr>
    <w:rPr>
      <w:rFonts w:ascii="Times New Roman" w:eastAsia="MS Mincho" w:hAnsi="Times New Roman"/>
      <w:lang w:val="en-GB"/>
    </w:rPr>
  </w:style>
  <w:style w:type="paragraph" w:customStyle="1" w:styleId="xl60">
    <w:name w:val="xl60"/>
    <w:basedOn w:val="Normal"/>
    <w:rsid w:val="00130AB3"/>
    <w:pPr>
      <w:pBdr>
        <w:top w:val="single" w:sz="4" w:space="0" w:color="auto"/>
        <w:bottom w:val="double" w:sz="6" w:space="0" w:color="auto"/>
        <w:right w:val="single" w:sz="4" w:space="0" w:color="auto"/>
      </w:pBdr>
      <w:tabs>
        <w:tab w:val="left" w:pos="720"/>
      </w:tabs>
      <w:spacing w:beforeAutospacing="1" w:afterAutospacing="1"/>
    </w:pPr>
    <w:rPr>
      <w:rFonts w:eastAsia="MS Mincho" w:cs="Arial"/>
      <w:lang w:val="en-GB"/>
    </w:rPr>
  </w:style>
  <w:style w:type="paragraph" w:customStyle="1" w:styleId="xl61">
    <w:name w:val="xl61"/>
    <w:basedOn w:val="Normal"/>
    <w:rsid w:val="00130AB3"/>
    <w:pPr>
      <w:pBdr>
        <w:bottom w:val="double" w:sz="6" w:space="0" w:color="auto"/>
      </w:pBdr>
      <w:tabs>
        <w:tab w:val="left" w:pos="720"/>
      </w:tabs>
      <w:spacing w:beforeAutospacing="1" w:afterAutospacing="1"/>
    </w:pPr>
    <w:rPr>
      <w:rFonts w:eastAsia="MS Mincho" w:cs="Arial"/>
      <w:lang w:val="en-GB"/>
    </w:rPr>
  </w:style>
  <w:style w:type="paragraph" w:customStyle="1" w:styleId="xl62">
    <w:name w:val="xl62"/>
    <w:basedOn w:val="Normal"/>
    <w:rsid w:val="00130AB3"/>
    <w:pPr>
      <w:pBdr>
        <w:bottom w:val="double" w:sz="6" w:space="0" w:color="auto"/>
        <w:right w:val="double" w:sz="6" w:space="0" w:color="auto"/>
      </w:pBdr>
      <w:tabs>
        <w:tab w:val="left" w:pos="720"/>
      </w:tabs>
      <w:spacing w:beforeAutospacing="1" w:afterAutospacing="1"/>
    </w:pPr>
    <w:rPr>
      <w:rFonts w:eastAsia="MS Mincho" w:cs="Arial"/>
      <w:lang w:val="en-GB"/>
    </w:rPr>
  </w:style>
  <w:style w:type="paragraph" w:customStyle="1" w:styleId="xl63">
    <w:name w:val="xl63"/>
    <w:basedOn w:val="Normal"/>
    <w:rsid w:val="00130AB3"/>
    <w:pPr>
      <w:pBdr>
        <w:top w:val="single" w:sz="4" w:space="0" w:color="auto"/>
        <w:left w:val="single" w:sz="4" w:space="0" w:color="auto"/>
        <w:bottom w:val="double" w:sz="6" w:space="0" w:color="auto"/>
      </w:pBdr>
      <w:tabs>
        <w:tab w:val="left" w:pos="720"/>
      </w:tabs>
      <w:spacing w:beforeAutospacing="1" w:afterAutospacing="1"/>
    </w:pPr>
    <w:rPr>
      <w:rFonts w:eastAsia="MS Mincho" w:cs="Arial"/>
      <w:lang w:val="en-GB"/>
    </w:rPr>
  </w:style>
  <w:style w:type="paragraph" w:customStyle="1" w:styleId="xl64">
    <w:name w:val="xl64"/>
    <w:basedOn w:val="Normal"/>
    <w:rsid w:val="00130AB3"/>
    <w:pPr>
      <w:pBdr>
        <w:top w:val="single" w:sz="4" w:space="0" w:color="auto"/>
        <w:bottom w:val="double" w:sz="6" w:space="0" w:color="auto"/>
      </w:pBdr>
      <w:tabs>
        <w:tab w:val="left" w:pos="720"/>
      </w:tabs>
      <w:spacing w:beforeAutospacing="1" w:afterAutospacing="1"/>
    </w:pPr>
    <w:rPr>
      <w:rFonts w:eastAsia="MS Mincho" w:cs="Arial"/>
      <w:lang w:val="en-GB"/>
    </w:rPr>
  </w:style>
  <w:style w:type="paragraph" w:customStyle="1" w:styleId="xl65">
    <w:name w:val="xl65"/>
    <w:basedOn w:val="Normal"/>
    <w:rsid w:val="00130AB3"/>
    <w:pPr>
      <w:pBdr>
        <w:top w:val="single" w:sz="4" w:space="0" w:color="auto"/>
        <w:left w:val="single" w:sz="4" w:space="0" w:color="auto"/>
        <w:bottom w:val="double" w:sz="6" w:space="0" w:color="auto"/>
        <w:right w:val="single" w:sz="4" w:space="0" w:color="auto"/>
      </w:pBdr>
      <w:tabs>
        <w:tab w:val="left" w:pos="720"/>
      </w:tabs>
      <w:spacing w:beforeAutospacing="1" w:afterAutospacing="1"/>
    </w:pPr>
    <w:rPr>
      <w:rFonts w:eastAsia="MS Mincho" w:cs="Arial"/>
      <w:lang w:val="en-GB"/>
    </w:rPr>
  </w:style>
  <w:style w:type="paragraph" w:customStyle="1" w:styleId="xl66">
    <w:name w:val="xl66"/>
    <w:basedOn w:val="Normal"/>
    <w:rsid w:val="00130AB3"/>
    <w:pPr>
      <w:pBdr>
        <w:top w:val="double" w:sz="6" w:space="0" w:color="auto"/>
      </w:pBdr>
      <w:tabs>
        <w:tab w:val="left" w:pos="720"/>
      </w:tabs>
      <w:spacing w:beforeAutospacing="1" w:afterAutospacing="1"/>
    </w:pPr>
    <w:rPr>
      <w:rFonts w:ascii="Times New Roman" w:eastAsia="MS Mincho" w:hAnsi="Times New Roman"/>
      <w:b/>
      <w:bCs/>
      <w:lang w:val="en-GB"/>
    </w:rPr>
  </w:style>
  <w:style w:type="paragraph" w:customStyle="1" w:styleId="xl67">
    <w:name w:val="xl67"/>
    <w:basedOn w:val="Normal"/>
    <w:rsid w:val="00130AB3"/>
    <w:pPr>
      <w:pBdr>
        <w:top w:val="double" w:sz="6" w:space="0" w:color="auto"/>
      </w:pBdr>
      <w:tabs>
        <w:tab w:val="left" w:pos="720"/>
      </w:tabs>
      <w:spacing w:beforeAutospacing="1" w:afterAutospacing="1"/>
    </w:pPr>
    <w:rPr>
      <w:rFonts w:ascii="Times New Roman" w:eastAsia="MS Mincho" w:hAnsi="Times New Roman"/>
      <w:lang w:val="en-GB"/>
    </w:rPr>
  </w:style>
  <w:style w:type="paragraph" w:customStyle="1" w:styleId="xl68">
    <w:name w:val="xl68"/>
    <w:basedOn w:val="Normal"/>
    <w:rsid w:val="00130AB3"/>
    <w:pPr>
      <w:tabs>
        <w:tab w:val="left" w:pos="720"/>
      </w:tabs>
      <w:spacing w:beforeAutospacing="1" w:afterAutospacing="1"/>
      <w:jc w:val="center"/>
    </w:pPr>
    <w:rPr>
      <w:rFonts w:eastAsia="MS Mincho" w:cs="Arial"/>
      <w:b/>
      <w:bCs/>
      <w:lang w:val="en-GB"/>
    </w:rPr>
  </w:style>
  <w:style w:type="paragraph" w:customStyle="1" w:styleId="xl69">
    <w:name w:val="xl69"/>
    <w:basedOn w:val="Normal"/>
    <w:rsid w:val="00130AB3"/>
    <w:pPr>
      <w:pBdr>
        <w:left w:val="single" w:sz="4" w:space="0" w:color="auto"/>
      </w:pBdr>
      <w:tabs>
        <w:tab w:val="left" w:pos="720"/>
      </w:tabs>
      <w:spacing w:beforeAutospacing="1" w:afterAutospacing="1"/>
      <w:jc w:val="center"/>
    </w:pPr>
    <w:rPr>
      <w:rFonts w:eastAsia="MS Mincho" w:cs="Arial"/>
      <w:u w:val="single"/>
      <w:lang w:val="en-GB"/>
    </w:rPr>
  </w:style>
  <w:style w:type="paragraph" w:customStyle="1" w:styleId="xl70">
    <w:name w:val="xl70"/>
    <w:basedOn w:val="Normal"/>
    <w:rsid w:val="00130AB3"/>
    <w:pPr>
      <w:tabs>
        <w:tab w:val="left" w:pos="720"/>
      </w:tabs>
      <w:spacing w:beforeAutospacing="1" w:afterAutospacing="1"/>
      <w:jc w:val="center"/>
    </w:pPr>
    <w:rPr>
      <w:rFonts w:eastAsia="MS Mincho" w:cs="Arial"/>
      <w:u w:val="single"/>
      <w:lang w:val="en-GB"/>
    </w:rPr>
  </w:style>
  <w:style w:type="paragraph" w:customStyle="1" w:styleId="xl71">
    <w:name w:val="xl71"/>
    <w:basedOn w:val="Normal"/>
    <w:rsid w:val="00130AB3"/>
    <w:pPr>
      <w:pBdr>
        <w:left w:val="single" w:sz="4" w:space="0" w:color="auto"/>
      </w:pBdr>
      <w:tabs>
        <w:tab w:val="left" w:pos="720"/>
      </w:tabs>
      <w:spacing w:beforeAutospacing="1" w:afterAutospacing="1"/>
      <w:jc w:val="center"/>
    </w:pPr>
    <w:rPr>
      <w:rFonts w:eastAsia="MS Mincho" w:cs="Arial"/>
      <w:b/>
      <w:bCs/>
      <w:u w:val="single"/>
      <w:lang w:val="en-GB"/>
    </w:rPr>
  </w:style>
  <w:style w:type="paragraph" w:customStyle="1" w:styleId="xl72">
    <w:name w:val="xl72"/>
    <w:basedOn w:val="Normal"/>
    <w:rsid w:val="00130AB3"/>
    <w:pPr>
      <w:tabs>
        <w:tab w:val="left" w:pos="720"/>
      </w:tabs>
      <w:spacing w:beforeAutospacing="1" w:afterAutospacing="1"/>
      <w:jc w:val="center"/>
    </w:pPr>
    <w:rPr>
      <w:rFonts w:eastAsia="MS Mincho" w:cs="Arial"/>
      <w:b/>
      <w:bCs/>
      <w:u w:val="single"/>
      <w:lang w:val="en-GB"/>
    </w:rPr>
  </w:style>
  <w:style w:type="paragraph" w:customStyle="1" w:styleId="xl73">
    <w:name w:val="xl73"/>
    <w:basedOn w:val="Normal"/>
    <w:rsid w:val="00130AB3"/>
    <w:pPr>
      <w:pBdr>
        <w:right w:val="single" w:sz="4" w:space="0" w:color="auto"/>
      </w:pBdr>
      <w:tabs>
        <w:tab w:val="left" w:pos="720"/>
      </w:tabs>
      <w:spacing w:beforeAutospacing="1" w:afterAutospacing="1"/>
      <w:jc w:val="center"/>
    </w:pPr>
    <w:rPr>
      <w:rFonts w:eastAsia="MS Mincho" w:cs="Arial"/>
      <w:u w:val="single"/>
      <w:lang w:val="en-GB"/>
    </w:rPr>
  </w:style>
  <w:style w:type="paragraph" w:customStyle="1" w:styleId="xl74">
    <w:name w:val="xl74"/>
    <w:basedOn w:val="Normal"/>
    <w:rsid w:val="00130AB3"/>
    <w:pPr>
      <w:pBdr>
        <w:right w:val="single" w:sz="4" w:space="0" w:color="auto"/>
      </w:pBdr>
      <w:tabs>
        <w:tab w:val="left" w:pos="720"/>
      </w:tabs>
      <w:spacing w:beforeAutospacing="1" w:afterAutospacing="1"/>
      <w:jc w:val="center"/>
    </w:pPr>
    <w:rPr>
      <w:rFonts w:eastAsia="MS Mincho" w:cs="Arial"/>
      <w:b/>
      <w:bCs/>
      <w:u w:val="single"/>
      <w:lang w:val="en-GB"/>
    </w:rPr>
  </w:style>
  <w:style w:type="paragraph" w:customStyle="1" w:styleId="xl75">
    <w:name w:val="xl75"/>
    <w:basedOn w:val="Normal"/>
    <w:rsid w:val="00130AB3"/>
    <w:pPr>
      <w:tabs>
        <w:tab w:val="left" w:pos="720"/>
      </w:tabs>
      <w:spacing w:beforeAutospacing="1" w:afterAutospacing="1"/>
      <w:jc w:val="center"/>
    </w:pPr>
    <w:rPr>
      <w:rFonts w:eastAsia="MS Mincho" w:cs="Arial"/>
      <w:u w:val="single"/>
      <w:lang w:val="en-GB"/>
    </w:rPr>
  </w:style>
  <w:style w:type="paragraph" w:customStyle="1" w:styleId="xl76">
    <w:name w:val="xl76"/>
    <w:basedOn w:val="Normal"/>
    <w:rsid w:val="00130AB3"/>
    <w:pPr>
      <w:tabs>
        <w:tab w:val="left" w:pos="720"/>
      </w:tabs>
      <w:spacing w:beforeAutospacing="1" w:afterAutospacing="1"/>
      <w:jc w:val="center"/>
    </w:pPr>
    <w:rPr>
      <w:rFonts w:eastAsia="MS Mincho" w:cs="Arial"/>
      <w:b/>
      <w:bCs/>
      <w:u w:val="single"/>
      <w:lang w:val="en-GB"/>
    </w:rPr>
  </w:style>
  <w:style w:type="paragraph" w:customStyle="1" w:styleId="xl77">
    <w:name w:val="xl77"/>
    <w:basedOn w:val="Normal"/>
    <w:rsid w:val="00130AB3"/>
    <w:pPr>
      <w:pBdr>
        <w:right w:val="double" w:sz="6" w:space="0" w:color="auto"/>
      </w:pBdr>
      <w:tabs>
        <w:tab w:val="left" w:pos="720"/>
      </w:tabs>
      <w:spacing w:beforeAutospacing="1" w:afterAutospacing="1"/>
      <w:jc w:val="center"/>
    </w:pPr>
    <w:rPr>
      <w:rFonts w:eastAsia="MS Mincho" w:cs="Arial"/>
      <w:u w:val="single"/>
      <w:lang w:val="en-GB"/>
    </w:rPr>
  </w:style>
  <w:style w:type="paragraph" w:customStyle="1" w:styleId="xl78">
    <w:name w:val="xl78"/>
    <w:basedOn w:val="Normal"/>
    <w:rsid w:val="00130AB3"/>
    <w:pPr>
      <w:pBdr>
        <w:right w:val="double" w:sz="6" w:space="0" w:color="auto"/>
      </w:pBdr>
      <w:tabs>
        <w:tab w:val="left" w:pos="720"/>
      </w:tabs>
      <w:spacing w:beforeAutospacing="1" w:afterAutospacing="1"/>
      <w:jc w:val="center"/>
    </w:pPr>
    <w:rPr>
      <w:rFonts w:eastAsia="MS Mincho" w:cs="Arial"/>
      <w:b/>
      <w:bCs/>
      <w:u w:val="single"/>
      <w:lang w:val="en-GB"/>
    </w:rPr>
  </w:style>
  <w:style w:type="paragraph" w:customStyle="1" w:styleId="10pt6pt">
    <w:name w:val="スタイル 10 pt 段落後 :  6 pt"/>
    <w:basedOn w:val="Normal"/>
    <w:rsid w:val="00130AB3"/>
    <w:pPr>
      <w:tabs>
        <w:tab w:val="left" w:pos="720"/>
      </w:tabs>
      <w:adjustRightInd w:val="0"/>
      <w:snapToGrid w:val="0"/>
      <w:spacing w:after="120"/>
      <w:jc w:val="both"/>
    </w:pPr>
    <w:rPr>
      <w:rFonts w:ascii="Times New Roman" w:eastAsia="MS Mincho" w:hAnsi="Times New Roman" w:cs="MS Mincho"/>
      <w:sz w:val="20"/>
      <w:szCs w:val="20"/>
      <w:lang w:val="en-GB" w:eastAsia="ja-JP"/>
    </w:rPr>
  </w:style>
  <w:style w:type="paragraph" w:customStyle="1" w:styleId="DLBody">
    <w:name w:val="DL Body"/>
    <w:basedOn w:val="Normal"/>
    <w:rsid w:val="00130AB3"/>
    <w:pPr>
      <w:tabs>
        <w:tab w:val="left" w:pos="720"/>
        <w:tab w:val="left" w:pos="1077"/>
        <w:tab w:val="left" w:pos="1440"/>
      </w:tabs>
      <w:overflowPunct w:val="0"/>
      <w:autoSpaceDE w:val="0"/>
      <w:autoSpaceDN w:val="0"/>
      <w:adjustRightInd w:val="0"/>
      <w:snapToGrid w:val="0"/>
      <w:textAlignment w:val="baseline"/>
    </w:pPr>
    <w:rPr>
      <w:rFonts w:ascii="Times New Roman" w:eastAsia="MS Mincho" w:hAnsi="Times New Roman"/>
      <w:szCs w:val="20"/>
      <w:lang w:val="en-GB"/>
    </w:rPr>
  </w:style>
  <w:style w:type="paragraph" w:customStyle="1" w:styleId="FAOtable11">
    <w:name w:val="FAO table 11"/>
    <w:basedOn w:val="FAOtable10"/>
    <w:rsid w:val="00130AB3"/>
    <w:rPr>
      <w:sz w:val="22"/>
    </w:rPr>
  </w:style>
  <w:style w:type="paragraph" w:customStyle="1" w:styleId="FAOtable10">
    <w:name w:val="FAO table 10"/>
    <w:basedOn w:val="Normal"/>
    <w:rsid w:val="00130AB3"/>
    <w:pPr>
      <w:tabs>
        <w:tab w:val="left" w:pos="720"/>
      </w:tabs>
      <w:overflowPunct w:val="0"/>
      <w:autoSpaceDE w:val="0"/>
      <w:autoSpaceDN w:val="0"/>
      <w:adjustRightInd w:val="0"/>
      <w:textAlignment w:val="baseline"/>
    </w:pPr>
    <w:rPr>
      <w:rFonts w:ascii="Times New Roman" w:eastAsia="MS Mincho" w:hAnsi="Times New Roman"/>
      <w:sz w:val="20"/>
      <w:szCs w:val="20"/>
    </w:rPr>
  </w:style>
  <w:style w:type="paragraph" w:customStyle="1" w:styleId="TableHeadings">
    <w:name w:val="Table Headings"/>
    <w:basedOn w:val="Normal"/>
    <w:next w:val="Normal"/>
    <w:rsid w:val="00130AB3"/>
    <w:pPr>
      <w:tabs>
        <w:tab w:val="left" w:pos="720"/>
      </w:tabs>
      <w:overflowPunct w:val="0"/>
      <w:autoSpaceDE w:val="0"/>
      <w:autoSpaceDN w:val="0"/>
      <w:adjustRightInd w:val="0"/>
      <w:spacing w:before="120" w:after="120"/>
      <w:jc w:val="center"/>
      <w:textAlignment w:val="baseline"/>
    </w:pPr>
    <w:rPr>
      <w:rFonts w:eastAsia="MS Mincho"/>
      <w:sz w:val="20"/>
      <w:szCs w:val="20"/>
      <w:lang w:val="en-GB"/>
    </w:rPr>
  </w:style>
  <w:style w:type="paragraph" w:customStyle="1" w:styleId="Normal-159pt">
    <w:name w:val="Normal - 1.5 &amp; 9pt"/>
    <w:basedOn w:val="Normal"/>
    <w:rsid w:val="00130AB3"/>
    <w:pPr>
      <w:tabs>
        <w:tab w:val="left" w:pos="720"/>
      </w:tabs>
      <w:overflowPunct w:val="0"/>
      <w:autoSpaceDE w:val="0"/>
      <w:autoSpaceDN w:val="0"/>
      <w:adjustRightInd w:val="0"/>
      <w:spacing w:after="180" w:line="360" w:lineRule="auto"/>
      <w:textAlignment w:val="baseline"/>
    </w:pPr>
    <w:rPr>
      <w:rFonts w:ascii="Times New Roman" w:eastAsia="MS Mincho" w:hAnsi="Times New Roman"/>
      <w:szCs w:val="20"/>
      <w:lang w:val="en-GB"/>
    </w:rPr>
  </w:style>
  <w:style w:type="paragraph" w:customStyle="1" w:styleId="xl51">
    <w:name w:val="xl51"/>
    <w:basedOn w:val="Normal"/>
    <w:rsid w:val="00130AB3"/>
    <w:pPr>
      <w:pBdr>
        <w:left w:val="single" w:sz="4" w:space="0" w:color="auto"/>
        <w:bottom w:val="double" w:sz="6" w:space="0" w:color="auto"/>
      </w:pBdr>
      <w:tabs>
        <w:tab w:val="left" w:pos="720"/>
      </w:tabs>
      <w:spacing w:beforeAutospacing="1" w:afterAutospacing="1"/>
      <w:jc w:val="center"/>
    </w:pPr>
    <w:rPr>
      <w:rFonts w:eastAsia="MS Mincho" w:cs="Arial"/>
      <w:lang w:val="en-GB"/>
    </w:rPr>
  </w:style>
  <w:style w:type="paragraph" w:customStyle="1" w:styleId="NormalBody">
    <w:name w:val="NormalBody"/>
    <w:basedOn w:val="Normal"/>
    <w:rsid w:val="00130AB3"/>
    <w:pPr>
      <w:spacing w:after="270" w:line="270" w:lineRule="atLeast"/>
    </w:pPr>
    <w:rPr>
      <w:rFonts w:ascii="Sabon" w:eastAsia="MS Mincho" w:hAnsi="Sabon"/>
      <w:szCs w:val="20"/>
      <w:lang w:val="en-GB"/>
    </w:rPr>
  </w:style>
  <w:style w:type="paragraph" w:customStyle="1" w:styleId="aREMheading1">
    <w:name w:val="aREM heading 1"/>
    <w:next w:val="Normal"/>
    <w:rsid w:val="00130AB3"/>
    <w:pPr>
      <w:tabs>
        <w:tab w:val="left" w:pos="709"/>
      </w:tabs>
      <w:spacing w:before="200" w:after="40"/>
    </w:pPr>
    <w:rPr>
      <w:rFonts w:ascii="Helvetica" w:eastAsia="MS Mincho" w:hAnsi="Helvetica"/>
      <w:b/>
      <w:caps/>
      <w:sz w:val="22"/>
      <w:lang w:val="en-US" w:eastAsia="en-US"/>
    </w:rPr>
  </w:style>
  <w:style w:type="paragraph" w:customStyle="1" w:styleId="TableText9pt">
    <w:name w:val="Table Text 9pt"/>
    <w:basedOn w:val="Normal"/>
    <w:rsid w:val="00130AB3"/>
    <w:pPr>
      <w:spacing w:before="40" w:after="40"/>
      <w:jc w:val="center"/>
    </w:pPr>
    <w:rPr>
      <w:rFonts w:ascii="Times New Roman" w:eastAsia="MS Mincho" w:hAnsi="Times New Roman"/>
      <w:sz w:val="18"/>
      <w:lang w:val="en-GB"/>
    </w:rPr>
  </w:style>
  <w:style w:type="paragraph" w:styleId="HTMLPreformatted">
    <w:name w:val="HTML Preformatted"/>
    <w:basedOn w:val="Normal"/>
    <w:link w:val="HTMLPreformattedChar"/>
    <w:semiHidden/>
    <w:rsid w:val="0013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customStyle="1" w:styleId="HTMLPreformattedChar">
    <w:name w:val="HTML Preformatted Char"/>
    <w:basedOn w:val="DefaultParagraphFont"/>
    <w:link w:val="HTMLPreformatted"/>
    <w:semiHidden/>
    <w:rsid w:val="00130AB3"/>
    <w:rPr>
      <w:rFonts w:ascii="Courier New" w:eastAsia="Courier New" w:hAnsi="Courier New"/>
      <w:lang w:val="en-US" w:eastAsia="en-US"/>
    </w:rPr>
  </w:style>
  <w:style w:type="paragraph" w:customStyle="1" w:styleId="Style10">
    <w:name w:val="Style1"/>
    <w:basedOn w:val="Normal"/>
    <w:rsid w:val="00130AB3"/>
    <w:pPr>
      <w:keepNext/>
      <w:keepLines/>
    </w:pPr>
    <w:rPr>
      <w:rFonts w:ascii="Times New Roman" w:eastAsia="MS Mincho" w:hAnsi="Times New Roman"/>
      <w:sz w:val="20"/>
      <w:szCs w:val="20"/>
      <w:lang w:val="en-GB"/>
    </w:rPr>
  </w:style>
  <w:style w:type="paragraph" w:customStyle="1" w:styleId="FAONumberedList">
    <w:name w:val="FAO Numbered List"/>
    <w:basedOn w:val="FAOBulletedList"/>
    <w:rsid w:val="00130AB3"/>
    <w:pPr>
      <w:tabs>
        <w:tab w:val="clear" w:pos="644"/>
        <w:tab w:val="num" w:pos="360"/>
        <w:tab w:val="num" w:pos="432"/>
        <w:tab w:val="num" w:pos="720"/>
      </w:tabs>
      <w:ind w:left="720" w:hanging="360"/>
    </w:pPr>
  </w:style>
  <w:style w:type="paragraph" w:customStyle="1" w:styleId="FAOBulletedList">
    <w:name w:val="FAO Bulleted List"/>
    <w:basedOn w:val="Normal"/>
    <w:rsid w:val="00130AB3"/>
    <w:pPr>
      <w:tabs>
        <w:tab w:val="num" w:pos="644"/>
      </w:tabs>
      <w:ind w:left="624" w:hanging="340"/>
      <w:jc w:val="both"/>
    </w:pPr>
    <w:rPr>
      <w:rFonts w:ascii="Times New Roman" w:eastAsia="MS Mincho" w:hAnsi="Times New Roman"/>
      <w:szCs w:val="20"/>
    </w:rPr>
  </w:style>
  <w:style w:type="paragraph" w:customStyle="1" w:styleId="FAOBullet">
    <w:name w:val="FAO Bullet"/>
    <w:basedOn w:val="FAOBulletedList"/>
    <w:rsid w:val="00130AB3"/>
    <w:pPr>
      <w:tabs>
        <w:tab w:val="clear" w:pos="644"/>
        <w:tab w:val="num" w:pos="360"/>
        <w:tab w:val="num" w:pos="1642"/>
      </w:tabs>
      <w:spacing w:after="120"/>
      <w:ind w:left="227" w:hanging="227"/>
    </w:pPr>
  </w:style>
  <w:style w:type="paragraph" w:customStyle="1" w:styleId="FAONumber">
    <w:name w:val="FAO Number"/>
    <w:basedOn w:val="Normal"/>
    <w:rsid w:val="00130AB3"/>
    <w:pPr>
      <w:tabs>
        <w:tab w:val="num" w:pos="1060"/>
      </w:tabs>
      <w:spacing w:after="240"/>
      <w:ind w:left="737" w:hanging="397"/>
      <w:jc w:val="both"/>
    </w:pPr>
    <w:rPr>
      <w:rFonts w:ascii="Times New Roman" w:eastAsia="MS Mincho" w:hAnsi="Times New Roman"/>
      <w:szCs w:val="20"/>
    </w:rPr>
  </w:style>
  <w:style w:type="paragraph" w:customStyle="1" w:styleId="TableFootnote">
    <w:name w:val="Table Footnote"/>
    <w:basedOn w:val="Normal"/>
    <w:rsid w:val="00130AB3"/>
    <w:rPr>
      <w:rFonts w:ascii="Times New Roman" w:eastAsia="MS Mincho" w:hAnsi="Times New Roman"/>
      <w:sz w:val="18"/>
      <w:lang w:val="en-GB"/>
    </w:rPr>
  </w:style>
  <w:style w:type="paragraph" w:customStyle="1" w:styleId="TableHeader">
    <w:name w:val="Table Header"/>
    <w:basedOn w:val="TOC2"/>
    <w:rsid w:val="00130AB3"/>
    <w:pPr>
      <w:keepNext/>
      <w:keepLines/>
      <w:tabs>
        <w:tab w:val="clear" w:pos="9639"/>
        <w:tab w:val="left" w:pos="720"/>
        <w:tab w:val="left" w:pos="1247"/>
        <w:tab w:val="right" w:leader="dot" w:pos="9060"/>
        <w:tab w:val="right" w:leader="dot" w:pos="9356"/>
      </w:tabs>
      <w:spacing w:after="60" w:line="260" w:lineRule="exact"/>
      <w:ind w:left="510" w:right="235" w:hanging="510"/>
    </w:pPr>
    <w:rPr>
      <w:rFonts w:ascii="Times New Roman" w:eastAsia="SimSun" w:hAnsi="Times New Roman"/>
      <w:color w:val="auto"/>
      <w:sz w:val="22"/>
      <w:szCs w:val="21"/>
      <w:lang w:val="en-US"/>
    </w:rPr>
  </w:style>
  <w:style w:type="paragraph" w:customStyle="1" w:styleId="NormalNoSpaceAfter">
    <w:name w:val="Normal NoSpaceAfter"/>
    <w:basedOn w:val="Normal"/>
    <w:rsid w:val="00130AB3"/>
    <w:rPr>
      <w:rFonts w:ascii="Times New Roman" w:eastAsia="MS Mincho" w:hAnsi="Times New Roman"/>
      <w:lang w:val="en-GB"/>
    </w:rPr>
  </w:style>
  <w:style w:type="paragraph" w:customStyle="1" w:styleId="PlainHeading10pt">
    <w:name w:val="Plain Heading 10pt"/>
    <w:basedOn w:val="PlainHeading12pt"/>
    <w:rsid w:val="00130AB3"/>
    <w:rPr>
      <w:sz w:val="20"/>
    </w:rPr>
  </w:style>
  <w:style w:type="paragraph" w:customStyle="1" w:styleId="PlainHeading12pt">
    <w:name w:val="Plain Heading 12pt"/>
    <w:basedOn w:val="Normal"/>
    <w:next w:val="Normal"/>
    <w:rsid w:val="00130AB3"/>
    <w:pPr>
      <w:keepNext/>
      <w:keepLines/>
      <w:spacing w:before="240" w:after="240"/>
    </w:pPr>
    <w:rPr>
      <w:rFonts w:ascii="Arial Bold" w:eastAsia="MS Mincho" w:hAnsi="Arial Bold"/>
      <w:b/>
      <w:lang w:val="en-GB"/>
    </w:rPr>
  </w:style>
  <w:style w:type="paragraph" w:customStyle="1" w:styleId="TableHeader9pt">
    <w:name w:val="Table Header 9pt"/>
    <w:basedOn w:val="Normal"/>
    <w:rsid w:val="00130AB3"/>
    <w:pPr>
      <w:keepNext/>
      <w:spacing w:before="40" w:after="40"/>
      <w:jc w:val="center"/>
    </w:pPr>
    <w:rPr>
      <w:rFonts w:ascii="Times New Roman" w:eastAsia="MS Mincho" w:hAnsi="Times New Roman"/>
      <w:b/>
      <w:sz w:val="18"/>
      <w:lang w:val="en-GB"/>
    </w:rPr>
  </w:style>
  <w:style w:type="paragraph" w:customStyle="1" w:styleId="headline">
    <w:name w:val="headline"/>
    <w:rsid w:val="00130AB3"/>
    <w:pPr>
      <w:spacing w:after="240" w:line="360" w:lineRule="exact"/>
      <w:jc w:val="center"/>
    </w:pPr>
    <w:rPr>
      <w:rFonts w:ascii="Arial" w:eastAsia="MS Mincho" w:hAnsi="Arial"/>
      <w:b/>
      <w:sz w:val="24"/>
      <w:lang w:val="en-GB" w:eastAsia="en-US"/>
    </w:rPr>
  </w:style>
  <w:style w:type="paragraph" w:customStyle="1" w:styleId="TableText9ptHeader">
    <w:name w:val="Table Text 9pt Header"/>
    <w:basedOn w:val="Normal"/>
    <w:rsid w:val="00130AB3"/>
    <w:pPr>
      <w:keepNext/>
      <w:keepLines/>
      <w:jc w:val="both"/>
    </w:pPr>
    <w:rPr>
      <w:rFonts w:eastAsia="SimSun"/>
      <w:b/>
      <w:color w:val="000000"/>
      <w:sz w:val="18"/>
      <w:szCs w:val="21"/>
      <w:lang w:val="en-US" w:eastAsia="zh-CN"/>
    </w:rPr>
  </w:style>
  <w:style w:type="paragraph" w:customStyle="1" w:styleId="author">
    <w:name w:val="author"/>
    <w:basedOn w:val="Normal"/>
    <w:rsid w:val="00130AB3"/>
    <w:rPr>
      <w:rFonts w:ascii="Times New Roman" w:eastAsia="MS Mincho" w:hAnsi="Times New Roman"/>
      <w:color w:val="000000"/>
      <w:szCs w:val="20"/>
      <w:lang w:val="en-GB"/>
    </w:rPr>
  </w:style>
  <w:style w:type="paragraph" w:customStyle="1" w:styleId="RunningHead">
    <w:name w:val="Running Head"/>
    <w:rsid w:val="00130AB3"/>
    <w:pPr>
      <w:spacing w:line="-280" w:lineRule="auto"/>
      <w:jc w:val="center"/>
    </w:pPr>
    <w:rPr>
      <w:rFonts w:ascii="Helvetica" w:eastAsia="MS Mincho" w:hAnsi="Helvetica"/>
      <w:sz w:val="24"/>
      <w:lang w:val="en-GB" w:eastAsia="en-US"/>
    </w:rPr>
  </w:style>
  <w:style w:type="paragraph" w:customStyle="1" w:styleId="aREMText">
    <w:name w:val="aREM Text"/>
    <w:rsid w:val="00130AB3"/>
    <w:pPr>
      <w:spacing w:before="40" w:after="40"/>
      <w:jc w:val="both"/>
    </w:pPr>
    <w:rPr>
      <w:rFonts w:ascii="Helvetica" w:eastAsia="MS Mincho" w:hAnsi="Helvetica"/>
      <w:sz w:val="22"/>
      <w:lang w:val="en-US" w:eastAsia="en-US"/>
    </w:rPr>
  </w:style>
  <w:style w:type="paragraph" w:customStyle="1" w:styleId="figh">
    <w:name w:val="figh"/>
    <w:next w:val="Normaltext0"/>
    <w:rsid w:val="00130AB3"/>
    <w:rPr>
      <w:rFonts w:ascii="Arial Bold" w:eastAsia="MS Mincho" w:hAnsi="Arial Bold"/>
      <w:b/>
      <w:sz w:val="18"/>
      <w:lang w:val="en-GB" w:eastAsia="en-US"/>
    </w:rPr>
  </w:style>
  <w:style w:type="paragraph" w:customStyle="1" w:styleId="Table9pt">
    <w:name w:val="Table 9 pt"/>
    <w:basedOn w:val="Normal"/>
    <w:rsid w:val="00130AB3"/>
    <w:pPr>
      <w:spacing w:before="60" w:after="60"/>
    </w:pPr>
    <w:rPr>
      <w:rFonts w:ascii="Times New Roman" w:eastAsia="MS Mincho" w:hAnsi="Times New Roman"/>
      <w:sz w:val="18"/>
      <w:szCs w:val="20"/>
      <w:lang w:val="en-US"/>
    </w:rPr>
  </w:style>
  <w:style w:type="paragraph" w:customStyle="1" w:styleId="MRLCompound">
    <w:name w:val="MRL Compound"/>
    <w:basedOn w:val="MRLTableText"/>
    <w:rsid w:val="00130AB3"/>
    <w:pPr>
      <w:tabs>
        <w:tab w:val="left" w:pos="972"/>
      </w:tabs>
      <w:ind w:left="432"/>
    </w:pPr>
  </w:style>
  <w:style w:type="paragraph" w:customStyle="1" w:styleId="GazetteNormalText">
    <w:name w:val="Gazette Normal Text"/>
    <w:basedOn w:val="Normal"/>
    <w:link w:val="GazetteNormalTextChar"/>
    <w:qFormat/>
    <w:rsid w:val="00D60275"/>
    <w:pPr>
      <w:pBdr>
        <w:top w:val="nil"/>
        <w:left w:val="nil"/>
        <w:bottom w:val="nil"/>
        <w:right w:val="nil"/>
        <w:between w:val="nil"/>
        <w:bar w:val="nil"/>
      </w:pBdr>
      <w:spacing w:before="240" w:after="240" w:line="280" w:lineRule="exact"/>
    </w:pPr>
    <w:rPr>
      <w:rFonts w:eastAsia="Arial Unicode MS" w:hAnsi="Arial Unicode MS" w:cs="Arial Unicode MS"/>
      <w:color w:val="000000"/>
      <w:sz w:val="18"/>
      <w:szCs w:val="18"/>
      <w:u w:color="000000"/>
      <w:bdr w:val="nil"/>
      <w:lang w:val="en-GB" w:eastAsia="en-AU"/>
    </w:rPr>
  </w:style>
  <w:style w:type="character" w:customStyle="1" w:styleId="GazetteNormalTextChar">
    <w:name w:val="Gazette Normal Text Char"/>
    <w:basedOn w:val="DefaultParagraphFont"/>
    <w:link w:val="GazetteNormalText"/>
    <w:rsid w:val="00D60275"/>
    <w:rPr>
      <w:rFonts w:ascii="Arial" w:eastAsia="Arial Unicode MS" w:hAnsi="Arial Unicode MS" w:cs="Arial Unicode MS"/>
      <w:color w:val="000000"/>
      <w:sz w:val="18"/>
      <w:szCs w:val="18"/>
      <w:u w:color="000000"/>
      <w:bdr w:val="nil"/>
      <w:lang w:val="en-GB"/>
    </w:rPr>
  </w:style>
  <w:style w:type="paragraph" w:customStyle="1" w:styleId="TableSubHead0">
    <w:name w:val="TableSubHead"/>
    <w:basedOn w:val="TableHead"/>
    <w:uiPriority w:val="4"/>
    <w:rsid w:val="00570F41"/>
    <w:rPr>
      <w:color w:val="53284F"/>
    </w:rPr>
  </w:style>
  <w:style w:type="character" w:customStyle="1" w:styleId="cf01">
    <w:name w:val="cf01"/>
    <w:basedOn w:val="DefaultParagraphFont"/>
    <w:rsid w:val="006D7C8D"/>
    <w:rPr>
      <w:rFonts w:ascii="Segoe UI" w:hAnsi="Segoe UI" w:cs="Segoe UI" w:hint="default"/>
      <w:sz w:val="18"/>
      <w:szCs w:val="18"/>
    </w:rPr>
  </w:style>
  <w:style w:type="paragraph" w:customStyle="1" w:styleId="APVMAheading1">
    <w:name w:val="APVMA heading 1"/>
    <w:basedOn w:val="Normal"/>
    <w:qFormat/>
    <w:rsid w:val="00D76412"/>
    <w:pPr>
      <w:spacing w:after="320" w:line="320" w:lineRule="exact"/>
    </w:pPr>
    <w:rPr>
      <w:rFonts w:ascii="Franklin Gothic Medium" w:hAnsi="Franklin Gothic Medium"/>
      <w:sz w:val="28"/>
    </w:rPr>
  </w:style>
  <w:style w:type="paragraph" w:customStyle="1" w:styleId="APVMAheading2">
    <w:name w:val="APVMA heading 2"/>
    <w:basedOn w:val="APVMAheading1"/>
    <w:qFormat/>
    <w:rsid w:val="00D76412"/>
    <w:pPr>
      <w:spacing w:before="280" w:after="280" w:line="280" w:lineRule="exact"/>
    </w:pPr>
    <w:rPr>
      <w:sz w:val="24"/>
    </w:rPr>
  </w:style>
  <w:style w:type="paragraph" w:customStyle="1" w:styleId="APVMAnormal">
    <w:name w:val="APVMA normal"/>
    <w:basedOn w:val="Normal"/>
    <w:qFormat/>
    <w:rsid w:val="00D76412"/>
    <w:pPr>
      <w:spacing w:before="240" w:after="240" w:line="280" w:lineRule="exact"/>
    </w:pPr>
    <w:rPr>
      <w:sz w:val="20"/>
    </w:rPr>
  </w:style>
  <w:style w:type="paragraph" w:customStyle="1" w:styleId="APVMAtablehead0">
    <w:name w:val="APVMA table head"/>
    <w:basedOn w:val="APVMAheading2"/>
    <w:qFormat/>
    <w:rsid w:val="00D76412"/>
    <w:pPr>
      <w:spacing w:before="120" w:after="120" w:line="240" w:lineRule="exact"/>
    </w:pPr>
    <w:rPr>
      <w:sz w:val="22"/>
    </w:rPr>
  </w:style>
  <w:style w:type="paragraph" w:customStyle="1" w:styleId="APVMAtabletext0">
    <w:name w:val="APVMA table text"/>
    <w:basedOn w:val="APVMAtablehead0"/>
    <w:qFormat/>
    <w:rsid w:val="00D76412"/>
    <w:rPr>
      <w:rFonts w:ascii="Arial" w:hAnsi="Arial"/>
      <w:sz w:val="20"/>
    </w:rPr>
  </w:style>
  <w:style w:type="paragraph" w:customStyle="1" w:styleId="pf1">
    <w:name w:val="pf1"/>
    <w:basedOn w:val="Normal"/>
    <w:rsid w:val="00A572A2"/>
    <w:pPr>
      <w:spacing w:beforeAutospacing="1" w:afterAutospacing="1"/>
    </w:pPr>
    <w:rPr>
      <w:rFonts w:ascii="Times New Roman" w:hAnsi="Times New Roman"/>
      <w:lang w:eastAsia="en-AU"/>
    </w:rPr>
  </w:style>
  <w:style w:type="character" w:customStyle="1" w:styleId="cf11">
    <w:name w:val="cf11"/>
    <w:basedOn w:val="DefaultParagraphFont"/>
    <w:rsid w:val="00A572A2"/>
    <w:rPr>
      <w:rFonts w:ascii="Segoe UI" w:hAnsi="Segoe UI" w:cs="Segoe UI" w:hint="default"/>
      <w:sz w:val="18"/>
      <w:szCs w:val="18"/>
    </w:rPr>
  </w:style>
  <w:style w:type="paragraph" w:customStyle="1" w:styleId="ArialTemplate">
    <w:name w:val="Arial Template"/>
    <w:basedOn w:val="Normal"/>
    <w:link w:val="ArialTemplateChar"/>
    <w:qFormat/>
    <w:rsid w:val="001720E4"/>
    <w:pPr>
      <w:spacing w:before="120" w:after="120" w:line="240" w:lineRule="exact"/>
    </w:pPr>
    <w:rPr>
      <w:rFonts w:ascii="Arial" w:hAnsi="Arial" w:cs="Arial"/>
      <w:b/>
      <w:kern w:val="0"/>
      <w:sz w:val="17"/>
      <w:szCs w:val="17"/>
      <w14:ligatures w14:val="none"/>
    </w:rPr>
  </w:style>
  <w:style w:type="character" w:customStyle="1" w:styleId="ArialTemplateChar">
    <w:name w:val="Arial Template Char"/>
    <w:basedOn w:val="DefaultParagraphFont"/>
    <w:link w:val="ArialTemplate"/>
    <w:rsid w:val="001720E4"/>
    <w:rPr>
      <w:rFonts w:ascii="Arial" w:eastAsiaTheme="minorHAnsi" w:hAnsi="Arial" w:cs="Arial"/>
      <w:b/>
      <w:sz w:val="17"/>
      <w:szCs w:val="17"/>
      <w:lang w:eastAsia="en-US"/>
    </w:rPr>
  </w:style>
  <w:style w:type="paragraph" w:customStyle="1" w:styleId="ArialTable">
    <w:name w:val="Arial Table"/>
    <w:basedOn w:val="Normal"/>
    <w:link w:val="ArialTableChar"/>
    <w:qFormat/>
    <w:rsid w:val="001720E4"/>
    <w:pPr>
      <w:spacing w:before="120" w:after="120" w:line="240" w:lineRule="exact"/>
    </w:pPr>
    <w:rPr>
      <w:rFonts w:ascii="Arial" w:hAnsi="Arial" w:cs="Arial"/>
      <w:bCs/>
      <w:kern w:val="0"/>
      <w:sz w:val="18"/>
      <w:szCs w:val="18"/>
      <w14:ligatures w14:val="none"/>
    </w:rPr>
  </w:style>
  <w:style w:type="character" w:customStyle="1" w:styleId="ArialTableChar">
    <w:name w:val="Arial Table Char"/>
    <w:basedOn w:val="DefaultParagraphFont"/>
    <w:link w:val="ArialTable"/>
    <w:rsid w:val="001720E4"/>
    <w:rPr>
      <w:rFonts w:ascii="Arial" w:eastAsiaTheme="minorHAnsi" w:hAnsi="Arial" w:cs="Arial"/>
      <w:bCs/>
      <w:sz w:val="18"/>
      <w:szCs w:val="18"/>
      <w:lang w:eastAsia="en-US"/>
    </w:rPr>
  </w:style>
  <w:style w:type="paragraph" w:customStyle="1" w:styleId="ArialLabelTemplate">
    <w:name w:val="Arial Label Template"/>
    <w:basedOn w:val="Normal"/>
    <w:link w:val="ArialLabelTemplateChar"/>
    <w:qFormat/>
    <w:rsid w:val="001720E4"/>
    <w:pPr>
      <w:spacing w:before="120" w:after="120" w:line="240" w:lineRule="exact"/>
      <w:contextualSpacing/>
    </w:pPr>
    <w:rPr>
      <w:rFonts w:ascii="Arial" w:hAnsi="Arial" w:cs="Arial"/>
      <w:kern w:val="0"/>
      <w:sz w:val="17"/>
      <w:szCs w:val="17"/>
      <w14:ligatures w14:val="none"/>
    </w:rPr>
  </w:style>
  <w:style w:type="character" w:customStyle="1" w:styleId="ArialLabelTemplateChar">
    <w:name w:val="Arial Label Template Char"/>
    <w:basedOn w:val="DefaultParagraphFont"/>
    <w:link w:val="ArialLabelTemplate"/>
    <w:rsid w:val="001720E4"/>
    <w:rPr>
      <w:rFonts w:ascii="Arial" w:eastAsiaTheme="minorHAnsi" w:hAnsi="Arial" w:cs="Arial"/>
      <w:sz w:val="17"/>
      <w:szCs w:val="17"/>
      <w:lang w:eastAsia="en-US"/>
    </w:rPr>
  </w:style>
  <w:style w:type="paragraph" w:customStyle="1" w:styleId="ArialTableText">
    <w:name w:val="Arial Table Text"/>
    <w:basedOn w:val="Normal"/>
    <w:link w:val="ArialTableTextChar"/>
    <w:qFormat/>
    <w:rsid w:val="001720E4"/>
    <w:pPr>
      <w:spacing w:before="120" w:after="120" w:line="240" w:lineRule="exact"/>
    </w:pPr>
    <w:rPr>
      <w:rFonts w:ascii="Arial" w:hAnsi="Arial" w:cs="Arial"/>
      <w:kern w:val="0"/>
      <w:sz w:val="18"/>
      <w:szCs w:val="18"/>
      <w14:ligatures w14:val="none"/>
    </w:rPr>
  </w:style>
  <w:style w:type="character" w:customStyle="1" w:styleId="ArialTableTextChar">
    <w:name w:val="Arial Table Text Char"/>
    <w:basedOn w:val="DefaultParagraphFont"/>
    <w:link w:val="ArialTableText"/>
    <w:rsid w:val="001720E4"/>
    <w:rPr>
      <w:rFonts w:ascii="Arial" w:eastAsiaTheme="minorHAnsi" w:hAnsi="Arial" w:cs="Arial"/>
      <w:sz w:val="18"/>
      <w:szCs w:val="18"/>
      <w:lang w:eastAsia="en-US"/>
    </w:rPr>
  </w:style>
  <w:style w:type="paragraph" w:customStyle="1" w:styleId="Test2">
    <w:name w:val="Test 2"/>
    <w:basedOn w:val="Normal"/>
    <w:link w:val="Test2Char"/>
    <w:qFormat/>
    <w:rsid w:val="001720E4"/>
    <w:pPr>
      <w:spacing w:before="120" w:after="120" w:line="240" w:lineRule="exact"/>
    </w:pPr>
    <w:rPr>
      <w:rFonts w:ascii="Arial" w:hAnsi="Arial" w:cs="Arial"/>
      <w:bCs/>
      <w:kern w:val="0"/>
      <w:sz w:val="17"/>
      <w:szCs w:val="17"/>
      <w14:ligatures w14:val="none"/>
    </w:rPr>
  </w:style>
  <w:style w:type="character" w:customStyle="1" w:styleId="Test2Char">
    <w:name w:val="Test 2 Char"/>
    <w:basedOn w:val="DefaultParagraphFont"/>
    <w:link w:val="Test2"/>
    <w:rsid w:val="001720E4"/>
    <w:rPr>
      <w:rFonts w:ascii="Arial" w:eastAsiaTheme="minorHAnsi" w:hAnsi="Arial" w:cs="Arial"/>
      <w:bCs/>
      <w:sz w:val="17"/>
      <w:szCs w:val="17"/>
      <w:lang w:eastAsia="en-US"/>
    </w:rPr>
  </w:style>
  <w:style w:type="paragraph" w:customStyle="1" w:styleId="ArialTest1">
    <w:name w:val="Arial Test 1"/>
    <w:basedOn w:val="Normal"/>
    <w:link w:val="ArialTest1Char"/>
    <w:qFormat/>
    <w:rsid w:val="001720E4"/>
    <w:pPr>
      <w:spacing w:before="120" w:after="120" w:line="240" w:lineRule="exact"/>
    </w:pPr>
    <w:rPr>
      <w:rFonts w:ascii="Arial" w:hAnsi="Arial" w:cs="Arial"/>
      <w:kern w:val="0"/>
      <w:sz w:val="17"/>
      <w:szCs w:val="17"/>
      <w14:ligatures w14:val="none"/>
    </w:rPr>
  </w:style>
  <w:style w:type="character" w:customStyle="1" w:styleId="ArialTest1Char">
    <w:name w:val="Arial Test 1 Char"/>
    <w:basedOn w:val="DefaultParagraphFont"/>
    <w:link w:val="ArialTest1"/>
    <w:rsid w:val="001720E4"/>
    <w:rPr>
      <w:rFonts w:ascii="Arial" w:eastAsiaTheme="minorHAnsi" w:hAnsi="Arial" w:cs="Arial"/>
      <w:sz w:val="17"/>
      <w:szCs w:val="17"/>
      <w:lang w:eastAsia="en-US"/>
    </w:rPr>
  </w:style>
  <w:style w:type="paragraph" w:customStyle="1" w:styleId="ArialTableTest2">
    <w:name w:val="Arial Table Test 2"/>
    <w:basedOn w:val="Normal"/>
    <w:link w:val="ArialTableTest2Char"/>
    <w:qFormat/>
    <w:rsid w:val="001720E4"/>
    <w:pPr>
      <w:spacing w:before="120" w:after="120" w:line="240" w:lineRule="exact"/>
    </w:pPr>
    <w:rPr>
      <w:rFonts w:ascii="Arial" w:hAnsi="Arial" w:cs="Arial"/>
      <w:kern w:val="0"/>
      <w:sz w:val="18"/>
      <w:szCs w:val="18"/>
      <w14:ligatures w14:val="none"/>
    </w:rPr>
  </w:style>
  <w:style w:type="character" w:customStyle="1" w:styleId="ArialTableTest2Char">
    <w:name w:val="Arial Table Test 2 Char"/>
    <w:basedOn w:val="DefaultParagraphFont"/>
    <w:link w:val="ArialTableTest2"/>
    <w:rsid w:val="001720E4"/>
    <w:rPr>
      <w:rFonts w:ascii="Arial" w:eastAsiaTheme="minorHAnsi" w:hAnsi="Arial" w:cs="Arial"/>
      <w:sz w:val="18"/>
      <w:szCs w:val="18"/>
      <w:lang w:eastAsia="en-US"/>
    </w:rPr>
  </w:style>
  <w:style w:type="paragraph" w:customStyle="1" w:styleId="GazetteList-Numbered">
    <w:name w:val="Gazette List - Numbered"/>
    <w:basedOn w:val="Normal"/>
    <w:rsid w:val="00526F99"/>
    <w:pPr>
      <w:tabs>
        <w:tab w:val="num" w:pos="340"/>
      </w:tabs>
      <w:suppressAutoHyphens/>
      <w:spacing w:before="120" w:after="120" w:line="280" w:lineRule="exact"/>
      <w:ind w:left="340" w:hanging="340"/>
    </w:pPr>
    <w:rPr>
      <w:rFonts w:ascii="Arial" w:eastAsia="Times New Roman" w:hAnsi="Arial" w:cs="Arial"/>
      <w:kern w:val="0"/>
      <w:sz w:val="20"/>
      <w:u w:color="000000"/>
      <w14:ligatures w14:val="none"/>
    </w:rPr>
  </w:style>
  <w:style w:type="paragraph" w:customStyle="1" w:styleId="StatementofReasonsHeading1">
    <w:name w:val="Statement of Reasons Heading 1"/>
    <w:basedOn w:val="Normal"/>
    <w:link w:val="StatementofReasonsHeading1Char"/>
    <w:qFormat/>
    <w:rsid w:val="00526F99"/>
    <w:pPr>
      <w:keepNext/>
      <w:keepLines/>
      <w:spacing w:before="240" w:after="240" w:line="280" w:lineRule="exact"/>
      <w:outlineLvl w:val="0"/>
    </w:pPr>
    <w:rPr>
      <w:rFonts w:ascii="Franklin Gothic Medium" w:eastAsiaTheme="majorEastAsia" w:hAnsi="Franklin Gothic Medium" w:cstheme="majorBidi"/>
      <w:kern w:val="0"/>
      <w:sz w:val="28"/>
      <w:szCs w:val="32"/>
      <w14:ligatures w14:val="none"/>
    </w:rPr>
  </w:style>
  <w:style w:type="character" w:customStyle="1" w:styleId="StatementofReasonsHeading1Char">
    <w:name w:val="Statement of Reasons Heading 1 Char"/>
    <w:basedOn w:val="DefaultParagraphFont"/>
    <w:link w:val="StatementofReasonsHeading1"/>
    <w:rsid w:val="00526F99"/>
    <w:rPr>
      <w:rFonts w:ascii="Franklin Gothic Medium" w:eastAsiaTheme="majorEastAsia" w:hAnsi="Franklin Gothic Medium" w:cstheme="majorBidi"/>
      <w:sz w:val="28"/>
      <w:szCs w:val="32"/>
      <w:lang w:eastAsia="en-US"/>
    </w:rPr>
  </w:style>
  <w:style w:type="paragraph" w:customStyle="1" w:styleId="StatementofReasonsHeading2">
    <w:name w:val="Statement of Reasons Heading 2"/>
    <w:basedOn w:val="Normal"/>
    <w:link w:val="StatementofReasonsHeading2Char"/>
    <w:qFormat/>
    <w:rsid w:val="00526F99"/>
    <w:pPr>
      <w:keepNext/>
      <w:keepLines/>
      <w:spacing w:before="400" w:after="240" w:line="280" w:lineRule="exact"/>
      <w:outlineLvl w:val="1"/>
    </w:pPr>
    <w:rPr>
      <w:rFonts w:ascii="Franklin Gothic Medium" w:eastAsiaTheme="majorEastAsia" w:hAnsi="Franklin Gothic Medium" w:cstheme="majorBidi"/>
      <w:bCs/>
      <w:iCs/>
      <w:kern w:val="0"/>
      <w:szCs w:val="26"/>
      <w:lang w:val="en-GB"/>
      <w14:ligatures w14:val="none"/>
    </w:rPr>
  </w:style>
  <w:style w:type="character" w:customStyle="1" w:styleId="StatementofReasonsHeading2Char">
    <w:name w:val="Statement of Reasons Heading 2 Char"/>
    <w:basedOn w:val="DefaultParagraphFont"/>
    <w:link w:val="StatementofReasonsHeading2"/>
    <w:rsid w:val="00526F99"/>
    <w:rPr>
      <w:rFonts w:ascii="Franklin Gothic Medium" w:eastAsiaTheme="majorEastAsia" w:hAnsi="Franklin Gothic Medium" w:cstheme="majorBidi"/>
      <w:bCs/>
      <w:iCs/>
      <w:sz w:val="24"/>
      <w:szCs w:val="26"/>
      <w:lang w:val="en-GB" w:eastAsia="en-US"/>
    </w:rPr>
  </w:style>
  <w:style w:type="paragraph" w:customStyle="1" w:styleId="StatementofReasonsHeading3">
    <w:name w:val="Statement of Reasons Heading 3"/>
    <w:basedOn w:val="Normal"/>
    <w:link w:val="StatementofReasonsHeading3Char"/>
    <w:qFormat/>
    <w:rsid w:val="00526F99"/>
    <w:pPr>
      <w:pBdr>
        <w:top w:val="nil"/>
        <w:left w:val="nil"/>
        <w:bottom w:val="nil"/>
        <w:right w:val="nil"/>
        <w:between w:val="nil"/>
        <w:bar w:val="nil"/>
      </w:pBdr>
      <w:tabs>
        <w:tab w:val="left" w:pos="720"/>
      </w:tabs>
      <w:spacing w:before="240" w:after="240" w:line="280" w:lineRule="exact"/>
      <w:outlineLvl w:val="2"/>
    </w:pPr>
    <w:rPr>
      <w:rFonts w:ascii="Franklin Gothic Medium" w:eastAsia="Arial Unicode MS" w:hAnsi="Franklin Gothic Medium" w:cs="Arial Unicode MS"/>
      <w:color w:val="000000"/>
      <w:kern w:val="0"/>
      <w:szCs w:val="18"/>
      <w:u w:color="000000"/>
      <w:bdr w:val="nil"/>
      <w:lang w:val="en-GB" w:eastAsia="en-AU"/>
      <w14:ligatures w14:val="none"/>
    </w:rPr>
  </w:style>
  <w:style w:type="character" w:customStyle="1" w:styleId="StatementofReasonsHeading3Char">
    <w:name w:val="Statement of Reasons Heading 3 Char"/>
    <w:basedOn w:val="DefaultParagraphFont"/>
    <w:link w:val="StatementofReasonsHeading3"/>
    <w:rsid w:val="00526F99"/>
    <w:rPr>
      <w:rFonts w:ascii="Franklin Gothic Medium" w:eastAsia="Arial Unicode MS" w:hAnsi="Franklin Gothic Medium" w:cs="Arial Unicode MS"/>
      <w:color w:val="000000"/>
      <w:sz w:val="22"/>
      <w:szCs w:val="18"/>
      <w:u w:color="00000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2376">
      <w:bodyDiv w:val="1"/>
      <w:marLeft w:val="0"/>
      <w:marRight w:val="0"/>
      <w:marTop w:val="0"/>
      <w:marBottom w:val="0"/>
      <w:divBdr>
        <w:top w:val="none" w:sz="0" w:space="0" w:color="auto"/>
        <w:left w:val="none" w:sz="0" w:space="0" w:color="auto"/>
        <w:bottom w:val="none" w:sz="0" w:space="0" w:color="auto"/>
        <w:right w:val="none" w:sz="0" w:space="0" w:color="auto"/>
      </w:divBdr>
    </w:div>
    <w:div w:id="153879672">
      <w:bodyDiv w:val="1"/>
      <w:marLeft w:val="0"/>
      <w:marRight w:val="0"/>
      <w:marTop w:val="0"/>
      <w:marBottom w:val="0"/>
      <w:divBdr>
        <w:top w:val="none" w:sz="0" w:space="0" w:color="auto"/>
        <w:left w:val="none" w:sz="0" w:space="0" w:color="auto"/>
        <w:bottom w:val="none" w:sz="0" w:space="0" w:color="auto"/>
        <w:right w:val="none" w:sz="0" w:space="0" w:color="auto"/>
      </w:divBdr>
      <w:divsChild>
        <w:div w:id="395011603">
          <w:marLeft w:val="0"/>
          <w:marRight w:val="0"/>
          <w:marTop w:val="0"/>
          <w:marBottom w:val="0"/>
          <w:divBdr>
            <w:top w:val="none" w:sz="0" w:space="0" w:color="auto"/>
            <w:left w:val="none" w:sz="0" w:space="0" w:color="auto"/>
            <w:bottom w:val="none" w:sz="0" w:space="0" w:color="auto"/>
            <w:right w:val="none" w:sz="0" w:space="0" w:color="auto"/>
          </w:divBdr>
        </w:div>
      </w:divsChild>
    </w:div>
    <w:div w:id="307900826">
      <w:bodyDiv w:val="1"/>
      <w:marLeft w:val="0"/>
      <w:marRight w:val="0"/>
      <w:marTop w:val="0"/>
      <w:marBottom w:val="0"/>
      <w:divBdr>
        <w:top w:val="none" w:sz="0" w:space="0" w:color="auto"/>
        <w:left w:val="none" w:sz="0" w:space="0" w:color="auto"/>
        <w:bottom w:val="none" w:sz="0" w:space="0" w:color="auto"/>
        <w:right w:val="none" w:sz="0" w:space="0" w:color="auto"/>
      </w:divBdr>
    </w:div>
    <w:div w:id="450131612">
      <w:bodyDiv w:val="1"/>
      <w:marLeft w:val="0"/>
      <w:marRight w:val="0"/>
      <w:marTop w:val="0"/>
      <w:marBottom w:val="0"/>
      <w:divBdr>
        <w:top w:val="none" w:sz="0" w:space="0" w:color="auto"/>
        <w:left w:val="none" w:sz="0" w:space="0" w:color="auto"/>
        <w:bottom w:val="none" w:sz="0" w:space="0" w:color="auto"/>
        <w:right w:val="none" w:sz="0" w:space="0" w:color="auto"/>
      </w:divBdr>
    </w:div>
    <w:div w:id="542600590">
      <w:bodyDiv w:val="1"/>
      <w:marLeft w:val="0"/>
      <w:marRight w:val="0"/>
      <w:marTop w:val="0"/>
      <w:marBottom w:val="0"/>
      <w:divBdr>
        <w:top w:val="none" w:sz="0" w:space="0" w:color="auto"/>
        <w:left w:val="none" w:sz="0" w:space="0" w:color="auto"/>
        <w:bottom w:val="none" w:sz="0" w:space="0" w:color="auto"/>
        <w:right w:val="none" w:sz="0" w:space="0" w:color="auto"/>
      </w:divBdr>
    </w:div>
    <w:div w:id="688216997">
      <w:bodyDiv w:val="1"/>
      <w:marLeft w:val="0"/>
      <w:marRight w:val="0"/>
      <w:marTop w:val="0"/>
      <w:marBottom w:val="0"/>
      <w:divBdr>
        <w:top w:val="none" w:sz="0" w:space="0" w:color="auto"/>
        <w:left w:val="none" w:sz="0" w:space="0" w:color="auto"/>
        <w:bottom w:val="none" w:sz="0" w:space="0" w:color="auto"/>
        <w:right w:val="none" w:sz="0" w:space="0" w:color="auto"/>
      </w:divBdr>
    </w:div>
    <w:div w:id="734745661">
      <w:bodyDiv w:val="1"/>
      <w:marLeft w:val="0"/>
      <w:marRight w:val="0"/>
      <w:marTop w:val="0"/>
      <w:marBottom w:val="0"/>
      <w:divBdr>
        <w:top w:val="none" w:sz="0" w:space="0" w:color="auto"/>
        <w:left w:val="none" w:sz="0" w:space="0" w:color="auto"/>
        <w:bottom w:val="none" w:sz="0" w:space="0" w:color="auto"/>
        <w:right w:val="none" w:sz="0" w:space="0" w:color="auto"/>
      </w:divBdr>
    </w:div>
    <w:div w:id="839999889">
      <w:bodyDiv w:val="1"/>
      <w:marLeft w:val="0"/>
      <w:marRight w:val="0"/>
      <w:marTop w:val="0"/>
      <w:marBottom w:val="0"/>
      <w:divBdr>
        <w:top w:val="none" w:sz="0" w:space="0" w:color="auto"/>
        <w:left w:val="none" w:sz="0" w:space="0" w:color="auto"/>
        <w:bottom w:val="none" w:sz="0" w:space="0" w:color="auto"/>
        <w:right w:val="none" w:sz="0" w:space="0" w:color="auto"/>
      </w:divBdr>
    </w:div>
    <w:div w:id="841701070">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857743210">
      <w:bodyDiv w:val="1"/>
      <w:marLeft w:val="0"/>
      <w:marRight w:val="0"/>
      <w:marTop w:val="0"/>
      <w:marBottom w:val="0"/>
      <w:divBdr>
        <w:top w:val="none" w:sz="0" w:space="0" w:color="auto"/>
        <w:left w:val="none" w:sz="0" w:space="0" w:color="auto"/>
        <w:bottom w:val="none" w:sz="0" w:space="0" w:color="auto"/>
        <w:right w:val="none" w:sz="0" w:space="0" w:color="auto"/>
      </w:divBdr>
    </w:div>
    <w:div w:id="944728962">
      <w:bodyDiv w:val="1"/>
      <w:marLeft w:val="0"/>
      <w:marRight w:val="0"/>
      <w:marTop w:val="0"/>
      <w:marBottom w:val="0"/>
      <w:divBdr>
        <w:top w:val="none" w:sz="0" w:space="0" w:color="auto"/>
        <w:left w:val="none" w:sz="0" w:space="0" w:color="auto"/>
        <w:bottom w:val="none" w:sz="0" w:space="0" w:color="auto"/>
        <w:right w:val="none" w:sz="0" w:space="0" w:color="auto"/>
      </w:divBdr>
    </w:div>
    <w:div w:id="977494708">
      <w:bodyDiv w:val="1"/>
      <w:marLeft w:val="0"/>
      <w:marRight w:val="0"/>
      <w:marTop w:val="0"/>
      <w:marBottom w:val="0"/>
      <w:divBdr>
        <w:top w:val="none" w:sz="0" w:space="0" w:color="auto"/>
        <w:left w:val="none" w:sz="0" w:space="0" w:color="auto"/>
        <w:bottom w:val="none" w:sz="0" w:space="0" w:color="auto"/>
        <w:right w:val="none" w:sz="0" w:space="0" w:color="auto"/>
      </w:divBdr>
    </w:div>
    <w:div w:id="103222292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79793609">
      <w:bodyDiv w:val="1"/>
      <w:marLeft w:val="0"/>
      <w:marRight w:val="0"/>
      <w:marTop w:val="0"/>
      <w:marBottom w:val="0"/>
      <w:divBdr>
        <w:top w:val="none" w:sz="0" w:space="0" w:color="auto"/>
        <w:left w:val="none" w:sz="0" w:space="0" w:color="auto"/>
        <w:bottom w:val="none" w:sz="0" w:space="0" w:color="auto"/>
        <w:right w:val="none" w:sz="0" w:space="0" w:color="auto"/>
      </w:divBdr>
    </w:div>
    <w:div w:id="1122068231">
      <w:bodyDiv w:val="1"/>
      <w:marLeft w:val="0"/>
      <w:marRight w:val="0"/>
      <w:marTop w:val="0"/>
      <w:marBottom w:val="0"/>
      <w:divBdr>
        <w:top w:val="none" w:sz="0" w:space="0" w:color="auto"/>
        <w:left w:val="none" w:sz="0" w:space="0" w:color="auto"/>
        <w:bottom w:val="none" w:sz="0" w:space="0" w:color="auto"/>
        <w:right w:val="none" w:sz="0" w:space="0" w:color="auto"/>
      </w:divBdr>
    </w:div>
    <w:div w:id="1154951988">
      <w:bodyDiv w:val="1"/>
      <w:marLeft w:val="0"/>
      <w:marRight w:val="0"/>
      <w:marTop w:val="0"/>
      <w:marBottom w:val="0"/>
      <w:divBdr>
        <w:top w:val="none" w:sz="0" w:space="0" w:color="auto"/>
        <w:left w:val="none" w:sz="0" w:space="0" w:color="auto"/>
        <w:bottom w:val="none" w:sz="0" w:space="0" w:color="auto"/>
        <w:right w:val="none" w:sz="0" w:space="0" w:color="auto"/>
      </w:divBdr>
    </w:div>
    <w:div w:id="1156341022">
      <w:bodyDiv w:val="1"/>
      <w:marLeft w:val="0"/>
      <w:marRight w:val="0"/>
      <w:marTop w:val="0"/>
      <w:marBottom w:val="0"/>
      <w:divBdr>
        <w:top w:val="none" w:sz="0" w:space="0" w:color="auto"/>
        <w:left w:val="none" w:sz="0" w:space="0" w:color="auto"/>
        <w:bottom w:val="none" w:sz="0" w:space="0" w:color="auto"/>
        <w:right w:val="none" w:sz="0" w:space="0" w:color="auto"/>
      </w:divBdr>
    </w:div>
    <w:div w:id="1200625228">
      <w:bodyDiv w:val="1"/>
      <w:marLeft w:val="0"/>
      <w:marRight w:val="0"/>
      <w:marTop w:val="0"/>
      <w:marBottom w:val="0"/>
      <w:divBdr>
        <w:top w:val="none" w:sz="0" w:space="0" w:color="auto"/>
        <w:left w:val="none" w:sz="0" w:space="0" w:color="auto"/>
        <w:bottom w:val="none" w:sz="0" w:space="0" w:color="auto"/>
        <w:right w:val="none" w:sz="0" w:space="0" w:color="auto"/>
      </w:divBdr>
    </w:div>
    <w:div w:id="1294286304">
      <w:bodyDiv w:val="1"/>
      <w:marLeft w:val="0"/>
      <w:marRight w:val="0"/>
      <w:marTop w:val="0"/>
      <w:marBottom w:val="0"/>
      <w:divBdr>
        <w:top w:val="none" w:sz="0" w:space="0" w:color="auto"/>
        <w:left w:val="none" w:sz="0" w:space="0" w:color="auto"/>
        <w:bottom w:val="none" w:sz="0" w:space="0" w:color="auto"/>
        <w:right w:val="none" w:sz="0" w:space="0" w:color="auto"/>
      </w:divBdr>
    </w:div>
    <w:div w:id="1301375547">
      <w:bodyDiv w:val="1"/>
      <w:marLeft w:val="0"/>
      <w:marRight w:val="0"/>
      <w:marTop w:val="0"/>
      <w:marBottom w:val="0"/>
      <w:divBdr>
        <w:top w:val="none" w:sz="0" w:space="0" w:color="auto"/>
        <w:left w:val="none" w:sz="0" w:space="0" w:color="auto"/>
        <w:bottom w:val="none" w:sz="0" w:space="0" w:color="auto"/>
        <w:right w:val="none" w:sz="0" w:space="0" w:color="auto"/>
      </w:divBdr>
    </w:div>
    <w:div w:id="1341591224">
      <w:bodyDiv w:val="1"/>
      <w:marLeft w:val="0"/>
      <w:marRight w:val="0"/>
      <w:marTop w:val="0"/>
      <w:marBottom w:val="0"/>
      <w:divBdr>
        <w:top w:val="none" w:sz="0" w:space="0" w:color="auto"/>
        <w:left w:val="none" w:sz="0" w:space="0" w:color="auto"/>
        <w:bottom w:val="none" w:sz="0" w:space="0" w:color="auto"/>
        <w:right w:val="none" w:sz="0" w:space="0" w:color="auto"/>
      </w:divBdr>
    </w:div>
    <w:div w:id="1475217884">
      <w:bodyDiv w:val="1"/>
      <w:marLeft w:val="0"/>
      <w:marRight w:val="0"/>
      <w:marTop w:val="0"/>
      <w:marBottom w:val="0"/>
      <w:divBdr>
        <w:top w:val="none" w:sz="0" w:space="0" w:color="auto"/>
        <w:left w:val="none" w:sz="0" w:space="0" w:color="auto"/>
        <w:bottom w:val="none" w:sz="0" w:space="0" w:color="auto"/>
        <w:right w:val="none" w:sz="0" w:space="0" w:color="auto"/>
      </w:divBdr>
    </w:div>
    <w:div w:id="1511917436">
      <w:bodyDiv w:val="1"/>
      <w:marLeft w:val="0"/>
      <w:marRight w:val="0"/>
      <w:marTop w:val="0"/>
      <w:marBottom w:val="0"/>
      <w:divBdr>
        <w:top w:val="none" w:sz="0" w:space="0" w:color="auto"/>
        <w:left w:val="none" w:sz="0" w:space="0" w:color="auto"/>
        <w:bottom w:val="none" w:sz="0" w:space="0" w:color="auto"/>
        <w:right w:val="none" w:sz="0" w:space="0" w:color="auto"/>
      </w:divBdr>
    </w:div>
    <w:div w:id="1605532320">
      <w:bodyDiv w:val="1"/>
      <w:marLeft w:val="0"/>
      <w:marRight w:val="0"/>
      <w:marTop w:val="0"/>
      <w:marBottom w:val="0"/>
      <w:divBdr>
        <w:top w:val="none" w:sz="0" w:space="0" w:color="auto"/>
        <w:left w:val="none" w:sz="0" w:space="0" w:color="auto"/>
        <w:bottom w:val="none" w:sz="0" w:space="0" w:color="auto"/>
        <w:right w:val="none" w:sz="0" w:space="0" w:color="auto"/>
      </w:divBdr>
    </w:div>
    <w:div w:id="1629894599">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85279395">
      <w:bodyDiv w:val="1"/>
      <w:marLeft w:val="0"/>
      <w:marRight w:val="0"/>
      <w:marTop w:val="0"/>
      <w:marBottom w:val="0"/>
      <w:divBdr>
        <w:top w:val="none" w:sz="0" w:space="0" w:color="auto"/>
        <w:left w:val="none" w:sz="0" w:space="0" w:color="auto"/>
        <w:bottom w:val="none" w:sz="0" w:space="0" w:color="auto"/>
        <w:right w:val="none" w:sz="0" w:space="0" w:color="auto"/>
      </w:divBdr>
    </w:div>
    <w:div w:id="1779179778">
      <w:bodyDiv w:val="1"/>
      <w:marLeft w:val="0"/>
      <w:marRight w:val="0"/>
      <w:marTop w:val="0"/>
      <w:marBottom w:val="0"/>
      <w:divBdr>
        <w:top w:val="none" w:sz="0" w:space="0" w:color="auto"/>
        <w:left w:val="none" w:sz="0" w:space="0" w:color="auto"/>
        <w:bottom w:val="none" w:sz="0" w:space="0" w:color="auto"/>
        <w:right w:val="none" w:sz="0" w:space="0" w:color="auto"/>
      </w:divBdr>
    </w:div>
    <w:div w:id="17951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pvma.gov.au/news-and-publications/public-consultations/paraquat-and-diquat-proposed-regulatory-decision/consideration-of-submissions" TargetMode="External" Id="rId26" /><Relationship Type="http://schemas.openxmlformats.org/officeDocument/2006/relationships/hyperlink" Target="http://www.apvma.gov.au" TargetMode="External" Id="rId21" /><Relationship Type="http://schemas.openxmlformats.org/officeDocument/2006/relationships/hyperlink" Target="https://www.apvma.gov.au/crop-groups" TargetMode="External" Id="rId42" /><Relationship Type="http://schemas.openxmlformats.org/officeDocument/2006/relationships/hyperlink" Target="https://www.apvma.gov.au/registrations-and-permits/data-guidelines/risk-assessment-manuals/sdram" TargetMode="External" Id="rId47" /><Relationship Type="http://schemas.openxmlformats.org/officeDocument/2006/relationships/header" Target="header25.xml" Id="rId63" /><Relationship Type="http://schemas.openxmlformats.org/officeDocument/2006/relationships/hyperlink" Target="https://www.apvma.gov.au/node/20766" TargetMode="External" Id="rId68" /><Relationship Type="http://schemas.openxmlformats.org/officeDocument/2006/relationships/hyperlink" Target="mailto:communications@apvma.gov.au" TargetMode="External" Id="rId16" /><Relationship Type="http://schemas.openxmlformats.org/officeDocument/2006/relationships/image" Target="media/image3.png" Id="rId11" /><Relationship Type="http://schemas.openxmlformats.org/officeDocument/2006/relationships/footer" Target="footer2.xml" Id="rId24" /><Relationship Type="http://schemas.openxmlformats.org/officeDocument/2006/relationships/image" Target="media/image6.png" Id="rId32" /><Relationship Type="http://schemas.openxmlformats.org/officeDocument/2006/relationships/hyperlink" Target="https://apvma.gov.au/node/12666" TargetMode="External" Id="rId37" /><Relationship Type="http://schemas.openxmlformats.org/officeDocument/2006/relationships/header" Target="header9.xml" Id="rId40" /><Relationship Type="http://schemas.openxmlformats.org/officeDocument/2006/relationships/hyperlink" Target="https://apvma.gov.au/node/46416" TargetMode="External" Id="rId45" /><Relationship Type="http://schemas.openxmlformats.org/officeDocument/2006/relationships/header" Target="header15.xml" Id="rId53" /><Relationship Type="http://schemas.openxmlformats.org/officeDocument/2006/relationships/header" Target="header20.xml" Id="rId58" /><Relationship Type="http://schemas.openxmlformats.org/officeDocument/2006/relationships/hyperlink" Target="https://www.legislation.gov.au/F2022L00137/latest/text" TargetMode="External" Id="rId66" /><Relationship Type="http://schemas.openxmlformats.org/officeDocument/2006/relationships/hyperlink" Target="http://www.fao.org/fileadmin/templates/agphome/documents/Pests_Pesticides/JMPR/Reports_1991-2006/report2004jmpr.pdf" TargetMode="External" Id="rId74" /><Relationship Type="http://schemas.openxmlformats.org/officeDocument/2006/relationships/theme" Target="theme/theme1.xml" Id="rId79" /><Relationship Type="http://schemas.openxmlformats.org/officeDocument/2006/relationships/settings" Target="settings.xml" Id="rId5" /><Relationship Type="http://schemas.openxmlformats.org/officeDocument/2006/relationships/header" Target="header23.xml" Id="rId61"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hyperlink" Target="https://www.apvma.gov.au/news-and-publications/public-consultations/paraquat-and-diquat-proposed-regulatory-decision/consideration-of-submissions" TargetMode="External" Id="rId27" /><Relationship Type="http://schemas.openxmlformats.org/officeDocument/2006/relationships/image" Target="media/image5.png" Id="rId30" /><Relationship Type="http://schemas.openxmlformats.org/officeDocument/2006/relationships/header" Target="header7.xml" Id="rId35" /><Relationship Type="http://schemas.openxmlformats.org/officeDocument/2006/relationships/header" Target="header10.xml" Id="rId43" /><Relationship Type="http://schemas.openxmlformats.org/officeDocument/2006/relationships/header" Target="header12.xml" Id="rId48" /><Relationship Type="http://schemas.openxmlformats.org/officeDocument/2006/relationships/header" Target="header18.xml" Id="rId56" /><Relationship Type="http://schemas.openxmlformats.org/officeDocument/2006/relationships/header" Target="header26.xml" Id="rId64" /><Relationship Type="http://schemas.openxmlformats.org/officeDocument/2006/relationships/hyperlink" Target="https://www.apvma.gov.au/node/20776" TargetMode="External" Id="rId69" /><Relationship Type="http://schemas.openxmlformats.org/officeDocument/2006/relationships/header" Target="header29.xml" Id="rId77" /><Relationship Type="http://schemas.openxmlformats.org/officeDocument/2006/relationships/endnotes" Target="endnotes.xml" Id="rId8" /><Relationship Type="http://schemas.openxmlformats.org/officeDocument/2006/relationships/header" Target="header14.xml" Id="rId51" /><Relationship Type="http://schemas.openxmlformats.org/officeDocument/2006/relationships/hyperlink" Target="https://doi.org/10.2903/j.efsa.2020.6119" TargetMode="External" Id="rId72"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mailto:chemicalreview@apvma.gov.au" TargetMode="External" Id="rId25" /><Relationship Type="http://schemas.openxmlformats.org/officeDocument/2006/relationships/image" Target="media/image7.png" Id="rId33" /><Relationship Type="http://schemas.openxmlformats.org/officeDocument/2006/relationships/hyperlink" Target="https://webarchive.nla.gov.au/awa/20170422003521/http:/apvma.gov.au/node/20771" TargetMode="External" Id="rId38" /><Relationship Type="http://schemas.openxmlformats.org/officeDocument/2006/relationships/hyperlink" Target="https://apvma.gov.au/node/51826" TargetMode="External" Id="rId46" /><Relationship Type="http://schemas.openxmlformats.org/officeDocument/2006/relationships/header" Target="header21.xml" Id="rId59" /><Relationship Type="http://schemas.openxmlformats.org/officeDocument/2006/relationships/hyperlink" Target="https://www.legislation.gov.au/F2022L00137/latest/text" TargetMode="External" Id="rId67" /><Relationship Type="http://schemas.openxmlformats.org/officeDocument/2006/relationships/footer" Target="footer1.xml" Id="rId20" /><Relationship Type="http://schemas.openxmlformats.org/officeDocument/2006/relationships/hyperlink" Target="https://www.fao.org/fao-who-codexalimentarius/committees/committee/en/?committee=CCPR" TargetMode="External" Id="rId41" /><Relationship Type="http://schemas.openxmlformats.org/officeDocument/2006/relationships/header" Target="header16.xml" Id="rId54" /><Relationship Type="http://schemas.openxmlformats.org/officeDocument/2006/relationships/header" Target="header24.xml" Id="rId62" /><Relationship Type="http://schemas.openxmlformats.org/officeDocument/2006/relationships/hyperlink" Target="https://www.apvma.gov.au/node/20771" TargetMode="External" Id="rId70" /><Relationship Type="http://schemas.openxmlformats.org/officeDocument/2006/relationships/hyperlink" Target="https://www.epa.gov/sites/default/files/2021-05/documents/occupational-pesticide-handler-unit-exposure-surrogate-reference-table-may-2021.pdf" TargetMode="External" Id="rId75"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eader" Target="header4.xml" Id="rId23" /><Relationship Type="http://schemas.openxmlformats.org/officeDocument/2006/relationships/header" Target="header5.xml" Id="rId28" /><Relationship Type="http://schemas.openxmlformats.org/officeDocument/2006/relationships/hyperlink" Target="https://webarchive.nla.gov.au/awa/20170422003457/http:/apvma.gov.au/node/20766" TargetMode="External" Id="rId36" /><Relationship Type="http://schemas.openxmlformats.org/officeDocument/2006/relationships/header" Target="header13.xml" Id="rId49" /><Relationship Type="http://schemas.openxmlformats.org/officeDocument/2006/relationships/header" Target="header19.xml" Id="rId57" /><Relationship Type="http://schemas.openxmlformats.org/officeDocument/2006/relationships/image" Target="media/image2.png" Id="rId10" /><Relationship Type="http://schemas.openxmlformats.org/officeDocument/2006/relationships/hyperlink" Target="https://openknowledge.fao.org/server/api/core/bitstreams/05621e49-cae8-4985-865d-9be6f1c6be40/content" TargetMode="External" Id="rId31" /><Relationship Type="http://schemas.openxmlformats.org/officeDocument/2006/relationships/header" Target="header11.xml" Id="rId44" /><Relationship Type="http://schemas.openxmlformats.org/officeDocument/2006/relationships/image" Target="media/image9.png" Id="rId52" /><Relationship Type="http://schemas.openxmlformats.org/officeDocument/2006/relationships/header" Target="header22.xml" Id="rId60" /><Relationship Type="http://schemas.openxmlformats.org/officeDocument/2006/relationships/header" Target="header27.xml" Id="rId65" /><Relationship Type="http://schemas.openxmlformats.org/officeDocument/2006/relationships/hyperlink" Target="https://apps.who.int/pesticide-residues-jmpr-database/Document/176" TargetMode="External" Id="rId73" /><Relationship Type="http://schemas.openxmlformats.org/officeDocument/2006/relationships/fontTable" Target="fontTable.xml" Id="rId78"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8.xml" Id="rId39" /><Relationship Type="http://schemas.openxmlformats.org/officeDocument/2006/relationships/image" Target="media/image8.png" Id="rId34" /><Relationship Type="http://schemas.openxmlformats.org/officeDocument/2006/relationships/hyperlink" Target="https://apvma.gov.au/node/10796" TargetMode="External" Id="rId50" /><Relationship Type="http://schemas.openxmlformats.org/officeDocument/2006/relationships/header" Target="header17.xml" Id="rId55" /><Relationship Type="http://schemas.openxmlformats.org/officeDocument/2006/relationships/header" Target="header28.xml" Id="rId76" /><Relationship Type="http://schemas.openxmlformats.org/officeDocument/2006/relationships/footnotes" Target="footnotes.xml" Id="rId7" /><Relationship Type="http://schemas.openxmlformats.org/officeDocument/2006/relationships/hyperlink" Target="https://doi.org/10.21105/joss.02848" TargetMode="External" Id="rId71" /><Relationship Type="http://schemas.openxmlformats.org/officeDocument/2006/relationships/customXml" Target="../customXml/item2.xml" Id="rId2" /><Relationship Type="http://schemas.openxmlformats.org/officeDocument/2006/relationships/header" Target="header6.xml" Id="rId29" /><Relationship Type="http://schemas.openxmlformats.org/officeDocument/2006/relationships/customXml" Target="/customXML/item3.xml" Id="R8d2133b3567d4944" /></Relationships>
</file>

<file path=word/_rels/footnotes.xml.rels><?xml version="1.0" encoding="UTF-8" standalone="yes"?>
<Relationships xmlns="http://schemas.openxmlformats.org/package/2006/relationships"><Relationship Id="rId8" Type="http://schemas.openxmlformats.org/officeDocument/2006/relationships/hyperlink" Target="https://bcgov-env.shinyapps.io/ssdtools/" TargetMode="External"/><Relationship Id="rId3" Type="http://schemas.openxmlformats.org/officeDocument/2006/relationships/hyperlink" Target="https://food.ec.europa.eu/plants/pesticides/eu-pesticides-database_en" TargetMode="External"/><Relationship Id="rId7" Type="http://schemas.openxmlformats.org/officeDocument/2006/relationships/hyperlink" Target="https://www.ecfr.gov/current/title-40/chapter-I/subchapter-E/part-180" TargetMode="External"/><Relationship Id="rId12" Type="http://schemas.openxmlformats.org/officeDocument/2006/relationships/hyperlink" Target="https://www.apvma.gov.au/registrations-and-permits/data-guidelines/risk-assessment-manuals/environment/appendix-a" TargetMode="External"/><Relationship Id="rId2" Type="http://schemas.openxmlformats.org/officeDocument/2006/relationships/hyperlink" Target="https://www.fao.org/fao-who-codexalimentarius/codex-texts/dbs/pestres/pesticides/en/" TargetMode="External"/><Relationship Id="rId1" Type="http://schemas.openxmlformats.org/officeDocument/2006/relationships/hyperlink" Target="https://www.croplife.org.au/resources/programs/resistance-management/herbicide-moa-table-4/" TargetMode="External"/><Relationship Id="rId6" Type="http://schemas.openxmlformats.org/officeDocument/2006/relationships/hyperlink" Target="https://www.fda.gov.tw/ENG/law.aspx?cid=16" TargetMode="External"/><Relationship Id="rId11" Type="http://schemas.openxmlformats.org/officeDocument/2006/relationships/hyperlink" Target="https://bcgov-env.shinyapps.io/ssdtools/" TargetMode="External"/><Relationship Id="rId5" Type="http://schemas.openxmlformats.org/officeDocument/2006/relationships/hyperlink" Target="https://residue.foodsafetykorea.go.kr/prd/progress" TargetMode="External"/><Relationship Id="rId10" Type="http://schemas.openxmlformats.org/officeDocument/2006/relationships/hyperlink" Target="https://www.hse.gov.uk/pesticides/data-requirements-handbook/fate/environmental-fate-models.htm" TargetMode="External"/><Relationship Id="rId4" Type="http://schemas.openxmlformats.org/officeDocument/2006/relationships/hyperlink" Target="http://db.ffcr.or.jp/front/" TargetMode="External"/><Relationship Id="rId9" Type="http://schemas.openxmlformats.org/officeDocument/2006/relationships/hyperlink" Target="https://bcgov-env.shinyapps.io/ssdtools/"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A3480568</value>
    </field>
    <field name="Objective-Title">
      <value order="0">Paraquat Final Review Technical Report</value>
    </field>
    <field name="Objective-Description">
      <value order="0"/>
    </field>
    <field name="Objective-CreationStamp">
      <value order="0">2025-03-21T02:16:43Z</value>
    </field>
    <field name="Objective-IsApproved">
      <value order="0">false</value>
    </field>
    <field name="Objective-IsPublished">
      <value order="0">false</value>
    </field>
    <field name="Objective-DatePublished">
      <value order="0"/>
    </field>
    <field name="Objective-ModificationStamp">
      <value order="0">2026-06-22T07:27:23Z</value>
    </field>
    <field name="Objective-Owner">
      <value order="0">Nial Gursanscky</value>
    </field>
    <field name="Objective-Path">
      <value order="0">APVMA:SCIENCE AND ASSURANCE:02 - Science and Assurance - Chemical Review:Scientific Assessment - Chemical Review - Products and Actives:Scientific Assessment - Chemical Review - Products and Actives - P:Chemical Review - Paraquat:08-Regulatory Decision</value>
    </field>
    <field name="Objective-Parent">
      <value order="0">08-Regulatory Decision</value>
    </field>
    <field name="Objective-State">
      <value order="0">Being Drafted</value>
    </field>
    <field name="Objective-VersionId">
      <value order="0">vA5831848</value>
    </field>
    <field name="Objective-Version">
      <value order="0">1.2</value>
    </field>
    <field name="Objective-VersionNumber">
      <value order="0">75</value>
    </field>
    <field name="Objective-VersionComment">
      <value order="0"/>
    </field>
    <field name="Objective-FileNumber">
      <value order="0">2014\3580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7615</TotalTime>
  <Pages>234</Pages>
  <Words>75260</Words>
  <Characters>428987</Characters>
  <Application>Microsoft Office Word</Application>
  <DocSecurity>0</DocSecurity>
  <Lines>3574</Lines>
  <Paragraphs>1006</Paragraphs>
  <ScaleCrop>false</ScaleCrop>
  <HeadingPairs>
    <vt:vector size="2" baseType="variant">
      <vt:variant>
        <vt:lpstr>Title</vt:lpstr>
      </vt:variant>
      <vt:variant>
        <vt:i4>1</vt:i4>
      </vt:variant>
    </vt:vector>
  </HeadingPairs>
  <TitlesOfParts>
    <vt:vector size="1" baseType="lpstr">
      <vt:lpstr>Paraquat Final Review Technical Report</vt:lpstr>
    </vt:vector>
  </TitlesOfParts>
  <Manager/>
  <Company>Australian Pesticides and Veterinary Medicines Authority</Company>
  <LinksUpToDate>false</LinksUpToDate>
  <CharactersWithSpaces>503241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Paraquat Final Review Technical Report</dc:title>
  <dc:subject/>
  <dc:creator>APVMA</dc:creator>
  <cp:keywords/>
  <dc:description/>
  <cp:lastModifiedBy>GRIFFIN, Jordanna</cp:lastModifiedBy>
  <cp:revision>102</cp:revision>
  <cp:lastPrinted>2026-05-26T06:13:00Z</cp:lastPrinted>
  <dcterms:created xsi:type="dcterms:W3CDTF">2026-04-30T05:00:00Z</dcterms:created>
  <dcterms:modified xsi:type="dcterms:W3CDTF">2026-06-22T06:36:00Z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A3480568</vt:lpwstr>
  </property>
  <property fmtid="{D5CDD505-2E9C-101B-9397-08002B2CF9AE}" pid="4" name="Objective-Title">
    <vt:lpwstr>Paraquat Final Review Technical Report</vt:lpwstr>
  </property>
  <property fmtid="{D5CDD505-2E9C-101B-9397-08002B2CF9AE}" pid="5" name="Objective-Comment">
    <vt:lpwstr/>
  </property>
  <property fmtid="{D5CDD505-2E9C-101B-9397-08002B2CF9AE}" pid="6" name="Objective-CreationStamp">
    <vt:filetime>2025-03-21T02:16:43Z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2026-06-22T07:27:23Z</vt:filetime>
  </property>
  <property fmtid="{D5CDD505-2E9C-101B-9397-08002B2CF9AE}" pid="11" name="Objective-Owner">
    <vt:lpwstr>Nial Gursanscky</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P:Chemical Review - Paraquat:08-Regulatory Decision:</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75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vA5831848</vt:lpwstr>
  </property>
  <property fmtid="{D5CDD505-2E9C-101B-9397-08002B2CF9AE}" pid="23" name="Objective-Connect Creator">
    <vt:lpwstr/>
  </property>
</Properties>
</file>